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14F" w:rsidRPr="00A13781" w:rsidRDefault="007A314F" w:rsidP="00B62642">
      <w:pPr>
        <w:pStyle w:val="Sinespaciado"/>
        <w:spacing w:line="360" w:lineRule="auto"/>
        <w:rPr>
          <w:rFonts w:ascii="Arial" w:hAnsi="Arial" w:cs="Arial"/>
          <w:sz w:val="24"/>
          <w:szCs w:val="24"/>
          <w:lang w:eastAsia="es-ES"/>
        </w:rPr>
      </w:pPr>
      <w:r w:rsidRPr="00A13781">
        <w:rPr>
          <w:rFonts w:ascii="Arial" w:hAnsi="Arial" w:cs="Arial"/>
          <w:sz w:val="24"/>
          <w:szCs w:val="24"/>
          <w:lang w:eastAsia="es-ES"/>
        </w:rPr>
        <w:t xml:space="preserve">XXI Congreso de </w:t>
      </w:r>
      <w:proofErr w:type="spellStart"/>
      <w:r w:rsidRPr="00A13781">
        <w:rPr>
          <w:rFonts w:ascii="Arial" w:hAnsi="Arial" w:cs="Arial"/>
          <w:sz w:val="24"/>
          <w:szCs w:val="24"/>
          <w:lang w:eastAsia="es-ES"/>
        </w:rPr>
        <w:t>RedCom</w:t>
      </w:r>
      <w:proofErr w:type="spellEnd"/>
      <w:r w:rsidRPr="00A13781">
        <w:rPr>
          <w:rFonts w:ascii="Arial" w:hAnsi="Arial" w:cs="Arial"/>
          <w:sz w:val="24"/>
          <w:szCs w:val="24"/>
          <w:lang w:eastAsia="es-ES"/>
        </w:rPr>
        <w:t>. Universidad Nacional de Salta</w:t>
      </w:r>
    </w:p>
    <w:p w:rsidR="007A314F" w:rsidRPr="00A13781" w:rsidRDefault="007A314F" w:rsidP="00B62642">
      <w:pPr>
        <w:spacing w:line="360" w:lineRule="auto"/>
        <w:jc w:val="both"/>
        <w:rPr>
          <w:rFonts w:ascii="Arial" w:eastAsia="Times New Roman" w:hAnsi="Arial" w:cs="Arial"/>
          <w:b/>
          <w:bCs/>
          <w:color w:val="1D2228"/>
          <w:sz w:val="24"/>
          <w:szCs w:val="24"/>
          <w:lang w:eastAsia="es-ES"/>
        </w:rPr>
      </w:pPr>
    </w:p>
    <w:p w:rsidR="00F81C2D" w:rsidRPr="00A13781" w:rsidRDefault="00733429" w:rsidP="00B62642">
      <w:pPr>
        <w:spacing w:line="360" w:lineRule="auto"/>
        <w:jc w:val="both"/>
        <w:rPr>
          <w:rFonts w:ascii="Arial" w:eastAsia="Times New Roman" w:hAnsi="Arial" w:cs="Arial"/>
          <w:b/>
          <w:bCs/>
          <w:color w:val="1D2228"/>
          <w:sz w:val="24"/>
          <w:szCs w:val="24"/>
          <w:lang w:eastAsia="es-ES"/>
        </w:rPr>
      </w:pPr>
      <w:r w:rsidRPr="00A13781">
        <w:rPr>
          <w:rFonts w:ascii="Arial" w:eastAsia="Times New Roman" w:hAnsi="Arial" w:cs="Arial"/>
          <w:b/>
          <w:bCs/>
          <w:color w:val="1D2228"/>
          <w:sz w:val="24"/>
          <w:szCs w:val="24"/>
          <w:lang w:eastAsia="es-ES"/>
        </w:rPr>
        <w:t>Eje</w:t>
      </w:r>
      <w:r w:rsidR="00F81C2D" w:rsidRPr="00A13781">
        <w:rPr>
          <w:rFonts w:ascii="Arial" w:eastAsia="Times New Roman" w:hAnsi="Arial" w:cs="Arial"/>
          <w:b/>
          <w:bCs/>
          <w:color w:val="1D2228"/>
          <w:sz w:val="24"/>
          <w:szCs w:val="24"/>
          <w:lang w:eastAsia="es-ES"/>
        </w:rPr>
        <w:t xml:space="preserve"> 6</w:t>
      </w:r>
      <w:r w:rsidR="001A3C13" w:rsidRPr="00A13781">
        <w:rPr>
          <w:rFonts w:ascii="Arial" w:eastAsia="Times New Roman" w:hAnsi="Arial" w:cs="Arial"/>
          <w:b/>
          <w:bCs/>
          <w:color w:val="1D2228"/>
          <w:sz w:val="24"/>
          <w:szCs w:val="24"/>
          <w:lang w:eastAsia="es-ES"/>
        </w:rPr>
        <w:t xml:space="preserve">: </w:t>
      </w:r>
      <w:r w:rsidRPr="00A13781">
        <w:rPr>
          <w:rFonts w:ascii="Arial" w:eastAsia="Times New Roman" w:hAnsi="Arial" w:cs="Arial"/>
          <w:b/>
          <w:bCs/>
          <w:color w:val="1D2228"/>
          <w:sz w:val="24"/>
          <w:szCs w:val="24"/>
          <w:lang w:eastAsia="es-ES"/>
        </w:rPr>
        <w:t>Comunicación, género y diversidades sexuales</w:t>
      </w:r>
    </w:p>
    <w:p w:rsidR="00FC1CD9" w:rsidRPr="00A13781" w:rsidRDefault="00FC1CD9" w:rsidP="00B62642">
      <w:pPr>
        <w:spacing w:line="360" w:lineRule="auto"/>
        <w:jc w:val="both"/>
        <w:rPr>
          <w:rFonts w:ascii="Arial" w:hAnsi="Arial" w:cs="Arial"/>
          <w:b/>
          <w:sz w:val="24"/>
          <w:szCs w:val="24"/>
        </w:rPr>
      </w:pPr>
      <w:r w:rsidRPr="00A13781">
        <w:rPr>
          <w:rFonts w:ascii="Arial" w:eastAsia="Times New Roman" w:hAnsi="Arial" w:cs="Arial"/>
          <w:b/>
          <w:bCs/>
          <w:color w:val="1D2228"/>
          <w:sz w:val="24"/>
          <w:szCs w:val="24"/>
          <w:lang w:eastAsia="es-ES"/>
        </w:rPr>
        <w:t>Título: “Los intercambios simbólicos y las relaciones sociales de género como expresiones comunicacionales”</w:t>
      </w:r>
      <w:r w:rsidRPr="00A13781">
        <w:rPr>
          <w:rFonts w:ascii="Arial" w:eastAsia="Times New Roman" w:hAnsi="Arial" w:cs="Arial"/>
          <w:color w:val="1D2228"/>
          <w:sz w:val="24"/>
          <w:szCs w:val="24"/>
          <w:lang w:eastAsia="es-ES"/>
        </w:rPr>
        <w:t> </w:t>
      </w:r>
    </w:p>
    <w:p w:rsidR="00ED0AAD" w:rsidRPr="00A13781" w:rsidRDefault="00B80511" w:rsidP="00B62642">
      <w:pPr>
        <w:spacing w:line="360" w:lineRule="auto"/>
        <w:jc w:val="both"/>
        <w:rPr>
          <w:rFonts w:ascii="Arial" w:hAnsi="Arial" w:cs="Arial"/>
          <w:b/>
          <w:sz w:val="24"/>
          <w:szCs w:val="24"/>
        </w:rPr>
      </w:pPr>
      <w:r w:rsidRPr="00A13781">
        <w:rPr>
          <w:rFonts w:ascii="Arial" w:hAnsi="Arial" w:cs="Arial"/>
          <w:b/>
          <w:sz w:val="24"/>
          <w:szCs w:val="24"/>
        </w:rPr>
        <w:t>Autor</w:t>
      </w:r>
      <w:r w:rsidR="00F81C2D" w:rsidRPr="00A13781">
        <w:rPr>
          <w:rFonts w:ascii="Arial" w:hAnsi="Arial" w:cs="Arial"/>
          <w:b/>
          <w:sz w:val="24"/>
          <w:szCs w:val="24"/>
        </w:rPr>
        <w:t>es</w:t>
      </w:r>
      <w:r w:rsidRPr="00A13781">
        <w:rPr>
          <w:rFonts w:ascii="Arial" w:hAnsi="Arial" w:cs="Arial"/>
          <w:b/>
          <w:sz w:val="24"/>
          <w:szCs w:val="24"/>
        </w:rPr>
        <w:t xml:space="preserve">: </w:t>
      </w:r>
      <w:r w:rsidR="00ED0AAD" w:rsidRPr="00A13781">
        <w:rPr>
          <w:rFonts w:ascii="Arial" w:hAnsi="Arial" w:cs="Arial"/>
          <w:b/>
          <w:sz w:val="24"/>
          <w:szCs w:val="24"/>
        </w:rPr>
        <w:t xml:space="preserve">Tomás Daniel </w:t>
      </w:r>
      <w:proofErr w:type="spellStart"/>
      <w:r w:rsidR="00ED0AAD" w:rsidRPr="00A13781">
        <w:rPr>
          <w:rFonts w:ascii="Arial" w:hAnsi="Arial" w:cs="Arial"/>
          <w:b/>
          <w:sz w:val="24"/>
          <w:szCs w:val="24"/>
        </w:rPr>
        <w:t>Calello</w:t>
      </w:r>
      <w:proofErr w:type="spellEnd"/>
      <w:r w:rsidR="00F81C2D" w:rsidRPr="00A13781">
        <w:rPr>
          <w:rFonts w:ascii="Arial" w:hAnsi="Arial" w:cs="Arial"/>
          <w:b/>
          <w:sz w:val="24"/>
          <w:szCs w:val="24"/>
        </w:rPr>
        <w:t xml:space="preserve"> y Betina Presman</w:t>
      </w:r>
    </w:p>
    <w:p w:rsidR="00B80511" w:rsidRPr="00A13781" w:rsidRDefault="00B80511" w:rsidP="00B62642">
      <w:pPr>
        <w:spacing w:line="360" w:lineRule="auto"/>
        <w:jc w:val="both"/>
        <w:rPr>
          <w:rFonts w:ascii="Arial" w:hAnsi="Arial" w:cs="Arial"/>
          <w:b/>
          <w:sz w:val="24"/>
          <w:szCs w:val="24"/>
        </w:rPr>
      </w:pPr>
      <w:r w:rsidRPr="00A13781">
        <w:rPr>
          <w:rFonts w:ascii="Arial" w:hAnsi="Arial" w:cs="Arial"/>
          <w:b/>
          <w:sz w:val="24"/>
          <w:szCs w:val="24"/>
        </w:rPr>
        <w:t>Ins</w:t>
      </w:r>
      <w:r w:rsidR="00B20D4B" w:rsidRPr="00A13781">
        <w:rPr>
          <w:rFonts w:ascii="Arial" w:hAnsi="Arial" w:cs="Arial"/>
          <w:b/>
          <w:sz w:val="24"/>
          <w:szCs w:val="24"/>
        </w:rPr>
        <w:t xml:space="preserve">tituciones de pertenencia: </w:t>
      </w:r>
      <w:proofErr w:type="spellStart"/>
      <w:r w:rsidR="00B20D4B" w:rsidRPr="00A13781">
        <w:rPr>
          <w:rFonts w:ascii="Arial" w:hAnsi="Arial" w:cs="Arial"/>
          <w:b/>
          <w:sz w:val="24"/>
          <w:szCs w:val="24"/>
        </w:rPr>
        <w:t>Untref</w:t>
      </w:r>
      <w:proofErr w:type="spellEnd"/>
      <w:r w:rsidRPr="00A13781">
        <w:rPr>
          <w:rFonts w:ascii="Arial" w:hAnsi="Arial" w:cs="Arial"/>
          <w:b/>
          <w:sz w:val="24"/>
          <w:szCs w:val="24"/>
        </w:rPr>
        <w:t>-</w:t>
      </w:r>
      <w:r w:rsidR="007A1363" w:rsidRPr="00A13781">
        <w:rPr>
          <w:rFonts w:ascii="Arial" w:hAnsi="Arial" w:cs="Arial"/>
          <w:b/>
          <w:sz w:val="24"/>
          <w:szCs w:val="24"/>
        </w:rPr>
        <w:t>IDH-</w:t>
      </w:r>
      <w:r w:rsidRPr="00A13781">
        <w:rPr>
          <w:rFonts w:ascii="Arial" w:hAnsi="Arial" w:cs="Arial"/>
          <w:b/>
          <w:sz w:val="24"/>
          <w:szCs w:val="24"/>
        </w:rPr>
        <w:t>UNGS</w:t>
      </w:r>
    </w:p>
    <w:p w:rsidR="00B80511" w:rsidRPr="00A13781" w:rsidRDefault="00B80511" w:rsidP="00B62642">
      <w:pPr>
        <w:spacing w:line="360" w:lineRule="auto"/>
        <w:jc w:val="both"/>
        <w:rPr>
          <w:rFonts w:ascii="Arial" w:hAnsi="Arial" w:cs="Arial"/>
          <w:b/>
          <w:sz w:val="24"/>
          <w:szCs w:val="24"/>
        </w:rPr>
      </w:pPr>
      <w:r w:rsidRPr="00A13781">
        <w:rPr>
          <w:rFonts w:ascii="Arial" w:hAnsi="Arial" w:cs="Arial"/>
          <w:b/>
          <w:sz w:val="24"/>
          <w:szCs w:val="24"/>
        </w:rPr>
        <w:t xml:space="preserve">E-mail: </w:t>
      </w:r>
      <w:hyperlink r:id="rId8" w:history="1">
        <w:r w:rsidR="007A314F" w:rsidRPr="00A13781">
          <w:rPr>
            <w:rStyle w:val="Hipervnculo"/>
            <w:rFonts w:ascii="Arial" w:hAnsi="Arial" w:cs="Arial"/>
            <w:b/>
            <w:sz w:val="24"/>
            <w:szCs w:val="24"/>
          </w:rPr>
          <w:t>tomas_calello@yahoo.com.ar</w:t>
        </w:r>
      </w:hyperlink>
      <w:r w:rsidR="007A314F" w:rsidRPr="00A13781">
        <w:rPr>
          <w:rFonts w:ascii="Arial" w:hAnsi="Arial" w:cs="Arial"/>
          <w:b/>
          <w:sz w:val="24"/>
          <w:szCs w:val="24"/>
        </w:rPr>
        <w:t>, bpresman@gmail.com</w:t>
      </w:r>
    </w:p>
    <w:p w:rsidR="00B879D3" w:rsidRPr="00A13781" w:rsidRDefault="00B879D3" w:rsidP="00B62642">
      <w:pPr>
        <w:spacing w:line="360" w:lineRule="auto"/>
        <w:jc w:val="both"/>
        <w:rPr>
          <w:rFonts w:ascii="Arial" w:hAnsi="Arial" w:cs="Arial"/>
          <w:b/>
          <w:sz w:val="24"/>
          <w:szCs w:val="24"/>
        </w:rPr>
      </w:pPr>
    </w:p>
    <w:p w:rsidR="00B879D3" w:rsidRPr="00A13781" w:rsidRDefault="00B879D3" w:rsidP="00B62642">
      <w:pPr>
        <w:spacing w:line="360" w:lineRule="auto"/>
        <w:jc w:val="both"/>
        <w:rPr>
          <w:rFonts w:ascii="Arial" w:hAnsi="Arial" w:cs="Arial"/>
          <w:b/>
          <w:sz w:val="24"/>
          <w:szCs w:val="24"/>
        </w:rPr>
      </w:pPr>
      <w:r w:rsidRPr="00A13781">
        <w:rPr>
          <w:rFonts w:ascii="Arial" w:hAnsi="Arial" w:cs="Arial"/>
          <w:b/>
          <w:sz w:val="24"/>
          <w:szCs w:val="24"/>
        </w:rPr>
        <w:t>Introducción</w:t>
      </w:r>
    </w:p>
    <w:p w:rsidR="00DC084E" w:rsidRPr="00A13781" w:rsidRDefault="00DC084E" w:rsidP="00B62642">
      <w:pPr>
        <w:spacing w:line="360" w:lineRule="auto"/>
        <w:jc w:val="both"/>
        <w:rPr>
          <w:rFonts w:ascii="Arial" w:hAnsi="Arial" w:cs="Arial"/>
          <w:sz w:val="24"/>
          <w:szCs w:val="24"/>
        </w:rPr>
      </w:pPr>
      <w:r w:rsidRPr="00A13781">
        <w:rPr>
          <w:rFonts w:ascii="Arial" w:hAnsi="Arial" w:cs="Arial"/>
          <w:sz w:val="24"/>
          <w:szCs w:val="24"/>
        </w:rPr>
        <w:t>En esta ponencia se presenta una problematizaci</w:t>
      </w:r>
      <w:bookmarkStart w:id="0" w:name="_GoBack"/>
      <w:bookmarkEnd w:id="0"/>
      <w:r w:rsidRPr="00A13781">
        <w:rPr>
          <w:rFonts w:ascii="Arial" w:hAnsi="Arial" w:cs="Arial"/>
          <w:sz w:val="24"/>
          <w:szCs w:val="24"/>
        </w:rPr>
        <w:t>ón de diversas expresiones mediáticas que en diversos contextos socioculturales y territoriales expresan intercambios simbólicos relacionados con las relaciones sociales y políticas de género.</w:t>
      </w:r>
      <w:r w:rsidR="00B879D3" w:rsidRPr="00A13781">
        <w:rPr>
          <w:rFonts w:ascii="Arial" w:hAnsi="Arial" w:cs="Arial"/>
          <w:sz w:val="24"/>
          <w:szCs w:val="24"/>
        </w:rPr>
        <w:t xml:space="preserve"> </w:t>
      </w:r>
    </w:p>
    <w:p w:rsidR="00DC084E" w:rsidRPr="00A13781" w:rsidRDefault="00DC084E" w:rsidP="00B62642">
      <w:pPr>
        <w:spacing w:line="360" w:lineRule="auto"/>
        <w:jc w:val="both"/>
        <w:rPr>
          <w:rFonts w:ascii="Arial" w:hAnsi="Arial" w:cs="Arial"/>
          <w:sz w:val="24"/>
          <w:szCs w:val="24"/>
        </w:rPr>
      </w:pPr>
      <w:r w:rsidRPr="00A13781">
        <w:rPr>
          <w:rFonts w:ascii="Arial" w:hAnsi="Arial" w:cs="Arial"/>
          <w:sz w:val="24"/>
          <w:szCs w:val="24"/>
          <w:lang w:val="es-ES_tradnl"/>
        </w:rPr>
        <w:t>L</w:t>
      </w:r>
      <w:r w:rsidRPr="00A13781">
        <w:rPr>
          <w:rFonts w:ascii="Arial" w:hAnsi="Arial" w:cs="Arial"/>
          <w:sz w:val="24"/>
          <w:szCs w:val="24"/>
        </w:rPr>
        <w:t>as preguntas centrales que intenta desarrollar la ponencia son las siguientes</w:t>
      </w:r>
      <w:proofErr w:type="gramStart"/>
      <w:r w:rsidRPr="00A13781">
        <w:rPr>
          <w:rFonts w:ascii="Arial" w:hAnsi="Arial" w:cs="Arial"/>
          <w:sz w:val="24"/>
          <w:szCs w:val="24"/>
        </w:rPr>
        <w:t>::¿</w:t>
      </w:r>
      <w:proofErr w:type="spellStart"/>
      <w:proofErr w:type="gramEnd"/>
      <w:r w:rsidRPr="00A13781">
        <w:rPr>
          <w:rFonts w:ascii="Arial" w:hAnsi="Arial" w:cs="Arial"/>
          <w:sz w:val="24"/>
          <w:szCs w:val="24"/>
        </w:rPr>
        <w:t>Cúales</w:t>
      </w:r>
      <w:proofErr w:type="spellEnd"/>
      <w:r w:rsidRPr="00A13781">
        <w:rPr>
          <w:rFonts w:ascii="Arial" w:hAnsi="Arial" w:cs="Arial"/>
          <w:sz w:val="24"/>
          <w:szCs w:val="24"/>
        </w:rPr>
        <w:t xml:space="preserve"> son y cómo se traducen los intercambios simbólicos y materiales de las relaciones de género en expresiones mediáticas y periodísticas? ¿Cuáles son las configuraciones de poder basadas en la desigualdad socio-espacial, cultural y de género que se constituyen en contextos favorables para el despliegue de expresiones comunicacionales de la violencia de género</w:t>
      </w:r>
      <w:proofErr w:type="gramStart"/>
      <w:r w:rsidRPr="00A13781">
        <w:rPr>
          <w:rFonts w:ascii="Arial" w:hAnsi="Arial" w:cs="Arial"/>
          <w:sz w:val="24"/>
          <w:szCs w:val="24"/>
        </w:rPr>
        <w:t>?¿</w:t>
      </w:r>
      <w:proofErr w:type="gramEnd"/>
      <w:r w:rsidRPr="00A13781">
        <w:rPr>
          <w:rFonts w:ascii="Arial" w:hAnsi="Arial" w:cs="Arial"/>
          <w:sz w:val="24"/>
          <w:szCs w:val="24"/>
        </w:rPr>
        <w:t>cuáles son sus significados sociales?¿qué emergentes culturales y comunicacionales cuestionarían dichas expresiones mediáticas?</w:t>
      </w:r>
    </w:p>
    <w:p w:rsidR="00B879D3" w:rsidRPr="00A13781" w:rsidRDefault="00B879D3" w:rsidP="00B62642">
      <w:pPr>
        <w:spacing w:line="360" w:lineRule="auto"/>
        <w:jc w:val="both"/>
        <w:rPr>
          <w:rFonts w:ascii="Arial" w:hAnsi="Arial" w:cs="Arial"/>
          <w:sz w:val="24"/>
          <w:szCs w:val="24"/>
        </w:rPr>
      </w:pPr>
      <w:r w:rsidRPr="00A13781">
        <w:rPr>
          <w:rFonts w:ascii="Arial" w:hAnsi="Arial" w:cs="Arial"/>
          <w:sz w:val="24"/>
          <w:szCs w:val="24"/>
        </w:rPr>
        <w:t>A partir de un recorrido conceptual referido al abordaje que distintos autores efectuaron de las relaciones sociales de género, comprendidas como relaciones inmersas en intercambios simbólicos y materiales, se exponen algunos ejemplos de sus expresiones mediáticas.</w:t>
      </w:r>
    </w:p>
    <w:p w:rsidR="00DC084E" w:rsidRPr="00A13781" w:rsidRDefault="00DC084E" w:rsidP="00B62642">
      <w:pPr>
        <w:spacing w:line="360" w:lineRule="auto"/>
        <w:jc w:val="both"/>
        <w:rPr>
          <w:rFonts w:ascii="Arial" w:hAnsi="Arial" w:cs="Arial"/>
          <w:sz w:val="24"/>
          <w:szCs w:val="24"/>
        </w:rPr>
      </w:pPr>
    </w:p>
    <w:p w:rsidR="00DC084E" w:rsidRPr="00A13781" w:rsidRDefault="00DC084E" w:rsidP="00B62642">
      <w:pPr>
        <w:spacing w:line="360" w:lineRule="auto"/>
        <w:jc w:val="both"/>
        <w:rPr>
          <w:rFonts w:ascii="Arial" w:hAnsi="Arial" w:cs="Arial"/>
          <w:sz w:val="24"/>
          <w:szCs w:val="24"/>
        </w:rPr>
      </w:pPr>
      <w:r w:rsidRPr="00A13781">
        <w:rPr>
          <w:rFonts w:ascii="Arial" w:hAnsi="Arial" w:cs="Arial"/>
          <w:b/>
          <w:sz w:val="24"/>
          <w:szCs w:val="24"/>
        </w:rPr>
        <w:lastRenderedPageBreak/>
        <w:t>Palabras Clave</w:t>
      </w:r>
      <w:r w:rsidRPr="00A13781">
        <w:rPr>
          <w:rFonts w:ascii="Arial" w:hAnsi="Arial" w:cs="Arial"/>
          <w:sz w:val="24"/>
          <w:szCs w:val="24"/>
        </w:rPr>
        <w:t>: Intercambios Simbólicos, Relaciones Sociales de Género, Medios de Comunicación</w:t>
      </w:r>
    </w:p>
    <w:p w:rsidR="00B879D3" w:rsidRPr="00A13781" w:rsidRDefault="0071344D" w:rsidP="00B62642">
      <w:pPr>
        <w:spacing w:line="360" w:lineRule="auto"/>
        <w:jc w:val="both"/>
        <w:rPr>
          <w:rFonts w:ascii="Arial" w:hAnsi="Arial" w:cs="Arial"/>
          <w:sz w:val="24"/>
          <w:szCs w:val="24"/>
        </w:rPr>
      </w:pPr>
      <w:r w:rsidRPr="00A13781">
        <w:rPr>
          <w:rFonts w:ascii="Arial" w:hAnsi="Arial" w:cs="Arial"/>
          <w:i/>
          <w:sz w:val="24"/>
          <w:szCs w:val="24"/>
        </w:rPr>
        <w:t xml:space="preserve"> </w:t>
      </w:r>
      <w:r w:rsidR="00B879D3" w:rsidRPr="00A13781">
        <w:rPr>
          <w:rFonts w:ascii="Arial" w:hAnsi="Arial" w:cs="Arial"/>
          <w:i/>
          <w:sz w:val="24"/>
          <w:szCs w:val="24"/>
        </w:rPr>
        <w:t>“Cruel en el cartel, la pro</w:t>
      </w:r>
      <w:r w:rsidR="008E417D" w:rsidRPr="00A13781">
        <w:rPr>
          <w:rFonts w:ascii="Arial" w:hAnsi="Arial" w:cs="Arial"/>
          <w:i/>
          <w:sz w:val="24"/>
          <w:szCs w:val="24"/>
        </w:rPr>
        <w:t>paganda manda cruel en el cartel y en el fetiche de una afiche de papel se vende la ilusión, se rifa el corazón</w:t>
      </w:r>
      <w:r w:rsidR="00704F68" w:rsidRPr="00A13781">
        <w:rPr>
          <w:rFonts w:ascii="Arial" w:hAnsi="Arial" w:cs="Arial"/>
          <w:i/>
          <w:sz w:val="24"/>
          <w:szCs w:val="24"/>
        </w:rPr>
        <w:t>…</w:t>
      </w:r>
      <w:r w:rsidR="008E417D" w:rsidRPr="00A13781">
        <w:rPr>
          <w:rFonts w:ascii="Arial" w:hAnsi="Arial" w:cs="Arial"/>
          <w:i/>
          <w:sz w:val="24"/>
          <w:szCs w:val="24"/>
        </w:rPr>
        <w:t>”</w:t>
      </w:r>
      <w:r w:rsidR="008E417D" w:rsidRPr="00A13781">
        <w:rPr>
          <w:rFonts w:ascii="Arial" w:hAnsi="Arial" w:cs="Arial"/>
          <w:sz w:val="24"/>
          <w:szCs w:val="24"/>
        </w:rPr>
        <w:t xml:space="preserve"> (Tango Afiches-Roberto Goyeneche)</w:t>
      </w:r>
    </w:p>
    <w:p w:rsidR="00DD351B" w:rsidRPr="00A13781" w:rsidRDefault="00DD351B" w:rsidP="00B62642">
      <w:pPr>
        <w:spacing w:line="360" w:lineRule="auto"/>
        <w:jc w:val="both"/>
        <w:rPr>
          <w:rFonts w:ascii="Arial" w:hAnsi="Arial" w:cs="Arial"/>
          <w:b/>
          <w:sz w:val="24"/>
          <w:szCs w:val="24"/>
        </w:rPr>
      </w:pPr>
      <w:r w:rsidRPr="00A13781">
        <w:rPr>
          <w:rFonts w:ascii="Arial" w:hAnsi="Arial" w:cs="Arial"/>
          <w:b/>
          <w:sz w:val="24"/>
          <w:szCs w:val="24"/>
        </w:rPr>
        <w:t>La política y la economía en relación al género: algunas cuestiones y debates</w:t>
      </w:r>
    </w:p>
    <w:p w:rsidR="00DD351B" w:rsidRPr="00A13781" w:rsidRDefault="007C0160" w:rsidP="00B62642">
      <w:pPr>
        <w:spacing w:line="360" w:lineRule="auto"/>
        <w:jc w:val="both"/>
        <w:rPr>
          <w:rFonts w:ascii="Arial" w:hAnsi="Arial" w:cs="Arial"/>
          <w:sz w:val="24"/>
          <w:szCs w:val="24"/>
        </w:rPr>
      </w:pPr>
      <w:r w:rsidRPr="00A13781">
        <w:rPr>
          <w:rFonts w:ascii="Arial" w:hAnsi="Arial" w:cs="Arial"/>
          <w:sz w:val="24"/>
          <w:szCs w:val="24"/>
        </w:rPr>
        <w:t>El artí</w:t>
      </w:r>
      <w:r w:rsidR="00DD351B" w:rsidRPr="00A13781">
        <w:rPr>
          <w:rFonts w:ascii="Arial" w:hAnsi="Arial" w:cs="Arial"/>
          <w:sz w:val="24"/>
          <w:szCs w:val="24"/>
        </w:rPr>
        <w:t xml:space="preserve">culo de Judith Butler “El marxismo y lo meramente cultural”  (1997) propuso dos proposiciones básicas como ejes de un intercambio polémico con Nancy </w:t>
      </w:r>
      <w:proofErr w:type="spellStart"/>
      <w:r w:rsidR="00DD351B" w:rsidRPr="00A13781">
        <w:rPr>
          <w:rFonts w:ascii="Arial" w:hAnsi="Arial" w:cs="Arial"/>
          <w:sz w:val="24"/>
          <w:szCs w:val="24"/>
        </w:rPr>
        <w:t>Fraser</w:t>
      </w:r>
      <w:proofErr w:type="spellEnd"/>
      <w:r w:rsidR="00DD351B" w:rsidRPr="00A13781">
        <w:rPr>
          <w:rFonts w:ascii="Arial" w:hAnsi="Arial" w:cs="Arial"/>
          <w:sz w:val="24"/>
          <w:szCs w:val="24"/>
        </w:rPr>
        <w:t xml:space="preserve"> que excedieron en sus formulaciones originales a ambos  autoras como únicas protagonistas del mismo. Butler a la vez que cuestionaba la postura marxista ortodoxa, -que rechazaba como reduccionistas a los enfoques considerados culturalistas-;  también lo hacía con el enfoque marxista  que relegaba y despreciaba a los nuevos movimientos sociales ya que, -aducían éstos-,  la  preocupación de dichos movimientos por las cuestiones “meramente culturales” suponían una fragmentación culturalista e </w:t>
      </w:r>
      <w:proofErr w:type="spellStart"/>
      <w:r w:rsidR="00DD351B" w:rsidRPr="00A13781">
        <w:rPr>
          <w:rFonts w:ascii="Arial" w:hAnsi="Arial" w:cs="Arial"/>
          <w:sz w:val="24"/>
          <w:szCs w:val="24"/>
        </w:rPr>
        <w:t>identitaria</w:t>
      </w:r>
      <w:proofErr w:type="spellEnd"/>
      <w:r w:rsidR="00DD351B" w:rsidRPr="00A13781">
        <w:rPr>
          <w:rFonts w:ascii="Arial" w:hAnsi="Arial" w:cs="Arial"/>
          <w:sz w:val="24"/>
          <w:szCs w:val="24"/>
        </w:rPr>
        <w:t xml:space="preserve"> de dichos movimientos en detrimento de</w:t>
      </w:r>
      <w:r w:rsidRPr="00A13781">
        <w:rPr>
          <w:rFonts w:ascii="Arial" w:hAnsi="Arial" w:cs="Arial"/>
          <w:sz w:val="24"/>
          <w:szCs w:val="24"/>
        </w:rPr>
        <w:t xml:space="preserve">l universalismo marxista. Ello </w:t>
      </w:r>
      <w:r w:rsidR="00DD351B" w:rsidRPr="00A13781">
        <w:rPr>
          <w:rFonts w:ascii="Arial" w:hAnsi="Arial" w:cs="Arial"/>
          <w:sz w:val="24"/>
          <w:szCs w:val="24"/>
        </w:rPr>
        <w:t>era el resultado de considerar a la cultura, sostenía Butler, como un epifenómeno de la economía.</w:t>
      </w:r>
    </w:p>
    <w:p w:rsidR="00DD351B" w:rsidRPr="00A13781" w:rsidRDefault="00DD351B" w:rsidP="00B62642">
      <w:pPr>
        <w:spacing w:line="360" w:lineRule="auto"/>
        <w:jc w:val="both"/>
        <w:rPr>
          <w:rFonts w:ascii="Arial" w:hAnsi="Arial" w:cs="Arial"/>
          <w:sz w:val="24"/>
          <w:szCs w:val="24"/>
        </w:rPr>
      </w:pPr>
      <w:r w:rsidRPr="00A13781">
        <w:rPr>
          <w:rFonts w:ascii="Arial" w:hAnsi="Arial" w:cs="Arial"/>
          <w:sz w:val="24"/>
          <w:szCs w:val="24"/>
        </w:rPr>
        <w:t xml:space="preserve">Butler sostendrá que la separación entre cuestiones culturales y económicas era ajena a las nuevas concepciones marxistas, como las de Stuart Hall, Raymond Williams y </w:t>
      </w:r>
      <w:proofErr w:type="spellStart"/>
      <w:r w:rsidRPr="00A13781">
        <w:rPr>
          <w:rFonts w:ascii="Arial" w:hAnsi="Arial" w:cs="Arial"/>
          <w:sz w:val="24"/>
          <w:szCs w:val="24"/>
        </w:rPr>
        <w:t>Gayatri</w:t>
      </w:r>
      <w:proofErr w:type="spellEnd"/>
      <w:r w:rsidRPr="00A13781">
        <w:rPr>
          <w:rFonts w:ascii="Arial" w:hAnsi="Arial" w:cs="Arial"/>
          <w:sz w:val="24"/>
          <w:szCs w:val="24"/>
        </w:rPr>
        <w:t xml:space="preserve"> </w:t>
      </w:r>
      <w:proofErr w:type="spellStart"/>
      <w:r w:rsidRPr="00A13781">
        <w:rPr>
          <w:rFonts w:ascii="Arial" w:hAnsi="Arial" w:cs="Arial"/>
          <w:sz w:val="24"/>
          <w:szCs w:val="24"/>
        </w:rPr>
        <w:t>Spivak</w:t>
      </w:r>
      <w:proofErr w:type="spellEnd"/>
      <w:r w:rsidRPr="00A13781">
        <w:rPr>
          <w:rFonts w:ascii="Arial" w:hAnsi="Arial" w:cs="Arial"/>
          <w:sz w:val="24"/>
          <w:szCs w:val="24"/>
        </w:rPr>
        <w:t xml:space="preserve">, en quiénes lo cultural aparece expresando ya las desigualdades y conflictos clasistas. Para Butler, Nancy </w:t>
      </w:r>
      <w:proofErr w:type="spellStart"/>
      <w:r w:rsidRPr="00A13781">
        <w:rPr>
          <w:rFonts w:ascii="Arial" w:hAnsi="Arial" w:cs="Arial"/>
          <w:sz w:val="24"/>
          <w:szCs w:val="24"/>
        </w:rPr>
        <w:t>Fraser</w:t>
      </w:r>
      <w:proofErr w:type="spellEnd"/>
      <w:r w:rsidRPr="00A13781">
        <w:rPr>
          <w:rFonts w:ascii="Arial" w:hAnsi="Arial" w:cs="Arial"/>
          <w:sz w:val="24"/>
          <w:szCs w:val="24"/>
        </w:rPr>
        <w:t xml:space="preserve"> participaría de un error opuesto pero complementario al marxismo ortodoxo al considerar las cuestiones de género y culturales separadas del ámbito económico. Sus “políticas de reconocimiento” hacia las cuestiones de </w:t>
      </w:r>
      <w:r w:rsidR="00B42AC9" w:rsidRPr="00A13781">
        <w:rPr>
          <w:rFonts w:ascii="Arial" w:hAnsi="Arial" w:cs="Arial"/>
          <w:sz w:val="24"/>
          <w:szCs w:val="24"/>
        </w:rPr>
        <w:t>género y culturales no harían má</w:t>
      </w:r>
      <w:r w:rsidRPr="00A13781">
        <w:rPr>
          <w:rFonts w:ascii="Arial" w:hAnsi="Arial" w:cs="Arial"/>
          <w:sz w:val="24"/>
          <w:szCs w:val="24"/>
        </w:rPr>
        <w:t xml:space="preserve">s que participar de la criticada escisión. Según Butler, la autora ubicaría en algunos casos a grupos en lucha en el ámbito de la economía, y a otros como los de género, en el ámbito de la cultura. Entre estos últimos se situarían las luchas de </w:t>
      </w:r>
      <w:proofErr w:type="spellStart"/>
      <w:r w:rsidRPr="00A13781">
        <w:rPr>
          <w:rFonts w:ascii="Arial" w:hAnsi="Arial" w:cs="Arial"/>
          <w:sz w:val="24"/>
          <w:szCs w:val="24"/>
        </w:rPr>
        <w:t>gays</w:t>
      </w:r>
      <w:proofErr w:type="spellEnd"/>
      <w:r w:rsidRPr="00A13781">
        <w:rPr>
          <w:rFonts w:ascii="Arial" w:hAnsi="Arial" w:cs="Arial"/>
          <w:sz w:val="24"/>
          <w:szCs w:val="24"/>
        </w:rPr>
        <w:t xml:space="preserve">, homosexuales y lesbianas.  Los homosexuales al distribuirse de manera transversal a las clases sociales serían -en la interpretación que Butler hacía de </w:t>
      </w:r>
      <w:proofErr w:type="spellStart"/>
      <w:r w:rsidRPr="00A13781">
        <w:rPr>
          <w:rFonts w:ascii="Arial" w:hAnsi="Arial" w:cs="Arial"/>
          <w:sz w:val="24"/>
          <w:szCs w:val="24"/>
        </w:rPr>
        <w:t>Fraser</w:t>
      </w:r>
      <w:proofErr w:type="spellEnd"/>
      <w:r w:rsidRPr="00A13781">
        <w:rPr>
          <w:rFonts w:ascii="Arial" w:hAnsi="Arial" w:cs="Arial"/>
          <w:sz w:val="24"/>
          <w:szCs w:val="24"/>
        </w:rPr>
        <w:t xml:space="preserve">-, pasibles de una “política de reconocimiento cultural” antes que objetos de análisis de la economía política.  </w:t>
      </w:r>
      <w:r w:rsidRPr="00A13781">
        <w:rPr>
          <w:rFonts w:ascii="Arial" w:hAnsi="Arial" w:cs="Arial"/>
          <w:sz w:val="24"/>
          <w:szCs w:val="24"/>
        </w:rPr>
        <w:lastRenderedPageBreak/>
        <w:t xml:space="preserve">Butler se preguntaba refiriéndose a la supuesta postura de </w:t>
      </w:r>
      <w:proofErr w:type="spellStart"/>
      <w:r w:rsidRPr="00A13781">
        <w:rPr>
          <w:rFonts w:ascii="Arial" w:hAnsi="Arial" w:cs="Arial"/>
          <w:sz w:val="24"/>
          <w:szCs w:val="24"/>
        </w:rPr>
        <w:t>Fraser</w:t>
      </w:r>
      <w:proofErr w:type="spellEnd"/>
      <w:r w:rsidRPr="00A13781">
        <w:rPr>
          <w:rFonts w:ascii="Arial" w:hAnsi="Arial" w:cs="Arial"/>
          <w:sz w:val="24"/>
          <w:szCs w:val="24"/>
        </w:rPr>
        <w:t>: “¿</w:t>
      </w:r>
      <w:proofErr w:type="spellStart"/>
      <w:r w:rsidRPr="00A13781">
        <w:rPr>
          <w:rFonts w:ascii="Arial" w:hAnsi="Arial" w:cs="Arial"/>
          <w:sz w:val="24"/>
          <w:szCs w:val="24"/>
        </w:rPr>
        <w:t>porqué</w:t>
      </w:r>
      <w:proofErr w:type="spellEnd"/>
      <w:r w:rsidRPr="00A13781">
        <w:rPr>
          <w:rFonts w:ascii="Arial" w:hAnsi="Arial" w:cs="Arial"/>
          <w:sz w:val="24"/>
          <w:szCs w:val="24"/>
        </w:rPr>
        <w:t xml:space="preserve"> un movimiento interesado en criticar y transformar los modos </w:t>
      </w:r>
      <w:r w:rsidR="007C0160" w:rsidRPr="00A13781">
        <w:rPr>
          <w:rFonts w:ascii="Arial" w:hAnsi="Arial" w:cs="Arial"/>
          <w:sz w:val="24"/>
          <w:szCs w:val="24"/>
        </w:rPr>
        <w:t>en que la sexualidad es regulada</w:t>
      </w:r>
      <w:r w:rsidRPr="00A13781">
        <w:rPr>
          <w:rFonts w:ascii="Arial" w:hAnsi="Arial" w:cs="Arial"/>
          <w:sz w:val="24"/>
          <w:szCs w:val="24"/>
        </w:rPr>
        <w:t xml:space="preserve"> socialmente no puede ser entendido como central para el funcionamiento de la economía política?” (Butler, 1997; </w:t>
      </w:r>
      <w:proofErr w:type="spellStart"/>
      <w:r w:rsidRPr="00A13781">
        <w:rPr>
          <w:rFonts w:ascii="Arial" w:hAnsi="Arial" w:cs="Arial"/>
          <w:sz w:val="24"/>
          <w:szCs w:val="24"/>
        </w:rPr>
        <w:t>Op</w:t>
      </w:r>
      <w:proofErr w:type="spellEnd"/>
      <w:r w:rsidRPr="00A13781">
        <w:rPr>
          <w:rFonts w:ascii="Arial" w:hAnsi="Arial" w:cs="Arial"/>
          <w:sz w:val="24"/>
          <w:szCs w:val="24"/>
        </w:rPr>
        <w:t xml:space="preserve"> Cit. pp115)</w:t>
      </w:r>
    </w:p>
    <w:p w:rsidR="00DD351B" w:rsidRPr="00A13781" w:rsidRDefault="00DD351B" w:rsidP="00B62642">
      <w:pPr>
        <w:spacing w:line="360" w:lineRule="auto"/>
        <w:jc w:val="both"/>
        <w:rPr>
          <w:rFonts w:ascii="Arial" w:hAnsi="Arial" w:cs="Arial"/>
          <w:sz w:val="24"/>
          <w:szCs w:val="24"/>
        </w:rPr>
      </w:pPr>
      <w:r w:rsidRPr="00A13781">
        <w:rPr>
          <w:rFonts w:ascii="Arial" w:hAnsi="Arial" w:cs="Arial"/>
          <w:sz w:val="24"/>
          <w:szCs w:val="24"/>
        </w:rPr>
        <w:t xml:space="preserve"> Butler consideraba el marxismo clásico al resaltar la estrecha relación que establecía entre economía y cultura en los textos clásicos de Marx y Engels como “La Sagrada Familia” y “El origen de la familia, la propiedad privada y el estado”. En ellos la cultura y la economía mantenían una estrecha relación de funcionamiento por medio de la importancia que asignaba el marxismo a la reproducción de las condiciones  vitales por medio de la familia -devenida patriarcal  y </w:t>
      </w:r>
      <w:proofErr w:type="spellStart"/>
      <w:r w:rsidRPr="00A13781">
        <w:rPr>
          <w:rFonts w:ascii="Arial" w:hAnsi="Arial" w:cs="Arial"/>
          <w:sz w:val="24"/>
          <w:szCs w:val="24"/>
        </w:rPr>
        <w:t>monogámica</w:t>
      </w:r>
      <w:proofErr w:type="spellEnd"/>
      <w:r w:rsidRPr="00A13781">
        <w:rPr>
          <w:rFonts w:ascii="Arial" w:hAnsi="Arial" w:cs="Arial"/>
          <w:sz w:val="24"/>
          <w:szCs w:val="24"/>
        </w:rPr>
        <w:t xml:space="preserve"> en el capitalismo moderno- y encargada de la división sexual del trabajo. La autora deja entrever que este enfoque no escinde la economía de la cultura en la medida que resalta la primacía del orden heterosexual y patriarcal como institución cultural complementaria y funcional para la reproducción de las relaciones sociales capitalistas. Las relaciones de género y lo sexual, entonces, pueden ser motivo legítimo de indagación y es un error suponerlas, como en las visiones ortodoxas, separadas de la economía o como subordinadas a éstas. </w:t>
      </w:r>
    </w:p>
    <w:p w:rsidR="00DD351B" w:rsidRPr="00A13781" w:rsidRDefault="00DD351B" w:rsidP="00B62642">
      <w:pPr>
        <w:spacing w:line="360" w:lineRule="auto"/>
        <w:jc w:val="both"/>
        <w:rPr>
          <w:rFonts w:ascii="Arial" w:hAnsi="Arial" w:cs="Arial"/>
          <w:sz w:val="24"/>
          <w:szCs w:val="24"/>
        </w:rPr>
      </w:pPr>
      <w:r w:rsidRPr="00A13781">
        <w:rPr>
          <w:rFonts w:ascii="Arial" w:hAnsi="Arial" w:cs="Arial"/>
          <w:sz w:val="24"/>
          <w:szCs w:val="24"/>
        </w:rPr>
        <w:t>Las aclaraciones y respuest</w:t>
      </w:r>
      <w:r w:rsidR="0044750B" w:rsidRPr="00A13781">
        <w:rPr>
          <w:rFonts w:ascii="Arial" w:hAnsi="Arial" w:cs="Arial"/>
          <w:sz w:val="24"/>
          <w:szCs w:val="24"/>
        </w:rPr>
        <w:t xml:space="preserve">as por parte de </w:t>
      </w:r>
      <w:proofErr w:type="spellStart"/>
      <w:r w:rsidR="0044750B" w:rsidRPr="00A13781">
        <w:rPr>
          <w:rFonts w:ascii="Arial" w:hAnsi="Arial" w:cs="Arial"/>
          <w:sz w:val="24"/>
          <w:szCs w:val="24"/>
        </w:rPr>
        <w:t>Fraser</w:t>
      </w:r>
      <w:proofErr w:type="spellEnd"/>
      <w:r w:rsidR="0044750B" w:rsidRPr="00A13781">
        <w:rPr>
          <w:rFonts w:ascii="Arial" w:hAnsi="Arial" w:cs="Arial"/>
          <w:sz w:val="24"/>
          <w:szCs w:val="24"/>
        </w:rPr>
        <w:t xml:space="preserve"> a las crí</w:t>
      </w:r>
      <w:r w:rsidRPr="00A13781">
        <w:rPr>
          <w:rFonts w:ascii="Arial" w:hAnsi="Arial" w:cs="Arial"/>
          <w:sz w:val="24"/>
          <w:szCs w:val="24"/>
        </w:rPr>
        <w:t xml:space="preserve">ticas de Butler no se harían esperar. Las mismas irían en el sentido de considerar relaciones de afinidad entre la economía y la cultura, más que de  determinaciones o de complementaciones funcionales entre ambas, </w:t>
      </w:r>
      <w:proofErr w:type="spellStart"/>
      <w:r w:rsidRPr="00A13781">
        <w:rPr>
          <w:rFonts w:ascii="Arial" w:hAnsi="Arial" w:cs="Arial"/>
          <w:sz w:val="24"/>
          <w:szCs w:val="24"/>
        </w:rPr>
        <w:t>atribuídas</w:t>
      </w:r>
      <w:proofErr w:type="spellEnd"/>
      <w:r w:rsidRPr="00A13781">
        <w:rPr>
          <w:rFonts w:ascii="Arial" w:hAnsi="Arial" w:cs="Arial"/>
          <w:sz w:val="24"/>
          <w:szCs w:val="24"/>
        </w:rPr>
        <w:t xml:space="preserve"> en este caso a la postura de Butler. En la perspectiva asumida por </w:t>
      </w:r>
      <w:proofErr w:type="spellStart"/>
      <w:r w:rsidRPr="00A13781">
        <w:rPr>
          <w:rFonts w:ascii="Arial" w:hAnsi="Arial" w:cs="Arial"/>
          <w:sz w:val="24"/>
          <w:szCs w:val="24"/>
        </w:rPr>
        <w:t>Fraser</w:t>
      </w:r>
      <w:proofErr w:type="spellEnd"/>
      <w:r w:rsidRPr="00A13781">
        <w:rPr>
          <w:rFonts w:ascii="Arial" w:hAnsi="Arial" w:cs="Arial"/>
          <w:sz w:val="24"/>
          <w:szCs w:val="24"/>
        </w:rPr>
        <w:t xml:space="preserve"> en “</w:t>
      </w:r>
      <w:proofErr w:type="spellStart"/>
      <w:r w:rsidRPr="00A13781">
        <w:rPr>
          <w:rFonts w:ascii="Arial" w:hAnsi="Arial" w:cs="Arial"/>
          <w:sz w:val="24"/>
          <w:szCs w:val="24"/>
        </w:rPr>
        <w:t>Justice</w:t>
      </w:r>
      <w:proofErr w:type="spellEnd"/>
      <w:r w:rsidRPr="00A13781">
        <w:rPr>
          <w:rFonts w:ascii="Arial" w:hAnsi="Arial" w:cs="Arial"/>
          <w:sz w:val="24"/>
          <w:szCs w:val="24"/>
        </w:rPr>
        <w:t xml:space="preserve"> Interruptus” (</w:t>
      </w:r>
      <w:proofErr w:type="spellStart"/>
      <w:r w:rsidRPr="00A13781">
        <w:rPr>
          <w:rFonts w:ascii="Arial" w:hAnsi="Arial" w:cs="Arial"/>
          <w:sz w:val="24"/>
          <w:szCs w:val="24"/>
        </w:rPr>
        <w:t>Fraser</w:t>
      </w:r>
      <w:proofErr w:type="spellEnd"/>
      <w:r w:rsidRPr="00A13781">
        <w:rPr>
          <w:rFonts w:ascii="Arial" w:hAnsi="Arial" w:cs="Arial"/>
          <w:sz w:val="24"/>
          <w:szCs w:val="24"/>
        </w:rPr>
        <w:t>, 1997)  y como la misma autora expresa “las injusticias derivadas de la falta de reconocimiento son tan graves como las distributivas. Y no pueden ser reducidas a éstas”, aunque puedan tener consecuencias económicas. Tampoco, aclara, se precisa en esta perspectiva demostrar que las luchas por el reconocimiento representan una amenaza para el capitalismo para demostrar que son justas.  Pero a la vez, y esto constituyó también un punto importante de disenso, el lugar que ambas autoras asign</w:t>
      </w:r>
      <w:r w:rsidR="0044750B" w:rsidRPr="00A13781">
        <w:rPr>
          <w:rFonts w:ascii="Arial" w:hAnsi="Arial" w:cs="Arial"/>
          <w:sz w:val="24"/>
          <w:szCs w:val="24"/>
        </w:rPr>
        <w:t>ab</w:t>
      </w:r>
      <w:r w:rsidRPr="00A13781">
        <w:rPr>
          <w:rFonts w:ascii="Arial" w:hAnsi="Arial" w:cs="Arial"/>
          <w:sz w:val="24"/>
          <w:szCs w:val="24"/>
        </w:rPr>
        <w:t xml:space="preserve">an a la institución familiar en el capitalismo contemporáneo son diferentes. </w:t>
      </w:r>
      <w:proofErr w:type="spellStart"/>
      <w:r w:rsidRPr="00A13781">
        <w:rPr>
          <w:rFonts w:ascii="Arial" w:hAnsi="Arial" w:cs="Arial"/>
          <w:sz w:val="24"/>
          <w:szCs w:val="24"/>
        </w:rPr>
        <w:t>Fraser</w:t>
      </w:r>
      <w:proofErr w:type="spellEnd"/>
      <w:r w:rsidRPr="00A13781">
        <w:rPr>
          <w:rFonts w:ascii="Arial" w:hAnsi="Arial" w:cs="Arial"/>
          <w:sz w:val="24"/>
          <w:szCs w:val="24"/>
        </w:rPr>
        <w:t xml:space="preserve"> consideraba que la relación entre familia y capitalismo se ha modificado desde sus orígenes, conformando vínculos variables  y que reconocen fracturas y continuidades </w:t>
      </w:r>
      <w:r w:rsidRPr="00A13781">
        <w:rPr>
          <w:rFonts w:ascii="Arial" w:hAnsi="Arial" w:cs="Arial"/>
          <w:sz w:val="24"/>
          <w:szCs w:val="24"/>
        </w:rPr>
        <w:lastRenderedPageBreak/>
        <w:t xml:space="preserve">entre sus diversos niveles. En su perspectiva el ámbito de la materialidad no debe confundirse con el económico, ya que el primero comporta un conjunto de prácticas sociales, normas y creencias que si bien no se hallan directamente relacionados con la transformación de la naturaleza, son tan importantes para la reproducción de las relaciones vitales como la economía misma. Esta constatación le permite la distinción, criticada por Butler, entre políticas distributivas y políticas de reconocimiento, y otorgando a estas últimas una importancia equivalente a la primera pero poseedora de un status propio y autónomo que Butler llega a calificar como “meramente cultural” según el análisis que realiza </w:t>
      </w:r>
      <w:proofErr w:type="spellStart"/>
      <w:r w:rsidRPr="00A13781">
        <w:rPr>
          <w:rFonts w:ascii="Arial" w:hAnsi="Arial" w:cs="Arial"/>
          <w:sz w:val="24"/>
          <w:szCs w:val="24"/>
        </w:rPr>
        <w:t>Fraser</w:t>
      </w:r>
      <w:proofErr w:type="spellEnd"/>
      <w:r w:rsidRPr="00A13781">
        <w:rPr>
          <w:rFonts w:ascii="Arial" w:hAnsi="Arial" w:cs="Arial"/>
          <w:sz w:val="24"/>
          <w:szCs w:val="24"/>
        </w:rPr>
        <w:t>. Las relaciones de género, desde esta última perspectiva, no quedan subsumidas en las relaciones económicas del capitalismo tardío, sino que conforman un espacio de confrontación por el reconocimiento, que guarda vínculos variables, aunque de afinidad, con la reproducción de las relaciones económicas y materiales. La “familia normativa” h</w:t>
      </w:r>
      <w:r w:rsidR="0044750B" w:rsidRPr="00A13781">
        <w:rPr>
          <w:rFonts w:ascii="Arial" w:hAnsi="Arial" w:cs="Arial"/>
          <w:sz w:val="24"/>
          <w:szCs w:val="24"/>
        </w:rPr>
        <w:t>eterosexual (</w:t>
      </w:r>
      <w:proofErr w:type="spellStart"/>
      <w:r w:rsidR="0044750B" w:rsidRPr="00A13781">
        <w:rPr>
          <w:rFonts w:ascii="Arial" w:hAnsi="Arial" w:cs="Arial"/>
          <w:sz w:val="24"/>
          <w:szCs w:val="24"/>
        </w:rPr>
        <w:t>Rubin</w:t>
      </w:r>
      <w:proofErr w:type="spellEnd"/>
      <w:r w:rsidR="0044750B" w:rsidRPr="00A13781">
        <w:rPr>
          <w:rFonts w:ascii="Arial" w:hAnsi="Arial" w:cs="Arial"/>
          <w:sz w:val="24"/>
          <w:szCs w:val="24"/>
        </w:rPr>
        <w:t>, 1989</w:t>
      </w:r>
      <w:r w:rsidRPr="00A13781">
        <w:rPr>
          <w:rFonts w:ascii="Arial" w:hAnsi="Arial" w:cs="Arial"/>
          <w:sz w:val="24"/>
          <w:szCs w:val="24"/>
        </w:rPr>
        <w:t xml:space="preserve">)  aparece entonces desde esta perspectiva también como una institución que podría ser considerada manteniendo relaciones de afinidad con las necesidades variables de la reproducción del poder socioeconómico y político. En efecto, si bien la familia </w:t>
      </w:r>
      <w:proofErr w:type="spellStart"/>
      <w:r w:rsidRPr="00A13781">
        <w:rPr>
          <w:rFonts w:ascii="Arial" w:hAnsi="Arial" w:cs="Arial"/>
          <w:sz w:val="24"/>
          <w:szCs w:val="24"/>
        </w:rPr>
        <w:t>monogámica</w:t>
      </w:r>
      <w:proofErr w:type="spellEnd"/>
      <w:r w:rsidRPr="00A13781">
        <w:rPr>
          <w:rFonts w:ascii="Arial" w:hAnsi="Arial" w:cs="Arial"/>
          <w:sz w:val="24"/>
          <w:szCs w:val="24"/>
        </w:rPr>
        <w:t xml:space="preserve"> y heterosexual se sigue manteniendo como institución central normativa que regula las relaciones de género, su primacía absoluta ha dado paso durante las últimas décadas  a la emergencia de nuevos modos de regular las conductas sexuales y afectivas. El anacronismo, por lo tanto, aducía </w:t>
      </w:r>
      <w:proofErr w:type="spellStart"/>
      <w:r w:rsidRPr="00A13781">
        <w:rPr>
          <w:rFonts w:ascii="Arial" w:hAnsi="Arial" w:cs="Arial"/>
          <w:sz w:val="24"/>
          <w:szCs w:val="24"/>
        </w:rPr>
        <w:t>Fraser</w:t>
      </w:r>
      <w:proofErr w:type="spellEnd"/>
      <w:r w:rsidRPr="00A13781">
        <w:rPr>
          <w:rFonts w:ascii="Arial" w:hAnsi="Arial" w:cs="Arial"/>
          <w:sz w:val="24"/>
          <w:szCs w:val="24"/>
        </w:rPr>
        <w:t>, puede resultar tanto del desconocimiento-des reconocimiento de la emergencia de estas nuevas formas como así también de una sobrevaloración de un tipo específico de relaciones de género y familiares en relación a la reproducción de las relaciones sociales de producción.</w:t>
      </w:r>
    </w:p>
    <w:p w:rsidR="00DD351B" w:rsidRPr="00A13781" w:rsidRDefault="00DD351B" w:rsidP="00B62642">
      <w:pPr>
        <w:spacing w:line="360" w:lineRule="auto"/>
        <w:jc w:val="both"/>
        <w:rPr>
          <w:rFonts w:ascii="Arial" w:hAnsi="Arial" w:cs="Arial"/>
          <w:sz w:val="24"/>
          <w:szCs w:val="24"/>
        </w:rPr>
      </w:pPr>
      <w:r w:rsidRPr="00A13781">
        <w:rPr>
          <w:rFonts w:ascii="Arial" w:hAnsi="Arial" w:cs="Arial"/>
          <w:sz w:val="24"/>
          <w:szCs w:val="24"/>
        </w:rPr>
        <w:t xml:space="preserve"> El reconocimiento a su vez de estas nuevas formas supone también la pregunta sobre quién o quiénes lo han de ejercer y de qué manera. El contexto histórico social específico que permite la emergencia de valoraciones y actores sociales que se posicionan frente a estas emergencias constituye un aspecto fundamental a tener en cuenta para su formulación. En este sentido adquiere relevancia –o pertinencia valorativa- la indagación por la incidencia de la introyección por medio de la educación de valores dominantes (Taylor, 1996)  </w:t>
      </w:r>
      <w:r w:rsidRPr="00A13781">
        <w:rPr>
          <w:rFonts w:ascii="Arial" w:hAnsi="Arial" w:cs="Arial"/>
          <w:sz w:val="24"/>
          <w:szCs w:val="24"/>
        </w:rPr>
        <w:lastRenderedPageBreak/>
        <w:t xml:space="preserve">en los grupos subyugados. La conformación de identidades sexuales y de género, de acuerdo a Taylor, es indisociable de las formas de reconocimiento social que se ponen en juego, rechazando el ideal </w:t>
      </w:r>
      <w:proofErr w:type="spellStart"/>
      <w:r w:rsidRPr="00A13781">
        <w:rPr>
          <w:rFonts w:ascii="Arial" w:hAnsi="Arial" w:cs="Arial"/>
          <w:sz w:val="24"/>
          <w:szCs w:val="24"/>
        </w:rPr>
        <w:t>monológico</w:t>
      </w:r>
      <w:proofErr w:type="spellEnd"/>
      <w:r w:rsidRPr="00A13781">
        <w:rPr>
          <w:rFonts w:ascii="Arial" w:hAnsi="Arial" w:cs="Arial"/>
          <w:sz w:val="24"/>
          <w:szCs w:val="24"/>
        </w:rPr>
        <w:t xml:space="preserve"> que confina las identidades a génesis predeterminadas socialmente. Por el contrario, las formas dialógicas de reconocimiento del conflicto internalizado y externo entre distintas posturas (y los poderes involucrados que esto conlleva) no se reducen solamente al lenguaje hablado (aunque esta forma pueda tener preeminencia para la argumentación racional) sino que abarca también diversos lenguajes expresivos. Desde este punto de vista podemos señalar que las identidades sexuales y afectivas serían también, según esta postura, “construcciones” dialógicas de reconocimiento y conflicto social, en donde la formación del yo (individual y colectivo) tienen lugar tanto en las esfera íntima como en la pública (Taylor, </w:t>
      </w:r>
      <w:proofErr w:type="spellStart"/>
      <w:r w:rsidRPr="00A13781">
        <w:rPr>
          <w:rFonts w:ascii="Arial" w:hAnsi="Arial" w:cs="Arial"/>
          <w:sz w:val="24"/>
          <w:szCs w:val="24"/>
        </w:rPr>
        <w:t>Op</w:t>
      </w:r>
      <w:proofErr w:type="spellEnd"/>
      <w:r w:rsidRPr="00A13781">
        <w:rPr>
          <w:rFonts w:ascii="Arial" w:hAnsi="Arial" w:cs="Arial"/>
          <w:sz w:val="24"/>
          <w:szCs w:val="24"/>
        </w:rPr>
        <w:t xml:space="preserve"> </w:t>
      </w:r>
      <w:proofErr w:type="spellStart"/>
      <w:r w:rsidRPr="00A13781">
        <w:rPr>
          <w:rFonts w:ascii="Arial" w:hAnsi="Arial" w:cs="Arial"/>
          <w:sz w:val="24"/>
          <w:szCs w:val="24"/>
        </w:rPr>
        <w:t>Cit</w:t>
      </w:r>
      <w:proofErr w:type="spellEnd"/>
      <w:r w:rsidRPr="00A13781">
        <w:rPr>
          <w:rFonts w:ascii="Arial" w:hAnsi="Arial" w:cs="Arial"/>
          <w:sz w:val="24"/>
          <w:szCs w:val="24"/>
        </w:rPr>
        <w:t xml:space="preserve"> </w:t>
      </w:r>
      <w:proofErr w:type="spellStart"/>
      <w:r w:rsidRPr="00A13781">
        <w:rPr>
          <w:rFonts w:ascii="Arial" w:hAnsi="Arial" w:cs="Arial"/>
          <w:sz w:val="24"/>
          <w:szCs w:val="24"/>
        </w:rPr>
        <w:t>pp</w:t>
      </w:r>
      <w:proofErr w:type="spellEnd"/>
      <w:r w:rsidRPr="00A13781">
        <w:rPr>
          <w:rFonts w:ascii="Arial" w:hAnsi="Arial" w:cs="Arial"/>
          <w:sz w:val="24"/>
          <w:szCs w:val="24"/>
        </w:rPr>
        <w:t xml:space="preserve"> 303). Ello ha dado lugar también a las “po</w:t>
      </w:r>
      <w:r w:rsidR="00931CEE" w:rsidRPr="00A13781">
        <w:rPr>
          <w:rFonts w:ascii="Arial" w:hAnsi="Arial" w:cs="Arial"/>
          <w:sz w:val="24"/>
          <w:szCs w:val="24"/>
        </w:rPr>
        <w:t>líticas de la diferencia” que au</w:t>
      </w:r>
      <w:r w:rsidRPr="00A13781">
        <w:rPr>
          <w:rFonts w:ascii="Arial" w:hAnsi="Arial" w:cs="Arial"/>
          <w:sz w:val="24"/>
          <w:szCs w:val="24"/>
        </w:rPr>
        <w:t xml:space="preserve">n reconociendo la especificidad de las identidades (y por lo tanto del respeto del que son merecedoras en cuanto tales) generan a su vez una nueva serie de problemas en relación al universalismo que surge de abrazar la dignidad universal en el reemplazo moderno de cualquier noción de “honor” social. </w:t>
      </w:r>
    </w:p>
    <w:p w:rsidR="00DD351B" w:rsidRPr="00A13781" w:rsidRDefault="00DD351B" w:rsidP="00B62642">
      <w:pPr>
        <w:spacing w:line="360" w:lineRule="auto"/>
        <w:jc w:val="both"/>
        <w:rPr>
          <w:rFonts w:ascii="Arial" w:hAnsi="Arial" w:cs="Arial"/>
          <w:sz w:val="24"/>
          <w:szCs w:val="24"/>
        </w:rPr>
      </w:pPr>
      <w:r w:rsidRPr="00A13781">
        <w:rPr>
          <w:rFonts w:ascii="Arial" w:hAnsi="Arial" w:cs="Arial"/>
          <w:sz w:val="24"/>
          <w:szCs w:val="24"/>
        </w:rPr>
        <w:t>Las políticas de reconocimiento de la diferencia reconocerían, según Taylor, limitaciones en relación a la dignidad universal a que son acreedores los grupos y clases sociales en tanto que igualitarios. De alguna manera, podríamos señalar, estas consecuencias forman parte de las dificultades que presenta la conciliación entre los ideales de igualdad y libertad en el pensamiento liberal, soluciones que sólo pueden provenir de las experiencias políticas concretas en relación al género y las identidades sexuales.</w:t>
      </w:r>
    </w:p>
    <w:p w:rsidR="00BD58A1" w:rsidRPr="00A13781" w:rsidRDefault="00B42AC9" w:rsidP="00B62642">
      <w:pPr>
        <w:spacing w:line="360" w:lineRule="auto"/>
        <w:jc w:val="both"/>
        <w:rPr>
          <w:rFonts w:ascii="Arial" w:hAnsi="Arial" w:cs="Arial"/>
          <w:sz w:val="24"/>
          <w:szCs w:val="24"/>
        </w:rPr>
      </w:pPr>
      <w:r w:rsidRPr="00A13781">
        <w:rPr>
          <w:rFonts w:ascii="Arial" w:hAnsi="Arial" w:cs="Arial"/>
          <w:sz w:val="24"/>
          <w:szCs w:val="24"/>
        </w:rPr>
        <w:t xml:space="preserve">Los análisis señeros de </w:t>
      </w:r>
      <w:proofErr w:type="spellStart"/>
      <w:r w:rsidRPr="00A13781">
        <w:rPr>
          <w:rFonts w:ascii="Arial" w:hAnsi="Arial" w:cs="Arial"/>
          <w:sz w:val="24"/>
          <w:szCs w:val="24"/>
        </w:rPr>
        <w:t>Gayle</w:t>
      </w:r>
      <w:proofErr w:type="spellEnd"/>
      <w:r w:rsidRPr="00A13781">
        <w:rPr>
          <w:rFonts w:ascii="Arial" w:hAnsi="Arial" w:cs="Arial"/>
          <w:sz w:val="24"/>
          <w:szCs w:val="24"/>
        </w:rPr>
        <w:t xml:space="preserve"> </w:t>
      </w:r>
      <w:proofErr w:type="spellStart"/>
      <w:r w:rsidRPr="00A13781">
        <w:rPr>
          <w:rFonts w:ascii="Arial" w:hAnsi="Arial" w:cs="Arial"/>
          <w:sz w:val="24"/>
          <w:szCs w:val="24"/>
        </w:rPr>
        <w:t>Rubin</w:t>
      </w:r>
      <w:proofErr w:type="spellEnd"/>
      <w:r w:rsidRPr="00A13781">
        <w:rPr>
          <w:rFonts w:ascii="Arial" w:hAnsi="Arial" w:cs="Arial"/>
          <w:sz w:val="24"/>
          <w:szCs w:val="24"/>
        </w:rPr>
        <w:t xml:space="preserve"> conformaron en este sentido una ruptura con el modelo estructural previo para el análisis de las relaciones de pareja que comenzaban a ser analizadas no como relación meramente diádica no estructural sino como forma específica de intercambio social y simbólico. </w:t>
      </w:r>
      <w:r w:rsidR="00C360B4" w:rsidRPr="00A13781">
        <w:rPr>
          <w:rFonts w:ascii="Arial" w:hAnsi="Arial" w:cs="Arial"/>
          <w:sz w:val="24"/>
          <w:szCs w:val="24"/>
        </w:rPr>
        <w:t>De acuerdo a ellos l</w:t>
      </w:r>
      <w:r w:rsidRPr="00A13781">
        <w:rPr>
          <w:rFonts w:ascii="Arial" w:hAnsi="Arial" w:cs="Arial"/>
          <w:sz w:val="24"/>
          <w:szCs w:val="24"/>
        </w:rPr>
        <w:t>os análisis estructurales de las estructuras elementales de parentesco (</w:t>
      </w:r>
      <w:proofErr w:type="spellStart"/>
      <w:r w:rsidRPr="00A13781">
        <w:rPr>
          <w:rFonts w:ascii="Arial" w:hAnsi="Arial" w:cs="Arial"/>
          <w:sz w:val="24"/>
          <w:szCs w:val="24"/>
        </w:rPr>
        <w:t>Lévy</w:t>
      </w:r>
      <w:proofErr w:type="spellEnd"/>
      <w:r w:rsidRPr="00A13781">
        <w:rPr>
          <w:rFonts w:ascii="Arial" w:hAnsi="Arial" w:cs="Arial"/>
          <w:sz w:val="24"/>
          <w:szCs w:val="24"/>
        </w:rPr>
        <w:t xml:space="preserve"> Strauss) era</w:t>
      </w:r>
      <w:r w:rsidR="00C360B4" w:rsidRPr="00A13781">
        <w:rPr>
          <w:rFonts w:ascii="Arial" w:hAnsi="Arial" w:cs="Arial"/>
          <w:sz w:val="24"/>
          <w:szCs w:val="24"/>
        </w:rPr>
        <w:t xml:space="preserve">n relativizados para dar lugar </w:t>
      </w:r>
      <w:r w:rsidRPr="00A13781">
        <w:rPr>
          <w:rFonts w:ascii="Arial" w:hAnsi="Arial" w:cs="Arial"/>
          <w:sz w:val="24"/>
          <w:szCs w:val="24"/>
        </w:rPr>
        <w:t xml:space="preserve"> en el continente europeo</w:t>
      </w:r>
      <w:r w:rsidR="00C360B4" w:rsidRPr="00A13781">
        <w:rPr>
          <w:rFonts w:ascii="Arial" w:hAnsi="Arial" w:cs="Arial"/>
          <w:sz w:val="24"/>
          <w:szCs w:val="24"/>
        </w:rPr>
        <w:t xml:space="preserve"> a</w:t>
      </w:r>
      <w:r w:rsidRPr="00A13781">
        <w:rPr>
          <w:rFonts w:ascii="Arial" w:hAnsi="Arial" w:cs="Arial"/>
          <w:sz w:val="24"/>
          <w:szCs w:val="24"/>
        </w:rPr>
        <w:t xml:space="preserve"> perspectivas en las que la el intercambio simbólico y mercantil incidían en las relaciones de género. Autores como Pierre Bourdieu y Jean </w:t>
      </w:r>
      <w:proofErr w:type="spellStart"/>
      <w:r w:rsidRPr="00A13781">
        <w:rPr>
          <w:rFonts w:ascii="Arial" w:hAnsi="Arial" w:cs="Arial"/>
          <w:sz w:val="24"/>
          <w:szCs w:val="24"/>
        </w:rPr>
        <w:lastRenderedPageBreak/>
        <w:t>Baudrillard</w:t>
      </w:r>
      <w:proofErr w:type="spellEnd"/>
      <w:r w:rsidRPr="00A13781">
        <w:rPr>
          <w:rFonts w:ascii="Arial" w:hAnsi="Arial" w:cs="Arial"/>
          <w:sz w:val="24"/>
          <w:szCs w:val="24"/>
        </w:rPr>
        <w:t xml:space="preserve"> desde distintas perspectivas abordaban por un lado la  “dominación masculina” y por el otro la “seducción”</w:t>
      </w:r>
      <w:r w:rsidR="002A0D7B" w:rsidRPr="00A13781">
        <w:rPr>
          <w:rFonts w:ascii="Arial" w:hAnsi="Arial" w:cs="Arial"/>
          <w:sz w:val="24"/>
          <w:szCs w:val="24"/>
        </w:rPr>
        <w:t>, ésta última</w:t>
      </w:r>
      <w:r w:rsidRPr="00A13781">
        <w:rPr>
          <w:rFonts w:ascii="Arial" w:hAnsi="Arial" w:cs="Arial"/>
          <w:sz w:val="24"/>
          <w:szCs w:val="24"/>
        </w:rPr>
        <w:t xml:space="preserve"> como factor de poder femenino desbaratador de las relaciones de dominio de género. Si bi</w:t>
      </w:r>
      <w:r w:rsidR="00B91B04" w:rsidRPr="00A13781">
        <w:rPr>
          <w:rFonts w:ascii="Arial" w:hAnsi="Arial" w:cs="Arial"/>
          <w:sz w:val="24"/>
          <w:szCs w:val="24"/>
        </w:rPr>
        <w:t>e</w:t>
      </w:r>
      <w:r w:rsidRPr="00A13781">
        <w:rPr>
          <w:rFonts w:ascii="Arial" w:hAnsi="Arial" w:cs="Arial"/>
          <w:sz w:val="24"/>
          <w:szCs w:val="24"/>
        </w:rPr>
        <w:t xml:space="preserve">n la dominación de género se hallaba anclada en realidades antropológicas </w:t>
      </w:r>
      <w:proofErr w:type="spellStart"/>
      <w:r w:rsidRPr="00A13781">
        <w:rPr>
          <w:rFonts w:ascii="Arial" w:hAnsi="Arial" w:cs="Arial"/>
          <w:sz w:val="24"/>
          <w:szCs w:val="24"/>
        </w:rPr>
        <w:t>premodernas</w:t>
      </w:r>
      <w:proofErr w:type="spellEnd"/>
      <w:r w:rsidRPr="00A13781">
        <w:rPr>
          <w:rFonts w:ascii="Arial" w:hAnsi="Arial" w:cs="Arial"/>
          <w:sz w:val="24"/>
          <w:szCs w:val="24"/>
        </w:rPr>
        <w:t xml:space="preserve"> (como en los trabajos ya clásicos de</w:t>
      </w:r>
      <w:r w:rsidR="00B91B04" w:rsidRPr="00A13781">
        <w:rPr>
          <w:rFonts w:ascii="Arial" w:hAnsi="Arial" w:cs="Arial"/>
          <w:sz w:val="24"/>
          <w:szCs w:val="24"/>
        </w:rPr>
        <w:t xml:space="preserve"> </w:t>
      </w:r>
      <w:proofErr w:type="spellStart"/>
      <w:r w:rsidR="00B91B04" w:rsidRPr="00A13781">
        <w:rPr>
          <w:rFonts w:ascii="Arial" w:hAnsi="Arial" w:cs="Arial"/>
          <w:sz w:val="24"/>
          <w:szCs w:val="24"/>
        </w:rPr>
        <w:t>Melliasoux</w:t>
      </w:r>
      <w:proofErr w:type="spellEnd"/>
      <w:r w:rsidR="00B91B04" w:rsidRPr="00A13781">
        <w:rPr>
          <w:rFonts w:ascii="Arial" w:hAnsi="Arial" w:cs="Arial"/>
          <w:sz w:val="24"/>
          <w:szCs w:val="24"/>
        </w:rPr>
        <w:t xml:space="preserve"> o del mismo </w:t>
      </w:r>
      <w:proofErr w:type="spellStart"/>
      <w:r w:rsidR="00B91B04" w:rsidRPr="00A13781">
        <w:rPr>
          <w:rFonts w:ascii="Arial" w:hAnsi="Arial" w:cs="Arial"/>
          <w:sz w:val="24"/>
          <w:szCs w:val="24"/>
        </w:rPr>
        <w:t>Lévy</w:t>
      </w:r>
      <w:proofErr w:type="spellEnd"/>
      <w:r w:rsidR="00B91B04" w:rsidRPr="00A13781">
        <w:rPr>
          <w:rFonts w:ascii="Arial" w:hAnsi="Arial" w:cs="Arial"/>
          <w:sz w:val="24"/>
          <w:szCs w:val="24"/>
        </w:rPr>
        <w:t xml:space="preserve"> St</w:t>
      </w:r>
      <w:r w:rsidRPr="00A13781">
        <w:rPr>
          <w:rFonts w:ascii="Arial" w:hAnsi="Arial" w:cs="Arial"/>
          <w:sz w:val="24"/>
          <w:szCs w:val="24"/>
        </w:rPr>
        <w:t>r</w:t>
      </w:r>
      <w:r w:rsidR="00B91B04" w:rsidRPr="00A13781">
        <w:rPr>
          <w:rFonts w:ascii="Arial" w:hAnsi="Arial" w:cs="Arial"/>
          <w:sz w:val="24"/>
          <w:szCs w:val="24"/>
        </w:rPr>
        <w:t>a</w:t>
      </w:r>
      <w:r w:rsidRPr="00A13781">
        <w:rPr>
          <w:rFonts w:ascii="Arial" w:hAnsi="Arial" w:cs="Arial"/>
          <w:sz w:val="24"/>
          <w:szCs w:val="24"/>
        </w:rPr>
        <w:t>uss) encontraban en la modernidad capitalista una articulación mercantil como “capital simbólico” por medio de la acumulación de mujeres en bases a la división sexual de  roles en la cultura y procesos de aprendizaje compartidos.</w:t>
      </w:r>
      <w:r w:rsidR="00B91B04" w:rsidRPr="00A13781">
        <w:rPr>
          <w:rFonts w:ascii="Arial" w:hAnsi="Arial" w:cs="Arial"/>
          <w:sz w:val="24"/>
          <w:szCs w:val="24"/>
        </w:rPr>
        <w:t xml:space="preserve"> La dominac</w:t>
      </w:r>
      <w:r w:rsidR="006B4259" w:rsidRPr="00A13781">
        <w:rPr>
          <w:rFonts w:ascii="Arial" w:hAnsi="Arial" w:cs="Arial"/>
          <w:sz w:val="24"/>
          <w:szCs w:val="24"/>
        </w:rPr>
        <w:t>i</w:t>
      </w:r>
      <w:r w:rsidR="00B91B04" w:rsidRPr="00A13781">
        <w:rPr>
          <w:rFonts w:ascii="Arial" w:hAnsi="Arial" w:cs="Arial"/>
          <w:sz w:val="24"/>
          <w:szCs w:val="24"/>
        </w:rPr>
        <w:t xml:space="preserve">ón masculina era entonces el resultado tanto de factores antropológicos como sociales articulados con la lógica mercantil del capitalismo y sus prerrequisitos funcionales que se expresan y potencian en culturas políticas (machistas) determinadas. </w:t>
      </w:r>
      <w:r w:rsidR="004C3F03" w:rsidRPr="00A13781">
        <w:rPr>
          <w:rFonts w:ascii="Arial" w:hAnsi="Arial" w:cs="Arial"/>
          <w:sz w:val="24"/>
          <w:szCs w:val="24"/>
        </w:rPr>
        <w:t xml:space="preserve">Las estructuras de parentesco </w:t>
      </w:r>
      <w:proofErr w:type="spellStart"/>
      <w:r w:rsidR="004C3F03" w:rsidRPr="00A13781">
        <w:rPr>
          <w:rFonts w:ascii="Arial" w:hAnsi="Arial" w:cs="Arial"/>
          <w:sz w:val="24"/>
          <w:szCs w:val="24"/>
        </w:rPr>
        <w:t>devier</w:t>
      </w:r>
      <w:r w:rsidR="006B4259" w:rsidRPr="00A13781">
        <w:rPr>
          <w:rFonts w:ascii="Arial" w:hAnsi="Arial" w:cs="Arial"/>
          <w:sz w:val="24"/>
          <w:szCs w:val="24"/>
        </w:rPr>
        <w:t>n</w:t>
      </w:r>
      <w:r w:rsidR="004C3F03" w:rsidRPr="00A13781">
        <w:rPr>
          <w:rFonts w:ascii="Arial" w:hAnsi="Arial" w:cs="Arial"/>
          <w:sz w:val="24"/>
          <w:szCs w:val="24"/>
        </w:rPr>
        <w:t>en</w:t>
      </w:r>
      <w:proofErr w:type="spellEnd"/>
      <w:r w:rsidR="004C3F03" w:rsidRPr="00A13781">
        <w:rPr>
          <w:rFonts w:ascii="Arial" w:hAnsi="Arial" w:cs="Arial"/>
          <w:sz w:val="24"/>
          <w:szCs w:val="24"/>
        </w:rPr>
        <w:t xml:space="preserve"> entonces, como ha señalado Bourdieu</w:t>
      </w:r>
      <w:r w:rsidR="006B4259" w:rsidRPr="00A13781">
        <w:rPr>
          <w:rFonts w:ascii="Arial" w:hAnsi="Arial" w:cs="Arial"/>
          <w:sz w:val="24"/>
          <w:szCs w:val="24"/>
        </w:rPr>
        <w:t xml:space="preserve"> y más recientemente </w:t>
      </w:r>
      <w:proofErr w:type="spellStart"/>
      <w:r w:rsidR="006B4259" w:rsidRPr="00A13781">
        <w:rPr>
          <w:rFonts w:ascii="Arial" w:hAnsi="Arial" w:cs="Arial"/>
          <w:sz w:val="24"/>
          <w:szCs w:val="24"/>
        </w:rPr>
        <w:t>Illouz</w:t>
      </w:r>
      <w:proofErr w:type="spellEnd"/>
      <w:r w:rsidR="007A585A" w:rsidRPr="00A13781">
        <w:rPr>
          <w:rFonts w:ascii="Arial" w:hAnsi="Arial" w:cs="Arial"/>
          <w:sz w:val="24"/>
          <w:szCs w:val="24"/>
        </w:rPr>
        <w:t xml:space="preserve">, </w:t>
      </w:r>
      <w:r w:rsidR="004C3F03" w:rsidRPr="00A13781">
        <w:rPr>
          <w:rFonts w:ascii="Arial" w:hAnsi="Arial" w:cs="Arial"/>
          <w:sz w:val="24"/>
          <w:szCs w:val="24"/>
        </w:rPr>
        <w:t>medios</w:t>
      </w:r>
      <w:r w:rsidR="002A0D7B" w:rsidRPr="00A13781">
        <w:rPr>
          <w:rFonts w:ascii="Arial" w:hAnsi="Arial" w:cs="Arial"/>
          <w:sz w:val="24"/>
          <w:szCs w:val="24"/>
        </w:rPr>
        <w:t xml:space="preserve"> de acumulación de capital simbó</w:t>
      </w:r>
      <w:r w:rsidR="004C3F03" w:rsidRPr="00A13781">
        <w:rPr>
          <w:rFonts w:ascii="Arial" w:hAnsi="Arial" w:cs="Arial"/>
          <w:sz w:val="24"/>
          <w:szCs w:val="24"/>
        </w:rPr>
        <w:t>lico mediante e</w:t>
      </w:r>
      <w:r w:rsidR="006B4259" w:rsidRPr="00A13781">
        <w:rPr>
          <w:rFonts w:ascii="Arial" w:hAnsi="Arial" w:cs="Arial"/>
          <w:sz w:val="24"/>
          <w:szCs w:val="24"/>
        </w:rPr>
        <w:t>l</w:t>
      </w:r>
      <w:r w:rsidR="004C3F03" w:rsidRPr="00A13781">
        <w:rPr>
          <w:rFonts w:ascii="Arial" w:hAnsi="Arial" w:cs="Arial"/>
          <w:sz w:val="24"/>
          <w:szCs w:val="24"/>
        </w:rPr>
        <w:t xml:space="preserve"> despliegue de estrategias matrimoniales.</w:t>
      </w:r>
      <w:r w:rsidR="006B4259" w:rsidRPr="00A13781">
        <w:rPr>
          <w:rFonts w:ascii="Arial" w:hAnsi="Arial" w:cs="Arial"/>
          <w:sz w:val="24"/>
          <w:szCs w:val="24"/>
        </w:rPr>
        <w:t xml:space="preserve"> Las relaciones de género no pueden </w:t>
      </w:r>
      <w:proofErr w:type="spellStart"/>
      <w:r w:rsidR="006B4259" w:rsidRPr="00A13781">
        <w:rPr>
          <w:rFonts w:ascii="Arial" w:hAnsi="Arial" w:cs="Arial"/>
          <w:sz w:val="24"/>
          <w:szCs w:val="24"/>
        </w:rPr>
        <w:t>inteligirse</w:t>
      </w:r>
      <w:proofErr w:type="spellEnd"/>
      <w:r w:rsidR="006B4259" w:rsidRPr="00A13781">
        <w:rPr>
          <w:rFonts w:ascii="Arial" w:hAnsi="Arial" w:cs="Arial"/>
          <w:sz w:val="24"/>
          <w:szCs w:val="24"/>
        </w:rPr>
        <w:t xml:space="preserve"> sino en el marco de relaciones sociales,  políticas y culturales</w:t>
      </w:r>
      <w:r w:rsidR="002A0D7B" w:rsidRPr="00A13781">
        <w:rPr>
          <w:rFonts w:ascii="Arial" w:hAnsi="Arial" w:cs="Arial"/>
          <w:sz w:val="24"/>
          <w:szCs w:val="24"/>
        </w:rPr>
        <w:t xml:space="preserve"> (</w:t>
      </w:r>
      <w:proofErr w:type="spellStart"/>
      <w:r w:rsidR="002A0D7B" w:rsidRPr="00A13781">
        <w:rPr>
          <w:rFonts w:ascii="Arial" w:hAnsi="Arial" w:cs="Arial"/>
          <w:sz w:val="24"/>
          <w:szCs w:val="24"/>
        </w:rPr>
        <w:t>Illouz</w:t>
      </w:r>
      <w:proofErr w:type="spellEnd"/>
      <w:r w:rsidR="002A0D7B" w:rsidRPr="00A13781">
        <w:rPr>
          <w:rFonts w:ascii="Arial" w:hAnsi="Arial" w:cs="Arial"/>
          <w:sz w:val="24"/>
          <w:szCs w:val="24"/>
        </w:rPr>
        <w:t>; 2013, 2019)</w:t>
      </w:r>
      <w:r w:rsidR="006B4259" w:rsidRPr="00A13781">
        <w:rPr>
          <w:rFonts w:ascii="Arial" w:hAnsi="Arial" w:cs="Arial"/>
          <w:sz w:val="24"/>
          <w:szCs w:val="24"/>
        </w:rPr>
        <w:t xml:space="preserve">. </w:t>
      </w:r>
      <w:r w:rsidR="002B7CA6" w:rsidRPr="00A13781">
        <w:rPr>
          <w:rFonts w:ascii="Arial" w:hAnsi="Arial" w:cs="Arial"/>
          <w:sz w:val="24"/>
          <w:szCs w:val="24"/>
        </w:rPr>
        <w:t xml:space="preserve">Las afinidades y antagonismos sociales actuales se construyen y fluyen a través de nuevos umbrales </w:t>
      </w:r>
      <w:proofErr w:type="spellStart"/>
      <w:r w:rsidR="002B7CA6" w:rsidRPr="00A13781">
        <w:rPr>
          <w:rFonts w:ascii="Arial" w:hAnsi="Arial" w:cs="Arial"/>
          <w:sz w:val="24"/>
          <w:szCs w:val="24"/>
        </w:rPr>
        <w:t>identitarios</w:t>
      </w:r>
      <w:proofErr w:type="spellEnd"/>
      <w:r w:rsidR="002B7CA6" w:rsidRPr="00A13781">
        <w:rPr>
          <w:rFonts w:ascii="Arial" w:hAnsi="Arial" w:cs="Arial"/>
          <w:sz w:val="24"/>
          <w:szCs w:val="24"/>
        </w:rPr>
        <w:t>, atravesando surcos más profundos y menos conocidos del alma humana en medio de entrecruzamientos económicos, afectivos, religiosos, sociales y culturales. Desde los años sesenta las necesidades creadas se han basado en gran medida en la movilización de distintas formas sensoriales y perceptivas vinculadas a las mutaciones del consumo de masas. Se trata de un nuevo imaginario del cuerpo, con sus discursos, prácticas y representaciones sociales surgidos durante aquélla década (</w:t>
      </w:r>
      <w:r w:rsidR="00DA2D93" w:rsidRPr="00A13781">
        <w:rPr>
          <w:rFonts w:ascii="Arial" w:hAnsi="Arial" w:cs="Arial"/>
          <w:sz w:val="24"/>
          <w:szCs w:val="24"/>
        </w:rPr>
        <w:t xml:space="preserve">Le </w:t>
      </w:r>
      <w:r w:rsidR="002B7CA6" w:rsidRPr="00A13781">
        <w:rPr>
          <w:rFonts w:ascii="Arial" w:hAnsi="Arial" w:cs="Arial"/>
          <w:sz w:val="24"/>
          <w:szCs w:val="24"/>
        </w:rPr>
        <w:t>Bretón: 2008). A diferencia del tratamiento del cuerpo en la modernidad, cuyo modelo mecanicista lo separaba del hombre y del cosmos considerándolo una entidad residual sujeta a las más diversas disciplinas, el cuerpo es revisitado como objeto de dominación y posibilidades de manifestación. El sinsentido existencial al que ha conducido la modernidad tardía tiene efectos más pronunciados en sus grupos y clases sociales desfavorecidos, que fueron arrojados a la contingencia del exis</w:t>
      </w:r>
      <w:r w:rsidR="00BD58A1" w:rsidRPr="00A13781">
        <w:rPr>
          <w:rFonts w:ascii="Arial" w:hAnsi="Arial" w:cs="Arial"/>
          <w:sz w:val="24"/>
          <w:szCs w:val="24"/>
        </w:rPr>
        <w:t>tir en determinadas condiciones (</w:t>
      </w:r>
      <w:proofErr w:type="spellStart"/>
      <w:r w:rsidR="00BD58A1" w:rsidRPr="00A13781">
        <w:rPr>
          <w:rFonts w:ascii="Arial" w:hAnsi="Arial" w:cs="Arial"/>
          <w:sz w:val="24"/>
          <w:szCs w:val="24"/>
        </w:rPr>
        <w:t>Féher</w:t>
      </w:r>
      <w:proofErr w:type="spellEnd"/>
      <w:r w:rsidR="00BD58A1" w:rsidRPr="00A13781">
        <w:rPr>
          <w:rFonts w:ascii="Arial" w:hAnsi="Arial" w:cs="Arial"/>
          <w:sz w:val="24"/>
          <w:szCs w:val="24"/>
        </w:rPr>
        <w:t xml:space="preserve"> y </w:t>
      </w:r>
      <w:proofErr w:type="spellStart"/>
      <w:r w:rsidR="00BD58A1" w:rsidRPr="00A13781">
        <w:rPr>
          <w:rFonts w:ascii="Arial" w:hAnsi="Arial" w:cs="Arial"/>
          <w:sz w:val="24"/>
          <w:szCs w:val="24"/>
        </w:rPr>
        <w:t>Heller</w:t>
      </w:r>
      <w:proofErr w:type="spellEnd"/>
      <w:r w:rsidR="00BD58A1" w:rsidRPr="00A13781">
        <w:rPr>
          <w:rFonts w:ascii="Arial" w:hAnsi="Arial" w:cs="Arial"/>
          <w:sz w:val="24"/>
          <w:szCs w:val="24"/>
        </w:rPr>
        <w:t>, 1998).</w:t>
      </w:r>
    </w:p>
    <w:p w:rsidR="00773F01" w:rsidRPr="00A13781" w:rsidRDefault="00BD58A1" w:rsidP="00B62642">
      <w:pPr>
        <w:spacing w:line="360" w:lineRule="auto"/>
        <w:jc w:val="both"/>
        <w:rPr>
          <w:rFonts w:ascii="Arial" w:hAnsi="Arial" w:cs="Arial"/>
          <w:sz w:val="24"/>
          <w:szCs w:val="24"/>
        </w:rPr>
      </w:pPr>
      <w:r w:rsidRPr="00A13781">
        <w:rPr>
          <w:rFonts w:ascii="Arial" w:hAnsi="Arial" w:cs="Arial"/>
          <w:sz w:val="24"/>
          <w:szCs w:val="24"/>
        </w:rPr>
        <w:lastRenderedPageBreak/>
        <w:t xml:space="preserve"> </w:t>
      </w:r>
      <w:r w:rsidR="00B91B04" w:rsidRPr="00A13781">
        <w:rPr>
          <w:rFonts w:ascii="Arial" w:hAnsi="Arial" w:cs="Arial"/>
          <w:sz w:val="24"/>
          <w:szCs w:val="24"/>
        </w:rPr>
        <w:t>¿Pero qué ocurre con la dominación simbólica de género en los países “periféricos”</w:t>
      </w:r>
      <w:proofErr w:type="gramStart"/>
      <w:r w:rsidR="00B91B04" w:rsidRPr="00A13781">
        <w:rPr>
          <w:rFonts w:ascii="Arial" w:hAnsi="Arial" w:cs="Arial"/>
          <w:sz w:val="24"/>
          <w:szCs w:val="24"/>
        </w:rPr>
        <w:t>?</w:t>
      </w:r>
      <w:r w:rsidR="00773F01" w:rsidRPr="00A13781">
        <w:rPr>
          <w:rFonts w:ascii="Arial" w:hAnsi="Arial" w:cs="Arial"/>
          <w:sz w:val="24"/>
          <w:szCs w:val="24"/>
        </w:rPr>
        <w:t xml:space="preserve"> .</w:t>
      </w:r>
      <w:proofErr w:type="gramEnd"/>
      <w:r w:rsidR="00773F01" w:rsidRPr="00A13781">
        <w:rPr>
          <w:rFonts w:ascii="Arial" w:hAnsi="Arial" w:cs="Arial"/>
          <w:sz w:val="24"/>
          <w:szCs w:val="24"/>
        </w:rPr>
        <w:t xml:space="preserve"> En este sentido  se parte de la presunción que la desposesión (Harvey: 2004) y expoliación (</w:t>
      </w:r>
      <w:proofErr w:type="spellStart"/>
      <w:r w:rsidR="00773F01" w:rsidRPr="00A13781">
        <w:rPr>
          <w:rFonts w:ascii="Arial" w:hAnsi="Arial" w:cs="Arial"/>
          <w:sz w:val="24"/>
          <w:szCs w:val="24"/>
        </w:rPr>
        <w:t>Kowarick</w:t>
      </w:r>
      <w:proofErr w:type="spellEnd"/>
      <w:r w:rsidR="00773F01" w:rsidRPr="00A13781">
        <w:rPr>
          <w:rFonts w:ascii="Arial" w:hAnsi="Arial" w:cs="Arial"/>
          <w:sz w:val="24"/>
          <w:szCs w:val="24"/>
        </w:rPr>
        <w:t>: 1980, 1996, 2002) que tiene lugar en el capitalismo periférico alcanza en  la actualidad a la fuerza de trabajo misma, reducida en muchas categorías de trabajadores a su expresión mínima, es decir a la posesión del cuerpo como único capital (</w:t>
      </w:r>
      <w:proofErr w:type="spellStart"/>
      <w:r w:rsidR="00773F01" w:rsidRPr="00A13781">
        <w:rPr>
          <w:rFonts w:ascii="Arial" w:hAnsi="Arial" w:cs="Arial"/>
          <w:sz w:val="24"/>
          <w:szCs w:val="24"/>
        </w:rPr>
        <w:t>Calello</w:t>
      </w:r>
      <w:proofErr w:type="spellEnd"/>
      <w:r w:rsidR="00773F01" w:rsidRPr="00A13781">
        <w:rPr>
          <w:rFonts w:ascii="Arial" w:hAnsi="Arial" w:cs="Arial"/>
          <w:sz w:val="24"/>
          <w:szCs w:val="24"/>
        </w:rPr>
        <w:t>, 2007)</w:t>
      </w:r>
      <w:r w:rsidR="00B91B04" w:rsidRPr="00A13781">
        <w:rPr>
          <w:rFonts w:ascii="Arial" w:hAnsi="Arial" w:cs="Arial"/>
          <w:sz w:val="24"/>
          <w:szCs w:val="24"/>
        </w:rPr>
        <w:t xml:space="preserve"> </w:t>
      </w:r>
    </w:p>
    <w:p w:rsidR="00B45DAF" w:rsidRPr="00A13781" w:rsidRDefault="00B91B04" w:rsidP="00B62642">
      <w:pPr>
        <w:spacing w:line="360" w:lineRule="auto"/>
        <w:jc w:val="both"/>
        <w:rPr>
          <w:rFonts w:ascii="Arial" w:hAnsi="Arial" w:cs="Arial"/>
          <w:sz w:val="24"/>
          <w:szCs w:val="24"/>
        </w:rPr>
      </w:pPr>
      <w:r w:rsidRPr="00A13781">
        <w:rPr>
          <w:rFonts w:ascii="Arial" w:hAnsi="Arial" w:cs="Arial"/>
          <w:sz w:val="24"/>
          <w:szCs w:val="24"/>
        </w:rPr>
        <w:t>Existe una vasta literatura que duran</w:t>
      </w:r>
      <w:r w:rsidR="00773F01" w:rsidRPr="00A13781">
        <w:rPr>
          <w:rFonts w:ascii="Arial" w:hAnsi="Arial" w:cs="Arial"/>
          <w:sz w:val="24"/>
          <w:szCs w:val="24"/>
        </w:rPr>
        <w:t xml:space="preserve">te las últimas décadas abordo </w:t>
      </w:r>
      <w:r w:rsidRPr="00A13781">
        <w:rPr>
          <w:rFonts w:ascii="Arial" w:hAnsi="Arial" w:cs="Arial"/>
          <w:sz w:val="24"/>
          <w:szCs w:val="24"/>
        </w:rPr>
        <w:t xml:space="preserve"> dicha problemática, en los que a las características señaladas se agrega (y articula) la condición colonial o poscolonial  del dominio de género, como una precondición de su desenvolvimiento. La dominación de género es vista en estos casos como una extensión e integración subordinada a la dominación colonial. La condición femenina puede aparecer entonces según los estudios sobre el arte y las danzas exóticas como subordinación de la mujer al hombre colonizado (</w:t>
      </w:r>
      <w:proofErr w:type="spellStart"/>
      <w:r w:rsidRPr="00A13781">
        <w:rPr>
          <w:rFonts w:ascii="Arial" w:hAnsi="Arial" w:cs="Arial"/>
          <w:sz w:val="24"/>
          <w:szCs w:val="24"/>
        </w:rPr>
        <w:t>Savigliano</w:t>
      </w:r>
      <w:proofErr w:type="spellEnd"/>
      <w:r w:rsidRPr="00A13781">
        <w:rPr>
          <w:rFonts w:ascii="Arial" w:hAnsi="Arial" w:cs="Arial"/>
          <w:sz w:val="24"/>
          <w:szCs w:val="24"/>
        </w:rPr>
        <w:t>, 1995) o como en el caso de</w:t>
      </w:r>
      <w:r w:rsidR="00773F01" w:rsidRPr="00A13781">
        <w:rPr>
          <w:rFonts w:ascii="Arial" w:hAnsi="Arial" w:cs="Arial"/>
          <w:sz w:val="24"/>
          <w:szCs w:val="24"/>
        </w:rPr>
        <w:t xml:space="preserve"> </w:t>
      </w:r>
      <w:proofErr w:type="spellStart"/>
      <w:r w:rsidR="00773F01" w:rsidRPr="00A13781">
        <w:rPr>
          <w:rFonts w:ascii="Arial" w:hAnsi="Arial" w:cs="Arial"/>
          <w:sz w:val="24"/>
          <w:szCs w:val="24"/>
        </w:rPr>
        <w:t>Gayatri</w:t>
      </w:r>
      <w:proofErr w:type="spellEnd"/>
      <w:r w:rsidRPr="00A13781">
        <w:rPr>
          <w:rFonts w:ascii="Arial" w:hAnsi="Arial" w:cs="Arial"/>
          <w:sz w:val="24"/>
          <w:szCs w:val="24"/>
        </w:rPr>
        <w:t xml:space="preserve"> </w:t>
      </w:r>
      <w:proofErr w:type="spellStart"/>
      <w:r w:rsidRPr="00A13781">
        <w:rPr>
          <w:rFonts w:ascii="Arial" w:hAnsi="Arial" w:cs="Arial"/>
          <w:sz w:val="24"/>
          <w:szCs w:val="24"/>
        </w:rPr>
        <w:t>Spivak</w:t>
      </w:r>
      <w:proofErr w:type="spellEnd"/>
      <w:r w:rsidR="00A839E1" w:rsidRPr="00A13781">
        <w:rPr>
          <w:rFonts w:ascii="Arial" w:hAnsi="Arial" w:cs="Arial"/>
          <w:sz w:val="24"/>
          <w:szCs w:val="24"/>
        </w:rPr>
        <w:t xml:space="preserve"> como articulación</w:t>
      </w:r>
      <w:r w:rsidR="006B4259" w:rsidRPr="00A13781">
        <w:rPr>
          <w:rFonts w:ascii="Arial" w:hAnsi="Arial" w:cs="Arial"/>
          <w:sz w:val="24"/>
          <w:szCs w:val="24"/>
        </w:rPr>
        <w:t>-expresión</w:t>
      </w:r>
      <w:r w:rsidR="00A839E1" w:rsidRPr="00A13781">
        <w:rPr>
          <w:rFonts w:ascii="Arial" w:hAnsi="Arial" w:cs="Arial"/>
          <w:sz w:val="24"/>
          <w:szCs w:val="24"/>
        </w:rPr>
        <w:t xml:space="preserve"> ambi</w:t>
      </w:r>
      <w:r w:rsidR="00773F01" w:rsidRPr="00A13781">
        <w:rPr>
          <w:rFonts w:ascii="Arial" w:hAnsi="Arial" w:cs="Arial"/>
          <w:sz w:val="24"/>
          <w:szCs w:val="24"/>
        </w:rPr>
        <w:t xml:space="preserve">gua de rituales (como el </w:t>
      </w:r>
      <w:proofErr w:type="spellStart"/>
      <w:r w:rsidR="00773F01" w:rsidRPr="00A13781">
        <w:rPr>
          <w:rFonts w:ascii="Arial" w:hAnsi="Arial" w:cs="Arial"/>
          <w:sz w:val="24"/>
          <w:szCs w:val="24"/>
        </w:rPr>
        <w:t>Sati</w:t>
      </w:r>
      <w:proofErr w:type="spellEnd"/>
      <w:r w:rsidR="00773F01" w:rsidRPr="00A13781">
        <w:rPr>
          <w:rFonts w:ascii="Arial" w:hAnsi="Arial" w:cs="Arial"/>
          <w:sz w:val="24"/>
          <w:szCs w:val="24"/>
        </w:rPr>
        <w:t xml:space="preserve">) </w:t>
      </w:r>
      <w:r w:rsidR="00A839E1" w:rsidRPr="00A13781">
        <w:rPr>
          <w:rFonts w:ascii="Arial" w:hAnsi="Arial" w:cs="Arial"/>
          <w:sz w:val="24"/>
          <w:szCs w:val="24"/>
        </w:rPr>
        <w:t>modificados por la injerencia colonizadora</w:t>
      </w:r>
      <w:r w:rsidR="00EB697E" w:rsidRPr="00A13781">
        <w:rPr>
          <w:rFonts w:ascii="Arial" w:hAnsi="Arial" w:cs="Arial"/>
          <w:sz w:val="24"/>
          <w:szCs w:val="24"/>
        </w:rPr>
        <w:t xml:space="preserve"> (</w:t>
      </w:r>
      <w:proofErr w:type="spellStart"/>
      <w:r w:rsidR="00EB697E" w:rsidRPr="00A13781">
        <w:rPr>
          <w:rFonts w:ascii="Arial" w:hAnsi="Arial" w:cs="Arial"/>
          <w:sz w:val="24"/>
          <w:szCs w:val="24"/>
        </w:rPr>
        <w:t>Spivak</w:t>
      </w:r>
      <w:proofErr w:type="spellEnd"/>
      <w:r w:rsidR="00EB697E" w:rsidRPr="00A13781">
        <w:rPr>
          <w:rFonts w:ascii="Arial" w:hAnsi="Arial" w:cs="Arial"/>
          <w:sz w:val="24"/>
          <w:szCs w:val="24"/>
        </w:rPr>
        <w:t>,</w:t>
      </w:r>
      <w:r w:rsidR="00BE4869" w:rsidRPr="00A13781">
        <w:rPr>
          <w:rFonts w:ascii="Arial" w:hAnsi="Arial" w:cs="Arial"/>
          <w:sz w:val="24"/>
          <w:szCs w:val="24"/>
        </w:rPr>
        <w:t xml:space="preserve"> 2011</w:t>
      </w:r>
      <w:r w:rsidR="00EB084B" w:rsidRPr="00A13781">
        <w:rPr>
          <w:rFonts w:ascii="Arial" w:hAnsi="Arial" w:cs="Arial"/>
          <w:sz w:val="24"/>
          <w:szCs w:val="24"/>
        </w:rPr>
        <w:t>)</w:t>
      </w:r>
      <w:r w:rsidR="00A839E1" w:rsidRPr="00A13781">
        <w:rPr>
          <w:rFonts w:ascii="Arial" w:hAnsi="Arial" w:cs="Arial"/>
          <w:sz w:val="24"/>
          <w:szCs w:val="24"/>
        </w:rPr>
        <w:t xml:space="preserve">. </w:t>
      </w:r>
      <w:r w:rsidR="006E11D5" w:rsidRPr="00A13781">
        <w:rPr>
          <w:rFonts w:ascii="Arial" w:hAnsi="Arial" w:cs="Arial"/>
          <w:sz w:val="24"/>
          <w:szCs w:val="24"/>
        </w:rPr>
        <w:t>Para</w:t>
      </w:r>
      <w:r w:rsidR="006B4259" w:rsidRPr="00A13781">
        <w:rPr>
          <w:rFonts w:ascii="Arial" w:hAnsi="Arial" w:cs="Arial"/>
          <w:sz w:val="24"/>
          <w:szCs w:val="24"/>
        </w:rPr>
        <w:t xml:space="preserve"> el mundo del tango he señalado que sus letras </w:t>
      </w:r>
      <w:r w:rsidR="00CE07D9" w:rsidRPr="00A13781">
        <w:rPr>
          <w:rFonts w:ascii="Arial" w:hAnsi="Arial" w:cs="Arial"/>
          <w:sz w:val="24"/>
          <w:szCs w:val="24"/>
        </w:rPr>
        <w:t xml:space="preserve">e </w:t>
      </w:r>
      <w:proofErr w:type="spellStart"/>
      <w:r w:rsidR="006B4259" w:rsidRPr="00A13781">
        <w:rPr>
          <w:rFonts w:ascii="Arial" w:hAnsi="Arial" w:cs="Arial"/>
          <w:sz w:val="24"/>
          <w:szCs w:val="24"/>
        </w:rPr>
        <w:t>intertextos</w:t>
      </w:r>
      <w:proofErr w:type="spellEnd"/>
      <w:r w:rsidR="006B4259" w:rsidRPr="00A13781">
        <w:rPr>
          <w:rFonts w:ascii="Arial" w:hAnsi="Arial" w:cs="Arial"/>
          <w:sz w:val="24"/>
          <w:szCs w:val="24"/>
        </w:rPr>
        <w:t xml:space="preserve"> mediatizados como los sainetes, la radiofonía y la cinematografía expresaban hasta por lo menos mediados del siglo pasado conflictos que involucraban relaciones sociales de género</w:t>
      </w:r>
      <w:r w:rsidR="006E11D5" w:rsidRPr="00A13781">
        <w:rPr>
          <w:rFonts w:ascii="Arial" w:hAnsi="Arial" w:cs="Arial"/>
          <w:sz w:val="24"/>
          <w:szCs w:val="24"/>
        </w:rPr>
        <w:t xml:space="preserve"> en un contexto histórico de desarrollo capitalista</w:t>
      </w:r>
      <w:r w:rsidR="006B4259" w:rsidRPr="00A13781">
        <w:rPr>
          <w:rFonts w:ascii="Arial" w:hAnsi="Arial" w:cs="Arial"/>
          <w:sz w:val="24"/>
          <w:szCs w:val="24"/>
        </w:rPr>
        <w:t xml:space="preserve"> (</w:t>
      </w:r>
      <w:proofErr w:type="spellStart"/>
      <w:r w:rsidR="006B4259" w:rsidRPr="00A13781">
        <w:rPr>
          <w:rFonts w:ascii="Arial" w:hAnsi="Arial" w:cs="Arial"/>
          <w:sz w:val="24"/>
          <w:szCs w:val="24"/>
        </w:rPr>
        <w:t>Calello</w:t>
      </w:r>
      <w:proofErr w:type="spellEnd"/>
      <w:r w:rsidR="006B4259" w:rsidRPr="00A13781">
        <w:rPr>
          <w:rFonts w:ascii="Arial" w:hAnsi="Arial" w:cs="Arial"/>
          <w:sz w:val="24"/>
          <w:szCs w:val="24"/>
        </w:rPr>
        <w:t xml:space="preserve">, 2017).  Actualmente </w:t>
      </w:r>
      <w:r w:rsidR="00A839E1" w:rsidRPr="00A13781">
        <w:rPr>
          <w:rFonts w:ascii="Arial" w:hAnsi="Arial" w:cs="Arial"/>
          <w:sz w:val="24"/>
          <w:szCs w:val="24"/>
        </w:rPr>
        <w:t xml:space="preserve">en el dominio de las performances de género José Esteban Muñoz ha señalado </w:t>
      </w:r>
      <w:r w:rsidR="00EC066E" w:rsidRPr="00A13781">
        <w:rPr>
          <w:rFonts w:ascii="Arial" w:hAnsi="Arial" w:cs="Arial"/>
          <w:sz w:val="24"/>
          <w:szCs w:val="24"/>
        </w:rPr>
        <w:t>en el contexto de la globalización las disimetrías soci</w:t>
      </w:r>
      <w:r w:rsidR="00CE07D9" w:rsidRPr="00A13781">
        <w:rPr>
          <w:rFonts w:ascii="Arial" w:hAnsi="Arial" w:cs="Arial"/>
          <w:sz w:val="24"/>
          <w:szCs w:val="24"/>
        </w:rPr>
        <w:t>ales y étnicas que afectan a la/los</w:t>
      </w:r>
      <w:r w:rsidR="00EC066E" w:rsidRPr="00A13781">
        <w:rPr>
          <w:rFonts w:ascii="Arial" w:hAnsi="Arial" w:cs="Arial"/>
          <w:sz w:val="24"/>
          <w:szCs w:val="24"/>
        </w:rPr>
        <w:t xml:space="preserve"> reclamos </w:t>
      </w:r>
      <w:proofErr w:type="spellStart"/>
      <w:r w:rsidR="00EC066E" w:rsidRPr="00A13781">
        <w:rPr>
          <w:rFonts w:ascii="Arial" w:hAnsi="Arial" w:cs="Arial"/>
          <w:sz w:val="24"/>
          <w:szCs w:val="24"/>
        </w:rPr>
        <w:t>queer</w:t>
      </w:r>
      <w:proofErr w:type="spellEnd"/>
      <w:r w:rsidR="00EC066E" w:rsidRPr="00A13781">
        <w:rPr>
          <w:rFonts w:ascii="Arial" w:hAnsi="Arial" w:cs="Arial"/>
          <w:sz w:val="24"/>
          <w:szCs w:val="24"/>
        </w:rPr>
        <w:t xml:space="preserve"> y feministas en USA y otros lugares proponiendo performances </w:t>
      </w:r>
      <w:proofErr w:type="spellStart"/>
      <w:r w:rsidR="00EC066E" w:rsidRPr="00A13781">
        <w:rPr>
          <w:rFonts w:ascii="Arial" w:hAnsi="Arial" w:cs="Arial"/>
          <w:sz w:val="24"/>
          <w:szCs w:val="24"/>
        </w:rPr>
        <w:t>desidentificatorios</w:t>
      </w:r>
      <w:proofErr w:type="spellEnd"/>
      <w:r w:rsidR="00EC066E" w:rsidRPr="00A13781">
        <w:rPr>
          <w:rFonts w:ascii="Arial" w:hAnsi="Arial" w:cs="Arial"/>
          <w:sz w:val="24"/>
          <w:szCs w:val="24"/>
        </w:rPr>
        <w:t xml:space="preserve"> en relación a las iden</w:t>
      </w:r>
      <w:r w:rsidR="00CE07D9" w:rsidRPr="00A13781">
        <w:rPr>
          <w:rFonts w:ascii="Arial" w:hAnsi="Arial" w:cs="Arial"/>
          <w:sz w:val="24"/>
          <w:szCs w:val="24"/>
        </w:rPr>
        <w:t xml:space="preserve">tidades ideológicamente </w:t>
      </w:r>
      <w:proofErr w:type="spellStart"/>
      <w:r w:rsidR="00CE07D9" w:rsidRPr="00A13781">
        <w:rPr>
          <w:rFonts w:ascii="Arial" w:hAnsi="Arial" w:cs="Arial"/>
          <w:sz w:val="24"/>
          <w:szCs w:val="24"/>
        </w:rPr>
        <w:t>construí</w:t>
      </w:r>
      <w:r w:rsidR="00EC066E" w:rsidRPr="00A13781">
        <w:rPr>
          <w:rFonts w:ascii="Arial" w:hAnsi="Arial" w:cs="Arial"/>
          <w:sz w:val="24"/>
          <w:szCs w:val="24"/>
        </w:rPr>
        <w:t>das</w:t>
      </w:r>
      <w:proofErr w:type="spellEnd"/>
      <w:r w:rsidR="00EC066E" w:rsidRPr="00A13781">
        <w:rPr>
          <w:rFonts w:ascii="Arial" w:hAnsi="Arial" w:cs="Arial"/>
          <w:sz w:val="24"/>
          <w:szCs w:val="24"/>
        </w:rPr>
        <w:t xml:space="preserve"> para las minorías sexuales</w:t>
      </w:r>
      <w:r w:rsidR="00CE07D9" w:rsidRPr="00A13781">
        <w:rPr>
          <w:rFonts w:ascii="Arial" w:hAnsi="Arial" w:cs="Arial"/>
          <w:sz w:val="24"/>
          <w:szCs w:val="24"/>
        </w:rPr>
        <w:t xml:space="preserve"> y étnicas</w:t>
      </w:r>
      <w:r w:rsidR="00EC066E" w:rsidRPr="00A13781">
        <w:rPr>
          <w:rFonts w:ascii="Arial" w:hAnsi="Arial" w:cs="Arial"/>
          <w:sz w:val="24"/>
          <w:szCs w:val="24"/>
        </w:rPr>
        <w:t xml:space="preserve"> clasistamente subordinadas  en el nuevo contexto histórico social</w:t>
      </w:r>
      <w:r w:rsidR="00EB084B" w:rsidRPr="00A13781">
        <w:rPr>
          <w:rFonts w:ascii="Arial" w:hAnsi="Arial" w:cs="Arial"/>
          <w:sz w:val="24"/>
          <w:szCs w:val="24"/>
        </w:rPr>
        <w:t xml:space="preserve"> (Muñoz, 2001)</w:t>
      </w:r>
      <w:r w:rsidR="00EC066E" w:rsidRPr="00A13781">
        <w:rPr>
          <w:rFonts w:ascii="Arial" w:hAnsi="Arial" w:cs="Arial"/>
          <w:sz w:val="24"/>
          <w:szCs w:val="24"/>
        </w:rPr>
        <w:t>.</w:t>
      </w:r>
      <w:r w:rsidR="00CE07D9" w:rsidRPr="00A13781">
        <w:rPr>
          <w:rFonts w:ascii="Arial" w:hAnsi="Arial" w:cs="Arial"/>
          <w:sz w:val="24"/>
          <w:szCs w:val="24"/>
        </w:rPr>
        <w:t xml:space="preserve"> </w:t>
      </w:r>
      <w:r w:rsidR="006E11D5" w:rsidRPr="00A13781">
        <w:rPr>
          <w:rFonts w:ascii="Arial" w:hAnsi="Arial" w:cs="Arial"/>
          <w:sz w:val="24"/>
          <w:szCs w:val="24"/>
        </w:rPr>
        <w:t>Si tenemos en cuenta las profundas transformaciones sociales durante las últimas décadas caracterizadas por el incremento de la desocupación y la precarización laborales como consecuencia de la introducción de nuevas tecnologías en el centro y el dominio del capital financiero a nivel global, no ha</w:t>
      </w:r>
      <w:r w:rsidR="00623032" w:rsidRPr="00A13781">
        <w:rPr>
          <w:rFonts w:ascii="Arial" w:hAnsi="Arial" w:cs="Arial"/>
          <w:sz w:val="24"/>
          <w:szCs w:val="24"/>
        </w:rPr>
        <w:t>n</w:t>
      </w:r>
      <w:r w:rsidR="006E11D5" w:rsidRPr="00A13781">
        <w:rPr>
          <w:rFonts w:ascii="Arial" w:hAnsi="Arial" w:cs="Arial"/>
          <w:sz w:val="24"/>
          <w:szCs w:val="24"/>
        </w:rPr>
        <w:t xml:space="preserve"> hecho más que incrementar las características señaladas por </w:t>
      </w:r>
      <w:proofErr w:type="spellStart"/>
      <w:r w:rsidR="006E11D5" w:rsidRPr="00A13781">
        <w:rPr>
          <w:rFonts w:ascii="Arial" w:hAnsi="Arial" w:cs="Arial"/>
          <w:sz w:val="24"/>
          <w:szCs w:val="24"/>
        </w:rPr>
        <w:t>Bauman</w:t>
      </w:r>
      <w:proofErr w:type="spellEnd"/>
      <w:r w:rsidR="006E11D5" w:rsidRPr="00A13781">
        <w:rPr>
          <w:rFonts w:ascii="Arial" w:hAnsi="Arial" w:cs="Arial"/>
          <w:sz w:val="24"/>
          <w:szCs w:val="24"/>
        </w:rPr>
        <w:t xml:space="preserve"> </w:t>
      </w:r>
      <w:proofErr w:type="spellStart"/>
      <w:r w:rsidR="006E11D5" w:rsidRPr="00A13781">
        <w:rPr>
          <w:rFonts w:ascii="Arial" w:hAnsi="Arial" w:cs="Arial"/>
          <w:sz w:val="24"/>
          <w:szCs w:val="24"/>
        </w:rPr>
        <w:t>atribuídas</w:t>
      </w:r>
      <w:proofErr w:type="spellEnd"/>
      <w:r w:rsidR="006E11D5" w:rsidRPr="00A13781">
        <w:rPr>
          <w:rFonts w:ascii="Arial" w:hAnsi="Arial" w:cs="Arial"/>
          <w:sz w:val="24"/>
          <w:szCs w:val="24"/>
        </w:rPr>
        <w:t xml:space="preserve"> a la “</w:t>
      </w:r>
      <w:r w:rsidR="004646BF" w:rsidRPr="00A13781">
        <w:rPr>
          <w:rFonts w:ascii="Arial" w:hAnsi="Arial" w:cs="Arial"/>
          <w:sz w:val="24"/>
          <w:szCs w:val="24"/>
        </w:rPr>
        <w:t>m</w:t>
      </w:r>
      <w:r w:rsidR="006E11D5" w:rsidRPr="00A13781">
        <w:rPr>
          <w:rFonts w:ascii="Arial" w:hAnsi="Arial" w:cs="Arial"/>
          <w:sz w:val="24"/>
          <w:szCs w:val="24"/>
        </w:rPr>
        <w:t>odernidad líquida” con sus consecuencias en los vínculos sociales</w:t>
      </w:r>
      <w:r w:rsidR="00CC07D5" w:rsidRPr="00A13781">
        <w:rPr>
          <w:rFonts w:ascii="Arial" w:hAnsi="Arial" w:cs="Arial"/>
          <w:sz w:val="24"/>
          <w:szCs w:val="24"/>
        </w:rPr>
        <w:t xml:space="preserve"> (</w:t>
      </w:r>
      <w:proofErr w:type="spellStart"/>
      <w:r w:rsidR="00CC07D5" w:rsidRPr="00A13781">
        <w:rPr>
          <w:rFonts w:ascii="Arial" w:hAnsi="Arial" w:cs="Arial"/>
          <w:sz w:val="24"/>
          <w:szCs w:val="24"/>
        </w:rPr>
        <w:t>Bauman</w:t>
      </w:r>
      <w:proofErr w:type="spellEnd"/>
      <w:r w:rsidR="00D570DA" w:rsidRPr="00A13781">
        <w:rPr>
          <w:rFonts w:ascii="Arial" w:hAnsi="Arial" w:cs="Arial"/>
          <w:sz w:val="24"/>
          <w:szCs w:val="24"/>
        </w:rPr>
        <w:t>, 2009</w:t>
      </w:r>
      <w:proofErr w:type="gramStart"/>
      <w:r w:rsidR="00D570DA" w:rsidRPr="00A13781">
        <w:rPr>
          <w:rFonts w:ascii="Arial" w:hAnsi="Arial" w:cs="Arial"/>
          <w:sz w:val="24"/>
          <w:szCs w:val="24"/>
        </w:rPr>
        <w:t>)</w:t>
      </w:r>
      <w:r w:rsidR="00CC07D5" w:rsidRPr="00A13781">
        <w:rPr>
          <w:rFonts w:ascii="Arial" w:hAnsi="Arial" w:cs="Arial"/>
          <w:sz w:val="24"/>
          <w:szCs w:val="24"/>
        </w:rPr>
        <w:t xml:space="preserve"> </w:t>
      </w:r>
      <w:r w:rsidR="006E11D5" w:rsidRPr="00A13781">
        <w:rPr>
          <w:rFonts w:ascii="Arial" w:hAnsi="Arial" w:cs="Arial"/>
          <w:sz w:val="24"/>
          <w:szCs w:val="24"/>
        </w:rPr>
        <w:t>.</w:t>
      </w:r>
      <w:proofErr w:type="gramEnd"/>
      <w:r w:rsidR="006E11D5" w:rsidRPr="00A13781">
        <w:rPr>
          <w:rFonts w:ascii="Arial" w:hAnsi="Arial" w:cs="Arial"/>
          <w:sz w:val="24"/>
          <w:szCs w:val="24"/>
        </w:rPr>
        <w:t xml:space="preserve"> En la periferia dichas características afectaron a distintas clases sociales pero se advierten en las </w:t>
      </w:r>
      <w:r w:rsidR="006E11D5" w:rsidRPr="00A13781">
        <w:rPr>
          <w:rFonts w:ascii="Arial" w:hAnsi="Arial" w:cs="Arial"/>
          <w:sz w:val="24"/>
          <w:szCs w:val="24"/>
        </w:rPr>
        <w:lastRenderedPageBreak/>
        <w:t>familias afectadas por la desocupación y</w:t>
      </w:r>
      <w:r w:rsidR="004646BF" w:rsidRPr="00A13781">
        <w:rPr>
          <w:rFonts w:ascii="Arial" w:hAnsi="Arial" w:cs="Arial"/>
          <w:sz w:val="24"/>
          <w:szCs w:val="24"/>
        </w:rPr>
        <w:t xml:space="preserve"> socialmente</w:t>
      </w:r>
      <w:r w:rsidR="006E11D5" w:rsidRPr="00A13781">
        <w:rPr>
          <w:rFonts w:ascii="Arial" w:hAnsi="Arial" w:cs="Arial"/>
          <w:sz w:val="24"/>
          <w:szCs w:val="24"/>
        </w:rPr>
        <w:t xml:space="preserve"> vulnerables  la primacía de las “jefas de hogar” </w:t>
      </w:r>
      <w:r w:rsidR="00C60985" w:rsidRPr="00A13781">
        <w:rPr>
          <w:rFonts w:ascii="Arial" w:hAnsi="Arial" w:cs="Arial"/>
          <w:sz w:val="24"/>
          <w:szCs w:val="24"/>
        </w:rPr>
        <w:t>junto con la</w:t>
      </w:r>
      <w:r w:rsidR="006E11D5" w:rsidRPr="00A13781">
        <w:rPr>
          <w:rFonts w:ascii="Arial" w:hAnsi="Arial" w:cs="Arial"/>
          <w:sz w:val="24"/>
          <w:szCs w:val="24"/>
        </w:rPr>
        <w:t xml:space="preserve"> modificac</w:t>
      </w:r>
      <w:r w:rsidR="004646BF" w:rsidRPr="00A13781">
        <w:rPr>
          <w:rFonts w:ascii="Arial" w:hAnsi="Arial" w:cs="Arial"/>
          <w:sz w:val="24"/>
          <w:szCs w:val="24"/>
        </w:rPr>
        <w:t>ión de los roles tradicionales</w:t>
      </w:r>
      <w:r w:rsidR="006E11D5" w:rsidRPr="00A13781">
        <w:rPr>
          <w:rFonts w:ascii="Arial" w:hAnsi="Arial" w:cs="Arial"/>
          <w:sz w:val="24"/>
          <w:szCs w:val="24"/>
        </w:rPr>
        <w:t xml:space="preserve"> cuyas consecuencias</w:t>
      </w:r>
      <w:r w:rsidR="00C60985" w:rsidRPr="00A13781">
        <w:rPr>
          <w:rFonts w:ascii="Arial" w:hAnsi="Arial" w:cs="Arial"/>
          <w:sz w:val="24"/>
          <w:szCs w:val="24"/>
        </w:rPr>
        <w:t xml:space="preserve"> culturales en las relaciones de género  aún no se han estudiado suficientemente, pero</w:t>
      </w:r>
      <w:r w:rsidR="00623032" w:rsidRPr="00A13781">
        <w:rPr>
          <w:rFonts w:ascii="Arial" w:hAnsi="Arial" w:cs="Arial"/>
          <w:sz w:val="24"/>
          <w:szCs w:val="24"/>
        </w:rPr>
        <w:t xml:space="preserve"> que</w:t>
      </w:r>
      <w:r w:rsidR="004646BF" w:rsidRPr="00A13781">
        <w:rPr>
          <w:rFonts w:ascii="Arial" w:hAnsi="Arial" w:cs="Arial"/>
          <w:sz w:val="24"/>
          <w:szCs w:val="24"/>
        </w:rPr>
        <w:t xml:space="preserve"> hipotéticamente pudieron acentuar</w:t>
      </w:r>
      <w:r w:rsidR="00C60985" w:rsidRPr="00A13781">
        <w:rPr>
          <w:rFonts w:ascii="Arial" w:hAnsi="Arial" w:cs="Arial"/>
          <w:sz w:val="24"/>
          <w:szCs w:val="24"/>
        </w:rPr>
        <w:t xml:space="preserve"> los rasgos culturales que caracterizan al machismo. También Rita </w:t>
      </w:r>
      <w:proofErr w:type="spellStart"/>
      <w:r w:rsidR="00C60985" w:rsidRPr="00A13781">
        <w:rPr>
          <w:rFonts w:ascii="Arial" w:hAnsi="Arial" w:cs="Arial"/>
          <w:sz w:val="24"/>
          <w:szCs w:val="24"/>
        </w:rPr>
        <w:t>Segato</w:t>
      </w:r>
      <w:proofErr w:type="spellEnd"/>
      <w:r w:rsidR="00C60985" w:rsidRPr="00A13781">
        <w:rPr>
          <w:rFonts w:ascii="Arial" w:hAnsi="Arial" w:cs="Arial"/>
          <w:sz w:val="24"/>
          <w:szCs w:val="24"/>
        </w:rPr>
        <w:t xml:space="preserve"> señala como posible factor presente (junto a otros de orden antropológico, psicológico y culturales)  la precarización de los vínculos laborales  en las estructuras elem</w:t>
      </w:r>
      <w:r w:rsidR="00623032" w:rsidRPr="00A13781">
        <w:rPr>
          <w:rFonts w:ascii="Arial" w:hAnsi="Arial" w:cs="Arial"/>
          <w:sz w:val="24"/>
          <w:szCs w:val="24"/>
        </w:rPr>
        <w:t>e</w:t>
      </w:r>
      <w:r w:rsidR="00C60985" w:rsidRPr="00A13781">
        <w:rPr>
          <w:rFonts w:ascii="Arial" w:hAnsi="Arial" w:cs="Arial"/>
          <w:sz w:val="24"/>
          <w:szCs w:val="24"/>
        </w:rPr>
        <w:t>ntales de la violencia (</w:t>
      </w:r>
      <w:proofErr w:type="spellStart"/>
      <w:r w:rsidR="00C60985" w:rsidRPr="00A13781">
        <w:rPr>
          <w:rFonts w:ascii="Arial" w:hAnsi="Arial" w:cs="Arial"/>
          <w:sz w:val="24"/>
          <w:szCs w:val="24"/>
        </w:rPr>
        <w:t>Segato</w:t>
      </w:r>
      <w:proofErr w:type="spellEnd"/>
      <w:r w:rsidR="00C60985" w:rsidRPr="00A13781">
        <w:rPr>
          <w:rFonts w:ascii="Arial" w:hAnsi="Arial" w:cs="Arial"/>
          <w:sz w:val="24"/>
          <w:szCs w:val="24"/>
        </w:rPr>
        <w:t>,</w:t>
      </w:r>
      <w:r w:rsidR="00D570DA" w:rsidRPr="00A13781">
        <w:rPr>
          <w:rFonts w:ascii="Arial" w:hAnsi="Arial" w:cs="Arial"/>
          <w:sz w:val="24"/>
          <w:szCs w:val="24"/>
        </w:rPr>
        <w:t xml:space="preserve"> </w:t>
      </w:r>
      <w:proofErr w:type="gramStart"/>
      <w:r w:rsidR="00D570DA" w:rsidRPr="00A13781">
        <w:rPr>
          <w:rFonts w:ascii="Arial" w:hAnsi="Arial" w:cs="Arial"/>
          <w:sz w:val="24"/>
          <w:szCs w:val="24"/>
        </w:rPr>
        <w:t>2010</w:t>
      </w:r>
      <w:r w:rsidR="00C60985" w:rsidRPr="00A13781">
        <w:rPr>
          <w:rFonts w:ascii="Arial" w:hAnsi="Arial" w:cs="Arial"/>
          <w:sz w:val="24"/>
          <w:szCs w:val="24"/>
        </w:rPr>
        <w:t xml:space="preserve"> </w:t>
      </w:r>
      <w:r w:rsidR="00623032" w:rsidRPr="00A13781">
        <w:rPr>
          <w:rFonts w:ascii="Arial" w:hAnsi="Arial" w:cs="Arial"/>
          <w:sz w:val="24"/>
          <w:szCs w:val="24"/>
        </w:rPr>
        <w:t>)</w:t>
      </w:r>
      <w:proofErr w:type="gramEnd"/>
      <w:r w:rsidR="00623032" w:rsidRPr="00A13781">
        <w:rPr>
          <w:rFonts w:ascii="Arial" w:hAnsi="Arial" w:cs="Arial"/>
          <w:sz w:val="24"/>
          <w:szCs w:val="24"/>
        </w:rPr>
        <w:t xml:space="preserve"> que no solamente debe</w:t>
      </w:r>
      <w:r w:rsidR="004646BF" w:rsidRPr="00A13781">
        <w:rPr>
          <w:rFonts w:ascii="Arial" w:hAnsi="Arial" w:cs="Arial"/>
          <w:sz w:val="24"/>
          <w:szCs w:val="24"/>
        </w:rPr>
        <w:t>n</w:t>
      </w:r>
      <w:r w:rsidR="00D570DA" w:rsidRPr="00A13781">
        <w:rPr>
          <w:rFonts w:ascii="Arial" w:hAnsi="Arial" w:cs="Arial"/>
          <w:sz w:val="24"/>
          <w:szCs w:val="24"/>
        </w:rPr>
        <w:t xml:space="preserve"> atribuirse a la  posesión del poder masculino</w:t>
      </w:r>
      <w:r w:rsidR="00623032" w:rsidRPr="00A13781">
        <w:rPr>
          <w:rFonts w:ascii="Arial" w:hAnsi="Arial" w:cs="Arial"/>
          <w:sz w:val="24"/>
          <w:szCs w:val="24"/>
        </w:rPr>
        <w:t xml:space="preserve"> sino a la carencia de éste.</w:t>
      </w:r>
      <w:r w:rsidR="0066053F" w:rsidRPr="00A13781">
        <w:rPr>
          <w:rFonts w:ascii="Arial" w:hAnsi="Arial" w:cs="Arial"/>
          <w:sz w:val="24"/>
          <w:szCs w:val="24"/>
        </w:rPr>
        <w:t xml:space="preserve"> </w:t>
      </w:r>
    </w:p>
    <w:p w:rsidR="00B45DAF" w:rsidRPr="00A13781" w:rsidRDefault="00B45DAF" w:rsidP="00B62642">
      <w:pPr>
        <w:spacing w:line="360" w:lineRule="auto"/>
        <w:jc w:val="both"/>
        <w:rPr>
          <w:rFonts w:ascii="Arial" w:hAnsi="Arial" w:cs="Arial"/>
          <w:sz w:val="24"/>
          <w:szCs w:val="24"/>
        </w:rPr>
      </w:pPr>
      <w:r w:rsidRPr="00A13781">
        <w:rPr>
          <w:rFonts w:ascii="Arial" w:hAnsi="Arial" w:cs="Arial"/>
          <w:sz w:val="24"/>
          <w:szCs w:val="24"/>
        </w:rPr>
        <w:t xml:space="preserve">Las manifestaciones simbólicas de las relaciones sociales de género (y de las cuales forman parte </w:t>
      </w:r>
      <w:r w:rsidR="00A77058" w:rsidRPr="00A13781">
        <w:rPr>
          <w:rFonts w:ascii="Arial" w:hAnsi="Arial" w:cs="Arial"/>
          <w:sz w:val="24"/>
          <w:szCs w:val="24"/>
        </w:rPr>
        <w:t>-</w:t>
      </w:r>
      <w:r w:rsidRPr="00A13781">
        <w:rPr>
          <w:rFonts w:ascii="Arial" w:hAnsi="Arial" w:cs="Arial"/>
          <w:sz w:val="24"/>
          <w:szCs w:val="24"/>
        </w:rPr>
        <w:t>como hemos apreciado en  la literatura `precedente</w:t>
      </w:r>
      <w:r w:rsidR="00A77058" w:rsidRPr="00A13781">
        <w:rPr>
          <w:rFonts w:ascii="Arial" w:hAnsi="Arial" w:cs="Arial"/>
          <w:sz w:val="24"/>
          <w:szCs w:val="24"/>
        </w:rPr>
        <w:t>-</w:t>
      </w:r>
      <w:r w:rsidRPr="00A13781">
        <w:rPr>
          <w:rFonts w:ascii="Arial" w:hAnsi="Arial" w:cs="Arial"/>
          <w:sz w:val="24"/>
          <w:szCs w:val="24"/>
        </w:rPr>
        <w:t xml:space="preserve"> de intercambios simbólicos mercantiles y no mercantiles) pueden ilustrarse en un conjunto de configuraciones específicas como son los medios de comunicación de masas, manifestaciones artísticas y concursos de belleza con sus relaciones mutuas. En todos ellos suele aparecer el cuerpo femenino como objeto de simbolización valorización con fi</w:t>
      </w:r>
      <w:r w:rsidR="00A77058" w:rsidRPr="00A13781">
        <w:rPr>
          <w:rFonts w:ascii="Arial" w:hAnsi="Arial" w:cs="Arial"/>
          <w:sz w:val="24"/>
          <w:szCs w:val="24"/>
        </w:rPr>
        <w:t>nes mercantiles o de explotación.</w:t>
      </w:r>
    </w:p>
    <w:p w:rsidR="00B45DAF" w:rsidRPr="00A13781" w:rsidRDefault="00B45DAF" w:rsidP="00B62642">
      <w:pPr>
        <w:spacing w:line="360" w:lineRule="auto"/>
        <w:jc w:val="both"/>
        <w:rPr>
          <w:rFonts w:ascii="Arial" w:hAnsi="Arial" w:cs="Arial"/>
          <w:sz w:val="24"/>
          <w:szCs w:val="24"/>
        </w:rPr>
      </w:pPr>
      <w:r w:rsidRPr="00A13781">
        <w:rPr>
          <w:rFonts w:ascii="Arial" w:hAnsi="Arial" w:cs="Arial"/>
          <w:sz w:val="24"/>
          <w:szCs w:val="24"/>
        </w:rPr>
        <w:t xml:space="preserve">Desde este punto de vista consideramos que la incorporaciones de perspectivas de género en dichos ámbitos sólo puede tener efectividad en el marco de interrelaciones </w:t>
      </w:r>
      <w:proofErr w:type="spellStart"/>
      <w:r w:rsidRPr="00A13781">
        <w:rPr>
          <w:rFonts w:ascii="Arial" w:hAnsi="Arial" w:cs="Arial"/>
          <w:sz w:val="24"/>
          <w:szCs w:val="24"/>
        </w:rPr>
        <w:t>macropolíticas</w:t>
      </w:r>
      <w:proofErr w:type="spellEnd"/>
      <w:r w:rsidRPr="00A13781">
        <w:rPr>
          <w:rFonts w:ascii="Arial" w:hAnsi="Arial" w:cs="Arial"/>
          <w:sz w:val="24"/>
          <w:szCs w:val="24"/>
        </w:rPr>
        <w:t xml:space="preserve"> y sociales que cuestionen la valorización del cuerpo en tanto mercancía.</w:t>
      </w:r>
    </w:p>
    <w:p w:rsidR="00B45DAF" w:rsidRPr="00A13781" w:rsidRDefault="00B45DAF" w:rsidP="00B62642">
      <w:pPr>
        <w:spacing w:line="360" w:lineRule="auto"/>
        <w:jc w:val="both"/>
        <w:rPr>
          <w:rFonts w:ascii="Arial" w:hAnsi="Arial" w:cs="Arial"/>
          <w:sz w:val="24"/>
          <w:szCs w:val="24"/>
        </w:rPr>
      </w:pPr>
      <w:r w:rsidRPr="00A13781">
        <w:rPr>
          <w:rFonts w:ascii="Arial" w:hAnsi="Arial" w:cs="Arial"/>
          <w:sz w:val="24"/>
          <w:szCs w:val="24"/>
        </w:rPr>
        <w:t>Si consideramos las propuestas de capacitación</w:t>
      </w:r>
      <w:r w:rsidR="009A79B9" w:rsidRPr="00A13781">
        <w:rPr>
          <w:rFonts w:ascii="Arial" w:hAnsi="Arial" w:cs="Arial"/>
          <w:sz w:val="24"/>
          <w:szCs w:val="24"/>
        </w:rPr>
        <w:t xml:space="preserve"> de gé</w:t>
      </w:r>
      <w:r w:rsidRPr="00A13781">
        <w:rPr>
          <w:rFonts w:ascii="Arial" w:hAnsi="Arial" w:cs="Arial"/>
          <w:sz w:val="24"/>
          <w:szCs w:val="24"/>
        </w:rPr>
        <w:t>n</w:t>
      </w:r>
      <w:r w:rsidR="009A79B9" w:rsidRPr="00A13781">
        <w:rPr>
          <w:rFonts w:ascii="Arial" w:hAnsi="Arial" w:cs="Arial"/>
          <w:sz w:val="24"/>
          <w:szCs w:val="24"/>
        </w:rPr>
        <w:t>e</w:t>
      </w:r>
      <w:r w:rsidRPr="00A13781">
        <w:rPr>
          <w:rFonts w:ascii="Arial" w:hAnsi="Arial" w:cs="Arial"/>
          <w:sz w:val="24"/>
          <w:szCs w:val="24"/>
        </w:rPr>
        <w:t>ro en el área publicitaria, sus estrategias de valorización  obedecen a criterios culturales previamente instalados en la sociedad.</w:t>
      </w:r>
      <w:r w:rsidR="009A79B9" w:rsidRPr="00A13781">
        <w:rPr>
          <w:rFonts w:ascii="Arial" w:hAnsi="Arial" w:cs="Arial"/>
          <w:sz w:val="24"/>
          <w:szCs w:val="24"/>
        </w:rPr>
        <w:t xml:space="preserve"> Un ejemplo reciente de ello lo constituye la campaña publicitaria de la empresa de cosméticos </w:t>
      </w:r>
      <w:proofErr w:type="spellStart"/>
      <w:r w:rsidR="009A79B9" w:rsidRPr="00A13781">
        <w:rPr>
          <w:rFonts w:ascii="Arial" w:hAnsi="Arial" w:cs="Arial"/>
          <w:sz w:val="24"/>
          <w:szCs w:val="24"/>
        </w:rPr>
        <w:t>Avón</w:t>
      </w:r>
      <w:proofErr w:type="spellEnd"/>
      <w:r w:rsidR="009A79B9" w:rsidRPr="00A13781">
        <w:rPr>
          <w:rFonts w:ascii="Arial" w:hAnsi="Arial" w:cs="Arial"/>
          <w:sz w:val="24"/>
          <w:szCs w:val="24"/>
        </w:rPr>
        <w:t xml:space="preserve">, orientada a señalar los comportamientos machistas y denigratorios de las mujeres en la vía pública por medio de publicidades que conllevarían un aprendizaje social. Sin </w:t>
      </w:r>
      <w:r w:rsidR="00A77058" w:rsidRPr="00A13781">
        <w:rPr>
          <w:rFonts w:ascii="Arial" w:hAnsi="Arial" w:cs="Arial"/>
          <w:sz w:val="24"/>
          <w:szCs w:val="24"/>
        </w:rPr>
        <w:t>emb</w:t>
      </w:r>
      <w:r w:rsidR="009A79B9" w:rsidRPr="00A13781">
        <w:rPr>
          <w:rFonts w:ascii="Arial" w:hAnsi="Arial" w:cs="Arial"/>
          <w:sz w:val="24"/>
          <w:szCs w:val="24"/>
        </w:rPr>
        <w:t>a</w:t>
      </w:r>
      <w:r w:rsidR="00A77058" w:rsidRPr="00A13781">
        <w:rPr>
          <w:rFonts w:ascii="Arial" w:hAnsi="Arial" w:cs="Arial"/>
          <w:sz w:val="24"/>
          <w:szCs w:val="24"/>
        </w:rPr>
        <w:t>r</w:t>
      </w:r>
      <w:r w:rsidR="009A79B9" w:rsidRPr="00A13781">
        <w:rPr>
          <w:rFonts w:ascii="Arial" w:hAnsi="Arial" w:cs="Arial"/>
          <w:sz w:val="24"/>
          <w:szCs w:val="24"/>
        </w:rPr>
        <w:t>go es dudoso que dichas campañas logren el fin exhibido desde el momento en que no fueron concebidas para dichos fines sino presumiblemente para concitar una si</w:t>
      </w:r>
      <w:r w:rsidR="00B25E76" w:rsidRPr="00A13781">
        <w:rPr>
          <w:rFonts w:ascii="Arial" w:hAnsi="Arial" w:cs="Arial"/>
          <w:sz w:val="24"/>
          <w:szCs w:val="24"/>
        </w:rPr>
        <w:t>mpatía de la clientela femenina, destinataria de la venta de cosméticos.</w:t>
      </w:r>
      <w:r w:rsidR="00A77058" w:rsidRPr="00A13781">
        <w:rPr>
          <w:rFonts w:ascii="Arial" w:hAnsi="Arial" w:cs="Arial"/>
          <w:sz w:val="24"/>
          <w:szCs w:val="24"/>
        </w:rPr>
        <w:t xml:space="preserve"> En el caso de otras publicidades la relación entre los relatos exhibidos y las imágenes exhibidas es aún más </w:t>
      </w:r>
      <w:r w:rsidR="00A77058" w:rsidRPr="00A13781">
        <w:rPr>
          <w:rFonts w:ascii="Arial" w:hAnsi="Arial" w:cs="Arial"/>
          <w:sz w:val="24"/>
          <w:szCs w:val="24"/>
        </w:rPr>
        <w:lastRenderedPageBreak/>
        <w:t xml:space="preserve">evidente y apareciendo como una expresión mediática elaborada de valores culturales (de dominación masculina) previamente instalados en la sociedad. </w:t>
      </w:r>
    </w:p>
    <w:p w:rsidR="00B45DAF" w:rsidRPr="00A13781" w:rsidRDefault="000C459C" w:rsidP="00B62642">
      <w:pPr>
        <w:spacing w:line="360" w:lineRule="auto"/>
        <w:jc w:val="both"/>
        <w:rPr>
          <w:rFonts w:ascii="Arial" w:hAnsi="Arial" w:cs="Arial"/>
          <w:sz w:val="24"/>
          <w:szCs w:val="24"/>
        </w:rPr>
      </w:pPr>
      <w:r w:rsidRPr="00A13781">
        <w:rPr>
          <w:rFonts w:ascii="Arial" w:hAnsi="Arial" w:cs="Arial"/>
          <w:sz w:val="24"/>
          <w:szCs w:val="24"/>
        </w:rPr>
        <w:t xml:space="preserve">Expresiones artístico mediáticas regionales como ciertos repertorios asociados a las relaciones y “conquista de pareja” como algunos géneros musicales también ilustran y reproducen en sus letras intercambios simbólicos y sociales vinculados a los paradigmas de género hegemónicos. Si bien como han señalado algunos autores la cumbia experimentó modificaciones en sus contenidos de género y sociales </w:t>
      </w:r>
      <w:r w:rsidR="00E32E1A" w:rsidRPr="00A13781">
        <w:rPr>
          <w:rFonts w:ascii="Arial" w:hAnsi="Arial" w:cs="Arial"/>
          <w:sz w:val="24"/>
          <w:szCs w:val="24"/>
        </w:rPr>
        <w:t>(</w:t>
      </w:r>
      <w:r w:rsidRPr="00A13781">
        <w:rPr>
          <w:rFonts w:ascii="Arial" w:hAnsi="Arial" w:cs="Arial"/>
          <w:sz w:val="24"/>
          <w:szCs w:val="24"/>
        </w:rPr>
        <w:t>de manera análoga a las transformaciones del tango en sus mediaciones</w:t>
      </w:r>
      <w:r w:rsidR="00E32E1A" w:rsidRPr="00A13781">
        <w:rPr>
          <w:rFonts w:ascii="Arial" w:hAnsi="Arial" w:cs="Arial"/>
          <w:sz w:val="24"/>
          <w:szCs w:val="24"/>
        </w:rPr>
        <w:t xml:space="preserve"> a lo largo de su historia y transformaciones mediáticas</w:t>
      </w:r>
      <w:r w:rsidRPr="00A13781">
        <w:rPr>
          <w:rFonts w:ascii="Arial" w:hAnsi="Arial" w:cs="Arial"/>
          <w:sz w:val="24"/>
          <w:szCs w:val="24"/>
        </w:rPr>
        <w:t>) sigue expresando en muchos casos (lo mismo que en las letras de</w:t>
      </w:r>
      <w:r w:rsidR="00E32E1A" w:rsidRPr="00A13781">
        <w:rPr>
          <w:rFonts w:ascii="Arial" w:hAnsi="Arial" w:cs="Arial"/>
          <w:sz w:val="24"/>
          <w:szCs w:val="24"/>
        </w:rPr>
        <w:t>l</w:t>
      </w:r>
      <w:r w:rsidRPr="00A13781">
        <w:rPr>
          <w:rFonts w:ascii="Arial" w:hAnsi="Arial" w:cs="Arial"/>
          <w:sz w:val="24"/>
          <w:szCs w:val="24"/>
        </w:rPr>
        <w:t xml:space="preserve"> rock and roll) expresiones misóginas sobre la condición femenina. Estas expresiones suelen </w:t>
      </w:r>
      <w:r w:rsidR="002116D3" w:rsidRPr="00A13781">
        <w:rPr>
          <w:rFonts w:ascii="Arial" w:hAnsi="Arial" w:cs="Arial"/>
          <w:sz w:val="24"/>
          <w:szCs w:val="24"/>
        </w:rPr>
        <w:t xml:space="preserve">a </w:t>
      </w:r>
      <w:r w:rsidRPr="00A13781">
        <w:rPr>
          <w:rFonts w:ascii="Arial" w:hAnsi="Arial" w:cs="Arial"/>
          <w:sz w:val="24"/>
          <w:szCs w:val="24"/>
        </w:rPr>
        <w:t>veces estar vinculadas no solamente con identificaciones de género sino también de clase social (muchas veces encarnadas por mujeres)  circunstancia que torna a los análisis más complejos desde un punto de vista teórico, ético y político.</w:t>
      </w:r>
      <w:r w:rsidR="00BD63E7" w:rsidRPr="00A13781">
        <w:rPr>
          <w:rFonts w:ascii="Arial" w:hAnsi="Arial" w:cs="Arial"/>
          <w:sz w:val="24"/>
          <w:szCs w:val="24"/>
        </w:rPr>
        <w:t xml:space="preserve"> </w:t>
      </w:r>
    </w:p>
    <w:p w:rsidR="00BD63E7" w:rsidRPr="00A13781" w:rsidRDefault="00BD63E7" w:rsidP="00B62642">
      <w:pPr>
        <w:spacing w:line="360" w:lineRule="auto"/>
        <w:jc w:val="both"/>
        <w:rPr>
          <w:rFonts w:ascii="Arial" w:hAnsi="Arial" w:cs="Arial"/>
          <w:sz w:val="24"/>
          <w:szCs w:val="24"/>
        </w:rPr>
      </w:pPr>
      <w:r w:rsidRPr="00A13781">
        <w:rPr>
          <w:rFonts w:ascii="Arial" w:hAnsi="Arial" w:cs="Arial"/>
          <w:sz w:val="24"/>
          <w:szCs w:val="24"/>
        </w:rPr>
        <w:t>Otros de los ejemplos considerados tienen que ver con el análisis y las resistencias socioculturales que generó durante los últim</w:t>
      </w:r>
      <w:r w:rsidR="00E32E1A" w:rsidRPr="00A13781">
        <w:rPr>
          <w:rFonts w:ascii="Arial" w:hAnsi="Arial" w:cs="Arial"/>
          <w:sz w:val="24"/>
          <w:szCs w:val="24"/>
        </w:rPr>
        <w:t>os años la celebración de los Co</w:t>
      </w:r>
      <w:r w:rsidRPr="00A13781">
        <w:rPr>
          <w:rFonts w:ascii="Arial" w:hAnsi="Arial" w:cs="Arial"/>
          <w:sz w:val="24"/>
          <w:szCs w:val="24"/>
        </w:rPr>
        <w:t xml:space="preserve">ncursos de Belleza </w:t>
      </w:r>
      <w:r w:rsidR="00E32E1A" w:rsidRPr="00A13781">
        <w:rPr>
          <w:rFonts w:ascii="Arial" w:hAnsi="Arial" w:cs="Arial"/>
          <w:sz w:val="24"/>
          <w:szCs w:val="24"/>
        </w:rPr>
        <w:t>en distintas regiones del país, que redundan en formas de “reconocimiento cultural” que se traducen en la adquisición de un capi</w:t>
      </w:r>
      <w:r w:rsidR="00CF3641" w:rsidRPr="00A13781">
        <w:rPr>
          <w:rFonts w:ascii="Arial" w:hAnsi="Arial" w:cs="Arial"/>
          <w:sz w:val="24"/>
          <w:szCs w:val="24"/>
        </w:rPr>
        <w:t xml:space="preserve">tal simbólico y mercantil. Éstos Concursos </w:t>
      </w:r>
      <w:r w:rsidR="00DA4952" w:rsidRPr="00A13781">
        <w:rPr>
          <w:rFonts w:ascii="Arial" w:hAnsi="Arial" w:cs="Arial"/>
          <w:sz w:val="24"/>
          <w:szCs w:val="24"/>
        </w:rPr>
        <w:t xml:space="preserve">pueden analizarse en tanto la representación </w:t>
      </w:r>
      <w:proofErr w:type="spellStart"/>
      <w:r w:rsidR="00CF3641" w:rsidRPr="00A13781">
        <w:rPr>
          <w:rFonts w:ascii="Arial" w:hAnsi="Arial" w:cs="Arial"/>
          <w:sz w:val="24"/>
          <w:szCs w:val="24"/>
        </w:rPr>
        <w:t>generizada</w:t>
      </w:r>
      <w:proofErr w:type="spellEnd"/>
      <w:r w:rsidR="00CF3641" w:rsidRPr="00A13781">
        <w:rPr>
          <w:rFonts w:ascii="Arial" w:hAnsi="Arial" w:cs="Arial"/>
          <w:sz w:val="24"/>
          <w:szCs w:val="24"/>
        </w:rPr>
        <w:t xml:space="preserve"> de la </w:t>
      </w:r>
      <w:r w:rsidR="00DA4952" w:rsidRPr="00A13781">
        <w:rPr>
          <w:rFonts w:ascii="Arial" w:hAnsi="Arial" w:cs="Arial"/>
          <w:sz w:val="24"/>
          <w:szCs w:val="24"/>
        </w:rPr>
        <w:t xml:space="preserve">idea </w:t>
      </w:r>
      <w:r w:rsidR="00CF3641" w:rsidRPr="00A13781">
        <w:rPr>
          <w:rFonts w:ascii="Arial" w:hAnsi="Arial" w:cs="Arial"/>
          <w:sz w:val="24"/>
          <w:szCs w:val="24"/>
        </w:rPr>
        <w:t>nación/región/ciudad</w:t>
      </w:r>
      <w:r w:rsidR="00836864" w:rsidRPr="00A13781">
        <w:rPr>
          <w:rFonts w:ascii="Arial" w:hAnsi="Arial" w:cs="Arial"/>
          <w:sz w:val="24"/>
          <w:szCs w:val="24"/>
        </w:rPr>
        <w:t xml:space="preserve"> </w:t>
      </w:r>
      <w:r w:rsidR="00CF3641" w:rsidRPr="00A13781">
        <w:rPr>
          <w:rFonts w:ascii="Arial" w:hAnsi="Arial" w:cs="Arial"/>
          <w:sz w:val="24"/>
          <w:szCs w:val="24"/>
        </w:rPr>
        <w:t xml:space="preserve">(Pequeño, 2004; </w:t>
      </w:r>
      <w:r w:rsidR="00536CD6" w:rsidRPr="00A13781">
        <w:rPr>
          <w:rFonts w:ascii="Arial" w:hAnsi="Arial" w:cs="Arial"/>
          <w:sz w:val="24"/>
          <w:szCs w:val="24"/>
        </w:rPr>
        <w:t>Cortázar</w:t>
      </w:r>
      <w:r w:rsidR="00CF3641" w:rsidRPr="00A13781">
        <w:rPr>
          <w:rFonts w:ascii="Arial" w:hAnsi="Arial" w:cs="Arial"/>
          <w:sz w:val="24"/>
          <w:szCs w:val="24"/>
        </w:rPr>
        <w:t xml:space="preserve"> </w:t>
      </w:r>
      <w:r w:rsidR="00DA4952" w:rsidRPr="00A13781">
        <w:rPr>
          <w:rFonts w:ascii="Arial" w:hAnsi="Arial" w:cs="Arial"/>
          <w:sz w:val="24"/>
          <w:szCs w:val="24"/>
        </w:rPr>
        <w:t>Rodriguez, 2009)</w:t>
      </w:r>
      <w:r w:rsidR="004038F7" w:rsidRPr="00A13781">
        <w:rPr>
          <w:rFonts w:ascii="Arial" w:hAnsi="Arial" w:cs="Arial"/>
          <w:sz w:val="24"/>
          <w:szCs w:val="24"/>
        </w:rPr>
        <w:t xml:space="preserve"> en los cuales se reproduce el orden </w:t>
      </w:r>
      <w:r w:rsidR="008F45E0" w:rsidRPr="00A13781">
        <w:rPr>
          <w:rFonts w:ascii="Arial" w:hAnsi="Arial" w:cs="Arial"/>
          <w:sz w:val="24"/>
          <w:szCs w:val="24"/>
        </w:rPr>
        <w:t>simbólico. La objetivación de ciertos rasgos en los cuerpos de la</w:t>
      </w:r>
      <w:r w:rsidR="0037170F" w:rsidRPr="00A13781">
        <w:rPr>
          <w:rFonts w:ascii="Arial" w:hAnsi="Arial" w:cs="Arial"/>
          <w:sz w:val="24"/>
          <w:szCs w:val="24"/>
        </w:rPr>
        <w:t xml:space="preserve"> mujeres “candidatas”</w:t>
      </w:r>
      <w:r w:rsidR="008F45E0" w:rsidRPr="00A13781">
        <w:rPr>
          <w:rFonts w:ascii="Arial" w:hAnsi="Arial" w:cs="Arial"/>
          <w:sz w:val="24"/>
          <w:szCs w:val="24"/>
        </w:rPr>
        <w:t>-“distinguidas” “armoniosas” “elegantes”-</w:t>
      </w:r>
      <w:r w:rsidR="0037170F" w:rsidRPr="00A13781">
        <w:rPr>
          <w:rFonts w:ascii="Arial" w:hAnsi="Arial" w:cs="Arial"/>
          <w:sz w:val="24"/>
          <w:szCs w:val="24"/>
        </w:rPr>
        <w:t xml:space="preserve"> representa</w:t>
      </w:r>
      <w:r w:rsidR="008F45E0" w:rsidRPr="00A13781">
        <w:rPr>
          <w:rFonts w:ascii="Arial" w:hAnsi="Arial" w:cs="Arial"/>
          <w:sz w:val="24"/>
          <w:szCs w:val="24"/>
        </w:rPr>
        <w:t>n</w:t>
      </w:r>
      <w:r w:rsidR="0037170F" w:rsidRPr="00A13781">
        <w:rPr>
          <w:rFonts w:ascii="Arial" w:hAnsi="Arial" w:cs="Arial"/>
          <w:sz w:val="24"/>
          <w:szCs w:val="24"/>
        </w:rPr>
        <w:t xml:space="preserve"> </w:t>
      </w:r>
      <w:r w:rsidR="00836864" w:rsidRPr="00A13781">
        <w:rPr>
          <w:rFonts w:ascii="Arial" w:hAnsi="Arial" w:cs="Arial"/>
          <w:sz w:val="24"/>
          <w:szCs w:val="24"/>
        </w:rPr>
        <w:t xml:space="preserve">no sólo </w:t>
      </w:r>
      <w:r w:rsidR="0037170F" w:rsidRPr="00A13781">
        <w:rPr>
          <w:rFonts w:ascii="Arial" w:hAnsi="Arial" w:cs="Arial"/>
          <w:sz w:val="24"/>
          <w:szCs w:val="24"/>
        </w:rPr>
        <w:t>los “valores morales”</w:t>
      </w:r>
      <w:r w:rsidR="008F45E0" w:rsidRPr="00A13781">
        <w:rPr>
          <w:rFonts w:ascii="Arial" w:hAnsi="Arial" w:cs="Arial"/>
          <w:sz w:val="24"/>
          <w:szCs w:val="24"/>
        </w:rPr>
        <w:t xml:space="preserve"> </w:t>
      </w:r>
      <w:r w:rsidR="00836864" w:rsidRPr="00A13781">
        <w:rPr>
          <w:rFonts w:ascii="Arial" w:hAnsi="Arial" w:cs="Arial"/>
          <w:sz w:val="24"/>
          <w:szCs w:val="24"/>
        </w:rPr>
        <w:t xml:space="preserve">de </w:t>
      </w:r>
      <w:r w:rsidR="008F45E0" w:rsidRPr="00A13781">
        <w:rPr>
          <w:rFonts w:ascii="Arial" w:hAnsi="Arial" w:cs="Arial"/>
          <w:sz w:val="24"/>
          <w:szCs w:val="24"/>
        </w:rPr>
        <w:t>“lo femenino” sino del grado de civilidad o desarrollo del país/ provincia/</w:t>
      </w:r>
      <w:r w:rsidR="00836864" w:rsidRPr="00A13781">
        <w:rPr>
          <w:rFonts w:ascii="Arial" w:hAnsi="Arial" w:cs="Arial"/>
          <w:sz w:val="24"/>
          <w:szCs w:val="24"/>
        </w:rPr>
        <w:t xml:space="preserve">ciudad </w:t>
      </w:r>
      <w:r w:rsidR="008F45E0" w:rsidRPr="00A13781">
        <w:rPr>
          <w:rFonts w:ascii="Arial" w:hAnsi="Arial" w:cs="Arial"/>
          <w:sz w:val="24"/>
          <w:szCs w:val="24"/>
        </w:rPr>
        <w:t>(</w:t>
      </w:r>
      <w:r w:rsidR="00C15E38" w:rsidRPr="00A13781">
        <w:rPr>
          <w:rFonts w:ascii="Arial" w:hAnsi="Arial" w:cs="Arial"/>
          <w:sz w:val="24"/>
          <w:szCs w:val="24"/>
        </w:rPr>
        <w:t>Bolívar</w:t>
      </w:r>
      <w:r w:rsidR="00A35EB3" w:rsidRPr="00A13781">
        <w:rPr>
          <w:rFonts w:ascii="Arial" w:hAnsi="Arial" w:cs="Arial"/>
          <w:sz w:val="24"/>
          <w:szCs w:val="24"/>
        </w:rPr>
        <w:t xml:space="preserve"> </w:t>
      </w:r>
      <w:r w:rsidR="00C15E38" w:rsidRPr="00A13781">
        <w:rPr>
          <w:rFonts w:ascii="Arial" w:hAnsi="Arial" w:cs="Arial"/>
          <w:sz w:val="24"/>
          <w:szCs w:val="24"/>
        </w:rPr>
        <w:t>Ramírez</w:t>
      </w:r>
      <w:r w:rsidR="00A35EB3" w:rsidRPr="00A13781">
        <w:rPr>
          <w:rFonts w:ascii="Arial" w:hAnsi="Arial" w:cs="Arial"/>
          <w:sz w:val="24"/>
          <w:szCs w:val="24"/>
        </w:rPr>
        <w:t>, 2007).</w:t>
      </w:r>
      <w:r w:rsidR="008F45E0" w:rsidRPr="00A13781">
        <w:rPr>
          <w:rFonts w:ascii="Arial" w:hAnsi="Arial" w:cs="Arial"/>
          <w:sz w:val="24"/>
          <w:szCs w:val="24"/>
        </w:rPr>
        <w:t xml:space="preserve"> </w:t>
      </w:r>
      <w:r w:rsidR="00DA4952" w:rsidRPr="00A13781">
        <w:rPr>
          <w:rFonts w:ascii="Arial" w:hAnsi="Arial" w:cs="Arial"/>
          <w:sz w:val="24"/>
          <w:szCs w:val="24"/>
        </w:rPr>
        <w:t>Recientemente, la</w:t>
      </w:r>
      <w:r w:rsidR="000E39E2" w:rsidRPr="00A13781">
        <w:rPr>
          <w:rFonts w:ascii="Arial" w:hAnsi="Arial" w:cs="Arial"/>
          <w:sz w:val="24"/>
          <w:szCs w:val="24"/>
        </w:rPr>
        <w:t xml:space="preserve"> </w:t>
      </w:r>
      <w:proofErr w:type="spellStart"/>
      <w:r w:rsidR="000E39E2" w:rsidRPr="00A13781">
        <w:rPr>
          <w:rFonts w:ascii="Arial" w:hAnsi="Arial" w:cs="Arial"/>
          <w:sz w:val="24"/>
          <w:szCs w:val="24"/>
        </w:rPr>
        <w:t>visi</w:t>
      </w:r>
      <w:r w:rsidR="004038F7" w:rsidRPr="00A13781">
        <w:rPr>
          <w:rFonts w:ascii="Arial" w:hAnsi="Arial" w:cs="Arial"/>
          <w:sz w:val="24"/>
          <w:szCs w:val="24"/>
        </w:rPr>
        <w:t>bilizació</w:t>
      </w:r>
      <w:r w:rsidR="000E39E2" w:rsidRPr="00A13781">
        <w:rPr>
          <w:rFonts w:ascii="Arial" w:hAnsi="Arial" w:cs="Arial"/>
          <w:sz w:val="24"/>
          <w:szCs w:val="24"/>
        </w:rPr>
        <w:t>n</w:t>
      </w:r>
      <w:proofErr w:type="spellEnd"/>
      <w:r w:rsidR="000E39E2" w:rsidRPr="00A13781">
        <w:rPr>
          <w:rFonts w:ascii="Arial" w:hAnsi="Arial" w:cs="Arial"/>
          <w:sz w:val="24"/>
          <w:szCs w:val="24"/>
        </w:rPr>
        <w:t xml:space="preserve"> de la violencia simbólica que implica la consagración de la </w:t>
      </w:r>
      <w:r w:rsidR="004038F7" w:rsidRPr="00A13781">
        <w:rPr>
          <w:rFonts w:ascii="Arial" w:hAnsi="Arial" w:cs="Arial"/>
          <w:sz w:val="24"/>
          <w:szCs w:val="24"/>
        </w:rPr>
        <w:t>belleza</w:t>
      </w:r>
      <w:r w:rsidR="000E39E2" w:rsidRPr="00A13781">
        <w:rPr>
          <w:rFonts w:ascii="Arial" w:hAnsi="Arial" w:cs="Arial"/>
          <w:sz w:val="24"/>
          <w:szCs w:val="24"/>
        </w:rPr>
        <w:t xml:space="preserve"> </w:t>
      </w:r>
      <w:r w:rsidR="00DA4952" w:rsidRPr="00A13781">
        <w:rPr>
          <w:rFonts w:ascii="Arial" w:hAnsi="Arial" w:cs="Arial"/>
          <w:sz w:val="24"/>
          <w:szCs w:val="24"/>
        </w:rPr>
        <w:t xml:space="preserve">hegemónica </w:t>
      </w:r>
      <w:r w:rsidR="00CF3641" w:rsidRPr="00A13781">
        <w:rPr>
          <w:rFonts w:ascii="Arial" w:hAnsi="Arial" w:cs="Arial"/>
          <w:sz w:val="24"/>
          <w:szCs w:val="24"/>
        </w:rPr>
        <w:t>occidental</w:t>
      </w:r>
      <w:r w:rsidR="000E39E2" w:rsidRPr="00A13781">
        <w:rPr>
          <w:rFonts w:ascii="Arial" w:hAnsi="Arial" w:cs="Arial"/>
          <w:sz w:val="24"/>
          <w:szCs w:val="24"/>
        </w:rPr>
        <w:t>,</w:t>
      </w:r>
      <w:r w:rsidR="00CF3641" w:rsidRPr="00A13781">
        <w:rPr>
          <w:rFonts w:ascii="Arial" w:hAnsi="Arial" w:cs="Arial"/>
          <w:sz w:val="24"/>
          <w:szCs w:val="24"/>
        </w:rPr>
        <w:t xml:space="preserve">  ha dado lugar a </w:t>
      </w:r>
      <w:r w:rsidR="00DA4952" w:rsidRPr="00A13781">
        <w:rPr>
          <w:rFonts w:ascii="Arial" w:hAnsi="Arial" w:cs="Arial"/>
          <w:sz w:val="24"/>
          <w:szCs w:val="24"/>
        </w:rPr>
        <w:t xml:space="preserve">la suspensión de varios de </w:t>
      </w:r>
      <w:r w:rsidR="000E39E2" w:rsidRPr="00A13781">
        <w:rPr>
          <w:rFonts w:ascii="Arial" w:hAnsi="Arial" w:cs="Arial"/>
          <w:sz w:val="24"/>
          <w:szCs w:val="24"/>
        </w:rPr>
        <w:t>estos certámenes</w:t>
      </w:r>
      <w:r w:rsidR="004038F7" w:rsidRPr="00A13781">
        <w:rPr>
          <w:rStyle w:val="Refdenotaalpie"/>
          <w:rFonts w:ascii="Arial" w:hAnsi="Arial" w:cs="Arial"/>
          <w:sz w:val="24"/>
          <w:szCs w:val="24"/>
        </w:rPr>
        <w:footnoteReference w:id="1"/>
      </w:r>
      <w:r w:rsidR="000E39E2" w:rsidRPr="00A13781">
        <w:rPr>
          <w:rFonts w:ascii="Arial" w:hAnsi="Arial" w:cs="Arial"/>
          <w:sz w:val="24"/>
          <w:szCs w:val="24"/>
        </w:rPr>
        <w:t xml:space="preserve"> </w:t>
      </w:r>
      <w:r w:rsidR="004038F7" w:rsidRPr="00A13781">
        <w:rPr>
          <w:rFonts w:ascii="Arial" w:hAnsi="Arial" w:cs="Arial"/>
          <w:sz w:val="24"/>
          <w:szCs w:val="24"/>
        </w:rPr>
        <w:t xml:space="preserve">a lo </w:t>
      </w:r>
      <w:r w:rsidR="004038F7" w:rsidRPr="00A13781">
        <w:rPr>
          <w:rFonts w:ascii="Arial" w:hAnsi="Arial" w:cs="Arial"/>
          <w:sz w:val="24"/>
          <w:szCs w:val="24"/>
        </w:rPr>
        <w:lastRenderedPageBreak/>
        <w:t xml:space="preserve">que se suma </w:t>
      </w:r>
      <w:r w:rsidR="00CF3641" w:rsidRPr="00A13781">
        <w:rPr>
          <w:rFonts w:ascii="Arial" w:hAnsi="Arial" w:cs="Arial"/>
          <w:sz w:val="24"/>
          <w:szCs w:val="24"/>
        </w:rPr>
        <w:t>la emergencia de concursos alternativos</w:t>
      </w:r>
      <w:r w:rsidR="00C15E38" w:rsidRPr="00A13781">
        <w:rPr>
          <w:rFonts w:ascii="Arial" w:hAnsi="Arial" w:cs="Arial"/>
          <w:sz w:val="24"/>
          <w:szCs w:val="24"/>
        </w:rPr>
        <w:t xml:space="preserve">, </w:t>
      </w:r>
      <w:r w:rsidR="00CF3641" w:rsidRPr="00A13781">
        <w:rPr>
          <w:rFonts w:ascii="Arial" w:hAnsi="Arial" w:cs="Arial"/>
          <w:sz w:val="24"/>
          <w:szCs w:val="24"/>
        </w:rPr>
        <w:t>por e</w:t>
      </w:r>
      <w:r w:rsidR="004038F7" w:rsidRPr="00A13781">
        <w:rPr>
          <w:rFonts w:ascii="Arial" w:hAnsi="Arial" w:cs="Arial"/>
          <w:sz w:val="24"/>
          <w:szCs w:val="24"/>
        </w:rPr>
        <w:t xml:space="preserve">jemplo, </w:t>
      </w:r>
      <w:r w:rsidR="00C15E38" w:rsidRPr="00A13781">
        <w:rPr>
          <w:rFonts w:ascii="Arial" w:hAnsi="Arial" w:cs="Arial"/>
          <w:sz w:val="24"/>
          <w:szCs w:val="24"/>
        </w:rPr>
        <w:t xml:space="preserve">aquellos que </w:t>
      </w:r>
      <w:r w:rsidR="00CF3641" w:rsidRPr="00A13781">
        <w:rPr>
          <w:rFonts w:ascii="Arial" w:hAnsi="Arial" w:cs="Arial"/>
          <w:sz w:val="24"/>
          <w:szCs w:val="24"/>
        </w:rPr>
        <w:t xml:space="preserve">revalorizan grupos étnicos </w:t>
      </w:r>
      <w:r w:rsidR="00DA4952" w:rsidRPr="00A13781">
        <w:rPr>
          <w:rFonts w:ascii="Arial" w:hAnsi="Arial" w:cs="Arial"/>
          <w:sz w:val="24"/>
          <w:szCs w:val="24"/>
        </w:rPr>
        <w:t xml:space="preserve">relegados </w:t>
      </w:r>
      <w:r w:rsidR="00F35DB9" w:rsidRPr="00A13781">
        <w:rPr>
          <w:rFonts w:ascii="Arial" w:hAnsi="Arial" w:cs="Arial"/>
          <w:sz w:val="24"/>
          <w:szCs w:val="24"/>
        </w:rPr>
        <w:t>(</w:t>
      </w:r>
      <w:proofErr w:type="spellStart"/>
      <w:r w:rsidR="00F35DB9" w:rsidRPr="00A13781">
        <w:rPr>
          <w:rFonts w:ascii="Arial" w:hAnsi="Arial" w:cs="Arial"/>
          <w:sz w:val="24"/>
          <w:szCs w:val="24"/>
        </w:rPr>
        <w:t>Goetschel</w:t>
      </w:r>
      <w:proofErr w:type="spellEnd"/>
      <w:r w:rsidR="00F35DB9" w:rsidRPr="00A13781">
        <w:rPr>
          <w:rFonts w:ascii="Arial" w:hAnsi="Arial" w:cs="Arial"/>
          <w:sz w:val="24"/>
          <w:szCs w:val="24"/>
        </w:rPr>
        <w:t xml:space="preserve"> 2004).</w:t>
      </w:r>
      <w:r w:rsidR="00530CD7" w:rsidRPr="00A13781">
        <w:rPr>
          <w:rStyle w:val="Refdenotaalpie"/>
          <w:rFonts w:ascii="Arial" w:hAnsi="Arial" w:cs="Arial"/>
          <w:sz w:val="24"/>
          <w:szCs w:val="24"/>
        </w:rPr>
        <w:footnoteReference w:id="2"/>
      </w:r>
    </w:p>
    <w:p w:rsidR="00E268A0" w:rsidRPr="00A13781" w:rsidRDefault="00E268A0" w:rsidP="00B62642">
      <w:pPr>
        <w:spacing w:line="360" w:lineRule="auto"/>
        <w:jc w:val="both"/>
        <w:rPr>
          <w:rFonts w:ascii="Arial" w:hAnsi="Arial" w:cs="Arial"/>
          <w:sz w:val="24"/>
          <w:szCs w:val="24"/>
        </w:rPr>
      </w:pPr>
      <w:r w:rsidRPr="00A13781">
        <w:rPr>
          <w:rFonts w:ascii="Arial" w:hAnsi="Arial" w:cs="Arial"/>
          <w:sz w:val="24"/>
          <w:szCs w:val="24"/>
        </w:rPr>
        <w:t xml:space="preserve">En el caso de las cumbias los contenidos sexistas de sus letras fueron explícitos entre los años 2002y 2006 </w:t>
      </w:r>
      <w:r w:rsidR="00C65226" w:rsidRPr="00A13781">
        <w:rPr>
          <w:rFonts w:ascii="Arial" w:hAnsi="Arial" w:cs="Arial"/>
          <w:sz w:val="24"/>
          <w:szCs w:val="24"/>
        </w:rPr>
        <w:t>con títulos como “</w:t>
      </w:r>
      <w:proofErr w:type="spellStart"/>
      <w:r w:rsidR="00C65226" w:rsidRPr="00A13781">
        <w:rPr>
          <w:rFonts w:ascii="Arial" w:hAnsi="Arial" w:cs="Arial"/>
          <w:sz w:val="24"/>
          <w:szCs w:val="24"/>
        </w:rPr>
        <w:t>Sos</w:t>
      </w:r>
      <w:proofErr w:type="spellEnd"/>
      <w:r w:rsidR="00C65226" w:rsidRPr="00A13781">
        <w:rPr>
          <w:rFonts w:ascii="Arial" w:hAnsi="Arial" w:cs="Arial"/>
          <w:sz w:val="24"/>
          <w:szCs w:val="24"/>
        </w:rPr>
        <w:t xml:space="preserve"> una hija de p…” de Damas Gratis, “La pollera colorada” de Jimmy y su combo negro o “Se te ve la tanga” de Damas Gratis, entre otros, letras que aún se escuchan en radios y boliches urbanos y suburbanos</w:t>
      </w:r>
      <w:r w:rsidR="00E32E1A" w:rsidRPr="00A13781">
        <w:rPr>
          <w:rFonts w:ascii="Arial" w:hAnsi="Arial" w:cs="Arial"/>
          <w:sz w:val="24"/>
          <w:szCs w:val="24"/>
        </w:rPr>
        <w:t xml:space="preserve">. El contenido de estas letras, si bien variadas a lo largo de los últimos años en sus contenidos alusivos de clase y género, expresan formas </w:t>
      </w:r>
      <w:proofErr w:type="spellStart"/>
      <w:r w:rsidR="00E32E1A" w:rsidRPr="00A13781">
        <w:rPr>
          <w:rFonts w:ascii="Arial" w:hAnsi="Arial" w:cs="Arial"/>
          <w:sz w:val="24"/>
          <w:szCs w:val="24"/>
        </w:rPr>
        <w:t>formas</w:t>
      </w:r>
      <w:proofErr w:type="spellEnd"/>
      <w:r w:rsidR="00E32E1A" w:rsidRPr="00A13781">
        <w:rPr>
          <w:rFonts w:ascii="Arial" w:hAnsi="Arial" w:cs="Arial"/>
          <w:sz w:val="24"/>
          <w:szCs w:val="24"/>
        </w:rPr>
        <w:t xml:space="preserve"> específicas de intercambios afectivos y sexuales mediados por relaciones</w:t>
      </w:r>
      <w:r w:rsidR="007B002A" w:rsidRPr="00A13781">
        <w:rPr>
          <w:rFonts w:ascii="Arial" w:hAnsi="Arial" w:cs="Arial"/>
          <w:sz w:val="24"/>
          <w:szCs w:val="24"/>
        </w:rPr>
        <w:t xml:space="preserve"> sociales</w:t>
      </w:r>
      <w:r w:rsidR="00E32E1A" w:rsidRPr="00A13781">
        <w:rPr>
          <w:rFonts w:ascii="Arial" w:hAnsi="Arial" w:cs="Arial"/>
          <w:sz w:val="24"/>
          <w:szCs w:val="24"/>
        </w:rPr>
        <w:t xml:space="preserve"> desiguales de poder en ámbitos locales y regionales.</w:t>
      </w:r>
    </w:p>
    <w:p w:rsidR="00CE07D9" w:rsidRPr="00A13781" w:rsidRDefault="00E32E1A" w:rsidP="00B62642">
      <w:pPr>
        <w:spacing w:line="360" w:lineRule="auto"/>
        <w:jc w:val="both"/>
        <w:rPr>
          <w:rFonts w:ascii="Arial" w:hAnsi="Arial" w:cs="Arial"/>
          <w:sz w:val="24"/>
          <w:szCs w:val="24"/>
        </w:rPr>
      </w:pPr>
      <w:r w:rsidRPr="00A13781">
        <w:rPr>
          <w:rFonts w:ascii="Arial" w:hAnsi="Arial" w:cs="Arial"/>
          <w:sz w:val="24"/>
          <w:szCs w:val="24"/>
        </w:rPr>
        <w:t>S</w:t>
      </w:r>
      <w:r w:rsidR="0066053F" w:rsidRPr="00A13781">
        <w:rPr>
          <w:rFonts w:ascii="Arial" w:hAnsi="Arial" w:cs="Arial"/>
          <w:sz w:val="24"/>
          <w:szCs w:val="24"/>
        </w:rPr>
        <w:t xml:space="preserve">i tenemos en cuenta que el desarrollo de movimientos sociales urbanos se incrementó en </w:t>
      </w:r>
      <w:r w:rsidR="004646BF" w:rsidRPr="00A13781">
        <w:rPr>
          <w:rFonts w:ascii="Arial" w:hAnsi="Arial" w:cs="Arial"/>
          <w:sz w:val="24"/>
          <w:szCs w:val="24"/>
        </w:rPr>
        <w:t xml:space="preserve">el país </w:t>
      </w:r>
      <w:r w:rsidR="0066053F" w:rsidRPr="00A13781">
        <w:rPr>
          <w:rFonts w:ascii="Arial" w:hAnsi="Arial" w:cs="Arial"/>
          <w:sz w:val="24"/>
          <w:szCs w:val="24"/>
        </w:rPr>
        <w:t>luego de la crisis del año 2001 con la emergencia de movimientos de trabajadores desocupados</w:t>
      </w:r>
      <w:r w:rsidR="004646BF" w:rsidRPr="00A13781">
        <w:rPr>
          <w:rFonts w:ascii="Arial" w:hAnsi="Arial" w:cs="Arial"/>
          <w:sz w:val="24"/>
          <w:szCs w:val="24"/>
        </w:rPr>
        <w:t xml:space="preserve"> (muchos de ellos protagonizados por mujeres), asambleas vecinales, y empresas recuperadas junto con expresiones colectivas culturales, no pueden sino ser considerados como antecedentes inmediatos para el desarrollo y emergencia de movimientos feministas que trascendieron los espacios privados para proyectarse en una dimensión pública y política que cuestiona desde las prácticas laborales familiares los roles tradicionales de g</w:t>
      </w:r>
      <w:r w:rsidR="00997D85" w:rsidRPr="00A13781">
        <w:rPr>
          <w:rFonts w:ascii="Arial" w:hAnsi="Arial" w:cs="Arial"/>
          <w:sz w:val="24"/>
          <w:szCs w:val="24"/>
        </w:rPr>
        <w:t>énero y que al mismo tiempo se encuentre</w:t>
      </w:r>
      <w:r w:rsidR="004646BF" w:rsidRPr="00A13781">
        <w:rPr>
          <w:rFonts w:ascii="Arial" w:hAnsi="Arial" w:cs="Arial"/>
          <w:sz w:val="24"/>
          <w:szCs w:val="24"/>
        </w:rPr>
        <w:t xml:space="preserve"> en condiciones de controlar junto con las consecuencias culturales positivas las negativas como la violencia contra las mujeres en la</w:t>
      </w:r>
      <w:r w:rsidR="00C36D5F" w:rsidRPr="00A13781">
        <w:rPr>
          <w:rFonts w:ascii="Arial" w:hAnsi="Arial" w:cs="Arial"/>
          <w:sz w:val="24"/>
          <w:szCs w:val="24"/>
        </w:rPr>
        <w:t>s relaciones sociales de género y sus manifestaciones mediáticas y culturales locales-</w:t>
      </w:r>
    </w:p>
    <w:p w:rsidR="00530CD7" w:rsidRPr="00A13781" w:rsidRDefault="00DD351B" w:rsidP="00B62642">
      <w:pPr>
        <w:spacing w:line="360" w:lineRule="auto"/>
        <w:jc w:val="both"/>
        <w:rPr>
          <w:rFonts w:ascii="Arial" w:hAnsi="Arial" w:cs="Arial"/>
          <w:sz w:val="24"/>
          <w:szCs w:val="24"/>
        </w:rPr>
      </w:pPr>
      <w:r w:rsidRPr="00A13781">
        <w:rPr>
          <w:rFonts w:ascii="Arial" w:hAnsi="Arial" w:cs="Arial"/>
          <w:sz w:val="24"/>
          <w:szCs w:val="24"/>
        </w:rPr>
        <w:t xml:space="preserve">    </w:t>
      </w:r>
    </w:p>
    <w:p w:rsidR="00530CD7" w:rsidRPr="00A13781" w:rsidRDefault="00530CD7" w:rsidP="00B62642">
      <w:pPr>
        <w:spacing w:line="360" w:lineRule="auto"/>
        <w:jc w:val="both"/>
        <w:rPr>
          <w:rFonts w:ascii="Arial" w:hAnsi="Arial" w:cs="Arial"/>
          <w:sz w:val="24"/>
          <w:szCs w:val="24"/>
        </w:rPr>
      </w:pPr>
    </w:p>
    <w:p w:rsidR="00DD351B" w:rsidRPr="00A13781" w:rsidRDefault="00DD351B" w:rsidP="00B62642">
      <w:pPr>
        <w:spacing w:line="360" w:lineRule="auto"/>
        <w:jc w:val="both"/>
        <w:rPr>
          <w:rFonts w:ascii="Arial" w:hAnsi="Arial" w:cs="Arial"/>
          <w:b/>
          <w:sz w:val="24"/>
          <w:szCs w:val="24"/>
        </w:rPr>
      </w:pPr>
      <w:r w:rsidRPr="00A13781">
        <w:rPr>
          <w:rFonts w:ascii="Arial" w:hAnsi="Arial" w:cs="Arial"/>
          <w:sz w:val="24"/>
          <w:szCs w:val="24"/>
        </w:rPr>
        <w:lastRenderedPageBreak/>
        <w:t xml:space="preserve"> </w:t>
      </w:r>
      <w:r w:rsidR="00073F2E" w:rsidRPr="00A13781">
        <w:rPr>
          <w:rFonts w:ascii="Arial" w:hAnsi="Arial" w:cs="Arial"/>
          <w:b/>
          <w:sz w:val="24"/>
          <w:szCs w:val="24"/>
        </w:rPr>
        <w:t>Algunas C</w:t>
      </w:r>
      <w:r w:rsidRPr="00A13781">
        <w:rPr>
          <w:rFonts w:ascii="Arial" w:hAnsi="Arial" w:cs="Arial"/>
          <w:b/>
          <w:sz w:val="24"/>
          <w:szCs w:val="24"/>
        </w:rPr>
        <w:t>onclusiones</w:t>
      </w:r>
    </w:p>
    <w:p w:rsidR="00DD351B" w:rsidRPr="00A13781" w:rsidRDefault="00DD351B" w:rsidP="00B62642">
      <w:pPr>
        <w:spacing w:line="360" w:lineRule="auto"/>
        <w:jc w:val="both"/>
        <w:rPr>
          <w:rFonts w:ascii="Arial" w:hAnsi="Arial" w:cs="Arial"/>
          <w:sz w:val="24"/>
          <w:szCs w:val="24"/>
        </w:rPr>
      </w:pPr>
      <w:r w:rsidRPr="00A13781">
        <w:rPr>
          <w:rFonts w:ascii="Arial" w:hAnsi="Arial" w:cs="Arial"/>
          <w:sz w:val="24"/>
          <w:szCs w:val="24"/>
        </w:rPr>
        <w:t>Es lo más común pensar que las relaciones sexuales</w:t>
      </w:r>
      <w:r w:rsidR="00174154" w:rsidRPr="00A13781">
        <w:rPr>
          <w:rFonts w:ascii="Arial" w:hAnsi="Arial" w:cs="Arial"/>
          <w:sz w:val="24"/>
          <w:szCs w:val="24"/>
        </w:rPr>
        <w:t xml:space="preserve"> y afectivas</w:t>
      </w:r>
      <w:r w:rsidRPr="00A13781">
        <w:rPr>
          <w:rFonts w:ascii="Arial" w:hAnsi="Arial" w:cs="Arial"/>
          <w:sz w:val="24"/>
          <w:szCs w:val="24"/>
        </w:rPr>
        <w:t xml:space="preserve"> entre las personas no guardan relación con las cuestiones</w:t>
      </w:r>
      <w:r w:rsidR="00E24CD5" w:rsidRPr="00A13781">
        <w:rPr>
          <w:rFonts w:ascii="Arial" w:hAnsi="Arial" w:cs="Arial"/>
          <w:sz w:val="24"/>
          <w:szCs w:val="24"/>
        </w:rPr>
        <w:t xml:space="preserve"> sociales y/o</w:t>
      </w:r>
      <w:r w:rsidRPr="00A13781">
        <w:rPr>
          <w:rFonts w:ascii="Arial" w:hAnsi="Arial" w:cs="Arial"/>
          <w:sz w:val="24"/>
          <w:szCs w:val="24"/>
        </w:rPr>
        <w:t xml:space="preserve"> políticas.  El derecho de origen liberal ha sido confundido con el hecho de no inmiscuir al espacio público en cuestiones que atañen  al mundo o espacio privado. En esta visión  el liberalismo se ha reservado  garantizar la “libertad de elección sexual” de aquéllos que se ven amenazados, como en el orden económico frente al estado, en sus elecciones y preferencias sexuales. Esta cuestión no se reduce a las problemática de género y tampoco supondría o daría por supuesto que la realización de estas es plenamente consentida y libre de coacciones. Por el contrario, la postura liberal es una defensa frente a la existencia de restricciones sexuales explícitas en sociedades en donde la cultura autoritaria y conservadora, que caracteriza al desarrollo del capitalismo en disti</w:t>
      </w:r>
      <w:r w:rsidR="00E24CD5" w:rsidRPr="00A13781">
        <w:rPr>
          <w:rFonts w:ascii="Arial" w:hAnsi="Arial" w:cs="Arial"/>
          <w:sz w:val="24"/>
          <w:szCs w:val="24"/>
        </w:rPr>
        <w:t>ntas fases (</w:t>
      </w:r>
      <w:proofErr w:type="spellStart"/>
      <w:r w:rsidR="00E24CD5" w:rsidRPr="00A13781">
        <w:rPr>
          <w:rFonts w:ascii="Arial" w:hAnsi="Arial" w:cs="Arial"/>
          <w:sz w:val="24"/>
          <w:szCs w:val="24"/>
        </w:rPr>
        <w:t>Rubin</w:t>
      </w:r>
      <w:proofErr w:type="spellEnd"/>
      <w:r w:rsidR="00E24CD5" w:rsidRPr="00A13781">
        <w:rPr>
          <w:rFonts w:ascii="Arial" w:hAnsi="Arial" w:cs="Arial"/>
          <w:sz w:val="24"/>
          <w:szCs w:val="24"/>
        </w:rPr>
        <w:t xml:space="preserve">, 1989; </w:t>
      </w:r>
      <w:proofErr w:type="spellStart"/>
      <w:r w:rsidR="00E24CD5" w:rsidRPr="00A13781">
        <w:rPr>
          <w:rFonts w:ascii="Arial" w:hAnsi="Arial" w:cs="Arial"/>
          <w:sz w:val="24"/>
          <w:szCs w:val="24"/>
        </w:rPr>
        <w:t>Op</w:t>
      </w:r>
      <w:proofErr w:type="spellEnd"/>
      <w:r w:rsidR="00E24CD5" w:rsidRPr="00A13781">
        <w:rPr>
          <w:rFonts w:ascii="Arial" w:hAnsi="Arial" w:cs="Arial"/>
          <w:sz w:val="24"/>
          <w:szCs w:val="24"/>
        </w:rPr>
        <w:t xml:space="preserve"> </w:t>
      </w:r>
      <w:proofErr w:type="spellStart"/>
      <w:r w:rsidR="00E24CD5" w:rsidRPr="00A13781">
        <w:rPr>
          <w:rFonts w:ascii="Arial" w:hAnsi="Arial" w:cs="Arial"/>
          <w:sz w:val="24"/>
          <w:szCs w:val="24"/>
        </w:rPr>
        <w:t>Cit</w:t>
      </w:r>
      <w:proofErr w:type="spellEnd"/>
      <w:r w:rsidRPr="00A13781">
        <w:rPr>
          <w:rFonts w:ascii="Arial" w:hAnsi="Arial" w:cs="Arial"/>
          <w:sz w:val="24"/>
          <w:szCs w:val="24"/>
        </w:rPr>
        <w:t>), conforma una acabada expresión de la exclusión y restricciones sexuales que padece gran parte de la población. A veces como restricción directa sexual que castiga a ciertas conductas consideradas “desvíos”, pero en general como dificultades latentes y manifiest</w:t>
      </w:r>
      <w:r w:rsidR="00174154" w:rsidRPr="00A13781">
        <w:rPr>
          <w:rFonts w:ascii="Arial" w:hAnsi="Arial" w:cs="Arial"/>
          <w:sz w:val="24"/>
          <w:szCs w:val="24"/>
        </w:rPr>
        <w:t>as de origen social, económico,</w:t>
      </w:r>
      <w:r w:rsidRPr="00A13781">
        <w:rPr>
          <w:rFonts w:ascii="Arial" w:hAnsi="Arial" w:cs="Arial"/>
          <w:sz w:val="24"/>
          <w:szCs w:val="24"/>
        </w:rPr>
        <w:t xml:space="preserve"> político</w:t>
      </w:r>
      <w:r w:rsidR="00174154" w:rsidRPr="00A13781">
        <w:rPr>
          <w:rFonts w:ascii="Arial" w:hAnsi="Arial" w:cs="Arial"/>
          <w:sz w:val="24"/>
          <w:szCs w:val="24"/>
        </w:rPr>
        <w:t xml:space="preserve"> y culturales y del desarrollo de políticas educativas</w:t>
      </w:r>
      <w:r w:rsidR="00073F2E" w:rsidRPr="00A13781">
        <w:rPr>
          <w:rFonts w:ascii="Arial" w:hAnsi="Arial" w:cs="Arial"/>
          <w:sz w:val="24"/>
          <w:szCs w:val="24"/>
        </w:rPr>
        <w:t xml:space="preserve"> y </w:t>
      </w:r>
      <w:proofErr w:type="spellStart"/>
      <w:r w:rsidR="00073F2E" w:rsidRPr="00A13781">
        <w:rPr>
          <w:rFonts w:ascii="Arial" w:hAnsi="Arial" w:cs="Arial"/>
          <w:sz w:val="24"/>
          <w:szCs w:val="24"/>
        </w:rPr>
        <w:t>macrosociales</w:t>
      </w:r>
      <w:proofErr w:type="spellEnd"/>
      <w:r w:rsidR="00073F2E" w:rsidRPr="00A13781">
        <w:rPr>
          <w:rFonts w:ascii="Arial" w:hAnsi="Arial" w:cs="Arial"/>
          <w:sz w:val="24"/>
          <w:szCs w:val="24"/>
        </w:rPr>
        <w:t xml:space="preserve"> integrales</w:t>
      </w:r>
      <w:r w:rsidR="00174154" w:rsidRPr="00A13781">
        <w:rPr>
          <w:rFonts w:ascii="Arial" w:hAnsi="Arial" w:cs="Arial"/>
          <w:sz w:val="24"/>
          <w:szCs w:val="24"/>
        </w:rPr>
        <w:t>.</w:t>
      </w:r>
      <w:r w:rsidRPr="00A13781">
        <w:rPr>
          <w:rFonts w:ascii="Arial" w:hAnsi="Arial" w:cs="Arial"/>
          <w:sz w:val="24"/>
          <w:szCs w:val="24"/>
        </w:rPr>
        <w:t xml:space="preserve"> El análisis  de la dimensión existencial y afectiva  -generalmente reservada a una subjetividad que en todo caso es materia de análisis psicológico- muestra la plena incidencia de las relaciones sociales y políticas en esta materia (en el ámbito de lo íntimo) y  su incidencia cultural diferencial con respecto a subjetividades de género que a la vez se han ido conformado en un sustrato social y económico de valoraciones (de sus precondiciones sociales y existenciales) frente a cuestiones referidas al género y la sexualidad. </w:t>
      </w:r>
      <w:r w:rsidR="00E24CD5" w:rsidRPr="00A13781">
        <w:rPr>
          <w:rFonts w:ascii="Arial" w:hAnsi="Arial" w:cs="Arial"/>
          <w:sz w:val="24"/>
          <w:szCs w:val="24"/>
        </w:rPr>
        <w:t xml:space="preserve"> El incremento de las desigualdades sociales durante las últimas décadas, </w:t>
      </w:r>
      <w:r w:rsidR="00C767EB" w:rsidRPr="00A13781">
        <w:rPr>
          <w:rFonts w:ascii="Arial" w:hAnsi="Arial" w:cs="Arial"/>
          <w:sz w:val="24"/>
          <w:szCs w:val="24"/>
        </w:rPr>
        <w:t>(</w:t>
      </w:r>
      <w:r w:rsidR="00E24CD5" w:rsidRPr="00A13781">
        <w:rPr>
          <w:rFonts w:ascii="Arial" w:hAnsi="Arial" w:cs="Arial"/>
          <w:sz w:val="24"/>
          <w:szCs w:val="24"/>
        </w:rPr>
        <w:t>afectando difere</w:t>
      </w:r>
      <w:r w:rsidR="007C18E9" w:rsidRPr="00A13781">
        <w:rPr>
          <w:rFonts w:ascii="Arial" w:hAnsi="Arial" w:cs="Arial"/>
          <w:sz w:val="24"/>
          <w:szCs w:val="24"/>
        </w:rPr>
        <w:t xml:space="preserve">ncialmente a hombres y mujeres en las que </w:t>
      </w:r>
      <w:r w:rsidR="00E24CD5" w:rsidRPr="00A13781">
        <w:rPr>
          <w:rFonts w:ascii="Arial" w:hAnsi="Arial" w:cs="Arial"/>
          <w:sz w:val="24"/>
          <w:szCs w:val="24"/>
        </w:rPr>
        <w:t>las últimas se hallan claramente desfavorecidas</w:t>
      </w:r>
      <w:r w:rsidR="00C767EB" w:rsidRPr="00A13781">
        <w:rPr>
          <w:rFonts w:ascii="Arial" w:hAnsi="Arial" w:cs="Arial"/>
          <w:sz w:val="24"/>
          <w:szCs w:val="24"/>
        </w:rPr>
        <w:t>)</w:t>
      </w:r>
      <w:r w:rsidR="00E24CD5" w:rsidRPr="00A13781">
        <w:rPr>
          <w:rFonts w:ascii="Arial" w:hAnsi="Arial" w:cs="Arial"/>
          <w:sz w:val="24"/>
          <w:szCs w:val="24"/>
        </w:rPr>
        <w:t xml:space="preserve"> junto con la fragmentación de los vínculos sociales </w:t>
      </w:r>
      <w:r w:rsidR="007C18E9" w:rsidRPr="00A13781">
        <w:rPr>
          <w:rFonts w:ascii="Arial" w:hAnsi="Arial" w:cs="Arial"/>
          <w:sz w:val="24"/>
          <w:szCs w:val="24"/>
        </w:rPr>
        <w:t xml:space="preserve">y </w:t>
      </w:r>
      <w:r w:rsidR="00E24CD5" w:rsidRPr="00A13781">
        <w:rPr>
          <w:rFonts w:ascii="Arial" w:hAnsi="Arial" w:cs="Arial"/>
          <w:sz w:val="24"/>
          <w:szCs w:val="24"/>
        </w:rPr>
        <w:t xml:space="preserve">los cambios culturales derivados de la profundización de las características del modernismo son factores que a su vez acentúan las consecuencias negativas del machismo y el patriarcalismo presentes en espacios locales específicos con sus consecuencias deletéreas y violentas. </w:t>
      </w:r>
      <w:r w:rsidR="00CB3D5D" w:rsidRPr="00A13781">
        <w:rPr>
          <w:rFonts w:ascii="Arial" w:hAnsi="Arial" w:cs="Arial"/>
          <w:sz w:val="24"/>
          <w:szCs w:val="24"/>
        </w:rPr>
        <w:t xml:space="preserve">En el ámbito de las expresiones mediáticas y artísticas reseñadas tienden a </w:t>
      </w:r>
      <w:r w:rsidR="00CB3D5D" w:rsidRPr="00A13781">
        <w:rPr>
          <w:rFonts w:ascii="Arial" w:hAnsi="Arial" w:cs="Arial"/>
          <w:sz w:val="24"/>
          <w:szCs w:val="24"/>
        </w:rPr>
        <w:lastRenderedPageBreak/>
        <w:t xml:space="preserve">visualizarse las relaciones de género como instancias </w:t>
      </w:r>
      <w:proofErr w:type="spellStart"/>
      <w:r w:rsidR="00CB3D5D" w:rsidRPr="00A13781">
        <w:rPr>
          <w:rFonts w:ascii="Arial" w:hAnsi="Arial" w:cs="Arial"/>
          <w:sz w:val="24"/>
          <w:szCs w:val="24"/>
        </w:rPr>
        <w:t>indviduales</w:t>
      </w:r>
      <w:proofErr w:type="spellEnd"/>
      <w:r w:rsidR="00CB3D5D" w:rsidRPr="00A13781">
        <w:rPr>
          <w:rFonts w:ascii="Arial" w:hAnsi="Arial" w:cs="Arial"/>
          <w:sz w:val="24"/>
          <w:szCs w:val="24"/>
        </w:rPr>
        <w:t xml:space="preserve"> o diádicas independientes de relaciones sociales, políticas y culturales.</w:t>
      </w:r>
    </w:p>
    <w:p w:rsidR="00E24CD5" w:rsidRPr="00A13781" w:rsidRDefault="0024611F" w:rsidP="00B62642">
      <w:pPr>
        <w:spacing w:line="360" w:lineRule="auto"/>
        <w:jc w:val="both"/>
        <w:rPr>
          <w:rFonts w:ascii="Arial" w:hAnsi="Arial" w:cs="Arial"/>
          <w:sz w:val="24"/>
          <w:szCs w:val="24"/>
        </w:rPr>
      </w:pPr>
      <w:r w:rsidRPr="00A13781">
        <w:rPr>
          <w:rFonts w:ascii="Arial" w:hAnsi="Arial" w:cs="Arial"/>
          <w:sz w:val="24"/>
          <w:szCs w:val="24"/>
        </w:rPr>
        <w:t>Una reflexión final sobre el obstáculo</w:t>
      </w:r>
      <w:r w:rsidR="005F2D36" w:rsidRPr="00A13781">
        <w:rPr>
          <w:rFonts w:ascii="Arial" w:hAnsi="Arial" w:cs="Arial"/>
          <w:sz w:val="24"/>
          <w:szCs w:val="24"/>
        </w:rPr>
        <w:t xml:space="preserve"> </w:t>
      </w:r>
      <w:r w:rsidRPr="00A13781">
        <w:rPr>
          <w:rFonts w:ascii="Arial" w:hAnsi="Arial" w:cs="Arial"/>
          <w:sz w:val="24"/>
          <w:szCs w:val="24"/>
        </w:rPr>
        <w:t>epistemológico</w:t>
      </w:r>
      <w:r w:rsidRPr="00A13781">
        <w:rPr>
          <w:rFonts w:ascii="Arial" w:hAnsi="Arial" w:cs="Arial"/>
          <w:i/>
          <w:sz w:val="24"/>
          <w:szCs w:val="24"/>
        </w:rPr>
        <w:t xml:space="preserve"> </w:t>
      </w:r>
      <w:proofErr w:type="spellStart"/>
      <w:r w:rsidRPr="00A13781">
        <w:rPr>
          <w:rFonts w:ascii="Arial" w:hAnsi="Arial" w:cs="Arial"/>
          <w:i/>
          <w:sz w:val="24"/>
          <w:szCs w:val="24"/>
        </w:rPr>
        <w:t>psicologista</w:t>
      </w:r>
      <w:proofErr w:type="spellEnd"/>
      <w:r w:rsidRPr="00A13781">
        <w:rPr>
          <w:rFonts w:ascii="Arial" w:hAnsi="Arial" w:cs="Arial"/>
          <w:sz w:val="24"/>
          <w:szCs w:val="24"/>
        </w:rPr>
        <w:t xml:space="preserve"> para pensar las relaciones sociales de género</w:t>
      </w:r>
      <w:r w:rsidR="00654174" w:rsidRPr="00A13781">
        <w:rPr>
          <w:rFonts w:ascii="Arial" w:hAnsi="Arial" w:cs="Arial"/>
          <w:sz w:val="24"/>
          <w:szCs w:val="24"/>
        </w:rPr>
        <w:t xml:space="preserve"> en el campo académico local</w:t>
      </w:r>
      <w:r w:rsidR="005F2D36" w:rsidRPr="00A13781">
        <w:rPr>
          <w:rFonts w:ascii="Arial" w:hAnsi="Arial" w:cs="Arial"/>
          <w:sz w:val="24"/>
          <w:szCs w:val="24"/>
        </w:rPr>
        <w:t xml:space="preserve"> </w:t>
      </w:r>
      <w:r w:rsidR="00097DE3" w:rsidRPr="00A13781">
        <w:rPr>
          <w:rFonts w:ascii="Arial" w:hAnsi="Arial" w:cs="Arial"/>
          <w:sz w:val="24"/>
          <w:szCs w:val="24"/>
        </w:rPr>
        <w:t xml:space="preserve">puede vincularse a </w:t>
      </w:r>
      <w:r w:rsidR="005F2D36" w:rsidRPr="00A13781">
        <w:rPr>
          <w:rFonts w:ascii="Arial" w:hAnsi="Arial" w:cs="Arial"/>
          <w:sz w:val="24"/>
          <w:szCs w:val="24"/>
        </w:rPr>
        <w:t>la</w:t>
      </w:r>
      <w:r w:rsidRPr="00A13781">
        <w:rPr>
          <w:rFonts w:ascii="Arial" w:hAnsi="Arial" w:cs="Arial"/>
          <w:sz w:val="24"/>
          <w:szCs w:val="24"/>
        </w:rPr>
        <w:t xml:space="preserve"> </w:t>
      </w:r>
      <w:r w:rsidR="00654174" w:rsidRPr="00A13781">
        <w:rPr>
          <w:rFonts w:ascii="Arial" w:hAnsi="Arial" w:cs="Arial"/>
          <w:sz w:val="24"/>
          <w:szCs w:val="24"/>
        </w:rPr>
        <w:t>impronta fundacional  de los estudios de posgrado en la temática de género y mujeres</w:t>
      </w:r>
      <w:r w:rsidR="0011777A" w:rsidRPr="00A13781">
        <w:rPr>
          <w:rFonts w:ascii="Arial" w:hAnsi="Arial" w:cs="Arial"/>
          <w:sz w:val="24"/>
          <w:szCs w:val="24"/>
        </w:rPr>
        <w:t>.</w:t>
      </w:r>
      <w:r w:rsidR="00654174" w:rsidRPr="00A13781">
        <w:rPr>
          <w:rFonts w:ascii="Arial" w:hAnsi="Arial" w:cs="Arial"/>
          <w:sz w:val="24"/>
          <w:szCs w:val="24"/>
        </w:rPr>
        <w:t xml:space="preserve"> </w:t>
      </w:r>
      <w:r w:rsidRPr="00A13781">
        <w:rPr>
          <w:rFonts w:ascii="Arial" w:hAnsi="Arial" w:cs="Arial"/>
          <w:sz w:val="24"/>
          <w:szCs w:val="24"/>
        </w:rPr>
        <w:t>(Blanco,</w:t>
      </w:r>
      <w:r w:rsidR="006D2B28" w:rsidRPr="00A13781">
        <w:rPr>
          <w:rFonts w:ascii="Arial" w:hAnsi="Arial" w:cs="Arial"/>
          <w:sz w:val="24"/>
          <w:szCs w:val="24"/>
        </w:rPr>
        <w:t xml:space="preserve"> 2018</w:t>
      </w:r>
      <w:r w:rsidRPr="00A13781">
        <w:rPr>
          <w:rFonts w:ascii="Arial" w:hAnsi="Arial" w:cs="Arial"/>
          <w:sz w:val="24"/>
          <w:szCs w:val="24"/>
        </w:rPr>
        <w:t xml:space="preserve">). </w:t>
      </w:r>
      <w:r w:rsidR="00654174" w:rsidRPr="00A13781">
        <w:rPr>
          <w:rFonts w:ascii="Arial" w:hAnsi="Arial" w:cs="Arial"/>
          <w:sz w:val="24"/>
          <w:szCs w:val="24"/>
        </w:rPr>
        <w:t xml:space="preserve">Esta fuerte marca </w:t>
      </w:r>
      <w:r w:rsidR="005F2D36" w:rsidRPr="00A13781">
        <w:rPr>
          <w:rFonts w:ascii="Arial" w:hAnsi="Arial" w:cs="Arial"/>
          <w:sz w:val="24"/>
          <w:szCs w:val="24"/>
        </w:rPr>
        <w:t xml:space="preserve">de origen </w:t>
      </w:r>
      <w:r w:rsidR="00654174" w:rsidRPr="00A13781">
        <w:rPr>
          <w:rFonts w:ascii="Arial" w:hAnsi="Arial" w:cs="Arial"/>
          <w:sz w:val="24"/>
          <w:szCs w:val="24"/>
        </w:rPr>
        <w:t xml:space="preserve">disciplinar/institucional, </w:t>
      </w:r>
      <w:r w:rsidR="006D2B28" w:rsidRPr="00A13781">
        <w:rPr>
          <w:rFonts w:ascii="Arial" w:hAnsi="Arial" w:cs="Arial"/>
          <w:sz w:val="24"/>
          <w:szCs w:val="24"/>
        </w:rPr>
        <w:t>en una formación que</w:t>
      </w:r>
      <w:r w:rsidR="005F2D36" w:rsidRPr="00A13781">
        <w:rPr>
          <w:rFonts w:ascii="Arial" w:hAnsi="Arial" w:cs="Arial"/>
          <w:sz w:val="24"/>
          <w:szCs w:val="24"/>
        </w:rPr>
        <w:t xml:space="preserve"> </w:t>
      </w:r>
      <w:r w:rsidR="00654174" w:rsidRPr="00A13781">
        <w:rPr>
          <w:rFonts w:ascii="Arial" w:hAnsi="Arial" w:cs="Arial"/>
          <w:sz w:val="24"/>
          <w:szCs w:val="24"/>
        </w:rPr>
        <w:t xml:space="preserve">aspiraba a la </w:t>
      </w:r>
      <w:proofErr w:type="spellStart"/>
      <w:r w:rsidR="00654174" w:rsidRPr="00A13781">
        <w:rPr>
          <w:rFonts w:ascii="Arial" w:hAnsi="Arial" w:cs="Arial"/>
          <w:sz w:val="24"/>
          <w:szCs w:val="24"/>
        </w:rPr>
        <w:t>interdisciplina</w:t>
      </w:r>
      <w:proofErr w:type="spellEnd"/>
      <w:r w:rsidR="00654174" w:rsidRPr="00A13781">
        <w:rPr>
          <w:rFonts w:ascii="Arial" w:hAnsi="Arial" w:cs="Arial"/>
          <w:sz w:val="24"/>
          <w:szCs w:val="24"/>
        </w:rPr>
        <w:t>, así como la het</w:t>
      </w:r>
      <w:r w:rsidR="005F2D36" w:rsidRPr="00A13781">
        <w:rPr>
          <w:rFonts w:ascii="Arial" w:hAnsi="Arial" w:cs="Arial"/>
          <w:sz w:val="24"/>
          <w:szCs w:val="24"/>
        </w:rPr>
        <w:t>erogeneidad de los perfiles, va</w:t>
      </w:r>
      <w:r w:rsidR="00654174" w:rsidRPr="00A13781">
        <w:rPr>
          <w:rFonts w:ascii="Arial" w:hAnsi="Arial" w:cs="Arial"/>
          <w:sz w:val="24"/>
          <w:szCs w:val="24"/>
        </w:rPr>
        <w:t xml:space="preserve"> a constituir uno </w:t>
      </w:r>
      <w:r w:rsidR="005F2D36" w:rsidRPr="00A13781">
        <w:rPr>
          <w:rFonts w:ascii="Arial" w:hAnsi="Arial" w:cs="Arial"/>
          <w:sz w:val="24"/>
          <w:szCs w:val="24"/>
        </w:rPr>
        <w:t xml:space="preserve">de </w:t>
      </w:r>
      <w:r w:rsidR="00654174" w:rsidRPr="00A13781">
        <w:rPr>
          <w:rFonts w:ascii="Arial" w:hAnsi="Arial" w:cs="Arial"/>
          <w:sz w:val="24"/>
          <w:szCs w:val="24"/>
        </w:rPr>
        <w:t>los puntos de conflicto que caracterizarán el desarrollo posterior de los estudios de género en nuestro país</w:t>
      </w:r>
      <w:r w:rsidR="00097DE3" w:rsidRPr="00A13781">
        <w:rPr>
          <w:rFonts w:ascii="Arial" w:hAnsi="Arial" w:cs="Arial"/>
          <w:sz w:val="24"/>
          <w:szCs w:val="24"/>
        </w:rPr>
        <w:t xml:space="preserve"> en cuanto a los temas priorizados en la formación, las áreas abordadas- y las no abordadas- y los límites y hegemonías en  la articulación entre saberes de distintas procedencias. </w:t>
      </w:r>
    </w:p>
    <w:p w:rsidR="00750CF8" w:rsidRPr="00A13781" w:rsidRDefault="00750CF8" w:rsidP="00B62642">
      <w:pPr>
        <w:spacing w:line="360" w:lineRule="auto"/>
        <w:jc w:val="both"/>
        <w:rPr>
          <w:rFonts w:ascii="Arial" w:hAnsi="Arial" w:cs="Arial"/>
          <w:sz w:val="24"/>
          <w:szCs w:val="24"/>
        </w:rPr>
      </w:pPr>
    </w:p>
    <w:p w:rsidR="00DD351B" w:rsidRPr="00A13781" w:rsidRDefault="00DD351B" w:rsidP="00B62642">
      <w:pPr>
        <w:spacing w:line="360" w:lineRule="auto"/>
        <w:jc w:val="both"/>
        <w:rPr>
          <w:rFonts w:ascii="Arial" w:hAnsi="Arial" w:cs="Arial"/>
          <w:b/>
          <w:sz w:val="24"/>
          <w:szCs w:val="24"/>
        </w:rPr>
      </w:pPr>
      <w:r w:rsidRPr="00A13781">
        <w:rPr>
          <w:rFonts w:ascii="Arial" w:hAnsi="Arial" w:cs="Arial"/>
          <w:b/>
          <w:sz w:val="24"/>
          <w:szCs w:val="24"/>
        </w:rPr>
        <w:t xml:space="preserve">Bibliografía </w:t>
      </w:r>
    </w:p>
    <w:p w:rsidR="00B805B0" w:rsidRPr="00A13781" w:rsidRDefault="00B805B0" w:rsidP="00B62642">
      <w:pPr>
        <w:spacing w:line="360" w:lineRule="auto"/>
        <w:jc w:val="both"/>
        <w:rPr>
          <w:rFonts w:ascii="Arial" w:hAnsi="Arial" w:cs="Arial"/>
          <w:sz w:val="24"/>
          <w:szCs w:val="24"/>
        </w:rPr>
      </w:pPr>
      <w:proofErr w:type="spellStart"/>
      <w:r w:rsidRPr="00A13781">
        <w:rPr>
          <w:rFonts w:ascii="Arial" w:hAnsi="Arial" w:cs="Arial"/>
          <w:sz w:val="24"/>
          <w:szCs w:val="24"/>
        </w:rPr>
        <w:t>Bauman</w:t>
      </w:r>
      <w:proofErr w:type="spellEnd"/>
      <w:r w:rsidRPr="00A13781">
        <w:rPr>
          <w:rFonts w:ascii="Arial" w:hAnsi="Arial" w:cs="Arial"/>
          <w:sz w:val="24"/>
          <w:szCs w:val="24"/>
        </w:rPr>
        <w:t xml:space="preserve"> </w:t>
      </w:r>
      <w:proofErr w:type="spellStart"/>
      <w:r w:rsidR="00CC07D5" w:rsidRPr="00A13781">
        <w:rPr>
          <w:rFonts w:ascii="Arial" w:hAnsi="Arial" w:cs="Arial"/>
          <w:sz w:val="24"/>
          <w:szCs w:val="24"/>
        </w:rPr>
        <w:t>Zygmunt</w:t>
      </w:r>
      <w:proofErr w:type="spellEnd"/>
      <w:r w:rsidR="00CC07D5" w:rsidRPr="00A13781">
        <w:rPr>
          <w:rFonts w:ascii="Arial" w:hAnsi="Arial" w:cs="Arial"/>
          <w:sz w:val="24"/>
          <w:szCs w:val="24"/>
        </w:rPr>
        <w:t xml:space="preserve"> (2009); “Amor líquido. Acerca de la fragilidad de los vínculos humanos”, FCE, Buenos Aires.</w:t>
      </w:r>
    </w:p>
    <w:p w:rsidR="006D2B28" w:rsidRPr="00A13781" w:rsidRDefault="006D2B28" w:rsidP="00B62642">
      <w:pPr>
        <w:spacing w:line="360" w:lineRule="auto"/>
        <w:jc w:val="both"/>
        <w:rPr>
          <w:rFonts w:ascii="Arial" w:hAnsi="Arial" w:cs="Arial"/>
          <w:sz w:val="24"/>
          <w:szCs w:val="24"/>
        </w:rPr>
      </w:pPr>
      <w:r w:rsidRPr="00A13781">
        <w:rPr>
          <w:rFonts w:ascii="Arial" w:hAnsi="Arial" w:cs="Arial"/>
          <w:sz w:val="24"/>
          <w:szCs w:val="24"/>
        </w:rPr>
        <w:t>Blanco, Rafael (2018); “Del fulgor al desencanto. Desafíos para el feminismo académico en la fugaz experiencia de la Carrera de Estudios de la Mujer (Universidad de Buenos Aires)””, en Revista Interdisciplinaria de estudios de género de El Colegio de México, Número 2018, Feb 201819</w:t>
      </w:r>
      <w:r w:rsidRPr="00A13781">
        <w:rPr>
          <w:rFonts w:ascii="Arial" w:hAnsi="Arial" w:cs="Arial"/>
          <w:sz w:val="24"/>
          <w:szCs w:val="24"/>
          <w:lang w:val="es-AR"/>
        </w:rPr>
        <w:t>DOI: http://dx.doi.org/10.24201/eg.v4i0.159</w:t>
      </w:r>
    </w:p>
    <w:p w:rsidR="009D3D7D" w:rsidRPr="00A13781" w:rsidRDefault="009D3D7D" w:rsidP="00B62642">
      <w:pPr>
        <w:spacing w:line="360" w:lineRule="auto"/>
        <w:jc w:val="both"/>
        <w:rPr>
          <w:rFonts w:ascii="Arial" w:hAnsi="Arial" w:cs="Arial"/>
          <w:sz w:val="24"/>
          <w:szCs w:val="24"/>
        </w:rPr>
      </w:pPr>
      <w:r w:rsidRPr="00A13781">
        <w:rPr>
          <w:rFonts w:ascii="Arial" w:hAnsi="Arial" w:cs="Arial"/>
          <w:sz w:val="24"/>
          <w:szCs w:val="24"/>
        </w:rPr>
        <w:t xml:space="preserve">Bolívar Ramírez, Ingrid Johanna (2007) “Reinados de belleza y nacionalización de las sociedades latinoamericanas”, en </w:t>
      </w:r>
      <w:r w:rsidRPr="00A13781">
        <w:rPr>
          <w:rFonts w:ascii="Arial" w:hAnsi="Arial" w:cs="Arial"/>
          <w:i/>
          <w:sz w:val="24"/>
          <w:szCs w:val="24"/>
        </w:rPr>
        <w:t>Iconos,</w:t>
      </w:r>
      <w:r w:rsidRPr="00A13781">
        <w:rPr>
          <w:rFonts w:ascii="Arial" w:hAnsi="Arial" w:cs="Arial"/>
          <w:sz w:val="24"/>
          <w:szCs w:val="24"/>
        </w:rPr>
        <w:t xml:space="preserve"> 28, Quito, Mayo, pp. 71-80.</w:t>
      </w:r>
    </w:p>
    <w:p w:rsidR="00DD351B" w:rsidRPr="00A13781" w:rsidRDefault="00DD351B" w:rsidP="00B62642">
      <w:pPr>
        <w:spacing w:line="360" w:lineRule="auto"/>
        <w:jc w:val="both"/>
        <w:rPr>
          <w:rFonts w:ascii="Arial" w:hAnsi="Arial" w:cs="Arial"/>
          <w:sz w:val="24"/>
          <w:szCs w:val="24"/>
        </w:rPr>
      </w:pPr>
      <w:r w:rsidRPr="00A13781">
        <w:rPr>
          <w:rFonts w:ascii="Arial" w:hAnsi="Arial" w:cs="Arial"/>
          <w:sz w:val="24"/>
          <w:szCs w:val="24"/>
        </w:rPr>
        <w:t xml:space="preserve">Butler Judith (1997); “El marxismo y lo meramente cultural” en Social Text 52-53; </w:t>
      </w:r>
      <w:proofErr w:type="spellStart"/>
      <w:r w:rsidRPr="00A13781">
        <w:rPr>
          <w:rFonts w:ascii="Arial" w:hAnsi="Arial" w:cs="Arial"/>
          <w:sz w:val="24"/>
          <w:szCs w:val="24"/>
        </w:rPr>
        <w:t>Duke</w:t>
      </w:r>
      <w:proofErr w:type="spellEnd"/>
      <w:r w:rsidRPr="00A13781">
        <w:rPr>
          <w:rFonts w:ascii="Arial" w:hAnsi="Arial" w:cs="Arial"/>
          <w:sz w:val="24"/>
          <w:szCs w:val="24"/>
        </w:rPr>
        <w:t xml:space="preserve"> </w:t>
      </w:r>
      <w:proofErr w:type="spellStart"/>
      <w:r w:rsidRPr="00A13781">
        <w:rPr>
          <w:rFonts w:ascii="Arial" w:hAnsi="Arial" w:cs="Arial"/>
          <w:sz w:val="24"/>
          <w:szCs w:val="24"/>
        </w:rPr>
        <w:t>University</w:t>
      </w:r>
      <w:proofErr w:type="spellEnd"/>
      <w:r w:rsidRPr="00A13781">
        <w:rPr>
          <w:rFonts w:ascii="Arial" w:hAnsi="Arial" w:cs="Arial"/>
          <w:sz w:val="24"/>
          <w:szCs w:val="24"/>
        </w:rPr>
        <w:t xml:space="preserve"> </w:t>
      </w:r>
      <w:proofErr w:type="spellStart"/>
      <w:r w:rsidRPr="00A13781">
        <w:rPr>
          <w:rFonts w:ascii="Arial" w:hAnsi="Arial" w:cs="Arial"/>
          <w:sz w:val="24"/>
          <w:szCs w:val="24"/>
        </w:rPr>
        <w:t>Press</w:t>
      </w:r>
      <w:proofErr w:type="spellEnd"/>
      <w:r w:rsidRPr="00A13781">
        <w:rPr>
          <w:rFonts w:ascii="Arial" w:hAnsi="Arial" w:cs="Arial"/>
          <w:sz w:val="24"/>
          <w:szCs w:val="24"/>
        </w:rPr>
        <w:t>.</w:t>
      </w:r>
    </w:p>
    <w:p w:rsidR="007A585A" w:rsidRPr="00A13781" w:rsidRDefault="00DA2D93" w:rsidP="00B62642">
      <w:pPr>
        <w:spacing w:line="360" w:lineRule="auto"/>
        <w:jc w:val="both"/>
        <w:rPr>
          <w:rFonts w:ascii="Arial" w:hAnsi="Arial" w:cs="Arial"/>
          <w:sz w:val="24"/>
          <w:szCs w:val="24"/>
        </w:rPr>
      </w:pPr>
      <w:r w:rsidRPr="00A13781">
        <w:rPr>
          <w:rFonts w:ascii="Arial" w:hAnsi="Arial" w:cs="Arial"/>
          <w:sz w:val="24"/>
          <w:szCs w:val="24"/>
        </w:rPr>
        <w:t xml:space="preserve">Le </w:t>
      </w:r>
      <w:r w:rsidR="007A585A" w:rsidRPr="00A13781">
        <w:rPr>
          <w:rFonts w:ascii="Arial" w:hAnsi="Arial" w:cs="Arial"/>
          <w:sz w:val="24"/>
          <w:szCs w:val="24"/>
        </w:rPr>
        <w:t>Bretón</w:t>
      </w:r>
      <w:r w:rsidRPr="00A13781">
        <w:rPr>
          <w:rFonts w:ascii="Arial" w:hAnsi="Arial" w:cs="Arial"/>
          <w:sz w:val="24"/>
          <w:szCs w:val="24"/>
        </w:rPr>
        <w:t xml:space="preserve"> David (2008); “Antropología del cuerpo y modernidad”, Nueva Visión, Buenos Aires </w:t>
      </w:r>
    </w:p>
    <w:p w:rsidR="008D066F" w:rsidRPr="00A13781" w:rsidRDefault="008D066F" w:rsidP="00B62642">
      <w:pPr>
        <w:spacing w:line="360" w:lineRule="auto"/>
        <w:jc w:val="both"/>
        <w:rPr>
          <w:rFonts w:ascii="Arial" w:hAnsi="Arial" w:cs="Arial"/>
          <w:sz w:val="24"/>
          <w:szCs w:val="24"/>
        </w:rPr>
      </w:pPr>
      <w:proofErr w:type="spellStart"/>
      <w:r w:rsidRPr="00A13781">
        <w:rPr>
          <w:rFonts w:ascii="Arial" w:hAnsi="Arial" w:cs="Arial"/>
          <w:sz w:val="24"/>
          <w:szCs w:val="24"/>
          <w:lang w:val="es-AR"/>
        </w:rPr>
        <w:t>Calello</w:t>
      </w:r>
      <w:proofErr w:type="spellEnd"/>
      <w:r w:rsidRPr="00A13781">
        <w:rPr>
          <w:rFonts w:ascii="Arial" w:hAnsi="Arial" w:cs="Arial"/>
          <w:sz w:val="24"/>
          <w:szCs w:val="24"/>
          <w:lang w:val="es-AR"/>
        </w:rPr>
        <w:t xml:space="preserve"> Tomás (2018); “Cultura, distancia crítica y espacialidad en el posmodernismo tardío” en Revista Teoría Socio Urbana., 1, Instituto del </w:t>
      </w:r>
      <w:r w:rsidRPr="00A13781">
        <w:rPr>
          <w:rFonts w:ascii="Arial" w:hAnsi="Arial" w:cs="Arial"/>
          <w:sz w:val="24"/>
          <w:szCs w:val="24"/>
          <w:lang w:val="es-AR"/>
        </w:rPr>
        <w:lastRenderedPageBreak/>
        <w:t>Conurbano (ICO-UNGS)-Universidad Autónoma Metropolitana (Unidad Xochimilco).</w:t>
      </w:r>
      <w:r w:rsidRPr="00A13781">
        <w:rPr>
          <w:rFonts w:ascii="Arial" w:hAnsi="Arial" w:cs="Arial"/>
          <w:sz w:val="24"/>
          <w:szCs w:val="24"/>
        </w:rPr>
        <w:t xml:space="preserve"> Lectura Online: </w:t>
      </w:r>
      <w:hyperlink r:id="rId9" w:history="1">
        <w:r w:rsidRPr="00A13781">
          <w:rPr>
            <w:rStyle w:val="Hipervnculo"/>
            <w:rFonts w:ascii="Arial" w:hAnsi="Arial" w:cs="Arial"/>
            <w:sz w:val="24"/>
            <w:szCs w:val="24"/>
          </w:rPr>
          <w:t>https://www.ungs.edu.ar/ico/publicaciones/revista/teoria/socio/urbana</w:t>
        </w:r>
      </w:hyperlink>
    </w:p>
    <w:p w:rsidR="00863F04" w:rsidRPr="00A13781" w:rsidRDefault="00017C10" w:rsidP="00B62642">
      <w:pPr>
        <w:spacing w:line="360" w:lineRule="auto"/>
        <w:jc w:val="both"/>
        <w:rPr>
          <w:rFonts w:ascii="Arial" w:hAnsi="Arial" w:cs="Arial"/>
          <w:sz w:val="24"/>
          <w:szCs w:val="24"/>
        </w:rPr>
      </w:pPr>
      <w:proofErr w:type="spellStart"/>
      <w:r w:rsidRPr="00A13781">
        <w:rPr>
          <w:rFonts w:ascii="Arial" w:hAnsi="Arial" w:cs="Arial"/>
          <w:sz w:val="24"/>
          <w:szCs w:val="24"/>
        </w:rPr>
        <w:t>Calello</w:t>
      </w:r>
      <w:proofErr w:type="spellEnd"/>
      <w:r w:rsidRPr="00A13781">
        <w:rPr>
          <w:rFonts w:ascii="Arial" w:hAnsi="Arial" w:cs="Arial"/>
          <w:sz w:val="24"/>
          <w:szCs w:val="24"/>
        </w:rPr>
        <w:t xml:space="preserve"> Tomás (2017);</w:t>
      </w:r>
      <w:r w:rsidR="00863F04" w:rsidRPr="00A13781">
        <w:rPr>
          <w:rFonts w:ascii="Arial" w:hAnsi="Arial" w:cs="Arial"/>
          <w:sz w:val="24"/>
          <w:szCs w:val="24"/>
        </w:rPr>
        <w:t xml:space="preserve"> “Tango Siglo XXI. Una historia del género y del espectáculo en Argentina”, Editorial </w:t>
      </w:r>
      <w:proofErr w:type="spellStart"/>
      <w:r w:rsidR="00863F04" w:rsidRPr="00A13781">
        <w:rPr>
          <w:rFonts w:ascii="Arial" w:hAnsi="Arial" w:cs="Arial"/>
          <w:sz w:val="24"/>
          <w:szCs w:val="24"/>
        </w:rPr>
        <w:t>Biblos</w:t>
      </w:r>
      <w:proofErr w:type="spellEnd"/>
      <w:r w:rsidR="00863F04" w:rsidRPr="00A13781">
        <w:rPr>
          <w:rFonts w:ascii="Arial" w:hAnsi="Arial" w:cs="Arial"/>
          <w:sz w:val="24"/>
          <w:szCs w:val="24"/>
        </w:rPr>
        <w:t>, Buenos Aires.</w:t>
      </w:r>
    </w:p>
    <w:p w:rsidR="00402E13" w:rsidRPr="00A13781" w:rsidRDefault="00402E13" w:rsidP="00B62642">
      <w:pPr>
        <w:spacing w:line="360" w:lineRule="auto"/>
        <w:jc w:val="both"/>
        <w:rPr>
          <w:rFonts w:ascii="Arial" w:hAnsi="Arial" w:cs="Arial"/>
          <w:sz w:val="24"/>
          <w:szCs w:val="24"/>
        </w:rPr>
      </w:pPr>
      <w:proofErr w:type="spellStart"/>
      <w:r w:rsidRPr="00A13781">
        <w:rPr>
          <w:rFonts w:ascii="Arial" w:hAnsi="Arial" w:cs="Arial"/>
          <w:sz w:val="24"/>
          <w:szCs w:val="24"/>
        </w:rPr>
        <w:t>Calello</w:t>
      </w:r>
      <w:proofErr w:type="spellEnd"/>
      <w:r w:rsidR="00017C10" w:rsidRPr="00A13781">
        <w:rPr>
          <w:rFonts w:ascii="Arial" w:hAnsi="Arial" w:cs="Arial"/>
          <w:sz w:val="24"/>
          <w:szCs w:val="24"/>
        </w:rPr>
        <w:t>, Tomás (2007);</w:t>
      </w:r>
      <w:r w:rsidRPr="00A13781">
        <w:rPr>
          <w:rFonts w:ascii="Arial" w:hAnsi="Arial" w:cs="Arial"/>
          <w:sz w:val="24"/>
          <w:szCs w:val="24"/>
        </w:rPr>
        <w:t xml:space="preserve"> “Despojamiento de la fuerza de trabajo: el cuerpo cartonero como expresión política en la ciudad” en Cristina </w:t>
      </w:r>
      <w:proofErr w:type="spellStart"/>
      <w:r w:rsidRPr="00A13781">
        <w:rPr>
          <w:rFonts w:ascii="Arial" w:hAnsi="Arial" w:cs="Arial"/>
          <w:sz w:val="24"/>
          <w:szCs w:val="24"/>
        </w:rPr>
        <w:t>Cravino</w:t>
      </w:r>
      <w:proofErr w:type="spellEnd"/>
      <w:r w:rsidRPr="00A13781">
        <w:rPr>
          <w:rFonts w:ascii="Arial" w:hAnsi="Arial" w:cs="Arial"/>
          <w:sz w:val="24"/>
          <w:szCs w:val="24"/>
        </w:rPr>
        <w:t xml:space="preserve"> (</w:t>
      </w:r>
      <w:proofErr w:type="spellStart"/>
      <w:r w:rsidRPr="00A13781">
        <w:rPr>
          <w:rFonts w:ascii="Arial" w:hAnsi="Arial" w:cs="Arial"/>
          <w:sz w:val="24"/>
          <w:szCs w:val="24"/>
        </w:rPr>
        <w:t>comp.</w:t>
      </w:r>
      <w:proofErr w:type="spellEnd"/>
      <w:r w:rsidRPr="00A13781">
        <w:rPr>
          <w:rFonts w:ascii="Arial" w:hAnsi="Arial" w:cs="Arial"/>
          <w:sz w:val="24"/>
          <w:szCs w:val="24"/>
        </w:rPr>
        <w:t xml:space="preserve">), </w:t>
      </w:r>
      <w:r w:rsidRPr="00A13781">
        <w:rPr>
          <w:rFonts w:ascii="Arial" w:hAnsi="Arial" w:cs="Arial"/>
          <w:i/>
          <w:sz w:val="24"/>
          <w:szCs w:val="24"/>
        </w:rPr>
        <w:t>Resistiendo en los barrios: acción colectiva y movimientos sociales en el área metropolitana de Buenos Aires.</w:t>
      </w:r>
      <w:r w:rsidRPr="00A13781">
        <w:rPr>
          <w:rFonts w:ascii="Arial" w:hAnsi="Arial" w:cs="Arial"/>
          <w:sz w:val="24"/>
          <w:szCs w:val="24"/>
        </w:rPr>
        <w:t xml:space="preserve"> . Buenos Aires: Instituto del Conurbano, UNGS, </w:t>
      </w:r>
      <w:proofErr w:type="spellStart"/>
      <w:r w:rsidRPr="00A13781">
        <w:rPr>
          <w:rFonts w:ascii="Arial" w:hAnsi="Arial" w:cs="Arial"/>
          <w:sz w:val="24"/>
          <w:szCs w:val="24"/>
        </w:rPr>
        <w:t>pp</w:t>
      </w:r>
      <w:proofErr w:type="spellEnd"/>
      <w:r w:rsidRPr="00A13781">
        <w:rPr>
          <w:rFonts w:ascii="Arial" w:hAnsi="Arial" w:cs="Arial"/>
          <w:sz w:val="24"/>
          <w:szCs w:val="24"/>
        </w:rPr>
        <w:t xml:space="preserve"> 167-184</w:t>
      </w:r>
    </w:p>
    <w:p w:rsidR="00017C10" w:rsidRPr="00A13781" w:rsidRDefault="00017C10" w:rsidP="00B62642">
      <w:pPr>
        <w:spacing w:line="360" w:lineRule="auto"/>
        <w:jc w:val="both"/>
        <w:rPr>
          <w:rFonts w:ascii="Arial" w:hAnsi="Arial" w:cs="Arial"/>
          <w:sz w:val="24"/>
          <w:szCs w:val="24"/>
        </w:rPr>
      </w:pPr>
      <w:proofErr w:type="spellStart"/>
      <w:r w:rsidRPr="00A13781">
        <w:rPr>
          <w:rFonts w:ascii="Arial" w:hAnsi="Arial" w:cs="Arial"/>
          <w:sz w:val="24"/>
          <w:szCs w:val="24"/>
        </w:rPr>
        <w:t>Fancisco</w:t>
      </w:r>
      <w:proofErr w:type="spellEnd"/>
      <w:r w:rsidRPr="00A13781">
        <w:rPr>
          <w:rFonts w:ascii="Arial" w:hAnsi="Arial" w:cs="Arial"/>
          <w:sz w:val="24"/>
          <w:szCs w:val="24"/>
        </w:rPr>
        <w:t xml:space="preserve"> Javier </w:t>
      </w:r>
      <w:proofErr w:type="spellStart"/>
      <w:r w:rsidRPr="00A13781">
        <w:rPr>
          <w:rFonts w:ascii="Arial" w:hAnsi="Arial" w:cs="Arial"/>
          <w:sz w:val="24"/>
          <w:szCs w:val="24"/>
        </w:rPr>
        <w:t>Cortazar</w:t>
      </w:r>
      <w:proofErr w:type="spellEnd"/>
      <w:r w:rsidRPr="00A13781">
        <w:rPr>
          <w:rFonts w:ascii="Arial" w:hAnsi="Arial" w:cs="Arial"/>
          <w:sz w:val="24"/>
          <w:szCs w:val="24"/>
        </w:rPr>
        <w:t xml:space="preserve"> Rodríguez (2009); “Reinas de belleza y mr. Músculos. Sociología de la exhibición corporal en concursos de pasarela”, XXVII Congreso de la Asociación Latinoamericana de Sociología. VIII, Jornadas de Sociología de la Universidad de Buenos Aires. Asociación Latinoamericana de Sociología, Buenos Aires.</w:t>
      </w:r>
    </w:p>
    <w:p w:rsidR="00BD58A1" w:rsidRPr="00A13781" w:rsidRDefault="00BD58A1" w:rsidP="00B62642">
      <w:pPr>
        <w:widowControl w:val="0"/>
        <w:autoSpaceDE w:val="0"/>
        <w:spacing w:line="360" w:lineRule="auto"/>
        <w:jc w:val="both"/>
        <w:rPr>
          <w:rFonts w:ascii="Arial" w:hAnsi="Arial" w:cs="Arial"/>
          <w:sz w:val="24"/>
          <w:szCs w:val="24"/>
          <w:lang w:val="es-AR"/>
        </w:rPr>
      </w:pPr>
      <w:proofErr w:type="spellStart"/>
      <w:r w:rsidRPr="00A13781">
        <w:rPr>
          <w:rFonts w:ascii="Arial" w:hAnsi="Arial" w:cs="Arial"/>
          <w:sz w:val="24"/>
          <w:szCs w:val="24"/>
          <w:lang w:val="es-AR"/>
        </w:rPr>
        <w:t>Fehér</w:t>
      </w:r>
      <w:proofErr w:type="spellEnd"/>
      <w:r w:rsidR="00017C10" w:rsidRPr="00A13781">
        <w:rPr>
          <w:rFonts w:ascii="Arial" w:hAnsi="Arial" w:cs="Arial"/>
          <w:sz w:val="24"/>
          <w:szCs w:val="24"/>
          <w:lang w:val="es-AR"/>
        </w:rPr>
        <w:t xml:space="preserve">, </w:t>
      </w:r>
      <w:proofErr w:type="spellStart"/>
      <w:r w:rsidR="00017C10" w:rsidRPr="00A13781">
        <w:rPr>
          <w:rFonts w:ascii="Arial" w:hAnsi="Arial" w:cs="Arial"/>
          <w:sz w:val="24"/>
          <w:szCs w:val="24"/>
          <w:lang w:val="es-AR"/>
        </w:rPr>
        <w:t>Ferenc</w:t>
      </w:r>
      <w:proofErr w:type="spellEnd"/>
      <w:r w:rsidR="00017C10" w:rsidRPr="00A13781">
        <w:rPr>
          <w:rFonts w:ascii="Arial" w:hAnsi="Arial" w:cs="Arial"/>
          <w:sz w:val="24"/>
          <w:szCs w:val="24"/>
          <w:lang w:val="es-AR"/>
        </w:rPr>
        <w:t xml:space="preserve"> y </w:t>
      </w:r>
      <w:proofErr w:type="spellStart"/>
      <w:r w:rsidR="00017C10" w:rsidRPr="00A13781">
        <w:rPr>
          <w:rFonts w:ascii="Arial" w:hAnsi="Arial" w:cs="Arial"/>
          <w:sz w:val="24"/>
          <w:szCs w:val="24"/>
          <w:lang w:val="es-AR"/>
        </w:rPr>
        <w:t>Heller</w:t>
      </w:r>
      <w:proofErr w:type="spellEnd"/>
      <w:r w:rsidR="00017C10" w:rsidRPr="00A13781">
        <w:rPr>
          <w:rFonts w:ascii="Arial" w:hAnsi="Arial" w:cs="Arial"/>
          <w:sz w:val="24"/>
          <w:szCs w:val="24"/>
          <w:lang w:val="es-AR"/>
        </w:rPr>
        <w:t xml:space="preserve">, </w:t>
      </w:r>
      <w:proofErr w:type="spellStart"/>
      <w:r w:rsidR="00017C10" w:rsidRPr="00A13781">
        <w:rPr>
          <w:rFonts w:ascii="Arial" w:hAnsi="Arial" w:cs="Arial"/>
          <w:sz w:val="24"/>
          <w:szCs w:val="24"/>
          <w:lang w:val="es-AR"/>
        </w:rPr>
        <w:t>Agnes</w:t>
      </w:r>
      <w:proofErr w:type="spellEnd"/>
      <w:r w:rsidR="00017C10" w:rsidRPr="00A13781">
        <w:rPr>
          <w:rFonts w:ascii="Arial" w:hAnsi="Arial" w:cs="Arial"/>
          <w:sz w:val="24"/>
          <w:szCs w:val="24"/>
          <w:lang w:val="es-AR"/>
        </w:rPr>
        <w:t xml:space="preserve"> (1998);</w:t>
      </w:r>
      <w:r w:rsidRPr="00A13781">
        <w:rPr>
          <w:rFonts w:ascii="Arial" w:hAnsi="Arial" w:cs="Arial"/>
          <w:sz w:val="24"/>
          <w:szCs w:val="24"/>
          <w:lang w:val="es-AR"/>
        </w:rPr>
        <w:t xml:space="preserve"> </w:t>
      </w:r>
      <w:r w:rsidRPr="00A13781">
        <w:rPr>
          <w:rFonts w:ascii="Arial" w:hAnsi="Arial" w:cs="Arial"/>
          <w:i/>
          <w:iCs/>
          <w:sz w:val="24"/>
          <w:szCs w:val="24"/>
          <w:lang w:val="es-AR"/>
        </w:rPr>
        <w:t>Políticas de la posmodernidad. Ensayos de crítica cultural</w:t>
      </w:r>
      <w:r w:rsidRPr="00A13781">
        <w:rPr>
          <w:rFonts w:ascii="Arial" w:hAnsi="Arial" w:cs="Arial"/>
          <w:sz w:val="24"/>
          <w:szCs w:val="24"/>
          <w:lang w:val="es-AR"/>
        </w:rPr>
        <w:t>. Barcelona: Península.</w:t>
      </w:r>
    </w:p>
    <w:p w:rsidR="00DD351B" w:rsidRPr="00A13781" w:rsidRDefault="00DD351B" w:rsidP="00B62642">
      <w:pPr>
        <w:spacing w:line="360" w:lineRule="auto"/>
        <w:jc w:val="both"/>
        <w:rPr>
          <w:rFonts w:ascii="Arial" w:hAnsi="Arial" w:cs="Arial"/>
          <w:sz w:val="24"/>
          <w:szCs w:val="24"/>
        </w:rPr>
      </w:pPr>
      <w:proofErr w:type="spellStart"/>
      <w:r w:rsidRPr="00A13781">
        <w:rPr>
          <w:rFonts w:ascii="Arial" w:hAnsi="Arial" w:cs="Arial"/>
          <w:sz w:val="24"/>
          <w:szCs w:val="24"/>
        </w:rPr>
        <w:t>Fraser</w:t>
      </w:r>
      <w:proofErr w:type="spellEnd"/>
      <w:r w:rsidRPr="00A13781">
        <w:rPr>
          <w:rFonts w:ascii="Arial" w:hAnsi="Arial" w:cs="Arial"/>
          <w:sz w:val="24"/>
          <w:szCs w:val="24"/>
        </w:rPr>
        <w:t xml:space="preserve"> Nancy (1997); “Heterosexismo, falta de reconocimiento y capitalismo: una respuesta a Judith Butler” en Social Text 52-53; </w:t>
      </w:r>
      <w:proofErr w:type="spellStart"/>
      <w:r w:rsidRPr="00A13781">
        <w:rPr>
          <w:rFonts w:ascii="Arial" w:hAnsi="Arial" w:cs="Arial"/>
          <w:sz w:val="24"/>
          <w:szCs w:val="24"/>
        </w:rPr>
        <w:t>Duke</w:t>
      </w:r>
      <w:proofErr w:type="spellEnd"/>
      <w:r w:rsidRPr="00A13781">
        <w:rPr>
          <w:rFonts w:ascii="Arial" w:hAnsi="Arial" w:cs="Arial"/>
          <w:sz w:val="24"/>
          <w:szCs w:val="24"/>
        </w:rPr>
        <w:t xml:space="preserve"> </w:t>
      </w:r>
      <w:proofErr w:type="spellStart"/>
      <w:r w:rsidRPr="00A13781">
        <w:rPr>
          <w:rFonts w:ascii="Arial" w:hAnsi="Arial" w:cs="Arial"/>
          <w:sz w:val="24"/>
          <w:szCs w:val="24"/>
        </w:rPr>
        <w:t>University</w:t>
      </w:r>
      <w:proofErr w:type="spellEnd"/>
      <w:r w:rsidRPr="00A13781">
        <w:rPr>
          <w:rFonts w:ascii="Arial" w:hAnsi="Arial" w:cs="Arial"/>
          <w:sz w:val="24"/>
          <w:szCs w:val="24"/>
        </w:rPr>
        <w:t xml:space="preserve"> </w:t>
      </w:r>
      <w:proofErr w:type="spellStart"/>
      <w:r w:rsidRPr="00A13781">
        <w:rPr>
          <w:rFonts w:ascii="Arial" w:hAnsi="Arial" w:cs="Arial"/>
          <w:sz w:val="24"/>
          <w:szCs w:val="24"/>
        </w:rPr>
        <w:t>Press</w:t>
      </w:r>
      <w:proofErr w:type="spellEnd"/>
      <w:r w:rsidRPr="00A13781">
        <w:rPr>
          <w:rFonts w:ascii="Arial" w:hAnsi="Arial" w:cs="Arial"/>
          <w:sz w:val="24"/>
          <w:szCs w:val="24"/>
        </w:rPr>
        <w:t>.</w:t>
      </w:r>
    </w:p>
    <w:p w:rsidR="00DD351B" w:rsidRPr="00A13781" w:rsidRDefault="00DD351B" w:rsidP="00B62642">
      <w:pPr>
        <w:spacing w:line="360" w:lineRule="auto"/>
        <w:jc w:val="both"/>
        <w:rPr>
          <w:rFonts w:ascii="Arial" w:hAnsi="Arial" w:cs="Arial"/>
          <w:sz w:val="24"/>
          <w:szCs w:val="24"/>
        </w:rPr>
      </w:pPr>
      <w:proofErr w:type="spellStart"/>
      <w:r w:rsidRPr="00A13781">
        <w:rPr>
          <w:rFonts w:ascii="Arial" w:hAnsi="Arial" w:cs="Arial"/>
          <w:sz w:val="24"/>
          <w:szCs w:val="24"/>
        </w:rPr>
        <w:t>Fraser</w:t>
      </w:r>
      <w:proofErr w:type="spellEnd"/>
      <w:r w:rsidRPr="00A13781">
        <w:rPr>
          <w:rFonts w:ascii="Arial" w:hAnsi="Arial" w:cs="Arial"/>
          <w:sz w:val="24"/>
          <w:szCs w:val="24"/>
        </w:rPr>
        <w:t xml:space="preserve"> Nancy (1997); “Justicia </w:t>
      </w:r>
      <w:proofErr w:type="spellStart"/>
      <w:r w:rsidRPr="00A13781">
        <w:rPr>
          <w:rFonts w:ascii="Arial" w:hAnsi="Arial" w:cs="Arial"/>
          <w:sz w:val="24"/>
          <w:szCs w:val="24"/>
        </w:rPr>
        <w:t>interrupta</w:t>
      </w:r>
      <w:proofErr w:type="spellEnd"/>
      <w:r w:rsidRPr="00A13781">
        <w:rPr>
          <w:rFonts w:ascii="Arial" w:hAnsi="Arial" w:cs="Arial"/>
          <w:sz w:val="24"/>
          <w:szCs w:val="24"/>
        </w:rPr>
        <w:t>. Reflexiones críticas desde la posición “</w:t>
      </w:r>
      <w:proofErr w:type="spellStart"/>
      <w:r w:rsidRPr="00A13781">
        <w:rPr>
          <w:rFonts w:ascii="Arial" w:hAnsi="Arial" w:cs="Arial"/>
          <w:sz w:val="24"/>
          <w:szCs w:val="24"/>
        </w:rPr>
        <w:t>possocialista</w:t>
      </w:r>
      <w:proofErr w:type="spellEnd"/>
      <w:r w:rsidRPr="00A13781">
        <w:rPr>
          <w:rFonts w:ascii="Arial" w:hAnsi="Arial" w:cs="Arial"/>
          <w:sz w:val="24"/>
          <w:szCs w:val="24"/>
        </w:rPr>
        <w:t>”, Siglo del hombre, Editores Universidad de Los Andes, Bogotá.</w:t>
      </w:r>
    </w:p>
    <w:p w:rsidR="00DD351B" w:rsidRPr="00A13781" w:rsidRDefault="00DD351B" w:rsidP="00B62642">
      <w:pPr>
        <w:spacing w:line="360" w:lineRule="auto"/>
        <w:ind w:left="706" w:hanging="706"/>
        <w:jc w:val="both"/>
        <w:rPr>
          <w:rFonts w:ascii="Arial" w:hAnsi="Arial" w:cs="Arial"/>
          <w:noProof/>
          <w:sz w:val="24"/>
          <w:szCs w:val="24"/>
          <w:lang w:val="es-AR"/>
        </w:rPr>
      </w:pPr>
      <w:r w:rsidRPr="00A13781">
        <w:rPr>
          <w:rFonts w:ascii="Arial" w:hAnsi="Arial" w:cs="Arial"/>
          <w:noProof/>
          <w:sz w:val="24"/>
          <w:szCs w:val="24"/>
          <w:lang w:val="es-AR"/>
        </w:rPr>
        <w:t>Michel Foucault y Richard Sennett (1992), “</w:t>
      </w:r>
      <w:r w:rsidR="00335BBD" w:rsidRPr="00A13781">
        <w:rPr>
          <w:rFonts w:ascii="Arial" w:hAnsi="Arial" w:cs="Arial"/>
          <w:noProof/>
          <w:sz w:val="24"/>
          <w:szCs w:val="24"/>
          <w:lang w:val="es-AR"/>
        </w:rPr>
        <w:t xml:space="preserve">Sexualidad y soledad”, en Tomás </w:t>
      </w:r>
      <w:r w:rsidRPr="00A13781">
        <w:rPr>
          <w:rFonts w:ascii="Arial" w:hAnsi="Arial" w:cs="Arial"/>
          <w:noProof/>
          <w:sz w:val="24"/>
          <w:szCs w:val="24"/>
          <w:lang w:val="es-AR"/>
        </w:rPr>
        <w:t xml:space="preserve">Abraham, </w:t>
      </w:r>
      <w:r w:rsidRPr="00A13781">
        <w:rPr>
          <w:rFonts w:ascii="Arial" w:hAnsi="Arial" w:cs="Arial"/>
          <w:i/>
          <w:iCs/>
          <w:noProof/>
          <w:sz w:val="24"/>
          <w:szCs w:val="24"/>
          <w:lang w:val="es-AR"/>
        </w:rPr>
        <w:t>Foucault y la ética</w:t>
      </w:r>
    </w:p>
    <w:p w:rsidR="00DD351B" w:rsidRPr="00A13781" w:rsidRDefault="00DD351B" w:rsidP="00B62642">
      <w:pPr>
        <w:spacing w:line="360" w:lineRule="auto"/>
        <w:jc w:val="both"/>
        <w:rPr>
          <w:rFonts w:ascii="Arial" w:hAnsi="Arial" w:cs="Arial"/>
          <w:noProof/>
          <w:sz w:val="24"/>
          <w:szCs w:val="24"/>
          <w:lang w:val="es-AR"/>
        </w:rPr>
      </w:pPr>
      <w:r w:rsidRPr="00A13781">
        <w:rPr>
          <w:rFonts w:ascii="Arial" w:hAnsi="Arial" w:cs="Arial"/>
          <w:noProof/>
          <w:sz w:val="24"/>
          <w:szCs w:val="24"/>
          <w:lang w:val="es-AR"/>
        </w:rPr>
        <w:t>Ken Plummer</w:t>
      </w:r>
      <w:r w:rsidR="00E92C90" w:rsidRPr="00A13781">
        <w:rPr>
          <w:rFonts w:ascii="Arial" w:hAnsi="Arial" w:cs="Arial"/>
          <w:noProof/>
          <w:sz w:val="24"/>
          <w:szCs w:val="24"/>
          <w:lang w:val="es-AR"/>
        </w:rPr>
        <w:t xml:space="preserve"> (2003)</w:t>
      </w:r>
      <w:r w:rsidRPr="00A13781">
        <w:rPr>
          <w:rFonts w:ascii="Arial" w:hAnsi="Arial" w:cs="Arial"/>
          <w:noProof/>
          <w:sz w:val="24"/>
          <w:szCs w:val="24"/>
          <w:lang w:val="es-AR"/>
        </w:rPr>
        <w:t xml:space="preserve">, “La cuadratura de la ciudadanía íntima. Algunas propuestas preliminares”, en Raquel Osborne y Oscar Guasch comps., </w:t>
      </w:r>
      <w:r w:rsidRPr="00A13781">
        <w:rPr>
          <w:rFonts w:ascii="Arial" w:hAnsi="Arial" w:cs="Arial"/>
          <w:i/>
          <w:iCs/>
          <w:noProof/>
          <w:sz w:val="24"/>
          <w:szCs w:val="24"/>
          <w:lang w:val="es-AR"/>
        </w:rPr>
        <w:t>Sociología de la sexualidad</w:t>
      </w:r>
      <w:r w:rsidRPr="00A13781">
        <w:rPr>
          <w:rFonts w:ascii="Arial" w:hAnsi="Arial" w:cs="Arial"/>
          <w:noProof/>
          <w:sz w:val="24"/>
          <w:szCs w:val="24"/>
          <w:lang w:val="es-AR"/>
        </w:rPr>
        <w:t>, Madrid, CIS-S</w:t>
      </w:r>
      <w:r w:rsidR="00E92C90" w:rsidRPr="00A13781">
        <w:rPr>
          <w:rFonts w:ascii="Arial" w:hAnsi="Arial" w:cs="Arial"/>
          <w:noProof/>
          <w:sz w:val="24"/>
          <w:szCs w:val="24"/>
          <w:lang w:val="es-AR"/>
        </w:rPr>
        <w:t>iglo XXI editores</w:t>
      </w:r>
      <w:r w:rsidRPr="00A13781">
        <w:rPr>
          <w:rFonts w:ascii="Arial" w:hAnsi="Arial" w:cs="Arial"/>
          <w:noProof/>
          <w:sz w:val="24"/>
          <w:szCs w:val="24"/>
          <w:lang w:val="es-AR"/>
        </w:rPr>
        <w:t>, pp.25-50.</w:t>
      </w:r>
    </w:p>
    <w:p w:rsidR="00DD351B" w:rsidRPr="00A13781" w:rsidRDefault="00DD351B" w:rsidP="00B62642">
      <w:pPr>
        <w:spacing w:line="360" w:lineRule="auto"/>
        <w:jc w:val="both"/>
        <w:rPr>
          <w:rFonts w:ascii="Arial" w:hAnsi="Arial" w:cs="Arial"/>
          <w:noProof/>
          <w:sz w:val="24"/>
          <w:szCs w:val="24"/>
          <w:lang w:val="es-AR"/>
        </w:rPr>
      </w:pPr>
      <w:r w:rsidRPr="00A13781">
        <w:rPr>
          <w:rFonts w:ascii="Arial" w:hAnsi="Arial" w:cs="Arial"/>
          <w:noProof/>
          <w:sz w:val="24"/>
          <w:szCs w:val="24"/>
          <w:lang w:val="es-AR"/>
        </w:rPr>
        <w:t xml:space="preserve">Giddens Anthny (1991), </w:t>
      </w:r>
      <w:r w:rsidRPr="00A13781">
        <w:rPr>
          <w:rFonts w:ascii="Arial" w:hAnsi="Arial" w:cs="Arial"/>
          <w:i/>
          <w:noProof/>
          <w:sz w:val="24"/>
          <w:szCs w:val="24"/>
          <w:lang w:val="es-AR"/>
        </w:rPr>
        <w:t>Modernidad e identidad del yo</w:t>
      </w:r>
      <w:r w:rsidRPr="00A13781">
        <w:rPr>
          <w:rFonts w:ascii="Arial" w:hAnsi="Arial" w:cs="Arial"/>
          <w:noProof/>
          <w:sz w:val="24"/>
          <w:szCs w:val="24"/>
          <w:lang w:val="es-AR"/>
        </w:rPr>
        <w:t>, Península (Trad J.L. Gil Aristu), Barcelona.</w:t>
      </w:r>
    </w:p>
    <w:p w:rsidR="00530CD7" w:rsidRPr="00A13781" w:rsidRDefault="00530CD7" w:rsidP="00B62642">
      <w:pPr>
        <w:spacing w:line="360" w:lineRule="auto"/>
        <w:jc w:val="both"/>
        <w:rPr>
          <w:rFonts w:ascii="Arial" w:hAnsi="Arial" w:cs="Arial"/>
          <w:noProof/>
          <w:sz w:val="24"/>
          <w:szCs w:val="24"/>
          <w:lang w:val="es-AR"/>
        </w:rPr>
      </w:pPr>
      <w:proofErr w:type="spellStart"/>
      <w:r w:rsidRPr="00A13781">
        <w:rPr>
          <w:rFonts w:ascii="Arial" w:hAnsi="Arial" w:cs="Arial"/>
          <w:sz w:val="24"/>
          <w:szCs w:val="24"/>
        </w:rPr>
        <w:lastRenderedPageBreak/>
        <w:t>Goetschel</w:t>
      </w:r>
      <w:proofErr w:type="spellEnd"/>
      <w:r w:rsidRPr="00A13781">
        <w:rPr>
          <w:rFonts w:ascii="Arial" w:hAnsi="Arial" w:cs="Arial"/>
          <w:sz w:val="24"/>
          <w:szCs w:val="24"/>
        </w:rPr>
        <w:t xml:space="preserve"> (2004), “Musas, ondinas y </w:t>
      </w:r>
      <w:proofErr w:type="spellStart"/>
      <w:r w:rsidRPr="00A13781">
        <w:rPr>
          <w:rFonts w:ascii="Arial" w:hAnsi="Arial" w:cs="Arial"/>
          <w:sz w:val="24"/>
          <w:szCs w:val="24"/>
        </w:rPr>
        <w:t>misses</w:t>
      </w:r>
      <w:proofErr w:type="spellEnd"/>
      <w:r w:rsidRPr="00A13781">
        <w:rPr>
          <w:rFonts w:ascii="Arial" w:hAnsi="Arial" w:cs="Arial"/>
          <w:sz w:val="24"/>
          <w:szCs w:val="24"/>
        </w:rPr>
        <w:t xml:space="preserve">: estereotipos e imágenes de las mujeres quiteñas en los años treinta del siglo XX”, en: </w:t>
      </w:r>
      <w:r w:rsidRPr="00A13781">
        <w:rPr>
          <w:rFonts w:ascii="Arial" w:hAnsi="Arial" w:cs="Arial"/>
          <w:i/>
          <w:sz w:val="24"/>
          <w:szCs w:val="24"/>
        </w:rPr>
        <w:t>Íconos:</w:t>
      </w:r>
      <w:r w:rsidRPr="00A13781">
        <w:rPr>
          <w:rFonts w:ascii="Arial" w:hAnsi="Arial" w:cs="Arial"/>
          <w:sz w:val="24"/>
          <w:szCs w:val="24"/>
        </w:rPr>
        <w:t xml:space="preserve"> </w:t>
      </w:r>
      <w:r w:rsidRPr="00A13781">
        <w:rPr>
          <w:rFonts w:ascii="Arial" w:hAnsi="Arial" w:cs="Arial"/>
          <w:i/>
          <w:sz w:val="24"/>
          <w:szCs w:val="24"/>
        </w:rPr>
        <w:t xml:space="preserve">revista de ciencias sociales. Patrimonio, memoria y regeneración urbana, </w:t>
      </w:r>
      <w:r w:rsidRPr="00A13781">
        <w:rPr>
          <w:rFonts w:ascii="Arial" w:hAnsi="Arial" w:cs="Arial"/>
          <w:sz w:val="24"/>
          <w:szCs w:val="24"/>
        </w:rPr>
        <w:t>Quito: FLACSO sede Ecuador, (no. 20, septiembre 2004): pp. 110-113. ISSN: 1390-1249</w:t>
      </w:r>
      <w:r w:rsidR="008E25A7" w:rsidRPr="00A13781">
        <w:rPr>
          <w:rFonts w:ascii="Arial" w:hAnsi="Arial" w:cs="Arial"/>
          <w:sz w:val="24"/>
          <w:szCs w:val="24"/>
        </w:rPr>
        <w:t>.</w:t>
      </w:r>
    </w:p>
    <w:p w:rsidR="003A1241" w:rsidRPr="00A13781" w:rsidRDefault="003A1241" w:rsidP="00B62642">
      <w:pPr>
        <w:spacing w:line="360" w:lineRule="auto"/>
        <w:jc w:val="both"/>
        <w:rPr>
          <w:rFonts w:ascii="Arial" w:hAnsi="Arial" w:cs="Arial"/>
          <w:noProof/>
          <w:sz w:val="24"/>
          <w:szCs w:val="24"/>
          <w:lang w:val="es-AR"/>
        </w:rPr>
      </w:pPr>
      <w:r w:rsidRPr="00A13781">
        <w:rPr>
          <w:rFonts w:ascii="Arial" w:hAnsi="Arial" w:cs="Arial"/>
          <w:noProof/>
          <w:sz w:val="24"/>
          <w:szCs w:val="24"/>
          <w:lang w:val="es-AR"/>
        </w:rPr>
        <w:t>Illouz Eva (2013); “Porqué duele el amor. Una explicación sociológica” (Trad. María Victoria Rodial), Katz, Buenos Aires/Madrid.</w:t>
      </w:r>
    </w:p>
    <w:p w:rsidR="0014159A" w:rsidRPr="00A13781" w:rsidRDefault="0014159A" w:rsidP="00B62642">
      <w:pPr>
        <w:spacing w:line="360" w:lineRule="auto"/>
        <w:jc w:val="both"/>
        <w:rPr>
          <w:rFonts w:ascii="Arial" w:hAnsi="Arial" w:cs="Arial"/>
          <w:sz w:val="24"/>
          <w:szCs w:val="24"/>
        </w:rPr>
      </w:pPr>
      <w:proofErr w:type="spellStart"/>
      <w:r w:rsidRPr="00A13781">
        <w:rPr>
          <w:rFonts w:ascii="Arial" w:hAnsi="Arial" w:cs="Arial"/>
          <w:sz w:val="24"/>
          <w:szCs w:val="24"/>
        </w:rPr>
        <w:t>Illouz</w:t>
      </w:r>
      <w:proofErr w:type="spellEnd"/>
      <w:r w:rsidRPr="00A13781">
        <w:rPr>
          <w:rFonts w:ascii="Arial" w:hAnsi="Arial" w:cs="Arial"/>
          <w:sz w:val="24"/>
          <w:szCs w:val="24"/>
        </w:rPr>
        <w:t xml:space="preserve"> Eva (2009); “El consumo de la utopía romántica. El amor y las contradicciones cult</w:t>
      </w:r>
      <w:r w:rsidR="003A1241" w:rsidRPr="00A13781">
        <w:rPr>
          <w:rFonts w:ascii="Arial" w:hAnsi="Arial" w:cs="Arial"/>
          <w:sz w:val="24"/>
          <w:szCs w:val="24"/>
        </w:rPr>
        <w:t xml:space="preserve">urales del capitalismo”, </w:t>
      </w:r>
      <w:proofErr w:type="spellStart"/>
      <w:r w:rsidR="003A1241" w:rsidRPr="00A13781">
        <w:rPr>
          <w:rFonts w:ascii="Arial" w:hAnsi="Arial" w:cs="Arial"/>
          <w:sz w:val="24"/>
          <w:szCs w:val="24"/>
        </w:rPr>
        <w:t>Katz</w:t>
      </w:r>
      <w:proofErr w:type="spellEnd"/>
      <w:r w:rsidR="003A1241" w:rsidRPr="00A13781">
        <w:rPr>
          <w:rFonts w:ascii="Arial" w:hAnsi="Arial" w:cs="Arial"/>
          <w:sz w:val="24"/>
          <w:szCs w:val="24"/>
        </w:rPr>
        <w:t>, B</w:t>
      </w:r>
      <w:r w:rsidRPr="00A13781">
        <w:rPr>
          <w:rFonts w:ascii="Arial" w:hAnsi="Arial" w:cs="Arial"/>
          <w:sz w:val="24"/>
          <w:szCs w:val="24"/>
        </w:rPr>
        <w:t>uenos Aires/Madrid.</w:t>
      </w:r>
    </w:p>
    <w:p w:rsidR="00251953" w:rsidRPr="00A13781" w:rsidRDefault="00251953" w:rsidP="00B62642">
      <w:pPr>
        <w:spacing w:line="360" w:lineRule="auto"/>
        <w:jc w:val="both"/>
        <w:rPr>
          <w:rFonts w:ascii="Arial" w:hAnsi="Arial" w:cs="Arial"/>
          <w:sz w:val="24"/>
          <w:szCs w:val="24"/>
        </w:rPr>
      </w:pPr>
      <w:proofErr w:type="spellStart"/>
      <w:r w:rsidRPr="00A13781">
        <w:rPr>
          <w:rFonts w:ascii="Arial" w:hAnsi="Arial" w:cs="Arial"/>
          <w:sz w:val="24"/>
          <w:szCs w:val="24"/>
        </w:rPr>
        <w:t>Kowarick</w:t>
      </w:r>
      <w:proofErr w:type="spellEnd"/>
      <w:r w:rsidRPr="00A13781">
        <w:rPr>
          <w:rFonts w:ascii="Arial" w:hAnsi="Arial" w:cs="Arial"/>
          <w:sz w:val="24"/>
          <w:szCs w:val="24"/>
        </w:rPr>
        <w:t xml:space="preserve">, </w:t>
      </w:r>
      <w:proofErr w:type="spellStart"/>
      <w:r w:rsidRPr="00A13781">
        <w:rPr>
          <w:rFonts w:ascii="Arial" w:hAnsi="Arial" w:cs="Arial"/>
          <w:sz w:val="24"/>
          <w:szCs w:val="24"/>
        </w:rPr>
        <w:t>Lúcio</w:t>
      </w:r>
      <w:proofErr w:type="spellEnd"/>
      <w:r w:rsidRPr="00A13781">
        <w:rPr>
          <w:rFonts w:ascii="Arial" w:hAnsi="Arial" w:cs="Arial"/>
          <w:sz w:val="24"/>
          <w:szCs w:val="24"/>
        </w:rPr>
        <w:t xml:space="preserve"> (1996): “Expoliación urbana, luchas sociales y ciudadanía: retazos de nuestra historia reciente” en </w:t>
      </w:r>
      <w:r w:rsidRPr="00A13781">
        <w:rPr>
          <w:rFonts w:ascii="Arial" w:hAnsi="Arial" w:cs="Arial"/>
          <w:i/>
          <w:iCs/>
          <w:sz w:val="24"/>
          <w:szCs w:val="24"/>
        </w:rPr>
        <w:t>Estudios Sociológicos XIV</w:t>
      </w:r>
      <w:r w:rsidRPr="00A13781">
        <w:rPr>
          <w:rFonts w:ascii="Arial" w:hAnsi="Arial" w:cs="Arial"/>
          <w:sz w:val="24"/>
          <w:szCs w:val="24"/>
        </w:rPr>
        <w:t>, 42, San Pablo.</w:t>
      </w:r>
    </w:p>
    <w:p w:rsidR="00254CB7" w:rsidRPr="00A13781" w:rsidRDefault="00254CB7" w:rsidP="00B62642">
      <w:pPr>
        <w:spacing w:line="360" w:lineRule="auto"/>
        <w:jc w:val="both"/>
        <w:rPr>
          <w:rFonts w:ascii="Arial" w:hAnsi="Arial" w:cs="Arial"/>
          <w:sz w:val="24"/>
          <w:szCs w:val="24"/>
          <w:lang w:val="es-AR"/>
        </w:rPr>
      </w:pPr>
      <w:r w:rsidRPr="00A13781">
        <w:rPr>
          <w:rFonts w:ascii="Arial" w:hAnsi="Arial" w:cs="Arial"/>
          <w:sz w:val="24"/>
          <w:szCs w:val="24"/>
        </w:rPr>
        <w:t xml:space="preserve">Muñoz, José E. (2011): “Introducción a la teoría de la desidentificación” </w:t>
      </w:r>
      <w:r w:rsidRPr="00A13781">
        <w:rPr>
          <w:rFonts w:ascii="Arial" w:hAnsi="Arial" w:cs="Arial"/>
          <w:sz w:val="24"/>
          <w:szCs w:val="24"/>
          <w:lang w:val="es-AR"/>
        </w:rPr>
        <w:t xml:space="preserve">en Taylor D. y Fuentes M. </w:t>
      </w:r>
      <w:r w:rsidRPr="00A13781">
        <w:rPr>
          <w:rFonts w:ascii="Arial" w:hAnsi="Arial" w:cs="Arial"/>
          <w:i/>
          <w:iCs/>
          <w:sz w:val="24"/>
          <w:szCs w:val="24"/>
          <w:lang w:val="es-AR"/>
        </w:rPr>
        <w:t>Estudios avanzados de performance</w:t>
      </w:r>
      <w:r w:rsidRPr="00A13781">
        <w:rPr>
          <w:rFonts w:ascii="Arial" w:hAnsi="Arial" w:cs="Arial"/>
          <w:sz w:val="24"/>
          <w:szCs w:val="24"/>
          <w:lang w:val="es-AR"/>
        </w:rPr>
        <w:t xml:space="preserve">. México D.F: Fondo de Cultura Económica, </w:t>
      </w:r>
      <w:proofErr w:type="spellStart"/>
      <w:r w:rsidRPr="00A13781">
        <w:rPr>
          <w:rFonts w:ascii="Arial" w:hAnsi="Arial" w:cs="Arial"/>
          <w:sz w:val="24"/>
          <w:szCs w:val="24"/>
          <w:lang w:val="es-AR"/>
        </w:rPr>
        <w:t>pp</w:t>
      </w:r>
      <w:proofErr w:type="spellEnd"/>
      <w:r w:rsidRPr="00A13781">
        <w:rPr>
          <w:rFonts w:ascii="Arial" w:hAnsi="Arial" w:cs="Arial"/>
          <w:sz w:val="24"/>
          <w:szCs w:val="24"/>
          <w:lang w:val="es-AR"/>
        </w:rPr>
        <w:t xml:space="preserve"> 555-603</w:t>
      </w:r>
    </w:p>
    <w:p w:rsidR="00626B82" w:rsidRPr="00A13781" w:rsidRDefault="00626B82" w:rsidP="00B62642">
      <w:pPr>
        <w:spacing w:line="360" w:lineRule="auto"/>
        <w:jc w:val="both"/>
        <w:rPr>
          <w:rFonts w:ascii="Arial" w:hAnsi="Arial" w:cs="Arial"/>
          <w:sz w:val="24"/>
          <w:szCs w:val="24"/>
          <w:lang w:val="es-AR"/>
        </w:rPr>
      </w:pPr>
      <w:r w:rsidRPr="00A13781">
        <w:rPr>
          <w:rFonts w:ascii="Arial" w:hAnsi="Arial" w:cs="Arial"/>
          <w:sz w:val="24"/>
          <w:szCs w:val="24"/>
          <w:lang w:val="es-AR"/>
        </w:rPr>
        <w:t xml:space="preserve">Pequeño, Andrea (2004) “Historia </w:t>
      </w:r>
      <w:proofErr w:type="spellStart"/>
      <w:r w:rsidRPr="00A13781">
        <w:rPr>
          <w:rFonts w:ascii="Arial" w:hAnsi="Arial" w:cs="Arial"/>
          <w:sz w:val="24"/>
          <w:szCs w:val="24"/>
          <w:lang w:val="es-AR"/>
        </w:rPr>
        <w:t>demisses</w:t>
      </w:r>
      <w:proofErr w:type="spellEnd"/>
      <w:r w:rsidRPr="00A13781">
        <w:rPr>
          <w:rFonts w:ascii="Arial" w:hAnsi="Arial" w:cs="Arial"/>
          <w:sz w:val="24"/>
          <w:szCs w:val="24"/>
          <w:lang w:val="es-AR"/>
        </w:rPr>
        <w:t xml:space="preserve">, historia de naciones”, en </w:t>
      </w:r>
      <w:r w:rsidRPr="00A13781">
        <w:rPr>
          <w:rFonts w:ascii="Arial" w:hAnsi="Arial" w:cs="Arial"/>
          <w:i/>
          <w:sz w:val="24"/>
          <w:szCs w:val="24"/>
          <w:lang w:val="es-AR"/>
        </w:rPr>
        <w:t>Iconos, 20</w:t>
      </w:r>
      <w:r w:rsidRPr="00A13781">
        <w:rPr>
          <w:rFonts w:ascii="Arial" w:hAnsi="Arial" w:cs="Arial"/>
          <w:sz w:val="24"/>
          <w:szCs w:val="24"/>
          <w:lang w:val="es-AR"/>
        </w:rPr>
        <w:t xml:space="preserve">, </w:t>
      </w:r>
      <w:proofErr w:type="spellStart"/>
      <w:r w:rsidRPr="00A13781">
        <w:rPr>
          <w:rFonts w:ascii="Arial" w:hAnsi="Arial" w:cs="Arial"/>
          <w:sz w:val="24"/>
          <w:szCs w:val="24"/>
          <w:lang w:val="es-AR"/>
        </w:rPr>
        <w:t>Flacso</w:t>
      </w:r>
      <w:proofErr w:type="spellEnd"/>
      <w:r w:rsidRPr="00A13781">
        <w:rPr>
          <w:rFonts w:ascii="Arial" w:hAnsi="Arial" w:cs="Arial"/>
          <w:sz w:val="24"/>
          <w:szCs w:val="24"/>
          <w:lang w:val="es-AR"/>
        </w:rPr>
        <w:t xml:space="preserve">-Ecuador, Quito, pp. 114-117. </w:t>
      </w:r>
    </w:p>
    <w:p w:rsidR="00DD351B" w:rsidRPr="00A13781" w:rsidRDefault="00DD351B" w:rsidP="00B62642">
      <w:pPr>
        <w:spacing w:line="360" w:lineRule="auto"/>
        <w:jc w:val="both"/>
        <w:rPr>
          <w:rFonts w:ascii="Arial" w:hAnsi="Arial" w:cs="Arial"/>
          <w:sz w:val="24"/>
          <w:szCs w:val="24"/>
        </w:rPr>
      </w:pPr>
      <w:proofErr w:type="spellStart"/>
      <w:r w:rsidRPr="00A13781">
        <w:rPr>
          <w:rFonts w:ascii="Arial" w:hAnsi="Arial" w:cs="Arial"/>
          <w:sz w:val="24"/>
          <w:szCs w:val="24"/>
        </w:rPr>
        <w:t>Rubin</w:t>
      </w:r>
      <w:proofErr w:type="spellEnd"/>
      <w:r w:rsidRPr="00A13781">
        <w:rPr>
          <w:rFonts w:ascii="Arial" w:hAnsi="Arial" w:cs="Arial"/>
          <w:sz w:val="24"/>
          <w:szCs w:val="24"/>
        </w:rPr>
        <w:t xml:space="preserve"> </w:t>
      </w:r>
      <w:proofErr w:type="spellStart"/>
      <w:r w:rsidRPr="00A13781">
        <w:rPr>
          <w:rFonts w:ascii="Arial" w:hAnsi="Arial" w:cs="Arial"/>
          <w:sz w:val="24"/>
          <w:szCs w:val="24"/>
        </w:rPr>
        <w:t>Gayle</w:t>
      </w:r>
      <w:proofErr w:type="spellEnd"/>
      <w:r w:rsidRPr="00A13781">
        <w:rPr>
          <w:rFonts w:ascii="Arial" w:hAnsi="Arial" w:cs="Arial"/>
          <w:sz w:val="24"/>
          <w:szCs w:val="24"/>
        </w:rPr>
        <w:t xml:space="preserve"> (1989), “Reflexionando sobre el sexo: notas para una teoría radical de la sexualidad” En: </w:t>
      </w:r>
      <w:proofErr w:type="spellStart"/>
      <w:r w:rsidRPr="00A13781">
        <w:rPr>
          <w:rFonts w:ascii="Arial" w:hAnsi="Arial" w:cs="Arial"/>
          <w:sz w:val="24"/>
          <w:szCs w:val="24"/>
        </w:rPr>
        <w:t>Vance</w:t>
      </w:r>
      <w:proofErr w:type="spellEnd"/>
      <w:r w:rsidRPr="00A13781">
        <w:rPr>
          <w:rFonts w:ascii="Arial" w:hAnsi="Arial" w:cs="Arial"/>
          <w:sz w:val="24"/>
          <w:szCs w:val="24"/>
        </w:rPr>
        <w:t xml:space="preserve">; </w:t>
      </w:r>
      <w:proofErr w:type="spellStart"/>
      <w:r w:rsidRPr="00A13781">
        <w:rPr>
          <w:rFonts w:ascii="Arial" w:hAnsi="Arial" w:cs="Arial"/>
          <w:sz w:val="24"/>
          <w:szCs w:val="24"/>
        </w:rPr>
        <w:t>Carole</w:t>
      </w:r>
      <w:proofErr w:type="spellEnd"/>
      <w:r w:rsidRPr="00A13781">
        <w:rPr>
          <w:rFonts w:ascii="Arial" w:hAnsi="Arial" w:cs="Arial"/>
          <w:sz w:val="24"/>
          <w:szCs w:val="24"/>
        </w:rPr>
        <w:t xml:space="preserve"> S. (</w:t>
      </w:r>
      <w:proofErr w:type="spellStart"/>
      <w:r w:rsidRPr="00A13781">
        <w:rPr>
          <w:rFonts w:ascii="Arial" w:hAnsi="Arial" w:cs="Arial"/>
          <w:sz w:val="24"/>
          <w:szCs w:val="24"/>
        </w:rPr>
        <w:t>Comp</w:t>
      </w:r>
      <w:proofErr w:type="spellEnd"/>
      <w:r w:rsidRPr="00A13781">
        <w:rPr>
          <w:rFonts w:ascii="Arial" w:hAnsi="Arial" w:cs="Arial"/>
          <w:sz w:val="24"/>
          <w:szCs w:val="24"/>
        </w:rPr>
        <w:t xml:space="preserve">) </w:t>
      </w:r>
      <w:r w:rsidRPr="00A13781">
        <w:rPr>
          <w:rFonts w:ascii="Arial" w:hAnsi="Arial" w:cs="Arial"/>
          <w:i/>
          <w:sz w:val="24"/>
          <w:szCs w:val="24"/>
        </w:rPr>
        <w:t>Placer y peligro. Explorando la sexualidad femenina</w:t>
      </w:r>
      <w:r w:rsidRPr="00A13781">
        <w:rPr>
          <w:rFonts w:ascii="Arial" w:hAnsi="Arial" w:cs="Arial"/>
          <w:sz w:val="24"/>
          <w:szCs w:val="24"/>
        </w:rPr>
        <w:t xml:space="preserve">; Ed Revolución, Madrid, pp113—190. </w:t>
      </w:r>
    </w:p>
    <w:p w:rsidR="00466D23" w:rsidRPr="00A13781" w:rsidRDefault="00466D23" w:rsidP="00B62642">
      <w:pPr>
        <w:spacing w:line="360" w:lineRule="auto"/>
        <w:jc w:val="both"/>
        <w:rPr>
          <w:rFonts w:ascii="Arial" w:hAnsi="Arial" w:cs="Arial"/>
          <w:sz w:val="24"/>
          <w:szCs w:val="24"/>
        </w:rPr>
      </w:pPr>
      <w:proofErr w:type="spellStart"/>
      <w:r w:rsidRPr="00A13781">
        <w:rPr>
          <w:rFonts w:ascii="Arial" w:hAnsi="Arial" w:cs="Arial"/>
          <w:sz w:val="24"/>
          <w:szCs w:val="24"/>
        </w:rPr>
        <w:t>Segato</w:t>
      </w:r>
      <w:proofErr w:type="spellEnd"/>
      <w:r w:rsidRPr="00A13781">
        <w:rPr>
          <w:rFonts w:ascii="Arial" w:hAnsi="Arial" w:cs="Arial"/>
          <w:sz w:val="24"/>
          <w:szCs w:val="24"/>
        </w:rPr>
        <w:t xml:space="preserve"> Rita Laura (2010); “Las estructuras elementales de la violencia: ensayos sobre género entre la antropología, el psicoanálisis y los derechos humano” Prometeo Libros, Buenos Aires.</w:t>
      </w:r>
    </w:p>
    <w:p w:rsidR="00DD351B" w:rsidRPr="00A13781" w:rsidRDefault="00DD351B" w:rsidP="00B62642">
      <w:pPr>
        <w:spacing w:line="360" w:lineRule="auto"/>
        <w:ind w:left="720" w:hanging="720"/>
        <w:jc w:val="both"/>
        <w:rPr>
          <w:rFonts w:ascii="Arial" w:hAnsi="Arial" w:cs="Arial"/>
          <w:noProof/>
          <w:sz w:val="24"/>
          <w:szCs w:val="24"/>
          <w:lang w:val="en-US"/>
        </w:rPr>
      </w:pPr>
      <w:r w:rsidRPr="00A13781">
        <w:rPr>
          <w:rFonts w:ascii="Arial" w:hAnsi="Arial" w:cs="Arial"/>
          <w:noProof/>
          <w:sz w:val="24"/>
          <w:szCs w:val="24"/>
          <w:lang w:val="en-US"/>
        </w:rPr>
        <w:t>Sidney Tarrow</w:t>
      </w:r>
      <w:r w:rsidR="00E92C90" w:rsidRPr="00A13781">
        <w:rPr>
          <w:rFonts w:ascii="Arial" w:hAnsi="Arial" w:cs="Arial"/>
          <w:noProof/>
          <w:sz w:val="24"/>
          <w:szCs w:val="24"/>
          <w:lang w:val="en-US"/>
        </w:rPr>
        <w:t xml:space="preserve"> (1998)</w:t>
      </w:r>
      <w:r w:rsidRPr="00A13781">
        <w:rPr>
          <w:rFonts w:ascii="Arial" w:hAnsi="Arial" w:cs="Arial"/>
          <w:noProof/>
          <w:sz w:val="24"/>
          <w:szCs w:val="24"/>
          <w:lang w:val="en-US"/>
        </w:rPr>
        <w:t xml:space="preserve">, </w:t>
      </w:r>
      <w:r w:rsidRPr="00A13781">
        <w:rPr>
          <w:rFonts w:ascii="Arial" w:hAnsi="Arial" w:cs="Arial"/>
          <w:i/>
          <w:noProof/>
          <w:sz w:val="24"/>
          <w:szCs w:val="24"/>
          <w:lang w:val="en-US"/>
        </w:rPr>
        <w:t>Power in Movement: Social Movements and Contentious Politics</w:t>
      </w:r>
      <w:r w:rsidRPr="00A13781">
        <w:rPr>
          <w:rFonts w:ascii="Arial" w:hAnsi="Arial" w:cs="Arial"/>
          <w:noProof/>
          <w:sz w:val="24"/>
          <w:szCs w:val="24"/>
          <w:lang w:val="en-US"/>
        </w:rPr>
        <w:t xml:space="preserve"> 2d ed., Introducción, Caps. I y VI. </w:t>
      </w:r>
    </w:p>
    <w:p w:rsidR="00DD351B" w:rsidRPr="00A13781" w:rsidRDefault="00DD351B" w:rsidP="00B62642">
      <w:pPr>
        <w:spacing w:line="360" w:lineRule="auto"/>
        <w:jc w:val="both"/>
        <w:rPr>
          <w:rFonts w:ascii="Arial" w:hAnsi="Arial" w:cs="Arial"/>
          <w:noProof/>
          <w:sz w:val="24"/>
          <w:szCs w:val="24"/>
          <w:lang w:val="en-US"/>
        </w:rPr>
      </w:pPr>
      <w:r w:rsidRPr="00A13781">
        <w:rPr>
          <w:rFonts w:ascii="Arial" w:hAnsi="Arial" w:cs="Arial"/>
          <w:noProof/>
          <w:sz w:val="24"/>
          <w:szCs w:val="24"/>
          <w:lang w:val="en-US"/>
        </w:rPr>
        <w:t>Susan E. Eckstein y Timothy P. Wickham-Crowley</w:t>
      </w:r>
      <w:r w:rsidR="006D65F2" w:rsidRPr="00A13781">
        <w:rPr>
          <w:rFonts w:ascii="Arial" w:hAnsi="Arial" w:cs="Arial"/>
          <w:noProof/>
          <w:sz w:val="24"/>
          <w:szCs w:val="24"/>
          <w:lang w:val="en-US"/>
        </w:rPr>
        <w:t xml:space="preserve"> (2003);</w:t>
      </w:r>
      <w:r w:rsidRPr="00A13781">
        <w:rPr>
          <w:rFonts w:ascii="Arial" w:hAnsi="Arial" w:cs="Arial"/>
          <w:noProof/>
          <w:sz w:val="24"/>
          <w:szCs w:val="24"/>
          <w:lang w:val="en-US"/>
        </w:rPr>
        <w:t xml:space="preserve"> “Struggles for Social Rights in Latin America: Claims in the Arenas of Subsistence, Labor, Gender, and Ethnicity”, </w:t>
      </w:r>
      <w:r w:rsidRPr="00A13781">
        <w:rPr>
          <w:rFonts w:ascii="Arial" w:hAnsi="Arial" w:cs="Arial"/>
          <w:i/>
          <w:noProof/>
          <w:sz w:val="24"/>
          <w:szCs w:val="24"/>
          <w:lang w:val="en-US"/>
        </w:rPr>
        <w:t>in Struggles for Social Rights in Latin America</w:t>
      </w:r>
      <w:r w:rsidR="006D65F2" w:rsidRPr="00A13781">
        <w:rPr>
          <w:rFonts w:ascii="Arial" w:hAnsi="Arial" w:cs="Arial"/>
          <w:noProof/>
          <w:sz w:val="24"/>
          <w:szCs w:val="24"/>
          <w:lang w:val="en-US"/>
        </w:rPr>
        <w:t>, Routledge:</w:t>
      </w:r>
      <w:r w:rsidRPr="00A13781">
        <w:rPr>
          <w:rFonts w:ascii="Arial" w:hAnsi="Arial" w:cs="Arial"/>
          <w:noProof/>
          <w:sz w:val="24"/>
          <w:szCs w:val="24"/>
          <w:lang w:val="en-US"/>
        </w:rPr>
        <w:t xml:space="preserve"> pp.1-56.</w:t>
      </w:r>
    </w:p>
    <w:p w:rsidR="00DD351B" w:rsidRPr="00A13781" w:rsidRDefault="00DD351B" w:rsidP="00B62642">
      <w:pPr>
        <w:spacing w:line="360" w:lineRule="auto"/>
        <w:ind w:left="706" w:hanging="706"/>
        <w:jc w:val="both"/>
        <w:rPr>
          <w:rFonts w:ascii="Arial" w:hAnsi="Arial" w:cs="Arial"/>
          <w:noProof/>
          <w:sz w:val="24"/>
          <w:szCs w:val="24"/>
          <w:lang w:val="en-US"/>
        </w:rPr>
      </w:pPr>
      <w:r w:rsidRPr="00A13781">
        <w:rPr>
          <w:rFonts w:ascii="Arial" w:hAnsi="Arial" w:cs="Arial"/>
          <w:noProof/>
          <w:sz w:val="24"/>
          <w:szCs w:val="24"/>
          <w:lang w:val="en-US"/>
        </w:rPr>
        <w:lastRenderedPageBreak/>
        <w:t>Sonia E. Alvarez, Evelina Dagnino, and Arturo Escobar</w:t>
      </w:r>
      <w:r w:rsidR="00E92C90" w:rsidRPr="00A13781">
        <w:rPr>
          <w:rFonts w:ascii="Arial" w:hAnsi="Arial" w:cs="Arial"/>
          <w:noProof/>
          <w:sz w:val="24"/>
          <w:szCs w:val="24"/>
          <w:lang w:val="en-US"/>
        </w:rPr>
        <w:t xml:space="preserve"> (1998)</w:t>
      </w:r>
      <w:r w:rsidRPr="00A13781">
        <w:rPr>
          <w:rFonts w:ascii="Arial" w:hAnsi="Arial" w:cs="Arial"/>
          <w:noProof/>
          <w:sz w:val="24"/>
          <w:szCs w:val="24"/>
          <w:lang w:val="en-US"/>
        </w:rPr>
        <w:t xml:space="preserve">, “Introduction: The Cultural and the Political in Latin American Social Movements” </w:t>
      </w:r>
      <w:r w:rsidRPr="00A13781">
        <w:rPr>
          <w:rFonts w:ascii="Arial" w:hAnsi="Arial" w:cs="Arial"/>
          <w:i/>
          <w:noProof/>
          <w:sz w:val="24"/>
          <w:szCs w:val="24"/>
          <w:lang w:val="en-US"/>
        </w:rPr>
        <w:t xml:space="preserve">in </w:t>
      </w:r>
      <w:r w:rsidRPr="00A13781">
        <w:rPr>
          <w:rFonts w:ascii="Arial" w:hAnsi="Arial" w:cs="Arial"/>
          <w:noProof/>
          <w:sz w:val="24"/>
          <w:szCs w:val="24"/>
          <w:lang w:val="en-US"/>
        </w:rPr>
        <w:t xml:space="preserve">Sonia Alvarez, Evelyna Dagnino y Arturo Escobar eds., </w:t>
      </w:r>
      <w:r w:rsidRPr="00A13781">
        <w:rPr>
          <w:rFonts w:ascii="Arial" w:hAnsi="Arial" w:cs="Arial"/>
          <w:i/>
          <w:noProof/>
          <w:sz w:val="24"/>
          <w:szCs w:val="24"/>
          <w:lang w:val="en-US"/>
        </w:rPr>
        <w:t xml:space="preserve">Cultures of Politics, Politics of Cultures: Re-Visioning </w:t>
      </w:r>
      <w:r w:rsidR="00E92C90" w:rsidRPr="00A13781">
        <w:rPr>
          <w:rFonts w:ascii="Arial" w:hAnsi="Arial" w:cs="Arial"/>
          <w:i/>
          <w:noProof/>
          <w:sz w:val="24"/>
          <w:szCs w:val="24"/>
          <w:lang w:val="en-US"/>
        </w:rPr>
        <w:t xml:space="preserve">Latin American Social Movements, </w:t>
      </w:r>
      <w:r w:rsidRPr="00A13781">
        <w:rPr>
          <w:rFonts w:ascii="Arial" w:hAnsi="Arial" w:cs="Arial"/>
          <w:noProof/>
          <w:sz w:val="24"/>
          <w:szCs w:val="24"/>
          <w:lang w:val="en-US"/>
        </w:rPr>
        <w:t>pp. 1-29.</w:t>
      </w:r>
    </w:p>
    <w:p w:rsidR="00DD351B" w:rsidRPr="00A13781" w:rsidRDefault="00DD351B" w:rsidP="00B62642">
      <w:pPr>
        <w:spacing w:line="360" w:lineRule="auto"/>
        <w:jc w:val="both"/>
        <w:rPr>
          <w:rFonts w:ascii="Arial" w:hAnsi="Arial" w:cs="Arial"/>
          <w:sz w:val="24"/>
          <w:szCs w:val="24"/>
        </w:rPr>
      </w:pPr>
      <w:r w:rsidRPr="00A13781">
        <w:rPr>
          <w:rFonts w:ascii="Arial" w:hAnsi="Arial" w:cs="Arial"/>
          <w:sz w:val="24"/>
          <w:szCs w:val="24"/>
        </w:rPr>
        <w:t>Taylor Charles (1996); Fuentes del yo, Ed Paidós, Barcelona.</w:t>
      </w:r>
    </w:p>
    <w:p w:rsidR="0014159A" w:rsidRPr="00A13781" w:rsidRDefault="0014159A" w:rsidP="00B62642">
      <w:pPr>
        <w:pStyle w:val="yiv1014887039msonormal"/>
        <w:shd w:val="clear" w:color="auto" w:fill="FFFFFF"/>
        <w:spacing w:before="0" w:beforeAutospacing="0" w:after="0" w:afterAutospacing="0" w:line="360" w:lineRule="auto"/>
        <w:rPr>
          <w:rFonts w:ascii="Arial" w:hAnsi="Arial" w:cs="Arial"/>
        </w:rPr>
      </w:pPr>
      <w:proofErr w:type="spellStart"/>
      <w:r w:rsidRPr="00A13781">
        <w:rPr>
          <w:rFonts w:ascii="Arial" w:hAnsi="Arial" w:cs="Arial"/>
        </w:rPr>
        <w:t>Spivak</w:t>
      </w:r>
      <w:proofErr w:type="spellEnd"/>
      <w:r w:rsidRPr="00A13781">
        <w:rPr>
          <w:rFonts w:ascii="Arial" w:hAnsi="Arial" w:cs="Arial"/>
        </w:rPr>
        <w:t xml:space="preserve"> </w:t>
      </w:r>
      <w:proofErr w:type="spellStart"/>
      <w:r w:rsidRPr="00A13781">
        <w:rPr>
          <w:rFonts w:ascii="Arial" w:hAnsi="Arial" w:cs="Arial"/>
        </w:rPr>
        <w:t>Gayatri</w:t>
      </w:r>
      <w:proofErr w:type="spellEnd"/>
      <w:r w:rsidRPr="00A13781">
        <w:rPr>
          <w:rFonts w:ascii="Arial" w:hAnsi="Arial" w:cs="Arial"/>
        </w:rPr>
        <w:t xml:space="preserve"> </w:t>
      </w:r>
      <w:proofErr w:type="spellStart"/>
      <w:r w:rsidRPr="00A13781">
        <w:rPr>
          <w:rFonts w:ascii="Arial" w:hAnsi="Arial" w:cs="Arial"/>
        </w:rPr>
        <w:t>Chakravorty</w:t>
      </w:r>
      <w:proofErr w:type="spellEnd"/>
      <w:r w:rsidRPr="00A13781">
        <w:rPr>
          <w:rFonts w:ascii="Arial" w:hAnsi="Arial" w:cs="Arial"/>
        </w:rPr>
        <w:t xml:space="preserve"> (2011); “¿Puede hablar el subalterno?”, El Cuenco de Plata, buenos Aires.</w:t>
      </w:r>
    </w:p>
    <w:p w:rsidR="0014159A" w:rsidRPr="00A13781" w:rsidRDefault="0014159A" w:rsidP="00B62642">
      <w:pPr>
        <w:spacing w:line="360" w:lineRule="auto"/>
        <w:jc w:val="both"/>
        <w:rPr>
          <w:rFonts w:ascii="Arial" w:hAnsi="Arial" w:cs="Arial"/>
          <w:sz w:val="24"/>
          <w:szCs w:val="24"/>
        </w:rPr>
      </w:pPr>
      <w:proofErr w:type="spellStart"/>
      <w:r w:rsidRPr="00A13781">
        <w:rPr>
          <w:rFonts w:ascii="Arial" w:hAnsi="Arial" w:cs="Arial"/>
          <w:sz w:val="24"/>
          <w:szCs w:val="24"/>
        </w:rPr>
        <w:t>Spivak</w:t>
      </w:r>
      <w:proofErr w:type="spellEnd"/>
      <w:r w:rsidRPr="00A13781">
        <w:rPr>
          <w:rFonts w:ascii="Arial" w:hAnsi="Arial" w:cs="Arial"/>
          <w:sz w:val="24"/>
          <w:szCs w:val="24"/>
        </w:rPr>
        <w:t xml:space="preserve"> </w:t>
      </w:r>
      <w:proofErr w:type="spellStart"/>
      <w:r w:rsidRPr="00A13781">
        <w:rPr>
          <w:rFonts w:ascii="Arial" w:hAnsi="Arial" w:cs="Arial"/>
          <w:sz w:val="24"/>
          <w:szCs w:val="24"/>
        </w:rPr>
        <w:t>Gayatri</w:t>
      </w:r>
      <w:proofErr w:type="spellEnd"/>
      <w:r w:rsidRPr="00A13781">
        <w:rPr>
          <w:rFonts w:ascii="Arial" w:hAnsi="Arial" w:cs="Arial"/>
          <w:sz w:val="24"/>
          <w:szCs w:val="24"/>
        </w:rPr>
        <w:t xml:space="preserve"> </w:t>
      </w:r>
      <w:proofErr w:type="spellStart"/>
      <w:r w:rsidRPr="00A13781">
        <w:rPr>
          <w:rFonts w:ascii="Arial" w:hAnsi="Arial" w:cs="Arial"/>
          <w:sz w:val="24"/>
          <w:szCs w:val="24"/>
        </w:rPr>
        <w:t>Chakravorty</w:t>
      </w:r>
      <w:proofErr w:type="spellEnd"/>
      <w:r w:rsidRPr="00A13781">
        <w:rPr>
          <w:rFonts w:ascii="Arial" w:hAnsi="Arial" w:cs="Arial"/>
          <w:sz w:val="24"/>
          <w:szCs w:val="24"/>
        </w:rPr>
        <w:t xml:space="preserve"> (2013); “Sobre la deconstrucción. Introducción a De la </w:t>
      </w:r>
      <w:proofErr w:type="spellStart"/>
      <w:r w:rsidRPr="00A13781">
        <w:rPr>
          <w:rFonts w:ascii="Arial" w:hAnsi="Arial" w:cs="Arial"/>
          <w:sz w:val="24"/>
          <w:szCs w:val="24"/>
        </w:rPr>
        <w:t>Gramatología</w:t>
      </w:r>
      <w:proofErr w:type="spellEnd"/>
      <w:r w:rsidRPr="00A13781">
        <w:rPr>
          <w:rFonts w:ascii="Arial" w:hAnsi="Arial" w:cs="Arial"/>
          <w:sz w:val="24"/>
          <w:szCs w:val="24"/>
        </w:rPr>
        <w:t xml:space="preserve"> de </w:t>
      </w:r>
      <w:proofErr w:type="spellStart"/>
      <w:r w:rsidRPr="00A13781">
        <w:rPr>
          <w:rFonts w:ascii="Arial" w:hAnsi="Arial" w:cs="Arial"/>
          <w:sz w:val="24"/>
          <w:szCs w:val="24"/>
        </w:rPr>
        <w:t>Derrida</w:t>
      </w:r>
      <w:proofErr w:type="spellEnd"/>
      <w:r w:rsidRPr="00A13781">
        <w:rPr>
          <w:rFonts w:ascii="Arial" w:hAnsi="Arial" w:cs="Arial"/>
          <w:sz w:val="24"/>
          <w:szCs w:val="24"/>
        </w:rPr>
        <w:t>”, Hilo Rojo Editores, Buenos Aires.</w:t>
      </w:r>
    </w:p>
    <w:p w:rsidR="0014159A" w:rsidRPr="00A13781" w:rsidRDefault="0014159A" w:rsidP="00B62642">
      <w:pPr>
        <w:spacing w:line="360" w:lineRule="auto"/>
        <w:jc w:val="both"/>
        <w:rPr>
          <w:rFonts w:ascii="Arial" w:hAnsi="Arial" w:cs="Arial"/>
          <w:sz w:val="24"/>
          <w:szCs w:val="24"/>
        </w:rPr>
      </w:pPr>
      <w:proofErr w:type="spellStart"/>
      <w:r w:rsidRPr="00A13781">
        <w:rPr>
          <w:rFonts w:ascii="Arial" w:hAnsi="Arial" w:cs="Arial"/>
          <w:sz w:val="24"/>
          <w:szCs w:val="24"/>
          <w:lang w:val="en-US"/>
        </w:rPr>
        <w:t>Savigliano</w:t>
      </w:r>
      <w:proofErr w:type="spellEnd"/>
      <w:r w:rsidRPr="00A13781">
        <w:rPr>
          <w:rFonts w:ascii="Arial" w:hAnsi="Arial" w:cs="Arial"/>
          <w:sz w:val="24"/>
          <w:szCs w:val="24"/>
          <w:lang w:val="en-US"/>
        </w:rPr>
        <w:t>, Marta (1995): “</w:t>
      </w:r>
      <w:r w:rsidRPr="00A13781">
        <w:rPr>
          <w:rFonts w:ascii="Arial" w:hAnsi="Arial" w:cs="Arial"/>
          <w:iCs/>
          <w:sz w:val="24"/>
          <w:szCs w:val="24"/>
          <w:lang w:val="en-US"/>
        </w:rPr>
        <w:t>Tango and the political economy of passion”</w:t>
      </w:r>
      <w:r w:rsidRPr="00A13781">
        <w:rPr>
          <w:rFonts w:ascii="Arial" w:hAnsi="Arial" w:cs="Arial"/>
          <w:sz w:val="24"/>
          <w:szCs w:val="24"/>
          <w:lang w:val="en-US"/>
        </w:rPr>
        <w:t xml:space="preserve">. </w:t>
      </w:r>
      <w:r w:rsidRPr="00A13781">
        <w:rPr>
          <w:rFonts w:ascii="Arial" w:hAnsi="Arial" w:cs="Arial"/>
          <w:sz w:val="24"/>
          <w:szCs w:val="24"/>
        </w:rPr>
        <w:t xml:space="preserve">San Francisco/Oxford: </w:t>
      </w:r>
      <w:proofErr w:type="spellStart"/>
      <w:r w:rsidRPr="00A13781">
        <w:rPr>
          <w:rFonts w:ascii="Arial" w:hAnsi="Arial" w:cs="Arial"/>
          <w:sz w:val="24"/>
          <w:szCs w:val="24"/>
        </w:rPr>
        <w:t>Wesview</w:t>
      </w:r>
      <w:proofErr w:type="spellEnd"/>
      <w:r w:rsidRPr="00A13781">
        <w:rPr>
          <w:rFonts w:ascii="Arial" w:hAnsi="Arial" w:cs="Arial"/>
          <w:sz w:val="24"/>
          <w:szCs w:val="24"/>
        </w:rPr>
        <w:t xml:space="preserve"> </w:t>
      </w:r>
      <w:proofErr w:type="spellStart"/>
      <w:r w:rsidRPr="00A13781">
        <w:rPr>
          <w:rFonts w:ascii="Arial" w:hAnsi="Arial" w:cs="Arial"/>
          <w:sz w:val="24"/>
          <w:szCs w:val="24"/>
        </w:rPr>
        <w:t>Press</w:t>
      </w:r>
      <w:proofErr w:type="spellEnd"/>
    </w:p>
    <w:p w:rsidR="0014159A" w:rsidRPr="00A13781" w:rsidRDefault="0014159A" w:rsidP="00B62642">
      <w:pPr>
        <w:spacing w:line="360" w:lineRule="auto"/>
        <w:jc w:val="both"/>
        <w:rPr>
          <w:rFonts w:ascii="Arial" w:hAnsi="Arial" w:cs="Arial"/>
          <w:sz w:val="24"/>
          <w:szCs w:val="24"/>
          <w:lang w:val="es-AR"/>
        </w:rPr>
      </w:pPr>
      <w:r w:rsidRPr="00A13781">
        <w:rPr>
          <w:rFonts w:ascii="Arial" w:hAnsi="Arial" w:cs="Arial"/>
          <w:sz w:val="24"/>
          <w:szCs w:val="24"/>
          <w:lang w:val="es-AR"/>
        </w:rPr>
        <w:t xml:space="preserve">Taylor Diana y Fuentes, Marcela (2011)  </w:t>
      </w:r>
      <w:r w:rsidRPr="00A13781">
        <w:rPr>
          <w:rFonts w:ascii="Arial" w:hAnsi="Arial" w:cs="Arial"/>
          <w:iCs/>
          <w:sz w:val="24"/>
          <w:szCs w:val="24"/>
          <w:lang w:val="es-AR"/>
        </w:rPr>
        <w:t>Estudios avanzados de performance</w:t>
      </w:r>
      <w:r w:rsidRPr="00A13781">
        <w:rPr>
          <w:rFonts w:ascii="Arial" w:hAnsi="Arial" w:cs="Arial"/>
          <w:i/>
          <w:iCs/>
          <w:sz w:val="24"/>
          <w:szCs w:val="24"/>
          <w:lang w:val="es-AR"/>
        </w:rPr>
        <w:t>.</w:t>
      </w:r>
      <w:r w:rsidRPr="00A13781">
        <w:rPr>
          <w:rFonts w:ascii="Arial" w:hAnsi="Arial" w:cs="Arial"/>
          <w:sz w:val="24"/>
          <w:szCs w:val="24"/>
          <w:lang w:val="es-AR"/>
        </w:rPr>
        <w:t xml:space="preserve"> (</w:t>
      </w:r>
      <w:proofErr w:type="gramStart"/>
      <w:r w:rsidRPr="00A13781">
        <w:rPr>
          <w:rFonts w:ascii="Arial" w:hAnsi="Arial" w:cs="Arial"/>
          <w:sz w:val="24"/>
          <w:szCs w:val="24"/>
          <w:lang w:val="es-AR"/>
        </w:rPr>
        <w:t>capítulos</w:t>
      </w:r>
      <w:proofErr w:type="gramEnd"/>
      <w:r w:rsidRPr="00A13781">
        <w:rPr>
          <w:rFonts w:ascii="Arial" w:hAnsi="Arial" w:cs="Arial"/>
          <w:sz w:val="24"/>
          <w:szCs w:val="24"/>
          <w:lang w:val="es-AR"/>
        </w:rPr>
        <w:t xml:space="preserve"> seleccionados); Fondo de Cultura Económica México D.F</w:t>
      </w:r>
    </w:p>
    <w:p w:rsidR="0014159A" w:rsidRPr="00A13781" w:rsidRDefault="0014159A" w:rsidP="00B62642">
      <w:pPr>
        <w:spacing w:before="60" w:after="120" w:line="360" w:lineRule="auto"/>
        <w:rPr>
          <w:rFonts w:ascii="Arial" w:hAnsi="Arial" w:cs="Arial"/>
          <w:b/>
          <w:sz w:val="24"/>
          <w:szCs w:val="24"/>
        </w:rPr>
      </w:pPr>
    </w:p>
    <w:p w:rsidR="00245F1B" w:rsidRPr="00A13781" w:rsidRDefault="00245F1B" w:rsidP="00B62642">
      <w:pPr>
        <w:spacing w:before="60" w:after="120" w:line="360" w:lineRule="auto"/>
        <w:rPr>
          <w:rFonts w:ascii="Arial" w:hAnsi="Arial" w:cs="Arial"/>
          <w:b/>
          <w:sz w:val="24"/>
          <w:szCs w:val="24"/>
        </w:rPr>
      </w:pPr>
    </w:p>
    <w:sectPr w:rsidR="00245F1B" w:rsidRPr="00A13781">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73D" w:rsidRDefault="0054373D" w:rsidP="004038F7">
      <w:pPr>
        <w:spacing w:after="0" w:line="240" w:lineRule="auto"/>
      </w:pPr>
      <w:r>
        <w:separator/>
      </w:r>
    </w:p>
  </w:endnote>
  <w:endnote w:type="continuationSeparator" w:id="0">
    <w:p w:rsidR="0054373D" w:rsidRDefault="0054373D" w:rsidP="00403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77A" w:rsidRDefault="0011777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73D" w:rsidRDefault="0054373D" w:rsidP="004038F7">
      <w:pPr>
        <w:spacing w:after="0" w:line="240" w:lineRule="auto"/>
      </w:pPr>
      <w:r>
        <w:separator/>
      </w:r>
    </w:p>
  </w:footnote>
  <w:footnote w:type="continuationSeparator" w:id="0">
    <w:p w:rsidR="0054373D" w:rsidRDefault="0054373D" w:rsidP="004038F7">
      <w:pPr>
        <w:spacing w:after="0" w:line="240" w:lineRule="auto"/>
      </w:pPr>
      <w:r>
        <w:continuationSeparator/>
      </w:r>
    </w:p>
  </w:footnote>
  <w:footnote w:id="1">
    <w:p w:rsidR="004038F7" w:rsidRPr="00566BA0" w:rsidRDefault="004038F7">
      <w:pPr>
        <w:pStyle w:val="Textonotapie"/>
        <w:rPr>
          <w:rFonts w:ascii="Times New Roman" w:hAnsi="Times New Roman" w:cs="Times New Roman"/>
          <w:sz w:val="22"/>
          <w:szCs w:val="22"/>
          <w:lang w:val="es-AR"/>
        </w:rPr>
      </w:pPr>
      <w:r w:rsidRPr="00566BA0">
        <w:rPr>
          <w:rStyle w:val="Refdenotaalpie"/>
          <w:rFonts w:ascii="Times New Roman" w:hAnsi="Times New Roman" w:cs="Times New Roman"/>
          <w:sz w:val="22"/>
          <w:szCs w:val="22"/>
        </w:rPr>
        <w:footnoteRef/>
      </w:r>
      <w:r w:rsidRPr="00566BA0">
        <w:rPr>
          <w:rFonts w:ascii="Times New Roman" w:hAnsi="Times New Roman" w:cs="Times New Roman"/>
          <w:sz w:val="22"/>
          <w:szCs w:val="22"/>
        </w:rPr>
        <w:t xml:space="preserve"> </w:t>
      </w:r>
      <w:r w:rsidR="00530CD7" w:rsidRPr="00566BA0">
        <w:rPr>
          <w:rFonts w:ascii="Times New Roman" w:hAnsi="Times New Roman" w:cs="Times New Roman"/>
          <w:sz w:val="22"/>
          <w:szCs w:val="22"/>
        </w:rPr>
        <w:t xml:space="preserve">Ver  </w:t>
      </w:r>
      <w:hyperlink r:id="rId1" w:history="1">
        <w:r w:rsidRPr="00566BA0">
          <w:rPr>
            <w:rFonts w:ascii="Times New Roman" w:hAnsi="Times New Roman" w:cs="Times New Roman"/>
            <w:color w:val="0000FF"/>
            <w:sz w:val="22"/>
            <w:szCs w:val="22"/>
            <w:u w:val="single"/>
          </w:rPr>
          <w:t>http://www.ela.org.ar/a2/index.cfm?muestra&amp;codcontenido=2858&amp;plcontampl=12&amp;aplicacion=app187&amp;cnl=4&amp;opc=50</w:t>
        </w:r>
      </w:hyperlink>
      <w:r w:rsidRPr="00566BA0">
        <w:rPr>
          <w:rFonts w:ascii="Times New Roman" w:hAnsi="Times New Roman" w:cs="Times New Roman"/>
          <w:sz w:val="22"/>
          <w:szCs w:val="22"/>
        </w:rPr>
        <w:t>. Consulta</w:t>
      </w:r>
      <w:r w:rsidR="00530CD7" w:rsidRPr="00566BA0">
        <w:rPr>
          <w:rFonts w:ascii="Times New Roman" w:hAnsi="Times New Roman" w:cs="Times New Roman"/>
          <w:sz w:val="22"/>
          <w:szCs w:val="22"/>
        </w:rPr>
        <w:t>do</w:t>
      </w:r>
      <w:r w:rsidRPr="00566BA0">
        <w:rPr>
          <w:rFonts w:ascii="Times New Roman" w:hAnsi="Times New Roman" w:cs="Times New Roman"/>
          <w:sz w:val="22"/>
          <w:szCs w:val="22"/>
        </w:rPr>
        <w:t xml:space="preserve"> el 16 de septiembre de  2017. </w:t>
      </w:r>
    </w:p>
  </w:footnote>
  <w:footnote w:id="2">
    <w:p w:rsidR="00530CD7" w:rsidRPr="00566BA0" w:rsidRDefault="00530CD7" w:rsidP="00530CD7">
      <w:pPr>
        <w:pStyle w:val="Textonotapie"/>
        <w:rPr>
          <w:rFonts w:ascii="Times New Roman" w:hAnsi="Times New Roman" w:cs="Times New Roman"/>
          <w:sz w:val="22"/>
          <w:szCs w:val="22"/>
          <w:lang w:val="es-AR"/>
        </w:rPr>
      </w:pPr>
      <w:r w:rsidRPr="00566BA0">
        <w:rPr>
          <w:rStyle w:val="Refdenotaalpie"/>
          <w:rFonts w:ascii="Times New Roman" w:hAnsi="Times New Roman" w:cs="Times New Roman"/>
          <w:sz w:val="22"/>
          <w:szCs w:val="22"/>
        </w:rPr>
        <w:footnoteRef/>
      </w:r>
      <w:r w:rsidRPr="00566BA0">
        <w:rPr>
          <w:rFonts w:ascii="Times New Roman" w:hAnsi="Times New Roman" w:cs="Times New Roman"/>
          <w:sz w:val="22"/>
          <w:szCs w:val="22"/>
        </w:rPr>
        <w:t xml:space="preserve"> </w:t>
      </w:r>
      <w:r w:rsidRPr="00566BA0">
        <w:rPr>
          <w:rFonts w:ascii="Times New Roman" w:hAnsi="Times New Roman" w:cs="Times New Roman"/>
          <w:sz w:val="22"/>
          <w:szCs w:val="22"/>
          <w:lang w:val="es-AR"/>
        </w:rPr>
        <w:t>Un ejemplo reciente de esta resistencia s podemos encontrarlo en dos escuelas secundarias  de Catamarca. Los estudiantes decidieron truncar el final de un certamen tradicional que se hace en muchas provincias, la elección de la “reina”. De manera inédita, el jurado conformado por alumnos y alumnas de 6º año decidió coronar por igual a todas las participantes. El objetivo de los estudiantes fue marcar su postura crítica frente a este tipo de certámenes que “generan competencia”, “establecen estereotipos de belleza irreales” y provocan “infinidad de inseguridades” entre las adolescentes.</w:t>
      </w:r>
    </w:p>
    <w:p w:rsidR="00530CD7" w:rsidRPr="00530CD7" w:rsidRDefault="00530CD7">
      <w:pPr>
        <w:pStyle w:val="Textonotapie"/>
        <w:rPr>
          <w:lang w:val="es-AR"/>
        </w:rPr>
      </w:pPr>
      <w:r w:rsidRPr="00566BA0">
        <w:rPr>
          <w:rFonts w:ascii="Times New Roman" w:hAnsi="Times New Roman" w:cs="Times New Roman"/>
          <w:sz w:val="22"/>
          <w:szCs w:val="22"/>
          <w:lang w:val="es-AR"/>
        </w:rPr>
        <w:t xml:space="preserve">Consultado en </w:t>
      </w:r>
      <w:hyperlink r:id="rId2" w:history="1">
        <w:r w:rsidRPr="00566BA0">
          <w:rPr>
            <w:rStyle w:val="Hipervnculo"/>
            <w:rFonts w:ascii="Times New Roman" w:hAnsi="Times New Roman" w:cs="Times New Roman"/>
            <w:sz w:val="22"/>
            <w:szCs w:val="22"/>
            <w:lang w:val="es-AR"/>
          </w:rPr>
          <w:t>https://www.pagina12.com.ar/217475-reinas-somos-todas-la-reaccion-de-estudiantes-en-un-certamen</w:t>
        </w:r>
      </w:hyperlink>
      <w:r w:rsidRPr="00566BA0">
        <w:rPr>
          <w:rFonts w:ascii="Times New Roman" w:hAnsi="Times New Roman" w:cs="Times New Roman"/>
          <w:sz w:val="22"/>
          <w:szCs w:val="22"/>
        </w:rPr>
        <w:t xml:space="preserve"> Consultado el 16 de septiembre de  2017.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4BB"/>
    <w:rsid w:val="00000CF7"/>
    <w:rsid w:val="00017C10"/>
    <w:rsid w:val="000332EB"/>
    <w:rsid w:val="00033ADC"/>
    <w:rsid w:val="000444BE"/>
    <w:rsid w:val="00073F2E"/>
    <w:rsid w:val="00097DE3"/>
    <w:rsid w:val="000C0C5F"/>
    <w:rsid w:val="000C459C"/>
    <w:rsid w:val="000E39E2"/>
    <w:rsid w:val="000E799B"/>
    <w:rsid w:val="00105A6D"/>
    <w:rsid w:val="00117389"/>
    <w:rsid w:val="0011777A"/>
    <w:rsid w:val="0014159A"/>
    <w:rsid w:val="00174154"/>
    <w:rsid w:val="001A3C13"/>
    <w:rsid w:val="00205245"/>
    <w:rsid w:val="002116D3"/>
    <w:rsid w:val="00245F1B"/>
    <w:rsid w:val="0024611F"/>
    <w:rsid w:val="00251953"/>
    <w:rsid w:val="00254CB7"/>
    <w:rsid w:val="00255DF9"/>
    <w:rsid w:val="00271F37"/>
    <w:rsid w:val="002771B9"/>
    <w:rsid w:val="002A0D7B"/>
    <w:rsid w:val="002B7CA6"/>
    <w:rsid w:val="00331E5A"/>
    <w:rsid w:val="00335BBD"/>
    <w:rsid w:val="003434FE"/>
    <w:rsid w:val="00356295"/>
    <w:rsid w:val="0037170F"/>
    <w:rsid w:val="003937A9"/>
    <w:rsid w:val="003A1241"/>
    <w:rsid w:val="00402E13"/>
    <w:rsid w:val="004038F7"/>
    <w:rsid w:val="004131A7"/>
    <w:rsid w:val="0044750B"/>
    <w:rsid w:val="004646BF"/>
    <w:rsid w:val="00466D23"/>
    <w:rsid w:val="004C3F03"/>
    <w:rsid w:val="004E4972"/>
    <w:rsid w:val="00503CBA"/>
    <w:rsid w:val="00530CD7"/>
    <w:rsid w:val="00536CD6"/>
    <w:rsid w:val="0054373D"/>
    <w:rsid w:val="00552F11"/>
    <w:rsid w:val="00557C33"/>
    <w:rsid w:val="00566BA0"/>
    <w:rsid w:val="005C1A02"/>
    <w:rsid w:val="005F2D36"/>
    <w:rsid w:val="00623032"/>
    <w:rsid w:val="00626B82"/>
    <w:rsid w:val="00654174"/>
    <w:rsid w:val="00655DFE"/>
    <w:rsid w:val="0066053F"/>
    <w:rsid w:val="006B4259"/>
    <w:rsid w:val="006C01BE"/>
    <w:rsid w:val="006D2B28"/>
    <w:rsid w:val="006D65F2"/>
    <w:rsid w:val="006E11D5"/>
    <w:rsid w:val="006E2D0F"/>
    <w:rsid w:val="006F2804"/>
    <w:rsid w:val="00704F68"/>
    <w:rsid w:val="0071344D"/>
    <w:rsid w:val="00727CBA"/>
    <w:rsid w:val="00733429"/>
    <w:rsid w:val="0074045C"/>
    <w:rsid w:val="00740C52"/>
    <w:rsid w:val="00750CF8"/>
    <w:rsid w:val="00773F01"/>
    <w:rsid w:val="007A1363"/>
    <w:rsid w:val="007A2193"/>
    <w:rsid w:val="007A314F"/>
    <w:rsid w:val="007A585A"/>
    <w:rsid w:val="007B002A"/>
    <w:rsid w:val="007C0160"/>
    <w:rsid w:val="007C18E9"/>
    <w:rsid w:val="007C2A78"/>
    <w:rsid w:val="00817579"/>
    <w:rsid w:val="00836864"/>
    <w:rsid w:val="00862871"/>
    <w:rsid w:val="00863F04"/>
    <w:rsid w:val="0087103D"/>
    <w:rsid w:val="008D066F"/>
    <w:rsid w:val="008E25A7"/>
    <w:rsid w:val="008E417D"/>
    <w:rsid w:val="008F42E3"/>
    <w:rsid w:val="008F45E0"/>
    <w:rsid w:val="00931CEE"/>
    <w:rsid w:val="00977EDF"/>
    <w:rsid w:val="009874F3"/>
    <w:rsid w:val="0099154A"/>
    <w:rsid w:val="00997D85"/>
    <w:rsid w:val="009A79B9"/>
    <w:rsid w:val="009B5EBA"/>
    <w:rsid w:val="009D3D7D"/>
    <w:rsid w:val="00A13781"/>
    <w:rsid w:val="00A35EB3"/>
    <w:rsid w:val="00A67F51"/>
    <w:rsid w:val="00A727DC"/>
    <w:rsid w:val="00A740C1"/>
    <w:rsid w:val="00A77058"/>
    <w:rsid w:val="00A839E1"/>
    <w:rsid w:val="00B20D4B"/>
    <w:rsid w:val="00B25E76"/>
    <w:rsid w:val="00B42AC9"/>
    <w:rsid w:val="00B45DAF"/>
    <w:rsid w:val="00B62642"/>
    <w:rsid w:val="00B80511"/>
    <w:rsid w:val="00B805B0"/>
    <w:rsid w:val="00B879D3"/>
    <w:rsid w:val="00B91B04"/>
    <w:rsid w:val="00BD1E30"/>
    <w:rsid w:val="00BD58A1"/>
    <w:rsid w:val="00BD63E7"/>
    <w:rsid w:val="00BE4869"/>
    <w:rsid w:val="00BE64F7"/>
    <w:rsid w:val="00C15E38"/>
    <w:rsid w:val="00C334BB"/>
    <w:rsid w:val="00C33AB0"/>
    <w:rsid w:val="00C360B4"/>
    <w:rsid w:val="00C36D5F"/>
    <w:rsid w:val="00C60985"/>
    <w:rsid w:val="00C65226"/>
    <w:rsid w:val="00C767EB"/>
    <w:rsid w:val="00C85F03"/>
    <w:rsid w:val="00CB3D5D"/>
    <w:rsid w:val="00CC07D5"/>
    <w:rsid w:val="00CE07D9"/>
    <w:rsid w:val="00CF3641"/>
    <w:rsid w:val="00D253D2"/>
    <w:rsid w:val="00D570DA"/>
    <w:rsid w:val="00D8431C"/>
    <w:rsid w:val="00D85061"/>
    <w:rsid w:val="00DA2D93"/>
    <w:rsid w:val="00DA4952"/>
    <w:rsid w:val="00DC084E"/>
    <w:rsid w:val="00DC3279"/>
    <w:rsid w:val="00DD351B"/>
    <w:rsid w:val="00E24CD5"/>
    <w:rsid w:val="00E268A0"/>
    <w:rsid w:val="00E32E1A"/>
    <w:rsid w:val="00E44061"/>
    <w:rsid w:val="00E92C90"/>
    <w:rsid w:val="00EB084B"/>
    <w:rsid w:val="00EB697E"/>
    <w:rsid w:val="00EC066E"/>
    <w:rsid w:val="00ED0AAD"/>
    <w:rsid w:val="00F20C00"/>
    <w:rsid w:val="00F35DB9"/>
    <w:rsid w:val="00F4494C"/>
    <w:rsid w:val="00F81C2D"/>
    <w:rsid w:val="00F851C9"/>
    <w:rsid w:val="00FC1C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4B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14159A"/>
    <w:rPr>
      <w:color w:val="0000FF"/>
      <w:u w:val="single"/>
    </w:rPr>
  </w:style>
  <w:style w:type="paragraph" w:customStyle="1" w:styleId="yiv1014887039msonormal">
    <w:name w:val="yiv1014887039msonormal"/>
    <w:basedOn w:val="Normal"/>
    <w:rsid w:val="0014159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yiv9283353662msonormal">
    <w:name w:val="yiv9283353662msonormal"/>
    <w:basedOn w:val="Normal"/>
    <w:rsid w:val="009874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yiv9283353662gmail-msolistparagraph">
    <w:name w:val="yiv9283353662gmail-msolistparagraph"/>
    <w:basedOn w:val="Normal"/>
    <w:rsid w:val="009874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45F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5F1B"/>
    <w:rPr>
      <w:rFonts w:ascii="Tahoma" w:hAnsi="Tahoma" w:cs="Tahoma"/>
      <w:sz w:val="16"/>
      <w:szCs w:val="16"/>
    </w:rPr>
  </w:style>
  <w:style w:type="paragraph" w:styleId="Sinespaciado">
    <w:name w:val="No Spacing"/>
    <w:uiPriority w:val="1"/>
    <w:qFormat/>
    <w:rsid w:val="00000CF7"/>
    <w:pPr>
      <w:spacing w:after="0" w:line="240" w:lineRule="auto"/>
    </w:pPr>
  </w:style>
  <w:style w:type="paragraph" w:styleId="Textonotapie">
    <w:name w:val="footnote text"/>
    <w:basedOn w:val="Normal"/>
    <w:link w:val="TextonotapieCar"/>
    <w:uiPriority w:val="99"/>
    <w:semiHidden/>
    <w:unhideWhenUsed/>
    <w:rsid w:val="004038F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38F7"/>
    <w:rPr>
      <w:sz w:val="20"/>
      <w:szCs w:val="20"/>
    </w:rPr>
  </w:style>
  <w:style w:type="character" w:styleId="Refdenotaalpie">
    <w:name w:val="footnote reference"/>
    <w:basedOn w:val="Fuentedeprrafopredeter"/>
    <w:uiPriority w:val="99"/>
    <w:semiHidden/>
    <w:unhideWhenUsed/>
    <w:rsid w:val="004038F7"/>
    <w:rPr>
      <w:vertAlign w:val="superscript"/>
    </w:rPr>
  </w:style>
  <w:style w:type="paragraph" w:styleId="Encabezado">
    <w:name w:val="header"/>
    <w:basedOn w:val="Normal"/>
    <w:link w:val="EncabezadoCar"/>
    <w:uiPriority w:val="99"/>
    <w:unhideWhenUsed/>
    <w:rsid w:val="001177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1777A"/>
  </w:style>
  <w:style w:type="paragraph" w:styleId="Piedepgina">
    <w:name w:val="footer"/>
    <w:basedOn w:val="Normal"/>
    <w:link w:val="PiedepginaCar"/>
    <w:uiPriority w:val="99"/>
    <w:unhideWhenUsed/>
    <w:rsid w:val="001177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177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4B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14159A"/>
    <w:rPr>
      <w:color w:val="0000FF"/>
      <w:u w:val="single"/>
    </w:rPr>
  </w:style>
  <w:style w:type="paragraph" w:customStyle="1" w:styleId="yiv1014887039msonormal">
    <w:name w:val="yiv1014887039msonormal"/>
    <w:basedOn w:val="Normal"/>
    <w:rsid w:val="0014159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yiv9283353662msonormal">
    <w:name w:val="yiv9283353662msonormal"/>
    <w:basedOn w:val="Normal"/>
    <w:rsid w:val="009874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yiv9283353662gmail-msolistparagraph">
    <w:name w:val="yiv9283353662gmail-msolistparagraph"/>
    <w:basedOn w:val="Normal"/>
    <w:rsid w:val="009874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45F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5F1B"/>
    <w:rPr>
      <w:rFonts w:ascii="Tahoma" w:hAnsi="Tahoma" w:cs="Tahoma"/>
      <w:sz w:val="16"/>
      <w:szCs w:val="16"/>
    </w:rPr>
  </w:style>
  <w:style w:type="paragraph" w:styleId="Sinespaciado">
    <w:name w:val="No Spacing"/>
    <w:uiPriority w:val="1"/>
    <w:qFormat/>
    <w:rsid w:val="00000CF7"/>
    <w:pPr>
      <w:spacing w:after="0" w:line="240" w:lineRule="auto"/>
    </w:pPr>
  </w:style>
  <w:style w:type="paragraph" w:styleId="Textonotapie">
    <w:name w:val="footnote text"/>
    <w:basedOn w:val="Normal"/>
    <w:link w:val="TextonotapieCar"/>
    <w:uiPriority w:val="99"/>
    <w:semiHidden/>
    <w:unhideWhenUsed/>
    <w:rsid w:val="004038F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38F7"/>
    <w:rPr>
      <w:sz w:val="20"/>
      <w:szCs w:val="20"/>
    </w:rPr>
  </w:style>
  <w:style w:type="character" w:styleId="Refdenotaalpie">
    <w:name w:val="footnote reference"/>
    <w:basedOn w:val="Fuentedeprrafopredeter"/>
    <w:uiPriority w:val="99"/>
    <w:semiHidden/>
    <w:unhideWhenUsed/>
    <w:rsid w:val="004038F7"/>
    <w:rPr>
      <w:vertAlign w:val="superscript"/>
    </w:rPr>
  </w:style>
  <w:style w:type="paragraph" w:styleId="Encabezado">
    <w:name w:val="header"/>
    <w:basedOn w:val="Normal"/>
    <w:link w:val="EncabezadoCar"/>
    <w:uiPriority w:val="99"/>
    <w:unhideWhenUsed/>
    <w:rsid w:val="001177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1777A"/>
  </w:style>
  <w:style w:type="paragraph" w:styleId="Piedepgina">
    <w:name w:val="footer"/>
    <w:basedOn w:val="Normal"/>
    <w:link w:val="PiedepginaCar"/>
    <w:uiPriority w:val="99"/>
    <w:unhideWhenUsed/>
    <w:rsid w:val="001177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17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_calello@yahoo.com.a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ngs.edu.ar/ico/publicaciones/revista/teoria/socio/urban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pagina12.com.ar/217475-reinas-somos-todas-la-reaccion-de-estudiantes-en-un-certamen" TargetMode="External"/><Relationship Id="rId1" Type="http://schemas.openxmlformats.org/officeDocument/2006/relationships/hyperlink" Target="http://www.ela.org.ar/a2/index.cfm?muestra&amp;codcontenido=2858&amp;plcontampl=12&amp;aplicacion=app187&amp;cnl=4&amp;opc=5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F9816-BFCB-4192-8A0E-29F98A499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4717</Words>
  <Characters>25944</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bpressman</cp:lastModifiedBy>
  <cp:revision>2</cp:revision>
  <cp:lastPrinted>2019-06-29T08:16:00Z</cp:lastPrinted>
  <dcterms:created xsi:type="dcterms:W3CDTF">2019-09-18T13:32:00Z</dcterms:created>
  <dcterms:modified xsi:type="dcterms:W3CDTF">2019-09-18T13:32:00Z</dcterms:modified>
</cp:coreProperties>
</file>