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E4EE" w14:textId="4E646BDD" w:rsidR="00AB4881" w:rsidRPr="008B1572" w:rsidRDefault="00B33EFF">
      <w:pPr>
        <w:rPr>
          <w:rFonts w:cstheme="minorHAnsi"/>
          <w:sz w:val="48"/>
          <w:szCs w:val="48"/>
        </w:rPr>
      </w:pPr>
      <w:r>
        <w:rPr>
          <w:rFonts w:cstheme="minorHAnsi"/>
          <w:sz w:val="48"/>
          <w:szCs w:val="48"/>
        </w:rPr>
        <w:t xml:space="preserve">Una fenomenología del desistimiento </w:t>
      </w:r>
      <w:r w:rsidR="00577967">
        <w:rPr>
          <w:rFonts w:cstheme="minorHAnsi"/>
          <w:sz w:val="48"/>
          <w:szCs w:val="48"/>
        </w:rPr>
        <w:t>del delito</w:t>
      </w:r>
      <w:r w:rsidR="000B5875">
        <w:rPr>
          <w:rFonts w:cstheme="minorHAnsi"/>
          <w:sz w:val="48"/>
          <w:szCs w:val="48"/>
        </w:rPr>
        <w:t>: notas introductorias</w:t>
      </w:r>
    </w:p>
    <w:p w14:paraId="3ADEF913" w14:textId="77777777" w:rsidR="00C7070F" w:rsidRDefault="00C7070F">
      <w:pPr>
        <w:rPr>
          <w:rFonts w:cstheme="minorHAnsi"/>
          <w:sz w:val="28"/>
          <w:szCs w:val="28"/>
        </w:rPr>
      </w:pPr>
    </w:p>
    <w:p w14:paraId="6B1E01D8" w14:textId="3281DBEE" w:rsidR="008B1572" w:rsidRPr="008B1572" w:rsidRDefault="008B1572">
      <w:pPr>
        <w:rPr>
          <w:rFonts w:cstheme="minorHAnsi"/>
          <w:sz w:val="28"/>
          <w:szCs w:val="28"/>
        </w:rPr>
      </w:pPr>
      <w:r w:rsidRPr="008B1572">
        <w:rPr>
          <w:rFonts w:cstheme="minorHAnsi"/>
          <w:sz w:val="28"/>
          <w:szCs w:val="28"/>
        </w:rPr>
        <w:t>Nahuel Roldán</w:t>
      </w:r>
    </w:p>
    <w:p w14:paraId="6745EBC1" w14:textId="6862848D" w:rsidR="008B1572" w:rsidRDefault="008B1572">
      <w:pPr>
        <w:rPr>
          <w:rFonts w:cstheme="minorHAnsi"/>
          <w:bCs/>
          <w:sz w:val="28"/>
          <w:szCs w:val="28"/>
        </w:rPr>
      </w:pPr>
    </w:p>
    <w:p w14:paraId="26840A0A" w14:textId="77777777" w:rsidR="00C7070F" w:rsidRDefault="00C7070F">
      <w:pPr>
        <w:rPr>
          <w:rFonts w:cstheme="minorHAnsi"/>
          <w:bCs/>
          <w:sz w:val="28"/>
          <w:szCs w:val="28"/>
        </w:rPr>
      </w:pPr>
    </w:p>
    <w:p w14:paraId="29ED6C6F" w14:textId="18195C83" w:rsidR="008B1572" w:rsidRPr="00C7070F" w:rsidRDefault="008B1572" w:rsidP="00C7070F">
      <w:pPr>
        <w:ind w:left="3402"/>
        <w:jc w:val="both"/>
        <w:rPr>
          <w:rFonts w:cstheme="minorHAnsi"/>
          <w:bCs/>
          <w:sz w:val="24"/>
          <w:szCs w:val="24"/>
        </w:rPr>
      </w:pPr>
      <w:r w:rsidRPr="00C7070F">
        <w:rPr>
          <w:rFonts w:cstheme="minorHAnsi"/>
          <w:bCs/>
          <w:sz w:val="24"/>
          <w:szCs w:val="24"/>
        </w:rPr>
        <w:t xml:space="preserve">“Una ciencia social significativa debe ser capaz de dar sentido a lo que es importante para las personas reales, y no reducirlas meramente a actores que ‘hacen’ vida social (...) El conocimiento de los procedimientos invariantes no puede decirnos por qué un hombre mata y otro ama. Pero esto es precisamente lo que deseamos saber en nuestra vida cotidiana” </w:t>
      </w:r>
    </w:p>
    <w:p w14:paraId="6A4D9067" w14:textId="70D61B99" w:rsidR="008B1572" w:rsidRPr="00C7070F" w:rsidRDefault="008B1572" w:rsidP="00C7070F">
      <w:pPr>
        <w:ind w:left="3402"/>
        <w:jc w:val="both"/>
        <w:rPr>
          <w:rFonts w:cstheme="minorHAnsi"/>
          <w:bCs/>
          <w:sz w:val="24"/>
          <w:szCs w:val="24"/>
        </w:rPr>
      </w:pPr>
      <w:r w:rsidRPr="00C7070F">
        <w:rPr>
          <w:rFonts w:cstheme="minorHAnsi"/>
          <w:bCs/>
          <w:sz w:val="24"/>
          <w:szCs w:val="24"/>
        </w:rPr>
        <w:t>—Altheide, 1977, pp. 148.</w:t>
      </w:r>
    </w:p>
    <w:p w14:paraId="60EDAFD2" w14:textId="197EF338" w:rsidR="008B1572" w:rsidRDefault="008B1572">
      <w:pPr>
        <w:rPr>
          <w:rFonts w:cstheme="minorHAnsi"/>
          <w:bCs/>
          <w:sz w:val="28"/>
          <w:szCs w:val="28"/>
        </w:rPr>
      </w:pPr>
    </w:p>
    <w:p w14:paraId="45BE1D23" w14:textId="77777777" w:rsidR="00C7070F" w:rsidRDefault="00C7070F">
      <w:pPr>
        <w:rPr>
          <w:rFonts w:cstheme="minorHAnsi"/>
          <w:b/>
          <w:bCs/>
          <w:sz w:val="28"/>
          <w:szCs w:val="28"/>
        </w:rPr>
      </w:pPr>
    </w:p>
    <w:p w14:paraId="5F93E609" w14:textId="77777777" w:rsidR="00C7070F" w:rsidRDefault="00C7070F">
      <w:pPr>
        <w:rPr>
          <w:rFonts w:cstheme="minorHAnsi"/>
          <w:b/>
          <w:bCs/>
          <w:sz w:val="28"/>
          <w:szCs w:val="28"/>
        </w:rPr>
      </w:pPr>
    </w:p>
    <w:p w14:paraId="36455C59" w14:textId="2970986A" w:rsidR="008B1572" w:rsidRPr="00C7070F" w:rsidRDefault="008B1572">
      <w:pPr>
        <w:rPr>
          <w:rFonts w:cstheme="minorHAnsi"/>
          <w:b/>
          <w:bCs/>
          <w:sz w:val="28"/>
          <w:szCs w:val="28"/>
        </w:rPr>
      </w:pPr>
      <w:r w:rsidRPr="00C7070F">
        <w:rPr>
          <w:rFonts w:cstheme="minorHAnsi"/>
          <w:b/>
          <w:bCs/>
          <w:sz w:val="28"/>
          <w:szCs w:val="28"/>
        </w:rPr>
        <w:t>Introducción</w:t>
      </w:r>
    </w:p>
    <w:p w14:paraId="0A085DFC" w14:textId="515DBC00" w:rsidR="00C7070F" w:rsidRDefault="00C7070F" w:rsidP="00C7070F">
      <w:pPr>
        <w:spacing w:after="120" w:line="276" w:lineRule="auto"/>
        <w:jc w:val="both"/>
        <w:rPr>
          <w:rFonts w:ascii="Nirmala UI Semilight" w:hAnsi="Nirmala UI Semilight" w:cs="Nirmala UI Semilight"/>
          <w:bCs/>
          <w:sz w:val="28"/>
          <w:szCs w:val="28"/>
        </w:rPr>
      </w:pPr>
      <w:r w:rsidRPr="00C30FB8">
        <w:rPr>
          <w:rFonts w:ascii="Nirmala UI Semilight" w:hAnsi="Nirmala UI Semilight" w:cs="Nirmala UI Semilight"/>
          <w:bCs/>
          <w:sz w:val="28"/>
          <w:szCs w:val="28"/>
        </w:rPr>
        <w:t xml:space="preserve">La diferencia no es sólo una característica utilizada para distinguir entre dos individuos, sino también dentro de un mismo individuo a lo largo del tiempo. Por lo tanto, la </w:t>
      </w:r>
      <w:r w:rsidRPr="00C30FB8">
        <w:rPr>
          <w:rFonts w:ascii="Nirmala UI Semilight" w:hAnsi="Nirmala UI Semilight" w:cs="Nirmala UI Semilight"/>
          <w:bCs/>
          <w:i/>
          <w:iCs/>
          <w:sz w:val="28"/>
          <w:szCs w:val="28"/>
        </w:rPr>
        <w:t>diferencia</w:t>
      </w:r>
      <w:r w:rsidRPr="00C30FB8">
        <w:rPr>
          <w:rFonts w:ascii="Nirmala UI Semilight" w:hAnsi="Nirmala UI Semilight" w:cs="Nirmala UI Semilight"/>
          <w:bCs/>
          <w:sz w:val="28"/>
          <w:szCs w:val="28"/>
        </w:rPr>
        <w:t xml:space="preserve"> también puede entenderse como </w:t>
      </w:r>
      <w:r w:rsidRPr="00C30FB8">
        <w:rPr>
          <w:rFonts w:ascii="Nirmala UI Semilight" w:hAnsi="Nirmala UI Semilight" w:cs="Nirmala UI Semilight"/>
          <w:bCs/>
          <w:i/>
          <w:iCs/>
          <w:sz w:val="28"/>
          <w:szCs w:val="28"/>
        </w:rPr>
        <w:t>cambio</w:t>
      </w:r>
      <w:r w:rsidRPr="00C30FB8">
        <w:rPr>
          <w:rFonts w:ascii="Nirmala UI Semilight" w:hAnsi="Nirmala UI Semilight" w:cs="Nirmala UI Semilight"/>
          <w:bCs/>
          <w:sz w:val="28"/>
          <w:szCs w:val="28"/>
        </w:rPr>
        <w:t>. La vida humana es cambio y una sociología adecuada de la acción y la interacción humanas debería ser capaz de dar cuenta de ello.</w:t>
      </w:r>
      <w:r>
        <w:rPr>
          <w:rFonts w:ascii="Nirmala UI Semilight" w:hAnsi="Nirmala UI Semilight" w:cs="Nirmala UI Semilight"/>
          <w:bCs/>
          <w:sz w:val="28"/>
          <w:szCs w:val="28"/>
        </w:rPr>
        <w:t xml:space="preserve"> </w:t>
      </w:r>
      <w:r w:rsidRPr="00C30FB8">
        <w:rPr>
          <w:rFonts w:ascii="Nirmala UI Semilight" w:hAnsi="Nirmala UI Semilight" w:cs="Nirmala UI Semilight"/>
          <w:bCs/>
          <w:sz w:val="28"/>
          <w:szCs w:val="28"/>
        </w:rPr>
        <w:t xml:space="preserve">Determinadas formas de pensar y determinadas actividades que resultan atractivas en un momento dado dejan de serlo en otro y son suplantadas por otras que a veces contrastan fuertemente. Tal vez esto sea más evidente cuando los delincuentes </w:t>
      </w:r>
      <w:r>
        <w:rPr>
          <w:rFonts w:ascii="Nirmala UI Semilight" w:hAnsi="Nirmala UI Semilight" w:cs="Nirmala UI Semilight"/>
          <w:bCs/>
          <w:sz w:val="28"/>
          <w:szCs w:val="28"/>
        </w:rPr>
        <w:t>“</w:t>
      </w:r>
      <w:r w:rsidRPr="00C30FB8">
        <w:rPr>
          <w:rFonts w:ascii="Nirmala UI Semilight" w:hAnsi="Nirmala UI Semilight" w:cs="Nirmala UI Semilight"/>
          <w:bCs/>
          <w:sz w:val="28"/>
          <w:szCs w:val="28"/>
        </w:rPr>
        <w:t>cambian de actitud</w:t>
      </w:r>
      <w:r>
        <w:rPr>
          <w:rFonts w:ascii="Nirmala UI Semilight" w:hAnsi="Nirmala UI Semilight" w:cs="Nirmala UI Semilight"/>
          <w:bCs/>
          <w:sz w:val="28"/>
          <w:szCs w:val="28"/>
        </w:rPr>
        <w:t>”</w:t>
      </w:r>
      <w:r w:rsidRPr="00C30FB8">
        <w:rPr>
          <w:rFonts w:ascii="Nirmala UI Semilight" w:hAnsi="Nirmala UI Semilight" w:cs="Nirmala UI Semilight"/>
          <w:bCs/>
          <w:sz w:val="28"/>
          <w:szCs w:val="28"/>
        </w:rPr>
        <w:t>, abandonan la delincuencia y llevan una vida muy distinta de la que llevaban antes.</w:t>
      </w:r>
      <w:r>
        <w:rPr>
          <w:rFonts w:ascii="Nirmala UI Semilight" w:hAnsi="Nirmala UI Semilight" w:cs="Nirmala UI Semilight"/>
          <w:bCs/>
          <w:sz w:val="28"/>
          <w:szCs w:val="28"/>
        </w:rPr>
        <w:t xml:space="preserve"> </w:t>
      </w:r>
      <w:r w:rsidRPr="00C30FB8">
        <w:rPr>
          <w:rFonts w:ascii="Nirmala UI Semilight" w:hAnsi="Nirmala UI Semilight" w:cs="Nirmala UI Semilight"/>
          <w:bCs/>
          <w:sz w:val="28"/>
          <w:szCs w:val="28"/>
        </w:rPr>
        <w:t xml:space="preserve">La </w:t>
      </w:r>
      <w:r w:rsidRPr="00C7070F">
        <w:rPr>
          <w:rFonts w:ascii="Nirmala UI Semilight" w:hAnsi="Nirmala UI Semilight" w:cs="Nirmala UI Semilight"/>
          <w:bCs/>
          <w:i/>
          <w:iCs/>
          <w:sz w:val="28"/>
          <w:szCs w:val="28"/>
        </w:rPr>
        <w:lastRenderedPageBreak/>
        <w:t>sociología existencial</w:t>
      </w:r>
      <w:r w:rsidRPr="00C30FB8">
        <w:rPr>
          <w:rFonts w:ascii="Nirmala UI Semilight" w:hAnsi="Nirmala UI Semilight" w:cs="Nirmala UI Semilight"/>
          <w:bCs/>
          <w:sz w:val="28"/>
          <w:szCs w:val="28"/>
        </w:rPr>
        <w:t xml:space="preserve"> es la más adecuada para comprender y conceptualizar estos cambios. Hace hincapié en que no existen </w:t>
      </w:r>
      <w:r>
        <w:rPr>
          <w:rFonts w:ascii="Nirmala UI Semilight" w:hAnsi="Nirmala UI Semilight" w:cs="Nirmala UI Semilight"/>
          <w:bCs/>
          <w:sz w:val="28"/>
          <w:szCs w:val="28"/>
        </w:rPr>
        <w:t>“</w:t>
      </w:r>
      <w:r w:rsidRPr="00C30FB8">
        <w:rPr>
          <w:rFonts w:ascii="Nirmala UI Semilight" w:hAnsi="Nirmala UI Semilight" w:cs="Nirmala UI Semilight"/>
          <w:bCs/>
          <w:sz w:val="28"/>
          <w:szCs w:val="28"/>
        </w:rPr>
        <w:t>formas</w:t>
      </w:r>
      <w:r>
        <w:rPr>
          <w:rFonts w:ascii="Nirmala UI Semilight" w:hAnsi="Nirmala UI Semilight" w:cs="Nirmala UI Semilight"/>
          <w:bCs/>
          <w:sz w:val="28"/>
          <w:szCs w:val="28"/>
        </w:rPr>
        <w:t>”</w:t>
      </w:r>
      <w:r w:rsidRPr="00C30FB8">
        <w:rPr>
          <w:rFonts w:ascii="Nirmala UI Semilight" w:hAnsi="Nirmala UI Semilight" w:cs="Nirmala UI Semilight"/>
          <w:bCs/>
          <w:sz w:val="28"/>
          <w:szCs w:val="28"/>
        </w:rPr>
        <w:t xml:space="preserve"> rígidas y rápidas de desistir y que la situación de cada delincuente es diferente. Por último, como se indicará más adelante, la investigación centrada en el desistimiento ha empezado a hacer hincapié en el papel de la </w:t>
      </w:r>
      <w:r w:rsidRPr="00C7070F">
        <w:rPr>
          <w:rFonts w:ascii="Nirmala UI Semilight" w:hAnsi="Nirmala UI Semilight" w:cs="Nirmala UI Semilight"/>
          <w:bCs/>
          <w:i/>
          <w:iCs/>
          <w:sz w:val="28"/>
          <w:szCs w:val="28"/>
        </w:rPr>
        <w:t>emoción</w:t>
      </w:r>
      <w:r w:rsidRPr="00C30FB8">
        <w:rPr>
          <w:rFonts w:ascii="Nirmala UI Semilight" w:hAnsi="Nirmala UI Semilight" w:cs="Nirmala UI Semilight"/>
          <w:bCs/>
          <w:sz w:val="28"/>
          <w:szCs w:val="28"/>
        </w:rPr>
        <w:t xml:space="preserve"> en el desistimiento. La sociología existencial es comprensiva con el </w:t>
      </w:r>
      <w:r>
        <w:rPr>
          <w:rFonts w:ascii="Nirmala UI Semilight" w:hAnsi="Nirmala UI Semilight" w:cs="Nirmala UI Semilight"/>
          <w:bCs/>
          <w:sz w:val="28"/>
          <w:szCs w:val="28"/>
        </w:rPr>
        <w:t>rol</w:t>
      </w:r>
      <w:r w:rsidRPr="00C30FB8">
        <w:rPr>
          <w:rFonts w:ascii="Nirmala UI Semilight" w:hAnsi="Nirmala UI Semilight" w:cs="Nirmala UI Semilight"/>
          <w:bCs/>
          <w:sz w:val="28"/>
          <w:szCs w:val="28"/>
        </w:rPr>
        <w:t xml:space="preserve"> de la emoción en la vida en general y, de hecho, lo celebra, lo que la convierte en un marco especialmente útil para considerar el desistimiento de la delincuencia.</w:t>
      </w:r>
    </w:p>
    <w:p w14:paraId="32BA3780" w14:textId="15074FB5" w:rsidR="00C7070F" w:rsidRDefault="00C7070F" w:rsidP="00C7070F">
      <w:pPr>
        <w:spacing w:after="120" w:line="276" w:lineRule="auto"/>
        <w:jc w:val="both"/>
        <w:rPr>
          <w:rFonts w:ascii="Nirmala UI Semilight" w:hAnsi="Nirmala UI Semilight" w:cs="Nirmala UI Semilight"/>
          <w:bCs/>
          <w:sz w:val="28"/>
          <w:szCs w:val="28"/>
        </w:rPr>
      </w:pPr>
      <w:r w:rsidRPr="00C30FB8">
        <w:rPr>
          <w:rFonts w:ascii="Nirmala UI Semilight" w:hAnsi="Nirmala UI Semilight" w:cs="Nirmala UI Semilight"/>
          <w:bCs/>
          <w:sz w:val="28"/>
          <w:szCs w:val="28"/>
        </w:rPr>
        <w:t xml:space="preserve">Algunas de las preocupaciones que han ocupado a los sociólogos existenciales en relación con la forma en que los individuos se mueven dentro de la sociedad y experimentan el cambio pueden identificarse dentro de la literatura criminológica. Vale la pena señalar, sin embargo, que de estos estudios, sólo Farrall (2005; también Farrall y Calverley, 2006; Farrall </w:t>
      </w:r>
      <w:r w:rsidRPr="00B740AD">
        <w:rPr>
          <w:rFonts w:ascii="Nirmala UI Semilight" w:hAnsi="Nirmala UI Semilight" w:cs="Nirmala UI Semilight"/>
          <w:bCs/>
          <w:i/>
          <w:iCs/>
          <w:sz w:val="28"/>
          <w:szCs w:val="28"/>
        </w:rPr>
        <w:t>et al.</w:t>
      </w:r>
      <w:r w:rsidRPr="00C30FB8">
        <w:rPr>
          <w:rFonts w:ascii="Nirmala UI Semilight" w:hAnsi="Nirmala UI Semilight" w:cs="Nirmala UI Semilight"/>
          <w:bCs/>
          <w:sz w:val="28"/>
          <w:szCs w:val="28"/>
        </w:rPr>
        <w:t>, 2014) y Hunter (2009; 2011) se basan explícitamente en la sociología existencial. El resto puede considerarse que enfatizan algunos aspectos existenciales de la delincuencia.</w:t>
      </w:r>
      <w:r>
        <w:rPr>
          <w:rFonts w:ascii="Nirmala UI Semilight" w:hAnsi="Nirmala UI Semilight" w:cs="Nirmala UI Semilight"/>
          <w:bCs/>
          <w:sz w:val="28"/>
          <w:szCs w:val="28"/>
        </w:rPr>
        <w:t xml:space="preserve"> </w:t>
      </w:r>
      <w:r w:rsidRPr="00B740AD">
        <w:rPr>
          <w:rFonts w:ascii="Nirmala UI Semilight" w:hAnsi="Nirmala UI Semilight" w:cs="Nirmala UI Semilight"/>
          <w:bCs/>
          <w:sz w:val="28"/>
          <w:szCs w:val="28"/>
        </w:rPr>
        <w:t>El vínculo más evidente es la atención que presta la criminología a los aspectos emocionales de la delincuencia. La implicación en el delito se ha explicado como la satisfacción de una necesidad emocional (Adler, 1985; Scott, 2004). Katz (1988)</w:t>
      </w:r>
      <w:r>
        <w:rPr>
          <w:rFonts w:ascii="Nirmala UI Semilight" w:hAnsi="Nirmala UI Semilight" w:cs="Nirmala UI Semilight"/>
          <w:bCs/>
          <w:sz w:val="28"/>
          <w:szCs w:val="28"/>
        </w:rPr>
        <w:t xml:space="preserve"> </w:t>
      </w:r>
      <w:r w:rsidRPr="00B740AD">
        <w:rPr>
          <w:rFonts w:ascii="Nirmala UI Semilight" w:hAnsi="Nirmala UI Semilight" w:cs="Nirmala UI Semilight"/>
          <w:bCs/>
          <w:sz w:val="28"/>
          <w:szCs w:val="28"/>
        </w:rPr>
        <w:t>ha defendido la importancia de comprender el placer emocional asociado a la delincuencia, el poderoso disfrute que supone ser delincuente y la consiguiente atracción por el delito</w:t>
      </w:r>
      <w:r>
        <w:rPr>
          <w:rStyle w:val="Refdenotaalpie"/>
          <w:rFonts w:ascii="Nirmala UI Semilight" w:hAnsi="Nirmala UI Semilight" w:cs="Nirmala UI Semilight"/>
          <w:bCs/>
          <w:sz w:val="28"/>
          <w:szCs w:val="28"/>
        </w:rPr>
        <w:footnoteReference w:id="1"/>
      </w:r>
      <w:r w:rsidRPr="00B740AD">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B740AD">
        <w:rPr>
          <w:rFonts w:ascii="Nirmala UI Semilight" w:hAnsi="Nirmala UI Semilight" w:cs="Nirmala UI Semilight"/>
          <w:bCs/>
          <w:sz w:val="28"/>
          <w:szCs w:val="28"/>
        </w:rPr>
        <w:t xml:space="preserve">Morrison (1995) sigue a Katz en su intento de subrayar la importancia de comprender lo que se siente al delinquir. Morrison argumenta que no comprender este componente emocional de la delincuencia es negar la realidad vivida por </w:t>
      </w:r>
      <w:r w:rsidRPr="00B740AD">
        <w:rPr>
          <w:rFonts w:ascii="Nirmala UI Semilight" w:hAnsi="Nirmala UI Semilight" w:cs="Nirmala UI Semilight"/>
          <w:bCs/>
          <w:sz w:val="28"/>
          <w:szCs w:val="28"/>
        </w:rPr>
        <w:lastRenderedPageBreak/>
        <w:t xml:space="preserve">el delincuente y que las ciencias sociales corren el riesgo de perder a los </w:t>
      </w:r>
      <w:r w:rsidRPr="00D04246">
        <w:rPr>
          <w:rFonts w:ascii="Nirmala UI Semilight" w:hAnsi="Nirmala UI Semilight" w:cs="Nirmala UI Semilight"/>
          <w:bCs/>
          <w:i/>
          <w:iCs/>
          <w:sz w:val="28"/>
          <w:szCs w:val="28"/>
        </w:rPr>
        <w:t>individuos</w:t>
      </w:r>
      <w:r w:rsidRPr="00B740AD">
        <w:rPr>
          <w:rFonts w:ascii="Nirmala UI Semilight" w:hAnsi="Nirmala UI Semilight" w:cs="Nirmala UI Semilight"/>
          <w:bCs/>
          <w:sz w:val="28"/>
          <w:szCs w:val="28"/>
        </w:rPr>
        <w:t xml:space="preserve"> (un pecado cardinal para los existencialistas) al intentar generalizar y, por lo tanto, </w:t>
      </w:r>
      <w:r>
        <w:rPr>
          <w:rFonts w:ascii="Nirmala UI Semilight" w:hAnsi="Nirmala UI Semilight" w:cs="Nirmala UI Semilight"/>
          <w:bCs/>
          <w:sz w:val="28"/>
          <w:szCs w:val="28"/>
        </w:rPr>
        <w:t>“</w:t>
      </w:r>
      <w:r w:rsidRPr="00B740AD">
        <w:rPr>
          <w:rFonts w:ascii="Nirmala UI Semilight" w:hAnsi="Nirmala UI Semilight" w:cs="Nirmala UI Semilight"/>
          <w:bCs/>
          <w:sz w:val="28"/>
          <w:szCs w:val="28"/>
        </w:rPr>
        <w:t>corren el peligro de olvidar que el delincuente es un fenómeno existencial</w:t>
      </w:r>
      <w:r>
        <w:rPr>
          <w:rFonts w:ascii="Nirmala UI Semilight" w:hAnsi="Nirmala UI Semilight" w:cs="Nirmala UI Semilight"/>
          <w:bCs/>
          <w:sz w:val="28"/>
          <w:szCs w:val="28"/>
        </w:rPr>
        <w:t>”</w:t>
      </w:r>
      <w:r w:rsidRPr="00B740AD">
        <w:rPr>
          <w:rFonts w:ascii="Nirmala UI Semilight" w:hAnsi="Nirmala UI Semilight" w:cs="Nirmala UI Semilight"/>
          <w:bCs/>
          <w:sz w:val="28"/>
          <w:szCs w:val="28"/>
        </w:rPr>
        <w:t xml:space="preserve"> (1995</w:t>
      </w:r>
      <w:r w:rsidR="00341303">
        <w:rPr>
          <w:rFonts w:ascii="Nirmala UI Semilight" w:hAnsi="Nirmala UI Semilight" w:cs="Nirmala UI Semilight"/>
          <w:bCs/>
          <w:sz w:val="28"/>
          <w:szCs w:val="28"/>
        </w:rPr>
        <w:t>:</w:t>
      </w:r>
      <w:r w:rsidRPr="00B740AD">
        <w:rPr>
          <w:rFonts w:ascii="Nirmala UI Semilight" w:hAnsi="Nirmala UI Semilight" w:cs="Nirmala UI Semilight"/>
          <w:bCs/>
          <w:sz w:val="28"/>
          <w:szCs w:val="28"/>
        </w:rPr>
        <w:t xml:space="preserve"> 360).</w:t>
      </w:r>
    </w:p>
    <w:p w14:paraId="0BD386A5" w14:textId="088F15AB" w:rsidR="00BE51F0" w:rsidRDefault="00BE51F0" w:rsidP="00BE51F0">
      <w:pPr>
        <w:spacing w:after="120" w:line="276" w:lineRule="auto"/>
        <w:jc w:val="both"/>
        <w:rPr>
          <w:rFonts w:ascii="Nirmala UI Semilight" w:hAnsi="Nirmala UI Semilight" w:cs="Nirmala UI Semilight"/>
          <w:bCs/>
          <w:sz w:val="28"/>
          <w:szCs w:val="28"/>
        </w:rPr>
      </w:pPr>
      <w:r w:rsidRPr="008C2051">
        <w:rPr>
          <w:rFonts w:ascii="Nirmala UI Semilight" w:hAnsi="Nirmala UI Semilight" w:cs="Nirmala UI Semilight"/>
          <w:bCs/>
          <w:sz w:val="28"/>
          <w:szCs w:val="28"/>
        </w:rPr>
        <w:t>La relevancia del componente emocional de la delincuencia ha empezado a cobrar aún más importancia en los últimos años. Como señalan Loader y deHaan (2004</w:t>
      </w:r>
      <w:r>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 xml:space="preserve"> 244), una mayor comprensión de los aspectos emocionales de la delincuencia </w:t>
      </w:r>
      <w:r>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podría enriquecer la investigación y la reflexión criminológicas, ayudándonos a construir explicaciones del comportamiento delictivo y de las censuras sociales</w:t>
      </w:r>
      <w:r>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8C2051">
        <w:rPr>
          <w:rFonts w:ascii="Nirmala UI Semilight" w:hAnsi="Nirmala UI Semilight" w:cs="Nirmala UI Semilight"/>
          <w:bCs/>
          <w:sz w:val="28"/>
          <w:szCs w:val="28"/>
        </w:rPr>
        <w:t xml:space="preserve">Scott (2004) muestra que la </w:t>
      </w:r>
      <w:r w:rsidR="00032826">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sensualidad</w:t>
      </w:r>
      <w:r w:rsidR="00032826">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 xml:space="preserve"> de delinquir y formar parte de una banda no sólo proporcionaba a sus miembros un sentimiento de pertenencia, sino que también aliviaba el aburrimiento que de otro modo prevalecía en sus vidas. Además, la adquisición y exhibición casi compulsiva de objetos materiales (por ejemplo, ropa, zapa</w:t>
      </w:r>
      <w:r w:rsidR="009A5B80">
        <w:rPr>
          <w:rFonts w:ascii="Nirmala UI Semilight" w:hAnsi="Nirmala UI Semilight" w:cs="Nirmala UI Semilight"/>
          <w:bCs/>
          <w:sz w:val="28"/>
          <w:szCs w:val="28"/>
        </w:rPr>
        <w:t>tillas</w:t>
      </w:r>
      <w:r w:rsidRPr="008C2051">
        <w:rPr>
          <w:rFonts w:ascii="Nirmala UI Semilight" w:hAnsi="Nirmala UI Semilight" w:cs="Nirmala UI Semilight"/>
          <w:bCs/>
          <w:sz w:val="28"/>
          <w:szCs w:val="28"/>
        </w:rPr>
        <w:t xml:space="preserve">) por parte de los miembros de las bandas como medio de preservar su estatus se interpretaba como la forma en que podían </w:t>
      </w:r>
      <w:r>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defender su lugar en el mundo</w:t>
      </w:r>
      <w:r>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 xml:space="preserve"> (Scott, 2004</w:t>
      </w:r>
      <w:r>
        <w:rPr>
          <w:rFonts w:ascii="Nirmala UI Semilight" w:hAnsi="Nirmala UI Semilight" w:cs="Nirmala UI Semilight"/>
          <w:bCs/>
          <w:sz w:val="28"/>
          <w:szCs w:val="28"/>
        </w:rPr>
        <w:t>:</w:t>
      </w:r>
      <w:r w:rsidRPr="008C2051">
        <w:rPr>
          <w:rFonts w:ascii="Nirmala UI Semilight" w:hAnsi="Nirmala UI Semilight" w:cs="Nirmala UI Semilight"/>
          <w:bCs/>
          <w:sz w:val="28"/>
          <w:szCs w:val="28"/>
        </w:rPr>
        <w:t xml:space="preserve"> 124), lo que ayudaba a dar sentido a sus vidas.</w:t>
      </w:r>
      <w:r>
        <w:rPr>
          <w:rFonts w:ascii="Nirmala UI Semilight" w:hAnsi="Nirmala UI Semilight" w:cs="Nirmala UI Semilight"/>
          <w:bCs/>
          <w:sz w:val="28"/>
          <w:szCs w:val="28"/>
        </w:rPr>
        <w:t xml:space="preserve"> </w:t>
      </w:r>
      <w:r w:rsidRPr="008C2051">
        <w:rPr>
          <w:rFonts w:ascii="Nirmala UI Semilight" w:hAnsi="Nirmala UI Semilight" w:cs="Nirmala UI Semilight"/>
          <w:bCs/>
          <w:sz w:val="28"/>
          <w:szCs w:val="28"/>
        </w:rPr>
        <w:t>Al desistir de la delincuencia, varios de los miembros de la banda reconocieron que para tener éxito sería necesario rehacer por completo sus vidas, incluida su visión del mundo, como forma de reinventarse a sí mismos (Scott, 2004). Otros estudios han aludido al conflicto interno que pueden experimentar algunos delincuentes como consecuencia de la falta de adecuación entre la persona que perciben que son y las acciones que llevan a cabo al implicarse en la delincuencia y la desviación (Adler, 1992; Ford, 1996).</w:t>
      </w:r>
    </w:p>
    <w:p w14:paraId="74EB63F7" w14:textId="5C99CA42" w:rsidR="00533A21" w:rsidRDefault="00BE51F0" w:rsidP="00C7070F">
      <w:pPr>
        <w:spacing w:after="120" w:line="276" w:lineRule="auto"/>
        <w:jc w:val="both"/>
        <w:rPr>
          <w:rFonts w:ascii="Nirmala UI Semilight" w:hAnsi="Nirmala UI Semilight" w:cs="Nirmala UI Semilight"/>
          <w:sz w:val="28"/>
          <w:szCs w:val="28"/>
        </w:rPr>
      </w:pPr>
      <w:r>
        <w:rPr>
          <w:rFonts w:ascii="Nirmala UI Semilight" w:hAnsi="Nirmala UI Semilight" w:cs="Nirmala UI Semilight"/>
          <w:bCs/>
          <w:sz w:val="28"/>
          <w:szCs w:val="28"/>
        </w:rPr>
        <w:t>Ahora bien, los estudios tanto cualitativos como etnográficos se han centrado principalmente en jóvenes pobres</w:t>
      </w:r>
      <w:r w:rsidR="00AE63DB">
        <w:rPr>
          <w:rFonts w:ascii="Nirmala UI Semilight" w:hAnsi="Nirmala UI Semilight" w:cs="Nirmala UI Semilight"/>
          <w:bCs/>
          <w:sz w:val="28"/>
          <w:szCs w:val="28"/>
        </w:rPr>
        <w:t xml:space="preserve"> urbanos. Los trabajos que se enfocan en explicar el desistimiento siguen la misma suerte.</w:t>
      </w:r>
      <w:r w:rsidR="004E7C11">
        <w:rPr>
          <w:rFonts w:ascii="Nirmala UI Semilight" w:hAnsi="Nirmala UI Semilight" w:cs="Nirmala UI Semilight"/>
          <w:bCs/>
          <w:sz w:val="28"/>
          <w:szCs w:val="28"/>
        </w:rPr>
        <w:t xml:space="preserve"> Los </w:t>
      </w:r>
      <w:r w:rsidR="00F3489F">
        <w:rPr>
          <w:rFonts w:ascii="Nirmala UI Semilight" w:hAnsi="Nirmala UI Semilight" w:cs="Nirmala UI Semilight"/>
          <w:bCs/>
          <w:sz w:val="28"/>
          <w:szCs w:val="28"/>
        </w:rPr>
        <w:t>estudios</w:t>
      </w:r>
      <w:r w:rsidR="004E7C11">
        <w:rPr>
          <w:rFonts w:ascii="Nirmala UI Semilight" w:hAnsi="Nirmala UI Semilight" w:cs="Nirmala UI Semilight"/>
          <w:bCs/>
          <w:sz w:val="28"/>
          <w:szCs w:val="28"/>
        </w:rPr>
        <w:t xml:space="preserve"> sobre jóvenes que delinquen se separan, a grandes rasgos, en aquellos </w:t>
      </w:r>
      <w:r w:rsidR="004E7C11">
        <w:rPr>
          <w:rFonts w:ascii="Nirmala UI Semilight" w:hAnsi="Nirmala UI Semilight" w:cs="Nirmala UI Semilight"/>
          <w:bCs/>
          <w:sz w:val="28"/>
          <w:szCs w:val="28"/>
        </w:rPr>
        <w:lastRenderedPageBreak/>
        <w:t xml:space="preserve">que argumentan como el delito funciona </w:t>
      </w:r>
      <w:r w:rsidR="00A52410">
        <w:rPr>
          <w:rFonts w:ascii="Nirmala UI Semilight" w:hAnsi="Nirmala UI Semilight" w:cs="Nirmala UI Semilight"/>
          <w:bCs/>
          <w:sz w:val="28"/>
          <w:szCs w:val="28"/>
        </w:rPr>
        <w:t>“</w:t>
      </w:r>
      <w:r w:rsidR="004E7C11">
        <w:rPr>
          <w:rFonts w:ascii="Nirmala UI Semilight" w:hAnsi="Nirmala UI Semilight" w:cs="Nirmala UI Semilight"/>
          <w:bCs/>
          <w:sz w:val="28"/>
          <w:szCs w:val="28"/>
        </w:rPr>
        <w:t>instrumentalmente</w:t>
      </w:r>
      <w:r w:rsidR="00A52410">
        <w:rPr>
          <w:rFonts w:ascii="Nirmala UI Semilight" w:hAnsi="Nirmala UI Semilight" w:cs="Nirmala UI Semilight"/>
          <w:bCs/>
          <w:sz w:val="28"/>
          <w:szCs w:val="28"/>
        </w:rPr>
        <w:t>”</w:t>
      </w:r>
      <w:r w:rsidR="004E7C11">
        <w:rPr>
          <w:rFonts w:ascii="Nirmala UI Semilight" w:hAnsi="Nirmala UI Semilight" w:cs="Nirmala UI Semilight"/>
          <w:bCs/>
          <w:sz w:val="28"/>
          <w:szCs w:val="28"/>
        </w:rPr>
        <w:t xml:space="preserve"> y</w:t>
      </w:r>
      <w:r w:rsidR="00A52410">
        <w:rPr>
          <w:rFonts w:ascii="Nirmala UI Semilight" w:hAnsi="Nirmala UI Semilight" w:cs="Nirmala UI Semilight"/>
          <w:bCs/>
          <w:sz w:val="28"/>
          <w:szCs w:val="28"/>
        </w:rPr>
        <w:t>, otros, que lo explican a través de una cualidad “expresiva”.</w:t>
      </w:r>
      <w:r w:rsidR="00AE63DB">
        <w:rPr>
          <w:rFonts w:ascii="Nirmala UI Semilight" w:hAnsi="Nirmala UI Semilight" w:cs="Nirmala UI Semilight"/>
          <w:bCs/>
          <w:sz w:val="28"/>
          <w:szCs w:val="28"/>
        </w:rPr>
        <w:t xml:space="preserve"> </w:t>
      </w:r>
      <w:r w:rsidR="00DB73F0">
        <w:rPr>
          <w:rFonts w:ascii="Nirmala UI Semilight" w:hAnsi="Nirmala UI Semilight" w:cs="Nirmala UI Semilight"/>
          <w:bCs/>
          <w:sz w:val="28"/>
          <w:szCs w:val="28"/>
        </w:rPr>
        <w:t>Ambos grupos de estudios se centran en el “por qué” de</w:t>
      </w:r>
      <w:r w:rsidR="00D02230">
        <w:rPr>
          <w:rFonts w:ascii="Nirmala UI Semilight" w:hAnsi="Nirmala UI Semilight" w:cs="Nirmala UI Semilight"/>
          <w:bCs/>
          <w:sz w:val="28"/>
          <w:szCs w:val="28"/>
        </w:rPr>
        <w:t xml:space="preserve"> la acción delictiva, pero no en el “cómo”. </w:t>
      </w:r>
      <w:r w:rsidR="00BB7265">
        <w:rPr>
          <w:rFonts w:ascii="Nirmala UI Semilight" w:hAnsi="Nirmala UI Semilight" w:cs="Nirmala UI Semilight"/>
          <w:bCs/>
          <w:sz w:val="28"/>
          <w:szCs w:val="28"/>
        </w:rPr>
        <w:t>Lo que en este momento</w:t>
      </w:r>
      <w:r w:rsidR="000F0EB5">
        <w:rPr>
          <w:rFonts w:ascii="Nirmala UI Semilight" w:hAnsi="Nirmala UI Semilight" w:cs="Nirmala UI Semilight"/>
          <w:bCs/>
          <w:sz w:val="28"/>
          <w:szCs w:val="28"/>
        </w:rPr>
        <w:t>—desde hace algunos años—</w:t>
      </w:r>
      <w:r w:rsidR="00BB7265">
        <w:rPr>
          <w:rFonts w:ascii="Nirmala UI Semilight" w:hAnsi="Nirmala UI Semilight" w:cs="Nirmala UI Semilight"/>
          <w:bCs/>
          <w:sz w:val="28"/>
          <w:szCs w:val="28"/>
        </w:rPr>
        <w:t>est</w:t>
      </w:r>
      <w:r w:rsidR="000F0EB5">
        <w:rPr>
          <w:rFonts w:ascii="Nirmala UI Semilight" w:hAnsi="Nirmala UI Semilight" w:cs="Nirmala UI Semilight"/>
          <w:bCs/>
          <w:sz w:val="28"/>
          <w:szCs w:val="28"/>
        </w:rPr>
        <w:t>á</w:t>
      </w:r>
      <w:r w:rsidR="00BB7265">
        <w:rPr>
          <w:rFonts w:ascii="Nirmala UI Semilight" w:hAnsi="Nirmala UI Semilight" w:cs="Nirmala UI Semilight"/>
          <w:bCs/>
          <w:sz w:val="28"/>
          <w:szCs w:val="28"/>
        </w:rPr>
        <w:t xml:space="preserve"> de moda</w:t>
      </w:r>
      <w:r w:rsidR="009F2CB2">
        <w:rPr>
          <w:rFonts w:ascii="Nirmala UI Semilight" w:hAnsi="Nirmala UI Semilight" w:cs="Nirmala UI Semilight"/>
          <w:bCs/>
          <w:sz w:val="28"/>
          <w:szCs w:val="28"/>
        </w:rPr>
        <w:t>,</w:t>
      </w:r>
      <w:r w:rsidR="00BB7265">
        <w:rPr>
          <w:rFonts w:ascii="Nirmala UI Semilight" w:hAnsi="Nirmala UI Semilight" w:cs="Nirmala UI Semilight"/>
          <w:bCs/>
          <w:sz w:val="28"/>
          <w:szCs w:val="28"/>
        </w:rPr>
        <w:t xml:space="preserve"> </w:t>
      </w:r>
      <w:r w:rsidR="009F2CB2">
        <w:rPr>
          <w:rFonts w:ascii="Nirmala UI Semilight" w:hAnsi="Nirmala UI Semilight" w:cs="Nirmala UI Semilight"/>
          <w:bCs/>
          <w:sz w:val="28"/>
          <w:szCs w:val="28"/>
        </w:rPr>
        <w:t xml:space="preserve">en la investigación académica, </w:t>
      </w:r>
      <w:r w:rsidR="00BB7265">
        <w:rPr>
          <w:rFonts w:ascii="Nirmala UI Semilight" w:hAnsi="Nirmala UI Semilight" w:cs="Nirmala UI Semilight"/>
          <w:bCs/>
          <w:sz w:val="28"/>
          <w:szCs w:val="28"/>
        </w:rPr>
        <w:t>para pensar el valor de la violencia es “la búsqueda del respeto”</w:t>
      </w:r>
      <w:r w:rsidR="00BA07A7">
        <w:rPr>
          <w:rStyle w:val="Refdenotaalpie"/>
          <w:rFonts w:ascii="Nirmala UI Semilight" w:hAnsi="Nirmala UI Semilight" w:cs="Nirmala UI Semilight"/>
          <w:bCs/>
          <w:sz w:val="28"/>
          <w:szCs w:val="28"/>
        </w:rPr>
        <w:footnoteReference w:id="2"/>
      </w:r>
      <w:r w:rsidR="00BB7265">
        <w:rPr>
          <w:rFonts w:ascii="Nirmala UI Semilight" w:hAnsi="Nirmala UI Semilight" w:cs="Nirmala UI Semilight"/>
          <w:bCs/>
          <w:sz w:val="28"/>
          <w:szCs w:val="28"/>
        </w:rPr>
        <w:t>.</w:t>
      </w:r>
      <w:r w:rsidR="005B21A3">
        <w:rPr>
          <w:rFonts w:ascii="Nirmala UI Semilight" w:hAnsi="Nirmala UI Semilight" w:cs="Nirmala UI Semilight"/>
          <w:bCs/>
          <w:sz w:val="28"/>
          <w:szCs w:val="28"/>
        </w:rPr>
        <w:t xml:space="preserve"> Encontramos un conjunto de importantes estudios que </w:t>
      </w:r>
      <w:r w:rsidR="00924847">
        <w:rPr>
          <w:rFonts w:ascii="Nirmala UI Semilight" w:hAnsi="Nirmala UI Semilight" w:cs="Nirmala UI Semilight"/>
          <w:bCs/>
          <w:sz w:val="28"/>
          <w:szCs w:val="28"/>
        </w:rPr>
        <w:t xml:space="preserve">explican la decisión de delinquir en la </w:t>
      </w:r>
      <w:r w:rsidR="00361808">
        <w:rPr>
          <w:rFonts w:ascii="Nirmala UI Semilight" w:hAnsi="Nirmala UI Semilight" w:cs="Nirmala UI Semilight"/>
          <w:bCs/>
          <w:sz w:val="28"/>
          <w:szCs w:val="28"/>
        </w:rPr>
        <w:t>obtención de respeto (</w:t>
      </w:r>
      <w:r w:rsidR="00D6456F">
        <w:rPr>
          <w:rFonts w:ascii="Nirmala UI Semilight" w:hAnsi="Nirmala UI Semilight" w:cs="Nirmala UI Semilight"/>
          <w:bCs/>
          <w:sz w:val="28"/>
          <w:szCs w:val="28"/>
        </w:rPr>
        <w:t>Sandberg</w:t>
      </w:r>
      <w:r w:rsidR="00030B70">
        <w:rPr>
          <w:rFonts w:ascii="Nirmala UI Semilight" w:hAnsi="Nirmala UI Semilight" w:cs="Nirmala UI Semilight"/>
          <w:bCs/>
          <w:sz w:val="28"/>
          <w:szCs w:val="28"/>
        </w:rPr>
        <w:t>,</w:t>
      </w:r>
      <w:r w:rsidR="00D6456F">
        <w:rPr>
          <w:rFonts w:ascii="Nirmala UI Semilight" w:hAnsi="Nirmala UI Semilight" w:cs="Nirmala UI Semilight"/>
          <w:bCs/>
          <w:sz w:val="28"/>
          <w:szCs w:val="28"/>
        </w:rPr>
        <w:t xml:space="preserve"> 2009; </w:t>
      </w:r>
      <w:r w:rsidR="0058750E">
        <w:rPr>
          <w:rFonts w:ascii="Nirmala UI Semilight" w:hAnsi="Nirmala UI Semilight" w:cs="Nirmala UI Semilight"/>
          <w:bCs/>
          <w:sz w:val="28"/>
          <w:szCs w:val="28"/>
        </w:rPr>
        <w:t xml:space="preserve">Hulley </w:t>
      </w:r>
      <w:r w:rsidR="0058750E" w:rsidRPr="0058750E">
        <w:rPr>
          <w:rFonts w:ascii="Nirmala UI Semilight" w:hAnsi="Nirmala UI Semilight" w:cs="Nirmala UI Semilight"/>
          <w:bCs/>
          <w:i/>
          <w:iCs/>
          <w:sz w:val="28"/>
          <w:szCs w:val="28"/>
        </w:rPr>
        <w:t>et al.</w:t>
      </w:r>
      <w:r w:rsidR="00030B70" w:rsidRPr="00030B70">
        <w:rPr>
          <w:rFonts w:ascii="Nirmala UI Semilight" w:hAnsi="Nirmala UI Semilight" w:cs="Nirmala UI Semilight"/>
          <w:bCs/>
          <w:sz w:val="28"/>
          <w:szCs w:val="28"/>
        </w:rPr>
        <w:t>,</w:t>
      </w:r>
      <w:r w:rsidR="0058750E">
        <w:rPr>
          <w:rFonts w:ascii="Nirmala UI Semilight" w:hAnsi="Nirmala UI Semilight" w:cs="Nirmala UI Semilight"/>
          <w:bCs/>
          <w:sz w:val="28"/>
          <w:szCs w:val="28"/>
        </w:rPr>
        <w:t xml:space="preserve"> 2011; </w:t>
      </w:r>
      <w:r w:rsidR="00361808">
        <w:rPr>
          <w:rFonts w:ascii="Nirmala UI Semilight" w:hAnsi="Nirmala UI Semilight" w:cs="Nirmala UI Semilight"/>
          <w:bCs/>
          <w:sz w:val="28"/>
          <w:szCs w:val="28"/>
        </w:rPr>
        <w:t>Bourgois</w:t>
      </w:r>
      <w:r w:rsidR="00030B70">
        <w:rPr>
          <w:rFonts w:ascii="Nirmala UI Semilight" w:hAnsi="Nirmala UI Semilight" w:cs="Nirmala UI Semilight"/>
          <w:bCs/>
          <w:sz w:val="28"/>
          <w:szCs w:val="28"/>
        </w:rPr>
        <w:t>,</w:t>
      </w:r>
      <w:r w:rsidR="00A72059">
        <w:rPr>
          <w:rFonts w:ascii="Nirmala UI Semilight" w:hAnsi="Nirmala UI Semilight" w:cs="Nirmala UI Semilight"/>
          <w:bCs/>
          <w:sz w:val="28"/>
          <w:szCs w:val="28"/>
        </w:rPr>
        <w:t xml:space="preserve"> 2003</w:t>
      </w:r>
      <w:r w:rsidR="0077407F">
        <w:rPr>
          <w:rFonts w:ascii="Nirmala UI Semilight" w:hAnsi="Nirmala UI Semilight" w:cs="Nirmala UI Semilight"/>
          <w:bCs/>
          <w:sz w:val="28"/>
          <w:szCs w:val="28"/>
        </w:rPr>
        <w:t>; Cozzi</w:t>
      </w:r>
      <w:r w:rsidR="00030B70">
        <w:rPr>
          <w:rFonts w:ascii="Nirmala UI Semilight" w:hAnsi="Nirmala UI Semilight" w:cs="Nirmala UI Semilight"/>
          <w:bCs/>
          <w:sz w:val="28"/>
          <w:szCs w:val="28"/>
        </w:rPr>
        <w:t>,</w:t>
      </w:r>
      <w:r w:rsidR="0077407F">
        <w:rPr>
          <w:rFonts w:ascii="Nirmala UI Semilight" w:hAnsi="Nirmala UI Semilight" w:cs="Nirmala UI Semilight"/>
          <w:bCs/>
          <w:sz w:val="28"/>
          <w:szCs w:val="28"/>
        </w:rPr>
        <w:t xml:space="preserve"> </w:t>
      </w:r>
      <w:r w:rsidR="00213F02">
        <w:rPr>
          <w:rFonts w:ascii="Nirmala UI Semilight" w:hAnsi="Nirmala UI Semilight" w:cs="Nirmala UI Semilight"/>
          <w:bCs/>
          <w:sz w:val="28"/>
          <w:szCs w:val="28"/>
        </w:rPr>
        <w:t>2022</w:t>
      </w:r>
      <w:r w:rsidR="00655D33">
        <w:rPr>
          <w:rFonts w:ascii="Nirmala UI Semilight" w:hAnsi="Nirmala UI Semilight" w:cs="Nirmala UI Semilight"/>
          <w:bCs/>
          <w:sz w:val="28"/>
          <w:szCs w:val="28"/>
        </w:rPr>
        <w:t>; Beraldo</w:t>
      </w:r>
      <w:r w:rsidR="00030B70">
        <w:rPr>
          <w:rFonts w:ascii="Nirmala UI Semilight" w:hAnsi="Nirmala UI Semilight" w:cs="Nirmala UI Semilight"/>
          <w:bCs/>
          <w:sz w:val="28"/>
          <w:szCs w:val="28"/>
        </w:rPr>
        <w:t>,</w:t>
      </w:r>
      <w:r w:rsidR="00655D33">
        <w:rPr>
          <w:rFonts w:ascii="Nirmala UI Semilight" w:hAnsi="Nirmala UI Semilight" w:cs="Nirmala UI Semilight"/>
          <w:bCs/>
          <w:sz w:val="28"/>
          <w:szCs w:val="28"/>
        </w:rPr>
        <w:t xml:space="preserve"> 2023</w:t>
      </w:r>
      <w:r w:rsidR="0077407F">
        <w:rPr>
          <w:rFonts w:ascii="Nirmala UI Semilight" w:hAnsi="Nirmala UI Semilight" w:cs="Nirmala UI Semilight"/>
          <w:bCs/>
          <w:sz w:val="28"/>
          <w:szCs w:val="28"/>
        </w:rPr>
        <w:t xml:space="preserve">), y </w:t>
      </w:r>
      <w:r w:rsidR="009B746C">
        <w:rPr>
          <w:rFonts w:ascii="Nirmala UI Semilight" w:hAnsi="Nirmala UI Semilight" w:cs="Nirmala UI Semilight"/>
          <w:bCs/>
          <w:sz w:val="28"/>
          <w:szCs w:val="28"/>
        </w:rPr>
        <w:t xml:space="preserve">la </w:t>
      </w:r>
      <w:r w:rsidR="006E2FE3">
        <w:rPr>
          <w:rFonts w:ascii="Nirmala UI Semilight" w:hAnsi="Nirmala UI Semilight" w:cs="Nirmala UI Semilight"/>
          <w:bCs/>
          <w:sz w:val="28"/>
          <w:szCs w:val="28"/>
        </w:rPr>
        <w:t>tendencia</w:t>
      </w:r>
      <w:r w:rsidR="0077407F">
        <w:rPr>
          <w:rFonts w:ascii="Nirmala UI Semilight" w:hAnsi="Nirmala UI Semilight" w:cs="Nirmala UI Semilight"/>
          <w:bCs/>
          <w:sz w:val="28"/>
          <w:szCs w:val="28"/>
        </w:rPr>
        <w:t xml:space="preserve"> de esa</w:t>
      </w:r>
      <w:r w:rsidR="009063D2">
        <w:rPr>
          <w:rFonts w:ascii="Nirmala UI Semilight" w:hAnsi="Nirmala UI Semilight" w:cs="Nirmala UI Semilight"/>
          <w:bCs/>
          <w:sz w:val="28"/>
          <w:szCs w:val="28"/>
        </w:rPr>
        <w:t xml:space="preserve"> </w:t>
      </w:r>
      <w:r w:rsidR="009063D2" w:rsidRPr="006E2FE3">
        <w:rPr>
          <w:rFonts w:ascii="Nirmala UI Semilight" w:hAnsi="Nirmala UI Semilight" w:cs="Nirmala UI Semilight"/>
          <w:bCs/>
          <w:i/>
          <w:iCs/>
          <w:sz w:val="28"/>
          <w:szCs w:val="28"/>
        </w:rPr>
        <w:t>búsqueda de respeto</w:t>
      </w:r>
      <w:r w:rsidR="009063D2">
        <w:rPr>
          <w:rFonts w:ascii="Nirmala UI Semilight" w:hAnsi="Nirmala UI Semilight" w:cs="Nirmala UI Semilight"/>
          <w:bCs/>
          <w:sz w:val="28"/>
          <w:szCs w:val="28"/>
        </w:rPr>
        <w:t xml:space="preserve"> </w:t>
      </w:r>
      <w:r w:rsidR="00F51344">
        <w:rPr>
          <w:rFonts w:ascii="Nirmala UI Semilight" w:hAnsi="Nirmala UI Semilight" w:cs="Nirmala UI Semilight"/>
          <w:bCs/>
          <w:sz w:val="28"/>
          <w:szCs w:val="28"/>
        </w:rPr>
        <w:t xml:space="preserve">pendula—generalmente—entre dos formas: </w:t>
      </w:r>
      <w:r w:rsidR="00DD3B89" w:rsidRPr="00B415EB">
        <w:rPr>
          <w:rFonts w:ascii="Nirmala UI Semilight" w:hAnsi="Nirmala UI Semilight" w:cs="Nirmala UI Semilight"/>
          <w:sz w:val="28"/>
          <w:szCs w:val="28"/>
        </w:rPr>
        <w:t xml:space="preserve">una </w:t>
      </w:r>
      <w:r w:rsidR="00DD3B89">
        <w:rPr>
          <w:rFonts w:ascii="Nirmala UI Semilight" w:hAnsi="Nirmala UI Semilight" w:cs="Nirmala UI Semilight"/>
          <w:sz w:val="28"/>
          <w:szCs w:val="28"/>
        </w:rPr>
        <w:t>“</w:t>
      </w:r>
      <w:r w:rsidR="00DD3B89" w:rsidRPr="00B415EB">
        <w:rPr>
          <w:rFonts w:ascii="Nirmala UI Semilight" w:hAnsi="Nirmala UI Semilight" w:cs="Nirmala UI Semilight"/>
          <w:sz w:val="28"/>
          <w:szCs w:val="28"/>
        </w:rPr>
        <w:t>subcultura de la violencia</w:t>
      </w:r>
      <w:r w:rsidR="00DD3B89">
        <w:rPr>
          <w:rFonts w:ascii="Nirmala UI Semilight" w:hAnsi="Nirmala UI Semilight" w:cs="Nirmala UI Semilight"/>
          <w:sz w:val="28"/>
          <w:szCs w:val="28"/>
        </w:rPr>
        <w:t>”</w:t>
      </w:r>
      <w:r w:rsidR="00DD3B89" w:rsidRPr="00B415EB">
        <w:rPr>
          <w:rFonts w:ascii="Nirmala UI Semilight" w:hAnsi="Nirmala UI Semilight" w:cs="Nirmala UI Semilight"/>
          <w:sz w:val="28"/>
          <w:szCs w:val="28"/>
        </w:rPr>
        <w:t xml:space="preserve"> (Wolfgang y Ferracuti, 1967; para ejemplos contemporáneos, véase Wright y Decker, 1994, 1997; Anderson, 1999; Jacobs y Wright, 1999; Jacobs, 1999, 2000; Jacobs </w:t>
      </w:r>
      <w:r w:rsidR="00DD3B89" w:rsidRPr="00030B70">
        <w:rPr>
          <w:rFonts w:ascii="Nirmala UI Semilight" w:hAnsi="Nirmala UI Semilight" w:cs="Nirmala UI Semilight"/>
          <w:i/>
          <w:iCs/>
          <w:sz w:val="28"/>
          <w:szCs w:val="28"/>
        </w:rPr>
        <w:t>et al</w:t>
      </w:r>
      <w:r w:rsidR="00DD3B89" w:rsidRPr="00B415EB">
        <w:rPr>
          <w:rFonts w:ascii="Nirmala UI Semilight" w:hAnsi="Nirmala UI Semilight" w:cs="Nirmala UI Semilight"/>
          <w:sz w:val="28"/>
          <w:szCs w:val="28"/>
        </w:rPr>
        <w:t xml:space="preserve">, 2000; Vigil, 2002; Bourgois, 2003) o </w:t>
      </w:r>
      <w:r w:rsidR="00DD3B89">
        <w:rPr>
          <w:rFonts w:ascii="Nirmala UI Semilight" w:hAnsi="Nirmala UI Semilight" w:cs="Nirmala UI Semilight"/>
          <w:sz w:val="28"/>
          <w:szCs w:val="28"/>
        </w:rPr>
        <w:t>“</w:t>
      </w:r>
      <w:r w:rsidR="00DD3B89" w:rsidRPr="00B415EB">
        <w:rPr>
          <w:rFonts w:ascii="Nirmala UI Semilight" w:hAnsi="Nirmala UI Semilight" w:cs="Nirmala UI Semilight"/>
          <w:sz w:val="28"/>
          <w:szCs w:val="28"/>
        </w:rPr>
        <w:t>técnicas de neutralización</w:t>
      </w:r>
      <w:r w:rsidR="00DD3B89">
        <w:rPr>
          <w:rFonts w:ascii="Nirmala UI Semilight" w:hAnsi="Nirmala UI Semilight" w:cs="Nirmala UI Semilight"/>
          <w:sz w:val="28"/>
          <w:szCs w:val="28"/>
        </w:rPr>
        <w:t>”</w:t>
      </w:r>
      <w:r w:rsidR="00DD3B89" w:rsidRPr="00B415EB">
        <w:rPr>
          <w:rFonts w:ascii="Nirmala UI Semilight" w:hAnsi="Nirmala UI Semilight" w:cs="Nirmala UI Semilight"/>
          <w:sz w:val="28"/>
          <w:szCs w:val="28"/>
        </w:rPr>
        <w:t xml:space="preserve"> integradas en el discurso convencional (Sykes y Matza, 1957; para ejemplos contemporáneos, véase Cromwell y Thurman, 2003; Presser, 2004; Green </w:t>
      </w:r>
      <w:r w:rsidR="00DD3B89" w:rsidRPr="00030B70">
        <w:rPr>
          <w:rFonts w:ascii="Nirmala UI Semilight" w:hAnsi="Nirmala UI Semilight" w:cs="Nirmala UI Semilight"/>
          <w:i/>
          <w:iCs/>
          <w:sz w:val="28"/>
          <w:szCs w:val="28"/>
        </w:rPr>
        <w:t>et al.</w:t>
      </w:r>
      <w:r w:rsidR="00DD3B89" w:rsidRPr="00B415EB">
        <w:rPr>
          <w:rFonts w:ascii="Nirmala UI Semilight" w:hAnsi="Nirmala UI Semilight" w:cs="Nirmala UI Semilight"/>
          <w:sz w:val="28"/>
          <w:szCs w:val="28"/>
        </w:rPr>
        <w:t>, 2006; Cechaviciute y Kenny, 2007).</w:t>
      </w:r>
      <w:r w:rsidR="00030B70">
        <w:rPr>
          <w:rFonts w:ascii="Nirmala UI Semilight" w:hAnsi="Nirmala UI Semilight" w:cs="Nirmala UI Semilight"/>
          <w:sz w:val="28"/>
          <w:szCs w:val="28"/>
        </w:rPr>
        <w:t xml:space="preserve"> Pero está no es la cuestión que quiero presentar en este trabajo. </w:t>
      </w:r>
    </w:p>
    <w:p w14:paraId="14022E63" w14:textId="0F145E02" w:rsidR="00C7070F" w:rsidRDefault="001A7492" w:rsidP="00C7070F">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sz w:val="28"/>
          <w:szCs w:val="28"/>
        </w:rPr>
        <w:t>Lo que pretendo presentar aquí surge de una pregunta simple</w:t>
      </w:r>
      <w:r w:rsidR="00B825CF">
        <w:rPr>
          <w:rFonts w:ascii="Nirmala UI Semilight" w:hAnsi="Nirmala UI Semilight" w:cs="Nirmala UI Semilight"/>
          <w:sz w:val="28"/>
          <w:szCs w:val="28"/>
        </w:rPr>
        <w:t xml:space="preserve">: </w:t>
      </w:r>
      <w:r w:rsidR="00A6504F">
        <w:rPr>
          <w:rFonts w:ascii="Nirmala UI Semilight" w:hAnsi="Nirmala UI Semilight" w:cs="Nirmala UI Semilight"/>
          <w:sz w:val="28"/>
          <w:szCs w:val="28"/>
        </w:rPr>
        <w:t xml:space="preserve">¿Por qué unos jóvenes van a la escuela y otros van a la cárcel? </w:t>
      </w:r>
      <w:r w:rsidR="00EF6629">
        <w:rPr>
          <w:rFonts w:ascii="Nirmala UI Semilight" w:hAnsi="Nirmala UI Semilight" w:cs="Nirmala UI Semilight"/>
          <w:sz w:val="28"/>
          <w:szCs w:val="28"/>
        </w:rPr>
        <w:t xml:space="preserve">O para decirlo de otra manera por qué en cierto punto algunos jóvenes </w:t>
      </w:r>
      <w:r w:rsidR="00EF6629" w:rsidRPr="00F67970">
        <w:rPr>
          <w:rFonts w:ascii="Nirmala UI Semilight" w:hAnsi="Nirmala UI Semilight" w:cs="Nirmala UI Semilight"/>
          <w:i/>
          <w:iCs/>
          <w:sz w:val="28"/>
          <w:szCs w:val="28"/>
        </w:rPr>
        <w:t>desisten</w:t>
      </w:r>
      <w:r w:rsidR="00EF6629">
        <w:rPr>
          <w:rFonts w:ascii="Nirmala UI Semilight" w:hAnsi="Nirmala UI Semilight" w:cs="Nirmala UI Semilight"/>
          <w:sz w:val="28"/>
          <w:szCs w:val="28"/>
        </w:rPr>
        <w:t xml:space="preserve"> de </w:t>
      </w:r>
      <w:r w:rsidR="00F67970">
        <w:rPr>
          <w:rFonts w:ascii="Nirmala UI Semilight" w:hAnsi="Nirmala UI Semilight" w:cs="Nirmala UI Semilight"/>
          <w:sz w:val="28"/>
          <w:szCs w:val="28"/>
        </w:rPr>
        <w:t xml:space="preserve">continuar delinquiendo y otros no. </w:t>
      </w:r>
      <w:r w:rsidR="003279D1">
        <w:rPr>
          <w:rFonts w:ascii="Nirmala UI Semilight" w:hAnsi="Nirmala UI Semilight" w:cs="Nirmala UI Semilight"/>
          <w:sz w:val="28"/>
          <w:szCs w:val="28"/>
        </w:rPr>
        <w:t xml:space="preserve">Esto </w:t>
      </w:r>
      <w:r w:rsidR="00834924">
        <w:rPr>
          <w:rFonts w:ascii="Nirmala UI Semilight" w:hAnsi="Nirmala UI Semilight" w:cs="Nirmala UI Semilight"/>
          <w:sz w:val="28"/>
          <w:szCs w:val="28"/>
        </w:rPr>
        <w:t xml:space="preserve">dispara una serie de preguntas. </w:t>
      </w:r>
      <w:r w:rsidR="00834924" w:rsidRPr="007B569F">
        <w:rPr>
          <w:rFonts w:ascii="Nirmala UI Semilight" w:hAnsi="Nirmala UI Semilight" w:cs="Nirmala UI Semilight"/>
          <w:bCs/>
          <w:sz w:val="28"/>
          <w:szCs w:val="28"/>
        </w:rPr>
        <w:t xml:space="preserve">En primer lugar, ¿cómo desisten de delinquir los </w:t>
      </w:r>
      <w:r w:rsidR="00834924">
        <w:rPr>
          <w:rFonts w:ascii="Nirmala UI Semilight" w:hAnsi="Nirmala UI Semilight" w:cs="Nirmala UI Semilight"/>
          <w:bCs/>
          <w:sz w:val="28"/>
          <w:szCs w:val="28"/>
        </w:rPr>
        <w:t>jóvenes de clase media</w:t>
      </w:r>
      <w:r w:rsidR="00AE572D">
        <w:rPr>
          <w:rFonts w:ascii="Nirmala UI Semilight" w:hAnsi="Nirmala UI Semilight" w:cs="Nirmala UI Semilight"/>
          <w:bCs/>
          <w:sz w:val="28"/>
          <w:szCs w:val="28"/>
        </w:rPr>
        <w:t>/alta</w:t>
      </w:r>
      <w:r w:rsidR="00834924" w:rsidRPr="007B569F">
        <w:rPr>
          <w:rFonts w:ascii="Nirmala UI Semilight" w:hAnsi="Nirmala UI Semilight" w:cs="Nirmala UI Semilight"/>
          <w:bCs/>
          <w:sz w:val="28"/>
          <w:szCs w:val="28"/>
        </w:rPr>
        <w:t xml:space="preserve">? En segundo lugar, ¿qué experiencias son relevantes para ellos mientras lo hacen? En tercer lugar, ¿cómo podemos entender su desistimiento de la delincuencia? En cuarto lugar, ¿en qué se diferencian (o no) de los </w:t>
      </w:r>
      <w:r w:rsidR="00834924">
        <w:rPr>
          <w:rFonts w:ascii="Nirmala UI Semilight" w:hAnsi="Nirmala UI Semilight" w:cs="Nirmala UI Semilight"/>
          <w:bCs/>
          <w:sz w:val="28"/>
          <w:szCs w:val="28"/>
        </w:rPr>
        <w:t>“</w:t>
      </w:r>
      <w:r w:rsidR="00834924" w:rsidRPr="007B569F">
        <w:rPr>
          <w:rFonts w:ascii="Nirmala UI Semilight" w:hAnsi="Nirmala UI Semilight" w:cs="Nirmala UI Semilight"/>
          <w:bCs/>
          <w:sz w:val="28"/>
          <w:szCs w:val="28"/>
        </w:rPr>
        <w:t>delincuentes normales</w:t>
      </w:r>
      <w:r w:rsidR="00834924">
        <w:rPr>
          <w:rFonts w:ascii="Nirmala UI Semilight" w:hAnsi="Nirmala UI Semilight" w:cs="Nirmala UI Semilight"/>
          <w:bCs/>
          <w:sz w:val="28"/>
          <w:szCs w:val="28"/>
        </w:rPr>
        <w:t>”</w:t>
      </w:r>
      <w:r w:rsidR="00834924" w:rsidRPr="007B569F">
        <w:rPr>
          <w:rFonts w:ascii="Nirmala UI Semilight" w:hAnsi="Nirmala UI Semilight" w:cs="Nirmala UI Semilight"/>
          <w:bCs/>
          <w:sz w:val="28"/>
          <w:szCs w:val="28"/>
        </w:rPr>
        <w:t>?</w:t>
      </w:r>
      <w:r w:rsidR="00834924">
        <w:rPr>
          <w:rFonts w:ascii="Nirmala UI Semilight" w:hAnsi="Nirmala UI Semilight" w:cs="Nirmala UI Semilight"/>
          <w:bCs/>
          <w:sz w:val="28"/>
          <w:szCs w:val="28"/>
        </w:rPr>
        <w:t xml:space="preserve"> </w:t>
      </w:r>
      <w:r w:rsidR="00834924" w:rsidRPr="007B569F">
        <w:rPr>
          <w:rFonts w:ascii="Nirmala UI Semilight" w:hAnsi="Nirmala UI Semilight" w:cs="Nirmala UI Semilight"/>
          <w:bCs/>
          <w:sz w:val="28"/>
          <w:szCs w:val="28"/>
        </w:rPr>
        <w:t xml:space="preserve">En quinto lugar, ¿puede la comprensión del </w:t>
      </w:r>
      <w:r w:rsidR="00834924" w:rsidRPr="007B569F">
        <w:rPr>
          <w:rFonts w:ascii="Nirmala UI Semilight" w:hAnsi="Nirmala UI Semilight" w:cs="Nirmala UI Semilight"/>
          <w:bCs/>
          <w:sz w:val="28"/>
          <w:szCs w:val="28"/>
        </w:rPr>
        <w:lastRenderedPageBreak/>
        <w:t xml:space="preserve">desistimiento de los delincuentes de </w:t>
      </w:r>
      <w:r w:rsidR="00F5411F">
        <w:rPr>
          <w:rFonts w:ascii="Nirmala UI Semilight" w:hAnsi="Nirmala UI Semilight" w:cs="Nirmala UI Semilight"/>
          <w:bCs/>
          <w:sz w:val="28"/>
          <w:szCs w:val="28"/>
        </w:rPr>
        <w:t>clase media y de “</w:t>
      </w:r>
      <w:r w:rsidR="0035313D">
        <w:rPr>
          <w:rFonts w:ascii="Nirmala UI Semilight" w:hAnsi="Nirmala UI Semilight" w:cs="Nirmala UI Semilight"/>
          <w:bCs/>
          <w:sz w:val="28"/>
          <w:szCs w:val="28"/>
        </w:rPr>
        <w:t>cuello</w:t>
      </w:r>
      <w:r w:rsidR="00834924" w:rsidRPr="007B569F">
        <w:rPr>
          <w:rFonts w:ascii="Nirmala UI Semilight" w:hAnsi="Nirmala UI Semilight" w:cs="Nirmala UI Semilight"/>
          <w:bCs/>
          <w:sz w:val="28"/>
          <w:szCs w:val="28"/>
        </w:rPr>
        <w:t xml:space="preserve"> blanco</w:t>
      </w:r>
      <w:r w:rsidR="00F5411F">
        <w:rPr>
          <w:rFonts w:ascii="Nirmala UI Semilight" w:hAnsi="Nirmala UI Semilight" w:cs="Nirmala UI Semilight"/>
          <w:bCs/>
          <w:sz w:val="28"/>
          <w:szCs w:val="28"/>
        </w:rPr>
        <w:t>”</w:t>
      </w:r>
      <w:r w:rsidR="00B013CF">
        <w:rPr>
          <w:rStyle w:val="Refdenotaalpie"/>
          <w:rFonts w:ascii="Nirmala UI Semilight" w:hAnsi="Nirmala UI Semilight" w:cs="Nirmala UI Semilight"/>
          <w:bCs/>
          <w:sz w:val="28"/>
          <w:szCs w:val="28"/>
        </w:rPr>
        <w:footnoteReference w:id="3"/>
      </w:r>
      <w:r w:rsidR="00834924" w:rsidRPr="007B569F">
        <w:rPr>
          <w:rFonts w:ascii="Nirmala UI Semilight" w:hAnsi="Nirmala UI Semilight" w:cs="Nirmala UI Semilight"/>
          <w:bCs/>
          <w:sz w:val="28"/>
          <w:szCs w:val="28"/>
        </w:rPr>
        <w:t xml:space="preserve"> contribuir a los debates sobre el desistimiento en general y, en caso afirmativo, qué conclusiones podemos extraer?</w:t>
      </w:r>
      <w:r w:rsidR="00F64D0A">
        <w:rPr>
          <w:rFonts w:ascii="Nirmala UI Semilight" w:hAnsi="Nirmala UI Semilight" w:cs="Nirmala UI Semilight"/>
          <w:bCs/>
          <w:sz w:val="28"/>
          <w:szCs w:val="28"/>
        </w:rPr>
        <w:t xml:space="preserve"> No hay lugar </w:t>
      </w:r>
      <w:r w:rsidR="00DC3C8B">
        <w:rPr>
          <w:rFonts w:ascii="Nirmala UI Semilight" w:hAnsi="Nirmala UI Semilight" w:cs="Nirmala UI Semilight"/>
          <w:bCs/>
          <w:sz w:val="28"/>
          <w:szCs w:val="28"/>
        </w:rPr>
        <w:t xml:space="preserve">aquí </w:t>
      </w:r>
      <w:r w:rsidR="00F64D0A">
        <w:rPr>
          <w:rFonts w:ascii="Nirmala UI Semilight" w:hAnsi="Nirmala UI Semilight" w:cs="Nirmala UI Semilight"/>
          <w:bCs/>
          <w:sz w:val="28"/>
          <w:szCs w:val="28"/>
        </w:rPr>
        <w:t>para responder todas estas preguntas</w:t>
      </w:r>
      <w:r w:rsidR="00DC3C8B">
        <w:rPr>
          <w:rFonts w:ascii="Nirmala UI Semilight" w:hAnsi="Nirmala UI Semilight" w:cs="Nirmala UI Semilight"/>
          <w:bCs/>
          <w:sz w:val="28"/>
          <w:szCs w:val="28"/>
        </w:rPr>
        <w:t xml:space="preserve">. Me centraré en presentar un punto de vista diferente al que se viene utilizando para buscar respuestas diferentes a las que se vienen dando. </w:t>
      </w:r>
    </w:p>
    <w:p w14:paraId="351FEF33" w14:textId="77777777" w:rsidR="00DC3C8B" w:rsidRDefault="00DC3C8B" w:rsidP="00C7070F">
      <w:pPr>
        <w:spacing w:after="120" w:line="276" w:lineRule="auto"/>
        <w:jc w:val="both"/>
        <w:rPr>
          <w:rFonts w:ascii="Nirmala UI Semilight" w:hAnsi="Nirmala UI Semilight" w:cs="Nirmala UI Semilight"/>
          <w:bCs/>
          <w:sz w:val="28"/>
          <w:szCs w:val="28"/>
        </w:rPr>
      </w:pPr>
    </w:p>
    <w:p w14:paraId="3B1E4937" w14:textId="74DFCDCF" w:rsidR="00E508D0" w:rsidRPr="00711E00" w:rsidRDefault="00E508D0" w:rsidP="00C7070F">
      <w:pPr>
        <w:spacing w:after="120" w:line="276" w:lineRule="auto"/>
        <w:jc w:val="both"/>
        <w:rPr>
          <w:rFonts w:ascii="Nirmala UI Semilight" w:hAnsi="Nirmala UI Semilight" w:cs="Nirmala UI Semilight"/>
          <w:b/>
          <w:sz w:val="28"/>
          <w:szCs w:val="28"/>
        </w:rPr>
      </w:pPr>
      <w:r w:rsidRPr="00711E00">
        <w:rPr>
          <w:rFonts w:ascii="Nirmala UI Semilight" w:hAnsi="Nirmala UI Semilight" w:cs="Nirmala UI Semilight"/>
          <w:b/>
          <w:sz w:val="28"/>
          <w:szCs w:val="28"/>
        </w:rPr>
        <w:t>Una fenomenología del desistimiento</w:t>
      </w:r>
      <w:r w:rsidR="00B16025">
        <w:rPr>
          <w:rFonts w:ascii="Nirmala UI Semilight" w:hAnsi="Nirmala UI Semilight" w:cs="Nirmala UI Semilight"/>
          <w:b/>
          <w:sz w:val="28"/>
          <w:szCs w:val="28"/>
        </w:rPr>
        <w:t xml:space="preserve"> de la delincuencia</w:t>
      </w:r>
    </w:p>
    <w:p w14:paraId="36C57128" w14:textId="3395B5FE" w:rsidR="00711E00" w:rsidRDefault="00711E00" w:rsidP="00711E00">
      <w:pPr>
        <w:spacing w:after="120" w:line="276" w:lineRule="auto"/>
        <w:jc w:val="both"/>
        <w:rPr>
          <w:rFonts w:ascii="Nirmala UI Semilight" w:hAnsi="Nirmala UI Semilight" w:cs="Nirmala UI Semilight"/>
          <w:bCs/>
          <w:sz w:val="28"/>
          <w:szCs w:val="28"/>
        </w:rPr>
      </w:pPr>
      <w:r w:rsidRPr="00112013">
        <w:rPr>
          <w:rFonts w:ascii="Nirmala UI Semilight" w:hAnsi="Nirmala UI Semilight" w:cs="Nirmala UI Semilight"/>
          <w:bCs/>
          <w:sz w:val="28"/>
          <w:szCs w:val="28"/>
        </w:rPr>
        <w:t xml:space="preserve">Al investigar el desistimiento de los delincuentes de cuello blanco, </w:t>
      </w:r>
      <w:r w:rsidR="003D46B5">
        <w:rPr>
          <w:rFonts w:ascii="Nirmala UI Semilight" w:hAnsi="Nirmala UI Semilight" w:cs="Nirmala UI Semilight"/>
          <w:bCs/>
          <w:sz w:val="28"/>
          <w:szCs w:val="28"/>
        </w:rPr>
        <w:t>podemos</w:t>
      </w:r>
      <w:r w:rsidRPr="00112013">
        <w:rPr>
          <w:rFonts w:ascii="Nirmala UI Semilight" w:hAnsi="Nirmala UI Semilight" w:cs="Nirmala UI Semilight"/>
          <w:bCs/>
          <w:sz w:val="28"/>
          <w:szCs w:val="28"/>
        </w:rPr>
        <w:t xml:space="preserve"> aprovechar los recientes avances en el campo del desistimiento que se centran en los aspectos subjetivos de la delincuencia. Algunas investigaciones anteriores han considerado procesos similares (por ejemplo, Shover, 1985; Cusson y Pinnsoneault, 1986). Sin embargo, sólo recientemente se ha realizado un esfuerzo sostenido para comprender estos aspectos del desistimiento. Las investigaciones recientes han tratado de comprender cómo los delincuentes que intentan desistir participan en la creación y gestión de una nueva identidad como </w:t>
      </w:r>
      <w:r w:rsidR="00AB3F79">
        <w:rPr>
          <w:rFonts w:ascii="Nirmala UI Semilight" w:hAnsi="Nirmala UI Semilight" w:cs="Nirmala UI Semilight"/>
          <w:bCs/>
          <w:sz w:val="28"/>
          <w:szCs w:val="28"/>
        </w:rPr>
        <w:t>“</w:t>
      </w:r>
      <w:r w:rsidRPr="00112013">
        <w:rPr>
          <w:rFonts w:ascii="Nirmala UI Semilight" w:hAnsi="Nirmala UI Semilight" w:cs="Nirmala UI Semilight"/>
          <w:bCs/>
          <w:sz w:val="28"/>
          <w:szCs w:val="28"/>
        </w:rPr>
        <w:t>ex delincuente</w:t>
      </w:r>
      <w:r w:rsidR="00AB3F79">
        <w:rPr>
          <w:rFonts w:ascii="Nirmala UI Semilight" w:hAnsi="Nirmala UI Semilight" w:cs="Nirmala UI Semilight"/>
          <w:bCs/>
          <w:sz w:val="28"/>
          <w:szCs w:val="28"/>
        </w:rPr>
        <w:t>”</w:t>
      </w:r>
      <w:r w:rsidRPr="00112013">
        <w:rPr>
          <w:rFonts w:ascii="Nirmala UI Semilight" w:hAnsi="Nirmala UI Semilight" w:cs="Nirmala UI Semilight"/>
          <w:bCs/>
          <w:sz w:val="28"/>
          <w:szCs w:val="28"/>
        </w:rPr>
        <w:t xml:space="preserve"> (por ejemplo, Maruna, 2001; Giordano </w:t>
      </w:r>
      <w:r w:rsidRPr="00112013">
        <w:rPr>
          <w:rFonts w:ascii="Nirmala UI Semilight" w:hAnsi="Nirmala UI Semilight" w:cs="Nirmala UI Semilight"/>
          <w:bCs/>
          <w:i/>
          <w:iCs/>
          <w:sz w:val="28"/>
          <w:szCs w:val="28"/>
        </w:rPr>
        <w:t>et al.</w:t>
      </w:r>
      <w:r w:rsidRPr="00112013">
        <w:rPr>
          <w:rFonts w:ascii="Nirmala UI Semilight" w:hAnsi="Nirmala UI Semilight" w:cs="Nirmala UI Semilight"/>
          <w:bCs/>
          <w:sz w:val="28"/>
          <w:szCs w:val="28"/>
        </w:rPr>
        <w:t xml:space="preserve">, 2002; Farrall, 2002, 2005; Maruna y Farrall, 2004; Farrall </w:t>
      </w:r>
      <w:r w:rsidRPr="00112013">
        <w:rPr>
          <w:rFonts w:ascii="Nirmala UI Semilight" w:hAnsi="Nirmala UI Semilight" w:cs="Nirmala UI Semilight"/>
          <w:bCs/>
          <w:i/>
          <w:iCs/>
          <w:sz w:val="28"/>
          <w:szCs w:val="28"/>
        </w:rPr>
        <w:t>et al.</w:t>
      </w:r>
      <w:r w:rsidRPr="00112013">
        <w:rPr>
          <w:rFonts w:ascii="Nirmala UI Semilight" w:hAnsi="Nirmala UI Semilight" w:cs="Nirmala UI Semilight"/>
          <w:bCs/>
          <w:sz w:val="28"/>
          <w:szCs w:val="28"/>
        </w:rPr>
        <w:t>, 2014).</w:t>
      </w:r>
      <w:r>
        <w:rPr>
          <w:rFonts w:ascii="Nirmala UI Semilight" w:hAnsi="Nirmala UI Semilight" w:cs="Nirmala UI Semilight"/>
          <w:bCs/>
          <w:sz w:val="28"/>
          <w:szCs w:val="28"/>
        </w:rPr>
        <w:t xml:space="preserve"> </w:t>
      </w:r>
      <w:r w:rsidRPr="007C046A">
        <w:rPr>
          <w:rFonts w:ascii="Nirmala UI Semilight" w:hAnsi="Nirmala UI Semilight" w:cs="Nirmala UI Semilight"/>
          <w:bCs/>
          <w:sz w:val="28"/>
          <w:szCs w:val="28"/>
        </w:rPr>
        <w:t>Est</w:t>
      </w:r>
      <w:r w:rsidR="00234280">
        <w:rPr>
          <w:rFonts w:ascii="Nirmala UI Semilight" w:hAnsi="Nirmala UI Semilight" w:cs="Nirmala UI Semilight"/>
          <w:bCs/>
          <w:sz w:val="28"/>
          <w:szCs w:val="28"/>
        </w:rPr>
        <w:t>os</w:t>
      </w:r>
      <w:r w:rsidRPr="007C046A">
        <w:rPr>
          <w:rFonts w:ascii="Nirmala UI Semilight" w:hAnsi="Nirmala UI Semilight" w:cs="Nirmala UI Semilight"/>
          <w:bCs/>
          <w:sz w:val="28"/>
          <w:szCs w:val="28"/>
        </w:rPr>
        <w:t xml:space="preserve"> trabajo</w:t>
      </w:r>
      <w:r w:rsidR="00234280">
        <w:rPr>
          <w:rFonts w:ascii="Nirmala UI Semilight" w:hAnsi="Nirmala UI Semilight" w:cs="Nirmala UI Semilight"/>
          <w:bCs/>
          <w:sz w:val="28"/>
          <w:szCs w:val="28"/>
        </w:rPr>
        <w:t>s</w:t>
      </w:r>
      <w:r w:rsidRPr="007C046A">
        <w:rPr>
          <w:rFonts w:ascii="Nirmala UI Semilight" w:hAnsi="Nirmala UI Semilight" w:cs="Nirmala UI Semilight"/>
          <w:bCs/>
          <w:sz w:val="28"/>
          <w:szCs w:val="28"/>
        </w:rPr>
        <w:t xml:space="preserve"> se centra</w:t>
      </w:r>
      <w:r w:rsidR="00234280">
        <w:rPr>
          <w:rFonts w:ascii="Nirmala UI Semilight" w:hAnsi="Nirmala UI Semilight" w:cs="Nirmala UI Semilight"/>
          <w:bCs/>
          <w:sz w:val="28"/>
          <w:szCs w:val="28"/>
        </w:rPr>
        <w:t>n</w:t>
      </w:r>
      <w:r w:rsidRPr="007C046A">
        <w:rPr>
          <w:rFonts w:ascii="Nirmala UI Semilight" w:hAnsi="Nirmala UI Semilight" w:cs="Nirmala UI Semilight"/>
          <w:bCs/>
          <w:sz w:val="28"/>
          <w:szCs w:val="28"/>
        </w:rPr>
        <w:t xml:space="preserve"> en cómo cambian los individuos y cómo se ven a sí mismos capaces de reconstruir quiénes son (Farrall, 2005). También hace</w:t>
      </w:r>
      <w:r w:rsidR="00DB1026">
        <w:rPr>
          <w:rFonts w:ascii="Nirmala UI Semilight" w:hAnsi="Nirmala UI Semilight" w:cs="Nirmala UI Semilight"/>
          <w:bCs/>
          <w:sz w:val="28"/>
          <w:szCs w:val="28"/>
        </w:rPr>
        <w:t>n</w:t>
      </w:r>
      <w:r w:rsidRPr="007C046A">
        <w:rPr>
          <w:rFonts w:ascii="Nirmala UI Semilight" w:hAnsi="Nirmala UI Semilight" w:cs="Nirmala UI Semilight"/>
          <w:bCs/>
          <w:sz w:val="28"/>
          <w:szCs w:val="28"/>
        </w:rPr>
        <w:t xml:space="preserve"> hincapié en que los delincuentes que desisten aprovechan las oportunidades que les brinda su entorno para cumplir objetivos acordes con una concepción futura de sí mismos como no delincuentes (Giordano </w:t>
      </w:r>
      <w:r w:rsidRPr="007C046A">
        <w:rPr>
          <w:rFonts w:ascii="Nirmala UI Semilight" w:hAnsi="Nirmala UI Semilight" w:cs="Nirmala UI Semilight"/>
          <w:bCs/>
          <w:i/>
          <w:iCs/>
          <w:sz w:val="28"/>
          <w:szCs w:val="28"/>
        </w:rPr>
        <w:t>et al.</w:t>
      </w:r>
      <w:r w:rsidRPr="007C046A">
        <w:rPr>
          <w:rFonts w:ascii="Nirmala UI Semilight" w:hAnsi="Nirmala UI Semilight" w:cs="Nirmala UI Semilight"/>
          <w:bCs/>
          <w:sz w:val="28"/>
          <w:szCs w:val="28"/>
        </w:rPr>
        <w:t>, 2002).</w:t>
      </w:r>
      <w:r>
        <w:rPr>
          <w:rFonts w:ascii="Nirmala UI Semilight" w:hAnsi="Nirmala UI Semilight" w:cs="Nirmala UI Semilight"/>
          <w:bCs/>
          <w:sz w:val="28"/>
          <w:szCs w:val="28"/>
        </w:rPr>
        <w:t xml:space="preserve"> </w:t>
      </w:r>
      <w:r w:rsidRPr="007C046A">
        <w:rPr>
          <w:rFonts w:ascii="Nirmala UI Semilight" w:hAnsi="Nirmala UI Semilight" w:cs="Nirmala UI Semilight"/>
          <w:bCs/>
          <w:sz w:val="28"/>
          <w:szCs w:val="28"/>
        </w:rPr>
        <w:t>Por último, estos trabajos han señalado la importancia de que los intentos de desistimiento del delito se inscriban en el contexto de la vida en su conjunto.</w:t>
      </w:r>
      <w:r>
        <w:rPr>
          <w:rFonts w:ascii="Nirmala UI Semilight" w:hAnsi="Nirmala UI Semilight" w:cs="Nirmala UI Semilight"/>
          <w:bCs/>
          <w:sz w:val="28"/>
          <w:szCs w:val="28"/>
        </w:rPr>
        <w:t xml:space="preserve"> </w:t>
      </w:r>
      <w:r w:rsidRPr="00375232">
        <w:rPr>
          <w:rFonts w:ascii="Nirmala UI Semilight" w:hAnsi="Nirmala UI Semilight" w:cs="Nirmala UI Semilight"/>
          <w:bCs/>
          <w:sz w:val="28"/>
          <w:szCs w:val="28"/>
        </w:rPr>
        <w:t xml:space="preserve">Las </w:t>
      </w:r>
      <w:r>
        <w:rPr>
          <w:rFonts w:ascii="Nirmala UI Semilight" w:hAnsi="Nirmala UI Semilight" w:cs="Nirmala UI Semilight"/>
          <w:bCs/>
          <w:sz w:val="28"/>
          <w:szCs w:val="28"/>
        </w:rPr>
        <w:t>“</w:t>
      </w:r>
      <w:r w:rsidRPr="00375232">
        <w:rPr>
          <w:rFonts w:ascii="Nirmala UI Semilight" w:hAnsi="Nirmala UI Semilight" w:cs="Nirmala UI Semilight"/>
          <w:bCs/>
          <w:sz w:val="28"/>
          <w:szCs w:val="28"/>
        </w:rPr>
        <w:t>historias</w:t>
      </w:r>
      <w:r>
        <w:rPr>
          <w:rFonts w:ascii="Nirmala UI Semilight" w:hAnsi="Nirmala UI Semilight" w:cs="Nirmala UI Semilight"/>
          <w:bCs/>
          <w:sz w:val="28"/>
          <w:szCs w:val="28"/>
        </w:rPr>
        <w:t>”</w:t>
      </w:r>
      <w:r w:rsidRPr="00375232">
        <w:rPr>
          <w:rFonts w:ascii="Nirmala UI Semilight" w:hAnsi="Nirmala UI Semilight" w:cs="Nirmala UI Semilight"/>
          <w:bCs/>
          <w:sz w:val="28"/>
          <w:szCs w:val="28"/>
        </w:rPr>
        <w:t xml:space="preserve"> que los ex delincuentes construyen sobre sus pasados desviados </w:t>
      </w:r>
      <w:r w:rsidRPr="00375232">
        <w:rPr>
          <w:rFonts w:ascii="Nirmala UI Semilight" w:hAnsi="Nirmala UI Semilight" w:cs="Nirmala UI Semilight"/>
          <w:bCs/>
          <w:sz w:val="28"/>
          <w:szCs w:val="28"/>
        </w:rPr>
        <w:lastRenderedPageBreak/>
        <w:t xml:space="preserve">son importantes para que esos pasados tengan sentido para una vida futura en la que sean ciudadanos respetuosos de la ley (Maruna y Roy, 2007). En términos generales, podría decirse que estos aspectos del desistimiento se centran en los cambios subjetivos e </w:t>
      </w:r>
      <w:r>
        <w:rPr>
          <w:rFonts w:ascii="Nirmala UI Semilight" w:hAnsi="Nirmala UI Semilight" w:cs="Nirmala UI Semilight"/>
          <w:bCs/>
          <w:sz w:val="28"/>
          <w:szCs w:val="28"/>
        </w:rPr>
        <w:t>“</w:t>
      </w:r>
      <w:r w:rsidRPr="00375232">
        <w:rPr>
          <w:rFonts w:ascii="Nirmala UI Semilight" w:hAnsi="Nirmala UI Semilight" w:cs="Nirmala UI Semilight"/>
          <w:bCs/>
          <w:sz w:val="28"/>
          <w:szCs w:val="28"/>
        </w:rPr>
        <w:t>internos</w:t>
      </w:r>
      <w:r>
        <w:rPr>
          <w:rFonts w:ascii="Nirmala UI Semilight" w:hAnsi="Nirmala UI Semilight" w:cs="Nirmala UI Semilight"/>
          <w:bCs/>
          <w:sz w:val="28"/>
          <w:szCs w:val="28"/>
        </w:rPr>
        <w:t>”</w:t>
      </w:r>
      <w:r w:rsidRPr="00375232">
        <w:rPr>
          <w:rFonts w:ascii="Nirmala UI Semilight" w:hAnsi="Nirmala UI Semilight" w:cs="Nirmala UI Semilight"/>
          <w:bCs/>
          <w:sz w:val="28"/>
          <w:szCs w:val="28"/>
        </w:rPr>
        <w:t xml:space="preserve"> de los delincuentes que desisten de la delincuencia, sin atender servilmente a una dicotomía interna/externa de los factores asociados al desistimiento.</w:t>
      </w:r>
      <w:r>
        <w:rPr>
          <w:rFonts w:ascii="Nirmala UI Semilight" w:hAnsi="Nirmala UI Semilight" w:cs="Nirmala UI Semilight"/>
          <w:bCs/>
          <w:sz w:val="28"/>
          <w:szCs w:val="28"/>
        </w:rPr>
        <w:t xml:space="preserve"> </w:t>
      </w:r>
      <w:r w:rsidRPr="00375232">
        <w:rPr>
          <w:rFonts w:ascii="Nirmala UI Semilight" w:hAnsi="Nirmala UI Semilight" w:cs="Nirmala UI Semilight"/>
          <w:bCs/>
          <w:sz w:val="28"/>
          <w:szCs w:val="28"/>
        </w:rPr>
        <w:t>Los agentes sociales moldean y son moldeados por su entorno, y los cambios en el mundo exterior repercutirán necesariamente en las experiencias internas.</w:t>
      </w:r>
      <w:r>
        <w:rPr>
          <w:rFonts w:ascii="Nirmala UI Semilight" w:hAnsi="Nirmala UI Semilight" w:cs="Nirmala UI Semilight"/>
          <w:bCs/>
          <w:sz w:val="28"/>
          <w:szCs w:val="28"/>
        </w:rPr>
        <w:t xml:space="preserve"> </w:t>
      </w:r>
    </w:p>
    <w:p w14:paraId="7E46A40A" w14:textId="3F9C962D" w:rsidR="00FC646E" w:rsidRDefault="00FC646E" w:rsidP="00FC646E">
      <w:pPr>
        <w:spacing w:after="120" w:line="276" w:lineRule="auto"/>
        <w:jc w:val="both"/>
        <w:rPr>
          <w:rFonts w:ascii="Nirmala UI Semilight" w:hAnsi="Nirmala UI Semilight" w:cs="Nirmala UI Semilight"/>
          <w:bCs/>
          <w:sz w:val="28"/>
          <w:szCs w:val="28"/>
        </w:rPr>
      </w:pPr>
      <w:r w:rsidRPr="002D51E7">
        <w:rPr>
          <w:rFonts w:ascii="Nirmala UI Semilight" w:hAnsi="Nirmala UI Semilight" w:cs="Nirmala UI Semilight"/>
          <w:bCs/>
          <w:sz w:val="28"/>
          <w:szCs w:val="28"/>
        </w:rPr>
        <w:t xml:space="preserve">La delincuencia </w:t>
      </w:r>
      <w:r w:rsidRPr="00BD6473">
        <w:rPr>
          <w:rFonts w:ascii="Nirmala UI Semilight" w:hAnsi="Nirmala UI Semilight" w:cs="Nirmala UI Semilight"/>
          <w:bCs/>
          <w:i/>
          <w:iCs/>
          <w:sz w:val="28"/>
          <w:szCs w:val="28"/>
        </w:rPr>
        <w:t>clasemediera</w:t>
      </w:r>
      <w:r w:rsidRPr="002D51E7">
        <w:rPr>
          <w:rFonts w:ascii="Nirmala UI Semilight" w:hAnsi="Nirmala UI Semilight" w:cs="Nirmala UI Semilight"/>
          <w:bCs/>
          <w:sz w:val="28"/>
          <w:szCs w:val="28"/>
        </w:rPr>
        <w:t xml:space="preserve"> y quienes la cometen siguen ausentes de muchos estudios sobre el desistimiento de la delincuencia, incluido </w:t>
      </w:r>
      <w:r w:rsidR="00BD6473">
        <w:rPr>
          <w:rFonts w:ascii="Nirmala UI Semilight" w:hAnsi="Nirmala UI Semilight" w:cs="Nirmala UI Semilight"/>
          <w:bCs/>
          <w:sz w:val="28"/>
          <w:szCs w:val="28"/>
        </w:rPr>
        <w:t>los</w:t>
      </w:r>
      <w:r w:rsidRPr="002D51E7">
        <w:rPr>
          <w:rFonts w:ascii="Nirmala UI Semilight" w:hAnsi="Nirmala UI Semilight" w:cs="Nirmala UI Semilight"/>
          <w:bCs/>
          <w:sz w:val="28"/>
          <w:szCs w:val="28"/>
        </w:rPr>
        <w:t xml:space="preserve"> reciente</w:t>
      </w:r>
      <w:r w:rsidR="00BD6473">
        <w:rPr>
          <w:rFonts w:ascii="Nirmala UI Semilight" w:hAnsi="Nirmala UI Semilight" w:cs="Nirmala UI Semilight"/>
          <w:bCs/>
          <w:sz w:val="28"/>
          <w:szCs w:val="28"/>
        </w:rPr>
        <w:t>s</w:t>
      </w:r>
      <w:r w:rsidRPr="002D51E7">
        <w:rPr>
          <w:rFonts w:ascii="Nirmala UI Semilight" w:hAnsi="Nirmala UI Semilight" w:cs="Nirmala UI Semilight"/>
          <w:bCs/>
          <w:sz w:val="28"/>
          <w:szCs w:val="28"/>
        </w:rPr>
        <w:t xml:space="preserve"> trabajo</w:t>
      </w:r>
      <w:r w:rsidR="00BD6473">
        <w:rPr>
          <w:rFonts w:ascii="Nirmala UI Semilight" w:hAnsi="Nirmala UI Semilight" w:cs="Nirmala UI Semilight"/>
          <w:bCs/>
          <w:sz w:val="28"/>
          <w:szCs w:val="28"/>
        </w:rPr>
        <w:t>s</w:t>
      </w:r>
      <w:r w:rsidRPr="002D51E7">
        <w:rPr>
          <w:rFonts w:ascii="Nirmala UI Semilight" w:hAnsi="Nirmala UI Semilight" w:cs="Nirmala UI Semilight"/>
          <w:bCs/>
          <w:sz w:val="28"/>
          <w:szCs w:val="28"/>
        </w:rPr>
        <w:t xml:space="preserve"> citado</w:t>
      </w:r>
      <w:r w:rsidR="00BD6473">
        <w:rPr>
          <w:rFonts w:ascii="Nirmala UI Semilight" w:hAnsi="Nirmala UI Semilight" w:cs="Nirmala UI Semilight"/>
          <w:bCs/>
          <w:sz w:val="28"/>
          <w:szCs w:val="28"/>
        </w:rPr>
        <w:t>s</w:t>
      </w:r>
      <w:r w:rsidRPr="002D51E7">
        <w:rPr>
          <w:rFonts w:ascii="Nirmala UI Semilight" w:hAnsi="Nirmala UI Semilight" w:cs="Nirmala UI Semilight"/>
          <w:bCs/>
          <w:sz w:val="28"/>
          <w:szCs w:val="28"/>
        </w:rPr>
        <w:t xml:space="preserve"> anteriormente.</w:t>
      </w:r>
      <w:r>
        <w:rPr>
          <w:rFonts w:ascii="Nirmala UI Semilight" w:hAnsi="Nirmala UI Semilight" w:cs="Nirmala UI Semilight"/>
          <w:bCs/>
          <w:sz w:val="28"/>
          <w:szCs w:val="28"/>
        </w:rPr>
        <w:t xml:space="preserve"> </w:t>
      </w:r>
      <w:r w:rsidRPr="002D51E7">
        <w:rPr>
          <w:rFonts w:ascii="Nirmala UI Semilight" w:hAnsi="Nirmala UI Semilight" w:cs="Nirmala UI Semilight"/>
          <w:bCs/>
          <w:sz w:val="28"/>
          <w:szCs w:val="28"/>
        </w:rPr>
        <w:t xml:space="preserve">La importancia de construir una identidad como alguien que no delinque es tan probable que sea </w:t>
      </w:r>
      <w:r w:rsidR="005855B4">
        <w:rPr>
          <w:rFonts w:ascii="Nirmala UI Semilight" w:hAnsi="Nirmala UI Semilight" w:cs="Nirmala UI Semilight"/>
          <w:bCs/>
          <w:sz w:val="28"/>
          <w:szCs w:val="28"/>
        </w:rPr>
        <w:t>igual de</w:t>
      </w:r>
      <w:r w:rsidRPr="002D51E7">
        <w:rPr>
          <w:rFonts w:ascii="Nirmala UI Semilight" w:hAnsi="Nirmala UI Semilight" w:cs="Nirmala UI Semilight"/>
          <w:bCs/>
          <w:sz w:val="28"/>
          <w:szCs w:val="28"/>
        </w:rPr>
        <w:t xml:space="preserve"> importante para alguien en </w:t>
      </w:r>
      <w:r w:rsidR="005855B4">
        <w:rPr>
          <w:rFonts w:ascii="Nirmala UI Semilight" w:hAnsi="Nirmala UI Semilight" w:cs="Nirmala UI Semilight"/>
          <w:bCs/>
          <w:sz w:val="28"/>
          <w:szCs w:val="28"/>
        </w:rPr>
        <w:t>una</w:t>
      </w:r>
      <w:r w:rsidRPr="002D51E7">
        <w:rPr>
          <w:rFonts w:ascii="Nirmala UI Semilight" w:hAnsi="Nirmala UI Semilight" w:cs="Nirmala UI Semilight"/>
          <w:bCs/>
          <w:sz w:val="28"/>
          <w:szCs w:val="28"/>
        </w:rPr>
        <w:t xml:space="preserve"> posición de </w:t>
      </w:r>
      <w:r w:rsidR="005855B4">
        <w:rPr>
          <w:rFonts w:ascii="Nirmala UI Semilight" w:hAnsi="Nirmala UI Semilight" w:cs="Nirmala UI Semilight"/>
          <w:bCs/>
          <w:sz w:val="28"/>
          <w:szCs w:val="28"/>
        </w:rPr>
        <w:t>bonanza económica y social</w:t>
      </w:r>
      <w:r w:rsidRPr="002D51E7">
        <w:rPr>
          <w:rFonts w:ascii="Nirmala UI Semilight" w:hAnsi="Nirmala UI Semilight" w:cs="Nirmala UI Semilight"/>
          <w:bCs/>
          <w:sz w:val="28"/>
          <w:szCs w:val="28"/>
        </w:rPr>
        <w:t xml:space="preserve"> como para cualquier otro delincuente. Las cuestiones relativas a quién se es y quién se puede ser no son patrimonio exclusivo de los delincuentes </w:t>
      </w:r>
      <w:r>
        <w:rPr>
          <w:rFonts w:ascii="Nirmala UI Semilight" w:hAnsi="Nirmala UI Semilight" w:cs="Nirmala UI Semilight"/>
          <w:bCs/>
          <w:sz w:val="28"/>
          <w:szCs w:val="28"/>
        </w:rPr>
        <w:t>“callejeros”</w:t>
      </w:r>
      <w:r w:rsidRPr="002D51E7">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2D51E7">
        <w:rPr>
          <w:rFonts w:ascii="Nirmala UI Semilight" w:hAnsi="Nirmala UI Semilight" w:cs="Nirmala UI Semilight"/>
          <w:bCs/>
          <w:sz w:val="28"/>
          <w:szCs w:val="28"/>
        </w:rPr>
        <w:t xml:space="preserve">Esta constatación, combinada con las preguntas de investigación anteriores, nos lleva a considerar cómo los </w:t>
      </w:r>
      <w:r w:rsidR="00631B08">
        <w:rPr>
          <w:rFonts w:ascii="Nirmala UI Semilight" w:hAnsi="Nirmala UI Semilight" w:cs="Nirmala UI Semilight"/>
          <w:bCs/>
          <w:sz w:val="28"/>
          <w:szCs w:val="28"/>
        </w:rPr>
        <w:t>jóvenes de clase media y alta</w:t>
      </w:r>
      <w:r w:rsidRPr="002D51E7">
        <w:rPr>
          <w:rFonts w:ascii="Nirmala UI Semilight" w:hAnsi="Nirmala UI Semilight" w:cs="Nirmala UI Semilight"/>
          <w:bCs/>
          <w:sz w:val="28"/>
          <w:szCs w:val="28"/>
        </w:rPr>
        <w:t xml:space="preserve"> llegan a ver su delito, cómo su visión influye en la forma en que posteriormente viven sus vidas y cómo su visión de lo que </w:t>
      </w:r>
      <w:r>
        <w:rPr>
          <w:rFonts w:ascii="Nirmala UI Semilight" w:hAnsi="Nirmala UI Semilight" w:cs="Nirmala UI Semilight"/>
          <w:bCs/>
          <w:sz w:val="28"/>
          <w:szCs w:val="28"/>
        </w:rPr>
        <w:t>“</w:t>
      </w:r>
      <w:r w:rsidRPr="002D51E7">
        <w:rPr>
          <w:rFonts w:ascii="Nirmala UI Semilight" w:hAnsi="Nirmala UI Semilight" w:cs="Nirmala UI Semilight"/>
          <w:bCs/>
          <w:sz w:val="28"/>
          <w:szCs w:val="28"/>
        </w:rPr>
        <w:t>son</w:t>
      </w:r>
      <w:r>
        <w:rPr>
          <w:rFonts w:ascii="Nirmala UI Semilight" w:hAnsi="Nirmala UI Semilight" w:cs="Nirmala UI Semilight"/>
          <w:bCs/>
          <w:sz w:val="28"/>
          <w:szCs w:val="28"/>
        </w:rPr>
        <w:t>”</w:t>
      </w:r>
      <w:r w:rsidRPr="002D51E7">
        <w:rPr>
          <w:rFonts w:ascii="Nirmala UI Semilight" w:hAnsi="Nirmala UI Semilight" w:cs="Nirmala UI Semilight"/>
          <w:bCs/>
          <w:sz w:val="28"/>
          <w:szCs w:val="28"/>
        </w:rPr>
        <w:t xml:space="preserve"> cambia como resultado de sus experiencias </w:t>
      </w:r>
      <w:r w:rsidR="00D96A66">
        <w:rPr>
          <w:rFonts w:ascii="Nirmala UI Semilight" w:hAnsi="Nirmala UI Semilight" w:cs="Nirmala UI Semilight"/>
          <w:bCs/>
          <w:sz w:val="28"/>
          <w:szCs w:val="28"/>
        </w:rPr>
        <w:t>delictivas</w:t>
      </w:r>
      <w:r w:rsidRPr="002D51E7">
        <w:rPr>
          <w:rFonts w:ascii="Nirmala UI Semilight" w:hAnsi="Nirmala UI Semilight" w:cs="Nirmala UI Semilight"/>
          <w:bCs/>
          <w:sz w:val="28"/>
          <w:szCs w:val="28"/>
        </w:rPr>
        <w:t xml:space="preserve"> y después de ella</w:t>
      </w:r>
      <w:r w:rsidR="00D96A66">
        <w:rPr>
          <w:rFonts w:ascii="Nirmala UI Semilight" w:hAnsi="Nirmala UI Semilight" w:cs="Nirmala UI Semilight"/>
          <w:bCs/>
          <w:sz w:val="28"/>
          <w:szCs w:val="28"/>
        </w:rPr>
        <w:t>s</w:t>
      </w:r>
      <w:r w:rsidRPr="002D51E7">
        <w:rPr>
          <w:rFonts w:ascii="Nirmala UI Semilight" w:hAnsi="Nirmala UI Semilight" w:cs="Nirmala UI Semilight"/>
          <w:bCs/>
          <w:sz w:val="28"/>
          <w:szCs w:val="28"/>
        </w:rPr>
        <w:t xml:space="preserve">.  </w:t>
      </w:r>
    </w:p>
    <w:p w14:paraId="2E1A621C" w14:textId="12B55E68" w:rsidR="002A7E2E" w:rsidRDefault="002A7E2E" w:rsidP="002A7E2E">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Una fenomenología</w:t>
      </w:r>
      <w:r w:rsidRPr="00F22854">
        <w:rPr>
          <w:rFonts w:ascii="Nirmala UI Semilight" w:hAnsi="Nirmala UI Semilight" w:cs="Nirmala UI Semilight"/>
          <w:bCs/>
          <w:sz w:val="28"/>
          <w:szCs w:val="28"/>
        </w:rPr>
        <w:t xml:space="preserve"> del desistimiento de la delincuencia es el estudio del </w:t>
      </w:r>
      <w:r w:rsidRPr="002A7E2E">
        <w:rPr>
          <w:rFonts w:ascii="Nirmala UI Semilight" w:hAnsi="Nirmala UI Semilight" w:cs="Nirmala UI Semilight"/>
          <w:bCs/>
          <w:i/>
          <w:iCs/>
          <w:sz w:val="28"/>
          <w:szCs w:val="28"/>
        </w:rPr>
        <w:t>cambio</w:t>
      </w:r>
      <w:r w:rsidRPr="00F22854">
        <w:rPr>
          <w:rFonts w:ascii="Nirmala UI Semilight" w:hAnsi="Nirmala UI Semilight" w:cs="Nirmala UI Semilight"/>
          <w:bCs/>
          <w:sz w:val="28"/>
          <w:szCs w:val="28"/>
        </w:rPr>
        <w:t xml:space="preserve">. No sólo los cambios de comportamiento, sino también la forma en que dichos cambios se sustentan, preceden (y proceden) de cambios de identidad. </w:t>
      </w:r>
      <w:r w:rsidRPr="0047793E">
        <w:rPr>
          <w:rFonts w:ascii="Nirmala UI Semilight" w:hAnsi="Nirmala UI Semilight" w:cs="Nirmala UI Semilight"/>
          <w:bCs/>
          <w:sz w:val="28"/>
          <w:szCs w:val="28"/>
        </w:rPr>
        <w:t>Estos cambios están relacionados con los esfuerzos de los individuos por construir una narrativa vital coherente y significativa, construyendo el pasado para tener en cuenta el presente y el futuro</w:t>
      </w:r>
      <w:r w:rsidR="00C10818">
        <w:rPr>
          <w:rStyle w:val="Refdenotaalpie"/>
          <w:rFonts w:ascii="Nirmala UI Semilight" w:hAnsi="Nirmala UI Semilight" w:cs="Nirmala UI Semilight"/>
          <w:bCs/>
          <w:sz w:val="28"/>
          <w:szCs w:val="28"/>
        </w:rPr>
        <w:footnoteReference w:id="4"/>
      </w:r>
      <w:r w:rsidRPr="0047793E">
        <w:rPr>
          <w:rFonts w:ascii="Nirmala UI Semilight" w:hAnsi="Nirmala UI Semilight" w:cs="Nirmala UI Semilight"/>
          <w:bCs/>
          <w:sz w:val="28"/>
          <w:szCs w:val="28"/>
        </w:rPr>
        <w:t xml:space="preserve">. A </w:t>
      </w:r>
      <w:r w:rsidRPr="0047793E">
        <w:rPr>
          <w:rFonts w:ascii="Nirmala UI Semilight" w:hAnsi="Nirmala UI Semilight" w:cs="Nirmala UI Semilight"/>
          <w:bCs/>
          <w:sz w:val="28"/>
          <w:szCs w:val="28"/>
        </w:rPr>
        <w:lastRenderedPageBreak/>
        <w:t>ello se une su reacción ante los cambios que se producen en su mundo y que l</w:t>
      </w:r>
      <w:r>
        <w:rPr>
          <w:rFonts w:ascii="Nirmala UI Semilight" w:hAnsi="Nirmala UI Semilight" w:cs="Nirmala UI Semilight"/>
          <w:bCs/>
          <w:sz w:val="28"/>
          <w:szCs w:val="28"/>
        </w:rPr>
        <w:t>o</w:t>
      </w:r>
      <w:r w:rsidRPr="0047793E">
        <w:rPr>
          <w:rFonts w:ascii="Nirmala UI Semilight" w:hAnsi="Nirmala UI Semilight" w:cs="Nirmala UI Semilight"/>
          <w:bCs/>
          <w:sz w:val="28"/>
          <w:szCs w:val="28"/>
        </w:rPr>
        <w:t xml:space="preserve">s afectan. Son los posibles catalizadores del cambio </w:t>
      </w:r>
      <w:r>
        <w:rPr>
          <w:rFonts w:ascii="Nirmala UI Semilight" w:hAnsi="Nirmala UI Semilight" w:cs="Nirmala UI Semilight"/>
          <w:bCs/>
          <w:sz w:val="28"/>
          <w:szCs w:val="28"/>
        </w:rPr>
        <w:t>“</w:t>
      </w:r>
      <w:r w:rsidRPr="0047793E">
        <w:rPr>
          <w:rFonts w:ascii="Nirmala UI Semilight" w:hAnsi="Nirmala UI Semilight" w:cs="Nirmala UI Semilight"/>
          <w:bCs/>
          <w:sz w:val="28"/>
          <w:szCs w:val="28"/>
        </w:rPr>
        <w:t>interno</w:t>
      </w:r>
      <w:r>
        <w:rPr>
          <w:rFonts w:ascii="Nirmala UI Semilight" w:hAnsi="Nirmala UI Semilight" w:cs="Nirmala UI Semilight"/>
          <w:bCs/>
          <w:sz w:val="28"/>
          <w:szCs w:val="28"/>
        </w:rPr>
        <w:t>”</w:t>
      </w:r>
      <w:r w:rsidRPr="0047793E">
        <w:rPr>
          <w:rFonts w:ascii="Nirmala UI Semilight" w:hAnsi="Nirmala UI Semilight" w:cs="Nirmala UI Semilight"/>
          <w:bCs/>
          <w:sz w:val="28"/>
          <w:szCs w:val="28"/>
        </w:rPr>
        <w:t>, pero también sus consecuencias.</w:t>
      </w:r>
      <w:r>
        <w:rPr>
          <w:rFonts w:ascii="Nirmala UI Semilight" w:hAnsi="Nirmala UI Semilight" w:cs="Nirmala UI Semilight"/>
          <w:bCs/>
          <w:sz w:val="28"/>
          <w:szCs w:val="28"/>
        </w:rPr>
        <w:t xml:space="preserve"> </w:t>
      </w:r>
      <w:r w:rsidRPr="0047793E">
        <w:rPr>
          <w:rFonts w:ascii="Nirmala UI Semilight" w:hAnsi="Nirmala UI Semilight" w:cs="Nirmala UI Semilight"/>
          <w:bCs/>
          <w:sz w:val="28"/>
          <w:szCs w:val="28"/>
        </w:rPr>
        <w:t>Los delincuentes</w:t>
      </w:r>
      <w:r>
        <w:rPr>
          <w:rFonts w:ascii="Nirmala UI Semilight" w:hAnsi="Nirmala UI Semilight" w:cs="Nirmala UI Semilight"/>
          <w:bCs/>
          <w:sz w:val="28"/>
          <w:szCs w:val="28"/>
        </w:rPr>
        <w:t>—</w:t>
      </w:r>
      <w:r w:rsidRPr="0047793E">
        <w:rPr>
          <w:rFonts w:ascii="Nirmala UI Semilight" w:hAnsi="Nirmala UI Semilight" w:cs="Nirmala UI Semilight"/>
          <w:bCs/>
          <w:sz w:val="28"/>
          <w:szCs w:val="28"/>
        </w:rPr>
        <w:t>como todos los actores sociales</w:t>
      </w:r>
      <w:r>
        <w:rPr>
          <w:rFonts w:ascii="Nirmala UI Semilight" w:hAnsi="Nirmala UI Semilight" w:cs="Nirmala UI Semilight"/>
          <w:bCs/>
          <w:sz w:val="28"/>
          <w:szCs w:val="28"/>
        </w:rPr>
        <w:t>—</w:t>
      </w:r>
      <w:r w:rsidRPr="0047793E">
        <w:rPr>
          <w:rFonts w:ascii="Nirmala UI Semilight" w:hAnsi="Nirmala UI Semilight" w:cs="Nirmala UI Semilight"/>
          <w:bCs/>
          <w:sz w:val="28"/>
          <w:szCs w:val="28"/>
        </w:rPr>
        <w:t>buscan situaciones que se ajusten a su sentido predominante de quiénes son (Kotarba y Bentley, 19</w:t>
      </w:r>
      <w:r w:rsidR="00294564">
        <w:rPr>
          <w:rFonts w:ascii="Nirmala UI Semilight" w:hAnsi="Nirmala UI Semilight" w:cs="Nirmala UI Semilight"/>
          <w:bCs/>
          <w:sz w:val="28"/>
          <w:szCs w:val="28"/>
        </w:rPr>
        <w:t>8</w:t>
      </w:r>
      <w:r w:rsidRPr="0047793E">
        <w:rPr>
          <w:rFonts w:ascii="Nirmala UI Semilight" w:hAnsi="Nirmala UI Semilight" w:cs="Nirmala UI Semilight"/>
          <w:bCs/>
          <w:sz w:val="28"/>
          <w:szCs w:val="28"/>
        </w:rPr>
        <w:t xml:space="preserve">8). </w:t>
      </w:r>
      <w:r>
        <w:rPr>
          <w:rFonts w:ascii="Nirmala UI Semilight" w:hAnsi="Nirmala UI Semilight" w:cs="Nirmala UI Semilight"/>
          <w:bCs/>
          <w:sz w:val="28"/>
          <w:szCs w:val="28"/>
        </w:rPr>
        <w:t xml:space="preserve"> </w:t>
      </w:r>
    </w:p>
    <w:p w14:paraId="166D684A" w14:textId="77777777" w:rsidR="00FC646E" w:rsidRDefault="00FC646E" w:rsidP="00711E00">
      <w:pPr>
        <w:spacing w:after="120" w:line="276" w:lineRule="auto"/>
        <w:jc w:val="both"/>
        <w:rPr>
          <w:rFonts w:ascii="Nirmala UI Semilight" w:hAnsi="Nirmala UI Semilight" w:cs="Nirmala UI Semilight"/>
          <w:bCs/>
          <w:sz w:val="28"/>
          <w:szCs w:val="28"/>
        </w:rPr>
      </w:pPr>
    </w:p>
    <w:p w14:paraId="727917B7" w14:textId="610E6ADA" w:rsidR="00B16025" w:rsidRPr="00BA74DC" w:rsidRDefault="00AE63F2" w:rsidP="00711E00">
      <w:pPr>
        <w:spacing w:after="120" w:line="276" w:lineRule="auto"/>
        <w:jc w:val="both"/>
        <w:rPr>
          <w:rFonts w:ascii="Nirmala UI Semilight" w:hAnsi="Nirmala UI Semilight" w:cs="Nirmala UI Semilight"/>
          <w:bCs/>
          <w:i/>
          <w:iCs/>
          <w:sz w:val="28"/>
          <w:szCs w:val="28"/>
        </w:rPr>
      </w:pPr>
      <w:r w:rsidRPr="00BA74DC">
        <w:rPr>
          <w:rFonts w:ascii="Nirmala UI Semilight" w:hAnsi="Nirmala UI Semilight" w:cs="Nirmala UI Semilight"/>
          <w:bCs/>
          <w:i/>
          <w:iCs/>
          <w:sz w:val="28"/>
          <w:szCs w:val="28"/>
        </w:rPr>
        <w:t>Utiliza</w:t>
      </w:r>
      <w:r w:rsidR="00317797" w:rsidRPr="00BA74DC">
        <w:rPr>
          <w:rFonts w:ascii="Nirmala UI Semilight" w:hAnsi="Nirmala UI Semilight" w:cs="Nirmala UI Semilight"/>
          <w:bCs/>
          <w:i/>
          <w:iCs/>
          <w:sz w:val="28"/>
          <w:szCs w:val="28"/>
        </w:rPr>
        <w:t>ndo</w:t>
      </w:r>
      <w:r w:rsidRPr="00BA74DC">
        <w:rPr>
          <w:rFonts w:ascii="Nirmala UI Semilight" w:hAnsi="Nirmala UI Semilight" w:cs="Nirmala UI Semilight"/>
          <w:bCs/>
          <w:i/>
          <w:iCs/>
          <w:sz w:val="28"/>
          <w:szCs w:val="28"/>
        </w:rPr>
        <w:t xml:space="preserve"> la sociología existencial</w:t>
      </w:r>
    </w:p>
    <w:p w14:paraId="35C1106E" w14:textId="1201FD7D" w:rsidR="00AE63F2" w:rsidRDefault="00DF023E" w:rsidP="00711E00">
      <w:pPr>
        <w:spacing w:after="120" w:line="276" w:lineRule="auto"/>
        <w:jc w:val="both"/>
        <w:rPr>
          <w:rFonts w:ascii="Nirmala UI Semilight" w:hAnsi="Nirmala UI Semilight" w:cs="Nirmala UI Semilight"/>
          <w:bCs/>
          <w:sz w:val="28"/>
          <w:szCs w:val="28"/>
        </w:rPr>
      </w:pPr>
      <w:r w:rsidRPr="00D32A37">
        <w:rPr>
          <w:rFonts w:ascii="Nirmala UI Semilight" w:hAnsi="Nirmala UI Semilight" w:cs="Nirmala UI Semilight"/>
          <w:bCs/>
          <w:sz w:val="28"/>
          <w:szCs w:val="28"/>
        </w:rPr>
        <w:t xml:space="preserve">El pensamiento existencial, sobre todo en las obras de Kierkegaard (1844), Sartre (1958) y Heidegger (1926), hace hincapié en las dificultades de vivir en el mundo, de sentir, de elegir en función de los sentimientos y de construir el sentido en función de esas elecciones. Caracteriza la existencia como un empeño orientado hacia el futuro y como la lucha por alcanzar la auténtica mismidad, siendo la existencia la fusión del pensamiento, el sentimiento y la acción (Macquarrie, 1972). Algunos de los conceptos desarrollados en la filosofía existencial se han aplicado a la comprensión de las interacciones cotidianas de los individuos con el mundo. Dicha </w:t>
      </w:r>
      <w:r>
        <w:rPr>
          <w:rFonts w:ascii="Nirmala UI Semilight" w:hAnsi="Nirmala UI Semilight" w:cs="Nirmala UI Semilight"/>
          <w:bCs/>
          <w:sz w:val="28"/>
          <w:szCs w:val="28"/>
        </w:rPr>
        <w:t>“</w:t>
      </w:r>
      <w:r w:rsidRPr="00D32A37">
        <w:rPr>
          <w:rFonts w:ascii="Nirmala UI Semilight" w:hAnsi="Nirmala UI Semilight" w:cs="Nirmala UI Semilight"/>
          <w:bCs/>
          <w:sz w:val="28"/>
          <w:szCs w:val="28"/>
        </w:rPr>
        <w:t>sociología existencial</w:t>
      </w:r>
      <w:r>
        <w:rPr>
          <w:rFonts w:ascii="Nirmala UI Semilight" w:hAnsi="Nirmala UI Semilight" w:cs="Nirmala UI Semilight"/>
          <w:bCs/>
          <w:sz w:val="28"/>
          <w:szCs w:val="28"/>
        </w:rPr>
        <w:t>”</w:t>
      </w:r>
      <w:r w:rsidRPr="00D32A37">
        <w:rPr>
          <w:rFonts w:ascii="Nirmala UI Semilight" w:hAnsi="Nirmala UI Semilight" w:cs="Nirmala UI Semilight"/>
          <w:bCs/>
          <w:sz w:val="28"/>
          <w:szCs w:val="28"/>
        </w:rPr>
        <w:t xml:space="preserve"> (Douglas y Johnson, 1977; Kotarba y Fontana, 1984 y Kotarba y Johnson, 2002) privilegia la comprensión del esfuerzo que exige la existencia humana dentro de un mundo social en constante cambio.</w:t>
      </w:r>
    </w:p>
    <w:p w14:paraId="360EED79" w14:textId="77777777" w:rsidR="0047572F" w:rsidRDefault="0047572F" w:rsidP="0047572F">
      <w:pPr>
        <w:spacing w:after="120" w:line="276" w:lineRule="auto"/>
        <w:jc w:val="both"/>
        <w:rPr>
          <w:rFonts w:ascii="Nirmala UI Semilight" w:hAnsi="Nirmala UI Semilight" w:cs="Nirmala UI Semilight"/>
          <w:bCs/>
          <w:sz w:val="28"/>
          <w:szCs w:val="28"/>
        </w:rPr>
      </w:pPr>
      <w:r w:rsidRPr="005E2955">
        <w:rPr>
          <w:rFonts w:ascii="Nirmala UI Semilight" w:hAnsi="Nirmala UI Semilight" w:cs="Nirmala UI Semilight"/>
          <w:bCs/>
          <w:sz w:val="28"/>
          <w:szCs w:val="28"/>
        </w:rPr>
        <w:t>Como sugiere lo anterior, la sociología existencial se centra en la interacción de los individuos con el mundo en que viven, reconociendo que participamos activamente en la creación del mundo tal y como lo entendemos (Fontana, 1984).</w:t>
      </w:r>
      <w:r>
        <w:rPr>
          <w:rFonts w:ascii="Nirmala UI Semilight" w:hAnsi="Nirmala UI Semilight" w:cs="Nirmala UI Semilight"/>
          <w:bCs/>
          <w:sz w:val="28"/>
          <w:szCs w:val="28"/>
        </w:rPr>
        <w:t xml:space="preserve"> </w:t>
      </w:r>
      <w:r w:rsidRPr="009648A4">
        <w:rPr>
          <w:rFonts w:ascii="Nirmala UI Semilight" w:hAnsi="Nirmala UI Semilight" w:cs="Nirmala UI Semilight"/>
          <w:bCs/>
          <w:sz w:val="28"/>
          <w:szCs w:val="28"/>
        </w:rPr>
        <w:t xml:space="preserve">Esto se refiere a los encuentros que son </w:t>
      </w:r>
      <w:r w:rsidRPr="009648A4">
        <w:rPr>
          <w:rFonts w:ascii="Nirmala UI Semilight" w:hAnsi="Nirmala UI Semilight" w:cs="Nirmala UI Semilight"/>
          <w:bCs/>
          <w:sz w:val="28"/>
          <w:szCs w:val="28"/>
        </w:rPr>
        <w:lastRenderedPageBreak/>
        <w:t>relevantes para nosotros, el significado que damos a las experiencias que tenemos y nuestras respuestas al cambio en nuestro sentido de quiénes somos en el mundo (Douglas, 1984).</w:t>
      </w:r>
      <w:r>
        <w:rPr>
          <w:rFonts w:ascii="Nirmala UI Semilight" w:hAnsi="Nirmala UI Semilight" w:cs="Nirmala UI Semilight"/>
          <w:bCs/>
          <w:sz w:val="28"/>
          <w:szCs w:val="28"/>
        </w:rPr>
        <w:t xml:space="preserve"> </w:t>
      </w:r>
      <w:r w:rsidRPr="009648A4">
        <w:rPr>
          <w:rFonts w:ascii="Nirmala UI Semilight" w:hAnsi="Nirmala UI Semilight" w:cs="Nirmala UI Semilight"/>
          <w:bCs/>
          <w:sz w:val="28"/>
          <w:szCs w:val="28"/>
        </w:rPr>
        <w:t>La sociología existencial, en particular, aborda la naturaleza orientada al futuro de la existencia, en la que nuestro sentido del yo se despliega constantemente en respuesta a las experiencias que tiene (Douglas, 1984).</w:t>
      </w:r>
      <w:r>
        <w:rPr>
          <w:rFonts w:ascii="Nirmala UI Semilight" w:hAnsi="Nirmala UI Semilight" w:cs="Nirmala UI Semilight"/>
          <w:bCs/>
          <w:sz w:val="28"/>
          <w:szCs w:val="28"/>
        </w:rPr>
        <w:t xml:space="preserve"> </w:t>
      </w:r>
      <w:r w:rsidRPr="009648A4">
        <w:rPr>
          <w:rFonts w:ascii="Nirmala UI Semilight" w:hAnsi="Nirmala UI Semilight" w:cs="Nirmala UI Semilight"/>
          <w:bCs/>
          <w:sz w:val="28"/>
          <w:szCs w:val="28"/>
        </w:rPr>
        <w:t>Dentro de estas experiencias son importantes las emociones que suscita la interacción con el mundo (Clark, 2002).</w:t>
      </w:r>
      <w:r>
        <w:rPr>
          <w:rFonts w:ascii="Nirmala UI Semilight" w:hAnsi="Nirmala UI Semilight" w:cs="Nirmala UI Semilight"/>
          <w:bCs/>
          <w:sz w:val="28"/>
          <w:szCs w:val="28"/>
        </w:rPr>
        <w:t xml:space="preserve"> </w:t>
      </w:r>
      <w:r w:rsidRPr="009648A4">
        <w:rPr>
          <w:rFonts w:ascii="Nirmala UI Semilight" w:hAnsi="Nirmala UI Semilight" w:cs="Nirmala UI Semilight"/>
          <w:bCs/>
          <w:sz w:val="28"/>
          <w:szCs w:val="28"/>
        </w:rPr>
        <w:t xml:space="preserve">La forma en que </w:t>
      </w:r>
      <w:r>
        <w:rPr>
          <w:rFonts w:ascii="Nirmala UI Semilight" w:hAnsi="Nirmala UI Semilight" w:cs="Nirmala UI Semilight"/>
          <w:bCs/>
          <w:sz w:val="28"/>
          <w:szCs w:val="28"/>
        </w:rPr>
        <w:t>“</w:t>
      </w:r>
      <w:r w:rsidRPr="009648A4">
        <w:rPr>
          <w:rFonts w:ascii="Nirmala UI Semilight" w:hAnsi="Nirmala UI Semilight" w:cs="Nirmala UI Semilight"/>
          <w:bCs/>
          <w:sz w:val="28"/>
          <w:szCs w:val="28"/>
        </w:rPr>
        <w:t>sentimos</w:t>
      </w:r>
      <w:r>
        <w:rPr>
          <w:rFonts w:ascii="Nirmala UI Semilight" w:hAnsi="Nirmala UI Semilight" w:cs="Nirmala UI Semilight"/>
          <w:bCs/>
          <w:sz w:val="28"/>
          <w:szCs w:val="28"/>
        </w:rPr>
        <w:t>”</w:t>
      </w:r>
      <w:r w:rsidRPr="009648A4">
        <w:rPr>
          <w:rFonts w:ascii="Nirmala UI Semilight" w:hAnsi="Nirmala UI Semilight" w:cs="Nirmala UI Semilight"/>
          <w:bCs/>
          <w:sz w:val="28"/>
          <w:szCs w:val="28"/>
        </w:rPr>
        <w:t xml:space="preserve"> determinados encuentros y comportamientos nos proporciona información importante para darles sentido y saber quiénes somos.</w:t>
      </w:r>
    </w:p>
    <w:p w14:paraId="3850AD03" w14:textId="324E781A" w:rsidR="00AF6B12" w:rsidRDefault="00AF6B12" w:rsidP="00AF6B12">
      <w:pPr>
        <w:spacing w:after="120" w:line="276" w:lineRule="auto"/>
        <w:jc w:val="both"/>
        <w:rPr>
          <w:rFonts w:ascii="Nirmala UI Semilight" w:hAnsi="Nirmala UI Semilight" w:cs="Nirmala UI Semilight"/>
          <w:bCs/>
          <w:sz w:val="28"/>
          <w:szCs w:val="28"/>
        </w:rPr>
      </w:pPr>
      <w:r w:rsidRPr="009E4630">
        <w:rPr>
          <w:rFonts w:ascii="Nirmala UI Semilight" w:hAnsi="Nirmala UI Semilight" w:cs="Nirmala UI Semilight"/>
          <w:bCs/>
          <w:sz w:val="28"/>
          <w:szCs w:val="28"/>
        </w:rPr>
        <w:t xml:space="preserve">Así pues, la sociología existencial ofrece un marco para conceptualizar las experiencias de los </w:t>
      </w:r>
      <w:r>
        <w:rPr>
          <w:rFonts w:ascii="Nirmala UI Semilight" w:hAnsi="Nirmala UI Semilight" w:cs="Nirmala UI Semilight"/>
          <w:bCs/>
          <w:sz w:val="28"/>
          <w:szCs w:val="28"/>
        </w:rPr>
        <w:t>jóvenes de clase media que delinquen y</w:t>
      </w:r>
      <w:r w:rsidRPr="009E4630">
        <w:rPr>
          <w:rFonts w:ascii="Nirmala UI Semilight" w:hAnsi="Nirmala UI Semilight" w:cs="Nirmala UI Semilight"/>
          <w:bCs/>
          <w:sz w:val="28"/>
          <w:szCs w:val="28"/>
        </w:rPr>
        <w:t xml:space="preserve"> que posteriormente desisten de delinquir.</w:t>
      </w:r>
      <w:r>
        <w:rPr>
          <w:rFonts w:ascii="Nirmala UI Semilight" w:hAnsi="Nirmala UI Semilight" w:cs="Nirmala UI Semilight"/>
          <w:bCs/>
          <w:sz w:val="28"/>
          <w:szCs w:val="28"/>
        </w:rPr>
        <w:t xml:space="preserve"> </w:t>
      </w:r>
      <w:r w:rsidRPr="009E4630">
        <w:rPr>
          <w:rFonts w:ascii="Nirmala UI Semilight" w:hAnsi="Nirmala UI Semilight" w:cs="Nirmala UI Semilight"/>
          <w:bCs/>
          <w:sz w:val="28"/>
          <w:szCs w:val="28"/>
        </w:rPr>
        <w:t xml:space="preserve">Convertirse en </w:t>
      </w:r>
      <w:r>
        <w:rPr>
          <w:rFonts w:ascii="Nirmala UI Semilight" w:hAnsi="Nirmala UI Semilight" w:cs="Nirmala UI Semilight"/>
          <w:bCs/>
          <w:sz w:val="28"/>
          <w:szCs w:val="28"/>
        </w:rPr>
        <w:t>“</w:t>
      </w:r>
      <w:r w:rsidRPr="009E4630">
        <w:rPr>
          <w:rFonts w:ascii="Nirmala UI Semilight" w:hAnsi="Nirmala UI Semilight" w:cs="Nirmala UI Semilight"/>
          <w:bCs/>
          <w:sz w:val="28"/>
          <w:szCs w:val="28"/>
        </w:rPr>
        <w:t>delincuente</w:t>
      </w:r>
      <w:r>
        <w:rPr>
          <w:rFonts w:ascii="Nirmala UI Semilight" w:hAnsi="Nirmala UI Semilight" w:cs="Nirmala UI Semilight"/>
          <w:bCs/>
          <w:sz w:val="28"/>
          <w:szCs w:val="28"/>
        </w:rPr>
        <w:t>”</w:t>
      </w:r>
      <w:r w:rsidRPr="009E4630">
        <w:rPr>
          <w:rFonts w:ascii="Nirmala UI Semilight" w:hAnsi="Nirmala UI Semilight" w:cs="Nirmala UI Semilight"/>
          <w:bCs/>
          <w:sz w:val="28"/>
          <w:szCs w:val="28"/>
        </w:rPr>
        <w:t>, tanto si se acepta la etiqueta como si no, representa un cambio en uno mismo basado en la nueva identidad que confiere la etiqueta de delincuente</w:t>
      </w:r>
      <w:r w:rsidR="00061F34">
        <w:rPr>
          <w:rFonts w:ascii="Nirmala UI Semilight" w:hAnsi="Nirmala UI Semilight" w:cs="Nirmala UI Semilight"/>
          <w:bCs/>
          <w:sz w:val="28"/>
          <w:szCs w:val="28"/>
        </w:rPr>
        <w:t>, pero ¿si la acción, aun cuando d</w:t>
      </w:r>
      <w:r w:rsidR="00535FA4">
        <w:rPr>
          <w:rFonts w:ascii="Nirmala UI Semilight" w:hAnsi="Nirmala UI Semilight" w:cs="Nirmala UI Semilight"/>
          <w:bCs/>
          <w:sz w:val="28"/>
          <w:szCs w:val="28"/>
        </w:rPr>
        <w:t>elictiva, no es considerada como delito?</w:t>
      </w:r>
      <w:r>
        <w:rPr>
          <w:rFonts w:ascii="Nirmala UI Semilight" w:hAnsi="Nirmala UI Semilight" w:cs="Nirmala UI Semilight"/>
          <w:bCs/>
          <w:sz w:val="28"/>
          <w:szCs w:val="28"/>
        </w:rPr>
        <w:t xml:space="preserve"> </w:t>
      </w:r>
      <w:r w:rsidRPr="009E4630">
        <w:rPr>
          <w:rFonts w:ascii="Nirmala UI Semilight" w:hAnsi="Nirmala UI Semilight" w:cs="Nirmala UI Semilight"/>
          <w:bCs/>
          <w:sz w:val="28"/>
          <w:szCs w:val="28"/>
        </w:rPr>
        <w:t>La sociología existencial proporciona un marco para analizar cómo reaccionan las personas desplazadas ante los encuentros sociales, gestionándolos, manipulándolos y reflexionando sobre ellos por la relevancia que tienen.</w:t>
      </w:r>
      <w:r>
        <w:rPr>
          <w:rFonts w:ascii="Nirmala UI Semilight" w:hAnsi="Nirmala UI Semilight" w:cs="Nirmala UI Semilight"/>
          <w:bCs/>
          <w:sz w:val="28"/>
          <w:szCs w:val="28"/>
        </w:rPr>
        <w:t xml:space="preserve"> </w:t>
      </w:r>
      <w:r w:rsidRPr="00F0059A">
        <w:rPr>
          <w:rFonts w:ascii="Nirmala UI Semilight" w:hAnsi="Nirmala UI Semilight" w:cs="Nirmala UI Semilight"/>
          <w:bCs/>
          <w:sz w:val="28"/>
          <w:szCs w:val="28"/>
        </w:rPr>
        <w:t>Pensar existencialmente sobre el desistimiento significa reconocer que las emociones suscitadas por los encuentros inherentes a los procesos de desistimiento y reasentamiento son una parte importante de la forma en que los individuos piensan y atribuyen significado a lo que les está ocurriendo.</w:t>
      </w:r>
      <w:r>
        <w:rPr>
          <w:rFonts w:ascii="Nirmala UI Semilight" w:hAnsi="Nirmala UI Semilight" w:cs="Nirmala UI Semilight"/>
          <w:bCs/>
          <w:sz w:val="28"/>
          <w:szCs w:val="28"/>
        </w:rPr>
        <w:t xml:space="preserve"> </w:t>
      </w:r>
    </w:p>
    <w:p w14:paraId="0A9CAC32" w14:textId="03A0F3E5" w:rsidR="004C18B6" w:rsidRDefault="00D02193" w:rsidP="004C18B6">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E</w:t>
      </w:r>
      <w:r w:rsidR="004F6F46">
        <w:rPr>
          <w:rFonts w:ascii="Nirmala UI Semilight" w:hAnsi="Nirmala UI Semilight" w:cs="Nirmala UI Semilight"/>
          <w:bCs/>
          <w:sz w:val="28"/>
          <w:szCs w:val="28"/>
        </w:rPr>
        <w:t xml:space="preserve">ste marco </w:t>
      </w:r>
      <w:r w:rsidR="006925A1">
        <w:rPr>
          <w:rFonts w:ascii="Nirmala UI Semilight" w:hAnsi="Nirmala UI Semilight" w:cs="Nirmala UI Semilight"/>
          <w:bCs/>
          <w:sz w:val="28"/>
          <w:szCs w:val="28"/>
        </w:rPr>
        <w:t>teórico</w:t>
      </w:r>
      <w:r w:rsidR="00043391">
        <w:rPr>
          <w:rFonts w:ascii="Nirmala UI Semilight" w:hAnsi="Nirmala UI Semilight" w:cs="Nirmala UI Semilight"/>
          <w:bCs/>
          <w:sz w:val="28"/>
          <w:szCs w:val="28"/>
        </w:rPr>
        <w:t xml:space="preserve"> nos permite comprender </w:t>
      </w:r>
      <w:r>
        <w:rPr>
          <w:rFonts w:ascii="Nirmala UI Semilight" w:hAnsi="Nirmala UI Semilight" w:cs="Nirmala UI Semilight"/>
          <w:bCs/>
          <w:sz w:val="28"/>
          <w:szCs w:val="28"/>
        </w:rPr>
        <w:t>por qué</w:t>
      </w:r>
      <w:r w:rsidR="00043391">
        <w:rPr>
          <w:rFonts w:ascii="Nirmala UI Semilight" w:hAnsi="Nirmala UI Semilight" w:cs="Nirmala UI Semilight"/>
          <w:bCs/>
          <w:sz w:val="28"/>
          <w:szCs w:val="28"/>
        </w:rPr>
        <w:t xml:space="preserve"> frente a un origen delictuoso similar algunos jóvenes continúan por la senda de</w:t>
      </w:r>
      <w:r w:rsidR="00C42F3E">
        <w:rPr>
          <w:rFonts w:ascii="Nirmala UI Semilight" w:hAnsi="Nirmala UI Semilight" w:cs="Nirmala UI Semilight"/>
          <w:bCs/>
          <w:sz w:val="28"/>
          <w:szCs w:val="28"/>
        </w:rPr>
        <w:t xml:space="preserve"> las economías ilegales y otros desisten de ella. Evidentemente </w:t>
      </w:r>
      <w:r w:rsidR="00C42F3E" w:rsidRPr="00286232">
        <w:rPr>
          <w:rFonts w:ascii="Nirmala UI Semilight" w:hAnsi="Nirmala UI Semilight" w:cs="Nirmala UI Semilight"/>
          <w:bCs/>
          <w:i/>
          <w:iCs/>
          <w:sz w:val="28"/>
          <w:szCs w:val="28"/>
        </w:rPr>
        <w:t>no lo hacen porque unos están irrespetados y los otros logra</w:t>
      </w:r>
      <w:r w:rsidR="00286232">
        <w:rPr>
          <w:rFonts w:ascii="Nirmala UI Semilight" w:hAnsi="Nirmala UI Semilight" w:cs="Nirmala UI Semilight"/>
          <w:bCs/>
          <w:i/>
          <w:iCs/>
          <w:sz w:val="28"/>
          <w:szCs w:val="28"/>
        </w:rPr>
        <w:t>ron</w:t>
      </w:r>
      <w:r w:rsidR="00C42F3E" w:rsidRPr="00286232">
        <w:rPr>
          <w:rFonts w:ascii="Nirmala UI Semilight" w:hAnsi="Nirmala UI Semilight" w:cs="Nirmala UI Semilight"/>
          <w:bCs/>
          <w:i/>
          <w:iCs/>
          <w:sz w:val="28"/>
          <w:szCs w:val="28"/>
        </w:rPr>
        <w:t xml:space="preserve"> </w:t>
      </w:r>
      <w:r w:rsidR="00286232">
        <w:rPr>
          <w:rFonts w:ascii="Nirmala UI Semilight" w:hAnsi="Nirmala UI Semilight" w:cs="Nirmala UI Semilight"/>
          <w:bCs/>
          <w:i/>
          <w:iCs/>
          <w:sz w:val="28"/>
          <w:szCs w:val="28"/>
        </w:rPr>
        <w:t>ser respetados</w:t>
      </w:r>
      <w:r w:rsidR="00C42F3E">
        <w:rPr>
          <w:rFonts w:ascii="Nirmala UI Semilight" w:hAnsi="Nirmala UI Semilight" w:cs="Nirmala UI Semilight"/>
          <w:bCs/>
          <w:sz w:val="28"/>
          <w:szCs w:val="28"/>
        </w:rPr>
        <w:t xml:space="preserve">. Lo que se pone en juego son otras </w:t>
      </w:r>
      <w:r w:rsidR="006925A1">
        <w:rPr>
          <w:rFonts w:ascii="Nirmala UI Semilight" w:hAnsi="Nirmala UI Semilight" w:cs="Nirmala UI Semilight"/>
          <w:bCs/>
          <w:sz w:val="28"/>
          <w:szCs w:val="28"/>
        </w:rPr>
        <w:t xml:space="preserve">sensaciones y sentimientos. </w:t>
      </w:r>
      <w:r w:rsidR="004C18B6">
        <w:rPr>
          <w:rFonts w:ascii="Nirmala UI Semilight" w:hAnsi="Nirmala UI Semilight" w:cs="Nirmala UI Semilight"/>
          <w:bCs/>
          <w:sz w:val="28"/>
          <w:szCs w:val="28"/>
        </w:rPr>
        <w:t xml:space="preserve">En este sentido, </w:t>
      </w:r>
      <w:r w:rsidR="004C18B6">
        <w:rPr>
          <w:rFonts w:ascii="Nirmala UI Semilight" w:hAnsi="Nirmala UI Semilight" w:cs="Nirmala UI Semilight"/>
          <w:bCs/>
          <w:sz w:val="28"/>
          <w:szCs w:val="28"/>
        </w:rPr>
        <w:lastRenderedPageBreak/>
        <w:t xml:space="preserve">hacia el final trataré de </w:t>
      </w:r>
      <w:r w:rsidR="004C18B6" w:rsidRPr="001920AC">
        <w:rPr>
          <w:rFonts w:ascii="Nirmala UI Semilight" w:hAnsi="Nirmala UI Semilight" w:cs="Nirmala UI Semilight"/>
          <w:bCs/>
          <w:sz w:val="28"/>
          <w:szCs w:val="28"/>
        </w:rPr>
        <w:t>demostra</w:t>
      </w:r>
      <w:r w:rsidR="004C18B6">
        <w:rPr>
          <w:rFonts w:ascii="Nirmala UI Semilight" w:hAnsi="Nirmala UI Semilight" w:cs="Nirmala UI Semilight"/>
          <w:bCs/>
          <w:sz w:val="28"/>
          <w:szCs w:val="28"/>
        </w:rPr>
        <w:t>r</w:t>
      </w:r>
      <w:r w:rsidR="004C18B6" w:rsidRPr="001920AC">
        <w:rPr>
          <w:rFonts w:ascii="Nirmala UI Semilight" w:hAnsi="Nirmala UI Semilight" w:cs="Nirmala UI Semilight"/>
          <w:bCs/>
          <w:sz w:val="28"/>
          <w:szCs w:val="28"/>
        </w:rPr>
        <w:t xml:space="preserve"> que una consideración de las explicaciones tradicionales del desistimiento parece inadecuada para considerar el desistimiento de la delincuencia </w:t>
      </w:r>
      <w:r w:rsidR="004C18B6">
        <w:rPr>
          <w:rFonts w:ascii="Nirmala UI Semilight" w:hAnsi="Nirmala UI Semilight" w:cs="Nirmala UI Semilight"/>
          <w:bCs/>
          <w:sz w:val="28"/>
          <w:szCs w:val="28"/>
        </w:rPr>
        <w:t xml:space="preserve">por parte de </w:t>
      </w:r>
      <w:r w:rsidR="00EA3458">
        <w:rPr>
          <w:rFonts w:ascii="Nirmala UI Semilight" w:hAnsi="Nirmala UI Semilight" w:cs="Nirmala UI Semilight"/>
          <w:bCs/>
          <w:sz w:val="28"/>
          <w:szCs w:val="28"/>
        </w:rPr>
        <w:t>los jóvenes de clase media y alta</w:t>
      </w:r>
      <w:r w:rsidR="004C18B6" w:rsidRPr="001920AC">
        <w:rPr>
          <w:rFonts w:ascii="Nirmala UI Semilight" w:hAnsi="Nirmala UI Semilight" w:cs="Nirmala UI Semilight"/>
          <w:bCs/>
          <w:sz w:val="28"/>
          <w:szCs w:val="28"/>
        </w:rPr>
        <w:t>.</w:t>
      </w:r>
      <w:r w:rsidR="004C18B6">
        <w:rPr>
          <w:rFonts w:ascii="Nirmala UI Semilight" w:hAnsi="Nirmala UI Semilight" w:cs="Nirmala UI Semilight"/>
          <w:bCs/>
          <w:sz w:val="28"/>
          <w:szCs w:val="28"/>
        </w:rPr>
        <w:t xml:space="preserve"> </w:t>
      </w:r>
      <w:r w:rsidR="004C18B6" w:rsidRPr="001920AC">
        <w:rPr>
          <w:rFonts w:ascii="Nirmala UI Semilight" w:hAnsi="Nirmala UI Semilight" w:cs="Nirmala UI Semilight"/>
          <w:bCs/>
          <w:sz w:val="28"/>
          <w:szCs w:val="28"/>
        </w:rPr>
        <w:t xml:space="preserve">Se argumenta que prestar atención a la experiencia subjetiva de desistir del delito ayudará a situar las experiencias de </w:t>
      </w:r>
      <w:r w:rsidR="00EC6038">
        <w:rPr>
          <w:rFonts w:ascii="Nirmala UI Semilight" w:hAnsi="Nirmala UI Semilight" w:cs="Nirmala UI Semilight"/>
          <w:bCs/>
          <w:sz w:val="28"/>
          <w:szCs w:val="28"/>
        </w:rPr>
        <w:t>estos jóvenes en</w:t>
      </w:r>
      <w:r w:rsidR="004C18B6" w:rsidRPr="001920AC">
        <w:rPr>
          <w:rFonts w:ascii="Nirmala UI Semilight" w:hAnsi="Nirmala UI Semilight" w:cs="Nirmala UI Semilight"/>
          <w:bCs/>
          <w:sz w:val="28"/>
          <w:szCs w:val="28"/>
        </w:rPr>
        <w:t xml:space="preserve"> los debates actuales sobre el desistimiento.</w:t>
      </w:r>
    </w:p>
    <w:p w14:paraId="3C6DCF11" w14:textId="1CB26E52" w:rsidR="005C14CB" w:rsidRDefault="004D40A8" w:rsidP="005C14CB">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 xml:space="preserve">Ciertas investigaciones </w:t>
      </w:r>
      <w:r w:rsidRPr="006D1DDB">
        <w:rPr>
          <w:rFonts w:ascii="Nirmala UI Semilight" w:hAnsi="Nirmala UI Semilight" w:cs="Nirmala UI Semilight"/>
          <w:bCs/>
          <w:sz w:val="28"/>
          <w:szCs w:val="28"/>
        </w:rPr>
        <w:t xml:space="preserve">ponen de relieve que los individuos de alto estatus pueden ser tan propensos a la delincuencia como cualquier otro, pero introducen en su ámbito el problema de que conceptos como la </w:t>
      </w:r>
      <w:r w:rsidRPr="009C0846">
        <w:rPr>
          <w:rFonts w:ascii="Nirmala UI Semilight" w:hAnsi="Nirmala UI Semilight" w:cs="Nirmala UI Semilight"/>
          <w:bCs/>
          <w:i/>
          <w:iCs/>
          <w:sz w:val="28"/>
          <w:szCs w:val="28"/>
        </w:rPr>
        <w:t>respetabilidad</w:t>
      </w:r>
      <w:r w:rsidRPr="006D1DDB">
        <w:rPr>
          <w:rFonts w:ascii="Nirmala UI Semilight" w:hAnsi="Nirmala UI Semilight" w:cs="Nirmala UI Semilight"/>
          <w:bCs/>
          <w:sz w:val="28"/>
          <w:szCs w:val="28"/>
        </w:rPr>
        <w:t xml:space="preserve"> se resisten a ser medidos (Croall, 2001).</w:t>
      </w:r>
      <w:r w:rsidR="00396AFD">
        <w:rPr>
          <w:rFonts w:ascii="Nirmala UI Semilight" w:hAnsi="Nirmala UI Semilight" w:cs="Nirmala UI Semilight"/>
          <w:bCs/>
          <w:sz w:val="28"/>
          <w:szCs w:val="28"/>
        </w:rPr>
        <w:t xml:space="preserve"> </w:t>
      </w:r>
      <w:r w:rsidR="00D675A1" w:rsidRPr="00A822F8">
        <w:rPr>
          <w:rFonts w:ascii="Nirmala UI Semilight" w:hAnsi="Nirmala UI Semilight" w:cs="Nirmala UI Semilight"/>
          <w:bCs/>
          <w:sz w:val="28"/>
          <w:szCs w:val="28"/>
        </w:rPr>
        <w:t>La relación de la delincuencia de cuello blanco con observaciones más generales sobre el comportamiento delictivo es, en el mejor de los casos, desigual, y cada vez se considera más que las teorías generales de la delincuencia tienen un uso limitado para comprender la delincuencia de cuello blanco (véanse Croall, 2001</w:t>
      </w:r>
      <w:r w:rsidR="00D675A1">
        <w:rPr>
          <w:rFonts w:ascii="Nirmala UI Semilight" w:hAnsi="Nirmala UI Semilight" w:cs="Nirmala UI Semilight"/>
          <w:bCs/>
          <w:sz w:val="28"/>
          <w:szCs w:val="28"/>
        </w:rPr>
        <w:t>:</w:t>
      </w:r>
      <w:r w:rsidR="00D675A1" w:rsidRPr="00A822F8">
        <w:rPr>
          <w:rFonts w:ascii="Nirmala UI Semilight" w:hAnsi="Nirmala UI Semilight" w:cs="Nirmala UI Semilight"/>
          <w:bCs/>
          <w:sz w:val="28"/>
          <w:szCs w:val="28"/>
        </w:rPr>
        <w:t xml:space="preserve"> 79-101 y Nelken, 2012 para un análisis de la relación entre la delincuencia de cuello blanco y las teorías criminológicas más generales).</w:t>
      </w:r>
      <w:r w:rsidR="00AA04BB">
        <w:rPr>
          <w:rFonts w:ascii="Nirmala UI Semilight" w:hAnsi="Nirmala UI Semilight" w:cs="Nirmala UI Semilight"/>
          <w:bCs/>
          <w:sz w:val="28"/>
          <w:szCs w:val="28"/>
        </w:rPr>
        <w:t xml:space="preserve"> </w:t>
      </w:r>
      <w:r w:rsidR="00AA04BB" w:rsidRPr="00CC0CC0">
        <w:rPr>
          <w:rFonts w:ascii="Nirmala UI Semilight" w:hAnsi="Nirmala UI Semilight" w:cs="Nirmala UI Semilight"/>
          <w:bCs/>
          <w:sz w:val="28"/>
          <w:szCs w:val="28"/>
        </w:rPr>
        <w:t>El estereotipo popular considera al delincuente de cuello blanco como la antítesis del delincuente callejero.</w:t>
      </w:r>
      <w:r w:rsidR="00AA04BB">
        <w:rPr>
          <w:rFonts w:ascii="Nirmala UI Semilight" w:hAnsi="Nirmala UI Semilight" w:cs="Nirmala UI Semilight"/>
          <w:bCs/>
          <w:sz w:val="28"/>
          <w:szCs w:val="28"/>
        </w:rPr>
        <w:t xml:space="preserve"> </w:t>
      </w:r>
      <w:r w:rsidR="00AA04BB" w:rsidRPr="00CC0CC0">
        <w:rPr>
          <w:rFonts w:ascii="Nirmala UI Semilight" w:hAnsi="Nirmala UI Semilight" w:cs="Nirmala UI Semilight"/>
          <w:bCs/>
          <w:sz w:val="28"/>
          <w:szCs w:val="28"/>
        </w:rPr>
        <w:t xml:space="preserve">Mientras que la delincuencia se asocia a jóvenes varones que experimentan un alto grado de desventaja (Weisburd </w:t>
      </w:r>
      <w:r w:rsidR="00AA04BB" w:rsidRPr="00CC0CC0">
        <w:rPr>
          <w:rFonts w:ascii="Nirmala UI Semilight" w:hAnsi="Nirmala UI Semilight" w:cs="Nirmala UI Semilight"/>
          <w:bCs/>
          <w:i/>
          <w:iCs/>
          <w:sz w:val="28"/>
          <w:szCs w:val="28"/>
        </w:rPr>
        <w:t>et al.</w:t>
      </w:r>
      <w:r w:rsidR="00AA04BB" w:rsidRPr="00CC0CC0">
        <w:rPr>
          <w:rFonts w:ascii="Nirmala UI Semilight" w:hAnsi="Nirmala UI Semilight" w:cs="Nirmala UI Semilight"/>
          <w:bCs/>
          <w:sz w:val="28"/>
          <w:szCs w:val="28"/>
        </w:rPr>
        <w:t xml:space="preserve">, 1991), la delincuencia de cuello blanco </w:t>
      </w:r>
      <w:r w:rsidR="00AA04BB">
        <w:rPr>
          <w:rFonts w:ascii="Nirmala UI Semilight" w:hAnsi="Nirmala UI Semilight" w:cs="Nirmala UI Semilight"/>
          <w:bCs/>
          <w:sz w:val="28"/>
          <w:szCs w:val="28"/>
        </w:rPr>
        <w:t>“</w:t>
      </w:r>
      <w:r w:rsidR="00AA04BB" w:rsidRPr="00CC0CC0">
        <w:rPr>
          <w:rFonts w:ascii="Nirmala UI Semilight" w:hAnsi="Nirmala UI Semilight" w:cs="Nirmala UI Semilight"/>
          <w:bCs/>
          <w:sz w:val="28"/>
          <w:szCs w:val="28"/>
        </w:rPr>
        <w:t>se ha relacionado con hombres mayores favorecidos procedentes de hogares estables que viven en comunidades bien cuidadas</w:t>
      </w:r>
      <w:r w:rsidR="00AA04BB">
        <w:rPr>
          <w:rFonts w:ascii="Nirmala UI Semilight" w:hAnsi="Nirmala UI Semilight" w:cs="Nirmala UI Semilight"/>
          <w:bCs/>
          <w:sz w:val="28"/>
          <w:szCs w:val="28"/>
        </w:rPr>
        <w:t>”</w:t>
      </w:r>
      <w:r w:rsidR="00AA04BB" w:rsidRPr="00CC0CC0">
        <w:rPr>
          <w:rFonts w:ascii="Nirmala UI Semilight" w:hAnsi="Nirmala UI Semilight" w:cs="Nirmala UI Semilight"/>
          <w:bCs/>
          <w:sz w:val="28"/>
          <w:szCs w:val="28"/>
        </w:rPr>
        <w:t xml:space="preserve"> (Weisburd </w:t>
      </w:r>
      <w:r w:rsidR="00AA04BB" w:rsidRPr="00CC0CC0">
        <w:rPr>
          <w:rFonts w:ascii="Nirmala UI Semilight" w:hAnsi="Nirmala UI Semilight" w:cs="Nirmala UI Semilight"/>
          <w:bCs/>
          <w:i/>
          <w:iCs/>
          <w:sz w:val="28"/>
          <w:szCs w:val="28"/>
        </w:rPr>
        <w:t>et al.</w:t>
      </w:r>
      <w:r w:rsidR="00AA04BB" w:rsidRPr="00CC0CC0">
        <w:rPr>
          <w:rFonts w:ascii="Nirmala UI Semilight" w:hAnsi="Nirmala UI Semilight" w:cs="Nirmala UI Semilight"/>
          <w:bCs/>
          <w:sz w:val="28"/>
          <w:szCs w:val="28"/>
        </w:rPr>
        <w:t>, 1991: 47).</w:t>
      </w:r>
      <w:r w:rsidR="005C14CB">
        <w:rPr>
          <w:rFonts w:ascii="Nirmala UI Semilight" w:hAnsi="Nirmala UI Semilight" w:cs="Nirmala UI Semilight"/>
          <w:bCs/>
          <w:sz w:val="28"/>
          <w:szCs w:val="28"/>
        </w:rPr>
        <w:t xml:space="preserve"> </w:t>
      </w:r>
      <w:r w:rsidR="005C14CB" w:rsidRPr="005E3AD6">
        <w:rPr>
          <w:rFonts w:ascii="Nirmala UI Semilight" w:hAnsi="Nirmala UI Semilight" w:cs="Nirmala UI Semilight"/>
          <w:bCs/>
          <w:sz w:val="28"/>
          <w:szCs w:val="28"/>
        </w:rPr>
        <w:t xml:space="preserve">Además, los delincuentes de cuello blanco se acercan mucho más, en términos de características demográficas, a los individuos no desviados, estando frecuentemente casados y con un estatus socioeconómico </w:t>
      </w:r>
      <w:r w:rsidR="005C14CB">
        <w:rPr>
          <w:rFonts w:ascii="Nirmala UI Semilight" w:hAnsi="Nirmala UI Semilight" w:cs="Nirmala UI Semilight"/>
          <w:bCs/>
          <w:sz w:val="28"/>
          <w:szCs w:val="28"/>
        </w:rPr>
        <w:t>“</w:t>
      </w:r>
      <w:r w:rsidR="005C14CB" w:rsidRPr="005E3AD6">
        <w:rPr>
          <w:rFonts w:ascii="Nirmala UI Semilight" w:hAnsi="Nirmala UI Semilight" w:cs="Nirmala UI Semilight"/>
          <w:bCs/>
          <w:sz w:val="28"/>
          <w:szCs w:val="28"/>
        </w:rPr>
        <w:t>medio</w:t>
      </w:r>
      <w:r w:rsidR="005C14CB">
        <w:rPr>
          <w:rFonts w:ascii="Nirmala UI Semilight" w:hAnsi="Nirmala UI Semilight" w:cs="Nirmala UI Semilight"/>
          <w:bCs/>
          <w:sz w:val="28"/>
          <w:szCs w:val="28"/>
        </w:rPr>
        <w:t>”</w:t>
      </w:r>
      <w:r w:rsidR="005C14CB" w:rsidRPr="005E3AD6">
        <w:rPr>
          <w:rFonts w:ascii="Nirmala UI Semilight" w:hAnsi="Nirmala UI Semilight" w:cs="Nirmala UI Semilight"/>
          <w:bCs/>
          <w:sz w:val="28"/>
          <w:szCs w:val="28"/>
        </w:rPr>
        <w:t xml:space="preserve"> (Levi, 1988).</w:t>
      </w:r>
      <w:r w:rsidR="005C14CB">
        <w:rPr>
          <w:rFonts w:ascii="Nirmala UI Semilight" w:hAnsi="Nirmala UI Semilight" w:cs="Nirmala UI Semilight"/>
          <w:bCs/>
          <w:sz w:val="28"/>
          <w:szCs w:val="28"/>
        </w:rPr>
        <w:t xml:space="preserve"> </w:t>
      </w:r>
      <w:r w:rsidR="005C14CB" w:rsidRPr="005D1A2A">
        <w:rPr>
          <w:rFonts w:ascii="Nirmala UI Semilight" w:hAnsi="Nirmala UI Semilight" w:cs="Nirmala UI Semilight"/>
          <w:bCs/>
          <w:sz w:val="28"/>
          <w:szCs w:val="28"/>
        </w:rPr>
        <w:t xml:space="preserve">Benson y Kerley (2001) hacen observaciones similares. En resumen, los delincuentes de cuello blanco suelen ser </w:t>
      </w:r>
      <w:r w:rsidR="005C14CB">
        <w:rPr>
          <w:rFonts w:ascii="Nirmala UI Semilight" w:hAnsi="Nirmala UI Semilight" w:cs="Nirmala UI Semilight"/>
          <w:bCs/>
          <w:sz w:val="28"/>
          <w:szCs w:val="28"/>
        </w:rPr>
        <w:t>“</w:t>
      </w:r>
      <w:r w:rsidR="005C14CB" w:rsidRPr="005D1A2A">
        <w:rPr>
          <w:rFonts w:ascii="Nirmala UI Semilight" w:hAnsi="Nirmala UI Semilight" w:cs="Nirmala UI Semilight"/>
          <w:bCs/>
          <w:sz w:val="28"/>
          <w:szCs w:val="28"/>
        </w:rPr>
        <w:t>gente corriente que lleva una vida de clase media</w:t>
      </w:r>
      <w:r w:rsidR="005C14CB">
        <w:rPr>
          <w:rFonts w:ascii="Nirmala UI Semilight" w:hAnsi="Nirmala UI Semilight" w:cs="Nirmala UI Semilight"/>
          <w:bCs/>
          <w:sz w:val="28"/>
          <w:szCs w:val="28"/>
        </w:rPr>
        <w:t>”</w:t>
      </w:r>
      <w:r w:rsidR="005C14CB" w:rsidRPr="005D1A2A">
        <w:rPr>
          <w:rFonts w:ascii="Nirmala UI Semilight" w:hAnsi="Nirmala UI Semilight" w:cs="Nirmala UI Semilight"/>
          <w:bCs/>
          <w:sz w:val="28"/>
          <w:szCs w:val="28"/>
        </w:rPr>
        <w:t xml:space="preserve"> (Benson y Kerley, 2001</w:t>
      </w:r>
      <w:r w:rsidR="00BD2CE1">
        <w:rPr>
          <w:rFonts w:ascii="Nirmala UI Semilight" w:hAnsi="Nirmala UI Semilight" w:cs="Nirmala UI Semilight"/>
          <w:bCs/>
          <w:sz w:val="28"/>
          <w:szCs w:val="28"/>
        </w:rPr>
        <w:t>:</w:t>
      </w:r>
      <w:r w:rsidR="005C14CB" w:rsidRPr="005D1A2A">
        <w:rPr>
          <w:rFonts w:ascii="Nirmala UI Semilight" w:hAnsi="Nirmala UI Semilight" w:cs="Nirmala UI Semilight"/>
          <w:bCs/>
          <w:sz w:val="28"/>
          <w:szCs w:val="28"/>
        </w:rPr>
        <w:t xml:space="preserve"> 129).</w:t>
      </w:r>
      <w:r w:rsidR="00920135">
        <w:rPr>
          <w:rFonts w:ascii="Nirmala UI Semilight" w:hAnsi="Nirmala UI Semilight" w:cs="Nirmala UI Semilight"/>
          <w:bCs/>
          <w:sz w:val="28"/>
          <w:szCs w:val="28"/>
        </w:rPr>
        <w:t xml:space="preserve"> </w:t>
      </w:r>
      <w:r w:rsidR="002424B1">
        <w:rPr>
          <w:rFonts w:ascii="Nirmala UI Semilight" w:hAnsi="Nirmala UI Semilight" w:cs="Nirmala UI Semilight"/>
          <w:bCs/>
          <w:sz w:val="28"/>
          <w:szCs w:val="28"/>
        </w:rPr>
        <w:t xml:space="preserve">Lo que aquí considero como “delincuentes de clase media” es un sujeto intermedio entre el </w:t>
      </w:r>
      <w:r w:rsidR="00F84726">
        <w:rPr>
          <w:rFonts w:ascii="Nirmala UI Semilight" w:hAnsi="Nirmala UI Semilight" w:cs="Nirmala UI Semilight"/>
          <w:bCs/>
          <w:sz w:val="28"/>
          <w:szCs w:val="28"/>
        </w:rPr>
        <w:t xml:space="preserve">criminal callejero y el criminal de cuello blanco (empresarial). </w:t>
      </w:r>
    </w:p>
    <w:p w14:paraId="764DCE10" w14:textId="5BADA560" w:rsidR="00AA04BB" w:rsidRDefault="00AA04BB" w:rsidP="00AA04BB">
      <w:pPr>
        <w:spacing w:after="120" w:line="276" w:lineRule="auto"/>
        <w:jc w:val="both"/>
        <w:rPr>
          <w:rFonts w:ascii="Nirmala UI Semilight" w:hAnsi="Nirmala UI Semilight" w:cs="Nirmala UI Semilight"/>
          <w:bCs/>
          <w:sz w:val="28"/>
          <w:szCs w:val="28"/>
        </w:rPr>
      </w:pPr>
    </w:p>
    <w:p w14:paraId="62BC093C" w14:textId="415DC625" w:rsidR="004329CF" w:rsidRPr="00643A34" w:rsidRDefault="00643A34" w:rsidP="00AA04BB">
      <w:pPr>
        <w:spacing w:after="120" w:line="276" w:lineRule="auto"/>
        <w:jc w:val="both"/>
        <w:rPr>
          <w:rFonts w:ascii="Nirmala UI Semilight" w:hAnsi="Nirmala UI Semilight" w:cs="Nirmala UI Semilight"/>
          <w:bCs/>
          <w:i/>
          <w:iCs/>
          <w:sz w:val="28"/>
          <w:szCs w:val="28"/>
        </w:rPr>
      </w:pPr>
      <w:r>
        <w:rPr>
          <w:rFonts w:ascii="Nirmala UI Semilight" w:hAnsi="Nirmala UI Semilight" w:cs="Nirmala UI Semilight"/>
          <w:bCs/>
          <w:i/>
          <w:iCs/>
          <w:sz w:val="28"/>
          <w:szCs w:val="28"/>
        </w:rPr>
        <w:t>¿Qué es el desistimiento?</w:t>
      </w:r>
    </w:p>
    <w:p w14:paraId="4AAF9D96" w14:textId="3BCAB417" w:rsidR="0046220D" w:rsidRDefault="0046220D" w:rsidP="00AA04BB">
      <w:pPr>
        <w:spacing w:after="120" w:line="276" w:lineRule="auto"/>
        <w:jc w:val="both"/>
        <w:rPr>
          <w:rFonts w:ascii="Nirmala UI Semilight" w:hAnsi="Nirmala UI Semilight" w:cs="Nirmala UI Semilight"/>
          <w:bCs/>
          <w:sz w:val="28"/>
          <w:szCs w:val="28"/>
        </w:rPr>
      </w:pPr>
      <w:r w:rsidRPr="00466710">
        <w:rPr>
          <w:rFonts w:ascii="Nirmala UI Semilight" w:hAnsi="Nirmala UI Semilight" w:cs="Nirmala UI Semilight"/>
          <w:bCs/>
          <w:sz w:val="28"/>
          <w:szCs w:val="28"/>
        </w:rPr>
        <w:t>En las dos últimas décadas se ha producido un aumento constante de la investigación sobre el desistimiento.</w:t>
      </w:r>
      <w:r>
        <w:rPr>
          <w:rFonts w:ascii="Nirmala UI Semilight" w:hAnsi="Nirmala UI Semilight" w:cs="Nirmala UI Semilight"/>
          <w:bCs/>
          <w:sz w:val="28"/>
          <w:szCs w:val="28"/>
        </w:rPr>
        <w:t xml:space="preserve"> </w:t>
      </w:r>
      <w:r w:rsidRPr="00466710">
        <w:rPr>
          <w:rFonts w:ascii="Nirmala UI Semilight" w:hAnsi="Nirmala UI Semilight" w:cs="Nirmala UI Semilight"/>
          <w:bCs/>
          <w:sz w:val="28"/>
          <w:szCs w:val="28"/>
        </w:rPr>
        <w:t xml:space="preserve">Numerosos estudios han dado lugar a ediciones especiales de revistas (Farrall y Maruna, 2004), artículos de revisión (Laub y Sampson, 2001) y </w:t>
      </w:r>
      <w:r>
        <w:rPr>
          <w:rFonts w:ascii="Nirmala UI Semilight" w:hAnsi="Nirmala UI Semilight" w:cs="Nirmala UI Semilight"/>
          <w:bCs/>
          <w:sz w:val="28"/>
          <w:szCs w:val="28"/>
        </w:rPr>
        <w:t>compilaciones</w:t>
      </w:r>
      <w:r w:rsidRPr="00466710">
        <w:rPr>
          <w:rFonts w:ascii="Nirmala UI Semilight" w:hAnsi="Nirmala UI Semilight" w:cs="Nirmala UI Semilight"/>
          <w:bCs/>
          <w:sz w:val="28"/>
          <w:szCs w:val="28"/>
        </w:rPr>
        <w:t xml:space="preserve"> (Farrall, 2000).</w:t>
      </w:r>
      <w:r>
        <w:rPr>
          <w:rFonts w:ascii="Nirmala UI Semilight" w:hAnsi="Nirmala UI Semilight" w:cs="Nirmala UI Semilight"/>
          <w:bCs/>
          <w:sz w:val="28"/>
          <w:szCs w:val="28"/>
        </w:rPr>
        <w:t xml:space="preserve"> </w:t>
      </w:r>
      <w:r w:rsidRPr="00466710">
        <w:rPr>
          <w:rFonts w:ascii="Nirmala UI Semilight" w:hAnsi="Nirmala UI Semilight" w:cs="Nirmala UI Semilight"/>
          <w:bCs/>
          <w:sz w:val="28"/>
          <w:szCs w:val="28"/>
        </w:rPr>
        <w:t xml:space="preserve">Incluso un somero vistazo a este </w:t>
      </w:r>
      <w:r w:rsidR="001D392F">
        <w:rPr>
          <w:rFonts w:ascii="Nirmala UI Semilight" w:hAnsi="Nirmala UI Semilight" w:cs="Nirmala UI Semilight"/>
          <w:bCs/>
          <w:sz w:val="28"/>
          <w:szCs w:val="28"/>
        </w:rPr>
        <w:t>conjunto de literatura</w:t>
      </w:r>
      <w:r w:rsidRPr="00466710">
        <w:rPr>
          <w:rFonts w:ascii="Nirmala UI Semilight" w:hAnsi="Nirmala UI Semilight" w:cs="Nirmala UI Semilight"/>
          <w:bCs/>
          <w:sz w:val="28"/>
          <w:szCs w:val="28"/>
        </w:rPr>
        <w:t xml:space="preserve"> revela que el estudio del desistimiento lleva inherentes muchas cuestiones conceptuales, de definición y de medición.</w:t>
      </w:r>
      <w:r>
        <w:rPr>
          <w:rFonts w:ascii="Nirmala UI Semilight" w:hAnsi="Nirmala UI Semilight" w:cs="Nirmala UI Semilight"/>
          <w:bCs/>
          <w:sz w:val="28"/>
          <w:szCs w:val="28"/>
        </w:rPr>
        <w:t xml:space="preserve"> </w:t>
      </w:r>
      <w:r w:rsidRPr="00466710">
        <w:rPr>
          <w:rFonts w:ascii="Nirmala UI Semilight" w:hAnsi="Nirmala UI Semilight" w:cs="Nirmala UI Semilight"/>
          <w:bCs/>
          <w:sz w:val="28"/>
          <w:szCs w:val="28"/>
        </w:rPr>
        <w:t xml:space="preserve">En otros lugares se ofrecen panorámicas de este campo (Laub y Sampson, 2001; Farrall </w:t>
      </w:r>
      <w:r w:rsidRPr="00466710">
        <w:rPr>
          <w:rFonts w:ascii="Nirmala UI Semilight" w:hAnsi="Nirmala UI Semilight" w:cs="Nirmala UI Semilight"/>
          <w:bCs/>
          <w:i/>
          <w:iCs/>
          <w:sz w:val="28"/>
          <w:szCs w:val="28"/>
        </w:rPr>
        <w:t>et al.</w:t>
      </w:r>
      <w:r w:rsidRPr="00466710">
        <w:rPr>
          <w:rFonts w:ascii="Nirmala UI Semilight" w:hAnsi="Nirmala UI Semilight" w:cs="Nirmala UI Semilight"/>
          <w:bCs/>
          <w:sz w:val="28"/>
          <w:szCs w:val="28"/>
        </w:rPr>
        <w:t>, 2014). La siguiente revisión se centra en los aspectos del desistimiento más relevantes para el estudio de</w:t>
      </w:r>
      <w:r>
        <w:rPr>
          <w:rFonts w:ascii="Nirmala UI Semilight" w:hAnsi="Nirmala UI Semilight" w:cs="Nirmala UI Semilight"/>
          <w:bCs/>
          <w:sz w:val="28"/>
          <w:szCs w:val="28"/>
        </w:rPr>
        <w:t>l desistimiento de los jóvenes de clase media o alta</w:t>
      </w:r>
      <w:r w:rsidRPr="00466710">
        <w:rPr>
          <w:rFonts w:ascii="Nirmala UI Semilight" w:hAnsi="Nirmala UI Semilight" w:cs="Nirmala UI Semilight"/>
          <w:bCs/>
          <w:sz w:val="28"/>
          <w:szCs w:val="28"/>
        </w:rPr>
        <w:t>.</w:t>
      </w:r>
    </w:p>
    <w:p w14:paraId="399FF656" w14:textId="77777777" w:rsidR="00C301E8" w:rsidRDefault="00C301E8" w:rsidP="00C301E8">
      <w:pPr>
        <w:spacing w:after="120" w:line="276" w:lineRule="auto"/>
        <w:jc w:val="both"/>
        <w:rPr>
          <w:rFonts w:ascii="Nirmala UI Semilight" w:hAnsi="Nirmala UI Semilight" w:cs="Nirmala UI Semilight"/>
          <w:bCs/>
          <w:sz w:val="28"/>
          <w:szCs w:val="28"/>
        </w:rPr>
      </w:pPr>
      <w:r w:rsidRPr="00974F8A">
        <w:rPr>
          <w:rFonts w:ascii="Nirmala UI Semilight" w:hAnsi="Nirmala UI Semilight" w:cs="Nirmala UI Semilight"/>
          <w:bCs/>
          <w:sz w:val="28"/>
          <w:szCs w:val="28"/>
        </w:rPr>
        <w:t xml:space="preserve">Los intentos de identificar el desistimiento deben tener en cuenta la realidad del comportamiento observado en los delincuentes. La mayoría de las personas que podrían considerarse delincuentes pasan gran parte de su tiempo sin delinquir (por ejemplo, Clarke y Cornish, 1985) y las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pausas</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en una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carrera</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delictiva pueden ser muy importantes (Barnett </w:t>
      </w:r>
      <w:r w:rsidRPr="00974F8A">
        <w:rPr>
          <w:rFonts w:ascii="Nirmala UI Semilight" w:hAnsi="Nirmala UI Semilight" w:cs="Nirmala UI Semilight"/>
          <w:bCs/>
          <w:i/>
          <w:iCs/>
          <w:sz w:val="28"/>
          <w:szCs w:val="28"/>
        </w:rPr>
        <w:t>et al.</w:t>
      </w:r>
      <w:r w:rsidRPr="00974F8A">
        <w:rPr>
          <w:rFonts w:ascii="Nirmala UI Semilight" w:hAnsi="Nirmala UI Semilight" w:cs="Nirmala UI Semilight"/>
          <w:bCs/>
          <w:sz w:val="28"/>
          <w:szCs w:val="28"/>
        </w:rPr>
        <w:t>, 1989).</w:t>
      </w:r>
      <w:r>
        <w:rPr>
          <w:rFonts w:ascii="Nirmala UI Semilight" w:hAnsi="Nirmala UI Semilight" w:cs="Nirmala UI Semilight"/>
          <w:bCs/>
          <w:sz w:val="28"/>
          <w:szCs w:val="28"/>
        </w:rPr>
        <w:t xml:space="preserve"> </w:t>
      </w:r>
      <w:r w:rsidRPr="00974F8A">
        <w:rPr>
          <w:rFonts w:ascii="Nirmala UI Semilight" w:hAnsi="Nirmala UI Semilight" w:cs="Nirmala UI Semilight"/>
          <w:bCs/>
          <w:sz w:val="28"/>
          <w:szCs w:val="28"/>
        </w:rPr>
        <w:t xml:space="preserve">En relación con esto está el problema del tiempo que una persona debe estar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libre de delitos</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antes de que se la pueda calificar de desistimiento, partiendo de la base de que no es posible saber realmente si alguien ha desistido de la delincuencia hasta su muerte (Farrington, 1992).</w:t>
      </w:r>
    </w:p>
    <w:p w14:paraId="61C9C06A" w14:textId="6909CFCE" w:rsidR="0090755E" w:rsidRDefault="000F34DF" w:rsidP="000F34DF">
      <w:pPr>
        <w:spacing w:after="120" w:line="276" w:lineRule="auto"/>
        <w:jc w:val="both"/>
        <w:rPr>
          <w:rFonts w:ascii="Nirmala UI Semilight" w:hAnsi="Nirmala UI Semilight" w:cs="Nirmala UI Semilight"/>
          <w:bCs/>
          <w:sz w:val="28"/>
          <w:szCs w:val="28"/>
        </w:rPr>
      </w:pPr>
      <w:r w:rsidRPr="00974F8A">
        <w:rPr>
          <w:rFonts w:ascii="Nirmala UI Semilight" w:hAnsi="Nirmala UI Semilight" w:cs="Nirmala UI Semilight"/>
          <w:bCs/>
          <w:sz w:val="28"/>
          <w:szCs w:val="28"/>
        </w:rPr>
        <w:t>Las definiciones específicas de desistimiento no pueden ni deben elaborarse aisladamente de una pregunta de investigación concreta (Laub y Sampson, 2001).</w:t>
      </w:r>
      <w:r>
        <w:rPr>
          <w:rFonts w:ascii="Nirmala UI Semilight" w:hAnsi="Nirmala UI Semilight" w:cs="Nirmala UI Semilight"/>
          <w:bCs/>
          <w:sz w:val="28"/>
          <w:szCs w:val="28"/>
        </w:rPr>
        <w:t xml:space="preserve"> </w:t>
      </w:r>
      <w:r w:rsidRPr="00974F8A">
        <w:rPr>
          <w:rFonts w:ascii="Nirmala UI Semilight" w:hAnsi="Nirmala UI Semilight" w:cs="Nirmala UI Semilight"/>
          <w:bCs/>
          <w:sz w:val="28"/>
          <w:szCs w:val="28"/>
        </w:rPr>
        <w:t xml:space="preserve">No obstante, en los últimos años, el desistimiento (independientemente de cómo se defina) se considera cada vez más como un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proceso</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distinto del cese de la delincuencia, que a su vez se identifica como un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acontecimiento</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(Maruna, 2001; Bushway </w:t>
      </w:r>
      <w:r w:rsidRPr="00974F8A">
        <w:rPr>
          <w:rFonts w:ascii="Nirmala UI Semilight" w:hAnsi="Nirmala UI Semilight" w:cs="Nirmala UI Semilight"/>
          <w:bCs/>
          <w:i/>
          <w:iCs/>
          <w:sz w:val="28"/>
          <w:szCs w:val="28"/>
        </w:rPr>
        <w:t>et al.</w:t>
      </w:r>
      <w:r w:rsidRPr="00974F8A">
        <w:rPr>
          <w:rFonts w:ascii="Nirmala UI Semilight" w:hAnsi="Nirmala UI Semilight" w:cs="Nirmala UI Semilight"/>
          <w:bCs/>
          <w:sz w:val="28"/>
          <w:szCs w:val="28"/>
        </w:rPr>
        <w:t>, 2001; Laub y Sampson, 2003).</w:t>
      </w:r>
      <w:r>
        <w:rPr>
          <w:rFonts w:ascii="Nirmala UI Semilight" w:hAnsi="Nirmala UI Semilight" w:cs="Nirmala UI Semilight"/>
          <w:bCs/>
          <w:sz w:val="28"/>
          <w:szCs w:val="28"/>
        </w:rPr>
        <w:t xml:space="preserve"> </w:t>
      </w:r>
      <w:r w:rsidRPr="00974F8A">
        <w:rPr>
          <w:rFonts w:ascii="Nirmala UI Semilight" w:hAnsi="Nirmala UI Semilight" w:cs="Nirmala UI Semilight"/>
          <w:bCs/>
          <w:sz w:val="28"/>
          <w:szCs w:val="28"/>
        </w:rPr>
        <w:t xml:space="preserve">Al aclarar la distinción entre cese y desistimiento, Maruna </w:t>
      </w:r>
      <w:r w:rsidRPr="00974F8A">
        <w:rPr>
          <w:rFonts w:ascii="Nirmala UI Semilight" w:hAnsi="Nirmala UI Semilight" w:cs="Nirmala UI Semilight"/>
          <w:bCs/>
          <w:sz w:val="28"/>
          <w:szCs w:val="28"/>
        </w:rPr>
        <w:lastRenderedPageBreak/>
        <w:t>(2001</w:t>
      </w:r>
      <w:r w:rsidR="00074FAF">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26) sugiere que mientras que un estudio del cese de la delincuencia plantea la pregunta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por qué</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por ejemplo, por qué esa persona no volvió a delinquir</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el estudio del desistimiento nos lleva a preguntarnos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cómo</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974F8A">
        <w:rPr>
          <w:rFonts w:ascii="Nirmala UI Semilight" w:hAnsi="Nirmala UI Semilight" w:cs="Nirmala UI Semilight"/>
          <w:bCs/>
          <w:sz w:val="28"/>
          <w:szCs w:val="28"/>
        </w:rPr>
        <w:t xml:space="preserve">Por ejemplo, ¿cómo viven las personas de forma coherente con su decisión de vivir sin delinquir? ¿Cómo afrontan los retos que plantea el mantenimiento de una identidad de </w:t>
      </w:r>
      <w:r w:rsidR="00050DFE">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ex delincuente</w:t>
      </w:r>
      <w:r w:rsidR="00050DFE">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w:t>
      </w:r>
    </w:p>
    <w:p w14:paraId="13E78EC8" w14:textId="54EF6E53" w:rsidR="0090755E" w:rsidRDefault="0090755E" w:rsidP="0090755E">
      <w:pPr>
        <w:spacing w:after="120" w:line="276" w:lineRule="auto"/>
        <w:jc w:val="both"/>
        <w:rPr>
          <w:rFonts w:ascii="Nirmala UI Semilight" w:hAnsi="Nirmala UI Semilight" w:cs="Nirmala UI Semilight"/>
          <w:bCs/>
          <w:sz w:val="28"/>
          <w:szCs w:val="28"/>
        </w:rPr>
      </w:pPr>
      <w:r w:rsidRPr="00974F8A">
        <w:rPr>
          <w:rFonts w:ascii="Nirmala UI Semilight" w:hAnsi="Nirmala UI Semilight" w:cs="Nirmala UI Semilight"/>
          <w:bCs/>
          <w:sz w:val="28"/>
          <w:szCs w:val="28"/>
        </w:rPr>
        <w:t xml:space="preserve">Maruna y Farrall (2004), al identificar el desistimiento como un proceso, lo denominan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desistimiento secundario</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distinto del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desistimiento primario</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que se caracteriza por cualquier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laguna</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en el comportamiento delictivo.</w:t>
      </w:r>
      <w:r>
        <w:rPr>
          <w:rFonts w:ascii="Nirmala UI Semilight" w:hAnsi="Nirmala UI Semilight" w:cs="Nirmala UI Semilight"/>
          <w:bCs/>
          <w:sz w:val="28"/>
          <w:szCs w:val="28"/>
        </w:rPr>
        <w:t xml:space="preserve"> </w:t>
      </w:r>
      <w:r w:rsidRPr="00974F8A">
        <w:rPr>
          <w:rFonts w:ascii="Nirmala UI Semilight" w:hAnsi="Nirmala UI Semilight" w:cs="Nirmala UI Semilight"/>
          <w:bCs/>
          <w:sz w:val="28"/>
          <w:szCs w:val="28"/>
        </w:rPr>
        <w:t xml:space="preserve">El desistimiento secundario representa: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el paso de la conducta de no delinquir a la asunción de un </w:t>
      </w:r>
      <w:r w:rsidR="007F2FEB">
        <w:rPr>
          <w:rFonts w:ascii="Nirmala UI Semilight" w:hAnsi="Nirmala UI Semilight" w:cs="Nirmala UI Semilight"/>
          <w:bCs/>
          <w:sz w:val="28"/>
          <w:szCs w:val="28"/>
        </w:rPr>
        <w:t>rol</w:t>
      </w:r>
      <w:r w:rsidRPr="00974F8A">
        <w:rPr>
          <w:rFonts w:ascii="Nirmala UI Semilight" w:hAnsi="Nirmala UI Semilight" w:cs="Nirmala UI Semilight"/>
          <w:bCs/>
          <w:sz w:val="28"/>
          <w:szCs w:val="28"/>
        </w:rPr>
        <w:t xml:space="preserve"> o identidad de no delincuente o </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persona cambiada</w:t>
      </w:r>
      <w:r>
        <w:rPr>
          <w:rFonts w:ascii="Nirmala UI Semilight" w:hAnsi="Nirmala UI Semilight" w:cs="Nirmala UI Semilight"/>
          <w:bCs/>
          <w:sz w:val="28"/>
          <w:szCs w:val="28"/>
        </w:rPr>
        <w:t>’”</w:t>
      </w:r>
      <w:r w:rsidRPr="00974F8A">
        <w:rPr>
          <w:rFonts w:ascii="Nirmala UI Semilight" w:hAnsi="Nirmala UI Semilight" w:cs="Nirmala UI Semilight"/>
          <w:bCs/>
          <w:sz w:val="28"/>
          <w:szCs w:val="28"/>
        </w:rPr>
        <w:t xml:space="preserve"> (Maruna y Farrall, 2004: 174).</w:t>
      </w:r>
      <w:r>
        <w:rPr>
          <w:rFonts w:ascii="Nirmala UI Semilight" w:hAnsi="Nirmala UI Semilight" w:cs="Nirmala UI Semilight"/>
          <w:bCs/>
          <w:sz w:val="28"/>
          <w:szCs w:val="28"/>
        </w:rPr>
        <w:t xml:space="preserve"> </w:t>
      </w:r>
      <w:r w:rsidRPr="00856165">
        <w:rPr>
          <w:rFonts w:ascii="Nirmala UI Semilight" w:hAnsi="Nirmala UI Semilight" w:cs="Nirmala UI Semilight"/>
          <w:bCs/>
          <w:sz w:val="28"/>
          <w:szCs w:val="28"/>
        </w:rPr>
        <w:t xml:space="preserve">El desistimiento secundario tiene que ver, por lo tanto, con el cambio en el delincuente de quién se siente </w:t>
      </w:r>
      <w:r>
        <w:rPr>
          <w:rFonts w:ascii="Nirmala UI Semilight" w:hAnsi="Nirmala UI Semilight" w:cs="Nirmala UI Semilight"/>
          <w:bCs/>
          <w:sz w:val="28"/>
          <w:szCs w:val="28"/>
        </w:rPr>
        <w:t>“</w:t>
      </w:r>
      <w:r w:rsidRPr="00856165">
        <w:rPr>
          <w:rFonts w:ascii="Nirmala UI Semilight" w:hAnsi="Nirmala UI Semilight" w:cs="Nirmala UI Semilight"/>
          <w:bCs/>
          <w:sz w:val="28"/>
          <w:szCs w:val="28"/>
        </w:rPr>
        <w:t>él</w:t>
      </w:r>
      <w:r>
        <w:rPr>
          <w:rFonts w:ascii="Nirmala UI Semilight" w:hAnsi="Nirmala UI Semilight" w:cs="Nirmala UI Semilight"/>
          <w:bCs/>
          <w:sz w:val="28"/>
          <w:szCs w:val="28"/>
        </w:rPr>
        <w:t>”</w:t>
      </w:r>
      <w:r w:rsidRPr="00856165">
        <w:rPr>
          <w:rFonts w:ascii="Nirmala UI Semilight" w:hAnsi="Nirmala UI Semilight" w:cs="Nirmala UI Semilight"/>
          <w:bCs/>
          <w:sz w:val="28"/>
          <w:szCs w:val="28"/>
        </w:rPr>
        <w:t xml:space="preserve"> y con un cambio en sus prioridades, alejándose de las que son congruentes con la delincuencia.</w:t>
      </w:r>
      <w:r>
        <w:rPr>
          <w:rFonts w:ascii="Nirmala UI Semilight" w:hAnsi="Nirmala UI Semilight" w:cs="Nirmala UI Semilight"/>
          <w:bCs/>
          <w:sz w:val="28"/>
          <w:szCs w:val="28"/>
        </w:rPr>
        <w:t xml:space="preserve"> </w:t>
      </w:r>
      <w:r w:rsidRPr="00B614B4">
        <w:rPr>
          <w:rFonts w:ascii="Nirmala UI Semilight" w:hAnsi="Nirmala UI Semilight" w:cs="Nirmala UI Semilight"/>
          <w:bCs/>
          <w:sz w:val="28"/>
          <w:szCs w:val="28"/>
        </w:rPr>
        <w:t xml:space="preserve">Enfatizar el desistimiento como un proceso es subrayar que el paso de </w:t>
      </w:r>
      <w:r>
        <w:rPr>
          <w:rFonts w:ascii="Nirmala UI Semilight" w:hAnsi="Nirmala UI Semilight" w:cs="Nirmala UI Semilight"/>
          <w:bCs/>
          <w:sz w:val="28"/>
          <w:szCs w:val="28"/>
        </w:rPr>
        <w:t>“</w:t>
      </w:r>
      <w:r w:rsidRPr="00B614B4">
        <w:rPr>
          <w:rFonts w:ascii="Nirmala UI Semilight" w:hAnsi="Nirmala UI Semilight" w:cs="Nirmala UI Semilight"/>
          <w:bCs/>
          <w:sz w:val="28"/>
          <w:szCs w:val="28"/>
        </w:rPr>
        <w:t>delincuente</w:t>
      </w:r>
      <w:r>
        <w:rPr>
          <w:rFonts w:ascii="Nirmala UI Semilight" w:hAnsi="Nirmala UI Semilight" w:cs="Nirmala UI Semilight"/>
          <w:bCs/>
          <w:sz w:val="28"/>
          <w:szCs w:val="28"/>
        </w:rPr>
        <w:t>”</w:t>
      </w:r>
      <w:r w:rsidRPr="00B614B4">
        <w:rPr>
          <w:rFonts w:ascii="Nirmala UI Semilight" w:hAnsi="Nirmala UI Semilight" w:cs="Nirmala UI Semilight"/>
          <w:bCs/>
          <w:sz w:val="28"/>
          <w:szCs w:val="28"/>
        </w:rPr>
        <w:t xml:space="preserve"> a </w:t>
      </w:r>
      <w:r>
        <w:rPr>
          <w:rFonts w:ascii="Nirmala UI Semilight" w:hAnsi="Nirmala UI Semilight" w:cs="Nirmala UI Semilight"/>
          <w:bCs/>
          <w:sz w:val="28"/>
          <w:szCs w:val="28"/>
        </w:rPr>
        <w:t>“</w:t>
      </w:r>
      <w:r w:rsidRPr="00B614B4">
        <w:rPr>
          <w:rFonts w:ascii="Nirmala UI Semilight" w:hAnsi="Nirmala UI Semilight" w:cs="Nirmala UI Semilight"/>
          <w:bCs/>
          <w:sz w:val="28"/>
          <w:szCs w:val="28"/>
        </w:rPr>
        <w:t>no delincuente</w:t>
      </w:r>
      <w:r>
        <w:rPr>
          <w:rFonts w:ascii="Nirmala UI Semilight" w:hAnsi="Nirmala UI Semilight" w:cs="Nirmala UI Semilight"/>
          <w:bCs/>
          <w:sz w:val="28"/>
          <w:szCs w:val="28"/>
        </w:rPr>
        <w:t>”</w:t>
      </w:r>
      <w:r w:rsidRPr="00B614B4">
        <w:rPr>
          <w:rFonts w:ascii="Nirmala UI Semilight" w:hAnsi="Nirmala UI Semilight" w:cs="Nirmala UI Semilight"/>
          <w:bCs/>
          <w:sz w:val="28"/>
          <w:szCs w:val="28"/>
        </w:rPr>
        <w:t xml:space="preserve"> es gradual, a través del cual el individuo llega a adoptar esta última autoidentidad (Maruna y Farrall, 2004).</w:t>
      </w:r>
      <w:r>
        <w:rPr>
          <w:rFonts w:ascii="Nirmala UI Semilight" w:hAnsi="Nirmala UI Semilight" w:cs="Nirmala UI Semilight"/>
          <w:bCs/>
          <w:sz w:val="28"/>
          <w:szCs w:val="28"/>
        </w:rPr>
        <w:t xml:space="preserve"> </w:t>
      </w:r>
      <w:r w:rsidRPr="000C6E0D">
        <w:rPr>
          <w:rFonts w:ascii="Nirmala UI Semilight" w:hAnsi="Nirmala UI Semilight" w:cs="Nirmala UI Semilight"/>
          <w:bCs/>
          <w:sz w:val="28"/>
          <w:szCs w:val="28"/>
        </w:rPr>
        <w:t xml:space="preserve">Esta conceptualización del desistimiento se centra en las oportunidades que tienen los delincuentes para alcanzar un </w:t>
      </w:r>
      <w:r>
        <w:rPr>
          <w:rFonts w:ascii="Nirmala UI Semilight" w:hAnsi="Nirmala UI Semilight" w:cs="Nirmala UI Semilight"/>
          <w:bCs/>
          <w:sz w:val="28"/>
          <w:szCs w:val="28"/>
        </w:rPr>
        <w:t>“</w:t>
      </w:r>
      <w:r w:rsidRPr="000C6E0D">
        <w:rPr>
          <w:rFonts w:ascii="Nirmala UI Semilight" w:hAnsi="Nirmala UI Semilight" w:cs="Nirmala UI Semilight"/>
          <w:bCs/>
          <w:sz w:val="28"/>
          <w:szCs w:val="28"/>
        </w:rPr>
        <w:t>estado</w:t>
      </w:r>
      <w:r>
        <w:rPr>
          <w:rFonts w:ascii="Nirmala UI Semilight" w:hAnsi="Nirmala UI Semilight" w:cs="Nirmala UI Semilight"/>
          <w:bCs/>
          <w:sz w:val="28"/>
          <w:szCs w:val="28"/>
        </w:rPr>
        <w:t>”</w:t>
      </w:r>
      <w:r w:rsidRPr="000C6E0D">
        <w:rPr>
          <w:rFonts w:ascii="Nirmala UI Semilight" w:hAnsi="Nirmala UI Semilight" w:cs="Nirmala UI Semilight"/>
          <w:bCs/>
          <w:sz w:val="28"/>
          <w:szCs w:val="28"/>
        </w:rPr>
        <w:t xml:space="preserve"> de no delincuencia (Maruna, 2001; Giordano </w:t>
      </w:r>
      <w:r w:rsidRPr="000C6E0D">
        <w:rPr>
          <w:rFonts w:ascii="Nirmala UI Semilight" w:hAnsi="Nirmala UI Semilight" w:cs="Nirmala UI Semilight"/>
          <w:bCs/>
          <w:i/>
          <w:iCs/>
          <w:sz w:val="28"/>
          <w:szCs w:val="28"/>
        </w:rPr>
        <w:t>et al.</w:t>
      </w:r>
      <w:r w:rsidRPr="000C6E0D">
        <w:rPr>
          <w:rFonts w:ascii="Nirmala UI Semilight" w:hAnsi="Nirmala UI Semilight" w:cs="Nirmala UI Semilight"/>
          <w:bCs/>
          <w:sz w:val="28"/>
          <w:szCs w:val="28"/>
        </w:rPr>
        <w:t xml:space="preserve">, 2002; Farrall </w:t>
      </w:r>
      <w:r w:rsidRPr="000C6E0D">
        <w:rPr>
          <w:rFonts w:ascii="Nirmala UI Semilight" w:hAnsi="Nirmala UI Semilight" w:cs="Nirmala UI Semilight"/>
          <w:bCs/>
          <w:i/>
          <w:iCs/>
          <w:sz w:val="28"/>
          <w:szCs w:val="28"/>
        </w:rPr>
        <w:t>et al.</w:t>
      </w:r>
      <w:r w:rsidRPr="000C6E0D">
        <w:rPr>
          <w:rFonts w:ascii="Nirmala UI Semilight" w:hAnsi="Nirmala UI Semilight" w:cs="Nirmala UI Semilight"/>
          <w:bCs/>
          <w:sz w:val="28"/>
          <w:szCs w:val="28"/>
        </w:rPr>
        <w:t>, 2014).</w:t>
      </w:r>
      <w:r>
        <w:rPr>
          <w:rFonts w:ascii="Nirmala UI Semilight" w:hAnsi="Nirmala UI Semilight" w:cs="Nirmala UI Semilight"/>
          <w:bCs/>
          <w:sz w:val="28"/>
          <w:szCs w:val="28"/>
        </w:rPr>
        <w:t xml:space="preserve"> </w:t>
      </w:r>
      <w:r w:rsidRPr="000C6E0D">
        <w:rPr>
          <w:rFonts w:ascii="Nirmala UI Semilight" w:hAnsi="Nirmala UI Semilight" w:cs="Nirmala UI Semilight"/>
          <w:bCs/>
          <w:sz w:val="28"/>
          <w:szCs w:val="28"/>
        </w:rPr>
        <w:t>Por ejemplo, se puede aceptar una oferta de empleo porque ofrece la oportunidad de ganar un dinero que, de otro modo, se obtendría delinquiendo.</w:t>
      </w:r>
    </w:p>
    <w:p w14:paraId="1B7B41F2" w14:textId="5931AD14" w:rsidR="000F34DF" w:rsidRDefault="000F34DF" w:rsidP="000F34DF">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 xml:space="preserve"> </w:t>
      </w:r>
    </w:p>
    <w:p w14:paraId="50EAE3A3" w14:textId="77777777" w:rsidR="00CE2CEC" w:rsidRPr="00595475" w:rsidRDefault="00CE2CEC" w:rsidP="00CE2CEC">
      <w:pPr>
        <w:spacing w:after="120" w:line="276" w:lineRule="auto"/>
        <w:jc w:val="both"/>
        <w:rPr>
          <w:rFonts w:ascii="Nirmala UI Semilight" w:hAnsi="Nirmala UI Semilight" w:cs="Nirmala UI Semilight"/>
          <w:bCs/>
          <w:i/>
          <w:iCs/>
          <w:sz w:val="28"/>
          <w:szCs w:val="28"/>
        </w:rPr>
      </w:pPr>
      <w:r w:rsidRPr="00595475">
        <w:rPr>
          <w:rFonts w:ascii="Nirmala UI Semilight" w:hAnsi="Nirmala UI Semilight" w:cs="Nirmala UI Semilight"/>
          <w:bCs/>
          <w:i/>
          <w:iCs/>
          <w:sz w:val="28"/>
          <w:szCs w:val="28"/>
        </w:rPr>
        <w:t>¿Por qué la gente desiste de delinquir?</w:t>
      </w:r>
    </w:p>
    <w:p w14:paraId="5E2BB1FD" w14:textId="19155E10" w:rsidR="00CE2CEC" w:rsidRDefault="00CE2CEC" w:rsidP="00CE2CEC">
      <w:pPr>
        <w:spacing w:after="120" w:line="276" w:lineRule="auto"/>
        <w:jc w:val="both"/>
        <w:rPr>
          <w:rFonts w:ascii="Nirmala UI Semilight" w:hAnsi="Nirmala UI Semilight" w:cs="Nirmala UI Semilight"/>
          <w:bCs/>
          <w:sz w:val="28"/>
          <w:szCs w:val="28"/>
        </w:rPr>
      </w:pPr>
      <w:r w:rsidRPr="00656601">
        <w:rPr>
          <w:rFonts w:ascii="Nirmala UI Semilight" w:hAnsi="Nirmala UI Semilight" w:cs="Nirmala UI Semilight"/>
          <w:bCs/>
          <w:sz w:val="28"/>
          <w:szCs w:val="28"/>
        </w:rPr>
        <w:t xml:space="preserve">La investigación sobre el desistimiento ha identificado varios correlatos del desistimiento, poniendo el mayor énfasis en el proceso de envejecimiento (por ejemplo, Shover, 1983, 1985), la obtención de empleo (Uggen y Kruttschnitt, 1998) y la formación de relaciones románticas (Horney et al., </w:t>
      </w:r>
      <w:r w:rsidRPr="00656601">
        <w:rPr>
          <w:rFonts w:ascii="Nirmala UI Semilight" w:hAnsi="Nirmala UI Semilight" w:cs="Nirmala UI Semilight"/>
          <w:bCs/>
          <w:sz w:val="28"/>
          <w:szCs w:val="28"/>
        </w:rPr>
        <w:lastRenderedPageBreak/>
        <w:t>1995).</w:t>
      </w:r>
      <w:r>
        <w:rPr>
          <w:rFonts w:ascii="Nirmala UI Semilight" w:hAnsi="Nirmala UI Semilight" w:cs="Nirmala UI Semilight"/>
          <w:bCs/>
          <w:sz w:val="28"/>
          <w:szCs w:val="28"/>
        </w:rPr>
        <w:t xml:space="preserve"> </w:t>
      </w:r>
      <w:r w:rsidRPr="00656601">
        <w:rPr>
          <w:rFonts w:ascii="Nirmala UI Semilight" w:hAnsi="Nirmala UI Semilight" w:cs="Nirmala UI Semilight"/>
          <w:bCs/>
          <w:sz w:val="28"/>
          <w:szCs w:val="28"/>
        </w:rPr>
        <w:t>Dich</w:t>
      </w:r>
      <w:r w:rsidR="002D44AA">
        <w:rPr>
          <w:rFonts w:ascii="Nirmala UI Semilight" w:hAnsi="Nirmala UI Semilight" w:cs="Nirmala UI Semilight"/>
          <w:bCs/>
          <w:sz w:val="28"/>
          <w:szCs w:val="28"/>
        </w:rPr>
        <w:t>as investigaciones</w:t>
      </w:r>
      <w:r w:rsidRPr="00656601">
        <w:rPr>
          <w:rFonts w:ascii="Nirmala UI Semilight" w:hAnsi="Nirmala UI Semilight" w:cs="Nirmala UI Semilight"/>
          <w:bCs/>
          <w:sz w:val="28"/>
          <w:szCs w:val="28"/>
        </w:rPr>
        <w:t xml:space="preserve"> se han centrado casi exclusivamente en delincuentes varones blancos (aunque véanse Elliot, 1994; Calverley, 2013; y Giordano </w:t>
      </w:r>
      <w:r w:rsidRPr="00656601">
        <w:rPr>
          <w:rFonts w:ascii="Nirmala UI Semilight" w:hAnsi="Nirmala UI Semilight" w:cs="Nirmala UI Semilight"/>
          <w:bCs/>
          <w:i/>
          <w:iCs/>
          <w:sz w:val="28"/>
          <w:szCs w:val="28"/>
        </w:rPr>
        <w:t>et al.</w:t>
      </w:r>
      <w:r w:rsidRPr="00656601">
        <w:rPr>
          <w:rFonts w:ascii="Nirmala UI Semilight" w:hAnsi="Nirmala UI Semilight" w:cs="Nirmala UI Semilight"/>
          <w:bCs/>
          <w:sz w:val="28"/>
          <w:szCs w:val="28"/>
        </w:rPr>
        <w:t xml:space="preserve">, 2002 para </w:t>
      </w:r>
      <w:r w:rsidR="00DC3F91">
        <w:rPr>
          <w:rFonts w:ascii="Nirmala UI Semilight" w:hAnsi="Nirmala UI Semilight" w:cs="Nirmala UI Semilight"/>
          <w:bCs/>
          <w:sz w:val="28"/>
          <w:szCs w:val="28"/>
        </w:rPr>
        <w:t>algunas</w:t>
      </w:r>
      <w:r w:rsidRPr="00656601">
        <w:rPr>
          <w:rFonts w:ascii="Nirmala UI Semilight" w:hAnsi="Nirmala UI Semilight" w:cs="Nirmala UI Semilight"/>
          <w:bCs/>
          <w:sz w:val="28"/>
          <w:szCs w:val="28"/>
        </w:rPr>
        <w:t xml:space="preserve"> excepciones) implicados en la </w:t>
      </w:r>
      <w:r>
        <w:rPr>
          <w:rFonts w:ascii="Nirmala UI Semilight" w:hAnsi="Nirmala UI Semilight" w:cs="Nirmala UI Semilight"/>
          <w:bCs/>
          <w:sz w:val="28"/>
          <w:szCs w:val="28"/>
        </w:rPr>
        <w:t>“</w:t>
      </w:r>
      <w:r w:rsidRPr="00656601">
        <w:rPr>
          <w:rFonts w:ascii="Nirmala UI Semilight" w:hAnsi="Nirmala UI Semilight" w:cs="Nirmala UI Semilight"/>
          <w:bCs/>
          <w:sz w:val="28"/>
          <w:szCs w:val="28"/>
        </w:rPr>
        <w:t>delincuencia callejera</w:t>
      </w:r>
      <w:r>
        <w:rPr>
          <w:rFonts w:ascii="Nirmala UI Semilight" w:hAnsi="Nirmala UI Semilight" w:cs="Nirmala UI Semilight"/>
          <w:bCs/>
          <w:sz w:val="28"/>
          <w:szCs w:val="28"/>
        </w:rPr>
        <w:t>”</w:t>
      </w:r>
      <w:r w:rsidRPr="00656601">
        <w:rPr>
          <w:rFonts w:ascii="Nirmala UI Semilight" w:hAnsi="Nirmala UI Semilight" w:cs="Nirmala UI Semilight"/>
          <w:bCs/>
          <w:sz w:val="28"/>
          <w:szCs w:val="28"/>
        </w:rPr>
        <w:t>.</w:t>
      </w:r>
    </w:p>
    <w:p w14:paraId="42C67B64" w14:textId="3A530702" w:rsidR="004D101D" w:rsidRDefault="004D101D" w:rsidP="004D101D">
      <w:pPr>
        <w:spacing w:after="120" w:line="276" w:lineRule="auto"/>
        <w:jc w:val="both"/>
        <w:rPr>
          <w:rFonts w:ascii="Nirmala UI Semilight" w:hAnsi="Nirmala UI Semilight" w:cs="Nirmala UI Semilight"/>
          <w:bCs/>
          <w:sz w:val="28"/>
          <w:szCs w:val="28"/>
        </w:rPr>
      </w:pPr>
      <w:r w:rsidRPr="00656601">
        <w:rPr>
          <w:rFonts w:ascii="Nirmala UI Semilight" w:hAnsi="Nirmala UI Semilight" w:cs="Nirmala UI Semilight"/>
          <w:bCs/>
          <w:sz w:val="28"/>
          <w:szCs w:val="28"/>
        </w:rPr>
        <w:t>Defendida durante mucho tiempo como una de las conclusiones más sólidas de la investigación en ciencias sociales, la observación de que cuanto más envejecen los delincuentes más probabilidades tienen de desistir está bien documentada (por ejemplo, Gottfredson y Hirschi, 1990; Shover y Thompson, 1992, aunque véase Laub y Sampson, 2003</w:t>
      </w:r>
      <w:r w:rsidR="009447F8">
        <w:rPr>
          <w:rFonts w:ascii="Nirmala UI Semilight" w:hAnsi="Nirmala UI Semilight" w:cs="Nirmala UI Semilight"/>
          <w:bCs/>
          <w:sz w:val="28"/>
          <w:szCs w:val="28"/>
        </w:rPr>
        <w:t>:</w:t>
      </w:r>
      <w:r w:rsidRPr="00656601">
        <w:rPr>
          <w:rFonts w:ascii="Nirmala UI Semilight" w:hAnsi="Nirmala UI Semilight" w:cs="Nirmala UI Semilight"/>
          <w:bCs/>
          <w:sz w:val="28"/>
          <w:szCs w:val="28"/>
        </w:rPr>
        <w:t xml:space="preserve"> 16-17 para un resumen más matizado del efecto de la edad).</w:t>
      </w:r>
      <w:r>
        <w:rPr>
          <w:rFonts w:ascii="Nirmala UI Semilight" w:hAnsi="Nirmala UI Semilight" w:cs="Nirmala UI Semilight"/>
          <w:bCs/>
          <w:sz w:val="28"/>
          <w:szCs w:val="28"/>
        </w:rPr>
        <w:t xml:space="preserve"> </w:t>
      </w:r>
      <w:r w:rsidRPr="00656601">
        <w:rPr>
          <w:rFonts w:ascii="Nirmala UI Semilight" w:hAnsi="Nirmala UI Semilight" w:cs="Nirmala UI Semilight"/>
          <w:bCs/>
          <w:sz w:val="28"/>
          <w:szCs w:val="28"/>
        </w:rPr>
        <w:t>Algunas explicaciones se centran en el impacto directo del envejecimiento sobre la destreza física necesaria para cometer muchos tipos de delitos (por ejemplo, Farrington, 1986).</w:t>
      </w:r>
      <w:r>
        <w:rPr>
          <w:rFonts w:ascii="Nirmala UI Semilight" w:hAnsi="Nirmala UI Semilight" w:cs="Nirmala UI Semilight"/>
          <w:bCs/>
          <w:sz w:val="28"/>
          <w:szCs w:val="28"/>
        </w:rPr>
        <w:t xml:space="preserve"> </w:t>
      </w:r>
      <w:r w:rsidRPr="00656601">
        <w:rPr>
          <w:rFonts w:ascii="Nirmala UI Semilight" w:hAnsi="Nirmala UI Semilight" w:cs="Nirmala UI Semilight"/>
          <w:bCs/>
          <w:sz w:val="28"/>
          <w:szCs w:val="28"/>
        </w:rPr>
        <w:t xml:space="preserve">Otros, sin embargo, citan los efectos indirectos del envejecimiento. Shover (1983, 1985) esboza esta última explicación para el </w:t>
      </w:r>
      <w:r>
        <w:rPr>
          <w:rFonts w:ascii="Nirmala UI Semilight" w:hAnsi="Nirmala UI Semilight" w:cs="Nirmala UI Semilight"/>
          <w:bCs/>
          <w:sz w:val="28"/>
          <w:szCs w:val="28"/>
        </w:rPr>
        <w:t>“</w:t>
      </w:r>
      <w:r w:rsidRPr="00656601">
        <w:rPr>
          <w:rFonts w:ascii="Nirmala UI Semilight" w:hAnsi="Nirmala UI Semilight" w:cs="Nirmala UI Semilight"/>
          <w:bCs/>
          <w:sz w:val="28"/>
          <w:szCs w:val="28"/>
        </w:rPr>
        <w:t>efecto de la edad</w:t>
      </w:r>
      <w:r>
        <w:rPr>
          <w:rFonts w:ascii="Nirmala UI Semilight" w:hAnsi="Nirmala UI Semilight" w:cs="Nirmala UI Semilight"/>
          <w:bCs/>
          <w:sz w:val="28"/>
          <w:szCs w:val="28"/>
        </w:rPr>
        <w:t>”</w:t>
      </w:r>
      <w:r w:rsidRPr="00656601">
        <w:rPr>
          <w:rFonts w:ascii="Nirmala UI Semilight" w:hAnsi="Nirmala UI Semilight" w:cs="Nirmala UI Semilight"/>
          <w:bCs/>
          <w:sz w:val="28"/>
          <w:szCs w:val="28"/>
        </w:rPr>
        <w:t xml:space="preserve"> tras entrevistar a 36 </w:t>
      </w:r>
      <w:r>
        <w:rPr>
          <w:rFonts w:ascii="Nirmala UI Semilight" w:hAnsi="Nirmala UI Semilight" w:cs="Nirmala UI Semilight"/>
          <w:bCs/>
          <w:sz w:val="28"/>
          <w:szCs w:val="28"/>
        </w:rPr>
        <w:t>sujetos que cometían delitos</w:t>
      </w:r>
      <w:r w:rsidRPr="00656601">
        <w:rPr>
          <w:rFonts w:ascii="Nirmala UI Semilight" w:hAnsi="Nirmala UI Semilight" w:cs="Nirmala UI Semilight"/>
          <w:bCs/>
          <w:sz w:val="28"/>
          <w:szCs w:val="28"/>
        </w:rPr>
        <w:t xml:space="preserve"> contra la propiedad de sexo masculino y obtener datos de autobiografías de individuos comparables.</w:t>
      </w:r>
      <w:r>
        <w:rPr>
          <w:rFonts w:ascii="Nirmala UI Semilight" w:hAnsi="Nirmala UI Semilight" w:cs="Nirmala UI Semilight"/>
          <w:bCs/>
          <w:sz w:val="28"/>
          <w:szCs w:val="28"/>
        </w:rPr>
        <w:t xml:space="preserve"> </w:t>
      </w:r>
      <w:r w:rsidRPr="005A357B">
        <w:rPr>
          <w:rFonts w:ascii="Nirmala UI Semilight" w:hAnsi="Nirmala UI Semilight" w:cs="Nirmala UI Semilight"/>
          <w:bCs/>
          <w:sz w:val="28"/>
          <w:szCs w:val="28"/>
        </w:rPr>
        <w:t xml:space="preserve">Para los participantes de Shover (1983), el proceso de envejecimiento trajo consigo una reformulación del comportamiento delictivo que había caracterizado sus años de juventud como </w:t>
      </w:r>
      <w:r>
        <w:rPr>
          <w:rFonts w:ascii="Nirmala UI Semilight" w:hAnsi="Nirmala UI Semilight" w:cs="Nirmala UI Semilight"/>
          <w:bCs/>
          <w:sz w:val="28"/>
          <w:szCs w:val="28"/>
        </w:rPr>
        <w:t>estúpido</w:t>
      </w:r>
      <w:r w:rsidRPr="005A357B">
        <w:rPr>
          <w:rFonts w:ascii="Nirmala UI Semilight" w:hAnsi="Nirmala UI Semilight" w:cs="Nirmala UI Semilight"/>
          <w:bCs/>
          <w:sz w:val="28"/>
          <w:szCs w:val="28"/>
        </w:rPr>
        <w:t xml:space="preserve"> e incorrecto.</w:t>
      </w:r>
      <w:r>
        <w:rPr>
          <w:rFonts w:ascii="Nirmala UI Semilight" w:hAnsi="Nirmala UI Semilight" w:cs="Nirmala UI Semilight"/>
          <w:bCs/>
          <w:sz w:val="28"/>
          <w:szCs w:val="28"/>
        </w:rPr>
        <w:t xml:space="preserve"> </w:t>
      </w:r>
      <w:r w:rsidRPr="005A357B">
        <w:rPr>
          <w:rFonts w:ascii="Nirmala UI Semilight" w:hAnsi="Nirmala UI Semilight" w:cs="Nirmala UI Semilight"/>
          <w:bCs/>
          <w:sz w:val="28"/>
          <w:szCs w:val="28"/>
        </w:rPr>
        <w:t>Mirando al futuro, pensaban que el tiempo era algo de lo que cada vez disponían menos y que si querían que sus vidas merecieran la pena tendrían que aprovechar las pocas oportunidades que se les presentaban.</w:t>
      </w:r>
      <w:r>
        <w:rPr>
          <w:rFonts w:ascii="Nirmala UI Semilight" w:hAnsi="Nirmala UI Semilight" w:cs="Nirmala UI Semilight"/>
          <w:bCs/>
          <w:sz w:val="28"/>
          <w:szCs w:val="28"/>
        </w:rPr>
        <w:t xml:space="preserve"> </w:t>
      </w:r>
      <w:r w:rsidRPr="005A357B">
        <w:rPr>
          <w:rFonts w:ascii="Nirmala UI Semilight" w:hAnsi="Nirmala UI Semilight" w:cs="Nirmala UI Semilight"/>
          <w:bCs/>
          <w:sz w:val="28"/>
          <w:szCs w:val="28"/>
        </w:rPr>
        <w:t>Por último, se produjo un cambio en sus deseos y una reformulación de lo que era importante para ellos como resultado de este mayor sentido de la perspectiva.</w:t>
      </w:r>
      <w:r>
        <w:rPr>
          <w:rFonts w:ascii="Nirmala UI Semilight" w:hAnsi="Nirmala UI Semilight" w:cs="Nirmala UI Semilight"/>
          <w:bCs/>
          <w:sz w:val="28"/>
          <w:szCs w:val="28"/>
        </w:rPr>
        <w:t xml:space="preserve"> </w:t>
      </w:r>
      <w:r w:rsidRPr="005A357B">
        <w:rPr>
          <w:rFonts w:ascii="Nirmala UI Semilight" w:hAnsi="Nirmala UI Semilight" w:cs="Nirmala UI Semilight"/>
          <w:bCs/>
          <w:sz w:val="28"/>
          <w:szCs w:val="28"/>
        </w:rPr>
        <w:t xml:space="preserve">La riqueza material ya no era tan importante para ellos como la </w:t>
      </w:r>
      <w:r>
        <w:rPr>
          <w:rFonts w:ascii="Nirmala UI Semilight" w:hAnsi="Nirmala UI Semilight" w:cs="Nirmala UI Semilight"/>
          <w:bCs/>
          <w:sz w:val="28"/>
          <w:szCs w:val="28"/>
        </w:rPr>
        <w:t>“</w:t>
      </w:r>
      <w:r w:rsidRPr="005A357B">
        <w:rPr>
          <w:rFonts w:ascii="Nirmala UI Semilight" w:hAnsi="Nirmala UI Semilight" w:cs="Nirmala UI Semilight"/>
          <w:bCs/>
          <w:sz w:val="28"/>
          <w:szCs w:val="28"/>
        </w:rPr>
        <w:t>satisfacción</w:t>
      </w:r>
      <w:r>
        <w:rPr>
          <w:rFonts w:ascii="Nirmala UI Semilight" w:hAnsi="Nirmala UI Semilight" w:cs="Nirmala UI Semilight"/>
          <w:bCs/>
          <w:sz w:val="28"/>
          <w:szCs w:val="28"/>
        </w:rPr>
        <w:t>”</w:t>
      </w:r>
      <w:r w:rsidRPr="005A357B">
        <w:rPr>
          <w:rFonts w:ascii="Nirmala UI Semilight" w:hAnsi="Nirmala UI Semilight" w:cs="Nirmala UI Semilight"/>
          <w:bCs/>
          <w:sz w:val="28"/>
          <w:szCs w:val="28"/>
        </w:rPr>
        <w:t xml:space="preserve"> y la </w:t>
      </w:r>
      <w:r>
        <w:rPr>
          <w:rFonts w:ascii="Nirmala UI Semilight" w:hAnsi="Nirmala UI Semilight" w:cs="Nirmala UI Semilight"/>
          <w:bCs/>
          <w:sz w:val="28"/>
          <w:szCs w:val="28"/>
        </w:rPr>
        <w:t>“</w:t>
      </w:r>
      <w:r w:rsidRPr="005A357B">
        <w:rPr>
          <w:rFonts w:ascii="Nirmala UI Semilight" w:hAnsi="Nirmala UI Semilight" w:cs="Nirmala UI Semilight"/>
          <w:bCs/>
          <w:sz w:val="28"/>
          <w:szCs w:val="28"/>
        </w:rPr>
        <w:t>paz</w:t>
      </w:r>
      <w:r>
        <w:rPr>
          <w:rFonts w:ascii="Nirmala UI Semilight" w:hAnsi="Nirmala UI Semilight" w:cs="Nirmala UI Semilight"/>
          <w:bCs/>
          <w:sz w:val="28"/>
          <w:szCs w:val="28"/>
        </w:rPr>
        <w:t>”</w:t>
      </w:r>
      <w:r w:rsidRPr="005A357B">
        <w:rPr>
          <w:rFonts w:ascii="Nirmala UI Semilight" w:hAnsi="Nirmala UI Semilight" w:cs="Nirmala UI Semilight"/>
          <w:bCs/>
          <w:sz w:val="28"/>
          <w:szCs w:val="28"/>
        </w:rPr>
        <w:t xml:space="preserve"> (Shover, 1983</w:t>
      </w:r>
      <w:r>
        <w:rPr>
          <w:rFonts w:ascii="Nirmala UI Semilight" w:hAnsi="Nirmala UI Semilight" w:cs="Nirmala UI Semilight"/>
          <w:bCs/>
          <w:sz w:val="28"/>
          <w:szCs w:val="28"/>
        </w:rPr>
        <w:t>:</w:t>
      </w:r>
      <w:r w:rsidRPr="005A357B">
        <w:rPr>
          <w:rFonts w:ascii="Nirmala UI Semilight" w:hAnsi="Nirmala UI Semilight" w:cs="Nirmala UI Semilight"/>
          <w:bCs/>
          <w:sz w:val="28"/>
          <w:szCs w:val="28"/>
        </w:rPr>
        <w:t xml:space="preserve"> 211).</w:t>
      </w:r>
    </w:p>
    <w:p w14:paraId="4A2B355C" w14:textId="3BE43F38" w:rsidR="00D44FBE" w:rsidRDefault="00D44FBE" w:rsidP="00D44FBE">
      <w:pPr>
        <w:spacing w:after="120" w:line="276" w:lineRule="auto"/>
        <w:jc w:val="both"/>
        <w:rPr>
          <w:rFonts w:ascii="Nirmala UI Semilight" w:hAnsi="Nirmala UI Semilight" w:cs="Nirmala UI Semilight"/>
          <w:bCs/>
          <w:sz w:val="28"/>
          <w:szCs w:val="28"/>
        </w:rPr>
      </w:pPr>
      <w:r w:rsidRPr="00EC29D1">
        <w:rPr>
          <w:rFonts w:ascii="Nirmala UI Semilight" w:hAnsi="Nirmala UI Semilight" w:cs="Nirmala UI Semilight"/>
          <w:bCs/>
          <w:sz w:val="28"/>
          <w:szCs w:val="28"/>
        </w:rPr>
        <w:t>Cusson y Pinsonneault (1986) obtuvieron resultados similares tras entrevistar a 17 delincuentes condenados por robo a mano armada.</w:t>
      </w:r>
      <w:r>
        <w:rPr>
          <w:rFonts w:ascii="Nirmala UI Semilight" w:hAnsi="Nirmala UI Semilight" w:cs="Nirmala UI Semilight"/>
          <w:bCs/>
          <w:sz w:val="28"/>
          <w:szCs w:val="28"/>
        </w:rPr>
        <w:t xml:space="preserve"> </w:t>
      </w:r>
      <w:r w:rsidRPr="00EC29D1">
        <w:rPr>
          <w:rFonts w:ascii="Nirmala UI Semilight" w:hAnsi="Nirmala UI Semilight" w:cs="Nirmala UI Semilight"/>
          <w:bCs/>
          <w:sz w:val="28"/>
          <w:szCs w:val="28"/>
        </w:rPr>
        <w:t xml:space="preserve">Varios de los miembros de su muestra experimentaron una construcción gradual </w:t>
      </w:r>
      <w:r w:rsidRPr="00EC29D1">
        <w:rPr>
          <w:rFonts w:ascii="Nirmala UI Semilight" w:hAnsi="Nirmala UI Semilight" w:cs="Nirmala UI Semilight"/>
          <w:bCs/>
          <w:sz w:val="28"/>
          <w:szCs w:val="28"/>
        </w:rPr>
        <w:lastRenderedPageBreak/>
        <w:t>de una falta de voluntad para delinquir que siguió a sucesivos períodos de castigo (1986: 76).</w:t>
      </w:r>
      <w:r>
        <w:rPr>
          <w:rFonts w:ascii="Nirmala UI Semilight" w:hAnsi="Nirmala UI Semilight" w:cs="Nirmala UI Semilight"/>
          <w:bCs/>
          <w:sz w:val="28"/>
          <w:szCs w:val="28"/>
        </w:rPr>
        <w:t xml:space="preserve"> </w:t>
      </w:r>
      <w:r w:rsidRPr="00EC29D1">
        <w:rPr>
          <w:rFonts w:ascii="Nirmala UI Semilight" w:hAnsi="Nirmala UI Semilight" w:cs="Nirmala UI Semilight"/>
          <w:bCs/>
          <w:sz w:val="28"/>
          <w:szCs w:val="28"/>
        </w:rPr>
        <w:t>Con la edad se dieron cuenta de que la delincuencia era cada vez más peligrosa. La aprehensión se hizo más probable, con penas más largas en caso de reincidencia, y la vida en prisión era cada vez más difícil por la tensión que les suponía.</w:t>
      </w:r>
      <w:r>
        <w:rPr>
          <w:rFonts w:ascii="Nirmala UI Semilight" w:hAnsi="Nirmala UI Semilight" w:cs="Nirmala UI Semilight"/>
          <w:bCs/>
          <w:sz w:val="28"/>
          <w:szCs w:val="28"/>
        </w:rPr>
        <w:t xml:space="preserve"> </w:t>
      </w:r>
      <w:r w:rsidRPr="00EC29D1">
        <w:rPr>
          <w:rFonts w:ascii="Nirmala UI Semilight" w:hAnsi="Nirmala UI Semilight" w:cs="Nirmala UI Semilight"/>
          <w:bCs/>
          <w:sz w:val="28"/>
          <w:szCs w:val="28"/>
        </w:rPr>
        <w:t xml:space="preserve">Más allá de esto, el tiempo pasado en prisión se consideraba cada vez más un tiempo perdido, que restaba posibilidades de tener una </w:t>
      </w:r>
      <w:r>
        <w:rPr>
          <w:rFonts w:ascii="Nirmala UI Semilight" w:hAnsi="Nirmala UI Semilight" w:cs="Nirmala UI Semilight"/>
          <w:bCs/>
          <w:sz w:val="28"/>
          <w:szCs w:val="28"/>
        </w:rPr>
        <w:t>“</w:t>
      </w:r>
      <w:r w:rsidRPr="00EC29D1">
        <w:rPr>
          <w:rFonts w:ascii="Nirmala UI Semilight" w:hAnsi="Nirmala UI Semilight" w:cs="Nirmala UI Semilight"/>
          <w:bCs/>
          <w:sz w:val="28"/>
          <w:szCs w:val="28"/>
        </w:rPr>
        <w:t>vida real</w:t>
      </w:r>
      <w:r>
        <w:rPr>
          <w:rFonts w:ascii="Nirmala UI Semilight" w:hAnsi="Nirmala UI Semilight" w:cs="Nirmala UI Semilight"/>
          <w:bCs/>
          <w:sz w:val="28"/>
          <w:szCs w:val="28"/>
        </w:rPr>
        <w:t>”</w:t>
      </w:r>
      <w:r w:rsidRPr="00EC29D1">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EC29D1">
        <w:rPr>
          <w:rFonts w:ascii="Nirmala UI Semilight" w:hAnsi="Nirmala UI Semilight" w:cs="Nirmala UI Semilight"/>
          <w:bCs/>
          <w:sz w:val="28"/>
          <w:szCs w:val="28"/>
        </w:rPr>
        <w:t>Finalmente, los sentimientos de excitación que generaba la delincuencia fueron sustituidos por el temor a ser detectados y a la violencia policial, que impregnaba todos los aspectos de la vida de los delincuentes.</w:t>
      </w:r>
      <w:r>
        <w:rPr>
          <w:rFonts w:ascii="Nirmala UI Semilight" w:hAnsi="Nirmala UI Semilight" w:cs="Nirmala UI Semilight"/>
          <w:bCs/>
          <w:sz w:val="28"/>
          <w:szCs w:val="28"/>
        </w:rPr>
        <w:t xml:space="preserve"> </w:t>
      </w:r>
      <w:r w:rsidRPr="00EC29D1">
        <w:rPr>
          <w:rFonts w:ascii="Nirmala UI Semilight" w:hAnsi="Nirmala UI Semilight" w:cs="Nirmala UI Semilight"/>
          <w:bCs/>
          <w:sz w:val="28"/>
          <w:szCs w:val="28"/>
        </w:rPr>
        <w:t>Esta toma de conciencia llevó a una reevaluación de cómo se veía el futuro, de tal forma que se percibía como un callejón sin salida si los delincuentes continuaban sus vidas en su forma actual.</w:t>
      </w:r>
      <w:r>
        <w:rPr>
          <w:rFonts w:ascii="Nirmala UI Semilight" w:hAnsi="Nirmala UI Semilight" w:cs="Nirmala UI Semilight"/>
          <w:bCs/>
          <w:sz w:val="28"/>
          <w:szCs w:val="28"/>
        </w:rPr>
        <w:t xml:space="preserve"> </w:t>
      </w:r>
      <w:r w:rsidRPr="001F6B75">
        <w:rPr>
          <w:rFonts w:ascii="Nirmala UI Semilight" w:hAnsi="Nirmala UI Semilight" w:cs="Nirmala UI Semilight"/>
          <w:bCs/>
          <w:sz w:val="28"/>
          <w:szCs w:val="28"/>
        </w:rPr>
        <w:t>El futuro se convirtió en algo que adoptó una forma concreta</w:t>
      </w:r>
      <w:r>
        <w:rPr>
          <w:rFonts w:ascii="Nirmala UI Semilight" w:hAnsi="Nirmala UI Semilight" w:cs="Nirmala UI Semilight"/>
          <w:bCs/>
          <w:sz w:val="28"/>
          <w:szCs w:val="28"/>
        </w:rPr>
        <w:t>—</w:t>
      </w:r>
      <w:r w:rsidRPr="001F6B75">
        <w:rPr>
          <w:rFonts w:ascii="Nirmala UI Semilight" w:hAnsi="Nirmala UI Semilight" w:cs="Nirmala UI Semilight"/>
          <w:bCs/>
          <w:sz w:val="28"/>
          <w:szCs w:val="28"/>
        </w:rPr>
        <w:t>e indeseable</w:t>
      </w:r>
      <w:r>
        <w:rPr>
          <w:rFonts w:ascii="Nirmala UI Semilight" w:hAnsi="Nirmala UI Semilight" w:cs="Nirmala UI Semilight"/>
          <w:bCs/>
          <w:sz w:val="28"/>
          <w:szCs w:val="28"/>
        </w:rPr>
        <w:t>—</w:t>
      </w:r>
      <w:r w:rsidRPr="001F6B75">
        <w:rPr>
          <w:rFonts w:ascii="Nirmala UI Semilight" w:hAnsi="Nirmala UI Semilight" w:cs="Nirmala UI Semilight"/>
          <w:bCs/>
          <w:sz w:val="28"/>
          <w:szCs w:val="28"/>
        </w:rPr>
        <w:t>y las aspiraciones, por ejemplo acumular riqueza, se reformularon a la luz de ello (Cusson y Pinsonneault, 1986)</w:t>
      </w:r>
      <w:r w:rsidR="006D02E2">
        <w:rPr>
          <w:rStyle w:val="Refdenotaalpie"/>
          <w:rFonts w:ascii="Nirmala UI Semilight" w:hAnsi="Nirmala UI Semilight" w:cs="Nirmala UI Semilight"/>
          <w:bCs/>
          <w:sz w:val="28"/>
          <w:szCs w:val="28"/>
        </w:rPr>
        <w:footnoteReference w:id="5"/>
      </w:r>
      <w:r w:rsidRPr="001F6B75">
        <w:rPr>
          <w:rFonts w:ascii="Nirmala UI Semilight" w:hAnsi="Nirmala UI Semilight" w:cs="Nirmala UI Semilight"/>
          <w:bCs/>
          <w:sz w:val="28"/>
          <w:szCs w:val="28"/>
        </w:rPr>
        <w:t>.</w:t>
      </w:r>
    </w:p>
    <w:p w14:paraId="330DD238" w14:textId="4872DA98" w:rsidR="00D310C2" w:rsidRDefault="00D310C2" w:rsidP="00D310C2">
      <w:pPr>
        <w:spacing w:after="120" w:line="276" w:lineRule="auto"/>
        <w:jc w:val="both"/>
        <w:rPr>
          <w:rFonts w:ascii="Nirmala UI Semilight" w:hAnsi="Nirmala UI Semilight" w:cs="Nirmala UI Semilight"/>
          <w:bCs/>
          <w:sz w:val="28"/>
          <w:szCs w:val="28"/>
        </w:rPr>
      </w:pPr>
      <w:r w:rsidRPr="001F6B75">
        <w:rPr>
          <w:rFonts w:ascii="Nirmala UI Semilight" w:hAnsi="Nirmala UI Semilight" w:cs="Nirmala UI Semilight"/>
          <w:bCs/>
          <w:sz w:val="28"/>
          <w:szCs w:val="28"/>
        </w:rPr>
        <w:t>La relación entre la obtención de empleo y el desistimiento también está bien documentada (Meisenhelder, 1977; Shover, 1983; Sampson y Laub, 1993; Uggen y Kruttschnitt, 1998; Pezzin, 1995; Laub y Sampson, 2003).</w:t>
      </w:r>
      <w:r>
        <w:rPr>
          <w:rFonts w:ascii="Nirmala UI Semilight" w:hAnsi="Nirmala UI Semilight" w:cs="Nirmala UI Semilight"/>
          <w:bCs/>
          <w:sz w:val="28"/>
          <w:szCs w:val="28"/>
        </w:rPr>
        <w:t xml:space="preserve"> </w:t>
      </w:r>
      <w:r w:rsidRPr="001F6B75">
        <w:rPr>
          <w:rFonts w:ascii="Nirmala UI Semilight" w:hAnsi="Nirmala UI Semilight" w:cs="Nirmala UI Semilight"/>
          <w:bCs/>
          <w:sz w:val="28"/>
          <w:szCs w:val="28"/>
        </w:rPr>
        <w:t>Las explicaciones de esta relación se han centrado tradicionalmente en los cambios en las actividades rutinarias y en la afirmación de que el compromiso con un trabajo aumenta el control social (Laub y Sampson, 2003).</w:t>
      </w:r>
      <w:r>
        <w:rPr>
          <w:rFonts w:ascii="Nirmala UI Semilight" w:hAnsi="Nirmala UI Semilight" w:cs="Nirmala UI Semilight"/>
          <w:bCs/>
          <w:sz w:val="28"/>
          <w:szCs w:val="28"/>
        </w:rPr>
        <w:t xml:space="preserve"> </w:t>
      </w:r>
      <w:r w:rsidRPr="001F6B75">
        <w:rPr>
          <w:rFonts w:ascii="Nirmala UI Semilight" w:hAnsi="Nirmala UI Semilight" w:cs="Nirmala UI Semilight"/>
          <w:bCs/>
          <w:sz w:val="28"/>
          <w:szCs w:val="28"/>
        </w:rPr>
        <w:t>Además de estos beneficios, el trabajo proporciona un sentido de identidad y significado al empleado que es incompatible con la delincuencia continuada, como les ocurrió a muchos de los delincuentes de Farrall (2002).</w:t>
      </w:r>
      <w:r>
        <w:rPr>
          <w:rFonts w:ascii="Nirmala UI Semilight" w:hAnsi="Nirmala UI Semilight" w:cs="Nirmala UI Semilight"/>
          <w:bCs/>
          <w:sz w:val="28"/>
          <w:szCs w:val="28"/>
        </w:rPr>
        <w:t xml:space="preserve"> </w:t>
      </w:r>
      <w:r w:rsidR="00C80D80">
        <w:rPr>
          <w:rFonts w:ascii="Nirmala UI Semilight" w:hAnsi="Nirmala UI Semilight" w:cs="Nirmala UI Semilight"/>
          <w:bCs/>
          <w:sz w:val="28"/>
          <w:szCs w:val="28"/>
        </w:rPr>
        <w:t>Este último</w:t>
      </w:r>
      <w:r w:rsidR="00B532B6">
        <w:rPr>
          <w:rFonts w:ascii="Nirmala UI Semilight" w:hAnsi="Nirmala UI Semilight" w:cs="Nirmala UI Semilight"/>
          <w:bCs/>
          <w:sz w:val="28"/>
          <w:szCs w:val="28"/>
        </w:rPr>
        <w:t xml:space="preserve"> estudio</w:t>
      </w:r>
      <w:r w:rsidRPr="001F6B75">
        <w:rPr>
          <w:rFonts w:ascii="Nirmala UI Semilight" w:hAnsi="Nirmala UI Semilight" w:cs="Nirmala UI Semilight"/>
          <w:bCs/>
          <w:sz w:val="28"/>
          <w:szCs w:val="28"/>
        </w:rPr>
        <w:t xml:space="preserve"> señala que el efecto del empleo sobre la delincuencia se explicaba en parte por el menor tiempo que ofrecía a </w:t>
      </w:r>
      <w:r w:rsidR="00295D5F">
        <w:rPr>
          <w:rFonts w:ascii="Nirmala UI Semilight" w:hAnsi="Nirmala UI Semilight" w:cs="Nirmala UI Semilight"/>
          <w:bCs/>
          <w:sz w:val="28"/>
          <w:szCs w:val="28"/>
        </w:rPr>
        <w:t>sus sujetos</w:t>
      </w:r>
      <w:r w:rsidRPr="001F6B75">
        <w:rPr>
          <w:rFonts w:ascii="Nirmala UI Semilight" w:hAnsi="Nirmala UI Semilight" w:cs="Nirmala UI Semilight"/>
          <w:bCs/>
          <w:sz w:val="28"/>
          <w:szCs w:val="28"/>
        </w:rPr>
        <w:t xml:space="preserve"> para </w:t>
      </w:r>
      <w:r>
        <w:rPr>
          <w:rFonts w:ascii="Nirmala UI Semilight" w:hAnsi="Nirmala UI Semilight" w:cs="Nirmala UI Semilight"/>
          <w:bCs/>
          <w:sz w:val="28"/>
          <w:szCs w:val="28"/>
        </w:rPr>
        <w:t>“</w:t>
      </w:r>
      <w:r w:rsidRPr="001F6B75">
        <w:rPr>
          <w:rFonts w:ascii="Nirmala UI Semilight" w:hAnsi="Nirmala UI Semilight" w:cs="Nirmala UI Semilight"/>
          <w:bCs/>
          <w:sz w:val="28"/>
          <w:szCs w:val="28"/>
        </w:rPr>
        <w:t>pasar el rato</w:t>
      </w:r>
      <w:r>
        <w:rPr>
          <w:rFonts w:ascii="Nirmala UI Semilight" w:hAnsi="Nirmala UI Semilight" w:cs="Nirmala UI Semilight"/>
          <w:bCs/>
          <w:sz w:val="28"/>
          <w:szCs w:val="28"/>
        </w:rPr>
        <w:t>”</w:t>
      </w:r>
      <w:r w:rsidRPr="001F6B75">
        <w:rPr>
          <w:rFonts w:ascii="Nirmala UI Semilight" w:hAnsi="Nirmala UI Semilight" w:cs="Nirmala UI Semilight"/>
          <w:bCs/>
          <w:sz w:val="28"/>
          <w:szCs w:val="28"/>
        </w:rPr>
        <w:t xml:space="preserve">, lo que podría conducir a la delincuencia, </w:t>
      </w:r>
      <w:r w:rsidRPr="001F6B75">
        <w:rPr>
          <w:rFonts w:ascii="Nirmala UI Semilight" w:hAnsi="Nirmala UI Semilight" w:cs="Nirmala UI Semilight"/>
          <w:bCs/>
          <w:sz w:val="28"/>
          <w:szCs w:val="28"/>
        </w:rPr>
        <w:lastRenderedPageBreak/>
        <w:t>pero también tenía un impacto en cómo los individuos se veían a sí mismos y también en cómo eran vistos por los demás.</w:t>
      </w:r>
      <w:r>
        <w:rPr>
          <w:rFonts w:ascii="Nirmala UI Semilight" w:hAnsi="Nirmala UI Semilight" w:cs="Nirmala UI Semilight"/>
          <w:bCs/>
          <w:sz w:val="28"/>
          <w:szCs w:val="28"/>
        </w:rPr>
        <w:t xml:space="preserve"> </w:t>
      </w:r>
      <w:r w:rsidRPr="001F6B75">
        <w:rPr>
          <w:rFonts w:ascii="Nirmala UI Semilight" w:hAnsi="Nirmala UI Semilight" w:cs="Nirmala UI Semilight"/>
          <w:bCs/>
          <w:sz w:val="28"/>
          <w:szCs w:val="28"/>
        </w:rPr>
        <w:t xml:space="preserve">Este cambio fue importante para ayudar a los posibles </w:t>
      </w:r>
      <w:r>
        <w:rPr>
          <w:rFonts w:ascii="Nirmala UI Semilight" w:hAnsi="Nirmala UI Semilight" w:cs="Nirmala UI Semilight"/>
          <w:bCs/>
          <w:sz w:val="28"/>
          <w:szCs w:val="28"/>
        </w:rPr>
        <w:t>desistentes</w:t>
      </w:r>
      <w:r w:rsidRPr="001F6B75">
        <w:rPr>
          <w:rFonts w:ascii="Nirmala UI Semilight" w:hAnsi="Nirmala UI Semilight" w:cs="Nirmala UI Semilight"/>
          <w:bCs/>
          <w:sz w:val="28"/>
          <w:szCs w:val="28"/>
        </w:rPr>
        <w:t xml:space="preserve"> a comprender que sus intentos de llevar una vida </w:t>
      </w:r>
      <w:r>
        <w:rPr>
          <w:rFonts w:ascii="Nirmala UI Semilight" w:hAnsi="Nirmala UI Semilight" w:cs="Nirmala UI Semilight"/>
          <w:bCs/>
          <w:sz w:val="28"/>
          <w:szCs w:val="28"/>
        </w:rPr>
        <w:t>“</w:t>
      </w:r>
      <w:r w:rsidRPr="001F6B75">
        <w:rPr>
          <w:rFonts w:ascii="Nirmala UI Semilight" w:hAnsi="Nirmala UI Semilight" w:cs="Nirmala UI Semilight"/>
          <w:bCs/>
          <w:sz w:val="28"/>
          <w:szCs w:val="28"/>
        </w:rPr>
        <w:t>normal</w:t>
      </w:r>
      <w:r>
        <w:rPr>
          <w:rFonts w:ascii="Nirmala UI Semilight" w:hAnsi="Nirmala UI Semilight" w:cs="Nirmala UI Semilight"/>
          <w:bCs/>
          <w:sz w:val="28"/>
          <w:szCs w:val="28"/>
        </w:rPr>
        <w:t>”</w:t>
      </w:r>
      <w:r w:rsidRPr="001F6B75">
        <w:rPr>
          <w:rFonts w:ascii="Nirmala UI Semilight" w:hAnsi="Nirmala UI Semilight" w:cs="Nirmala UI Semilight"/>
          <w:bCs/>
          <w:sz w:val="28"/>
          <w:szCs w:val="28"/>
        </w:rPr>
        <w:t xml:space="preserve"> podían tener éxito.</w:t>
      </w:r>
    </w:p>
    <w:p w14:paraId="3CB23975" w14:textId="77777777" w:rsidR="009C74CD" w:rsidRDefault="009C74CD" w:rsidP="009C74CD">
      <w:pPr>
        <w:spacing w:after="120" w:line="276" w:lineRule="auto"/>
        <w:jc w:val="both"/>
        <w:rPr>
          <w:rFonts w:ascii="Nirmala UI Semilight" w:hAnsi="Nirmala UI Semilight" w:cs="Nirmala UI Semilight"/>
          <w:bCs/>
          <w:sz w:val="28"/>
          <w:szCs w:val="28"/>
        </w:rPr>
      </w:pPr>
      <w:r w:rsidRPr="001F6B75">
        <w:rPr>
          <w:rFonts w:ascii="Nirmala UI Semilight" w:hAnsi="Nirmala UI Semilight" w:cs="Nirmala UI Semilight"/>
          <w:bCs/>
          <w:sz w:val="28"/>
          <w:szCs w:val="28"/>
        </w:rPr>
        <w:t xml:space="preserve">La formación de parejas románticas también está relacionada con el desistimiento (Shover, 1983; Cusson y Pinsonneault, 1986; Warr, 1988; Horney </w:t>
      </w:r>
      <w:r w:rsidRPr="001F6B75">
        <w:rPr>
          <w:rFonts w:ascii="Nirmala UI Semilight" w:hAnsi="Nirmala UI Semilight" w:cs="Nirmala UI Semilight"/>
          <w:bCs/>
          <w:i/>
          <w:iCs/>
          <w:sz w:val="28"/>
          <w:szCs w:val="28"/>
        </w:rPr>
        <w:t>et al.</w:t>
      </w:r>
      <w:r w:rsidRPr="001F6B75">
        <w:rPr>
          <w:rFonts w:ascii="Nirmala UI Semilight" w:hAnsi="Nirmala UI Semilight" w:cs="Nirmala UI Semilight"/>
          <w:bCs/>
          <w:sz w:val="28"/>
          <w:szCs w:val="28"/>
        </w:rPr>
        <w:t>, 1995).</w:t>
      </w:r>
      <w:r>
        <w:rPr>
          <w:rFonts w:ascii="Nirmala UI Semilight" w:hAnsi="Nirmala UI Semilight" w:cs="Nirmala UI Semilight"/>
          <w:bCs/>
          <w:sz w:val="28"/>
          <w:szCs w:val="28"/>
        </w:rPr>
        <w:t xml:space="preserve"> </w:t>
      </w:r>
      <w:r w:rsidRPr="00391ADA">
        <w:rPr>
          <w:rFonts w:ascii="Nirmala UI Semilight" w:hAnsi="Nirmala UI Semilight" w:cs="Nirmala UI Semilight"/>
          <w:bCs/>
          <w:sz w:val="28"/>
          <w:szCs w:val="28"/>
        </w:rPr>
        <w:t>Se considera que estas relaciones proporcionan un medio de control social informal y la formación de vínculos sociales que alejan al individuo de la delincuencia.</w:t>
      </w:r>
      <w:r>
        <w:rPr>
          <w:rFonts w:ascii="Nirmala UI Semilight" w:hAnsi="Nirmala UI Semilight" w:cs="Nirmala UI Semilight"/>
          <w:bCs/>
          <w:sz w:val="28"/>
          <w:szCs w:val="28"/>
        </w:rPr>
        <w:t xml:space="preserve"> </w:t>
      </w:r>
      <w:r w:rsidRPr="00391ADA">
        <w:rPr>
          <w:rFonts w:ascii="Nirmala UI Semilight" w:hAnsi="Nirmala UI Semilight" w:cs="Nirmala UI Semilight"/>
          <w:bCs/>
          <w:sz w:val="28"/>
          <w:szCs w:val="28"/>
        </w:rPr>
        <w:t>Además, Shover (1983, 1985) afirma que las relaciones contribuyen a reforzar una identidad que no se centra en el delito, lo que provoca un cambio en las actividades rutinarias.</w:t>
      </w:r>
      <w:r>
        <w:rPr>
          <w:rFonts w:ascii="Nirmala UI Semilight" w:hAnsi="Nirmala UI Semilight" w:cs="Nirmala UI Semilight"/>
          <w:bCs/>
          <w:sz w:val="28"/>
          <w:szCs w:val="28"/>
        </w:rPr>
        <w:t xml:space="preserve"> </w:t>
      </w:r>
      <w:r w:rsidRPr="00391ADA">
        <w:rPr>
          <w:rFonts w:ascii="Nirmala UI Semilight" w:hAnsi="Nirmala UI Semilight" w:cs="Nirmala UI Semilight"/>
          <w:bCs/>
          <w:sz w:val="28"/>
          <w:szCs w:val="28"/>
        </w:rPr>
        <w:t xml:space="preserve">Sin embargo, al profundizar en los vínculos entre el matrimonio y el desistimiento, Laub </w:t>
      </w:r>
      <w:r w:rsidRPr="00391ADA">
        <w:rPr>
          <w:rFonts w:ascii="Nirmala UI Semilight" w:hAnsi="Nirmala UI Semilight" w:cs="Nirmala UI Semilight"/>
          <w:bCs/>
          <w:i/>
          <w:iCs/>
          <w:sz w:val="28"/>
          <w:szCs w:val="28"/>
        </w:rPr>
        <w:t>et al.</w:t>
      </w:r>
      <w:r w:rsidRPr="00391ADA">
        <w:rPr>
          <w:rFonts w:ascii="Nirmala UI Semilight" w:hAnsi="Nirmala UI Semilight" w:cs="Nirmala UI Semilight"/>
          <w:bCs/>
          <w:sz w:val="28"/>
          <w:szCs w:val="28"/>
        </w:rPr>
        <w:t xml:space="preserve"> (1998) destacan la importancia de la calidad de la relación conyugal.</w:t>
      </w:r>
      <w:r>
        <w:rPr>
          <w:rFonts w:ascii="Nirmala UI Semilight" w:hAnsi="Nirmala UI Semilight" w:cs="Nirmala UI Semilight"/>
          <w:bCs/>
          <w:sz w:val="28"/>
          <w:szCs w:val="28"/>
        </w:rPr>
        <w:t xml:space="preserve"> </w:t>
      </w:r>
      <w:r w:rsidRPr="00391ADA">
        <w:rPr>
          <w:rFonts w:ascii="Nirmala UI Semilight" w:hAnsi="Nirmala UI Semilight" w:cs="Nirmala UI Semilight"/>
          <w:bCs/>
          <w:sz w:val="28"/>
          <w:szCs w:val="28"/>
        </w:rPr>
        <w:t>Un buen matrimonio, es decir, aquel en el que el posible desistidor está comprometido con la relación, se asoció con el desistimiento de la delincuencia, más que aquel en el que faltaba dicho compromiso.</w:t>
      </w:r>
      <w:r>
        <w:rPr>
          <w:rFonts w:ascii="Nirmala UI Semilight" w:hAnsi="Nirmala UI Semilight" w:cs="Nirmala UI Semilight"/>
          <w:bCs/>
          <w:sz w:val="28"/>
          <w:szCs w:val="28"/>
        </w:rPr>
        <w:t xml:space="preserve"> </w:t>
      </w:r>
      <w:r w:rsidRPr="00391ADA">
        <w:rPr>
          <w:rFonts w:ascii="Nirmala UI Semilight" w:hAnsi="Nirmala UI Semilight" w:cs="Nirmala UI Semilight"/>
          <w:bCs/>
          <w:sz w:val="28"/>
          <w:szCs w:val="28"/>
        </w:rPr>
        <w:t>Además, se afirma que el impacto del matrimonio en la delincuencia se mantiene independientemente de la propia desviación del cónyuge (Sampson y Laub, 1993).</w:t>
      </w:r>
    </w:p>
    <w:p w14:paraId="413AC801" w14:textId="77777777" w:rsidR="004C3849" w:rsidRDefault="004C3849" w:rsidP="004C3849">
      <w:pPr>
        <w:spacing w:after="120" w:line="276" w:lineRule="auto"/>
        <w:jc w:val="both"/>
        <w:rPr>
          <w:rFonts w:ascii="Nirmala UI Semilight" w:hAnsi="Nirmala UI Semilight" w:cs="Nirmala UI Semilight"/>
          <w:bCs/>
          <w:sz w:val="28"/>
          <w:szCs w:val="28"/>
        </w:rPr>
      </w:pPr>
      <w:r w:rsidRPr="004B6220">
        <w:rPr>
          <w:rFonts w:ascii="Nirmala UI Semilight" w:hAnsi="Nirmala UI Semilight" w:cs="Nirmala UI Semilight"/>
          <w:bCs/>
          <w:sz w:val="28"/>
          <w:szCs w:val="28"/>
        </w:rPr>
        <w:t>También se ha sostenido que el papel del matrimonio y el empleo en el desistimiento de la delincuencia está graduado por edades, es decir, que sólo influyen en el comportamiento de los delincuentes si se producen a una determinada edad (Uggen, 2000).</w:t>
      </w:r>
      <w:r>
        <w:rPr>
          <w:rFonts w:ascii="Nirmala UI Semilight" w:hAnsi="Nirmala UI Semilight" w:cs="Nirmala UI Semilight"/>
          <w:bCs/>
          <w:sz w:val="28"/>
          <w:szCs w:val="28"/>
        </w:rPr>
        <w:t xml:space="preserve"> </w:t>
      </w:r>
      <w:r w:rsidRPr="004B6220">
        <w:rPr>
          <w:rFonts w:ascii="Nirmala UI Semilight" w:hAnsi="Nirmala UI Semilight" w:cs="Nirmala UI Semilight"/>
          <w:bCs/>
          <w:sz w:val="28"/>
          <w:szCs w:val="28"/>
        </w:rPr>
        <w:t>En la muestra de Uggen (2000), el empleo sólo estaba relacionado con el desistimiento en el caso de los mayores de 27 años.</w:t>
      </w:r>
      <w:r>
        <w:rPr>
          <w:rFonts w:ascii="Nirmala UI Semilight" w:hAnsi="Nirmala UI Semilight" w:cs="Nirmala UI Semilight"/>
          <w:bCs/>
          <w:sz w:val="28"/>
          <w:szCs w:val="28"/>
        </w:rPr>
        <w:t xml:space="preserve"> </w:t>
      </w:r>
      <w:r w:rsidRPr="004B6220">
        <w:rPr>
          <w:rFonts w:ascii="Nirmala UI Semilight" w:hAnsi="Nirmala UI Semilight" w:cs="Nirmala UI Semilight"/>
          <w:bCs/>
          <w:sz w:val="28"/>
          <w:szCs w:val="28"/>
        </w:rPr>
        <w:t xml:space="preserve">Laub </w:t>
      </w:r>
      <w:r w:rsidRPr="004B6220">
        <w:rPr>
          <w:rFonts w:ascii="Nirmala UI Semilight" w:hAnsi="Nirmala UI Semilight" w:cs="Nirmala UI Semilight"/>
          <w:bCs/>
          <w:i/>
          <w:iCs/>
          <w:sz w:val="28"/>
          <w:szCs w:val="28"/>
        </w:rPr>
        <w:t>et al.</w:t>
      </w:r>
      <w:r w:rsidRPr="004B6220">
        <w:rPr>
          <w:rFonts w:ascii="Nirmala UI Semilight" w:hAnsi="Nirmala UI Semilight" w:cs="Nirmala UI Semilight"/>
          <w:bCs/>
          <w:sz w:val="28"/>
          <w:szCs w:val="28"/>
        </w:rPr>
        <w:t xml:space="preserve"> (1998) sugieren que un </w:t>
      </w:r>
      <w:r>
        <w:rPr>
          <w:rFonts w:ascii="Nirmala UI Semilight" w:hAnsi="Nirmala UI Semilight" w:cs="Nirmala UI Semilight"/>
          <w:bCs/>
          <w:sz w:val="28"/>
          <w:szCs w:val="28"/>
        </w:rPr>
        <w:t>“</w:t>
      </w:r>
      <w:r w:rsidRPr="004B6220">
        <w:rPr>
          <w:rFonts w:ascii="Nirmala UI Semilight" w:hAnsi="Nirmala UI Semilight" w:cs="Nirmala UI Semilight"/>
          <w:bCs/>
          <w:sz w:val="28"/>
          <w:szCs w:val="28"/>
        </w:rPr>
        <w:t>buen</w:t>
      </w:r>
      <w:r>
        <w:rPr>
          <w:rFonts w:ascii="Nirmala UI Semilight" w:hAnsi="Nirmala UI Semilight" w:cs="Nirmala UI Semilight"/>
          <w:bCs/>
          <w:sz w:val="28"/>
          <w:szCs w:val="28"/>
        </w:rPr>
        <w:t>”</w:t>
      </w:r>
      <w:r w:rsidRPr="004B6220">
        <w:rPr>
          <w:rFonts w:ascii="Nirmala UI Semilight" w:hAnsi="Nirmala UI Semilight" w:cs="Nirmala UI Semilight"/>
          <w:bCs/>
          <w:sz w:val="28"/>
          <w:szCs w:val="28"/>
        </w:rPr>
        <w:t xml:space="preserve"> matrimonio que tenga lugar en una etapa temprana de la vida puede llegar a tener un efecto preventivo sobre el comportamiento delictivo, siendo importante el momento elegido porque los vínculos sociales que el matrimonio introduce en la vida necesitan tiempo para desarrollarse.</w:t>
      </w:r>
      <w:r>
        <w:rPr>
          <w:rFonts w:ascii="Nirmala UI Semilight" w:hAnsi="Nirmala UI Semilight" w:cs="Nirmala UI Semilight"/>
          <w:bCs/>
          <w:sz w:val="28"/>
          <w:szCs w:val="28"/>
        </w:rPr>
        <w:t xml:space="preserve"> </w:t>
      </w:r>
    </w:p>
    <w:p w14:paraId="045ED2BF" w14:textId="4D756641" w:rsidR="002B071F" w:rsidRDefault="002B071F" w:rsidP="002B071F">
      <w:pPr>
        <w:spacing w:after="120" w:line="276" w:lineRule="auto"/>
        <w:jc w:val="both"/>
        <w:rPr>
          <w:rFonts w:ascii="Nirmala UI Semilight" w:hAnsi="Nirmala UI Semilight" w:cs="Nirmala UI Semilight"/>
          <w:bCs/>
          <w:sz w:val="28"/>
          <w:szCs w:val="28"/>
        </w:rPr>
      </w:pPr>
      <w:r w:rsidRPr="00F03E78">
        <w:rPr>
          <w:rFonts w:ascii="Nirmala UI Semilight" w:hAnsi="Nirmala UI Semilight" w:cs="Nirmala UI Semilight"/>
          <w:bCs/>
          <w:sz w:val="28"/>
          <w:szCs w:val="28"/>
        </w:rPr>
        <w:lastRenderedPageBreak/>
        <w:t>Las observaciones relativas a los factores anteriores asociados al desistimiento de la delincuencia son más o menos ampliamente aceptadas (Laub y Sampson, 2001).</w:t>
      </w:r>
      <w:r>
        <w:rPr>
          <w:rFonts w:ascii="Nirmala UI Semilight" w:hAnsi="Nirmala UI Semilight" w:cs="Nirmala UI Semilight"/>
          <w:bCs/>
          <w:sz w:val="28"/>
          <w:szCs w:val="28"/>
        </w:rPr>
        <w:t xml:space="preserve"> </w:t>
      </w:r>
      <w:r w:rsidRPr="008E6997">
        <w:rPr>
          <w:rFonts w:ascii="Nirmala UI Semilight" w:hAnsi="Nirmala UI Semilight" w:cs="Nirmala UI Semilight"/>
          <w:bCs/>
          <w:sz w:val="28"/>
          <w:szCs w:val="28"/>
        </w:rPr>
        <w:t>En los últimos años, la investigación ha tratado de considerar en mayor profundidad los procesos subjetivos que son concomitantes con las transiciones en el curso de la vida, como la obtención de un empleo o el matrimonio y, por tanto, concomitantes con el desistimiento de la delincuencia.</w:t>
      </w:r>
      <w:r>
        <w:rPr>
          <w:rFonts w:ascii="Nirmala UI Semilight" w:hAnsi="Nirmala UI Semilight" w:cs="Nirmala UI Semilight"/>
          <w:bCs/>
          <w:sz w:val="28"/>
          <w:szCs w:val="28"/>
        </w:rPr>
        <w:t xml:space="preserve"> </w:t>
      </w:r>
      <w:r w:rsidRPr="008E6997">
        <w:rPr>
          <w:rFonts w:ascii="Nirmala UI Semilight" w:hAnsi="Nirmala UI Semilight" w:cs="Nirmala UI Semilight"/>
          <w:bCs/>
          <w:sz w:val="28"/>
          <w:szCs w:val="28"/>
        </w:rPr>
        <w:t>Los trabajos de Maruna (2001), Sampson y Laub (1993; Laub y Sampson, 2003), Giordano et al. (2002) y Farrall (2002, 2005; Maruna y Farrall, 2004; Farrall y Calverley, 2006; Farrall et al., 2014) son los más destacados en este movimiento</w:t>
      </w:r>
      <w:r w:rsidR="00FB6129">
        <w:rPr>
          <w:rStyle w:val="Refdenotaalpie"/>
          <w:rFonts w:ascii="Nirmala UI Semilight" w:hAnsi="Nirmala UI Semilight" w:cs="Nirmala UI Semilight"/>
          <w:bCs/>
          <w:sz w:val="28"/>
          <w:szCs w:val="28"/>
        </w:rPr>
        <w:footnoteReference w:id="6"/>
      </w:r>
      <w:r w:rsidRPr="008E6997">
        <w:rPr>
          <w:rFonts w:ascii="Nirmala UI Semilight" w:hAnsi="Nirmala UI Semilight" w:cs="Nirmala UI Semilight"/>
          <w:bCs/>
          <w:sz w:val="28"/>
          <w:szCs w:val="28"/>
        </w:rPr>
        <w:t xml:space="preserve">, mientras que el trabajo de Bottoms </w:t>
      </w:r>
      <w:r w:rsidRPr="008E6997">
        <w:rPr>
          <w:rFonts w:ascii="Nirmala UI Semilight" w:hAnsi="Nirmala UI Semilight" w:cs="Nirmala UI Semilight"/>
          <w:bCs/>
          <w:i/>
          <w:iCs/>
          <w:sz w:val="28"/>
          <w:szCs w:val="28"/>
        </w:rPr>
        <w:t>et al.</w:t>
      </w:r>
      <w:r w:rsidRPr="008E6997">
        <w:rPr>
          <w:rFonts w:ascii="Nirmala UI Semilight" w:hAnsi="Nirmala UI Semilight" w:cs="Nirmala UI Semilight"/>
          <w:bCs/>
          <w:sz w:val="28"/>
          <w:szCs w:val="28"/>
        </w:rPr>
        <w:t xml:space="preserve"> (2004) realiza aportaciones más teóricas.</w:t>
      </w:r>
      <w:r>
        <w:rPr>
          <w:rFonts w:ascii="Nirmala UI Semilight" w:hAnsi="Nirmala UI Semilight" w:cs="Nirmala UI Semilight"/>
          <w:bCs/>
          <w:sz w:val="28"/>
          <w:szCs w:val="28"/>
        </w:rPr>
        <w:t xml:space="preserve"> </w:t>
      </w:r>
      <w:r w:rsidR="00B70666">
        <w:rPr>
          <w:rFonts w:ascii="Nirmala UI Semilight" w:hAnsi="Nirmala UI Semilight" w:cs="Nirmala UI Semilight"/>
          <w:bCs/>
          <w:sz w:val="28"/>
          <w:szCs w:val="28"/>
        </w:rPr>
        <w:t>Por mi parte, l</w:t>
      </w:r>
      <w:r>
        <w:rPr>
          <w:rFonts w:ascii="Nirmala UI Semilight" w:hAnsi="Nirmala UI Semilight" w:cs="Nirmala UI Semilight"/>
          <w:bCs/>
          <w:sz w:val="28"/>
          <w:szCs w:val="28"/>
        </w:rPr>
        <w:t xml:space="preserve">o que intentaré aquí es algo que no está suficientemente explorado </w:t>
      </w:r>
      <w:r w:rsidR="00B70666">
        <w:rPr>
          <w:rFonts w:ascii="Nirmala UI Semilight" w:hAnsi="Nirmala UI Semilight" w:cs="Nirmala UI Semilight"/>
          <w:bCs/>
          <w:sz w:val="28"/>
          <w:szCs w:val="28"/>
        </w:rPr>
        <w:t>e implica</w:t>
      </w:r>
      <w:r w:rsidRPr="008E6997">
        <w:rPr>
          <w:rFonts w:ascii="Nirmala UI Semilight" w:hAnsi="Nirmala UI Semilight" w:cs="Nirmala UI Semilight"/>
          <w:bCs/>
          <w:sz w:val="28"/>
          <w:szCs w:val="28"/>
        </w:rPr>
        <w:t xml:space="preserve"> hace</w:t>
      </w:r>
      <w:r w:rsidR="00B70666">
        <w:rPr>
          <w:rFonts w:ascii="Nirmala UI Semilight" w:hAnsi="Nirmala UI Semilight" w:cs="Nirmala UI Semilight"/>
          <w:bCs/>
          <w:sz w:val="28"/>
          <w:szCs w:val="28"/>
        </w:rPr>
        <w:t>r</w:t>
      </w:r>
      <w:r w:rsidRPr="008E6997">
        <w:rPr>
          <w:rFonts w:ascii="Nirmala UI Semilight" w:hAnsi="Nirmala UI Semilight" w:cs="Nirmala UI Semilight"/>
          <w:bCs/>
          <w:sz w:val="28"/>
          <w:szCs w:val="28"/>
        </w:rPr>
        <w:t xml:space="preserve"> especial hincapié en el modo en que el desistimiento es </w:t>
      </w:r>
      <w:r w:rsidRPr="00B70666">
        <w:rPr>
          <w:rFonts w:ascii="Nirmala UI Semilight" w:hAnsi="Nirmala UI Semilight" w:cs="Nirmala UI Semilight"/>
          <w:bCs/>
          <w:i/>
          <w:iCs/>
          <w:sz w:val="28"/>
          <w:szCs w:val="28"/>
        </w:rPr>
        <w:t>construido por quien desiste</w:t>
      </w:r>
      <w:r w:rsidRPr="008E6997">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p>
    <w:p w14:paraId="0A0F3487" w14:textId="411FFFDC" w:rsidR="002B071F" w:rsidRDefault="00A53C7A" w:rsidP="004C3849">
      <w:pPr>
        <w:spacing w:after="120" w:line="276" w:lineRule="auto"/>
        <w:jc w:val="both"/>
        <w:rPr>
          <w:rFonts w:ascii="Nirmala UI Semilight" w:hAnsi="Nirmala UI Semilight" w:cs="Nirmala UI Semilight"/>
          <w:bCs/>
          <w:sz w:val="28"/>
          <w:szCs w:val="28"/>
        </w:rPr>
      </w:pPr>
      <w:r w:rsidRPr="000B465D">
        <w:rPr>
          <w:rFonts w:ascii="Nirmala UI Semilight" w:hAnsi="Nirmala UI Semilight" w:cs="Nirmala UI Semilight"/>
          <w:bCs/>
          <w:sz w:val="28"/>
          <w:szCs w:val="28"/>
        </w:rPr>
        <w:t>La contribución de estos trabajos es poner de manifiesto cómo es la experiencia del desistimiento para el desistente y hacer relevante la comprensión de cómo la mera presencia de elementos que propicien el desistimiento no es garantía de que éste se produzca.</w:t>
      </w:r>
      <w:r>
        <w:rPr>
          <w:rFonts w:ascii="Nirmala UI Semilight" w:hAnsi="Nirmala UI Semilight" w:cs="Nirmala UI Semilight"/>
          <w:bCs/>
          <w:sz w:val="28"/>
          <w:szCs w:val="28"/>
        </w:rPr>
        <w:t xml:space="preserve"> </w:t>
      </w:r>
      <w:r w:rsidRPr="00583653">
        <w:rPr>
          <w:rFonts w:ascii="Nirmala UI Semilight" w:hAnsi="Nirmala UI Semilight" w:cs="Nirmala UI Semilight"/>
          <w:bCs/>
          <w:sz w:val="28"/>
          <w:szCs w:val="28"/>
        </w:rPr>
        <w:t xml:space="preserve">Aunque los estudios anteriores se centraban en delincuentes </w:t>
      </w:r>
      <w:r>
        <w:rPr>
          <w:rFonts w:ascii="Nirmala UI Semilight" w:hAnsi="Nirmala UI Semilight" w:cs="Nirmala UI Semilight"/>
          <w:bCs/>
          <w:sz w:val="28"/>
          <w:szCs w:val="28"/>
        </w:rPr>
        <w:t>“</w:t>
      </w:r>
      <w:r w:rsidRPr="00583653">
        <w:rPr>
          <w:rFonts w:ascii="Nirmala UI Semilight" w:hAnsi="Nirmala UI Semilight" w:cs="Nirmala UI Semilight"/>
          <w:bCs/>
          <w:sz w:val="28"/>
          <w:szCs w:val="28"/>
        </w:rPr>
        <w:t>callejeros</w:t>
      </w:r>
      <w:r>
        <w:rPr>
          <w:rFonts w:ascii="Nirmala UI Semilight" w:hAnsi="Nirmala UI Semilight" w:cs="Nirmala UI Semilight"/>
          <w:bCs/>
          <w:sz w:val="28"/>
          <w:szCs w:val="28"/>
        </w:rPr>
        <w:t>”</w:t>
      </w:r>
      <w:r w:rsidRPr="00583653">
        <w:rPr>
          <w:rFonts w:ascii="Nirmala UI Semilight" w:hAnsi="Nirmala UI Semilight" w:cs="Nirmala UI Semilight"/>
          <w:bCs/>
          <w:sz w:val="28"/>
          <w:szCs w:val="28"/>
        </w:rPr>
        <w:t xml:space="preserve">, el modo en que los delincuentes que desisten con éxito de la delincuencia son capaces de identificar posibilidades de cambio en su entorno, de </w:t>
      </w:r>
      <w:r>
        <w:rPr>
          <w:rFonts w:ascii="Nirmala UI Semilight" w:hAnsi="Nirmala UI Semilight" w:cs="Nirmala UI Semilight"/>
          <w:bCs/>
          <w:sz w:val="28"/>
          <w:szCs w:val="28"/>
        </w:rPr>
        <w:t>“</w:t>
      </w:r>
      <w:r w:rsidRPr="00583653">
        <w:rPr>
          <w:rFonts w:ascii="Nirmala UI Semilight" w:hAnsi="Nirmala UI Semilight" w:cs="Nirmala UI Semilight"/>
          <w:bCs/>
          <w:sz w:val="28"/>
          <w:szCs w:val="28"/>
        </w:rPr>
        <w:t>gestionar</w:t>
      </w:r>
      <w:r>
        <w:rPr>
          <w:rFonts w:ascii="Nirmala UI Semilight" w:hAnsi="Nirmala UI Semilight" w:cs="Nirmala UI Semilight"/>
          <w:bCs/>
          <w:sz w:val="28"/>
          <w:szCs w:val="28"/>
        </w:rPr>
        <w:t>”</w:t>
      </w:r>
      <w:r w:rsidRPr="00583653">
        <w:rPr>
          <w:rFonts w:ascii="Nirmala UI Semilight" w:hAnsi="Nirmala UI Semilight" w:cs="Nirmala UI Semilight"/>
          <w:bCs/>
          <w:sz w:val="28"/>
          <w:szCs w:val="28"/>
        </w:rPr>
        <w:t xml:space="preserve"> sus narrativas personales y de hacerlo reconciliando un pasado inmutable con un yo futuro deseado puede aportar importantes ideas para otras poblaciones de delincuentes.</w:t>
      </w:r>
      <w:r>
        <w:rPr>
          <w:rFonts w:ascii="Nirmala UI Semilight" w:hAnsi="Nirmala UI Semilight" w:cs="Nirmala UI Semilight"/>
          <w:bCs/>
          <w:sz w:val="28"/>
          <w:szCs w:val="28"/>
        </w:rPr>
        <w:t xml:space="preserve"> </w:t>
      </w:r>
      <w:r w:rsidRPr="006636AD">
        <w:rPr>
          <w:rFonts w:ascii="Nirmala UI Semilight" w:hAnsi="Nirmala UI Semilight" w:cs="Nirmala UI Semilight"/>
          <w:bCs/>
          <w:sz w:val="28"/>
          <w:szCs w:val="28"/>
        </w:rPr>
        <w:t xml:space="preserve">Esta preocupación es el tema central de la </w:t>
      </w:r>
      <w:r w:rsidRPr="006636AD">
        <w:rPr>
          <w:rFonts w:ascii="Nirmala UI Semilight" w:hAnsi="Nirmala UI Semilight" w:cs="Nirmala UI Semilight"/>
          <w:bCs/>
          <w:sz w:val="28"/>
          <w:szCs w:val="28"/>
        </w:rPr>
        <w:lastRenderedPageBreak/>
        <w:t xml:space="preserve">presente investigación, que trata de comprender el desistimiento de los </w:t>
      </w:r>
      <w:r w:rsidR="00FC5DA9">
        <w:rPr>
          <w:rFonts w:ascii="Nirmala UI Semilight" w:hAnsi="Nirmala UI Semilight" w:cs="Nirmala UI Semilight"/>
          <w:bCs/>
          <w:sz w:val="28"/>
          <w:szCs w:val="28"/>
        </w:rPr>
        <w:t xml:space="preserve">jóvenes </w:t>
      </w:r>
      <w:r w:rsidRPr="006636AD">
        <w:rPr>
          <w:rFonts w:ascii="Nirmala UI Semilight" w:hAnsi="Nirmala UI Semilight" w:cs="Nirmala UI Semilight"/>
          <w:bCs/>
          <w:sz w:val="28"/>
          <w:szCs w:val="28"/>
        </w:rPr>
        <w:t xml:space="preserve">delincuentes </w:t>
      </w:r>
      <w:r w:rsidR="00FC5DA9">
        <w:rPr>
          <w:rFonts w:ascii="Nirmala UI Semilight" w:hAnsi="Nirmala UI Semilight" w:cs="Nirmala UI Semilight"/>
          <w:bCs/>
          <w:sz w:val="28"/>
          <w:szCs w:val="28"/>
        </w:rPr>
        <w:t>clasemedieros</w:t>
      </w:r>
      <w:r w:rsidRPr="006636AD">
        <w:rPr>
          <w:rFonts w:ascii="Nirmala UI Semilight" w:hAnsi="Nirmala UI Semilight" w:cs="Nirmala UI Semilight"/>
          <w:bCs/>
          <w:sz w:val="28"/>
          <w:szCs w:val="28"/>
        </w:rPr>
        <w:t>.</w:t>
      </w:r>
    </w:p>
    <w:p w14:paraId="14F9B124" w14:textId="77777777" w:rsidR="00A53C7A" w:rsidRDefault="00A53C7A" w:rsidP="004C3849">
      <w:pPr>
        <w:spacing w:after="120" w:line="276" w:lineRule="auto"/>
        <w:jc w:val="both"/>
        <w:rPr>
          <w:rFonts w:ascii="Nirmala UI Semilight" w:hAnsi="Nirmala UI Semilight" w:cs="Nirmala UI Semilight"/>
          <w:bCs/>
          <w:sz w:val="28"/>
          <w:szCs w:val="28"/>
        </w:rPr>
      </w:pPr>
    </w:p>
    <w:p w14:paraId="7406B84A" w14:textId="3A7E4CFE" w:rsidR="004A0E29" w:rsidRPr="001F0739" w:rsidRDefault="00416866" w:rsidP="004C3849">
      <w:pPr>
        <w:spacing w:after="120" w:line="276" w:lineRule="auto"/>
        <w:jc w:val="both"/>
        <w:rPr>
          <w:rFonts w:ascii="Nirmala UI Semilight" w:hAnsi="Nirmala UI Semilight" w:cs="Nirmala UI Semilight"/>
          <w:bCs/>
          <w:i/>
          <w:iCs/>
          <w:sz w:val="28"/>
          <w:szCs w:val="28"/>
        </w:rPr>
      </w:pPr>
      <w:r w:rsidRPr="001F0739">
        <w:rPr>
          <w:rFonts w:ascii="Nirmala UI Semilight" w:hAnsi="Nirmala UI Semilight" w:cs="Nirmala UI Semilight"/>
          <w:bCs/>
          <w:i/>
          <w:iCs/>
          <w:sz w:val="28"/>
          <w:szCs w:val="28"/>
        </w:rPr>
        <w:t xml:space="preserve">Comparando </w:t>
      </w:r>
      <w:r w:rsidR="008A019F" w:rsidRPr="001F0739">
        <w:rPr>
          <w:rFonts w:ascii="Nirmala UI Semilight" w:hAnsi="Nirmala UI Semilight" w:cs="Nirmala UI Semilight"/>
          <w:bCs/>
          <w:i/>
          <w:iCs/>
          <w:sz w:val="28"/>
          <w:szCs w:val="28"/>
        </w:rPr>
        <w:t>formas de cometer delitos</w:t>
      </w:r>
      <w:r w:rsidR="001F0739" w:rsidRPr="001F0739">
        <w:rPr>
          <w:rFonts w:ascii="Nirmala UI Semilight" w:hAnsi="Nirmala UI Semilight" w:cs="Nirmala UI Semilight"/>
          <w:bCs/>
          <w:i/>
          <w:iCs/>
          <w:sz w:val="28"/>
          <w:szCs w:val="28"/>
        </w:rPr>
        <w:t>: criminales de cuello blanco</w:t>
      </w:r>
    </w:p>
    <w:p w14:paraId="4C2A955D" w14:textId="3B1CE3A1" w:rsidR="00D11E15" w:rsidRDefault="00A037D4" w:rsidP="00D11E15">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Puede ser muy útil revisar</w:t>
      </w:r>
      <w:r w:rsidR="00D11E15">
        <w:rPr>
          <w:rFonts w:ascii="Nirmala UI Semilight" w:hAnsi="Nirmala UI Semilight" w:cs="Nirmala UI Semilight"/>
          <w:bCs/>
          <w:sz w:val="28"/>
          <w:szCs w:val="28"/>
        </w:rPr>
        <w:t xml:space="preserve"> rápidamente el pequeño conjunto de estudios sobre el desistimiento de los delincuentes de cuello blanco</w:t>
      </w:r>
      <w:r>
        <w:rPr>
          <w:rFonts w:ascii="Nirmala UI Semilight" w:hAnsi="Nirmala UI Semilight" w:cs="Nirmala UI Semilight"/>
          <w:bCs/>
          <w:sz w:val="28"/>
          <w:szCs w:val="28"/>
        </w:rPr>
        <w:t xml:space="preserve">. </w:t>
      </w:r>
      <w:r w:rsidR="00D11E15" w:rsidRPr="0023682F">
        <w:rPr>
          <w:rFonts w:ascii="Nirmala UI Semilight" w:hAnsi="Nirmala UI Semilight" w:cs="Nirmala UI Semilight"/>
          <w:bCs/>
          <w:sz w:val="28"/>
          <w:szCs w:val="28"/>
        </w:rPr>
        <w:t xml:space="preserve">Las observaciones de Weisburd </w:t>
      </w:r>
      <w:r w:rsidR="00D11E15" w:rsidRPr="0023682F">
        <w:rPr>
          <w:rFonts w:ascii="Nirmala UI Semilight" w:hAnsi="Nirmala UI Semilight" w:cs="Nirmala UI Semilight"/>
          <w:bCs/>
          <w:i/>
          <w:iCs/>
          <w:sz w:val="28"/>
          <w:szCs w:val="28"/>
        </w:rPr>
        <w:t>et al.</w:t>
      </w:r>
      <w:r w:rsidR="00D11E15" w:rsidRPr="0023682F">
        <w:rPr>
          <w:rFonts w:ascii="Nirmala UI Semilight" w:hAnsi="Nirmala UI Semilight" w:cs="Nirmala UI Semilight"/>
          <w:bCs/>
          <w:sz w:val="28"/>
          <w:szCs w:val="28"/>
        </w:rPr>
        <w:t xml:space="preserve"> (2001), aunque hay que admitir que su alcance es algo limitado, brindan la oportunidad de replantearse la sabiduría común sobre el desistimiento de la delincuencia.</w:t>
      </w:r>
      <w:r w:rsidR="00D11E15">
        <w:rPr>
          <w:rFonts w:ascii="Nirmala UI Semilight" w:hAnsi="Nirmala UI Semilight" w:cs="Nirmala UI Semilight"/>
          <w:bCs/>
          <w:sz w:val="28"/>
          <w:szCs w:val="28"/>
        </w:rPr>
        <w:t xml:space="preserve"> </w:t>
      </w:r>
      <w:r w:rsidR="00D11E15" w:rsidRPr="00B60FE7">
        <w:rPr>
          <w:rFonts w:ascii="Nirmala UI Semilight" w:hAnsi="Nirmala UI Semilight" w:cs="Nirmala UI Semilight"/>
          <w:bCs/>
          <w:sz w:val="28"/>
          <w:szCs w:val="28"/>
        </w:rPr>
        <w:t>Los estudios sobre el desistimiento destacan la importancia de la edad, el matrimonio, el empleo y el contacto con el sistema de justicia penal para comprender por qué los individuos desisten de la delincuencia.</w:t>
      </w:r>
      <w:r w:rsidR="00D11E15">
        <w:rPr>
          <w:rFonts w:ascii="Nirmala UI Semilight" w:hAnsi="Nirmala UI Semilight" w:cs="Nirmala UI Semilight"/>
          <w:bCs/>
          <w:sz w:val="28"/>
          <w:szCs w:val="28"/>
        </w:rPr>
        <w:t xml:space="preserve"> </w:t>
      </w:r>
      <w:r w:rsidR="00D11E15" w:rsidRPr="00B60FE7">
        <w:rPr>
          <w:rFonts w:ascii="Nirmala UI Semilight" w:hAnsi="Nirmala UI Semilight" w:cs="Nirmala UI Semilight"/>
          <w:bCs/>
          <w:sz w:val="28"/>
          <w:szCs w:val="28"/>
        </w:rPr>
        <w:t xml:space="preserve">Sin embargo, como se ha indicado, los delincuentes de </w:t>
      </w:r>
      <w:r w:rsidR="00D11E15">
        <w:rPr>
          <w:rFonts w:ascii="Nirmala UI Semilight" w:hAnsi="Nirmala UI Semilight" w:cs="Nirmala UI Semilight"/>
          <w:bCs/>
          <w:sz w:val="28"/>
          <w:szCs w:val="28"/>
        </w:rPr>
        <w:t>cuello</w:t>
      </w:r>
      <w:r w:rsidR="00D11E15" w:rsidRPr="00B60FE7">
        <w:rPr>
          <w:rFonts w:ascii="Nirmala UI Semilight" w:hAnsi="Nirmala UI Semilight" w:cs="Nirmala UI Semilight"/>
          <w:bCs/>
          <w:sz w:val="28"/>
          <w:szCs w:val="28"/>
        </w:rPr>
        <w:t xml:space="preserve"> blanco son, por término medio, mayores, tienen más probabilidades de estar casados y de tener un empleo en el momento de cometer sus delitos que los demás delincuentes (Benson y Kerley, 2001).</w:t>
      </w:r>
      <w:r w:rsidR="00D11E15">
        <w:rPr>
          <w:rFonts w:ascii="Nirmala UI Semilight" w:hAnsi="Nirmala UI Semilight" w:cs="Nirmala UI Semilight"/>
          <w:bCs/>
          <w:sz w:val="28"/>
          <w:szCs w:val="28"/>
        </w:rPr>
        <w:t xml:space="preserve"> </w:t>
      </w:r>
    </w:p>
    <w:p w14:paraId="18B0DE30" w14:textId="1C041804" w:rsidR="00D11E15" w:rsidRDefault="00D11E15" w:rsidP="00D11E15">
      <w:pPr>
        <w:spacing w:after="120" w:line="276" w:lineRule="auto"/>
        <w:jc w:val="both"/>
        <w:rPr>
          <w:rFonts w:ascii="Nirmala UI Semilight" w:hAnsi="Nirmala UI Semilight" w:cs="Nirmala UI Semilight"/>
          <w:bCs/>
          <w:sz w:val="28"/>
          <w:szCs w:val="28"/>
        </w:rPr>
      </w:pPr>
      <w:r w:rsidRPr="00AE5044">
        <w:rPr>
          <w:rFonts w:ascii="Nirmala UI Semilight" w:hAnsi="Nirmala UI Semilight" w:cs="Nirmala UI Semilight"/>
          <w:bCs/>
          <w:sz w:val="28"/>
          <w:szCs w:val="28"/>
        </w:rPr>
        <w:t>Algunas explicaciones del desistimiento relacionadas con la edad hacen hincapié en el deterioro de las habilidades físicas necesarias para cometer muchos tipos de delitos callejeros (Farrington, 1986).</w:t>
      </w:r>
      <w:r>
        <w:rPr>
          <w:rFonts w:ascii="Nirmala UI Semilight" w:hAnsi="Nirmala UI Semilight" w:cs="Nirmala UI Semilight"/>
          <w:bCs/>
          <w:sz w:val="28"/>
          <w:szCs w:val="28"/>
        </w:rPr>
        <w:t xml:space="preserve"> </w:t>
      </w:r>
      <w:r w:rsidRPr="00AE5044">
        <w:rPr>
          <w:rFonts w:ascii="Nirmala UI Semilight" w:hAnsi="Nirmala UI Semilight" w:cs="Nirmala UI Semilight"/>
          <w:bCs/>
          <w:sz w:val="28"/>
          <w:szCs w:val="28"/>
        </w:rPr>
        <w:t xml:space="preserve">Weisburd </w:t>
      </w:r>
      <w:r w:rsidRPr="00AE5044">
        <w:rPr>
          <w:rFonts w:ascii="Nirmala UI Semilight" w:hAnsi="Nirmala UI Semilight" w:cs="Nirmala UI Semilight"/>
          <w:bCs/>
          <w:i/>
          <w:iCs/>
          <w:sz w:val="28"/>
          <w:szCs w:val="28"/>
        </w:rPr>
        <w:t>et al.</w:t>
      </w:r>
      <w:r w:rsidRPr="00AE5044">
        <w:rPr>
          <w:rFonts w:ascii="Nirmala UI Semilight" w:hAnsi="Nirmala UI Semilight" w:cs="Nirmala UI Semilight"/>
          <w:bCs/>
          <w:sz w:val="28"/>
          <w:szCs w:val="28"/>
        </w:rPr>
        <w:t xml:space="preserve"> (2001), sin embargo, sugieren que ésta no es una explicación razonable del desistimiento de los delincuentes de cuello blanco, ya que la forma física </w:t>
      </w:r>
      <w:r w:rsidR="00FB4FC1">
        <w:rPr>
          <w:rFonts w:ascii="Nirmala UI Semilight" w:hAnsi="Nirmala UI Semilight" w:cs="Nirmala UI Semilight"/>
          <w:bCs/>
          <w:sz w:val="28"/>
          <w:szCs w:val="28"/>
        </w:rPr>
        <w:t>óptima</w:t>
      </w:r>
      <w:r w:rsidRPr="00AE5044">
        <w:rPr>
          <w:rFonts w:ascii="Nirmala UI Semilight" w:hAnsi="Nirmala UI Semilight" w:cs="Nirmala UI Semilight"/>
          <w:bCs/>
          <w:sz w:val="28"/>
          <w:szCs w:val="28"/>
        </w:rPr>
        <w:t xml:space="preserve"> para cometer delitos callejeros no es necesaria para perpetrar delitos de cuello blanco.</w:t>
      </w:r>
      <w:r>
        <w:rPr>
          <w:rFonts w:ascii="Nirmala UI Semilight" w:hAnsi="Nirmala UI Semilight" w:cs="Nirmala UI Semilight"/>
          <w:bCs/>
          <w:sz w:val="28"/>
          <w:szCs w:val="28"/>
        </w:rPr>
        <w:t xml:space="preserve"> </w:t>
      </w:r>
      <w:r w:rsidRPr="00D27C96">
        <w:rPr>
          <w:rFonts w:ascii="Nirmala UI Semilight" w:hAnsi="Nirmala UI Semilight" w:cs="Nirmala UI Semilight"/>
          <w:bCs/>
          <w:sz w:val="28"/>
          <w:szCs w:val="28"/>
        </w:rPr>
        <w:t xml:space="preserve">De hecho, si hubiera alguna relación esperada entre la edad y la delincuencia de cuello blanco, Weisburd </w:t>
      </w:r>
      <w:r w:rsidRPr="00D27C96">
        <w:rPr>
          <w:rFonts w:ascii="Nirmala UI Semilight" w:hAnsi="Nirmala UI Semilight" w:cs="Nirmala UI Semilight"/>
          <w:bCs/>
          <w:i/>
          <w:iCs/>
          <w:sz w:val="28"/>
          <w:szCs w:val="28"/>
        </w:rPr>
        <w:t>et al.</w:t>
      </w:r>
      <w:r w:rsidRPr="00D27C96">
        <w:rPr>
          <w:rFonts w:ascii="Nirmala UI Semilight" w:hAnsi="Nirmala UI Semilight" w:cs="Nirmala UI Semilight"/>
          <w:bCs/>
          <w:sz w:val="28"/>
          <w:szCs w:val="28"/>
        </w:rPr>
        <w:t xml:space="preserve"> (1991) sugieren que sería en la dirección opuesta a la observada con la delincuencia en general.</w:t>
      </w:r>
      <w:r>
        <w:rPr>
          <w:rFonts w:ascii="Nirmala UI Semilight" w:hAnsi="Nirmala UI Semilight" w:cs="Nirmala UI Semilight"/>
          <w:bCs/>
          <w:sz w:val="28"/>
          <w:szCs w:val="28"/>
        </w:rPr>
        <w:t xml:space="preserve"> </w:t>
      </w:r>
      <w:r w:rsidRPr="00D27C96">
        <w:rPr>
          <w:rFonts w:ascii="Nirmala UI Semilight" w:hAnsi="Nirmala UI Semilight" w:cs="Nirmala UI Semilight"/>
          <w:bCs/>
          <w:sz w:val="28"/>
          <w:szCs w:val="28"/>
        </w:rPr>
        <w:t>A medida que las personas envejecen, se les presentan más oportunidades y posibilidades de cometer delitos de cuello blanco, por ejemplo, mediante una mayor comprensión de las prácticas de trabajo institucionales.</w:t>
      </w:r>
      <w:r>
        <w:rPr>
          <w:rFonts w:ascii="Nirmala UI Semilight" w:hAnsi="Nirmala UI Semilight" w:cs="Nirmala UI Semilight"/>
          <w:bCs/>
          <w:sz w:val="28"/>
          <w:szCs w:val="28"/>
        </w:rPr>
        <w:t xml:space="preserve"> </w:t>
      </w:r>
      <w:r w:rsidRPr="00D27C96">
        <w:rPr>
          <w:rFonts w:ascii="Nirmala UI Semilight" w:hAnsi="Nirmala UI Semilight" w:cs="Nirmala UI Semilight"/>
          <w:bCs/>
          <w:sz w:val="28"/>
          <w:szCs w:val="28"/>
        </w:rPr>
        <w:t xml:space="preserve">Los datos de Weisburd </w:t>
      </w:r>
      <w:r w:rsidRPr="007E3FCA">
        <w:rPr>
          <w:rFonts w:ascii="Nirmala UI Semilight" w:hAnsi="Nirmala UI Semilight" w:cs="Nirmala UI Semilight"/>
          <w:bCs/>
          <w:i/>
          <w:iCs/>
          <w:sz w:val="28"/>
          <w:szCs w:val="28"/>
        </w:rPr>
        <w:t>et al.</w:t>
      </w:r>
      <w:r w:rsidRPr="00D27C96">
        <w:rPr>
          <w:rFonts w:ascii="Nirmala UI Semilight" w:hAnsi="Nirmala UI Semilight" w:cs="Nirmala UI Semilight"/>
          <w:bCs/>
          <w:sz w:val="28"/>
          <w:szCs w:val="28"/>
        </w:rPr>
        <w:t xml:space="preserve"> (2001; véase también </w:t>
      </w:r>
      <w:r w:rsidRPr="00D27C96">
        <w:rPr>
          <w:rFonts w:ascii="Nirmala UI Semilight" w:hAnsi="Nirmala UI Semilight" w:cs="Nirmala UI Semilight"/>
          <w:bCs/>
          <w:sz w:val="28"/>
          <w:szCs w:val="28"/>
        </w:rPr>
        <w:lastRenderedPageBreak/>
        <w:t xml:space="preserve">Benson y Kerley, 2001) indican que los delincuentes de </w:t>
      </w:r>
      <w:r>
        <w:rPr>
          <w:rFonts w:ascii="Nirmala UI Semilight" w:hAnsi="Nirmala UI Semilight" w:cs="Nirmala UI Semilight"/>
          <w:bCs/>
          <w:sz w:val="28"/>
          <w:szCs w:val="28"/>
        </w:rPr>
        <w:t>cuello</w:t>
      </w:r>
      <w:r w:rsidRPr="00D27C96">
        <w:rPr>
          <w:rFonts w:ascii="Nirmala UI Semilight" w:hAnsi="Nirmala UI Semilight" w:cs="Nirmala UI Semilight"/>
          <w:bCs/>
          <w:sz w:val="28"/>
          <w:szCs w:val="28"/>
        </w:rPr>
        <w:t xml:space="preserve"> blanco </w:t>
      </w:r>
      <w:r>
        <w:rPr>
          <w:rFonts w:ascii="Nirmala UI Semilight" w:hAnsi="Nirmala UI Semilight" w:cs="Nirmala UI Semilight"/>
          <w:bCs/>
          <w:sz w:val="28"/>
          <w:szCs w:val="28"/>
        </w:rPr>
        <w:t>“</w:t>
      </w:r>
      <w:r w:rsidRPr="00D27C96">
        <w:rPr>
          <w:rFonts w:ascii="Nirmala UI Semilight" w:hAnsi="Nirmala UI Semilight" w:cs="Nirmala UI Semilight"/>
          <w:bCs/>
          <w:sz w:val="28"/>
          <w:szCs w:val="28"/>
        </w:rPr>
        <w:t>envejecen</w:t>
      </w:r>
      <w:r>
        <w:rPr>
          <w:rFonts w:ascii="Nirmala UI Semilight" w:hAnsi="Nirmala UI Semilight" w:cs="Nirmala UI Semilight"/>
          <w:bCs/>
          <w:sz w:val="28"/>
          <w:szCs w:val="28"/>
        </w:rPr>
        <w:t>”</w:t>
      </w:r>
      <w:r w:rsidRPr="00D27C96">
        <w:rPr>
          <w:rFonts w:ascii="Nirmala UI Semilight" w:hAnsi="Nirmala UI Semilight" w:cs="Nirmala UI Semilight"/>
          <w:bCs/>
          <w:sz w:val="28"/>
          <w:szCs w:val="28"/>
        </w:rPr>
        <w:t xml:space="preserve"> gradualmente, pero la observación sigue siendo que comienzan y terminan su carrera delictiva mucho más tarde por término medio que otros delincuentes.</w:t>
      </w:r>
      <w:r>
        <w:rPr>
          <w:rFonts w:ascii="Nirmala UI Semilight" w:hAnsi="Nirmala UI Semilight" w:cs="Nirmala UI Semilight"/>
          <w:bCs/>
          <w:sz w:val="28"/>
          <w:szCs w:val="28"/>
        </w:rPr>
        <w:t xml:space="preserve"> </w:t>
      </w:r>
      <w:r w:rsidRPr="006837F0">
        <w:rPr>
          <w:rFonts w:ascii="Nirmala UI Semilight" w:hAnsi="Nirmala UI Semilight" w:cs="Nirmala UI Semilight"/>
          <w:bCs/>
          <w:sz w:val="28"/>
          <w:szCs w:val="28"/>
        </w:rPr>
        <w:t xml:space="preserve">La naturaleza cuantitativa de los datos de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xml:space="preserve"> hace difícil considerar hasta qué punto los procesos de maduración más generales (por ejemplo, Shover, 1983; Cusson y Pinnsoneault, 1986) están asociados con el desistimiento de la delincuencia de cuello blanco.</w:t>
      </w:r>
      <w:r>
        <w:rPr>
          <w:rFonts w:ascii="Nirmala UI Semilight" w:hAnsi="Nirmala UI Semilight" w:cs="Nirmala UI Semilight"/>
          <w:bCs/>
          <w:sz w:val="28"/>
          <w:szCs w:val="28"/>
        </w:rPr>
        <w:t xml:space="preserve"> </w:t>
      </w:r>
      <w:r w:rsidRPr="006837F0">
        <w:rPr>
          <w:rFonts w:ascii="Nirmala UI Semilight" w:hAnsi="Nirmala UI Semilight" w:cs="Nirmala UI Semilight"/>
          <w:bCs/>
          <w:sz w:val="28"/>
          <w:szCs w:val="28"/>
        </w:rPr>
        <w:t>Sin embargo, con frecuencia se sostiene que tales explicaciones subyacen a la observación de que la delincuencia disminuye casi inexorablemente con la edad (por ejemplo, Shover, 1983).</w:t>
      </w:r>
      <w:r>
        <w:rPr>
          <w:rFonts w:ascii="Nirmala UI Semilight" w:hAnsi="Nirmala UI Semilight" w:cs="Nirmala UI Semilight"/>
          <w:bCs/>
          <w:sz w:val="28"/>
          <w:szCs w:val="28"/>
        </w:rPr>
        <w:t xml:space="preserve"> </w:t>
      </w:r>
      <w:r w:rsidRPr="006837F0">
        <w:rPr>
          <w:rFonts w:ascii="Nirmala UI Semilight" w:hAnsi="Nirmala UI Semilight" w:cs="Nirmala UI Semilight"/>
          <w:bCs/>
          <w:sz w:val="28"/>
          <w:szCs w:val="28"/>
        </w:rPr>
        <w:t xml:space="preserve">Por lo tanto, un análisis de los datos de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xml:space="preserve"> sugiere que, si tal maduración tuvo lugar, fue mucho más tarde de lo que sugieren las investigaciones existentes.</w:t>
      </w:r>
    </w:p>
    <w:p w14:paraId="5448A344" w14:textId="77777777" w:rsidR="00D11E15" w:rsidRDefault="00D11E15" w:rsidP="00D11E15">
      <w:pPr>
        <w:spacing w:after="120" w:line="276" w:lineRule="auto"/>
        <w:jc w:val="both"/>
        <w:rPr>
          <w:rFonts w:ascii="Nirmala UI Semilight" w:hAnsi="Nirmala UI Semilight" w:cs="Nirmala UI Semilight"/>
          <w:bCs/>
          <w:sz w:val="28"/>
          <w:szCs w:val="28"/>
        </w:rPr>
      </w:pPr>
      <w:r w:rsidRPr="006837F0">
        <w:rPr>
          <w:rFonts w:ascii="Nirmala UI Semilight" w:hAnsi="Nirmala UI Semilight" w:cs="Nirmala UI Semilight"/>
          <w:bCs/>
          <w:sz w:val="28"/>
          <w:szCs w:val="28"/>
        </w:rPr>
        <w:t xml:space="preserve">De las personas de la muestra de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xml:space="preserve"> que sólo tuvieron una o dos detenciones (delincuentes de bajo índice en la terminología de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xml:space="preserve">), dos tercios estaban casados en el momento de su detención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2001: 55).</w:t>
      </w:r>
      <w:r>
        <w:rPr>
          <w:rFonts w:ascii="Nirmala UI Semilight" w:hAnsi="Nirmala UI Semilight" w:cs="Nirmala UI Semilight"/>
          <w:bCs/>
          <w:sz w:val="28"/>
          <w:szCs w:val="28"/>
        </w:rPr>
        <w:t xml:space="preserve"> </w:t>
      </w:r>
      <w:r w:rsidRPr="006837F0">
        <w:rPr>
          <w:rFonts w:ascii="Nirmala UI Semilight" w:hAnsi="Nirmala UI Semilight" w:cs="Nirmala UI Semilight"/>
          <w:bCs/>
          <w:sz w:val="28"/>
          <w:szCs w:val="28"/>
        </w:rPr>
        <w:t xml:space="preserve">La mayor edad media (en comparación con los delincuentes </w:t>
      </w:r>
      <w:r>
        <w:rPr>
          <w:rFonts w:ascii="Nirmala UI Semilight" w:hAnsi="Nirmala UI Semilight" w:cs="Nirmala UI Semilight"/>
          <w:bCs/>
          <w:sz w:val="28"/>
          <w:szCs w:val="28"/>
        </w:rPr>
        <w:t>“</w:t>
      </w:r>
      <w:r w:rsidRPr="006837F0">
        <w:rPr>
          <w:rFonts w:ascii="Nirmala UI Semilight" w:hAnsi="Nirmala UI Semilight" w:cs="Nirmala UI Semilight"/>
          <w:bCs/>
          <w:sz w:val="28"/>
          <w:szCs w:val="28"/>
        </w:rPr>
        <w:t>callejeros</w:t>
      </w:r>
      <w:r>
        <w:rPr>
          <w:rFonts w:ascii="Nirmala UI Semilight" w:hAnsi="Nirmala UI Semilight" w:cs="Nirmala UI Semilight"/>
          <w:bCs/>
          <w:sz w:val="28"/>
          <w:szCs w:val="28"/>
        </w:rPr>
        <w:t>”</w:t>
      </w:r>
      <w:r w:rsidRPr="006837F0">
        <w:rPr>
          <w:rFonts w:ascii="Nirmala UI Semilight" w:hAnsi="Nirmala UI Semilight" w:cs="Nirmala UI Semilight"/>
          <w:bCs/>
          <w:sz w:val="28"/>
          <w:szCs w:val="28"/>
        </w:rPr>
        <w:t xml:space="preserve">) de los delincuentes de su estudio hace que parezca poco probable que los vínculos matrimoniales no hayan tenido tiempo suficiente para reforzarse, lo que se considera importante en algunas conceptualizaciones de la relación entre el matrimonio y la delincuencia (Laub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1998).</w:t>
      </w:r>
      <w:r>
        <w:rPr>
          <w:rFonts w:ascii="Nirmala UI Semilight" w:hAnsi="Nirmala UI Semilight" w:cs="Nirmala UI Semilight"/>
          <w:bCs/>
          <w:sz w:val="28"/>
          <w:szCs w:val="28"/>
        </w:rPr>
        <w:t xml:space="preserve"> </w:t>
      </w:r>
      <w:r w:rsidRPr="006837F0">
        <w:rPr>
          <w:rFonts w:ascii="Nirmala UI Semilight" w:hAnsi="Nirmala UI Semilight" w:cs="Nirmala UI Semilight"/>
          <w:bCs/>
          <w:sz w:val="28"/>
          <w:szCs w:val="28"/>
        </w:rPr>
        <w:t xml:space="preserve">Sin embargo, en cuanto a la reincidencia, estar casado sí aumentaba el tiempo hasta que volvían a delinquir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2001</w:t>
      </w:r>
      <w:r>
        <w:rPr>
          <w:rFonts w:ascii="Nirmala UI Semilight" w:hAnsi="Nirmala UI Semilight" w:cs="Nirmala UI Semilight"/>
          <w:bCs/>
          <w:sz w:val="28"/>
          <w:szCs w:val="28"/>
        </w:rPr>
        <w:t>:</w:t>
      </w:r>
      <w:r w:rsidRPr="006837F0">
        <w:rPr>
          <w:rFonts w:ascii="Nirmala UI Semilight" w:hAnsi="Nirmala UI Semilight" w:cs="Nirmala UI Semilight"/>
          <w:bCs/>
          <w:sz w:val="28"/>
          <w:szCs w:val="28"/>
        </w:rPr>
        <w:t xml:space="preserve"> 104).</w:t>
      </w:r>
      <w:r>
        <w:rPr>
          <w:rFonts w:ascii="Nirmala UI Semilight" w:hAnsi="Nirmala UI Semilight" w:cs="Nirmala UI Semilight"/>
          <w:bCs/>
          <w:sz w:val="28"/>
          <w:szCs w:val="28"/>
        </w:rPr>
        <w:t xml:space="preserve"> </w:t>
      </w:r>
      <w:r w:rsidRPr="006837F0">
        <w:rPr>
          <w:rFonts w:ascii="Nirmala UI Semilight" w:hAnsi="Nirmala UI Semilight" w:cs="Nirmala UI Semilight"/>
          <w:bCs/>
          <w:sz w:val="28"/>
          <w:szCs w:val="28"/>
        </w:rPr>
        <w:t xml:space="preserve">El 91% de los 968 delincuentes de Weisburd </w:t>
      </w:r>
      <w:r w:rsidRPr="006837F0">
        <w:rPr>
          <w:rFonts w:ascii="Nirmala UI Semilight" w:hAnsi="Nirmala UI Semilight" w:cs="Nirmala UI Semilight"/>
          <w:bCs/>
          <w:i/>
          <w:iCs/>
          <w:sz w:val="28"/>
          <w:szCs w:val="28"/>
        </w:rPr>
        <w:t>et al.</w:t>
      </w:r>
      <w:r w:rsidRPr="006837F0">
        <w:rPr>
          <w:rFonts w:ascii="Nirmala UI Semilight" w:hAnsi="Nirmala UI Semilight" w:cs="Nirmala UI Semilight"/>
          <w:bCs/>
          <w:sz w:val="28"/>
          <w:szCs w:val="28"/>
        </w:rPr>
        <w:t xml:space="preserve"> tenían un empleo en el momento de cometer el delito que dio lugar a su inclusión en el estudio, lo que sugiere que la mera presencia del empleo puede no ser suficiente para prevenir la delincuencia.</w:t>
      </w:r>
    </w:p>
    <w:p w14:paraId="5C8DC161" w14:textId="25E2CFEC" w:rsidR="00D93CF2" w:rsidRDefault="00D93CF2" w:rsidP="00D93CF2">
      <w:pPr>
        <w:spacing w:after="120" w:line="276" w:lineRule="auto"/>
        <w:jc w:val="both"/>
        <w:rPr>
          <w:rFonts w:ascii="Nirmala UI Semilight" w:hAnsi="Nirmala UI Semilight" w:cs="Nirmala UI Semilight"/>
          <w:bCs/>
          <w:sz w:val="28"/>
          <w:szCs w:val="28"/>
        </w:rPr>
      </w:pPr>
      <w:r w:rsidRPr="00C66CD3">
        <w:rPr>
          <w:rFonts w:ascii="Nirmala UI Semilight" w:hAnsi="Nirmala UI Semilight" w:cs="Nirmala UI Semilight"/>
          <w:bCs/>
          <w:sz w:val="28"/>
          <w:szCs w:val="28"/>
        </w:rPr>
        <w:t>Lo anterior representa</w:t>
      </w:r>
      <w:r w:rsidR="00833C74">
        <w:rPr>
          <w:rFonts w:ascii="Nirmala UI Semilight" w:hAnsi="Nirmala UI Semilight" w:cs="Nirmala UI Semilight"/>
          <w:bCs/>
          <w:sz w:val="28"/>
          <w:szCs w:val="28"/>
        </w:rPr>
        <w:t>—esquemáticamente—</w:t>
      </w:r>
      <w:r w:rsidRPr="00C66CD3">
        <w:rPr>
          <w:rFonts w:ascii="Nirmala UI Semilight" w:hAnsi="Nirmala UI Semilight" w:cs="Nirmala UI Semilight"/>
          <w:bCs/>
          <w:sz w:val="28"/>
          <w:szCs w:val="28"/>
        </w:rPr>
        <w:t>lo que se entiende sobre cómo los delincuentes de cuello blanco llegan a dejar de delinquir.</w:t>
      </w:r>
      <w:r>
        <w:rPr>
          <w:rFonts w:ascii="Nirmala UI Semilight" w:hAnsi="Nirmala UI Semilight" w:cs="Nirmala UI Semilight"/>
          <w:bCs/>
          <w:sz w:val="28"/>
          <w:szCs w:val="28"/>
        </w:rPr>
        <w:t xml:space="preserve"> </w:t>
      </w:r>
      <w:r w:rsidRPr="00C66CD3">
        <w:rPr>
          <w:rFonts w:ascii="Nirmala UI Semilight" w:hAnsi="Nirmala UI Semilight" w:cs="Nirmala UI Semilight"/>
          <w:bCs/>
          <w:sz w:val="28"/>
          <w:szCs w:val="28"/>
        </w:rPr>
        <w:lastRenderedPageBreak/>
        <w:t>Centrarse en factores externos como la presencia o ausencia de empleo o matrimonio (por ejemplo) parece inadecuado para explicar el desistimiento de los delincuentes de cuello blanco.</w:t>
      </w:r>
      <w:r>
        <w:rPr>
          <w:rFonts w:ascii="Nirmala UI Semilight" w:hAnsi="Nirmala UI Semilight" w:cs="Nirmala UI Semilight"/>
          <w:bCs/>
          <w:sz w:val="28"/>
          <w:szCs w:val="28"/>
        </w:rPr>
        <w:t xml:space="preserve"> </w:t>
      </w:r>
      <w:r w:rsidRPr="00C66CD3">
        <w:rPr>
          <w:rFonts w:ascii="Nirmala UI Semilight" w:hAnsi="Nirmala UI Semilight" w:cs="Nirmala UI Semilight"/>
          <w:bCs/>
          <w:sz w:val="28"/>
          <w:szCs w:val="28"/>
        </w:rPr>
        <w:t xml:space="preserve">Incluso al citar los factores </w:t>
      </w:r>
      <w:r w:rsidR="00AF2BF7">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tradicionales</w:t>
      </w:r>
      <w:r w:rsidR="00AF2BF7">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 xml:space="preserve"> que favorecen el desistimiento, la supuesta noción graduada por edades de los mismos (Laub </w:t>
      </w:r>
      <w:r w:rsidRPr="00C66CD3">
        <w:rPr>
          <w:rFonts w:ascii="Nirmala UI Semilight" w:hAnsi="Nirmala UI Semilight" w:cs="Nirmala UI Semilight"/>
          <w:bCs/>
          <w:i/>
          <w:iCs/>
          <w:sz w:val="28"/>
          <w:szCs w:val="28"/>
        </w:rPr>
        <w:t>et al.</w:t>
      </w:r>
      <w:r w:rsidRPr="00C66CD3">
        <w:rPr>
          <w:rFonts w:ascii="Nirmala UI Semilight" w:hAnsi="Nirmala UI Semilight" w:cs="Nirmala UI Semilight"/>
          <w:bCs/>
          <w:sz w:val="28"/>
          <w:szCs w:val="28"/>
        </w:rPr>
        <w:t xml:space="preserve">, 1998; Uggen, 2000) resulta problemática cuando se tiene en cuenta la mayor edad media de los delincuentes de cuello blanco (Weisburd </w:t>
      </w:r>
      <w:r w:rsidRPr="00C66CD3">
        <w:rPr>
          <w:rFonts w:ascii="Nirmala UI Semilight" w:hAnsi="Nirmala UI Semilight" w:cs="Nirmala UI Semilight"/>
          <w:bCs/>
          <w:i/>
          <w:iCs/>
          <w:sz w:val="28"/>
          <w:szCs w:val="28"/>
        </w:rPr>
        <w:t>et al.</w:t>
      </w:r>
      <w:r w:rsidRPr="00C66CD3">
        <w:rPr>
          <w:rFonts w:ascii="Nirmala UI Semilight" w:hAnsi="Nirmala UI Semilight" w:cs="Nirmala UI Semilight"/>
          <w:bCs/>
          <w:sz w:val="28"/>
          <w:szCs w:val="28"/>
        </w:rPr>
        <w:t>, 2001; Benson y Moore, 1992).</w:t>
      </w:r>
      <w:r>
        <w:rPr>
          <w:rFonts w:ascii="Nirmala UI Semilight" w:hAnsi="Nirmala UI Semilight" w:cs="Nirmala UI Semilight"/>
          <w:bCs/>
          <w:sz w:val="28"/>
          <w:szCs w:val="28"/>
        </w:rPr>
        <w:t xml:space="preserve"> </w:t>
      </w:r>
      <w:r w:rsidRPr="00C66CD3">
        <w:rPr>
          <w:rFonts w:ascii="Nirmala UI Semilight" w:hAnsi="Nirmala UI Semilight" w:cs="Nirmala UI Semilight"/>
          <w:bCs/>
          <w:sz w:val="28"/>
          <w:szCs w:val="28"/>
        </w:rPr>
        <w:t xml:space="preserve">Shover y Hochstetler (2006) señalan que las probabilidades de reincidencia son bajas para los delincuentes de cuello blanco, y lo asocian con observaciones generales dentro de la literatura sobre el desistimiento, es decir, que los delincuentes de cuello blanco tienen todas las </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ventajas</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 xml:space="preserve"> asociadas con el desistimiento de la delincuencia.</w:t>
      </w:r>
      <w:r>
        <w:rPr>
          <w:rFonts w:ascii="Nirmala UI Semilight" w:hAnsi="Nirmala UI Semilight" w:cs="Nirmala UI Semilight"/>
          <w:bCs/>
          <w:sz w:val="28"/>
          <w:szCs w:val="28"/>
        </w:rPr>
        <w:t xml:space="preserve"> </w:t>
      </w:r>
      <w:r w:rsidRPr="00C66CD3">
        <w:rPr>
          <w:rFonts w:ascii="Nirmala UI Semilight" w:hAnsi="Nirmala UI Semilight" w:cs="Nirmala UI Semilight"/>
          <w:bCs/>
          <w:sz w:val="28"/>
          <w:szCs w:val="28"/>
        </w:rPr>
        <w:t xml:space="preserve">Sin embargo, si los delincuentes de cuello blanco se casan, encuentran trabajo y viven otros acontecimientos </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positivos</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 xml:space="preserve"> en el momento en que los análisis del desistimiento basados en la edad predicen que harán el mayor bien, entonces, dada su mayor edad media, han tenido tiempo de sobra para que su influencia se afiance.</w:t>
      </w:r>
      <w:r>
        <w:rPr>
          <w:rFonts w:ascii="Nirmala UI Semilight" w:hAnsi="Nirmala UI Semilight" w:cs="Nirmala UI Semilight"/>
          <w:bCs/>
          <w:sz w:val="28"/>
          <w:szCs w:val="28"/>
        </w:rPr>
        <w:t xml:space="preserve"> </w:t>
      </w:r>
      <w:r w:rsidRPr="00C66CD3">
        <w:rPr>
          <w:rFonts w:ascii="Nirmala UI Semilight" w:hAnsi="Nirmala UI Semilight" w:cs="Nirmala UI Semilight"/>
          <w:bCs/>
          <w:sz w:val="28"/>
          <w:szCs w:val="28"/>
        </w:rPr>
        <w:t>La cuestión que se plantea entonces es la siguiente: si estas influencias no fomentan el comportamiento convencional, ¿a qué se debe el desistimiento de los delincuentes de cuello blanco?</w:t>
      </w:r>
      <w:r>
        <w:rPr>
          <w:rFonts w:ascii="Nirmala UI Semilight" w:hAnsi="Nirmala UI Semilight" w:cs="Nirmala UI Semilight"/>
          <w:bCs/>
          <w:sz w:val="28"/>
          <w:szCs w:val="28"/>
        </w:rPr>
        <w:t xml:space="preserve"> </w:t>
      </w:r>
      <w:r w:rsidRPr="00C66CD3">
        <w:rPr>
          <w:rFonts w:ascii="Nirmala UI Semilight" w:hAnsi="Nirmala UI Semilight" w:cs="Nirmala UI Semilight"/>
          <w:bCs/>
          <w:sz w:val="28"/>
          <w:szCs w:val="28"/>
        </w:rPr>
        <w:t xml:space="preserve">Incluso si estos sucesos no dependen de la edad, la pregunta sigue siendo: ¿qué es lo que provoca el desistimiento entre este grupo de delincuentes que aparentemente tienen todas las </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ventajas</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 xml:space="preserve"> asociadas a llevar una vida respetuosa con la ley? Como observan Weisburd </w:t>
      </w:r>
      <w:r w:rsidRPr="00C66CD3">
        <w:rPr>
          <w:rFonts w:ascii="Nirmala UI Semilight" w:hAnsi="Nirmala UI Semilight" w:cs="Nirmala UI Semilight"/>
          <w:bCs/>
          <w:i/>
          <w:iCs/>
          <w:sz w:val="28"/>
          <w:szCs w:val="28"/>
        </w:rPr>
        <w:t>et al</w:t>
      </w:r>
      <w:r>
        <w:rPr>
          <w:rFonts w:ascii="Nirmala UI Semilight" w:hAnsi="Nirmala UI Semilight" w:cs="Nirmala UI Semilight"/>
          <w:bCs/>
          <w:sz w:val="28"/>
          <w:szCs w:val="28"/>
        </w:rPr>
        <w:t>.</w:t>
      </w:r>
      <w:r w:rsidRPr="00C66CD3">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9B7842">
        <w:rPr>
          <w:rFonts w:ascii="Nirmala UI Semilight" w:hAnsi="Nirmala UI Semilight" w:cs="Nirmala UI Semilight"/>
          <w:bCs/>
          <w:sz w:val="28"/>
          <w:szCs w:val="28"/>
        </w:rPr>
        <w:t>no parece razonable argumentar que la creciente estabilidad en la edad adulta sea un factor importante en la inhibición de la criminalidad en nuestra muestra, como se sugiere para aquellos delincuentes que comienzan su carrera delictiva siendo adolescentes</w:t>
      </w:r>
      <w:r>
        <w:rPr>
          <w:rFonts w:ascii="Nirmala UI Semilight" w:hAnsi="Nirmala UI Semilight" w:cs="Nirmala UI Semilight"/>
          <w:bCs/>
          <w:sz w:val="28"/>
          <w:szCs w:val="28"/>
        </w:rPr>
        <w:t xml:space="preserve">” </w:t>
      </w:r>
      <w:r w:rsidRPr="009B7842">
        <w:rPr>
          <w:rFonts w:ascii="Nirmala UI Semilight" w:hAnsi="Nirmala UI Semilight" w:cs="Nirmala UI Semilight"/>
          <w:bCs/>
          <w:sz w:val="28"/>
          <w:szCs w:val="28"/>
        </w:rPr>
        <w:t xml:space="preserve">(Weisburd </w:t>
      </w:r>
      <w:r w:rsidRPr="009B7842">
        <w:rPr>
          <w:rFonts w:ascii="Nirmala UI Semilight" w:hAnsi="Nirmala UI Semilight" w:cs="Nirmala UI Semilight"/>
          <w:bCs/>
          <w:i/>
          <w:iCs/>
          <w:sz w:val="28"/>
          <w:szCs w:val="28"/>
        </w:rPr>
        <w:t>et al.</w:t>
      </w:r>
      <w:r w:rsidRPr="009B7842">
        <w:rPr>
          <w:rFonts w:ascii="Nirmala UI Semilight" w:hAnsi="Nirmala UI Semilight" w:cs="Nirmala UI Semilight"/>
          <w:bCs/>
          <w:sz w:val="28"/>
          <w:szCs w:val="28"/>
        </w:rPr>
        <w:t>, 2001: 41)</w:t>
      </w:r>
      <w:r>
        <w:rPr>
          <w:rFonts w:ascii="Nirmala UI Semilight" w:hAnsi="Nirmala UI Semilight" w:cs="Nirmala UI Semilight"/>
          <w:bCs/>
          <w:sz w:val="28"/>
          <w:szCs w:val="28"/>
        </w:rPr>
        <w:t>.</w:t>
      </w:r>
    </w:p>
    <w:p w14:paraId="28DE4C5B" w14:textId="3B74FB6F" w:rsidR="008A3CB9" w:rsidRDefault="00F66E12" w:rsidP="008A3CB9">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 xml:space="preserve">Aunque todo lo revisado hasta aquí no </w:t>
      </w:r>
      <w:r w:rsidR="006879B8">
        <w:rPr>
          <w:rFonts w:ascii="Nirmala UI Semilight" w:hAnsi="Nirmala UI Semilight" w:cs="Nirmala UI Semilight"/>
          <w:bCs/>
          <w:sz w:val="28"/>
          <w:szCs w:val="28"/>
        </w:rPr>
        <w:t xml:space="preserve">es del todo aplicable a la comprensión del desistimiento de los jóvenes de clase media que </w:t>
      </w:r>
      <w:r w:rsidR="006879B8">
        <w:rPr>
          <w:rFonts w:ascii="Nirmala UI Semilight" w:hAnsi="Nirmala UI Semilight" w:cs="Nirmala UI Semilight"/>
          <w:bCs/>
          <w:sz w:val="28"/>
          <w:szCs w:val="28"/>
        </w:rPr>
        <w:lastRenderedPageBreak/>
        <w:t xml:space="preserve">delinquen, nos da una serie de pistas para establecer un marco </w:t>
      </w:r>
      <w:r w:rsidR="005316B7">
        <w:rPr>
          <w:rFonts w:ascii="Nirmala UI Semilight" w:hAnsi="Nirmala UI Semilight" w:cs="Nirmala UI Semilight"/>
          <w:bCs/>
          <w:sz w:val="28"/>
          <w:szCs w:val="28"/>
        </w:rPr>
        <w:t>teórico</w:t>
      </w:r>
      <w:r w:rsidR="006879B8">
        <w:rPr>
          <w:rFonts w:ascii="Nirmala UI Semilight" w:hAnsi="Nirmala UI Semilight" w:cs="Nirmala UI Semilight"/>
          <w:bCs/>
          <w:sz w:val="28"/>
          <w:szCs w:val="28"/>
        </w:rPr>
        <w:t xml:space="preserve"> propicio a l</w:t>
      </w:r>
      <w:r w:rsidR="005316B7">
        <w:rPr>
          <w:rFonts w:ascii="Nirmala UI Semilight" w:hAnsi="Nirmala UI Semilight" w:cs="Nirmala UI Semilight"/>
          <w:bCs/>
          <w:sz w:val="28"/>
          <w:szCs w:val="28"/>
        </w:rPr>
        <w:t>a exploración de esta forma de abandono de las economías ilegales.</w:t>
      </w:r>
      <w:r w:rsidR="00414A79">
        <w:rPr>
          <w:rFonts w:ascii="Nirmala UI Semilight" w:hAnsi="Nirmala UI Semilight" w:cs="Nirmala UI Semilight"/>
          <w:bCs/>
          <w:sz w:val="28"/>
          <w:szCs w:val="28"/>
        </w:rPr>
        <w:t xml:space="preserve"> Y si bien es verdad, que </w:t>
      </w:r>
      <w:r w:rsidR="00414A79" w:rsidRPr="009B7842">
        <w:rPr>
          <w:rFonts w:ascii="Nirmala UI Semilight" w:hAnsi="Nirmala UI Semilight" w:cs="Nirmala UI Semilight"/>
          <w:bCs/>
          <w:sz w:val="28"/>
          <w:szCs w:val="28"/>
        </w:rPr>
        <w:t xml:space="preserve">los delincuentes de cuello blanco ofrecen </w:t>
      </w:r>
      <w:r w:rsidR="00414A79">
        <w:rPr>
          <w:rFonts w:ascii="Nirmala UI Semilight" w:hAnsi="Nirmala UI Semilight" w:cs="Nirmala UI Semilight"/>
          <w:bCs/>
          <w:sz w:val="28"/>
          <w:szCs w:val="28"/>
        </w:rPr>
        <w:t>“</w:t>
      </w:r>
      <w:r w:rsidR="00414A79" w:rsidRPr="009B7842">
        <w:rPr>
          <w:rFonts w:ascii="Nirmala UI Semilight" w:hAnsi="Nirmala UI Semilight" w:cs="Nirmala UI Semilight"/>
          <w:bCs/>
          <w:sz w:val="28"/>
          <w:szCs w:val="28"/>
        </w:rPr>
        <w:t>un desafío único a las explicaciones sobre el curso vital del comportamiento delictivo</w:t>
      </w:r>
      <w:r w:rsidR="00414A79">
        <w:rPr>
          <w:rFonts w:ascii="Nirmala UI Semilight" w:hAnsi="Nirmala UI Semilight" w:cs="Nirmala UI Semilight"/>
          <w:bCs/>
          <w:sz w:val="28"/>
          <w:szCs w:val="28"/>
        </w:rPr>
        <w:t>”</w:t>
      </w:r>
      <w:r w:rsidR="00414A79" w:rsidRPr="009B7842">
        <w:rPr>
          <w:rFonts w:ascii="Nirmala UI Semilight" w:hAnsi="Nirmala UI Semilight" w:cs="Nirmala UI Semilight"/>
          <w:bCs/>
          <w:sz w:val="28"/>
          <w:szCs w:val="28"/>
        </w:rPr>
        <w:t xml:space="preserve"> (Piquero y Benson, 2004</w:t>
      </w:r>
      <w:r w:rsidR="00414A79">
        <w:rPr>
          <w:rFonts w:ascii="Nirmala UI Semilight" w:hAnsi="Nirmala UI Semilight" w:cs="Nirmala UI Semilight"/>
          <w:bCs/>
          <w:sz w:val="28"/>
          <w:szCs w:val="28"/>
        </w:rPr>
        <w:t>:</w:t>
      </w:r>
      <w:r w:rsidR="00414A79" w:rsidRPr="009B7842">
        <w:rPr>
          <w:rFonts w:ascii="Nirmala UI Semilight" w:hAnsi="Nirmala UI Semilight" w:cs="Nirmala UI Semilight"/>
          <w:bCs/>
          <w:sz w:val="28"/>
          <w:szCs w:val="28"/>
        </w:rPr>
        <w:t xml:space="preserve"> 158)</w:t>
      </w:r>
      <w:r w:rsidR="00414A79">
        <w:rPr>
          <w:rFonts w:ascii="Nirmala UI Semilight" w:hAnsi="Nirmala UI Semilight" w:cs="Nirmala UI Semilight"/>
          <w:bCs/>
          <w:sz w:val="28"/>
          <w:szCs w:val="28"/>
        </w:rPr>
        <w:t xml:space="preserve">, </w:t>
      </w:r>
      <w:r w:rsidR="00A60C9F">
        <w:rPr>
          <w:rFonts w:ascii="Nirmala UI Semilight" w:hAnsi="Nirmala UI Semilight" w:cs="Nirmala UI Semilight"/>
          <w:bCs/>
          <w:sz w:val="28"/>
          <w:szCs w:val="28"/>
        </w:rPr>
        <w:t>el análisis de los delincuentes de clase media y su desistimiento</w:t>
      </w:r>
      <w:r w:rsidR="00173C76">
        <w:rPr>
          <w:rStyle w:val="Refdenotaalpie"/>
          <w:rFonts w:ascii="Nirmala UI Semilight" w:hAnsi="Nirmala UI Semilight" w:cs="Nirmala UI Semilight"/>
          <w:bCs/>
          <w:sz w:val="28"/>
          <w:szCs w:val="28"/>
        </w:rPr>
        <w:footnoteReference w:id="7"/>
      </w:r>
      <w:r w:rsidR="00A60C9F">
        <w:rPr>
          <w:rFonts w:ascii="Nirmala UI Semilight" w:hAnsi="Nirmala UI Semilight" w:cs="Nirmala UI Semilight"/>
          <w:bCs/>
          <w:sz w:val="28"/>
          <w:szCs w:val="28"/>
        </w:rPr>
        <w:t xml:space="preserve"> es </w:t>
      </w:r>
      <w:r w:rsidR="00173C76">
        <w:rPr>
          <w:rFonts w:ascii="Nirmala UI Semilight" w:hAnsi="Nirmala UI Semilight" w:cs="Nirmala UI Semilight"/>
          <w:bCs/>
          <w:sz w:val="28"/>
          <w:szCs w:val="28"/>
        </w:rPr>
        <w:t>aún</w:t>
      </w:r>
      <w:r w:rsidR="00A60C9F">
        <w:rPr>
          <w:rFonts w:ascii="Nirmala UI Semilight" w:hAnsi="Nirmala UI Semilight" w:cs="Nirmala UI Semilight"/>
          <w:bCs/>
          <w:sz w:val="28"/>
          <w:szCs w:val="28"/>
        </w:rPr>
        <w:t xml:space="preserve"> más desafiante; porque las </w:t>
      </w:r>
      <w:r w:rsidR="00A60C9F" w:rsidRPr="00626CCB">
        <w:rPr>
          <w:rFonts w:ascii="Nirmala UI Semilight" w:hAnsi="Nirmala UI Semilight" w:cs="Nirmala UI Semilight"/>
          <w:bCs/>
          <w:i/>
          <w:iCs/>
          <w:sz w:val="28"/>
          <w:szCs w:val="28"/>
        </w:rPr>
        <w:t>similitudes</w:t>
      </w:r>
      <w:r w:rsidR="00A60C9F">
        <w:rPr>
          <w:rFonts w:ascii="Nirmala UI Semilight" w:hAnsi="Nirmala UI Semilight" w:cs="Nirmala UI Semilight"/>
          <w:bCs/>
          <w:sz w:val="28"/>
          <w:szCs w:val="28"/>
        </w:rPr>
        <w:t xml:space="preserve"> </w:t>
      </w:r>
      <w:r w:rsidR="00D66EC9">
        <w:rPr>
          <w:rFonts w:ascii="Nirmala UI Semilight" w:hAnsi="Nirmala UI Semilight" w:cs="Nirmala UI Semilight"/>
          <w:bCs/>
          <w:sz w:val="28"/>
          <w:szCs w:val="28"/>
        </w:rPr>
        <w:t xml:space="preserve">entre los tipos de delitos y las circunstancias de los sujetos que delinquen </w:t>
      </w:r>
      <w:r w:rsidR="00626CCB">
        <w:rPr>
          <w:rFonts w:ascii="Nirmala UI Semilight" w:hAnsi="Nirmala UI Semilight" w:cs="Nirmala UI Semilight"/>
          <w:bCs/>
          <w:sz w:val="28"/>
          <w:szCs w:val="28"/>
        </w:rPr>
        <w:t xml:space="preserve">presentan un escenario más complejo. </w:t>
      </w:r>
      <w:r w:rsidR="008A3CB9">
        <w:rPr>
          <w:rFonts w:ascii="Nirmala UI Semilight" w:hAnsi="Nirmala UI Semilight" w:cs="Nirmala UI Semilight"/>
          <w:bCs/>
          <w:sz w:val="28"/>
          <w:szCs w:val="28"/>
        </w:rPr>
        <w:t xml:space="preserve">Las preguntas de investigación que debemos hacernos son: </w:t>
      </w:r>
      <w:r w:rsidR="008A3CB9" w:rsidRPr="00D34D23">
        <w:rPr>
          <w:rFonts w:ascii="Nirmala UI Semilight" w:hAnsi="Nirmala UI Semilight" w:cs="Nirmala UI Semilight"/>
          <w:bCs/>
          <w:sz w:val="28"/>
          <w:szCs w:val="28"/>
        </w:rPr>
        <w:t xml:space="preserve">1) ¿Cuáles fueron las experiencias significativas de los delincuentes de </w:t>
      </w:r>
      <w:r w:rsidR="008A3CB9">
        <w:rPr>
          <w:rFonts w:ascii="Nirmala UI Semilight" w:hAnsi="Nirmala UI Semilight" w:cs="Nirmala UI Semilight"/>
          <w:bCs/>
          <w:sz w:val="28"/>
          <w:szCs w:val="28"/>
        </w:rPr>
        <w:t>clase media</w:t>
      </w:r>
      <w:r w:rsidR="008A3CB9" w:rsidRPr="00D34D23">
        <w:rPr>
          <w:rFonts w:ascii="Nirmala UI Semilight" w:hAnsi="Nirmala UI Semilight" w:cs="Nirmala UI Semilight"/>
          <w:bCs/>
          <w:sz w:val="28"/>
          <w:szCs w:val="28"/>
        </w:rPr>
        <w:t xml:space="preserve"> que desistieron de delinquir?</w:t>
      </w:r>
      <w:r w:rsidR="008A3CB9">
        <w:rPr>
          <w:rFonts w:ascii="Nirmala UI Semilight" w:hAnsi="Nirmala UI Semilight" w:cs="Nirmala UI Semilight"/>
          <w:bCs/>
          <w:sz w:val="28"/>
          <w:szCs w:val="28"/>
        </w:rPr>
        <w:t xml:space="preserve"> </w:t>
      </w:r>
      <w:r w:rsidR="008A3CB9" w:rsidRPr="00D34D23">
        <w:rPr>
          <w:rFonts w:ascii="Nirmala UI Semilight" w:hAnsi="Nirmala UI Semilight" w:cs="Nirmala UI Semilight"/>
          <w:bCs/>
          <w:sz w:val="28"/>
          <w:szCs w:val="28"/>
        </w:rPr>
        <w:t>2) ¿Qué relación guardan estas experiencias con su desistimiento de la delincuencia? 3) ¿Es su desistimiento el resultado de cambios en los valores y creencias sobre sí mismos y su comportamiento?</w:t>
      </w:r>
      <w:r w:rsidR="008A3CB9">
        <w:rPr>
          <w:rFonts w:ascii="Nirmala UI Semilight" w:hAnsi="Nirmala UI Semilight" w:cs="Nirmala UI Semilight"/>
          <w:bCs/>
          <w:sz w:val="28"/>
          <w:szCs w:val="28"/>
        </w:rPr>
        <w:t xml:space="preserve"> </w:t>
      </w:r>
      <w:r w:rsidR="008A3CB9" w:rsidRPr="00D34D23">
        <w:rPr>
          <w:rFonts w:ascii="Nirmala UI Semilight" w:hAnsi="Nirmala UI Semilight" w:cs="Nirmala UI Semilight"/>
          <w:bCs/>
          <w:sz w:val="28"/>
          <w:szCs w:val="28"/>
        </w:rPr>
        <w:t xml:space="preserve">4) ¿Cómo llegan a entender lo que les ha ocurrido? 5) ¿Cómo se comparan las experiencias de los delincuentes de </w:t>
      </w:r>
      <w:r w:rsidR="007C2E82">
        <w:rPr>
          <w:rFonts w:ascii="Nirmala UI Semilight" w:hAnsi="Nirmala UI Semilight" w:cs="Nirmala UI Semilight"/>
          <w:bCs/>
          <w:sz w:val="28"/>
          <w:szCs w:val="28"/>
        </w:rPr>
        <w:t>clase media</w:t>
      </w:r>
      <w:r w:rsidR="008A3CB9" w:rsidRPr="00D34D23">
        <w:rPr>
          <w:rFonts w:ascii="Nirmala UI Semilight" w:hAnsi="Nirmala UI Semilight" w:cs="Nirmala UI Semilight"/>
          <w:bCs/>
          <w:sz w:val="28"/>
          <w:szCs w:val="28"/>
        </w:rPr>
        <w:t xml:space="preserve"> que desisten con las de otros delincuentes que desisten?</w:t>
      </w:r>
    </w:p>
    <w:p w14:paraId="254B2D02" w14:textId="77777777" w:rsidR="00732683" w:rsidRDefault="00732683" w:rsidP="008A3CB9">
      <w:pPr>
        <w:spacing w:after="120" w:line="276" w:lineRule="auto"/>
        <w:jc w:val="both"/>
        <w:rPr>
          <w:rFonts w:ascii="Nirmala UI Semilight" w:hAnsi="Nirmala UI Semilight" w:cs="Nirmala UI Semilight"/>
          <w:bCs/>
          <w:sz w:val="28"/>
          <w:szCs w:val="28"/>
        </w:rPr>
      </w:pPr>
    </w:p>
    <w:p w14:paraId="4F265852" w14:textId="77777777" w:rsidR="00626CC0" w:rsidRPr="0027612F" w:rsidRDefault="00626CC0" w:rsidP="00626CC0">
      <w:pPr>
        <w:spacing w:after="120" w:line="276" w:lineRule="auto"/>
        <w:jc w:val="both"/>
        <w:rPr>
          <w:rFonts w:ascii="Nirmala UI Semilight" w:hAnsi="Nirmala UI Semilight" w:cs="Nirmala UI Semilight"/>
          <w:b/>
          <w:sz w:val="28"/>
          <w:szCs w:val="28"/>
        </w:rPr>
      </w:pPr>
      <w:r w:rsidRPr="0027612F">
        <w:rPr>
          <w:rFonts w:ascii="Nirmala UI Semilight" w:hAnsi="Nirmala UI Semilight" w:cs="Nirmala UI Semilight"/>
          <w:b/>
          <w:sz w:val="28"/>
          <w:szCs w:val="28"/>
        </w:rPr>
        <w:t>Las emociones y el mundo</w:t>
      </w:r>
    </w:p>
    <w:p w14:paraId="0D171B2F" w14:textId="5963524F" w:rsidR="00626CC0" w:rsidRDefault="00626CC0" w:rsidP="00626CC0">
      <w:pPr>
        <w:spacing w:after="120" w:line="276" w:lineRule="auto"/>
        <w:jc w:val="both"/>
        <w:rPr>
          <w:rFonts w:ascii="Nirmala UI Semilight" w:hAnsi="Nirmala UI Semilight" w:cs="Nirmala UI Semilight"/>
          <w:bCs/>
          <w:sz w:val="28"/>
          <w:szCs w:val="28"/>
        </w:rPr>
      </w:pPr>
      <w:r w:rsidRPr="0027612F">
        <w:rPr>
          <w:rFonts w:ascii="Nirmala UI Semilight" w:hAnsi="Nirmala UI Semilight" w:cs="Nirmala UI Semilight"/>
          <w:bCs/>
          <w:sz w:val="28"/>
          <w:szCs w:val="28"/>
        </w:rPr>
        <w:t>Existir es participar directamente en el mundo, en lugar de limitarse a observarlo, y es a través de los sentimientos como interactuamos con nuestro mundo.</w:t>
      </w:r>
      <w:r>
        <w:rPr>
          <w:rFonts w:ascii="Nirmala UI Semilight" w:hAnsi="Nirmala UI Semilight" w:cs="Nirmala UI Semilight"/>
          <w:bCs/>
          <w:sz w:val="28"/>
          <w:szCs w:val="28"/>
        </w:rPr>
        <w:t xml:space="preserve"> </w:t>
      </w:r>
      <w:r w:rsidRPr="0027612F">
        <w:rPr>
          <w:rFonts w:ascii="Nirmala UI Semilight" w:hAnsi="Nirmala UI Semilight" w:cs="Nirmala UI Semilight"/>
          <w:bCs/>
          <w:sz w:val="28"/>
          <w:szCs w:val="28"/>
        </w:rPr>
        <w:t>A través de los sentimientos y las emociones, los individuos se implican en las situaciones que se les presentan y les dan sentido, por lo que las emociones son importantes para comprender cómo interactúa el individuo con su mundo (es decir, cómo existe en él) (Grossman, 1984).</w:t>
      </w:r>
      <w:r>
        <w:rPr>
          <w:rFonts w:ascii="Nirmala UI Semilight" w:hAnsi="Nirmala UI Semilight" w:cs="Nirmala UI Semilight"/>
          <w:bCs/>
          <w:sz w:val="28"/>
          <w:szCs w:val="28"/>
        </w:rPr>
        <w:t xml:space="preserve"> </w:t>
      </w:r>
      <w:r w:rsidRPr="0027612F">
        <w:rPr>
          <w:rFonts w:ascii="Nirmala UI Semilight" w:hAnsi="Nirmala UI Semilight" w:cs="Nirmala UI Semilight"/>
          <w:bCs/>
          <w:sz w:val="28"/>
          <w:szCs w:val="28"/>
        </w:rPr>
        <w:t>Algunas emociones se han considerado con más detalle que otras porque representan estados que se consideran fundamentales para el individuo tal y como existe.</w:t>
      </w:r>
      <w:r>
        <w:rPr>
          <w:rFonts w:ascii="Nirmala UI Semilight" w:hAnsi="Nirmala UI Semilight" w:cs="Nirmala UI Semilight"/>
          <w:bCs/>
          <w:sz w:val="28"/>
          <w:szCs w:val="28"/>
        </w:rPr>
        <w:t xml:space="preserve"> </w:t>
      </w:r>
      <w:r w:rsidRPr="0027612F">
        <w:rPr>
          <w:rFonts w:ascii="Nirmala UI Semilight" w:hAnsi="Nirmala UI Semilight" w:cs="Nirmala UI Semilight"/>
          <w:bCs/>
          <w:sz w:val="28"/>
          <w:szCs w:val="28"/>
        </w:rPr>
        <w:t xml:space="preserve">Por ejemplo, la libertad y la elección son de vital importancia para comprender la existencia de los individuos, </w:t>
      </w:r>
      <w:r w:rsidRPr="0027612F">
        <w:rPr>
          <w:rFonts w:ascii="Nirmala UI Semilight" w:hAnsi="Nirmala UI Semilight" w:cs="Nirmala UI Semilight"/>
          <w:bCs/>
          <w:sz w:val="28"/>
          <w:szCs w:val="28"/>
        </w:rPr>
        <w:lastRenderedPageBreak/>
        <w:t xml:space="preserve">pero dicha libertad es también la raíz de la </w:t>
      </w:r>
      <w:r w:rsidRPr="00651471">
        <w:rPr>
          <w:rFonts w:ascii="Nirmala UI Semilight" w:hAnsi="Nirmala UI Semilight" w:cs="Nirmala UI Semilight"/>
          <w:bCs/>
          <w:i/>
          <w:iCs/>
          <w:sz w:val="28"/>
          <w:szCs w:val="28"/>
        </w:rPr>
        <w:t>ansiedad</w:t>
      </w:r>
      <w:r w:rsidRPr="0027612F">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27612F">
        <w:rPr>
          <w:rFonts w:ascii="Nirmala UI Semilight" w:hAnsi="Nirmala UI Semilight" w:cs="Nirmala UI Semilight"/>
          <w:bCs/>
          <w:sz w:val="28"/>
          <w:szCs w:val="28"/>
        </w:rPr>
        <w:t>La ansiedad surge de nuestra conciencia de la amplia gama de opciones posibles de que disponemos y de la sensación de que podríamos elegir hacer casi cualquier cosa, incluso actos que antes podrían haber sido inconcebibles.</w:t>
      </w:r>
      <w:r>
        <w:rPr>
          <w:rFonts w:ascii="Nirmala UI Semilight" w:hAnsi="Nirmala UI Semilight" w:cs="Nirmala UI Semilight"/>
          <w:bCs/>
          <w:sz w:val="28"/>
          <w:szCs w:val="28"/>
        </w:rPr>
        <w:t xml:space="preserve"> </w:t>
      </w:r>
      <w:r w:rsidRPr="0027612F">
        <w:rPr>
          <w:rFonts w:ascii="Nirmala UI Semilight" w:hAnsi="Nirmala UI Semilight" w:cs="Nirmala UI Semilight"/>
          <w:bCs/>
          <w:sz w:val="28"/>
          <w:szCs w:val="28"/>
        </w:rPr>
        <w:t>Por ejemplo, somos libres de actuar de forma contradictoria con nuestros esfuerzos por construir una identidad propia unitaria (Kierkegaard, 1844).</w:t>
      </w:r>
      <w:r>
        <w:rPr>
          <w:rFonts w:ascii="Nirmala UI Semilight" w:hAnsi="Nirmala UI Semilight" w:cs="Nirmala UI Semilight"/>
          <w:bCs/>
          <w:sz w:val="28"/>
          <w:szCs w:val="28"/>
        </w:rPr>
        <w:t xml:space="preserve"> </w:t>
      </w:r>
      <w:r w:rsidRPr="0027612F">
        <w:rPr>
          <w:rFonts w:ascii="Nirmala UI Semilight" w:hAnsi="Nirmala UI Semilight" w:cs="Nirmala UI Semilight"/>
          <w:bCs/>
          <w:sz w:val="28"/>
          <w:szCs w:val="28"/>
        </w:rPr>
        <w:t>La ansiedad es, por tanto, la forma en que uno llega a reconocer la libertad de elección que tiene. Sentirse ansioso por un acto es saber que uno podría realizarlo; uno no se sentiría ansioso por un acto que nunca podría ocurrir (Grossman, 1984).</w:t>
      </w:r>
      <w:r>
        <w:rPr>
          <w:rFonts w:ascii="Nirmala UI Semilight" w:hAnsi="Nirmala UI Semilight" w:cs="Nirmala UI Semilight"/>
          <w:bCs/>
          <w:sz w:val="28"/>
          <w:szCs w:val="28"/>
        </w:rPr>
        <w:t xml:space="preserve"> </w:t>
      </w:r>
      <w:r w:rsidRPr="00DF2D6D">
        <w:rPr>
          <w:rFonts w:ascii="Nirmala UI Semilight" w:hAnsi="Nirmala UI Semilight" w:cs="Nirmala UI Semilight"/>
          <w:bCs/>
          <w:sz w:val="28"/>
          <w:szCs w:val="28"/>
        </w:rPr>
        <w:t>Saber que uno es capaz de tal acto es entonces haber puesto de relieve el alcance de su libertad de acción.</w:t>
      </w:r>
    </w:p>
    <w:p w14:paraId="207D084C" w14:textId="72A304BC" w:rsidR="002B6FF8" w:rsidRDefault="002B6FF8" w:rsidP="002B6FF8">
      <w:pPr>
        <w:spacing w:after="120" w:line="276" w:lineRule="auto"/>
        <w:jc w:val="both"/>
        <w:rPr>
          <w:rFonts w:ascii="Nirmala UI Semilight" w:hAnsi="Nirmala UI Semilight" w:cs="Nirmala UI Semilight"/>
          <w:bCs/>
          <w:sz w:val="28"/>
          <w:szCs w:val="28"/>
        </w:rPr>
      </w:pPr>
      <w:r w:rsidRPr="002B6FF8">
        <w:rPr>
          <w:rFonts w:ascii="Nirmala UI Semilight" w:hAnsi="Nirmala UI Semilight" w:cs="Nirmala UI Semilight"/>
          <w:bCs/>
          <w:sz w:val="28"/>
          <w:szCs w:val="28"/>
        </w:rPr>
        <w:t xml:space="preserve">A la ansiedad podríamos añadir la </w:t>
      </w:r>
      <w:r w:rsidRPr="002B6FF8">
        <w:rPr>
          <w:rFonts w:ascii="Nirmala UI Semilight" w:hAnsi="Nirmala UI Semilight" w:cs="Nirmala UI Semilight"/>
          <w:bCs/>
          <w:i/>
          <w:iCs/>
          <w:sz w:val="28"/>
          <w:szCs w:val="28"/>
        </w:rPr>
        <w:t>culpa</w:t>
      </w:r>
      <w:r w:rsidRPr="002B6FF8">
        <w:rPr>
          <w:rFonts w:ascii="Nirmala UI Semilight" w:hAnsi="Nirmala UI Semilight" w:cs="Nirmala UI Semilight"/>
          <w:bCs/>
          <w:sz w:val="28"/>
          <w:szCs w:val="28"/>
        </w:rPr>
        <w:t xml:space="preserve">. La culpa es producto de la discrepancia constante entre el yo actual y un yo ideal futuro (Macquarrie, 1972: 202). Sentir culpa es saber que se ha fracasado en el intento de alcanzar ese yo. Sin embargo, la culpa puede ser, en última instancia, una experiencia positiva porque puede proporcionar al individuo la voluntad de cambiar y de esforzarse por realizar su </w:t>
      </w:r>
      <w:r w:rsidR="003F22C5" w:rsidRPr="002B6FF8">
        <w:rPr>
          <w:rFonts w:ascii="Nirmala UI Semilight" w:hAnsi="Nirmala UI Semilight" w:cs="Nirmala UI Semilight"/>
          <w:bCs/>
          <w:sz w:val="28"/>
          <w:szCs w:val="28"/>
        </w:rPr>
        <w:t xml:space="preserve">potencial </w:t>
      </w:r>
      <w:r w:rsidRPr="002B6FF8">
        <w:rPr>
          <w:rFonts w:ascii="Nirmala UI Semilight" w:hAnsi="Nirmala UI Semilight" w:cs="Nirmala UI Semilight"/>
          <w:bCs/>
          <w:sz w:val="28"/>
          <w:szCs w:val="28"/>
        </w:rPr>
        <w:t xml:space="preserve">yo futuro (Macquarrie, 1972). El énfasis positivo y orientado al futuro de la experiencia de culpa la vincula a otra emoción que ha sido considerada por varios autores: la </w:t>
      </w:r>
      <w:r w:rsidRPr="002B6FF8">
        <w:rPr>
          <w:rFonts w:ascii="Nirmala UI Semilight" w:hAnsi="Nirmala UI Semilight" w:cs="Nirmala UI Semilight"/>
          <w:bCs/>
          <w:i/>
          <w:iCs/>
          <w:sz w:val="28"/>
          <w:szCs w:val="28"/>
        </w:rPr>
        <w:t>esperanza</w:t>
      </w:r>
      <w:r w:rsidRPr="002B6FF8">
        <w:rPr>
          <w:rFonts w:ascii="Nirmala UI Semilight" w:hAnsi="Nirmala UI Semilight" w:cs="Nirmala UI Semilight"/>
          <w:bCs/>
          <w:sz w:val="28"/>
          <w:szCs w:val="28"/>
        </w:rPr>
        <w:t xml:space="preserve">. Tener esperanza es desear un resultado concreto (Lazarus, 1999), un resultado que debe percibirse como, al menos, posible (Simpson, 2004). Esto atribuye a la esperanza un aspecto orientado al futuro, centrado en la “mejora” de la situación del individuo. Por este motivo, la esperanza puede actuar como una fuerza motivadora, ya que el individuo actúa para conseguir aquello que espera (Bovens, 1999), aunque es posible tener esperanza en resultados que pueden percibirse como fuera del control del individuo (Lazarus, 1999). Sin embargo, nuestras esperanzas, una vez formadas, no se mantienen invariables, ya que a medida que cambia nuestro conocimiento de la situación también pueden hacerlo nuestras esperanzas concretas al respecto (Simpson, 2004). </w:t>
      </w:r>
    </w:p>
    <w:p w14:paraId="7195AEF7" w14:textId="0F8F8DFA" w:rsidR="006C35BB" w:rsidRDefault="006C35BB" w:rsidP="006C35BB">
      <w:pPr>
        <w:spacing w:after="120" w:line="276" w:lineRule="auto"/>
        <w:jc w:val="both"/>
        <w:rPr>
          <w:rFonts w:ascii="Nirmala UI Semilight" w:hAnsi="Nirmala UI Semilight" w:cs="Nirmala UI Semilight"/>
          <w:bCs/>
          <w:sz w:val="28"/>
          <w:szCs w:val="28"/>
        </w:rPr>
      </w:pPr>
      <w:r w:rsidRPr="00296C17">
        <w:rPr>
          <w:rFonts w:ascii="Nirmala UI Semilight" w:hAnsi="Nirmala UI Semilight" w:cs="Nirmala UI Semilight"/>
          <w:bCs/>
          <w:sz w:val="28"/>
          <w:szCs w:val="28"/>
        </w:rPr>
        <w:lastRenderedPageBreak/>
        <w:t>Quizá la mayor contribución de la esperanza a la consideración de la existencia humana se observe cuando se considera en términos de su antítesis</w:t>
      </w:r>
      <w:r w:rsidR="00907061">
        <w:rPr>
          <w:rFonts w:ascii="Nirmala UI Semilight" w:hAnsi="Nirmala UI Semilight" w:cs="Nirmala UI Semilight"/>
          <w:bCs/>
          <w:sz w:val="28"/>
          <w:szCs w:val="28"/>
        </w:rPr>
        <w:t>:</w:t>
      </w:r>
      <w:r w:rsidRPr="00296C17">
        <w:rPr>
          <w:rFonts w:ascii="Nirmala UI Semilight" w:hAnsi="Nirmala UI Semilight" w:cs="Nirmala UI Semilight"/>
          <w:bCs/>
          <w:sz w:val="28"/>
          <w:szCs w:val="28"/>
        </w:rPr>
        <w:t xml:space="preserve"> la </w:t>
      </w:r>
      <w:r w:rsidRPr="006C35BB">
        <w:rPr>
          <w:rFonts w:ascii="Nirmala UI Semilight" w:hAnsi="Nirmala UI Semilight" w:cs="Nirmala UI Semilight"/>
          <w:bCs/>
          <w:i/>
          <w:iCs/>
          <w:sz w:val="28"/>
          <w:szCs w:val="28"/>
        </w:rPr>
        <w:t>desesperación</w:t>
      </w:r>
      <w:r w:rsidRPr="00296C17">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296C17">
        <w:rPr>
          <w:rFonts w:ascii="Nirmala UI Semilight" w:hAnsi="Nirmala UI Semilight" w:cs="Nirmala UI Semilight"/>
          <w:bCs/>
          <w:sz w:val="28"/>
          <w:szCs w:val="28"/>
        </w:rPr>
        <w:t>Con esperanza, podemos actuar para cambiar nuestras circunstancias, evitando la inacción en la que podríamos caer ante una situación negativa (Lazarus, 1999).</w:t>
      </w:r>
      <w:r>
        <w:rPr>
          <w:rFonts w:ascii="Nirmala UI Semilight" w:hAnsi="Nirmala UI Semilight" w:cs="Nirmala UI Semilight"/>
          <w:bCs/>
          <w:sz w:val="28"/>
          <w:szCs w:val="28"/>
        </w:rPr>
        <w:t xml:space="preserve"> </w:t>
      </w:r>
      <w:r w:rsidRPr="00296C17">
        <w:rPr>
          <w:rFonts w:ascii="Nirmala UI Semilight" w:hAnsi="Nirmala UI Semilight" w:cs="Nirmala UI Semilight"/>
          <w:bCs/>
          <w:sz w:val="28"/>
          <w:szCs w:val="28"/>
        </w:rPr>
        <w:t xml:space="preserve">Aunque sintamos que no podemos controlar una situación negativa, tener esperanza es reconocer que no durará indefinidamente, lo que nos da una razón para </w:t>
      </w:r>
      <w:r>
        <w:rPr>
          <w:rFonts w:ascii="Nirmala UI Semilight" w:hAnsi="Nirmala UI Semilight" w:cs="Nirmala UI Semilight"/>
          <w:bCs/>
          <w:sz w:val="28"/>
          <w:szCs w:val="28"/>
        </w:rPr>
        <w:t>“</w:t>
      </w:r>
      <w:r w:rsidRPr="00296C17">
        <w:rPr>
          <w:rFonts w:ascii="Nirmala UI Semilight" w:hAnsi="Nirmala UI Semilight" w:cs="Nirmala UI Semilight"/>
          <w:bCs/>
          <w:sz w:val="28"/>
          <w:szCs w:val="28"/>
        </w:rPr>
        <w:t>seguir adelante</w:t>
      </w:r>
      <w:r>
        <w:rPr>
          <w:rFonts w:ascii="Nirmala UI Semilight" w:hAnsi="Nirmala UI Semilight" w:cs="Nirmala UI Semilight"/>
          <w:bCs/>
          <w:sz w:val="28"/>
          <w:szCs w:val="28"/>
        </w:rPr>
        <w:t>”</w:t>
      </w:r>
      <w:r w:rsidRPr="00296C17">
        <w:rPr>
          <w:rFonts w:ascii="Nirmala UI Semilight" w:hAnsi="Nirmala UI Semilight" w:cs="Nirmala UI Semilight"/>
          <w:bCs/>
          <w:sz w:val="28"/>
          <w:szCs w:val="28"/>
        </w:rPr>
        <w:t xml:space="preserve"> (Bovens, 1999).</w:t>
      </w:r>
      <w:r>
        <w:rPr>
          <w:rFonts w:ascii="Nirmala UI Semilight" w:hAnsi="Nirmala UI Semilight" w:cs="Nirmala UI Semilight"/>
          <w:bCs/>
          <w:sz w:val="28"/>
          <w:szCs w:val="28"/>
        </w:rPr>
        <w:t xml:space="preserve"> </w:t>
      </w:r>
      <w:r w:rsidRPr="00296C17">
        <w:rPr>
          <w:rFonts w:ascii="Nirmala UI Semilight" w:hAnsi="Nirmala UI Semilight" w:cs="Nirmala UI Semilight"/>
          <w:bCs/>
          <w:sz w:val="28"/>
          <w:szCs w:val="28"/>
        </w:rPr>
        <w:t xml:space="preserve">Poder tener esperanza es crucial porque </w:t>
      </w:r>
      <w:r>
        <w:rPr>
          <w:rFonts w:ascii="Nirmala UI Semilight" w:hAnsi="Nirmala UI Semilight" w:cs="Nirmala UI Semilight"/>
          <w:bCs/>
          <w:sz w:val="28"/>
          <w:szCs w:val="28"/>
        </w:rPr>
        <w:t>“</w:t>
      </w:r>
      <w:r w:rsidRPr="00296C17">
        <w:rPr>
          <w:rFonts w:ascii="Nirmala UI Semilight" w:hAnsi="Nirmala UI Semilight" w:cs="Nirmala UI Semilight"/>
          <w:bCs/>
          <w:sz w:val="28"/>
          <w:szCs w:val="28"/>
        </w:rPr>
        <w:t>sin ella, habría poco que nos sostuviera</w:t>
      </w:r>
      <w:r>
        <w:rPr>
          <w:rFonts w:ascii="Nirmala UI Semilight" w:hAnsi="Nirmala UI Semilight" w:cs="Nirmala UI Semilight"/>
          <w:bCs/>
          <w:sz w:val="28"/>
          <w:szCs w:val="28"/>
        </w:rPr>
        <w:t>”</w:t>
      </w:r>
      <w:r w:rsidRPr="00296C17">
        <w:rPr>
          <w:rFonts w:ascii="Nirmala UI Semilight" w:hAnsi="Nirmala UI Semilight" w:cs="Nirmala UI Semilight"/>
          <w:bCs/>
          <w:sz w:val="28"/>
          <w:szCs w:val="28"/>
        </w:rPr>
        <w:t xml:space="preserve"> (Lazarus, 1999: 654). Para que el yo crezca y se proyecte hacia adelante, es necesario tener esperanza, porque sin ella nos quedaríamos inmovilizados por la desesperación de algunas situaciones que encontramos, incapaces de ver un camino más allá de ellas.</w:t>
      </w:r>
      <w:r>
        <w:rPr>
          <w:rFonts w:ascii="Nirmala UI Semilight" w:hAnsi="Nirmala UI Semilight" w:cs="Nirmala UI Semilight"/>
          <w:bCs/>
          <w:sz w:val="28"/>
          <w:szCs w:val="28"/>
        </w:rPr>
        <w:t xml:space="preserve"> </w:t>
      </w:r>
    </w:p>
    <w:p w14:paraId="3B4FB6F1" w14:textId="77777777" w:rsidR="00706A2B" w:rsidRDefault="00706A2B" w:rsidP="00706A2B">
      <w:pPr>
        <w:spacing w:after="120" w:line="276" w:lineRule="auto"/>
        <w:jc w:val="both"/>
        <w:rPr>
          <w:rFonts w:ascii="Nirmala UI Semilight" w:hAnsi="Nirmala UI Semilight" w:cs="Nirmala UI Semilight"/>
          <w:bCs/>
          <w:sz w:val="28"/>
          <w:szCs w:val="28"/>
        </w:rPr>
      </w:pPr>
      <w:r w:rsidRPr="00AB11ED">
        <w:rPr>
          <w:rFonts w:ascii="Nirmala UI Semilight" w:hAnsi="Nirmala UI Semilight" w:cs="Nirmala UI Semilight"/>
          <w:bCs/>
          <w:sz w:val="28"/>
          <w:szCs w:val="28"/>
        </w:rPr>
        <w:t>El pasado y el futuro de una persona están íntimamente relacionados por el significado que se da a los acontecimientos de nuestra historia personal. El significado que se da al pasado puede, de hecho, construirse y reconstruirse según sea necesario para servir al presente.</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De este modo, el pasado está siempre abierto a nuevos significados y a nuevas interpretaciones, y sólo existe en la medida en que se recuerda en una situación determinada y teniendo en cuenta el significado que se da a esa situación (Kenyon, 2000: 14).</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A su vez, la forma de interpretar el presente está constituida por el futuro y los objetivos concretos que preocupan al individuo. Parte de la existencia implica gestionar la tensión entre nuestro yo pasado, presente y futuro.</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 xml:space="preserve">Lo que somos ahora y lo que podemos llegar a ser se fundamenta en lo que fuimos. Esto es lo que Heidegger (1926: 373) quiere decir cuando subraya </w:t>
      </w:r>
      <w:r>
        <w:rPr>
          <w:rFonts w:ascii="Nirmala UI Semilight" w:hAnsi="Nirmala UI Semilight" w:cs="Nirmala UI Semilight"/>
          <w:bCs/>
          <w:sz w:val="28"/>
          <w:szCs w:val="28"/>
        </w:rPr>
        <w:t>“</w:t>
      </w:r>
      <w:r w:rsidRPr="00AB11ED">
        <w:rPr>
          <w:rFonts w:ascii="Nirmala UI Semilight" w:hAnsi="Nirmala UI Semilight" w:cs="Nirmala UI Semilight"/>
          <w:bCs/>
          <w:sz w:val="28"/>
          <w:szCs w:val="28"/>
        </w:rPr>
        <w:t>soy como habiendo sido</w:t>
      </w:r>
      <w:r>
        <w:rPr>
          <w:rFonts w:ascii="Nirmala UI Semilight" w:hAnsi="Nirmala UI Semilight" w:cs="Nirmala UI Semilight"/>
          <w:bCs/>
          <w:sz w:val="28"/>
          <w:szCs w:val="28"/>
        </w:rPr>
        <w:t>”</w:t>
      </w:r>
      <w:r w:rsidRPr="00AB11ED">
        <w:rPr>
          <w:rFonts w:ascii="Nirmala UI Semilight" w:hAnsi="Nirmala UI Semilight" w:cs="Nirmala UI Semilight"/>
          <w:bCs/>
          <w:sz w:val="28"/>
          <w:szCs w:val="28"/>
        </w:rPr>
        <w:t xml:space="preserve"> y también como describe Sartre,</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la libertad que huye hacia el futuro no puede darse cualquier pasado que le guste según su capricho</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Tiene que ser su propio pasado, y este pasado es irremediable</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w:t>
      </w:r>
      <w:r>
        <w:rPr>
          <w:rFonts w:ascii="Nirmala UI Semilight" w:hAnsi="Nirmala UI Semilight" w:cs="Nirmala UI Semilight"/>
          <w:bCs/>
          <w:sz w:val="28"/>
          <w:szCs w:val="28"/>
        </w:rPr>
        <w:t>)</w:t>
      </w:r>
      <w:r w:rsidRPr="00AB11ED">
        <w:rPr>
          <w:rFonts w:ascii="Nirmala UI Semilight" w:hAnsi="Nirmala UI Semilight" w:cs="Nirmala UI Semilight"/>
          <w:bCs/>
          <w:sz w:val="28"/>
          <w:szCs w:val="28"/>
        </w:rPr>
        <w:t xml:space="preserve"> Si el pasado no determina nuestras acciones, al menos es tal que no podemos tomar una nueva decisión si no es </w:t>
      </w:r>
      <w:r w:rsidRPr="008B0B92">
        <w:rPr>
          <w:rFonts w:ascii="Nirmala UI Semilight" w:hAnsi="Nirmala UI Semilight" w:cs="Nirmala UI Semilight"/>
          <w:bCs/>
          <w:i/>
          <w:iCs/>
          <w:sz w:val="28"/>
          <w:szCs w:val="28"/>
        </w:rPr>
        <w:t>en función de él”</w:t>
      </w:r>
      <w:r>
        <w:rPr>
          <w:rFonts w:ascii="Nirmala UI Semilight" w:hAnsi="Nirmala UI Semilight" w:cs="Nirmala UI Semilight"/>
          <w:bCs/>
          <w:sz w:val="28"/>
          <w:szCs w:val="28"/>
        </w:rPr>
        <w:t xml:space="preserve"> </w:t>
      </w:r>
      <w:r w:rsidRPr="00AB11ED">
        <w:rPr>
          <w:rFonts w:ascii="Nirmala UI Semilight" w:hAnsi="Nirmala UI Semilight" w:cs="Nirmala UI Semilight"/>
          <w:bCs/>
          <w:sz w:val="28"/>
          <w:szCs w:val="28"/>
        </w:rPr>
        <w:t>(1958</w:t>
      </w:r>
      <w:r>
        <w:rPr>
          <w:rFonts w:ascii="Nirmala UI Semilight" w:hAnsi="Nirmala UI Semilight" w:cs="Nirmala UI Semilight"/>
          <w:bCs/>
          <w:sz w:val="28"/>
          <w:szCs w:val="28"/>
        </w:rPr>
        <w:t>:</w:t>
      </w:r>
      <w:r w:rsidRPr="00AB11ED">
        <w:rPr>
          <w:rFonts w:ascii="Nirmala UI Semilight" w:hAnsi="Nirmala UI Semilight" w:cs="Nirmala UI Semilight"/>
          <w:bCs/>
          <w:sz w:val="28"/>
          <w:szCs w:val="28"/>
        </w:rPr>
        <w:t xml:space="preserve"> 517, </w:t>
      </w:r>
      <w:r>
        <w:rPr>
          <w:rFonts w:ascii="Nirmala UI Semilight" w:hAnsi="Nirmala UI Semilight" w:cs="Nirmala UI Semilight"/>
          <w:bCs/>
          <w:sz w:val="28"/>
          <w:szCs w:val="28"/>
        </w:rPr>
        <w:t>énfasis en</w:t>
      </w:r>
      <w:r w:rsidRPr="00AB11ED">
        <w:rPr>
          <w:rFonts w:ascii="Nirmala UI Semilight" w:hAnsi="Nirmala UI Semilight" w:cs="Nirmala UI Semilight"/>
          <w:bCs/>
          <w:sz w:val="28"/>
          <w:szCs w:val="28"/>
        </w:rPr>
        <w:t xml:space="preserve"> original).</w:t>
      </w:r>
    </w:p>
    <w:p w14:paraId="4411D08F" w14:textId="3F13134A" w:rsidR="00E83A4B" w:rsidRDefault="006A3119" w:rsidP="006C35BB">
      <w:pPr>
        <w:spacing w:after="120" w:line="276" w:lineRule="auto"/>
        <w:jc w:val="both"/>
        <w:rPr>
          <w:rFonts w:ascii="Nirmala UI Semilight" w:hAnsi="Nirmala UI Semilight" w:cs="Nirmala UI Semilight"/>
          <w:bCs/>
          <w:sz w:val="28"/>
          <w:szCs w:val="28"/>
        </w:rPr>
      </w:pPr>
      <w:r w:rsidRPr="00EA7747">
        <w:rPr>
          <w:rFonts w:ascii="Nirmala UI Semilight" w:hAnsi="Nirmala UI Semilight" w:cs="Nirmala UI Semilight"/>
          <w:bCs/>
          <w:sz w:val="28"/>
          <w:szCs w:val="28"/>
        </w:rPr>
        <w:lastRenderedPageBreak/>
        <w:t>Por tanto, debemos convertirnos en nuestro pasado y, de este modo, ya somos nuestro futuro.</w:t>
      </w:r>
      <w:r>
        <w:rPr>
          <w:rFonts w:ascii="Nirmala UI Semilight" w:hAnsi="Nirmala UI Semilight" w:cs="Nirmala UI Semilight"/>
          <w:bCs/>
          <w:sz w:val="28"/>
          <w:szCs w:val="28"/>
        </w:rPr>
        <w:t xml:space="preserve"> </w:t>
      </w:r>
      <w:r w:rsidRPr="00EA7747">
        <w:rPr>
          <w:rFonts w:ascii="Nirmala UI Semilight" w:hAnsi="Nirmala UI Semilight" w:cs="Nirmala UI Semilight"/>
          <w:bCs/>
          <w:sz w:val="28"/>
          <w:szCs w:val="28"/>
        </w:rPr>
        <w:t>Sin embargo, aunque no podamos cambiar nuestro pasado, sí podemos cambiar su significado (Sartre, 1958: 519-520) y es así como construimos activamente un futuro para nosotros mismos.</w:t>
      </w:r>
      <w:r w:rsidR="00964D06">
        <w:rPr>
          <w:rFonts w:ascii="Nirmala UI Semilight" w:hAnsi="Nirmala UI Semilight" w:cs="Nirmala UI Semilight"/>
          <w:bCs/>
          <w:sz w:val="28"/>
          <w:szCs w:val="28"/>
        </w:rPr>
        <w:t xml:space="preserve"> </w:t>
      </w:r>
      <w:r w:rsidR="00964D06" w:rsidRPr="00EA7747">
        <w:rPr>
          <w:rFonts w:ascii="Nirmala UI Semilight" w:hAnsi="Nirmala UI Semilight" w:cs="Nirmala UI Semilight"/>
          <w:bCs/>
          <w:sz w:val="28"/>
          <w:szCs w:val="28"/>
        </w:rPr>
        <w:t>Por ejemplo, el delincuente que desea desistir de delinquir puede citar experiencias negativas que lo impulsen a hacerlo, como haber sido sorprendido mientras robaba en una casa, sufrir lesiones físicas o temer por su vida.</w:t>
      </w:r>
      <w:r w:rsidR="00964D06">
        <w:rPr>
          <w:rFonts w:ascii="Nirmala UI Semilight" w:hAnsi="Nirmala UI Semilight" w:cs="Nirmala UI Semilight"/>
          <w:bCs/>
          <w:sz w:val="28"/>
          <w:szCs w:val="28"/>
        </w:rPr>
        <w:t xml:space="preserve"> </w:t>
      </w:r>
      <w:r w:rsidR="00964D06" w:rsidRPr="00EA7747">
        <w:rPr>
          <w:rFonts w:ascii="Nirmala UI Semilight" w:hAnsi="Nirmala UI Semilight" w:cs="Nirmala UI Semilight"/>
          <w:bCs/>
          <w:sz w:val="28"/>
          <w:szCs w:val="28"/>
        </w:rPr>
        <w:t>El proyecto de futuro constituido por el deseo de ser un ex delincuente cita estas experiencias como prueba de que la delincuencia no merece la pena. Si el mismo delincuente reincide más tarde, estas mismas experiencias pueden ser interpretadas de forma algo diferente.</w:t>
      </w:r>
      <w:r w:rsidR="00964D06">
        <w:rPr>
          <w:rFonts w:ascii="Nirmala UI Semilight" w:hAnsi="Nirmala UI Semilight" w:cs="Nirmala UI Semilight"/>
          <w:bCs/>
          <w:sz w:val="28"/>
          <w:szCs w:val="28"/>
        </w:rPr>
        <w:t xml:space="preserve"> </w:t>
      </w:r>
      <w:r w:rsidR="00964D06" w:rsidRPr="00EA7747">
        <w:rPr>
          <w:rFonts w:ascii="Nirmala UI Semilight" w:hAnsi="Nirmala UI Semilight" w:cs="Nirmala UI Semilight"/>
          <w:bCs/>
          <w:sz w:val="28"/>
          <w:szCs w:val="28"/>
        </w:rPr>
        <w:t xml:space="preserve">Con un proyecto de futuro diferente, las mismas experiencias pueden ser interpretadas por la excitación que aportan, la </w:t>
      </w:r>
      <w:r w:rsidR="00964D06">
        <w:rPr>
          <w:rFonts w:ascii="Nirmala UI Semilight" w:hAnsi="Nirmala UI Semilight" w:cs="Nirmala UI Semilight"/>
          <w:bCs/>
          <w:sz w:val="28"/>
          <w:szCs w:val="28"/>
        </w:rPr>
        <w:t>“adrenalina”</w:t>
      </w:r>
      <w:r w:rsidR="00964D06" w:rsidRPr="00EA7747">
        <w:rPr>
          <w:rFonts w:ascii="Nirmala UI Semilight" w:hAnsi="Nirmala UI Semilight" w:cs="Nirmala UI Semilight"/>
          <w:bCs/>
          <w:sz w:val="28"/>
          <w:szCs w:val="28"/>
        </w:rPr>
        <w:t xml:space="preserve"> que engendra delinquir </w:t>
      </w:r>
      <w:r w:rsidR="00ED1D58">
        <w:rPr>
          <w:rFonts w:ascii="Nirmala UI Semilight" w:hAnsi="Nirmala UI Semilight" w:cs="Nirmala UI Semilight"/>
          <w:bCs/>
          <w:sz w:val="28"/>
          <w:szCs w:val="28"/>
        </w:rPr>
        <w:t xml:space="preserve">como </w:t>
      </w:r>
      <w:r w:rsidR="00964D06" w:rsidRPr="00EA7747">
        <w:rPr>
          <w:rFonts w:ascii="Nirmala UI Semilight" w:hAnsi="Nirmala UI Semilight" w:cs="Nirmala UI Semilight"/>
          <w:bCs/>
          <w:sz w:val="28"/>
          <w:szCs w:val="28"/>
        </w:rPr>
        <w:t xml:space="preserve">una parte clave de la vida que ahora falta y una razón para delinquir de nuevo (del mismo modo, los delincuentes pueden rechazar una existencia auténtica afirmando que fueron </w:t>
      </w:r>
      <w:r w:rsidR="00964D06">
        <w:rPr>
          <w:rFonts w:ascii="Nirmala UI Semilight" w:hAnsi="Nirmala UI Semilight" w:cs="Nirmala UI Semilight"/>
          <w:bCs/>
          <w:sz w:val="28"/>
          <w:szCs w:val="28"/>
        </w:rPr>
        <w:t>“</w:t>
      </w:r>
      <w:r w:rsidR="00964D06" w:rsidRPr="00EA7747">
        <w:rPr>
          <w:rFonts w:ascii="Nirmala UI Semilight" w:hAnsi="Nirmala UI Semilight" w:cs="Nirmala UI Semilight"/>
          <w:bCs/>
          <w:sz w:val="28"/>
          <w:szCs w:val="28"/>
        </w:rPr>
        <w:t>empujados</w:t>
      </w:r>
      <w:r w:rsidR="00964D06">
        <w:rPr>
          <w:rFonts w:ascii="Nirmala UI Semilight" w:hAnsi="Nirmala UI Semilight" w:cs="Nirmala UI Semilight"/>
          <w:bCs/>
          <w:sz w:val="28"/>
          <w:szCs w:val="28"/>
        </w:rPr>
        <w:t>”</w:t>
      </w:r>
      <w:r w:rsidR="00964D06" w:rsidRPr="00EA7747">
        <w:rPr>
          <w:rFonts w:ascii="Nirmala UI Semilight" w:hAnsi="Nirmala UI Semilight" w:cs="Nirmala UI Semilight"/>
          <w:bCs/>
          <w:sz w:val="28"/>
          <w:szCs w:val="28"/>
        </w:rPr>
        <w:t xml:space="preserve"> a delinquir).</w:t>
      </w:r>
    </w:p>
    <w:p w14:paraId="7FC24C97" w14:textId="0645B21D" w:rsidR="005A4D2A" w:rsidRDefault="00A27428" w:rsidP="005A4D2A">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Como dije antes intentare</w:t>
      </w:r>
      <w:r w:rsidR="004A7207">
        <w:rPr>
          <w:rFonts w:ascii="Nirmala UI Semilight" w:hAnsi="Nirmala UI Semilight" w:cs="Nirmala UI Semilight"/>
          <w:bCs/>
          <w:sz w:val="28"/>
          <w:szCs w:val="28"/>
        </w:rPr>
        <w:t xml:space="preserve"> a través de la utilización de las teorías existencialistas</w:t>
      </w:r>
      <w:r w:rsidR="005F036F">
        <w:rPr>
          <w:rFonts w:ascii="Nirmala UI Semilight" w:hAnsi="Nirmala UI Semilight" w:cs="Nirmala UI Semilight"/>
          <w:bCs/>
          <w:sz w:val="28"/>
          <w:szCs w:val="28"/>
        </w:rPr>
        <w:t xml:space="preserve">—a través de consideraciones generales—y de la sociología existencial—más específicamente—presentar un marco teórico que </w:t>
      </w:r>
      <w:r w:rsidR="008208AC">
        <w:rPr>
          <w:rFonts w:ascii="Nirmala UI Semilight" w:hAnsi="Nirmala UI Semilight" w:cs="Nirmala UI Semilight"/>
          <w:bCs/>
          <w:sz w:val="28"/>
          <w:szCs w:val="28"/>
        </w:rPr>
        <w:t>sirva como herramienta para comprender la forma de desistimiento de los jóvenes de clase media que delinquen</w:t>
      </w:r>
      <w:r w:rsidR="00A10083">
        <w:rPr>
          <w:rFonts w:ascii="Nirmala UI Semilight" w:hAnsi="Nirmala UI Semilight" w:cs="Nirmala UI Semilight"/>
          <w:bCs/>
          <w:sz w:val="28"/>
          <w:szCs w:val="28"/>
        </w:rPr>
        <w:t>; en tanto, e</w:t>
      </w:r>
      <w:r w:rsidR="00A10083" w:rsidRPr="00EA7747">
        <w:rPr>
          <w:rFonts w:ascii="Nirmala UI Semilight" w:hAnsi="Nirmala UI Semilight" w:cs="Nirmala UI Semilight"/>
          <w:bCs/>
          <w:sz w:val="28"/>
          <w:szCs w:val="28"/>
        </w:rPr>
        <w:t xml:space="preserve">l objetivo de esta </w:t>
      </w:r>
      <w:r w:rsidR="00A10083" w:rsidRPr="00233540">
        <w:rPr>
          <w:rFonts w:ascii="Nirmala UI Semilight" w:hAnsi="Nirmala UI Semilight" w:cs="Nirmala UI Semilight"/>
          <w:bCs/>
          <w:i/>
          <w:iCs/>
          <w:sz w:val="28"/>
          <w:szCs w:val="28"/>
        </w:rPr>
        <w:t>sociología existencial</w:t>
      </w:r>
      <w:r w:rsidR="00A10083" w:rsidRPr="00EA7747">
        <w:rPr>
          <w:rFonts w:ascii="Nirmala UI Semilight" w:hAnsi="Nirmala UI Semilight" w:cs="Nirmala UI Semilight"/>
          <w:bCs/>
          <w:sz w:val="28"/>
          <w:szCs w:val="28"/>
        </w:rPr>
        <w:t xml:space="preserve"> es estudiar a las personas dentro de su mundo cotidiano (Fontana, 1984: 4).</w:t>
      </w:r>
      <w:r w:rsidR="005A4D2A">
        <w:rPr>
          <w:rFonts w:ascii="Nirmala UI Semilight" w:hAnsi="Nirmala UI Semilight" w:cs="Nirmala UI Semilight"/>
          <w:bCs/>
          <w:sz w:val="28"/>
          <w:szCs w:val="28"/>
        </w:rPr>
        <w:t xml:space="preserve"> Me serviré de las </w:t>
      </w:r>
      <w:r w:rsidR="005A4D2A" w:rsidRPr="00EA7747">
        <w:rPr>
          <w:rFonts w:ascii="Nirmala UI Semilight" w:hAnsi="Nirmala UI Semilight" w:cs="Nirmala UI Semilight"/>
          <w:bCs/>
          <w:sz w:val="28"/>
          <w:szCs w:val="28"/>
        </w:rPr>
        <w:t xml:space="preserve">preocupaciones centrales del pensamiento sociológico existencial; en concreto: la búsqueda por parte de los individuos de una identidad propia significativa; el </w:t>
      </w:r>
      <w:r w:rsidR="009A6FE6">
        <w:rPr>
          <w:rFonts w:ascii="Nirmala UI Semilight" w:hAnsi="Nirmala UI Semilight" w:cs="Nirmala UI Semilight"/>
          <w:bCs/>
          <w:sz w:val="28"/>
          <w:szCs w:val="28"/>
        </w:rPr>
        <w:t>rol</w:t>
      </w:r>
      <w:r w:rsidR="005A4D2A" w:rsidRPr="00EA7747">
        <w:rPr>
          <w:rFonts w:ascii="Nirmala UI Semilight" w:hAnsi="Nirmala UI Semilight" w:cs="Nirmala UI Semilight"/>
          <w:bCs/>
          <w:sz w:val="28"/>
          <w:szCs w:val="28"/>
        </w:rPr>
        <w:t xml:space="preserve"> de los sentimientos y las emociones; y, por último, la importancia de los valores y creencias de los individuos. Estas preocupaciones permiten comprender que el comportamiento de los individuos puede cambiar.</w:t>
      </w:r>
    </w:p>
    <w:p w14:paraId="697F9E86" w14:textId="33244E87" w:rsidR="00CE0AB1" w:rsidRDefault="00CE0AB1" w:rsidP="005A4D2A">
      <w:pPr>
        <w:spacing w:after="120" w:line="276" w:lineRule="auto"/>
        <w:jc w:val="both"/>
        <w:rPr>
          <w:rFonts w:ascii="Nirmala UI Semilight" w:hAnsi="Nirmala UI Semilight" w:cs="Nirmala UI Semilight"/>
          <w:bCs/>
          <w:sz w:val="28"/>
          <w:szCs w:val="28"/>
        </w:rPr>
      </w:pPr>
      <w:r w:rsidRPr="00CA7263">
        <w:rPr>
          <w:rFonts w:ascii="Nirmala UI Semilight" w:hAnsi="Nirmala UI Semilight" w:cs="Nirmala UI Semilight"/>
          <w:bCs/>
          <w:sz w:val="28"/>
          <w:szCs w:val="28"/>
        </w:rPr>
        <w:lastRenderedPageBreak/>
        <w:t>Para la conceptualización del yo es fundamental comprender cómo reacciona ante la posibilidad de su propio cambio. Los acontecimientos del mundo pueden sugerir la posibilidad de cambio porque afectan a algún aspecto de nuestra existencia (Kotarba, 1984: 229).</w:t>
      </w:r>
      <w:r>
        <w:rPr>
          <w:rFonts w:ascii="Nirmala UI Semilight" w:hAnsi="Nirmala UI Semilight" w:cs="Nirmala UI Semilight"/>
          <w:bCs/>
          <w:sz w:val="28"/>
          <w:szCs w:val="28"/>
        </w:rPr>
        <w:t xml:space="preserve"> </w:t>
      </w:r>
      <w:r w:rsidRPr="00CA7263">
        <w:rPr>
          <w:rFonts w:ascii="Nirmala UI Semilight" w:hAnsi="Nirmala UI Semilight" w:cs="Nirmala UI Semilight"/>
          <w:bCs/>
          <w:sz w:val="28"/>
          <w:szCs w:val="28"/>
        </w:rPr>
        <w:t>Si el cambio puede acomodarse dentro de la concepción actual del yo, entonces es improbable que el individuo sienta inseguridad ontológica: una amenaza a la totalidad del yo (Yalom, 1980; Fontana, 2002).</w:t>
      </w:r>
      <w:r>
        <w:rPr>
          <w:rFonts w:ascii="Nirmala UI Semilight" w:hAnsi="Nirmala UI Semilight" w:cs="Nirmala UI Semilight"/>
          <w:bCs/>
          <w:sz w:val="28"/>
          <w:szCs w:val="28"/>
        </w:rPr>
        <w:t xml:space="preserve"> Ahora bien</w:t>
      </w:r>
      <w:r w:rsidRPr="00CA7263">
        <w:rPr>
          <w:rFonts w:ascii="Nirmala UI Semilight" w:hAnsi="Nirmala UI Semilight" w:cs="Nirmala UI Semilight"/>
          <w:bCs/>
          <w:sz w:val="28"/>
          <w:szCs w:val="28"/>
        </w:rPr>
        <w:t>, dicho cambio podría promover, como mucho, un período de autorreflexión intensificada si el cambio en el sentido del yo es uno que lo pone en agudo contraste con la percepción que se tiene actualmente (Douglas, 1984: 77).</w:t>
      </w:r>
      <w:r>
        <w:rPr>
          <w:rFonts w:ascii="Nirmala UI Semilight" w:hAnsi="Nirmala UI Semilight" w:cs="Nirmala UI Semilight"/>
          <w:bCs/>
          <w:sz w:val="28"/>
          <w:szCs w:val="28"/>
        </w:rPr>
        <w:t xml:space="preserve"> </w:t>
      </w:r>
      <w:r w:rsidRPr="001038B6">
        <w:rPr>
          <w:rFonts w:ascii="Nirmala UI Semilight" w:hAnsi="Nirmala UI Semilight" w:cs="Nirmala UI Semilight"/>
          <w:bCs/>
          <w:sz w:val="28"/>
          <w:szCs w:val="28"/>
        </w:rPr>
        <w:t>Por el contrario, si el individuo siente que carece de los recursos para hacer frente al cambio, entonces puede percibirlo como una amenaza y acompañarlo del temor concomitante a que su yo interior</w:t>
      </w:r>
      <w:r>
        <w:rPr>
          <w:rFonts w:ascii="Nirmala UI Semilight" w:hAnsi="Nirmala UI Semilight" w:cs="Nirmala UI Semilight"/>
          <w:bCs/>
          <w:sz w:val="28"/>
          <w:szCs w:val="28"/>
        </w:rPr>
        <w:t>—</w:t>
      </w:r>
      <w:r w:rsidRPr="001038B6">
        <w:rPr>
          <w:rFonts w:ascii="Nirmala UI Semilight" w:hAnsi="Nirmala UI Semilight" w:cs="Nirmala UI Semilight"/>
          <w:bCs/>
          <w:sz w:val="28"/>
          <w:szCs w:val="28"/>
        </w:rPr>
        <w:t>su propio ser</w:t>
      </w:r>
      <w:r>
        <w:rPr>
          <w:rFonts w:ascii="Nirmala UI Semilight" w:hAnsi="Nirmala UI Semilight" w:cs="Nirmala UI Semilight"/>
          <w:bCs/>
          <w:sz w:val="28"/>
          <w:szCs w:val="28"/>
        </w:rPr>
        <w:t>—</w:t>
      </w:r>
      <w:r w:rsidRPr="001038B6">
        <w:rPr>
          <w:rFonts w:ascii="Nirmala UI Semilight" w:hAnsi="Nirmala UI Semilight" w:cs="Nirmala UI Semilight"/>
          <w:bCs/>
          <w:sz w:val="28"/>
          <w:szCs w:val="28"/>
        </w:rPr>
        <w:t>esté en peligro (Douglas, 1984; Hunter, 2011 demuestra el impacto de esto en los delincuentes de cuello blanco).</w:t>
      </w:r>
      <w:r w:rsidR="00E465DA">
        <w:rPr>
          <w:rFonts w:ascii="Nirmala UI Semilight" w:hAnsi="Nirmala UI Semilight" w:cs="Nirmala UI Semilight"/>
          <w:bCs/>
          <w:sz w:val="28"/>
          <w:szCs w:val="28"/>
        </w:rPr>
        <w:t xml:space="preserve"> </w:t>
      </w:r>
      <w:r w:rsidR="00E465DA" w:rsidRPr="001038B6">
        <w:rPr>
          <w:rFonts w:ascii="Nirmala UI Semilight" w:hAnsi="Nirmala UI Semilight" w:cs="Nirmala UI Semilight"/>
          <w:bCs/>
          <w:sz w:val="28"/>
          <w:szCs w:val="28"/>
        </w:rPr>
        <w:t xml:space="preserve">El yo evoluciona a través de los encuentros sociales y lo que uno </w:t>
      </w:r>
      <w:r w:rsidR="00E465DA">
        <w:rPr>
          <w:rFonts w:ascii="Nirmala UI Semilight" w:hAnsi="Nirmala UI Semilight" w:cs="Nirmala UI Semilight"/>
          <w:bCs/>
          <w:sz w:val="28"/>
          <w:szCs w:val="28"/>
        </w:rPr>
        <w:t>“</w:t>
      </w:r>
      <w:r w:rsidR="00E465DA" w:rsidRPr="001038B6">
        <w:rPr>
          <w:rFonts w:ascii="Nirmala UI Semilight" w:hAnsi="Nirmala UI Semilight" w:cs="Nirmala UI Semilight"/>
          <w:bCs/>
          <w:sz w:val="28"/>
          <w:szCs w:val="28"/>
        </w:rPr>
        <w:t>es</w:t>
      </w:r>
      <w:r w:rsidR="00E465DA">
        <w:rPr>
          <w:rFonts w:ascii="Nirmala UI Semilight" w:hAnsi="Nirmala UI Semilight" w:cs="Nirmala UI Semilight"/>
          <w:bCs/>
          <w:sz w:val="28"/>
          <w:szCs w:val="28"/>
        </w:rPr>
        <w:t>”</w:t>
      </w:r>
      <w:r w:rsidR="00E465DA" w:rsidRPr="001038B6">
        <w:rPr>
          <w:rFonts w:ascii="Nirmala UI Semilight" w:hAnsi="Nirmala UI Semilight" w:cs="Nirmala UI Semilight"/>
          <w:bCs/>
          <w:sz w:val="28"/>
          <w:szCs w:val="28"/>
        </w:rPr>
        <w:t xml:space="preserve"> se construye a través de la interacción con los demás y se reconstruye necesariamente a medida que uno se mueve entre los encuentros sociales y las instituciones sociales (Goffman, 1963, 1969; Douglas, 1977</w:t>
      </w:r>
      <w:r w:rsidR="00E465DA">
        <w:rPr>
          <w:rFonts w:ascii="Nirmala UI Semilight" w:hAnsi="Nirmala UI Semilight" w:cs="Nirmala UI Semilight"/>
          <w:bCs/>
          <w:sz w:val="28"/>
          <w:szCs w:val="28"/>
        </w:rPr>
        <w:t>;</w:t>
      </w:r>
      <w:r w:rsidR="00E465DA" w:rsidRPr="001038B6">
        <w:rPr>
          <w:rFonts w:ascii="Nirmala UI Semilight" w:hAnsi="Nirmala UI Semilight" w:cs="Nirmala UI Semilight"/>
          <w:bCs/>
          <w:sz w:val="28"/>
          <w:szCs w:val="28"/>
        </w:rPr>
        <w:t xml:space="preserve"> Ebaugh, 1984).</w:t>
      </w:r>
    </w:p>
    <w:p w14:paraId="164250D3" w14:textId="2EB4B1DD" w:rsidR="00B8001E" w:rsidRDefault="00B8001E" w:rsidP="005A4D2A">
      <w:pPr>
        <w:spacing w:after="120" w:line="276" w:lineRule="auto"/>
        <w:jc w:val="both"/>
        <w:rPr>
          <w:rFonts w:ascii="Nirmala UI Semilight" w:hAnsi="Nirmala UI Semilight" w:cs="Nirmala UI Semilight"/>
          <w:bCs/>
          <w:sz w:val="28"/>
          <w:szCs w:val="28"/>
        </w:rPr>
      </w:pPr>
      <w:r w:rsidRPr="00EC1B2D">
        <w:rPr>
          <w:rFonts w:ascii="Nirmala UI Semilight" w:hAnsi="Nirmala UI Semilight" w:cs="Nirmala UI Semilight"/>
          <w:bCs/>
          <w:sz w:val="28"/>
          <w:szCs w:val="28"/>
        </w:rPr>
        <w:t>Es probable que los valores que poseemos deriven de valores culturales y de los expresados por nuestros propios grupos sociales (Douglas, 1984: 83).</w:t>
      </w:r>
      <w:r w:rsidR="005F477C">
        <w:rPr>
          <w:rFonts w:ascii="Nirmala UI Semilight" w:hAnsi="Nirmala UI Semilight" w:cs="Nirmala UI Semilight"/>
          <w:bCs/>
          <w:sz w:val="28"/>
          <w:szCs w:val="28"/>
        </w:rPr>
        <w:t xml:space="preserve"> </w:t>
      </w:r>
      <w:r w:rsidR="005F477C" w:rsidRPr="0028516D">
        <w:rPr>
          <w:rFonts w:ascii="Nirmala UI Semilight" w:hAnsi="Nirmala UI Semilight" w:cs="Nirmala UI Semilight"/>
          <w:bCs/>
          <w:sz w:val="28"/>
          <w:szCs w:val="28"/>
        </w:rPr>
        <w:t>Douglas describe los problemas a los que se enfrentaría un yo sin valores:</w:t>
      </w:r>
      <w:r w:rsidR="005F477C">
        <w:rPr>
          <w:rFonts w:ascii="Nirmala UI Semilight" w:hAnsi="Nirmala UI Semilight" w:cs="Nirmala UI Semilight"/>
          <w:bCs/>
          <w:sz w:val="28"/>
          <w:szCs w:val="28"/>
        </w:rPr>
        <w:t xml:space="preserve"> “</w:t>
      </w:r>
      <w:r w:rsidR="005F477C" w:rsidRPr="0028516D">
        <w:rPr>
          <w:rFonts w:ascii="Nirmala UI Semilight" w:hAnsi="Nirmala UI Semilight" w:cs="Nirmala UI Semilight"/>
          <w:bCs/>
          <w:sz w:val="28"/>
          <w:szCs w:val="28"/>
        </w:rPr>
        <w:t xml:space="preserve">Socialmente estaríamos continuamente </w:t>
      </w:r>
      <w:r w:rsidR="005F477C" w:rsidRPr="0028516D">
        <w:rPr>
          <w:rFonts w:ascii="Nirmala UI Semilight" w:hAnsi="Nirmala UI Semilight" w:cs="Nirmala UI Semilight"/>
          <w:bCs/>
          <w:i/>
          <w:iCs/>
          <w:sz w:val="28"/>
          <w:szCs w:val="28"/>
        </w:rPr>
        <w:t>perdidos</w:t>
      </w:r>
      <w:r w:rsidR="005F477C" w:rsidRPr="0028516D">
        <w:rPr>
          <w:rFonts w:ascii="Nirmala UI Semilight" w:hAnsi="Nirmala UI Semilight" w:cs="Nirmala UI Semilight"/>
          <w:bCs/>
          <w:sz w:val="28"/>
          <w:szCs w:val="28"/>
        </w:rPr>
        <w:t>. Un individuo que viola sus propias normas básicas o las de los grupos en los que está afianzado emocionalmente siente que se ha traicionado a sí mismo, y experimenta el dolor de una culpa o vergüenza graves; este dolor, a su vez, refuerza las normas, haciendo más probable que no se traicione la próxima vez</w:t>
      </w:r>
      <w:r w:rsidR="005F477C">
        <w:rPr>
          <w:rFonts w:ascii="Nirmala UI Semilight" w:hAnsi="Nirmala UI Semilight" w:cs="Nirmala UI Semilight"/>
          <w:bCs/>
          <w:sz w:val="28"/>
          <w:szCs w:val="28"/>
        </w:rPr>
        <w:t xml:space="preserve">” </w:t>
      </w:r>
      <w:r w:rsidR="005F477C" w:rsidRPr="0028516D">
        <w:rPr>
          <w:rFonts w:ascii="Nirmala UI Semilight" w:hAnsi="Nirmala UI Semilight" w:cs="Nirmala UI Semilight"/>
          <w:bCs/>
          <w:sz w:val="28"/>
          <w:szCs w:val="28"/>
        </w:rPr>
        <w:t>(Douglas, 1984</w:t>
      </w:r>
      <w:r w:rsidR="005F477C">
        <w:rPr>
          <w:rFonts w:ascii="Nirmala UI Semilight" w:hAnsi="Nirmala UI Semilight" w:cs="Nirmala UI Semilight"/>
          <w:bCs/>
          <w:sz w:val="28"/>
          <w:szCs w:val="28"/>
        </w:rPr>
        <w:t>:</w:t>
      </w:r>
      <w:r w:rsidR="005F477C" w:rsidRPr="0028516D">
        <w:rPr>
          <w:rFonts w:ascii="Nirmala UI Semilight" w:hAnsi="Nirmala UI Semilight" w:cs="Nirmala UI Semilight"/>
          <w:bCs/>
          <w:sz w:val="28"/>
          <w:szCs w:val="28"/>
        </w:rPr>
        <w:t xml:space="preserve"> 83, énfasis en el original).</w:t>
      </w:r>
      <w:r w:rsidR="00603151">
        <w:rPr>
          <w:rFonts w:ascii="Nirmala UI Semilight" w:hAnsi="Nirmala UI Semilight" w:cs="Nirmala UI Semilight"/>
          <w:bCs/>
          <w:sz w:val="28"/>
          <w:szCs w:val="28"/>
        </w:rPr>
        <w:t xml:space="preserve"> </w:t>
      </w:r>
      <w:r w:rsidR="00603151" w:rsidRPr="0028516D">
        <w:rPr>
          <w:rFonts w:ascii="Nirmala UI Semilight" w:hAnsi="Nirmala UI Semilight" w:cs="Nirmala UI Semilight"/>
          <w:bCs/>
          <w:sz w:val="28"/>
          <w:szCs w:val="28"/>
        </w:rPr>
        <w:t xml:space="preserve">Sin embargo, también puede darse el caso de que los individuos consigan sortear las barreras que ciertas normas imponen a un comportamiento libre de culpa </w:t>
      </w:r>
      <w:r w:rsidR="00603151" w:rsidRPr="0028516D">
        <w:rPr>
          <w:rFonts w:ascii="Nirmala UI Semilight" w:hAnsi="Nirmala UI Semilight" w:cs="Nirmala UI Semilight"/>
          <w:bCs/>
          <w:sz w:val="28"/>
          <w:szCs w:val="28"/>
        </w:rPr>
        <w:lastRenderedPageBreak/>
        <w:t>y desarrollen nuevos valores si experimentan con frecuencia la culpa y la vergüenza provocadas por el conflicto entre el yo y las acciones.</w:t>
      </w:r>
    </w:p>
    <w:p w14:paraId="1BF61F49" w14:textId="77777777" w:rsidR="00B62EB9" w:rsidRDefault="00B62EB9" w:rsidP="005A4D2A">
      <w:pPr>
        <w:spacing w:after="120" w:line="276" w:lineRule="auto"/>
        <w:jc w:val="both"/>
        <w:rPr>
          <w:rFonts w:ascii="Nirmala UI Semilight" w:hAnsi="Nirmala UI Semilight" w:cs="Nirmala UI Semilight"/>
          <w:bCs/>
          <w:sz w:val="28"/>
          <w:szCs w:val="28"/>
        </w:rPr>
      </w:pPr>
    </w:p>
    <w:p w14:paraId="42E54ABA" w14:textId="06F06E59" w:rsidR="00B62EB9" w:rsidRPr="000B7186" w:rsidRDefault="00B62EB9" w:rsidP="005A4D2A">
      <w:pPr>
        <w:spacing w:after="120" w:line="276" w:lineRule="auto"/>
        <w:jc w:val="both"/>
        <w:rPr>
          <w:rFonts w:ascii="Nirmala UI Semilight" w:hAnsi="Nirmala UI Semilight" w:cs="Nirmala UI Semilight"/>
          <w:b/>
          <w:sz w:val="28"/>
          <w:szCs w:val="28"/>
        </w:rPr>
      </w:pPr>
      <w:r w:rsidRPr="000B7186">
        <w:rPr>
          <w:rFonts w:ascii="Nirmala UI Semilight" w:hAnsi="Nirmala UI Semilight" w:cs="Nirmala UI Semilight"/>
          <w:b/>
          <w:sz w:val="28"/>
          <w:szCs w:val="28"/>
        </w:rPr>
        <w:t>Del respeto a la vergüenza</w:t>
      </w:r>
    </w:p>
    <w:p w14:paraId="29D1B73B" w14:textId="77777777" w:rsidR="000B7186" w:rsidRDefault="000B7186" w:rsidP="000B7186">
      <w:pPr>
        <w:spacing w:after="120" w:line="276" w:lineRule="auto"/>
        <w:jc w:val="both"/>
        <w:rPr>
          <w:rFonts w:ascii="Nirmala UI Semilight" w:hAnsi="Nirmala UI Semilight" w:cs="Nirmala UI Semilight"/>
          <w:bCs/>
          <w:sz w:val="28"/>
          <w:szCs w:val="28"/>
        </w:rPr>
      </w:pPr>
      <w:r w:rsidRPr="003A3F0C">
        <w:rPr>
          <w:rFonts w:ascii="Nirmala UI Semilight" w:hAnsi="Nirmala UI Semilight" w:cs="Nirmala UI Semilight"/>
          <w:bCs/>
          <w:sz w:val="28"/>
          <w:szCs w:val="28"/>
        </w:rPr>
        <w:t xml:space="preserve">Centrarnos en las emociones nos lleva a considerar la que, para algunos autores, es una de las emociones más poderosas que se relaciona específicamente con la interacción social y el cambio de comportamiento: la </w:t>
      </w:r>
      <w:r w:rsidRPr="000B7186">
        <w:rPr>
          <w:rFonts w:ascii="Nirmala UI Semilight" w:hAnsi="Nirmala UI Semilight" w:cs="Nirmala UI Semilight"/>
          <w:bCs/>
          <w:i/>
          <w:iCs/>
          <w:sz w:val="28"/>
          <w:szCs w:val="28"/>
        </w:rPr>
        <w:t>vergüenza</w:t>
      </w:r>
      <w:r w:rsidRPr="003A3F0C">
        <w:rPr>
          <w:rFonts w:ascii="Nirmala UI Semilight" w:hAnsi="Nirmala UI Semilight" w:cs="Nirmala UI Semilight"/>
          <w:bCs/>
          <w:sz w:val="28"/>
          <w:szCs w:val="28"/>
        </w:rPr>
        <w:t>.</w:t>
      </w:r>
    </w:p>
    <w:p w14:paraId="70566F7C" w14:textId="77777777" w:rsidR="004555E6" w:rsidRDefault="004555E6" w:rsidP="004555E6">
      <w:pPr>
        <w:spacing w:after="120" w:line="276" w:lineRule="auto"/>
        <w:jc w:val="both"/>
        <w:rPr>
          <w:rFonts w:ascii="Nirmala UI Semilight" w:hAnsi="Nirmala UI Semilight" w:cs="Nirmala UI Semilight"/>
          <w:bCs/>
          <w:sz w:val="28"/>
          <w:szCs w:val="28"/>
        </w:rPr>
      </w:pPr>
      <w:r w:rsidRPr="003A3F0C">
        <w:rPr>
          <w:rFonts w:ascii="Nirmala UI Semilight" w:hAnsi="Nirmala UI Semilight" w:cs="Nirmala UI Semilight"/>
          <w:bCs/>
          <w:sz w:val="28"/>
          <w:szCs w:val="28"/>
        </w:rPr>
        <w:t>La vergüenza es una emoción compuesta por elementos morales y sociales. Es una emoción moral, porque sentir vergüenza es reconocer que uno ha transgredido sus propias normas de conducta (Taylor, 1985).</w:t>
      </w:r>
      <w:r>
        <w:rPr>
          <w:rFonts w:ascii="Nirmala UI Semilight" w:hAnsi="Nirmala UI Semilight" w:cs="Nirmala UI Semilight"/>
          <w:bCs/>
          <w:sz w:val="28"/>
          <w:szCs w:val="28"/>
        </w:rPr>
        <w:t xml:space="preserve"> </w:t>
      </w:r>
      <w:r w:rsidRPr="000976E1">
        <w:rPr>
          <w:rFonts w:ascii="Nirmala UI Semilight" w:hAnsi="Nirmala UI Semilight" w:cs="Nirmala UI Semilight"/>
          <w:bCs/>
          <w:sz w:val="28"/>
          <w:szCs w:val="28"/>
        </w:rPr>
        <w:t>El individuo que siente vergüenza reconoce que su comportamiento es incompatible con los valores que cree tener y que esto se refleja negativamente en él.</w:t>
      </w:r>
      <w:r>
        <w:rPr>
          <w:rFonts w:ascii="Nirmala UI Semilight" w:hAnsi="Nirmala UI Semilight" w:cs="Nirmala UI Semilight"/>
          <w:bCs/>
          <w:sz w:val="28"/>
          <w:szCs w:val="28"/>
        </w:rPr>
        <w:t xml:space="preserve"> </w:t>
      </w:r>
      <w:r w:rsidRPr="000976E1">
        <w:rPr>
          <w:rFonts w:ascii="Nirmala UI Semilight" w:hAnsi="Nirmala UI Semilight" w:cs="Nirmala UI Semilight"/>
          <w:bCs/>
          <w:sz w:val="28"/>
          <w:szCs w:val="28"/>
        </w:rPr>
        <w:t>Esto vincula la vergüenza a las nociones de responsabilidad, al menos cuando la vergüenza es el resultado de un comportamiento que pone en tela de juicio el propio carácter (Manion, 2002).</w:t>
      </w:r>
      <w:r>
        <w:rPr>
          <w:rFonts w:ascii="Nirmala UI Semilight" w:hAnsi="Nirmala UI Semilight" w:cs="Nirmala UI Semilight"/>
          <w:bCs/>
          <w:sz w:val="28"/>
          <w:szCs w:val="28"/>
        </w:rPr>
        <w:t xml:space="preserve"> </w:t>
      </w:r>
      <w:r w:rsidRPr="000976E1">
        <w:rPr>
          <w:rFonts w:ascii="Nirmala UI Semilight" w:hAnsi="Nirmala UI Semilight" w:cs="Nirmala UI Semilight"/>
          <w:bCs/>
          <w:sz w:val="28"/>
          <w:szCs w:val="28"/>
        </w:rPr>
        <w:t>Así pues, la vergüenza representa una falta de adecuación percibida entre los valores/el yo ideal y las acciones propias (Ford, 1996) y, dado que los propios valores se derivan de aquellos con los que interactuamos (Douglas, 1984), esto atribuye un elemento social a la vergüenza (Taylor, 1985).</w:t>
      </w:r>
      <w:r>
        <w:rPr>
          <w:rFonts w:ascii="Nirmala UI Semilight" w:hAnsi="Nirmala UI Semilight" w:cs="Nirmala UI Semilight"/>
          <w:bCs/>
          <w:sz w:val="28"/>
          <w:szCs w:val="28"/>
        </w:rPr>
        <w:t xml:space="preserve"> </w:t>
      </w:r>
      <w:r w:rsidRPr="00495148">
        <w:rPr>
          <w:rFonts w:ascii="Nirmala UI Semilight" w:hAnsi="Nirmala UI Semilight" w:cs="Nirmala UI Semilight"/>
          <w:bCs/>
          <w:sz w:val="28"/>
          <w:szCs w:val="28"/>
        </w:rPr>
        <w:t>Es social porque representa un juicio desfavorable por parte del propio grupo de honor: el grupo al que pertenece el individuo y que comparte valores e ideales comunes, a los que se atienen unos a otros (Taylor, 1985: 54-57).</w:t>
      </w:r>
      <w:r>
        <w:rPr>
          <w:rFonts w:ascii="Nirmala UI Semilight" w:hAnsi="Nirmala UI Semilight" w:cs="Nirmala UI Semilight"/>
          <w:bCs/>
          <w:sz w:val="28"/>
          <w:szCs w:val="28"/>
        </w:rPr>
        <w:t xml:space="preserve"> </w:t>
      </w:r>
      <w:r w:rsidRPr="00495148">
        <w:rPr>
          <w:rFonts w:ascii="Nirmala UI Semilight" w:hAnsi="Nirmala UI Semilight" w:cs="Nirmala UI Semilight"/>
          <w:bCs/>
          <w:sz w:val="28"/>
          <w:szCs w:val="28"/>
        </w:rPr>
        <w:t>No vivir según las normas del grupo es perder la estima a los ojos del grupo y ser avergonzado.</w:t>
      </w:r>
      <w:r>
        <w:rPr>
          <w:rFonts w:ascii="Nirmala UI Semilight" w:hAnsi="Nirmala UI Semilight" w:cs="Nirmala UI Semilight"/>
          <w:bCs/>
          <w:sz w:val="28"/>
          <w:szCs w:val="28"/>
        </w:rPr>
        <w:t xml:space="preserve"> </w:t>
      </w:r>
    </w:p>
    <w:p w14:paraId="5CE134F3" w14:textId="77777777" w:rsidR="00FF5A2E" w:rsidRDefault="00FF5A2E" w:rsidP="00FF5A2E">
      <w:pPr>
        <w:spacing w:after="120" w:line="276" w:lineRule="auto"/>
        <w:jc w:val="both"/>
        <w:rPr>
          <w:rFonts w:ascii="Nirmala UI Semilight" w:hAnsi="Nirmala UI Semilight" w:cs="Nirmala UI Semilight"/>
          <w:bCs/>
          <w:sz w:val="28"/>
          <w:szCs w:val="28"/>
        </w:rPr>
      </w:pPr>
      <w:r w:rsidRPr="00495148">
        <w:rPr>
          <w:rFonts w:ascii="Nirmala UI Semilight" w:hAnsi="Nirmala UI Semilight" w:cs="Nirmala UI Semilight"/>
          <w:bCs/>
          <w:sz w:val="28"/>
          <w:szCs w:val="28"/>
        </w:rPr>
        <w:t xml:space="preserve">Al señalar la importancia del </w:t>
      </w:r>
      <w:r>
        <w:rPr>
          <w:rFonts w:ascii="Nirmala UI Semilight" w:hAnsi="Nirmala UI Semilight" w:cs="Nirmala UI Semilight"/>
          <w:bCs/>
          <w:sz w:val="28"/>
          <w:szCs w:val="28"/>
        </w:rPr>
        <w:t>“</w:t>
      </w:r>
      <w:r w:rsidRPr="00495148">
        <w:rPr>
          <w:rFonts w:ascii="Nirmala UI Semilight" w:hAnsi="Nirmala UI Semilight" w:cs="Nirmala UI Semilight"/>
          <w:bCs/>
          <w:sz w:val="28"/>
          <w:szCs w:val="28"/>
        </w:rPr>
        <w:t>grupo de honor</w:t>
      </w:r>
      <w:r>
        <w:rPr>
          <w:rFonts w:ascii="Nirmala UI Semilight" w:hAnsi="Nirmala UI Semilight" w:cs="Nirmala UI Semilight"/>
          <w:bCs/>
          <w:sz w:val="28"/>
          <w:szCs w:val="28"/>
        </w:rPr>
        <w:t>”</w:t>
      </w:r>
      <w:r w:rsidRPr="00495148">
        <w:rPr>
          <w:rFonts w:ascii="Nirmala UI Semilight" w:hAnsi="Nirmala UI Semilight" w:cs="Nirmala UI Semilight"/>
          <w:bCs/>
          <w:sz w:val="28"/>
          <w:szCs w:val="28"/>
        </w:rPr>
        <w:t>, Taylor (1985) hace explícita la necesidad de un público que incite al individuo a sentir vergüenza.</w:t>
      </w:r>
      <w:r>
        <w:rPr>
          <w:rFonts w:ascii="Nirmala UI Semilight" w:hAnsi="Nirmala UI Semilight" w:cs="Nirmala UI Semilight"/>
          <w:bCs/>
          <w:sz w:val="28"/>
          <w:szCs w:val="28"/>
        </w:rPr>
        <w:t xml:space="preserve"> </w:t>
      </w:r>
      <w:r w:rsidRPr="00495148">
        <w:rPr>
          <w:rFonts w:ascii="Nirmala UI Semilight" w:hAnsi="Nirmala UI Semilight" w:cs="Nirmala UI Semilight"/>
          <w:bCs/>
          <w:sz w:val="28"/>
          <w:szCs w:val="28"/>
        </w:rPr>
        <w:t>El individuo que vea su comportamiento sometido a escrutinio se verá obligado a reconocer la perspectiva del público sobre su actividad.</w:t>
      </w:r>
      <w:r>
        <w:rPr>
          <w:rFonts w:ascii="Nirmala UI Semilight" w:hAnsi="Nirmala UI Semilight" w:cs="Nirmala UI Semilight"/>
          <w:bCs/>
          <w:sz w:val="28"/>
          <w:szCs w:val="28"/>
        </w:rPr>
        <w:t xml:space="preserve"> </w:t>
      </w:r>
      <w:r w:rsidRPr="00495148">
        <w:rPr>
          <w:rFonts w:ascii="Nirmala UI Semilight" w:hAnsi="Nirmala UI Semilight" w:cs="Nirmala UI Semilight"/>
          <w:bCs/>
          <w:sz w:val="28"/>
          <w:szCs w:val="28"/>
        </w:rPr>
        <w:t xml:space="preserve">Esta </w:t>
      </w:r>
      <w:r w:rsidRPr="00495148">
        <w:rPr>
          <w:rFonts w:ascii="Nirmala UI Semilight" w:hAnsi="Nirmala UI Semilight" w:cs="Nirmala UI Semilight"/>
          <w:bCs/>
          <w:sz w:val="28"/>
          <w:szCs w:val="28"/>
        </w:rPr>
        <w:lastRenderedPageBreak/>
        <w:t>perspectiva no será necesariamente crítica y, aunque lo sea, no causará necesariamente vergüenza (al individuo puede no importarle la opinión del público, por ejemplo).</w:t>
      </w:r>
      <w:r>
        <w:rPr>
          <w:rFonts w:ascii="Nirmala UI Semilight" w:hAnsi="Nirmala UI Semilight" w:cs="Nirmala UI Semilight"/>
          <w:bCs/>
          <w:sz w:val="28"/>
          <w:szCs w:val="28"/>
        </w:rPr>
        <w:t xml:space="preserve"> </w:t>
      </w:r>
      <w:r w:rsidRPr="00495148">
        <w:rPr>
          <w:rFonts w:ascii="Nirmala UI Semilight" w:hAnsi="Nirmala UI Semilight" w:cs="Nirmala UI Semilight"/>
          <w:bCs/>
          <w:sz w:val="28"/>
          <w:szCs w:val="28"/>
        </w:rPr>
        <w:t>Sin embargo, a veces puede, y esta concepción de un público es una característica única de la vergüenza, que implica un mensaje del otro al yo, un mensaje con connotaciones desfavorables que desacredita al yo o lo rechaza de alguna manera (Retzinger, 1991).</w:t>
      </w:r>
    </w:p>
    <w:p w14:paraId="24DE5B9D" w14:textId="5A11E06B" w:rsidR="00B17D94" w:rsidRDefault="00B17D94" w:rsidP="00B17D94">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 xml:space="preserve">El “público” puede ser simbólico. </w:t>
      </w:r>
      <w:r w:rsidRPr="005A2D6E">
        <w:rPr>
          <w:rFonts w:ascii="Nirmala UI Semilight" w:hAnsi="Nirmala UI Semilight" w:cs="Nirmala UI Semilight"/>
          <w:bCs/>
          <w:sz w:val="28"/>
          <w:szCs w:val="28"/>
        </w:rPr>
        <w:t>Al adoptar, aunque sea brevemente, el papel de observador imparcial, el individuo es incapaz de ocultarse a sí mismo los aspectos de su personalidad que de otro modo podría negar y, para Schneider, ésta es otra de las cualidades únicas de la vergüenza. Obliga al yo a ser su propio juez:</w:t>
      </w:r>
      <w:r>
        <w:rPr>
          <w:rFonts w:ascii="Nirmala UI Semilight" w:hAnsi="Nirmala UI Semilight" w:cs="Nirmala UI Semilight"/>
          <w:bCs/>
          <w:sz w:val="28"/>
          <w:szCs w:val="28"/>
        </w:rPr>
        <w:t xml:space="preserve"> “</w:t>
      </w:r>
      <w:r w:rsidRPr="005A2D6E">
        <w:rPr>
          <w:rFonts w:ascii="Nirmala UI Semilight" w:hAnsi="Nirmala UI Semilight" w:cs="Nirmala UI Semilight"/>
          <w:bCs/>
          <w:sz w:val="28"/>
          <w:szCs w:val="28"/>
        </w:rPr>
        <w:t xml:space="preserve">Normalmente, el yo se niega a verse a sí mismo; mira hacia otro lado; se esconde de sí mismo. Conocerse a sí mismo es </w:t>
      </w:r>
      <w:r w:rsidRPr="000F6723">
        <w:rPr>
          <w:rFonts w:ascii="Nirmala UI Semilight" w:hAnsi="Nirmala UI Semilight" w:cs="Nirmala UI Semilight"/>
          <w:bCs/>
          <w:i/>
          <w:iCs/>
          <w:sz w:val="28"/>
          <w:szCs w:val="28"/>
        </w:rPr>
        <w:t>doloroso</w:t>
      </w:r>
      <w:r w:rsidRPr="005A2D6E">
        <w:rPr>
          <w:rFonts w:ascii="Nirmala UI Semilight" w:hAnsi="Nirmala UI Semilight" w:cs="Nirmala UI Semilight"/>
          <w:bCs/>
          <w:sz w:val="28"/>
          <w:szCs w:val="28"/>
        </w:rPr>
        <w:t>. Hay muchas cosas que, abandonados a nosotros mismos, preferiríamos pasar por alto. Mientras se nos deje a nuestra suerte, estaremos dispuestos a participar en muchos autoengaños para evitar el dolor de la vergonzosa revelación de nosotros mismos</w:t>
      </w:r>
      <w:r>
        <w:rPr>
          <w:rFonts w:ascii="Nirmala UI Semilight" w:hAnsi="Nirmala UI Semilight" w:cs="Nirmala UI Semilight"/>
          <w:bCs/>
          <w:sz w:val="28"/>
          <w:szCs w:val="28"/>
        </w:rPr>
        <w:t xml:space="preserve">” </w:t>
      </w:r>
      <w:r w:rsidRPr="005A2D6E">
        <w:rPr>
          <w:rFonts w:ascii="Nirmala UI Semilight" w:hAnsi="Nirmala UI Semilight" w:cs="Nirmala UI Semilight"/>
          <w:bCs/>
          <w:sz w:val="28"/>
          <w:szCs w:val="28"/>
        </w:rPr>
        <w:t>(1992, 26, énfasis en el original).</w:t>
      </w:r>
    </w:p>
    <w:p w14:paraId="74BAE2A9" w14:textId="77777777" w:rsidR="00A96819" w:rsidRDefault="00B17D94" w:rsidP="00B17D94">
      <w:pPr>
        <w:spacing w:after="120" w:line="276" w:lineRule="auto"/>
        <w:jc w:val="both"/>
        <w:rPr>
          <w:rFonts w:ascii="Nirmala UI Semilight" w:hAnsi="Nirmala UI Semilight" w:cs="Nirmala UI Semilight"/>
          <w:bCs/>
          <w:sz w:val="28"/>
          <w:szCs w:val="28"/>
        </w:rPr>
      </w:pPr>
      <w:r w:rsidRPr="0031119B">
        <w:rPr>
          <w:rFonts w:ascii="Nirmala UI Semilight" w:hAnsi="Nirmala UI Semilight" w:cs="Nirmala UI Semilight"/>
          <w:bCs/>
          <w:sz w:val="28"/>
          <w:szCs w:val="28"/>
        </w:rPr>
        <w:t>La vergüenza es también una emoción de autoevaluación, en la que el individuo compara su comportamiento con los ideales y valores que defiende (Taylor, 1985). Sin embargo, a diferencia de la culpa, que también implica un juicio sobre el propio comportamiento, la vergüenza se refiere a un problema mucho más fundamental.</w:t>
      </w:r>
      <w:r>
        <w:rPr>
          <w:rFonts w:ascii="Nirmala UI Semilight" w:hAnsi="Nirmala UI Semilight" w:cs="Nirmala UI Semilight"/>
          <w:bCs/>
          <w:sz w:val="28"/>
          <w:szCs w:val="28"/>
        </w:rPr>
        <w:t xml:space="preserve"> </w:t>
      </w:r>
      <w:r w:rsidRPr="0031119B">
        <w:rPr>
          <w:rFonts w:ascii="Nirmala UI Semilight" w:hAnsi="Nirmala UI Semilight" w:cs="Nirmala UI Semilight"/>
          <w:bCs/>
          <w:sz w:val="28"/>
          <w:szCs w:val="28"/>
        </w:rPr>
        <w:t>Lynd (1958) hace la distinción entre la culpa como dirigida a ciertos actos específicos (es decir, lo que uno hizo) mientras que la vergüenza es más fundamental, representando un problema con el yo como un todo o ciertos aspectos del mismo (es decir, lo que uno es).</w:t>
      </w:r>
      <w:r>
        <w:rPr>
          <w:rFonts w:ascii="Nirmala UI Semilight" w:hAnsi="Nirmala UI Semilight" w:cs="Nirmala UI Semilight"/>
          <w:bCs/>
          <w:sz w:val="28"/>
          <w:szCs w:val="28"/>
        </w:rPr>
        <w:t xml:space="preserve"> </w:t>
      </w:r>
      <w:r w:rsidRPr="0031119B">
        <w:rPr>
          <w:rFonts w:ascii="Nirmala UI Semilight" w:hAnsi="Nirmala UI Semilight" w:cs="Nirmala UI Semilight"/>
          <w:bCs/>
          <w:sz w:val="28"/>
          <w:szCs w:val="28"/>
        </w:rPr>
        <w:t>Esto explica la naturaleza cardinal de la vergüenza, como una emoción básica que amenaza el núcleo de la personalidad del individuo o aspectos específicos de la misma (Manion, 2002).</w:t>
      </w:r>
      <w:r>
        <w:rPr>
          <w:rFonts w:ascii="Nirmala UI Semilight" w:hAnsi="Nirmala UI Semilight" w:cs="Nirmala UI Semilight"/>
          <w:bCs/>
          <w:sz w:val="28"/>
          <w:szCs w:val="28"/>
        </w:rPr>
        <w:t xml:space="preserve"> </w:t>
      </w:r>
      <w:r w:rsidRPr="0031119B">
        <w:rPr>
          <w:rFonts w:ascii="Nirmala UI Semilight" w:hAnsi="Nirmala UI Semilight" w:cs="Nirmala UI Semilight"/>
          <w:bCs/>
          <w:sz w:val="28"/>
          <w:szCs w:val="28"/>
        </w:rPr>
        <w:t xml:space="preserve">La vergüenza transmite al individuo que como persona está </w:t>
      </w:r>
      <w:r>
        <w:rPr>
          <w:rFonts w:ascii="Nirmala UI Semilight" w:hAnsi="Nirmala UI Semilight" w:cs="Nirmala UI Semilight"/>
          <w:bCs/>
          <w:sz w:val="28"/>
          <w:szCs w:val="28"/>
        </w:rPr>
        <w:t>“</w:t>
      </w:r>
      <w:r w:rsidRPr="0031119B">
        <w:rPr>
          <w:rFonts w:ascii="Nirmala UI Semilight" w:hAnsi="Nirmala UI Semilight" w:cs="Nirmala UI Semilight"/>
          <w:bCs/>
          <w:sz w:val="28"/>
          <w:szCs w:val="28"/>
        </w:rPr>
        <w:t>equivocado</w:t>
      </w:r>
      <w:r>
        <w:rPr>
          <w:rFonts w:ascii="Nirmala UI Semilight" w:hAnsi="Nirmala UI Semilight" w:cs="Nirmala UI Semilight"/>
          <w:bCs/>
          <w:sz w:val="28"/>
          <w:szCs w:val="28"/>
        </w:rPr>
        <w:t>”</w:t>
      </w:r>
      <w:r w:rsidRPr="0031119B">
        <w:rPr>
          <w:rFonts w:ascii="Nirmala UI Semilight" w:hAnsi="Nirmala UI Semilight" w:cs="Nirmala UI Semilight"/>
          <w:bCs/>
          <w:sz w:val="28"/>
          <w:szCs w:val="28"/>
        </w:rPr>
        <w:t xml:space="preserve"> (Scheff, 2000) </w:t>
      </w:r>
      <w:r w:rsidRPr="0031119B">
        <w:rPr>
          <w:rFonts w:ascii="Nirmala UI Semilight" w:hAnsi="Nirmala UI Semilight" w:cs="Nirmala UI Semilight"/>
          <w:bCs/>
          <w:sz w:val="28"/>
          <w:szCs w:val="28"/>
        </w:rPr>
        <w:lastRenderedPageBreak/>
        <w:t xml:space="preserve">y que de alguna manera ha </w:t>
      </w:r>
      <w:r>
        <w:rPr>
          <w:rFonts w:ascii="Nirmala UI Semilight" w:hAnsi="Nirmala UI Semilight" w:cs="Nirmala UI Semilight"/>
          <w:bCs/>
          <w:sz w:val="28"/>
          <w:szCs w:val="28"/>
        </w:rPr>
        <w:t>“</w:t>
      </w:r>
      <w:r w:rsidRPr="0031119B">
        <w:rPr>
          <w:rFonts w:ascii="Nirmala UI Semilight" w:hAnsi="Nirmala UI Semilight" w:cs="Nirmala UI Semilight"/>
          <w:bCs/>
          <w:sz w:val="28"/>
          <w:szCs w:val="28"/>
        </w:rPr>
        <w:t>fracasado</w:t>
      </w:r>
      <w:r>
        <w:rPr>
          <w:rFonts w:ascii="Nirmala UI Semilight" w:hAnsi="Nirmala UI Semilight" w:cs="Nirmala UI Semilight"/>
          <w:bCs/>
          <w:sz w:val="28"/>
          <w:szCs w:val="28"/>
        </w:rPr>
        <w:t>”</w:t>
      </w:r>
      <w:r w:rsidRPr="0031119B">
        <w:rPr>
          <w:rFonts w:ascii="Nirmala UI Semilight" w:hAnsi="Nirmala UI Semilight" w:cs="Nirmala UI Semilight"/>
          <w:bCs/>
          <w:sz w:val="28"/>
          <w:szCs w:val="28"/>
        </w:rPr>
        <w:t xml:space="preserve"> como ser humano (Manion, 2002).</w:t>
      </w:r>
      <w:r>
        <w:rPr>
          <w:rFonts w:ascii="Nirmala UI Semilight" w:hAnsi="Nirmala UI Semilight" w:cs="Nirmala UI Semilight"/>
          <w:bCs/>
          <w:sz w:val="28"/>
          <w:szCs w:val="28"/>
        </w:rPr>
        <w:t xml:space="preserve"> </w:t>
      </w:r>
      <w:r w:rsidRPr="004278CF">
        <w:rPr>
          <w:rFonts w:ascii="Nirmala UI Semilight" w:hAnsi="Nirmala UI Semilight" w:cs="Nirmala UI Semilight"/>
          <w:bCs/>
          <w:sz w:val="28"/>
          <w:szCs w:val="28"/>
        </w:rPr>
        <w:t>Como resultado de su naturaleza global, la vergüenza puede ser temporalmente incapacitante para el individuo, dejándole, durante un tiempo, inseguro de cómo proceder (Manion, 2002).</w:t>
      </w:r>
      <w:r w:rsidR="00F12C68">
        <w:rPr>
          <w:rFonts w:ascii="Nirmala UI Semilight" w:hAnsi="Nirmala UI Semilight" w:cs="Nirmala UI Semilight"/>
          <w:bCs/>
          <w:sz w:val="28"/>
          <w:szCs w:val="28"/>
        </w:rPr>
        <w:t xml:space="preserve"> </w:t>
      </w:r>
    </w:p>
    <w:p w14:paraId="2F0CF8FD" w14:textId="77777777" w:rsidR="00091772" w:rsidRDefault="00F12C68" w:rsidP="00091772">
      <w:pPr>
        <w:spacing w:after="120" w:line="276" w:lineRule="auto"/>
        <w:jc w:val="both"/>
        <w:rPr>
          <w:rFonts w:ascii="Nirmala UI Semilight" w:hAnsi="Nirmala UI Semilight" w:cs="Nirmala UI Semilight"/>
          <w:bCs/>
          <w:sz w:val="28"/>
          <w:szCs w:val="28"/>
        </w:rPr>
      </w:pPr>
      <w:r w:rsidRPr="004278CF">
        <w:rPr>
          <w:rFonts w:ascii="Nirmala UI Semilight" w:hAnsi="Nirmala UI Semilight" w:cs="Nirmala UI Semilight"/>
          <w:bCs/>
          <w:sz w:val="28"/>
          <w:szCs w:val="28"/>
        </w:rPr>
        <w:t>Sin embargo, a pesar de este aspecto negativo de la vergüenza, hay elementos positivos en la experiencia.</w:t>
      </w:r>
      <w:r>
        <w:rPr>
          <w:rFonts w:ascii="Nirmala UI Semilight" w:hAnsi="Nirmala UI Semilight" w:cs="Nirmala UI Semilight"/>
          <w:bCs/>
          <w:sz w:val="28"/>
          <w:szCs w:val="28"/>
        </w:rPr>
        <w:t xml:space="preserve"> </w:t>
      </w:r>
      <w:r w:rsidRPr="004278CF">
        <w:rPr>
          <w:rFonts w:ascii="Nirmala UI Semilight" w:hAnsi="Nirmala UI Semilight" w:cs="Nirmala UI Semilight"/>
          <w:bCs/>
          <w:sz w:val="28"/>
          <w:szCs w:val="28"/>
        </w:rPr>
        <w:t>La vergüenza sirve como emoción de autoprotección al hacer explícitos nuestros valores a través de la comparación con nuestro comportamiento y, por lo tanto, experimentar vergüenza proporciona al individuo la oportunidad de reevaluar esos valores y (suponiendo que el individuo todavía desee vivir de acuerdo con ellos) comprometerse de nuevo con ellos a través de un comportamiento que sea coherente con ellos (Manion, 2002).</w:t>
      </w:r>
      <w:r w:rsidR="00A96819">
        <w:rPr>
          <w:rFonts w:ascii="Nirmala UI Semilight" w:hAnsi="Nirmala UI Semilight" w:cs="Nirmala UI Semilight"/>
          <w:bCs/>
          <w:sz w:val="28"/>
          <w:szCs w:val="28"/>
        </w:rPr>
        <w:t xml:space="preserve"> </w:t>
      </w:r>
      <w:r w:rsidR="00A96819" w:rsidRPr="004278CF">
        <w:rPr>
          <w:rFonts w:ascii="Nirmala UI Semilight" w:hAnsi="Nirmala UI Semilight" w:cs="Nirmala UI Semilight"/>
          <w:bCs/>
          <w:sz w:val="28"/>
          <w:szCs w:val="28"/>
        </w:rPr>
        <w:t>La función de la vergüenza como emoción social también es relevante en este caso.</w:t>
      </w:r>
      <w:r w:rsidR="00A96819">
        <w:rPr>
          <w:rFonts w:ascii="Nirmala UI Semilight" w:hAnsi="Nirmala UI Semilight" w:cs="Nirmala UI Semilight"/>
          <w:bCs/>
          <w:sz w:val="28"/>
          <w:szCs w:val="28"/>
        </w:rPr>
        <w:t xml:space="preserve"> </w:t>
      </w:r>
      <w:r w:rsidR="00A96819" w:rsidRPr="004278CF">
        <w:rPr>
          <w:rFonts w:ascii="Nirmala UI Semilight" w:hAnsi="Nirmala UI Semilight" w:cs="Nirmala UI Semilight"/>
          <w:bCs/>
          <w:sz w:val="28"/>
          <w:szCs w:val="28"/>
        </w:rPr>
        <w:t>Ser consciente de la vergüenza y saber qué puede provocarla/prevenirla ayuda a la interacción social, ya que proporciona un medio de control del yo en nuestras interacciones con los demás (Goffman, 1963).</w:t>
      </w:r>
      <w:r w:rsidR="00B13473">
        <w:rPr>
          <w:rFonts w:ascii="Nirmala UI Semilight" w:hAnsi="Nirmala UI Semilight" w:cs="Nirmala UI Semilight"/>
          <w:bCs/>
          <w:sz w:val="28"/>
          <w:szCs w:val="28"/>
        </w:rPr>
        <w:t xml:space="preserve"> </w:t>
      </w:r>
      <w:r w:rsidR="00B13473" w:rsidRPr="00FC1275">
        <w:rPr>
          <w:rFonts w:ascii="Nirmala UI Semilight" w:hAnsi="Nirmala UI Semilight" w:cs="Nirmala UI Semilight"/>
          <w:bCs/>
          <w:sz w:val="28"/>
          <w:szCs w:val="28"/>
        </w:rPr>
        <w:t xml:space="preserve">Ford (1996) sugiere que el poder de la vergüenza reside en su capacidad para catalizar el cambio de comportamiento, ya que representa la falta de adecuación entre el ideal de uno mismo y sus acciones. Por lo tanto, la vergüenza está orientada hacia el futuro, con el objetivo de </w:t>
      </w:r>
      <w:r w:rsidR="00B13473">
        <w:rPr>
          <w:rFonts w:ascii="Nirmala UI Semilight" w:hAnsi="Nirmala UI Semilight" w:cs="Nirmala UI Semilight"/>
          <w:bCs/>
          <w:sz w:val="28"/>
          <w:szCs w:val="28"/>
        </w:rPr>
        <w:t>“</w:t>
      </w:r>
      <w:r w:rsidR="00B13473" w:rsidRPr="00FC1275">
        <w:rPr>
          <w:rFonts w:ascii="Nirmala UI Semilight" w:hAnsi="Nirmala UI Semilight" w:cs="Nirmala UI Semilight"/>
          <w:bCs/>
          <w:sz w:val="28"/>
          <w:szCs w:val="28"/>
        </w:rPr>
        <w:t>mejorar</w:t>
      </w:r>
      <w:r w:rsidR="00B13473">
        <w:rPr>
          <w:rFonts w:ascii="Nirmala UI Semilight" w:hAnsi="Nirmala UI Semilight" w:cs="Nirmala UI Semilight"/>
          <w:bCs/>
          <w:sz w:val="28"/>
          <w:szCs w:val="28"/>
        </w:rPr>
        <w:t>”</w:t>
      </w:r>
      <w:r w:rsidR="00B13473" w:rsidRPr="00FC1275">
        <w:rPr>
          <w:rFonts w:ascii="Nirmala UI Semilight" w:hAnsi="Nirmala UI Semilight" w:cs="Nirmala UI Semilight"/>
          <w:bCs/>
          <w:sz w:val="28"/>
          <w:szCs w:val="28"/>
        </w:rPr>
        <w:t xml:space="preserve"> al individuo (Schneider, 1992) y esto vincula la experiencia de la vergüenza con la búsqueda de un yo ideal.</w:t>
      </w:r>
      <w:r w:rsidR="00091772">
        <w:rPr>
          <w:rFonts w:ascii="Nirmala UI Semilight" w:hAnsi="Nirmala UI Semilight" w:cs="Nirmala UI Semilight"/>
          <w:bCs/>
          <w:sz w:val="28"/>
          <w:szCs w:val="28"/>
        </w:rPr>
        <w:t xml:space="preserve"> </w:t>
      </w:r>
      <w:r w:rsidR="00091772" w:rsidRPr="00B024EA">
        <w:rPr>
          <w:rFonts w:ascii="Nirmala UI Semilight" w:hAnsi="Nirmala UI Semilight" w:cs="Nirmala UI Semilight"/>
          <w:bCs/>
          <w:sz w:val="28"/>
          <w:szCs w:val="28"/>
        </w:rPr>
        <w:t>En última instancia, la vergüenza sólo puede representar una evaluación positiva porque sólo podemos sentir vergüenza en presencia de otros sentimientos positivos sobre nosotros mismos. Poseer un sentimiento de vergüenza es, por tanto, poseer una característica moral deseable (Schneider, 1992). Cuando un individuo carece de vergüenza, carece de la capacidad de preocuparse por sí mismo y valorarse (Schneider, 1992).</w:t>
      </w:r>
    </w:p>
    <w:p w14:paraId="46316758" w14:textId="0D4BD06B" w:rsidR="004555E6" w:rsidRDefault="00B22DB4" w:rsidP="00B17D94">
      <w:pPr>
        <w:spacing w:after="120" w:line="276" w:lineRule="auto"/>
        <w:jc w:val="both"/>
        <w:rPr>
          <w:rFonts w:ascii="Nirmala UI Semilight" w:hAnsi="Nirmala UI Semilight" w:cs="Nirmala UI Semilight"/>
          <w:bCs/>
          <w:sz w:val="28"/>
          <w:szCs w:val="28"/>
        </w:rPr>
      </w:pPr>
      <w:r w:rsidRPr="006F59E2">
        <w:rPr>
          <w:rFonts w:ascii="Nirmala UI Semilight" w:hAnsi="Nirmala UI Semilight" w:cs="Nirmala UI Semilight"/>
          <w:bCs/>
          <w:sz w:val="28"/>
          <w:szCs w:val="28"/>
        </w:rPr>
        <w:lastRenderedPageBreak/>
        <w:t xml:space="preserve">Tal conceptualización de la vergüenza hace que no sea inmediatamente evidente cómo puede influir en el cambio de comportamiento a largo plazo, dada la naturaleza </w:t>
      </w:r>
      <w:r w:rsidRPr="009439A6">
        <w:rPr>
          <w:rFonts w:ascii="Nirmala UI Semilight" w:hAnsi="Nirmala UI Semilight" w:cs="Nirmala UI Semilight"/>
          <w:bCs/>
          <w:i/>
          <w:iCs/>
          <w:sz w:val="28"/>
          <w:szCs w:val="28"/>
        </w:rPr>
        <w:t>transitoria</w:t>
      </w:r>
      <w:r w:rsidRPr="006F59E2">
        <w:rPr>
          <w:rFonts w:ascii="Nirmala UI Semilight" w:hAnsi="Nirmala UI Semilight" w:cs="Nirmala UI Semilight"/>
          <w:bCs/>
          <w:sz w:val="28"/>
          <w:szCs w:val="28"/>
        </w:rPr>
        <w:t xml:space="preserve"> de la vergüenza.</w:t>
      </w:r>
      <w:r>
        <w:rPr>
          <w:rFonts w:ascii="Nirmala UI Semilight" w:hAnsi="Nirmala UI Semilight" w:cs="Nirmala UI Semilight"/>
          <w:bCs/>
          <w:sz w:val="28"/>
          <w:szCs w:val="28"/>
        </w:rPr>
        <w:t xml:space="preserve"> </w:t>
      </w:r>
      <w:r w:rsidRPr="006F59E2">
        <w:rPr>
          <w:rFonts w:ascii="Nirmala UI Semilight" w:hAnsi="Nirmala UI Semilight" w:cs="Nirmala UI Semilight"/>
          <w:bCs/>
          <w:sz w:val="28"/>
          <w:szCs w:val="28"/>
        </w:rPr>
        <w:t xml:space="preserve">Aunque, como se señaló anteriormente, algunos autores han considerado la vergüenza como un catalizador para el cambio de comportamiento (Ford, 1996; Schneider, 1992), tal conceptualización puede no encapsular plenamente el </w:t>
      </w:r>
      <w:r w:rsidR="00103A82">
        <w:rPr>
          <w:rFonts w:ascii="Nirmala UI Semilight" w:hAnsi="Nirmala UI Semilight" w:cs="Nirmala UI Semilight"/>
          <w:bCs/>
          <w:sz w:val="28"/>
          <w:szCs w:val="28"/>
        </w:rPr>
        <w:t>rol</w:t>
      </w:r>
      <w:r w:rsidRPr="006F59E2">
        <w:rPr>
          <w:rFonts w:ascii="Nirmala UI Semilight" w:hAnsi="Nirmala UI Semilight" w:cs="Nirmala UI Semilight"/>
          <w:bCs/>
          <w:sz w:val="28"/>
          <w:szCs w:val="28"/>
        </w:rPr>
        <w:t xml:space="preserve"> de la vergüenza en este sentido. Por lo tanto, </w:t>
      </w:r>
      <w:r w:rsidR="00103A82">
        <w:rPr>
          <w:rFonts w:ascii="Nirmala UI Semilight" w:hAnsi="Nirmala UI Semilight" w:cs="Nirmala UI Semilight"/>
          <w:bCs/>
          <w:sz w:val="28"/>
          <w:szCs w:val="28"/>
        </w:rPr>
        <w:t>en lo que sigue sugeriré breve</w:t>
      </w:r>
      <w:r w:rsidR="00E85759">
        <w:rPr>
          <w:rFonts w:ascii="Nirmala UI Semilight" w:hAnsi="Nirmala UI Semilight" w:cs="Nirmala UI Semilight"/>
          <w:bCs/>
          <w:sz w:val="28"/>
          <w:szCs w:val="28"/>
        </w:rPr>
        <w:t xml:space="preserve"> y</w:t>
      </w:r>
      <w:r w:rsidRPr="006F59E2">
        <w:rPr>
          <w:rFonts w:ascii="Nirmala UI Semilight" w:hAnsi="Nirmala UI Semilight" w:cs="Nirmala UI Semilight"/>
          <w:bCs/>
          <w:sz w:val="28"/>
          <w:szCs w:val="28"/>
        </w:rPr>
        <w:t xml:space="preserve"> tentativamente un medio por el cual podríamos considerar la relación entre la vergüenza y el tipo de cambio de conducta de interés aquí</w:t>
      </w:r>
      <w:r w:rsidR="00E85759">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 xml:space="preserve"> el desistimiento del delito</w:t>
      </w:r>
      <w:r w:rsidR="00E5797E">
        <w:rPr>
          <w:rStyle w:val="Refdenotaalpie"/>
          <w:rFonts w:ascii="Nirmala UI Semilight" w:hAnsi="Nirmala UI Semilight" w:cs="Nirmala UI Semilight"/>
          <w:bCs/>
          <w:sz w:val="28"/>
          <w:szCs w:val="28"/>
        </w:rPr>
        <w:footnoteReference w:id="8"/>
      </w:r>
      <w:r w:rsidRPr="006F59E2">
        <w:rPr>
          <w:rFonts w:ascii="Nirmala UI Semilight" w:hAnsi="Nirmala UI Semilight" w:cs="Nirmala UI Semilight"/>
          <w:bCs/>
          <w:sz w:val="28"/>
          <w:szCs w:val="28"/>
        </w:rPr>
        <w:t xml:space="preserve">. </w:t>
      </w:r>
      <w:r w:rsidR="00422E2B">
        <w:rPr>
          <w:rFonts w:ascii="Nirmala UI Semilight" w:hAnsi="Nirmala UI Semilight" w:cs="Nirmala UI Semilight"/>
          <w:bCs/>
          <w:sz w:val="28"/>
          <w:szCs w:val="28"/>
        </w:rPr>
        <w:t>Pretendo</w:t>
      </w:r>
      <w:r w:rsidRPr="006F59E2">
        <w:rPr>
          <w:rFonts w:ascii="Nirmala UI Semilight" w:hAnsi="Nirmala UI Semilight" w:cs="Nirmala UI Semilight"/>
          <w:bCs/>
          <w:sz w:val="28"/>
          <w:szCs w:val="28"/>
        </w:rPr>
        <w:t xml:space="preserve"> considerar con más detalle la relación que la vergüenza tiene con los conceptos del yo y su relevancia para el desistimiento.</w:t>
      </w:r>
    </w:p>
    <w:p w14:paraId="50F6CD1A" w14:textId="77777777" w:rsidR="00952610" w:rsidRDefault="00952610" w:rsidP="003B4E83">
      <w:pPr>
        <w:spacing w:after="120" w:line="276" w:lineRule="auto"/>
        <w:jc w:val="both"/>
        <w:rPr>
          <w:rFonts w:ascii="Nirmala UI Semilight" w:hAnsi="Nirmala UI Semilight" w:cs="Nirmala UI Semilight"/>
          <w:bCs/>
          <w:sz w:val="28"/>
          <w:szCs w:val="28"/>
        </w:rPr>
      </w:pPr>
    </w:p>
    <w:p w14:paraId="25F20257" w14:textId="5DBBFC7F" w:rsidR="00952610" w:rsidRPr="00952610" w:rsidRDefault="00952610" w:rsidP="003B4E83">
      <w:pPr>
        <w:spacing w:after="120" w:line="276" w:lineRule="auto"/>
        <w:jc w:val="both"/>
        <w:rPr>
          <w:rFonts w:ascii="Nirmala UI Semilight" w:hAnsi="Nirmala UI Semilight" w:cs="Nirmala UI Semilight"/>
          <w:b/>
          <w:sz w:val="28"/>
          <w:szCs w:val="28"/>
        </w:rPr>
      </w:pPr>
      <w:r w:rsidRPr="00952610">
        <w:rPr>
          <w:rFonts w:ascii="Nirmala UI Semilight" w:hAnsi="Nirmala UI Semilight" w:cs="Nirmala UI Semilight"/>
          <w:b/>
          <w:sz w:val="28"/>
          <w:szCs w:val="28"/>
        </w:rPr>
        <w:t>Vergüenza y desistimiento</w:t>
      </w:r>
    </w:p>
    <w:p w14:paraId="59D8D596" w14:textId="73A2263B" w:rsidR="003B4E83" w:rsidRDefault="003B4E83" w:rsidP="003B4E83">
      <w:pPr>
        <w:spacing w:after="120" w:line="276" w:lineRule="auto"/>
        <w:jc w:val="both"/>
        <w:rPr>
          <w:rFonts w:ascii="Nirmala UI Semilight" w:hAnsi="Nirmala UI Semilight" w:cs="Nirmala UI Semilight"/>
          <w:bCs/>
          <w:sz w:val="28"/>
          <w:szCs w:val="28"/>
        </w:rPr>
      </w:pPr>
      <w:r w:rsidRPr="006F59E2">
        <w:rPr>
          <w:rFonts w:ascii="Nirmala UI Semilight" w:hAnsi="Nirmala UI Semilight" w:cs="Nirmala UI Semilight"/>
          <w:bCs/>
          <w:sz w:val="28"/>
          <w:szCs w:val="28"/>
        </w:rPr>
        <w:t xml:space="preserve">En su relación con la interacción entre los valores y el cambio de conducta, la comprensión de la vergüenza proporciona un medio para considerar cómo los procesos </w:t>
      </w:r>
      <w:r>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internos</w:t>
      </w:r>
      <w:r>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 xml:space="preserve"> pueden impulsar a las personas a desistir de la delincuencia. Para algunos individuos, el comportamiento delictivo puede estar lo suficientemente alejado de los valores que asocian con su yo </w:t>
      </w:r>
      <w:r w:rsidR="009D1955">
        <w:rPr>
          <w:rFonts w:ascii="Nirmala UI Semilight" w:hAnsi="Nirmala UI Semilight" w:cs="Nirmala UI Semilight"/>
          <w:bCs/>
          <w:sz w:val="28"/>
          <w:szCs w:val="28"/>
        </w:rPr>
        <w:t>y</w:t>
      </w:r>
      <w:r w:rsidRPr="006F59E2">
        <w:rPr>
          <w:rFonts w:ascii="Nirmala UI Semilight" w:hAnsi="Nirmala UI Semilight" w:cs="Nirmala UI Semilight"/>
          <w:bCs/>
          <w:sz w:val="28"/>
          <w:szCs w:val="28"/>
        </w:rPr>
        <w:t xml:space="preserve"> experimentar vergüenza. Esto puede deberse directamente a que el delito en sí mismo es incompatible con sus valores, por ejemplo, </w:t>
      </w:r>
      <w:r>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no soy el tipo de persona que roba</w:t>
      </w:r>
      <w:r>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w:t>
      </w:r>
      <w:r>
        <w:rPr>
          <w:rFonts w:ascii="Nirmala UI Semilight" w:hAnsi="Nirmala UI Semilight" w:cs="Nirmala UI Semilight"/>
          <w:bCs/>
          <w:sz w:val="28"/>
          <w:szCs w:val="28"/>
        </w:rPr>
        <w:t xml:space="preserve"> </w:t>
      </w:r>
      <w:r w:rsidRPr="006F59E2">
        <w:rPr>
          <w:rFonts w:ascii="Nirmala UI Semilight" w:hAnsi="Nirmala UI Semilight" w:cs="Nirmala UI Semilight"/>
          <w:bCs/>
          <w:sz w:val="28"/>
          <w:szCs w:val="28"/>
        </w:rPr>
        <w:t>Por otra parte, la vergüenza que experimenta una persona que ha delinquido puede estar dirigida no al delito, sino al impacto que ha tenido en su vida, por ejemplo, cuando una condena afecta a la capacidad de desempeñar funciones socialmente valoradas, como el cuidado de la familia.</w:t>
      </w:r>
      <w:r>
        <w:rPr>
          <w:rFonts w:ascii="Nirmala UI Semilight" w:hAnsi="Nirmala UI Semilight" w:cs="Nirmala UI Semilight"/>
          <w:bCs/>
          <w:sz w:val="28"/>
          <w:szCs w:val="28"/>
        </w:rPr>
        <w:t xml:space="preserve"> </w:t>
      </w:r>
      <w:r w:rsidRPr="006F59E2">
        <w:rPr>
          <w:rFonts w:ascii="Nirmala UI Semilight" w:hAnsi="Nirmala UI Semilight" w:cs="Nirmala UI Semilight"/>
          <w:bCs/>
          <w:sz w:val="28"/>
          <w:szCs w:val="28"/>
        </w:rPr>
        <w:t xml:space="preserve">El afrontamiento de la vergüenza experimentada directa o indirectamente como resultado de un delito </w:t>
      </w:r>
      <w:r w:rsidRPr="006F59E2">
        <w:rPr>
          <w:rFonts w:ascii="Nirmala UI Semilight" w:hAnsi="Nirmala UI Semilight" w:cs="Nirmala UI Semilight"/>
          <w:bCs/>
          <w:sz w:val="28"/>
          <w:szCs w:val="28"/>
        </w:rPr>
        <w:lastRenderedPageBreak/>
        <w:t xml:space="preserve">puede hacerse desistiendo en un intento de afirmar que la persona no es </w:t>
      </w:r>
      <w:r>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un delincuente</w:t>
      </w:r>
      <w:r>
        <w:rPr>
          <w:rFonts w:ascii="Nirmala UI Semilight" w:hAnsi="Nirmala UI Semilight" w:cs="Nirmala UI Semilight"/>
          <w:bCs/>
          <w:sz w:val="28"/>
          <w:szCs w:val="28"/>
        </w:rPr>
        <w:t>”</w:t>
      </w:r>
      <w:r w:rsidRPr="006F59E2">
        <w:rPr>
          <w:rFonts w:ascii="Nirmala UI Semilight" w:hAnsi="Nirmala UI Semilight" w:cs="Nirmala UI Semilight"/>
          <w:bCs/>
          <w:sz w:val="28"/>
          <w:szCs w:val="28"/>
        </w:rPr>
        <w:t>, reflexionando sobre su vergüenza para considerar el significado que tiene para ella (Douglas, 1984).</w:t>
      </w:r>
    </w:p>
    <w:p w14:paraId="103D87D8" w14:textId="79151896" w:rsidR="00091772" w:rsidRDefault="00115A70" w:rsidP="00B17D94">
      <w:pPr>
        <w:spacing w:after="120" w:line="276" w:lineRule="auto"/>
        <w:jc w:val="both"/>
        <w:rPr>
          <w:rFonts w:ascii="Nirmala UI Semilight" w:hAnsi="Nirmala UI Semilight" w:cs="Nirmala UI Semilight"/>
          <w:bCs/>
          <w:sz w:val="28"/>
          <w:szCs w:val="28"/>
        </w:rPr>
      </w:pPr>
      <w:r w:rsidRPr="0083161E">
        <w:rPr>
          <w:rFonts w:ascii="Nirmala UI Semilight" w:hAnsi="Nirmala UI Semilight" w:cs="Nirmala UI Semilight"/>
          <w:bCs/>
          <w:sz w:val="28"/>
          <w:szCs w:val="28"/>
        </w:rPr>
        <w:t>La vergüenza, tal y como se ha conceptualizado anteriormente, representa una emoción abrumadora. Si un delito no provoca sentimientos de vergüenza, esto podría sugerir que, para el individuo, su comportamiento no es incompatible con los valores que considera importantes (Ford, 1996).</w:t>
      </w:r>
      <w:r>
        <w:rPr>
          <w:rFonts w:ascii="Nirmala UI Semilight" w:hAnsi="Nirmala UI Semilight" w:cs="Nirmala UI Semilight"/>
          <w:bCs/>
          <w:sz w:val="28"/>
          <w:szCs w:val="28"/>
        </w:rPr>
        <w:t xml:space="preserve"> </w:t>
      </w:r>
      <w:r w:rsidRPr="0083161E">
        <w:rPr>
          <w:rFonts w:ascii="Nirmala UI Semilight" w:hAnsi="Nirmala UI Semilight" w:cs="Nirmala UI Semilight"/>
          <w:bCs/>
          <w:sz w:val="28"/>
          <w:szCs w:val="28"/>
        </w:rPr>
        <w:t xml:space="preserve">Sin embargo, si la persona experimenta vergüenza como resultado de su delito, entonces los sentimientos deben ser afrontados y </w:t>
      </w:r>
      <w:r>
        <w:rPr>
          <w:rFonts w:ascii="Nirmala UI Semilight" w:hAnsi="Nirmala UI Semilight" w:cs="Nirmala UI Semilight"/>
          <w:bCs/>
          <w:sz w:val="28"/>
          <w:szCs w:val="28"/>
        </w:rPr>
        <w:t>“</w:t>
      </w:r>
      <w:r w:rsidRPr="0083161E">
        <w:rPr>
          <w:rFonts w:ascii="Nirmala UI Semilight" w:hAnsi="Nirmala UI Semilight" w:cs="Nirmala UI Semilight"/>
          <w:bCs/>
          <w:sz w:val="28"/>
          <w:szCs w:val="28"/>
        </w:rPr>
        <w:t>gestionados</w:t>
      </w:r>
      <w:r>
        <w:rPr>
          <w:rFonts w:ascii="Nirmala UI Semilight" w:hAnsi="Nirmala UI Semilight" w:cs="Nirmala UI Semilight"/>
          <w:bCs/>
          <w:sz w:val="28"/>
          <w:szCs w:val="28"/>
        </w:rPr>
        <w:t>”</w:t>
      </w:r>
      <w:r w:rsidRPr="0083161E">
        <w:rPr>
          <w:rFonts w:ascii="Nirmala UI Semilight" w:hAnsi="Nirmala UI Semilight" w:cs="Nirmala UI Semilight"/>
          <w:bCs/>
          <w:sz w:val="28"/>
          <w:szCs w:val="28"/>
        </w:rPr>
        <w:t xml:space="preserve"> de alguna manera.</w:t>
      </w:r>
      <w:r>
        <w:rPr>
          <w:rFonts w:ascii="Nirmala UI Semilight" w:hAnsi="Nirmala UI Semilight" w:cs="Nirmala UI Semilight"/>
          <w:bCs/>
          <w:sz w:val="28"/>
          <w:szCs w:val="28"/>
        </w:rPr>
        <w:t xml:space="preserve"> </w:t>
      </w:r>
      <w:r w:rsidRPr="0083161E">
        <w:rPr>
          <w:rFonts w:ascii="Nirmala UI Semilight" w:hAnsi="Nirmala UI Semilight" w:cs="Nirmala UI Semilight"/>
          <w:bCs/>
          <w:sz w:val="28"/>
          <w:szCs w:val="28"/>
        </w:rPr>
        <w:t xml:space="preserve">Dicha gestión podría (por ejemplo) adoptar la forma de racionalizaciones que presenten el comportamiento del individuo bajo una luz positiva (véase Benson, 1985, para un ejemplo de esto aplicado a los delitos de cuello blanco) o una </w:t>
      </w:r>
      <w:r>
        <w:rPr>
          <w:rFonts w:ascii="Nirmala UI Semilight" w:hAnsi="Nirmala UI Semilight" w:cs="Nirmala UI Semilight"/>
          <w:bCs/>
          <w:sz w:val="28"/>
          <w:szCs w:val="28"/>
        </w:rPr>
        <w:t>“</w:t>
      </w:r>
      <w:r w:rsidRPr="0083161E">
        <w:rPr>
          <w:rFonts w:ascii="Nirmala UI Semilight" w:hAnsi="Nirmala UI Semilight" w:cs="Nirmala UI Semilight"/>
          <w:bCs/>
          <w:sz w:val="28"/>
          <w:szCs w:val="28"/>
        </w:rPr>
        <w:t>narrativa de victimización</w:t>
      </w:r>
      <w:r>
        <w:rPr>
          <w:rFonts w:ascii="Nirmala UI Semilight" w:hAnsi="Nirmala UI Semilight" w:cs="Nirmala UI Semilight"/>
          <w:bCs/>
          <w:sz w:val="28"/>
          <w:szCs w:val="28"/>
        </w:rPr>
        <w:t>”</w:t>
      </w:r>
      <w:r w:rsidRPr="0083161E">
        <w:rPr>
          <w:rFonts w:ascii="Nirmala UI Semilight" w:hAnsi="Nirmala UI Semilight" w:cs="Nirmala UI Semilight"/>
          <w:bCs/>
          <w:sz w:val="28"/>
          <w:szCs w:val="28"/>
        </w:rPr>
        <w:t xml:space="preserve"> (Schrock, 2002), que evite los sentimientos de vergüenza mediante la construcción de una percepción de que el individuo está siendo tratado injustamente.</w:t>
      </w:r>
      <w:r w:rsidR="009F2BA9">
        <w:rPr>
          <w:rFonts w:ascii="Nirmala UI Semilight" w:hAnsi="Nirmala UI Semilight" w:cs="Nirmala UI Semilight"/>
          <w:bCs/>
          <w:sz w:val="28"/>
          <w:szCs w:val="28"/>
        </w:rPr>
        <w:t xml:space="preserve"> </w:t>
      </w:r>
      <w:r w:rsidR="009F2BA9" w:rsidRPr="00C74161">
        <w:rPr>
          <w:rFonts w:ascii="Nirmala UI Semilight" w:hAnsi="Nirmala UI Semilight" w:cs="Nirmala UI Semilight"/>
          <w:bCs/>
          <w:sz w:val="28"/>
          <w:szCs w:val="28"/>
        </w:rPr>
        <w:t xml:space="preserve">Tales estrategias ayudan al individuo a mantener una concepción favorable de sí mismo y ayudan a anular la </w:t>
      </w:r>
      <w:r w:rsidR="009F2BA9">
        <w:rPr>
          <w:rFonts w:ascii="Nirmala UI Semilight" w:hAnsi="Nirmala UI Semilight" w:cs="Nirmala UI Semilight"/>
          <w:bCs/>
          <w:sz w:val="28"/>
          <w:szCs w:val="28"/>
        </w:rPr>
        <w:t>“</w:t>
      </w:r>
      <w:r w:rsidR="009F2BA9" w:rsidRPr="00C74161">
        <w:rPr>
          <w:rFonts w:ascii="Nirmala UI Semilight" w:hAnsi="Nirmala UI Semilight" w:cs="Nirmala UI Semilight"/>
          <w:bCs/>
          <w:sz w:val="28"/>
          <w:szCs w:val="28"/>
        </w:rPr>
        <w:t>parálisis</w:t>
      </w:r>
      <w:r w:rsidR="009F2BA9">
        <w:rPr>
          <w:rFonts w:ascii="Nirmala UI Semilight" w:hAnsi="Nirmala UI Semilight" w:cs="Nirmala UI Semilight"/>
          <w:bCs/>
          <w:sz w:val="28"/>
          <w:szCs w:val="28"/>
        </w:rPr>
        <w:t>”</w:t>
      </w:r>
      <w:r w:rsidR="009F2BA9" w:rsidRPr="00C74161">
        <w:rPr>
          <w:rFonts w:ascii="Nirmala UI Semilight" w:hAnsi="Nirmala UI Semilight" w:cs="Nirmala UI Semilight"/>
          <w:bCs/>
          <w:sz w:val="28"/>
          <w:szCs w:val="28"/>
        </w:rPr>
        <w:t xml:space="preserve"> que acompaña a la vergüenza, permitiendo que el yo siga creciendo. Retzinger (1991) y Scheff (2000; Scheff y Retzinger, 1991) también identifican la forma en que la vergüenza, si no se reconoce, puede conducir a la ira</w:t>
      </w:r>
      <w:r w:rsidR="009F2BA9">
        <w:rPr>
          <w:rStyle w:val="Refdenotaalpie"/>
          <w:rFonts w:ascii="Nirmala UI Semilight" w:hAnsi="Nirmala UI Semilight" w:cs="Nirmala UI Semilight"/>
          <w:bCs/>
          <w:sz w:val="28"/>
          <w:szCs w:val="28"/>
        </w:rPr>
        <w:footnoteReference w:id="9"/>
      </w:r>
      <w:r w:rsidR="009F2BA9" w:rsidRPr="00C74161">
        <w:rPr>
          <w:rFonts w:ascii="Nirmala UI Semilight" w:hAnsi="Nirmala UI Semilight" w:cs="Nirmala UI Semilight"/>
          <w:bCs/>
          <w:sz w:val="28"/>
          <w:szCs w:val="28"/>
        </w:rPr>
        <w:t>.</w:t>
      </w:r>
    </w:p>
    <w:p w14:paraId="43E508D8" w14:textId="77777777" w:rsidR="009F1499" w:rsidRDefault="00A73AA4" w:rsidP="009F1499">
      <w:pPr>
        <w:spacing w:after="120" w:line="276" w:lineRule="auto"/>
        <w:jc w:val="both"/>
        <w:rPr>
          <w:rFonts w:ascii="Nirmala UI Semilight" w:hAnsi="Nirmala UI Semilight" w:cs="Nirmala UI Semilight"/>
          <w:bCs/>
          <w:sz w:val="28"/>
          <w:szCs w:val="28"/>
        </w:rPr>
      </w:pPr>
      <w:r w:rsidRPr="00C74161">
        <w:rPr>
          <w:rFonts w:ascii="Nirmala UI Semilight" w:hAnsi="Nirmala UI Semilight" w:cs="Nirmala UI Semilight"/>
          <w:bCs/>
          <w:sz w:val="28"/>
          <w:szCs w:val="28"/>
        </w:rPr>
        <w:t>Sin embargo, estas estrategias no siempre son posibles. Por ejemplo, el incidente puede estar demasiado alejado de la concepción que el individuo tiene de sí mismo como para permitir justificaciones que mitiguen la vergüenza. Otra posibilidad es que el agresor no pueda conceptualizar sus acciones de forma positiva porque otros se enteren del delito y reaccionen de una manera que haga insostenible una conceptualización positiva.</w:t>
      </w:r>
      <w:r w:rsidR="004036F2">
        <w:rPr>
          <w:rFonts w:ascii="Nirmala UI Semilight" w:hAnsi="Nirmala UI Semilight" w:cs="Nirmala UI Semilight"/>
          <w:bCs/>
          <w:sz w:val="28"/>
          <w:szCs w:val="28"/>
        </w:rPr>
        <w:t xml:space="preserve"> </w:t>
      </w:r>
      <w:r w:rsidR="004036F2" w:rsidRPr="00B34650">
        <w:rPr>
          <w:rFonts w:ascii="Nirmala UI Semilight" w:hAnsi="Nirmala UI Semilight" w:cs="Nirmala UI Semilight"/>
          <w:bCs/>
          <w:sz w:val="28"/>
          <w:szCs w:val="28"/>
        </w:rPr>
        <w:t xml:space="preserve">Con respecto a comprometerse a cambiar, la persona puede sentir que ya no desea </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ser</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 xml:space="preserve"> el </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tipo de persona</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 xml:space="preserve"> que hace </w:t>
      </w:r>
      <w:r w:rsidR="004036F2">
        <w:rPr>
          <w:rFonts w:ascii="Nirmala UI Semilight" w:hAnsi="Nirmala UI Semilight" w:cs="Nirmala UI Semilight"/>
          <w:bCs/>
          <w:sz w:val="28"/>
          <w:szCs w:val="28"/>
        </w:rPr>
        <w:lastRenderedPageBreak/>
        <w:t>“</w:t>
      </w:r>
      <w:r w:rsidR="004036F2" w:rsidRPr="00B34650">
        <w:rPr>
          <w:rFonts w:ascii="Nirmala UI Semilight" w:hAnsi="Nirmala UI Semilight" w:cs="Nirmala UI Semilight"/>
          <w:bCs/>
          <w:sz w:val="28"/>
          <w:szCs w:val="28"/>
        </w:rPr>
        <w:t>eso</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 xml:space="preserve"> y decide remediarlo identificando un </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nuevo</w:t>
      </w:r>
      <w:r w:rsidR="004036F2">
        <w:rPr>
          <w:rFonts w:ascii="Nirmala UI Semilight" w:hAnsi="Nirmala UI Semilight" w:cs="Nirmala UI Semilight"/>
          <w:bCs/>
          <w:sz w:val="28"/>
          <w:szCs w:val="28"/>
        </w:rPr>
        <w:t>”</w:t>
      </w:r>
      <w:r w:rsidR="004036F2" w:rsidRPr="00B34650">
        <w:rPr>
          <w:rFonts w:ascii="Nirmala UI Semilight" w:hAnsi="Nirmala UI Semilight" w:cs="Nirmala UI Semilight"/>
          <w:bCs/>
          <w:sz w:val="28"/>
          <w:szCs w:val="28"/>
        </w:rPr>
        <w:t xml:space="preserve"> yo en el que espera convertirse</w:t>
      </w:r>
      <w:r w:rsidR="004036F2">
        <w:rPr>
          <w:rFonts w:ascii="Nirmala UI Semilight" w:hAnsi="Nirmala UI Semilight" w:cs="Nirmala UI Semilight"/>
          <w:bCs/>
          <w:sz w:val="28"/>
          <w:szCs w:val="28"/>
        </w:rPr>
        <w:t xml:space="preserve">. </w:t>
      </w:r>
      <w:r w:rsidR="004A49BC" w:rsidRPr="00B34650">
        <w:rPr>
          <w:rFonts w:ascii="Nirmala UI Semilight" w:hAnsi="Nirmala UI Semilight" w:cs="Nirmala UI Semilight"/>
          <w:bCs/>
          <w:sz w:val="28"/>
          <w:szCs w:val="28"/>
        </w:rPr>
        <w:t xml:space="preserve">La vergüenza actúa, pues, para impulsar la búsqueda de una nueva concepción del yo. Esta estrategia puede servir para mitigar la vergüenza porque permite al individuo poner cierta distancia entre su </w:t>
      </w:r>
      <w:r w:rsidR="004A49BC">
        <w:rPr>
          <w:rFonts w:ascii="Nirmala UI Semilight" w:hAnsi="Nirmala UI Semilight" w:cs="Nirmala UI Semilight"/>
          <w:bCs/>
          <w:sz w:val="28"/>
          <w:szCs w:val="28"/>
        </w:rPr>
        <w:t>“</w:t>
      </w:r>
      <w:r w:rsidR="004A49BC" w:rsidRPr="00B34650">
        <w:rPr>
          <w:rFonts w:ascii="Nirmala UI Semilight" w:hAnsi="Nirmala UI Semilight" w:cs="Nirmala UI Semilight"/>
          <w:bCs/>
          <w:sz w:val="28"/>
          <w:szCs w:val="28"/>
        </w:rPr>
        <w:t>antiguo</w:t>
      </w:r>
      <w:r w:rsidR="004A49BC">
        <w:rPr>
          <w:rFonts w:ascii="Nirmala UI Semilight" w:hAnsi="Nirmala UI Semilight" w:cs="Nirmala UI Semilight"/>
          <w:bCs/>
          <w:sz w:val="28"/>
          <w:szCs w:val="28"/>
        </w:rPr>
        <w:t>”</w:t>
      </w:r>
      <w:r w:rsidR="004A49BC" w:rsidRPr="00B34650">
        <w:rPr>
          <w:rFonts w:ascii="Nirmala UI Semilight" w:hAnsi="Nirmala UI Semilight" w:cs="Nirmala UI Semilight"/>
          <w:bCs/>
          <w:sz w:val="28"/>
          <w:szCs w:val="28"/>
        </w:rPr>
        <w:t xml:space="preserve"> yo y el yo que será.</w:t>
      </w:r>
      <w:r w:rsidR="009F1499">
        <w:rPr>
          <w:rFonts w:ascii="Nirmala UI Semilight" w:hAnsi="Nirmala UI Semilight" w:cs="Nirmala UI Semilight"/>
          <w:bCs/>
          <w:sz w:val="28"/>
          <w:szCs w:val="28"/>
        </w:rPr>
        <w:t xml:space="preserve"> </w:t>
      </w:r>
      <w:r w:rsidR="009F1499" w:rsidRPr="00FB736E">
        <w:rPr>
          <w:rFonts w:ascii="Nirmala UI Semilight" w:hAnsi="Nirmala UI Semilight" w:cs="Nirmala UI Semilight"/>
          <w:bCs/>
          <w:sz w:val="28"/>
          <w:szCs w:val="28"/>
        </w:rPr>
        <w:t>En cualquier caso, el recuerdo de la vergüenza es un recordatorio de por qué es importante abandonar el comportamiento que la provocó.</w:t>
      </w:r>
      <w:r w:rsidR="009F1499">
        <w:rPr>
          <w:rFonts w:ascii="Nirmala UI Semilight" w:hAnsi="Nirmala UI Semilight" w:cs="Nirmala UI Semilight"/>
          <w:bCs/>
          <w:sz w:val="28"/>
          <w:szCs w:val="28"/>
        </w:rPr>
        <w:t xml:space="preserve"> </w:t>
      </w:r>
    </w:p>
    <w:p w14:paraId="7F8325E4" w14:textId="75D13368" w:rsidR="00EA6E0A" w:rsidRDefault="00EA6E0A" w:rsidP="00EA6E0A">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P</w:t>
      </w:r>
      <w:r w:rsidRPr="00A2698D">
        <w:rPr>
          <w:rFonts w:ascii="Nirmala UI Semilight" w:hAnsi="Nirmala UI Semilight" w:cs="Nirmala UI Semilight"/>
          <w:bCs/>
          <w:sz w:val="28"/>
          <w:szCs w:val="28"/>
        </w:rPr>
        <w:t xml:space="preserve">ara algunos que desisten del delito, el </w:t>
      </w:r>
      <w:r w:rsidR="00347E79">
        <w:rPr>
          <w:rFonts w:ascii="Nirmala UI Semilight" w:hAnsi="Nirmala UI Semilight" w:cs="Nirmala UI Semilight"/>
          <w:bCs/>
          <w:sz w:val="28"/>
          <w:szCs w:val="28"/>
        </w:rPr>
        <w:t>rol</w:t>
      </w:r>
      <w:r w:rsidRPr="00A2698D">
        <w:rPr>
          <w:rFonts w:ascii="Nirmala UI Semilight" w:hAnsi="Nirmala UI Semilight" w:cs="Nirmala UI Semilight"/>
          <w:bCs/>
          <w:sz w:val="28"/>
          <w:szCs w:val="28"/>
        </w:rPr>
        <w:t xml:space="preserve"> de la vergüenza puede ser más sutil, actuando más sobre la posibilidad de que ocurra. Cuando un individuo ha experimentado una reestructuración gradual de sus valores (por ejemplo, como resultado de cambios en las redes de amistad, Giordano </w:t>
      </w:r>
      <w:r w:rsidRPr="009F567C">
        <w:rPr>
          <w:rFonts w:ascii="Nirmala UI Semilight" w:hAnsi="Nirmala UI Semilight" w:cs="Nirmala UI Semilight"/>
          <w:bCs/>
          <w:i/>
          <w:iCs/>
          <w:sz w:val="28"/>
          <w:szCs w:val="28"/>
        </w:rPr>
        <w:t>et al.</w:t>
      </w:r>
      <w:r w:rsidRPr="00A2698D">
        <w:rPr>
          <w:rFonts w:ascii="Nirmala UI Semilight" w:hAnsi="Nirmala UI Semilight" w:cs="Nirmala UI Semilight"/>
          <w:bCs/>
          <w:sz w:val="28"/>
          <w:szCs w:val="28"/>
        </w:rPr>
        <w:t>, 2002) entonces la vergüenza puede ayudar a los esfuerzos para desistir a través de la amenaza que representa para el individuo.</w:t>
      </w:r>
      <w:r>
        <w:rPr>
          <w:rFonts w:ascii="Nirmala UI Semilight" w:hAnsi="Nirmala UI Semilight" w:cs="Nirmala UI Semilight"/>
          <w:bCs/>
          <w:sz w:val="28"/>
          <w:szCs w:val="28"/>
        </w:rPr>
        <w:t xml:space="preserve"> </w:t>
      </w:r>
      <w:r w:rsidRPr="009F567C">
        <w:rPr>
          <w:rFonts w:ascii="Nirmala UI Semilight" w:hAnsi="Nirmala UI Semilight" w:cs="Nirmala UI Semilight"/>
          <w:bCs/>
          <w:sz w:val="28"/>
          <w:szCs w:val="28"/>
        </w:rPr>
        <w:t xml:space="preserve">En este caso, en lugar de que el desistimiento sea provocado por una experiencia repentina de vergüenza, podría ser </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alentado</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por el deseo de evitar sentir vergüenza actuando de una manera incompatible con los (nuevos) valores propios. Los delitos anteriores no causarían vergüenza a pesar de ser incompatibles con los nuevos valores porque no es el comportamiento que el </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tipo de persona</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que el individuo es ahora realizaría (Maruna, 2001).</w:t>
      </w:r>
      <w:r>
        <w:rPr>
          <w:rFonts w:ascii="Nirmala UI Semilight" w:hAnsi="Nirmala UI Semilight" w:cs="Nirmala UI Semilight"/>
          <w:bCs/>
          <w:sz w:val="28"/>
          <w:szCs w:val="28"/>
        </w:rPr>
        <w:t xml:space="preserve"> </w:t>
      </w:r>
      <w:r w:rsidRPr="009F567C">
        <w:rPr>
          <w:rFonts w:ascii="Nirmala UI Semilight" w:hAnsi="Nirmala UI Semilight" w:cs="Nirmala UI Semilight"/>
          <w:bCs/>
          <w:sz w:val="28"/>
          <w:szCs w:val="28"/>
        </w:rPr>
        <w:t xml:space="preserve">En este caso, la relación de la vergüenza con el desistimiento podría ser una amenaza de los sentimientos negativos que experimentaría el individuo si volviera a transgredir (Manion, 2002). Esta forma gradual de desistimiento está en consonancia con las observaciones de la investigación de que el cambio no se produce </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de la noche a la mañana</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(Laub y Sampson, 2003; Farrall </w:t>
      </w:r>
      <w:r w:rsidRPr="009F567C">
        <w:rPr>
          <w:rFonts w:ascii="Nirmala UI Semilight" w:hAnsi="Nirmala UI Semilight" w:cs="Nirmala UI Semilight"/>
          <w:bCs/>
          <w:i/>
          <w:iCs/>
          <w:sz w:val="28"/>
          <w:szCs w:val="28"/>
        </w:rPr>
        <w:t>et al.</w:t>
      </w:r>
      <w:r w:rsidRPr="009F567C">
        <w:rPr>
          <w:rFonts w:ascii="Nirmala UI Semilight" w:hAnsi="Nirmala UI Semilight" w:cs="Nirmala UI Semilight"/>
          <w:bCs/>
          <w:sz w:val="28"/>
          <w:szCs w:val="28"/>
        </w:rPr>
        <w:t>, 2014).</w:t>
      </w:r>
      <w:r>
        <w:rPr>
          <w:rFonts w:ascii="Nirmala UI Semilight" w:hAnsi="Nirmala UI Semilight" w:cs="Nirmala UI Semilight"/>
          <w:bCs/>
          <w:sz w:val="28"/>
          <w:szCs w:val="28"/>
        </w:rPr>
        <w:t xml:space="preserve"> </w:t>
      </w:r>
      <w:r w:rsidRPr="009F567C">
        <w:rPr>
          <w:rFonts w:ascii="Nirmala UI Semilight" w:hAnsi="Nirmala UI Semilight" w:cs="Nirmala UI Semilight"/>
          <w:bCs/>
          <w:sz w:val="28"/>
          <w:szCs w:val="28"/>
        </w:rPr>
        <w:t xml:space="preserve">También destaca la interacción entre los cambios </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externos</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como los cambios en las redes de amistad, y los procesos </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internos</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como las alteraciones en los valores. Actuar para evitar los sentimientos de vergüenza puede suscitar emociones más </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positivas</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que sirven para resaltar la eficacia del cambio en la vida del individuo (para un ejemplo de cómo las emociones positivas </w:t>
      </w:r>
      <w:r w:rsidRPr="009F567C">
        <w:rPr>
          <w:rFonts w:ascii="Nirmala UI Semilight" w:hAnsi="Nirmala UI Semilight" w:cs="Nirmala UI Semilight"/>
          <w:bCs/>
          <w:sz w:val="28"/>
          <w:szCs w:val="28"/>
        </w:rPr>
        <w:lastRenderedPageBreak/>
        <w:t>se asocian con el desistimiento, véase Farrall y Calverley, 2006</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cap</w:t>
      </w:r>
      <w:r>
        <w:rPr>
          <w:rFonts w:ascii="Nirmala UI Semilight" w:hAnsi="Nirmala UI Semilight" w:cs="Nirmala UI Semilight"/>
          <w:bCs/>
          <w:sz w:val="28"/>
          <w:szCs w:val="28"/>
        </w:rPr>
        <w:t>.</w:t>
      </w:r>
      <w:r w:rsidRPr="009F567C">
        <w:rPr>
          <w:rFonts w:ascii="Nirmala UI Semilight" w:hAnsi="Nirmala UI Semilight" w:cs="Nirmala UI Semilight"/>
          <w:bCs/>
          <w:sz w:val="28"/>
          <w:szCs w:val="28"/>
        </w:rPr>
        <w:t xml:space="preserve"> 5).</w:t>
      </w:r>
      <w:r>
        <w:rPr>
          <w:rFonts w:ascii="Nirmala UI Semilight" w:hAnsi="Nirmala UI Semilight" w:cs="Nirmala UI Semilight"/>
          <w:bCs/>
          <w:sz w:val="28"/>
          <w:szCs w:val="28"/>
        </w:rPr>
        <w:t xml:space="preserve"> </w:t>
      </w:r>
      <w:r w:rsidRPr="0044540E">
        <w:rPr>
          <w:rFonts w:ascii="Nirmala UI Semilight" w:hAnsi="Nirmala UI Semilight" w:cs="Nirmala UI Semilight"/>
          <w:bCs/>
          <w:sz w:val="28"/>
          <w:szCs w:val="28"/>
        </w:rPr>
        <w:t xml:space="preserve">Esta última observación también nos previene contra la tentación de considerar la vergüenza como la </w:t>
      </w:r>
      <w:r w:rsidRPr="00FD7EC4">
        <w:rPr>
          <w:rFonts w:ascii="Nirmala UI Semilight" w:hAnsi="Nirmala UI Semilight" w:cs="Nirmala UI Semilight"/>
          <w:bCs/>
          <w:i/>
          <w:iCs/>
          <w:sz w:val="28"/>
          <w:szCs w:val="28"/>
        </w:rPr>
        <w:t>única</w:t>
      </w:r>
      <w:r w:rsidRPr="0044540E">
        <w:rPr>
          <w:rFonts w:ascii="Nirmala UI Semilight" w:hAnsi="Nirmala UI Semilight" w:cs="Nirmala UI Semilight"/>
          <w:bCs/>
          <w:sz w:val="28"/>
          <w:szCs w:val="28"/>
        </w:rPr>
        <w:t xml:space="preserve"> emoción relevante para analizar el desistimiento. Por el contrario, quizá debería considerarse sólo una emoción</w:t>
      </w:r>
      <w:r w:rsidR="000769E1">
        <w:rPr>
          <w:rFonts w:ascii="Nirmala UI Semilight" w:hAnsi="Nirmala UI Semilight" w:cs="Nirmala UI Semilight"/>
          <w:bCs/>
          <w:sz w:val="28"/>
          <w:szCs w:val="28"/>
        </w:rPr>
        <w:t>—</w:t>
      </w:r>
      <w:r w:rsidR="000769E1" w:rsidRPr="0044540E">
        <w:rPr>
          <w:rFonts w:ascii="Nirmala UI Semilight" w:hAnsi="Nirmala UI Semilight" w:cs="Nirmala UI Semilight"/>
          <w:bCs/>
          <w:sz w:val="28"/>
          <w:szCs w:val="28"/>
        </w:rPr>
        <w:t>aunque sea una emoción significativa</w:t>
      </w:r>
      <w:r w:rsidR="000769E1">
        <w:rPr>
          <w:rFonts w:ascii="Nirmala UI Semilight" w:hAnsi="Nirmala UI Semilight" w:cs="Nirmala UI Semilight"/>
          <w:bCs/>
          <w:sz w:val="28"/>
          <w:szCs w:val="28"/>
        </w:rPr>
        <w:t>—</w:t>
      </w:r>
      <w:r w:rsidRPr="0044540E">
        <w:rPr>
          <w:rFonts w:ascii="Nirmala UI Semilight" w:hAnsi="Nirmala UI Semilight" w:cs="Nirmala UI Semilight"/>
          <w:bCs/>
          <w:sz w:val="28"/>
          <w:szCs w:val="28"/>
        </w:rPr>
        <w:t xml:space="preserve">que puede ser importante a la hora de analizar el cambio a lo largo del tiempo (Giordano </w:t>
      </w:r>
      <w:r w:rsidRPr="0044540E">
        <w:rPr>
          <w:rFonts w:ascii="Nirmala UI Semilight" w:hAnsi="Nirmala UI Semilight" w:cs="Nirmala UI Semilight"/>
          <w:bCs/>
          <w:i/>
          <w:iCs/>
          <w:sz w:val="28"/>
          <w:szCs w:val="28"/>
        </w:rPr>
        <w:t>et al.</w:t>
      </w:r>
      <w:r w:rsidRPr="0044540E">
        <w:rPr>
          <w:rFonts w:ascii="Nirmala UI Semilight" w:hAnsi="Nirmala UI Semilight" w:cs="Nirmala UI Semilight"/>
          <w:bCs/>
          <w:sz w:val="28"/>
          <w:szCs w:val="28"/>
        </w:rPr>
        <w:t>, 2007)</w:t>
      </w:r>
      <w:r w:rsidR="00FD7EC4">
        <w:rPr>
          <w:rFonts w:ascii="Nirmala UI Semilight" w:hAnsi="Nirmala UI Semilight" w:cs="Nirmala UI Semilight"/>
          <w:bCs/>
          <w:sz w:val="28"/>
          <w:szCs w:val="28"/>
        </w:rPr>
        <w:t>.</w:t>
      </w:r>
    </w:p>
    <w:p w14:paraId="6568054B" w14:textId="783AA9DC" w:rsidR="00D441CB" w:rsidRDefault="00D441CB" w:rsidP="00EA6E0A">
      <w:pPr>
        <w:spacing w:after="120" w:line="276" w:lineRule="auto"/>
        <w:jc w:val="both"/>
        <w:rPr>
          <w:rFonts w:ascii="Nirmala UI Semilight" w:hAnsi="Nirmala UI Semilight" w:cs="Nirmala UI Semilight"/>
          <w:bCs/>
          <w:sz w:val="28"/>
          <w:szCs w:val="28"/>
        </w:rPr>
      </w:pPr>
      <w:r>
        <w:rPr>
          <w:rFonts w:ascii="Nirmala UI Semilight" w:hAnsi="Nirmala UI Semilight" w:cs="Nirmala UI Semilight"/>
          <w:bCs/>
          <w:sz w:val="28"/>
          <w:szCs w:val="28"/>
        </w:rPr>
        <w:t>Esta es la emoción prevaleciente en los delincuentes de clase media. Ellos no buscan respeto</w:t>
      </w:r>
      <w:r w:rsidR="00F252B6">
        <w:rPr>
          <w:rFonts w:ascii="Nirmala UI Semilight" w:hAnsi="Nirmala UI Semilight" w:cs="Nirmala UI Semilight"/>
          <w:bCs/>
          <w:sz w:val="28"/>
          <w:szCs w:val="28"/>
        </w:rPr>
        <w:t>, no están utilizando el delito—y la violencia—para construirse una identidad</w:t>
      </w:r>
      <w:r w:rsidR="00163893">
        <w:rPr>
          <w:rFonts w:ascii="Nirmala UI Semilight" w:hAnsi="Nirmala UI Semilight" w:cs="Nirmala UI Semilight"/>
          <w:bCs/>
          <w:sz w:val="28"/>
          <w:szCs w:val="28"/>
        </w:rPr>
        <w:t xml:space="preserve">. </w:t>
      </w:r>
      <w:r w:rsidR="00767B9E">
        <w:rPr>
          <w:rFonts w:ascii="Nirmala UI Semilight" w:hAnsi="Nirmala UI Semilight" w:cs="Nirmala UI Semilight"/>
          <w:bCs/>
          <w:sz w:val="28"/>
          <w:szCs w:val="28"/>
        </w:rPr>
        <w:t xml:space="preserve">No han sido </w:t>
      </w:r>
      <w:r w:rsidR="001F6EEB">
        <w:rPr>
          <w:rFonts w:ascii="Nirmala UI Semilight" w:hAnsi="Nirmala UI Semilight" w:cs="Nirmala UI Semilight"/>
          <w:bCs/>
          <w:sz w:val="28"/>
          <w:szCs w:val="28"/>
        </w:rPr>
        <w:t xml:space="preserve">puestos bajo la lupa del sistema penal. </w:t>
      </w:r>
      <w:r w:rsidR="00163893">
        <w:rPr>
          <w:rFonts w:ascii="Nirmala UI Semilight" w:hAnsi="Nirmala UI Semilight" w:cs="Nirmala UI Semilight"/>
          <w:bCs/>
          <w:sz w:val="28"/>
          <w:szCs w:val="28"/>
        </w:rPr>
        <w:t xml:space="preserve">El fondo de la acción delictiva está </w:t>
      </w:r>
      <w:r w:rsidR="008604A9">
        <w:rPr>
          <w:rFonts w:ascii="Nirmala UI Semilight" w:hAnsi="Nirmala UI Semilight" w:cs="Nirmala UI Semilight"/>
          <w:bCs/>
          <w:sz w:val="28"/>
          <w:szCs w:val="28"/>
        </w:rPr>
        <w:t xml:space="preserve">determinada por la </w:t>
      </w:r>
      <w:r w:rsidR="008604A9" w:rsidRPr="005A40A1">
        <w:rPr>
          <w:rFonts w:ascii="Nirmala UI Semilight" w:hAnsi="Nirmala UI Semilight" w:cs="Nirmala UI Semilight"/>
          <w:bCs/>
          <w:i/>
          <w:iCs/>
          <w:sz w:val="28"/>
          <w:szCs w:val="28"/>
        </w:rPr>
        <w:t>diversión</w:t>
      </w:r>
      <w:r w:rsidR="005A40A1">
        <w:rPr>
          <w:rFonts w:ascii="Nirmala UI Semilight" w:hAnsi="Nirmala UI Semilight" w:cs="Nirmala UI Semilight"/>
          <w:bCs/>
          <w:sz w:val="28"/>
          <w:szCs w:val="28"/>
        </w:rPr>
        <w:t xml:space="preserve"> (en algunos casos por un rendimiento económico </w:t>
      </w:r>
      <w:r w:rsidR="005A40A1" w:rsidRPr="005A40A1">
        <w:rPr>
          <w:rFonts w:ascii="Nirmala UI Semilight" w:hAnsi="Nirmala UI Semilight" w:cs="Nirmala UI Semilight"/>
          <w:bCs/>
          <w:i/>
          <w:iCs/>
          <w:sz w:val="28"/>
          <w:szCs w:val="28"/>
        </w:rPr>
        <w:t>extra</w:t>
      </w:r>
      <w:r w:rsidR="005A40A1">
        <w:rPr>
          <w:rFonts w:ascii="Nirmala UI Semilight" w:hAnsi="Nirmala UI Semilight" w:cs="Nirmala UI Semilight"/>
          <w:bCs/>
          <w:sz w:val="28"/>
          <w:szCs w:val="28"/>
        </w:rPr>
        <w:t>)</w:t>
      </w:r>
      <w:r w:rsidR="008604A9">
        <w:rPr>
          <w:rFonts w:ascii="Nirmala UI Semilight" w:hAnsi="Nirmala UI Semilight" w:cs="Nirmala UI Semilight"/>
          <w:bCs/>
          <w:sz w:val="28"/>
          <w:szCs w:val="28"/>
        </w:rPr>
        <w:t xml:space="preserve">, el desistimiento de ella está determinada por la </w:t>
      </w:r>
      <w:r w:rsidR="008604A9" w:rsidRPr="005A40A1">
        <w:rPr>
          <w:rFonts w:ascii="Nirmala UI Semilight" w:hAnsi="Nirmala UI Semilight" w:cs="Nirmala UI Semilight"/>
          <w:bCs/>
          <w:i/>
          <w:iCs/>
          <w:sz w:val="28"/>
          <w:szCs w:val="28"/>
        </w:rPr>
        <w:t>vergüenza</w:t>
      </w:r>
      <w:r w:rsidR="008604A9">
        <w:rPr>
          <w:rFonts w:ascii="Nirmala UI Semilight" w:hAnsi="Nirmala UI Semilight" w:cs="Nirmala UI Semilight"/>
          <w:bCs/>
          <w:sz w:val="28"/>
          <w:szCs w:val="28"/>
        </w:rPr>
        <w:t xml:space="preserve">. Frente una vida </w:t>
      </w:r>
      <w:r w:rsidR="00FF30D9">
        <w:rPr>
          <w:rFonts w:ascii="Nirmala UI Semilight" w:hAnsi="Nirmala UI Semilight" w:cs="Nirmala UI Semilight"/>
          <w:bCs/>
          <w:sz w:val="28"/>
          <w:szCs w:val="28"/>
        </w:rPr>
        <w:t>que tiene una perspectiva futura de mediano y largo plazo, lo que se pone en juego es mucho. La vergüenza frente a ser descubiertos</w:t>
      </w:r>
      <w:r w:rsidR="00363F54">
        <w:rPr>
          <w:rFonts w:ascii="Nirmala UI Semilight" w:hAnsi="Nirmala UI Semilight" w:cs="Nirmala UI Semilight"/>
          <w:bCs/>
          <w:sz w:val="28"/>
          <w:szCs w:val="28"/>
        </w:rPr>
        <w:t>, ser vistos subiendo a un patrullero, lo que de ello se dirá en el barrio</w:t>
      </w:r>
      <w:r w:rsidR="00F56524">
        <w:rPr>
          <w:rFonts w:ascii="Nirmala UI Semilight" w:hAnsi="Nirmala UI Semilight" w:cs="Nirmala UI Semilight"/>
          <w:bCs/>
          <w:sz w:val="28"/>
          <w:szCs w:val="28"/>
        </w:rPr>
        <w:t xml:space="preserve">, tener antecedentes penales… todas estás cuestiones son incompatibles con los valores y deseos que están </w:t>
      </w:r>
      <w:r w:rsidR="00E679EA">
        <w:rPr>
          <w:rFonts w:ascii="Nirmala UI Semilight" w:hAnsi="Nirmala UI Semilight" w:cs="Nirmala UI Semilight"/>
          <w:bCs/>
          <w:sz w:val="28"/>
          <w:szCs w:val="28"/>
        </w:rPr>
        <w:t xml:space="preserve">establecidos </w:t>
      </w:r>
      <w:r w:rsidR="00F56524">
        <w:rPr>
          <w:rFonts w:ascii="Nirmala UI Semilight" w:hAnsi="Nirmala UI Semilight" w:cs="Nirmala UI Semilight"/>
          <w:bCs/>
          <w:sz w:val="28"/>
          <w:szCs w:val="28"/>
        </w:rPr>
        <w:t xml:space="preserve">en esa </w:t>
      </w:r>
      <w:r w:rsidR="00F56524" w:rsidRPr="00F56524">
        <w:rPr>
          <w:rFonts w:ascii="Nirmala UI Semilight" w:hAnsi="Nirmala UI Semilight" w:cs="Nirmala UI Semilight"/>
          <w:bCs/>
          <w:i/>
          <w:iCs/>
          <w:sz w:val="28"/>
          <w:szCs w:val="28"/>
        </w:rPr>
        <w:t>perspectiva de futuro</w:t>
      </w:r>
      <w:r w:rsidR="00F56524">
        <w:rPr>
          <w:rFonts w:ascii="Nirmala UI Semilight" w:hAnsi="Nirmala UI Semilight" w:cs="Nirmala UI Semilight"/>
          <w:bCs/>
          <w:sz w:val="28"/>
          <w:szCs w:val="28"/>
        </w:rPr>
        <w:t>.</w:t>
      </w:r>
    </w:p>
    <w:p w14:paraId="41DD45F1" w14:textId="77777777" w:rsidR="00130F20" w:rsidRDefault="00130F20" w:rsidP="00EA6E0A">
      <w:pPr>
        <w:spacing w:after="120" w:line="276" w:lineRule="auto"/>
        <w:jc w:val="both"/>
        <w:rPr>
          <w:rFonts w:ascii="Nirmala UI Semilight" w:hAnsi="Nirmala UI Semilight" w:cs="Nirmala UI Semilight"/>
          <w:bCs/>
          <w:sz w:val="28"/>
          <w:szCs w:val="28"/>
        </w:rPr>
      </w:pPr>
    </w:p>
    <w:p w14:paraId="01615A50" w14:textId="77777777" w:rsidR="00130F20" w:rsidRPr="00792C55" w:rsidRDefault="00130F20" w:rsidP="00130F20">
      <w:pPr>
        <w:spacing w:after="120" w:line="240" w:lineRule="auto"/>
        <w:rPr>
          <w:rFonts w:ascii="Nirmala UI Semilight" w:hAnsi="Nirmala UI Semilight" w:cs="Nirmala UI Semilight"/>
          <w:b/>
          <w:bCs/>
          <w:sz w:val="24"/>
          <w:szCs w:val="24"/>
        </w:rPr>
      </w:pPr>
      <w:r w:rsidRPr="00792C55">
        <w:rPr>
          <w:rFonts w:ascii="Nirmala UI Semilight" w:hAnsi="Nirmala UI Semilight" w:cs="Nirmala UI Semilight"/>
          <w:b/>
          <w:bCs/>
          <w:sz w:val="24"/>
          <w:szCs w:val="24"/>
        </w:rPr>
        <w:t>Referencias:</w:t>
      </w:r>
    </w:p>
    <w:p w14:paraId="0ED26C6F"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Adler, P. (1985) </w:t>
      </w:r>
      <w:r w:rsidRPr="00F21AE5">
        <w:rPr>
          <w:rFonts w:ascii="Nirmala UI Semilight" w:eastAsia="Times New Roman" w:hAnsi="Nirmala UI Semilight" w:cs="Nirmala UI Semilight"/>
          <w:i/>
          <w:iCs/>
          <w:sz w:val="24"/>
          <w:szCs w:val="24"/>
          <w:lang w:eastAsia="es-AR"/>
        </w:rPr>
        <w:t>Wheeling and Dealing</w:t>
      </w:r>
      <w:r w:rsidRPr="00F21AE5">
        <w:rPr>
          <w:rFonts w:ascii="Nirmala UI Semilight" w:eastAsia="Times New Roman" w:hAnsi="Nirmala UI Semilight" w:cs="Nirmala UI Semilight"/>
          <w:sz w:val="24"/>
          <w:szCs w:val="24"/>
          <w:lang w:eastAsia="es-AR"/>
        </w:rPr>
        <w:t xml:space="preserve">. New York: Columbia University Press. </w:t>
      </w:r>
    </w:p>
    <w:p w14:paraId="399688BC"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Adler, P. (1992) The ‘post’ phase of deviant careers</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w:t>
      </w:r>
      <w:r w:rsidRPr="00F21AE5">
        <w:rPr>
          <w:rFonts w:ascii="Nirmala UI Semilight" w:eastAsia="Times New Roman" w:hAnsi="Nirmala UI Semilight" w:cs="Nirmala UI Semilight"/>
          <w:i/>
          <w:iCs/>
          <w:sz w:val="24"/>
          <w:szCs w:val="24"/>
          <w:lang w:eastAsia="es-AR"/>
        </w:rPr>
        <w:t>Deviant Behaviour</w:t>
      </w:r>
      <w:r w:rsidRPr="00F21AE5">
        <w:rPr>
          <w:rFonts w:ascii="Nirmala UI Semilight" w:eastAsia="Times New Roman" w:hAnsi="Nirmala UI Semilight" w:cs="Nirmala UI Semilight"/>
          <w:sz w:val="24"/>
          <w:szCs w:val="24"/>
          <w:lang w:eastAsia="es-AR"/>
        </w:rPr>
        <w:t>, 13</w:t>
      </w:r>
      <w:r w:rsidRPr="00792C55">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2</w:t>
      </w:r>
      <w:r w:rsidRPr="00792C55">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103–126.</w:t>
      </w:r>
    </w:p>
    <w:p w14:paraId="5F08724B"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Altheide, D.L. (1977) “The sociology of Alfred Schutz”, en: Douglas, J.D. y Johnson, J.M. (eds.): </w:t>
      </w:r>
      <w:r w:rsidRPr="00792C55">
        <w:rPr>
          <w:rFonts w:ascii="Nirmala UI Semilight" w:hAnsi="Nirmala UI Semilight" w:cs="Nirmala UI Semilight"/>
          <w:i/>
          <w:iCs/>
          <w:sz w:val="24"/>
          <w:szCs w:val="24"/>
        </w:rPr>
        <w:t>Existential Sociology</w:t>
      </w:r>
      <w:r w:rsidRPr="00792C55">
        <w:rPr>
          <w:rFonts w:ascii="Nirmala UI Semilight" w:hAnsi="Nirmala UI Semilight" w:cs="Nirmala UI Semilight"/>
          <w:sz w:val="24"/>
          <w:szCs w:val="24"/>
        </w:rPr>
        <w:t xml:space="preserve">. London: Cambridge University Press, pp. 133–152. </w:t>
      </w:r>
    </w:p>
    <w:p w14:paraId="62158F3F"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Anderson, E</w:t>
      </w:r>
      <w:r>
        <w:rPr>
          <w:rFonts w:ascii="Nirmala UI Semilight" w:hAnsi="Nirmala UI Semilight" w:cs="Nirmala UI Semilight"/>
          <w:sz w:val="24"/>
          <w:szCs w:val="24"/>
        </w:rPr>
        <w:t>. (1999)</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Code of the Street: Decency, Violence, and the Moral Life of the Inner City</w:t>
      </w:r>
      <w:r w:rsidRPr="00792C55">
        <w:rPr>
          <w:rFonts w:ascii="Nirmala UI Semilight" w:hAnsi="Nirmala UI Semilight" w:cs="Nirmala UI Semilight"/>
          <w:sz w:val="24"/>
          <w:szCs w:val="24"/>
        </w:rPr>
        <w:t xml:space="preserve">. New York: W.W. Norton. </w:t>
      </w:r>
    </w:p>
    <w:p w14:paraId="70254238"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Barnett, A., Blumstein, 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Farrington, D. (1989) A prospective test of a criminal career model.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27, 2, 373–388.</w:t>
      </w:r>
    </w:p>
    <w:p w14:paraId="606A527B"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lastRenderedPageBreak/>
        <w:t xml:space="preserve">Benson, M.L.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Kerley, K.R. (2001) Life course theory and white-collar crime.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Pontell, H.N. and Shichor, D.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Contemporary Issues in Crime and Criminal Justice</w:t>
      </w:r>
      <w:r w:rsidRPr="00792C55">
        <w:rPr>
          <w:rFonts w:ascii="Nirmala UI Semilight" w:hAnsi="Nirmala UI Semilight" w:cs="Nirmala UI Semilight"/>
          <w:sz w:val="24"/>
          <w:szCs w:val="24"/>
        </w:rPr>
        <w:t>. Upper Saddle River, NJ: Prentice-Hall, pp. 121–136.</w:t>
      </w:r>
    </w:p>
    <w:p w14:paraId="69EB2780"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Beraldo, A. (2023) The Social Dynamics of Violence and Respect: State, Crime and Church in a Brazilian Favela. </w:t>
      </w:r>
      <w:r w:rsidRPr="00792C55">
        <w:rPr>
          <w:rFonts w:ascii="Nirmala UI Semilight" w:hAnsi="Nirmala UI Semilight" w:cs="Nirmala UI Semilight"/>
          <w:i/>
          <w:iCs/>
          <w:sz w:val="24"/>
          <w:szCs w:val="24"/>
        </w:rPr>
        <w:t>Journal of Latin American Studies</w:t>
      </w:r>
      <w:r w:rsidRPr="00792C55">
        <w:rPr>
          <w:rFonts w:ascii="Nirmala UI Semilight" w:hAnsi="Nirmala UI Semilight" w:cs="Nirmala UI Semilight"/>
          <w:sz w:val="24"/>
          <w:szCs w:val="24"/>
        </w:rPr>
        <w:t xml:space="preserve"> 55: 27-49.</w:t>
      </w:r>
    </w:p>
    <w:p w14:paraId="7D574C23"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Bottoms, A., Shapland, J., Costello, A., Holmes, D.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Muir, G. (2004) Towards desistance. </w:t>
      </w:r>
      <w:r w:rsidRPr="00792C55">
        <w:rPr>
          <w:rFonts w:ascii="Nirmala UI Semilight" w:hAnsi="Nirmala UI Semilight" w:cs="Nirmala UI Semilight"/>
          <w:i/>
          <w:iCs/>
          <w:sz w:val="24"/>
          <w:szCs w:val="24"/>
        </w:rPr>
        <w:t>Howard Journal of Criminal Justice</w:t>
      </w:r>
      <w:r w:rsidRPr="00792C55">
        <w:rPr>
          <w:rFonts w:ascii="Nirmala UI Semilight" w:hAnsi="Nirmala UI Semilight" w:cs="Nirmala UI Semilight"/>
          <w:sz w:val="24"/>
          <w:szCs w:val="24"/>
        </w:rPr>
        <w:t>, 43, 4, 368–389.</w:t>
      </w:r>
    </w:p>
    <w:p w14:paraId="1910D779"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Bourgois, P. (2003) </w:t>
      </w:r>
      <w:r w:rsidRPr="00792C55">
        <w:rPr>
          <w:rFonts w:ascii="Nirmala UI Semilight" w:hAnsi="Nirmala UI Semilight" w:cs="Nirmala UI Semilight"/>
          <w:i/>
          <w:iCs/>
          <w:sz w:val="24"/>
          <w:szCs w:val="24"/>
        </w:rPr>
        <w:t>In Search of Respect: Selling Crack in El Barrio</w:t>
      </w:r>
      <w:r w:rsidRPr="00792C55">
        <w:rPr>
          <w:rFonts w:ascii="Nirmala UI Semilight" w:hAnsi="Nirmala UI Semilight" w:cs="Nirmala UI Semilight"/>
          <w:sz w:val="24"/>
          <w:szCs w:val="24"/>
        </w:rPr>
        <w:t>. Cambridge: Cambridge University Press</w:t>
      </w:r>
      <w:r>
        <w:rPr>
          <w:rFonts w:ascii="Nirmala UI Semilight" w:hAnsi="Nirmala UI Semilight" w:cs="Nirmala UI Semilight"/>
          <w:sz w:val="24"/>
          <w:szCs w:val="24"/>
        </w:rPr>
        <w:t xml:space="preserve"> [trad.: En busca del respeto, Buenos Aires: Siglo XXI, 2003].</w:t>
      </w:r>
    </w:p>
    <w:p w14:paraId="36270111"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Bovens, L. (1999) The value of hope. </w:t>
      </w:r>
      <w:r w:rsidRPr="00792C55">
        <w:rPr>
          <w:rFonts w:ascii="Nirmala UI Semilight" w:hAnsi="Nirmala UI Semilight" w:cs="Nirmala UI Semilight"/>
          <w:i/>
          <w:iCs/>
          <w:sz w:val="24"/>
          <w:szCs w:val="24"/>
        </w:rPr>
        <w:t>Philosophy and Phenomenological Research</w:t>
      </w:r>
      <w:r w:rsidRPr="00792C55">
        <w:rPr>
          <w:rFonts w:ascii="Nirmala UI Semilight" w:hAnsi="Nirmala UI Semilight" w:cs="Nirmala UI Semilight"/>
          <w:sz w:val="24"/>
          <w:szCs w:val="24"/>
        </w:rPr>
        <w:t>, 59</w:t>
      </w:r>
      <w:r>
        <w:rPr>
          <w:rFonts w:ascii="Nirmala UI Semilight" w:hAnsi="Nirmala UI Semilight" w:cs="Nirmala UI Semilight"/>
          <w:sz w:val="24"/>
          <w:szCs w:val="24"/>
        </w:rPr>
        <w:t>(</w:t>
      </w:r>
      <w:r w:rsidRPr="00792C55">
        <w:rPr>
          <w:rFonts w:ascii="Nirmala UI Semilight" w:hAnsi="Nirmala UI Semilight" w:cs="Nirmala UI Semilight"/>
          <w:sz w:val="24"/>
          <w:szCs w:val="24"/>
        </w:rPr>
        <w:t>3</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667–681.</w:t>
      </w:r>
    </w:p>
    <w:p w14:paraId="1160C74A"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Braithwaite, J. (1989) </w:t>
      </w:r>
      <w:r w:rsidRPr="00792C55">
        <w:rPr>
          <w:rFonts w:ascii="Nirmala UI Semilight" w:hAnsi="Nirmala UI Semilight" w:cs="Nirmala UI Semilight"/>
          <w:i/>
          <w:iCs/>
          <w:sz w:val="24"/>
          <w:szCs w:val="24"/>
        </w:rPr>
        <w:t>Crime Shame and Reintegration</w:t>
      </w:r>
      <w:r w:rsidRPr="00792C55">
        <w:rPr>
          <w:rFonts w:ascii="Nirmala UI Semilight" w:hAnsi="Nirmala UI Semilight" w:cs="Nirmala UI Semilight"/>
          <w:sz w:val="24"/>
          <w:szCs w:val="24"/>
        </w:rPr>
        <w:t>. Cambridge: Cambridge University Press.</w:t>
      </w:r>
    </w:p>
    <w:p w14:paraId="48CA1AC1"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Bushway, S.D., Piquero, A.R., Broidy, L.M., Cauffman, E.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Mazerolle, P. (2001) An empirical framework for studying desistance as a process.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39</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491–516.</w:t>
      </w:r>
    </w:p>
    <w:p w14:paraId="0C7132C9"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Buttny, Richard y Princess L. Williams</w:t>
      </w:r>
      <w:r>
        <w:rPr>
          <w:rFonts w:ascii="Nirmala UI Semilight" w:hAnsi="Nirmala UI Semilight" w:cs="Nirmala UI Semilight"/>
          <w:sz w:val="24"/>
          <w:szCs w:val="24"/>
        </w:rPr>
        <w:t xml:space="preserve"> (2000) </w:t>
      </w:r>
      <w:r w:rsidRPr="00792C55">
        <w:rPr>
          <w:rFonts w:ascii="Nirmala UI Semilight" w:hAnsi="Nirmala UI Semilight" w:cs="Nirmala UI Semilight"/>
          <w:sz w:val="24"/>
          <w:szCs w:val="24"/>
        </w:rPr>
        <w:t>Demanding Respect: The Uses of Reported Speech in Discursive Constructions of Interracial Contact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Discourse and Society</w:t>
      </w:r>
      <w:r w:rsidRPr="00792C55">
        <w:rPr>
          <w:rFonts w:ascii="Nirmala UI Semilight" w:hAnsi="Nirmala UI Semilight" w:cs="Nirmala UI Semilight"/>
          <w:sz w:val="24"/>
          <w:szCs w:val="24"/>
        </w:rPr>
        <w:t xml:space="preserve"> 11(1), 109–133. </w:t>
      </w:r>
    </w:p>
    <w:p w14:paraId="6DB6063C"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Calverley, A. (2013) </w:t>
      </w:r>
      <w:r w:rsidRPr="00792C55">
        <w:rPr>
          <w:rFonts w:ascii="Nirmala UI Semilight" w:hAnsi="Nirmala UI Semilight" w:cs="Nirmala UI Semilight"/>
          <w:i/>
          <w:iCs/>
          <w:sz w:val="24"/>
          <w:szCs w:val="24"/>
        </w:rPr>
        <w:t>Cultures of Desistance</w:t>
      </w:r>
      <w:r w:rsidRPr="00792C55">
        <w:rPr>
          <w:rFonts w:ascii="Nirmala UI Semilight" w:hAnsi="Nirmala UI Semilight" w:cs="Nirmala UI Semilight"/>
          <w:sz w:val="24"/>
          <w:szCs w:val="24"/>
        </w:rPr>
        <w:t>. London: Routledge.</w:t>
      </w:r>
    </w:p>
    <w:p w14:paraId="7B1A14FE"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Cechaviciute, I</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y Dianna T.K</w:t>
      </w:r>
      <w:r>
        <w:rPr>
          <w:rFonts w:ascii="Nirmala UI Semilight" w:hAnsi="Nirmala UI Semilight" w:cs="Nirmala UI Semilight"/>
          <w:sz w:val="24"/>
          <w:szCs w:val="24"/>
        </w:rPr>
        <w:t>. (2007)</w:t>
      </w:r>
      <w:r w:rsidRPr="00792C55">
        <w:rPr>
          <w:rFonts w:ascii="Nirmala UI Semilight" w:hAnsi="Nirmala UI Semilight" w:cs="Nirmala UI Semilight"/>
          <w:sz w:val="24"/>
          <w:szCs w:val="24"/>
        </w:rPr>
        <w:t xml:space="preserve"> The Relationship Between Neutralizations and Perceived Delinquent Labeling on Criminal History in Young Offenders Serving Community Orders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Criminal Justice and Behavior</w:t>
      </w:r>
      <w:r w:rsidRPr="00792C55">
        <w:rPr>
          <w:rFonts w:ascii="Nirmala UI Semilight" w:hAnsi="Nirmala UI Semilight" w:cs="Nirmala UI Semilight"/>
          <w:sz w:val="24"/>
          <w:szCs w:val="24"/>
        </w:rPr>
        <w:t xml:space="preserve"> 34(6), 816–829. </w:t>
      </w:r>
    </w:p>
    <w:p w14:paraId="32A45560"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Clark, C. (2002) Taming the ‘brute being’.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Kotarba, J.A. and Johnson, J.M.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Postmodern Existential Sociology</w:t>
      </w:r>
      <w:r w:rsidRPr="00792C55">
        <w:rPr>
          <w:rFonts w:ascii="Nirmala UI Semilight" w:hAnsi="Nirmala UI Semilight" w:cs="Nirmala UI Semilight"/>
          <w:sz w:val="24"/>
          <w:szCs w:val="24"/>
        </w:rPr>
        <w:t>. Lanham, MD: Rowman and Littlefield, pp. 155–182.</w:t>
      </w:r>
    </w:p>
    <w:p w14:paraId="656C1C83" w14:textId="00995DB8"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Clarke, R.V. </w:t>
      </w:r>
      <w:r w:rsidR="00C83E0C">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Cornish, D.B. (1985) Modelling offenders’ decisions. </w:t>
      </w:r>
      <w:r w:rsidRPr="00792C55">
        <w:rPr>
          <w:rFonts w:ascii="Nirmala UI Semilight" w:hAnsi="Nirmala UI Semilight" w:cs="Nirmala UI Semilight"/>
          <w:i/>
          <w:iCs/>
          <w:sz w:val="24"/>
          <w:szCs w:val="24"/>
        </w:rPr>
        <w:t>Crime and Justice</w:t>
      </w:r>
      <w:r w:rsidRPr="00792C55">
        <w:rPr>
          <w:rFonts w:ascii="Nirmala UI Semilight" w:hAnsi="Nirmala UI Semilight" w:cs="Nirmala UI Semilight"/>
          <w:sz w:val="24"/>
          <w:szCs w:val="24"/>
        </w:rPr>
        <w:t>, 6, 147–185.</w:t>
      </w:r>
    </w:p>
    <w:p w14:paraId="7F8EC938"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Cozzi E. 2022. </w:t>
      </w:r>
      <w:r w:rsidRPr="00792C55">
        <w:rPr>
          <w:rFonts w:ascii="Nirmala UI Semilight" w:hAnsi="Nirmala UI Semilight" w:cs="Nirmala UI Semilight"/>
          <w:i/>
          <w:iCs/>
          <w:sz w:val="24"/>
          <w:szCs w:val="24"/>
        </w:rPr>
        <w:t>De ladrones a narcos</w:t>
      </w:r>
      <w:r w:rsidRPr="00792C55">
        <w:rPr>
          <w:rFonts w:ascii="Nirmala UI Semilight" w:hAnsi="Nirmala UI Semilight" w:cs="Nirmala UI Semilight"/>
          <w:sz w:val="24"/>
          <w:szCs w:val="24"/>
        </w:rPr>
        <w:t>. Buenos Aires: Teseo.</w:t>
      </w:r>
    </w:p>
    <w:p w14:paraId="23CA5E4F"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Croall, H. (2001) </w:t>
      </w:r>
      <w:r w:rsidRPr="00792C55">
        <w:rPr>
          <w:rFonts w:ascii="Nirmala UI Semilight" w:hAnsi="Nirmala UI Semilight" w:cs="Nirmala UI Semilight"/>
          <w:i/>
          <w:iCs/>
          <w:sz w:val="24"/>
          <w:szCs w:val="24"/>
        </w:rPr>
        <w:t>Understanding White-Collar Crime</w:t>
      </w:r>
      <w:r w:rsidRPr="00792C55">
        <w:rPr>
          <w:rFonts w:ascii="Nirmala UI Semilight" w:hAnsi="Nirmala UI Semilight" w:cs="Nirmala UI Semilight"/>
          <w:sz w:val="24"/>
          <w:szCs w:val="24"/>
        </w:rPr>
        <w:t>. Buckingham: Open University Press.</w:t>
      </w:r>
    </w:p>
    <w:p w14:paraId="2590C502"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Cromwell, Paul y Quint Thurman</w:t>
      </w:r>
      <w:r>
        <w:rPr>
          <w:rFonts w:ascii="Nirmala UI Semilight" w:hAnsi="Nirmala UI Semilight" w:cs="Nirmala UI Semilight"/>
          <w:sz w:val="24"/>
          <w:szCs w:val="24"/>
        </w:rPr>
        <w:t xml:space="preserve"> (2003)</w:t>
      </w:r>
      <w:r w:rsidRPr="00792C55">
        <w:rPr>
          <w:rFonts w:ascii="Nirmala UI Semilight" w:hAnsi="Nirmala UI Semilight" w:cs="Nirmala UI Semilight"/>
          <w:sz w:val="24"/>
          <w:szCs w:val="24"/>
        </w:rPr>
        <w:t xml:space="preserve"> The Devil Made Me Do It: Use of Neutralization by Shoplifters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Deviant Behavior</w:t>
      </w:r>
      <w:r w:rsidRPr="00792C55">
        <w:rPr>
          <w:rFonts w:ascii="Nirmala UI Semilight" w:hAnsi="Nirmala UI Semilight" w:cs="Nirmala UI Semilight"/>
          <w:sz w:val="24"/>
          <w:szCs w:val="24"/>
        </w:rPr>
        <w:t xml:space="preserve"> 24, 535–550. </w:t>
      </w:r>
    </w:p>
    <w:p w14:paraId="3DE29C11"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792C55">
        <w:rPr>
          <w:rFonts w:ascii="Nirmala UI Semilight" w:hAnsi="Nirmala UI Semilight" w:cs="Nirmala UI Semilight"/>
          <w:sz w:val="24"/>
          <w:szCs w:val="24"/>
        </w:rPr>
        <w:t xml:space="preserve">Cusson, M.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Pinnsoneault, P. ([1986] 2014) The decision to give up crime.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Cornish, D.B.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Clarke, R.V.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Reasoning Criminal</w:t>
      </w:r>
      <w:r w:rsidRPr="00792C55">
        <w:rPr>
          <w:rFonts w:ascii="Nirmala UI Semilight" w:hAnsi="Nirmala UI Semilight" w:cs="Nirmala UI Semilight"/>
          <w:sz w:val="24"/>
          <w:szCs w:val="24"/>
        </w:rPr>
        <w:t>. Piscataway, NJ: Transaction, pp. 72–82.</w:t>
      </w:r>
    </w:p>
    <w:p w14:paraId="398A16D0"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lastRenderedPageBreak/>
        <w:t xml:space="preserve">Douglas, J.D. (1984) The emergence, security and growth of the sense of self.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Kotarba, J.A.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Fontana, A.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Existential Self in Society</w:t>
      </w:r>
      <w:r w:rsidRPr="00792C55">
        <w:rPr>
          <w:rFonts w:ascii="Nirmala UI Semilight" w:hAnsi="Nirmala UI Semilight" w:cs="Nirmala UI Semilight"/>
          <w:sz w:val="24"/>
          <w:szCs w:val="24"/>
        </w:rPr>
        <w:t>. Chicago, IL: University of Chicago Press, pp. 69–99.</w:t>
      </w:r>
    </w:p>
    <w:p w14:paraId="0199ECDA" w14:textId="4B20414A"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Douglas, J.D. </w:t>
      </w:r>
      <w:r w:rsidR="004D5AA2">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Johnson, J.M.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(1977) </w:t>
      </w:r>
      <w:r w:rsidRPr="00792C55">
        <w:rPr>
          <w:rFonts w:ascii="Nirmala UI Semilight" w:hAnsi="Nirmala UI Semilight" w:cs="Nirmala UI Semilight"/>
          <w:i/>
          <w:iCs/>
          <w:sz w:val="24"/>
          <w:szCs w:val="24"/>
        </w:rPr>
        <w:t>Existential Sociology</w:t>
      </w:r>
      <w:r w:rsidRPr="00792C55">
        <w:rPr>
          <w:rFonts w:ascii="Nirmala UI Semilight" w:hAnsi="Nirmala UI Semilight" w:cs="Nirmala UI Semilight"/>
          <w:sz w:val="24"/>
          <w:szCs w:val="24"/>
        </w:rPr>
        <w:t>. London: Cambridge University Press.</w:t>
      </w:r>
    </w:p>
    <w:p w14:paraId="09201F05"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Ebaugh, H.R.F. (1984) Leaving the convent.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Kotarba, J.A.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Fontana, A.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Existential Self in Society</w:t>
      </w:r>
      <w:r w:rsidRPr="00792C55">
        <w:rPr>
          <w:rFonts w:ascii="Nirmala UI Semilight" w:hAnsi="Nirmala UI Semilight" w:cs="Nirmala UI Semilight"/>
          <w:sz w:val="24"/>
          <w:szCs w:val="24"/>
        </w:rPr>
        <w:t>. Chicago, IL: University of Chicago Press, pp. 156–176.</w:t>
      </w:r>
    </w:p>
    <w:p w14:paraId="3052C2A8"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792C55">
        <w:rPr>
          <w:rFonts w:ascii="Nirmala UI Semilight" w:hAnsi="Nirmala UI Semilight" w:cs="Nirmala UI Semilight"/>
          <w:sz w:val="24"/>
          <w:szCs w:val="24"/>
        </w:rPr>
        <w:t xml:space="preserve">Elliot, D.S. (1994) Serious violent offenders.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32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1–21.</w:t>
      </w:r>
    </w:p>
    <w:p w14:paraId="72028314"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Farrall, S. (ed.) (2000) </w:t>
      </w:r>
      <w:r w:rsidRPr="00F21AE5">
        <w:rPr>
          <w:rFonts w:ascii="Nirmala UI Semilight" w:eastAsia="Times New Roman" w:hAnsi="Nirmala UI Semilight" w:cs="Nirmala UI Semilight"/>
          <w:i/>
          <w:iCs/>
          <w:sz w:val="24"/>
          <w:szCs w:val="24"/>
          <w:lang w:eastAsia="es-AR"/>
        </w:rPr>
        <w:t>The Termination of Criminal Careers</w:t>
      </w:r>
      <w:r w:rsidRPr="00F21AE5">
        <w:rPr>
          <w:rFonts w:ascii="Nirmala UI Semilight" w:eastAsia="Times New Roman" w:hAnsi="Nirmala UI Semilight" w:cs="Nirmala UI Semilight"/>
          <w:sz w:val="24"/>
          <w:szCs w:val="24"/>
          <w:lang w:eastAsia="es-AR"/>
        </w:rPr>
        <w:t xml:space="preserve">. Aldershot: Dartmouth Publishing. </w:t>
      </w:r>
    </w:p>
    <w:p w14:paraId="656B88DE"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Farrall, S. (2002) </w:t>
      </w:r>
      <w:r w:rsidRPr="00F21AE5">
        <w:rPr>
          <w:rFonts w:ascii="Nirmala UI Semilight" w:eastAsia="Times New Roman" w:hAnsi="Nirmala UI Semilight" w:cs="Nirmala UI Semilight"/>
          <w:i/>
          <w:iCs/>
          <w:sz w:val="24"/>
          <w:szCs w:val="24"/>
          <w:lang w:eastAsia="es-AR"/>
        </w:rPr>
        <w:t>Rethinking What Works with Offenders</w:t>
      </w:r>
      <w:r w:rsidRPr="00F21AE5">
        <w:rPr>
          <w:rFonts w:ascii="Nirmala UI Semilight" w:eastAsia="Times New Roman" w:hAnsi="Nirmala UI Semilight" w:cs="Nirmala UI Semilight"/>
          <w:sz w:val="24"/>
          <w:szCs w:val="24"/>
          <w:lang w:eastAsia="es-AR"/>
        </w:rPr>
        <w:t xml:space="preserve">. Cullompton: Willan. </w:t>
      </w:r>
    </w:p>
    <w:p w14:paraId="696E92C6"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Farrall, S. (2005) On the existential aspects of desistance from crime. </w:t>
      </w:r>
      <w:r w:rsidRPr="00F21AE5">
        <w:rPr>
          <w:rFonts w:ascii="Nirmala UI Semilight" w:eastAsia="Times New Roman" w:hAnsi="Nirmala UI Semilight" w:cs="Nirmala UI Semilight"/>
          <w:i/>
          <w:iCs/>
          <w:sz w:val="24"/>
          <w:szCs w:val="24"/>
          <w:lang w:eastAsia="es-AR"/>
        </w:rPr>
        <w:t>Symbolic Interaction</w:t>
      </w:r>
      <w:r w:rsidRPr="00F21AE5">
        <w:rPr>
          <w:rFonts w:ascii="Nirmala UI Semilight" w:eastAsia="Times New Roman" w:hAnsi="Nirmala UI Semilight" w:cs="Nirmala UI Semilight"/>
          <w:sz w:val="24"/>
          <w:szCs w:val="24"/>
          <w:lang w:eastAsia="es-AR"/>
        </w:rPr>
        <w:t>, 28</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3</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367–386. </w:t>
      </w:r>
    </w:p>
    <w:p w14:paraId="5201A5DF"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Farrall, S. </w:t>
      </w:r>
      <w:r>
        <w:rPr>
          <w:rFonts w:ascii="Nirmala UI Semilight" w:eastAsia="Times New Roman" w:hAnsi="Nirmala UI Semilight" w:cs="Nirmala UI Semilight"/>
          <w:sz w:val="24"/>
          <w:szCs w:val="24"/>
          <w:lang w:eastAsia="es-AR"/>
        </w:rPr>
        <w:t>y</w:t>
      </w:r>
      <w:r w:rsidRPr="00F21AE5">
        <w:rPr>
          <w:rFonts w:ascii="Nirmala UI Semilight" w:eastAsia="Times New Roman" w:hAnsi="Nirmala UI Semilight" w:cs="Nirmala UI Semilight"/>
          <w:sz w:val="24"/>
          <w:szCs w:val="24"/>
          <w:lang w:eastAsia="es-AR"/>
        </w:rPr>
        <w:t xml:space="preserve"> Bowling, B. (1999) Structuration, human development and desistance from crime. </w:t>
      </w:r>
      <w:r w:rsidRPr="00F21AE5">
        <w:rPr>
          <w:rFonts w:ascii="Nirmala UI Semilight" w:eastAsia="Times New Roman" w:hAnsi="Nirmala UI Semilight" w:cs="Nirmala UI Semilight"/>
          <w:i/>
          <w:iCs/>
          <w:sz w:val="24"/>
          <w:szCs w:val="24"/>
          <w:lang w:eastAsia="es-AR"/>
        </w:rPr>
        <w:t>British Journal of Criminology</w:t>
      </w:r>
      <w:r w:rsidRPr="00F21AE5">
        <w:rPr>
          <w:rFonts w:ascii="Nirmala UI Semilight" w:eastAsia="Times New Roman" w:hAnsi="Nirmala UI Semilight" w:cs="Nirmala UI Semilight"/>
          <w:sz w:val="24"/>
          <w:szCs w:val="24"/>
          <w:lang w:eastAsia="es-AR"/>
        </w:rPr>
        <w:t>, 39</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2</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253–268. </w:t>
      </w:r>
    </w:p>
    <w:p w14:paraId="24454417"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Farrall, S. </w:t>
      </w:r>
      <w:r>
        <w:rPr>
          <w:rFonts w:ascii="Nirmala UI Semilight" w:eastAsia="Times New Roman" w:hAnsi="Nirmala UI Semilight" w:cs="Nirmala UI Semilight"/>
          <w:sz w:val="24"/>
          <w:szCs w:val="24"/>
          <w:lang w:eastAsia="es-AR"/>
        </w:rPr>
        <w:t>y</w:t>
      </w:r>
      <w:r w:rsidRPr="00F21AE5">
        <w:rPr>
          <w:rFonts w:ascii="Nirmala UI Semilight" w:eastAsia="Times New Roman" w:hAnsi="Nirmala UI Semilight" w:cs="Nirmala UI Semilight"/>
          <w:sz w:val="24"/>
          <w:szCs w:val="24"/>
          <w:lang w:eastAsia="es-AR"/>
        </w:rPr>
        <w:t xml:space="preserve"> Maruna, S. (2004) Desistance-focused criminal justice policy research. </w:t>
      </w:r>
      <w:r w:rsidRPr="00F21AE5">
        <w:rPr>
          <w:rFonts w:ascii="Nirmala UI Semilight" w:eastAsia="Times New Roman" w:hAnsi="Nirmala UI Semilight" w:cs="Nirmala UI Semilight"/>
          <w:i/>
          <w:iCs/>
          <w:sz w:val="24"/>
          <w:szCs w:val="24"/>
          <w:lang w:eastAsia="es-AR"/>
        </w:rPr>
        <w:t>The Howard Journal of Criminal Justice</w:t>
      </w:r>
      <w:r w:rsidRPr="00F21AE5">
        <w:rPr>
          <w:rFonts w:ascii="Nirmala UI Semilight" w:eastAsia="Times New Roman" w:hAnsi="Nirmala UI Semilight" w:cs="Nirmala UI Semilight"/>
          <w:sz w:val="24"/>
          <w:szCs w:val="24"/>
          <w:lang w:eastAsia="es-AR"/>
        </w:rPr>
        <w:t>, 43</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4</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358–367. </w:t>
      </w:r>
    </w:p>
    <w:p w14:paraId="1051E54C"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Farrall, S. </w:t>
      </w:r>
      <w:r>
        <w:rPr>
          <w:rFonts w:ascii="Nirmala UI Semilight" w:eastAsia="Times New Roman" w:hAnsi="Nirmala UI Semilight" w:cs="Nirmala UI Semilight"/>
          <w:sz w:val="24"/>
          <w:szCs w:val="24"/>
          <w:lang w:eastAsia="es-AR"/>
        </w:rPr>
        <w:t>y</w:t>
      </w:r>
      <w:r w:rsidRPr="00F21AE5">
        <w:rPr>
          <w:rFonts w:ascii="Nirmala UI Semilight" w:eastAsia="Times New Roman" w:hAnsi="Nirmala UI Semilight" w:cs="Nirmala UI Semilight"/>
          <w:sz w:val="24"/>
          <w:szCs w:val="24"/>
          <w:lang w:eastAsia="es-AR"/>
        </w:rPr>
        <w:t xml:space="preserve"> Calverley, A. (2006) </w:t>
      </w:r>
      <w:r w:rsidRPr="00F21AE5">
        <w:rPr>
          <w:rFonts w:ascii="Nirmala UI Semilight" w:eastAsia="Times New Roman" w:hAnsi="Nirmala UI Semilight" w:cs="Nirmala UI Semilight"/>
          <w:i/>
          <w:iCs/>
          <w:sz w:val="24"/>
          <w:szCs w:val="24"/>
          <w:lang w:eastAsia="es-AR"/>
        </w:rPr>
        <w:t>Understanding Desistance from Crime</w:t>
      </w:r>
      <w:r w:rsidRPr="00F21AE5">
        <w:rPr>
          <w:rFonts w:ascii="Nirmala UI Semilight" w:eastAsia="Times New Roman" w:hAnsi="Nirmala UI Semilight" w:cs="Nirmala UI Semilight"/>
          <w:sz w:val="24"/>
          <w:szCs w:val="24"/>
          <w:lang w:eastAsia="es-AR"/>
        </w:rPr>
        <w:t>. London: Open University Press.</w:t>
      </w:r>
    </w:p>
    <w:p w14:paraId="30D65E44"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792C55">
        <w:rPr>
          <w:rFonts w:ascii="Nirmala UI Semilight" w:hAnsi="Nirmala UI Semilight" w:cs="Nirmala UI Semilight"/>
          <w:sz w:val="24"/>
          <w:szCs w:val="24"/>
        </w:rPr>
        <w:t xml:space="preserve">Farrall, S., Hunter, B., Sharpe, G. y Calverley, A. (2014) </w:t>
      </w:r>
      <w:r w:rsidRPr="00792C55">
        <w:rPr>
          <w:rFonts w:ascii="Nirmala UI Semilight" w:hAnsi="Nirmala UI Semilight" w:cs="Nirmala UI Semilight"/>
          <w:i/>
          <w:iCs/>
          <w:sz w:val="24"/>
          <w:szCs w:val="24"/>
        </w:rPr>
        <w:t>Criminal Careers in Transition</w:t>
      </w:r>
      <w:r w:rsidRPr="00792C55">
        <w:rPr>
          <w:rFonts w:ascii="Nirmala UI Semilight" w:hAnsi="Nirmala UI Semilight" w:cs="Nirmala UI Semilight"/>
          <w:sz w:val="24"/>
          <w:szCs w:val="24"/>
        </w:rPr>
        <w:t>. Oxford: Oxford University Press.</w:t>
      </w:r>
    </w:p>
    <w:p w14:paraId="2AEB1F63" w14:textId="77777777" w:rsidR="00130F20" w:rsidRPr="00AF316C" w:rsidRDefault="00130F20" w:rsidP="00130F20">
      <w:pPr>
        <w:spacing w:after="120" w:line="240" w:lineRule="auto"/>
        <w:rPr>
          <w:rFonts w:ascii="Nirmala UI Semilight" w:eastAsia="Times New Roman" w:hAnsi="Nirmala UI Semilight" w:cs="Nirmala UI Semilight"/>
          <w:sz w:val="24"/>
          <w:szCs w:val="24"/>
          <w:lang w:eastAsia="es-AR"/>
        </w:rPr>
      </w:pPr>
      <w:r w:rsidRPr="00AF316C">
        <w:rPr>
          <w:rFonts w:ascii="Nirmala UI Semilight" w:eastAsia="Times New Roman" w:hAnsi="Nirmala UI Semilight" w:cs="Nirmala UI Semilight"/>
          <w:sz w:val="24"/>
          <w:szCs w:val="24"/>
          <w:lang w:eastAsia="es-AR"/>
        </w:rPr>
        <w:t xml:space="preserve">Farrington, D. (1986) Age and crime. </w:t>
      </w:r>
      <w:r w:rsidRPr="00AF316C">
        <w:rPr>
          <w:rFonts w:ascii="Nirmala UI Semilight" w:eastAsia="Times New Roman" w:hAnsi="Nirmala UI Semilight" w:cs="Nirmala UI Semilight"/>
          <w:i/>
          <w:iCs/>
          <w:sz w:val="24"/>
          <w:szCs w:val="24"/>
          <w:lang w:eastAsia="es-AR"/>
        </w:rPr>
        <w:t>Crime and Justice</w:t>
      </w:r>
      <w:r w:rsidRPr="00AF316C">
        <w:rPr>
          <w:rFonts w:ascii="Nirmala UI Semilight" w:eastAsia="Times New Roman" w:hAnsi="Nirmala UI Semilight" w:cs="Nirmala UI Semilight"/>
          <w:sz w:val="24"/>
          <w:szCs w:val="24"/>
          <w:lang w:eastAsia="es-AR"/>
        </w:rPr>
        <w:t xml:space="preserve">, 7, 189–250. </w:t>
      </w:r>
    </w:p>
    <w:p w14:paraId="191FD3C9"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AF316C">
        <w:rPr>
          <w:rFonts w:ascii="Nirmala UI Semilight" w:eastAsia="Times New Roman" w:hAnsi="Nirmala UI Semilight" w:cs="Nirmala UI Semilight"/>
          <w:sz w:val="24"/>
          <w:szCs w:val="24"/>
          <w:lang w:eastAsia="es-AR"/>
        </w:rPr>
        <w:t xml:space="preserve">Farrington, D. (1992) Criminal career research in the United Kingdom. </w:t>
      </w:r>
      <w:r w:rsidRPr="00AF316C">
        <w:rPr>
          <w:rFonts w:ascii="Nirmala UI Semilight" w:eastAsia="Times New Roman" w:hAnsi="Nirmala UI Semilight" w:cs="Nirmala UI Semilight"/>
          <w:i/>
          <w:iCs/>
          <w:sz w:val="24"/>
          <w:szCs w:val="24"/>
          <w:lang w:eastAsia="es-AR"/>
        </w:rPr>
        <w:t>British Journal of Criminology</w:t>
      </w:r>
      <w:r w:rsidRPr="00AF316C">
        <w:rPr>
          <w:rFonts w:ascii="Nirmala UI Semilight" w:eastAsia="Times New Roman" w:hAnsi="Nirmala UI Semilight" w:cs="Nirmala UI Semilight"/>
          <w:sz w:val="24"/>
          <w:szCs w:val="24"/>
          <w:lang w:eastAsia="es-AR"/>
        </w:rPr>
        <w:t>, 32</w:t>
      </w:r>
      <w:r>
        <w:rPr>
          <w:rFonts w:ascii="Nirmala UI Semilight" w:eastAsia="Times New Roman" w:hAnsi="Nirmala UI Semilight" w:cs="Nirmala UI Semilight"/>
          <w:sz w:val="24"/>
          <w:szCs w:val="24"/>
          <w:lang w:eastAsia="es-AR"/>
        </w:rPr>
        <w:t>(</w:t>
      </w:r>
      <w:r w:rsidRPr="00AF316C">
        <w:rPr>
          <w:rFonts w:ascii="Nirmala UI Semilight" w:eastAsia="Times New Roman" w:hAnsi="Nirmala UI Semilight" w:cs="Nirmala UI Semilight"/>
          <w:sz w:val="24"/>
          <w:szCs w:val="24"/>
          <w:lang w:eastAsia="es-AR"/>
        </w:rPr>
        <w:t>4</w:t>
      </w:r>
      <w:r>
        <w:rPr>
          <w:rFonts w:ascii="Nirmala UI Semilight" w:eastAsia="Times New Roman" w:hAnsi="Nirmala UI Semilight" w:cs="Nirmala UI Semilight"/>
          <w:sz w:val="24"/>
          <w:szCs w:val="24"/>
          <w:lang w:eastAsia="es-AR"/>
        </w:rPr>
        <w:t>)</w:t>
      </w:r>
      <w:r w:rsidRPr="00AF316C">
        <w:rPr>
          <w:rFonts w:ascii="Nirmala UI Semilight" w:eastAsia="Times New Roman" w:hAnsi="Nirmala UI Semilight" w:cs="Nirmala UI Semilight"/>
          <w:sz w:val="24"/>
          <w:szCs w:val="24"/>
          <w:lang w:eastAsia="es-AR"/>
        </w:rPr>
        <w:t>, 521–534.</w:t>
      </w:r>
    </w:p>
    <w:p w14:paraId="750C900C"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Fontana, A. (1984) Introduction.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Kotarba, J.A.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Fontana, A.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Existential Self in Society</w:t>
      </w:r>
      <w:r w:rsidRPr="00792C55">
        <w:rPr>
          <w:rFonts w:ascii="Nirmala UI Semilight" w:hAnsi="Nirmala UI Semilight" w:cs="Nirmala UI Semilight"/>
          <w:sz w:val="24"/>
          <w:szCs w:val="24"/>
        </w:rPr>
        <w:t>. Chicago, IL: University of Chicago Press, pp. 3–17.</w:t>
      </w:r>
    </w:p>
    <w:p w14:paraId="7DFF07E1"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Fontana, A. (2002) Short stories from the salt.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Kotarba, J.A.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Johnson, J.M.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Postmodern Existential Sociology</w:t>
      </w:r>
      <w:r w:rsidRPr="00792C55">
        <w:rPr>
          <w:rFonts w:ascii="Nirmala UI Semilight" w:hAnsi="Nirmala UI Semilight" w:cs="Nirmala UI Semilight"/>
          <w:sz w:val="24"/>
          <w:szCs w:val="24"/>
        </w:rPr>
        <w:t>. Lanham, MD: Rowman and Littlefield, pp. 201–218.</w:t>
      </w:r>
    </w:p>
    <w:p w14:paraId="3BDE35C1"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Ford, G.G. (1996) An existential model for promoting life change. </w:t>
      </w:r>
      <w:r w:rsidRPr="00792C55">
        <w:rPr>
          <w:rFonts w:ascii="Nirmala UI Semilight" w:hAnsi="Nirmala UI Semilight" w:cs="Nirmala UI Semilight"/>
          <w:i/>
          <w:iCs/>
          <w:sz w:val="24"/>
          <w:szCs w:val="24"/>
        </w:rPr>
        <w:t>Journal of Substance Abuse Treatment</w:t>
      </w:r>
      <w:r w:rsidRPr="00792C55">
        <w:rPr>
          <w:rFonts w:ascii="Nirmala UI Semilight" w:hAnsi="Nirmala UI Semilight" w:cs="Nirmala UI Semilight"/>
          <w:sz w:val="24"/>
          <w:szCs w:val="24"/>
        </w:rPr>
        <w:t>, 13</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151–158.</w:t>
      </w:r>
    </w:p>
    <w:p w14:paraId="56C1000F"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Giordano, P.C., Cernkovich, S.A.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Rudolph, J.L. (2002) Gender, crime and desistance. </w:t>
      </w:r>
      <w:r w:rsidRPr="00792C55">
        <w:rPr>
          <w:rFonts w:ascii="Nirmala UI Semilight" w:hAnsi="Nirmala UI Semilight" w:cs="Nirmala UI Semilight"/>
          <w:i/>
          <w:iCs/>
          <w:sz w:val="24"/>
          <w:szCs w:val="24"/>
        </w:rPr>
        <w:t>American Journal of Sociology</w:t>
      </w:r>
      <w:r w:rsidRPr="00792C55">
        <w:rPr>
          <w:rFonts w:ascii="Nirmala UI Semilight" w:hAnsi="Nirmala UI Semilight" w:cs="Nirmala UI Semilight"/>
          <w:sz w:val="24"/>
          <w:szCs w:val="24"/>
        </w:rPr>
        <w:t>, 107</w:t>
      </w:r>
      <w:r>
        <w:rPr>
          <w:rFonts w:ascii="Nirmala UI Semilight" w:hAnsi="Nirmala UI Semilight" w:cs="Nirmala UI Semilight"/>
          <w:sz w:val="24"/>
          <w:szCs w:val="24"/>
        </w:rPr>
        <w:t>(</w:t>
      </w:r>
      <w:r w:rsidRPr="00792C55">
        <w:rPr>
          <w:rFonts w:ascii="Nirmala UI Semilight" w:hAnsi="Nirmala UI Semilight" w:cs="Nirmala UI Semilight"/>
          <w:sz w:val="24"/>
          <w:szCs w:val="24"/>
        </w:rPr>
        <w:t>4</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990–1064.</w:t>
      </w:r>
    </w:p>
    <w:p w14:paraId="452C1C36" w14:textId="77777777" w:rsidR="00130F20" w:rsidRPr="00442517" w:rsidRDefault="00130F20" w:rsidP="00130F20">
      <w:pPr>
        <w:spacing w:after="120" w:line="240" w:lineRule="auto"/>
        <w:rPr>
          <w:rFonts w:ascii="Nirmala UI Semilight" w:eastAsia="Times New Roman" w:hAnsi="Nirmala UI Semilight" w:cs="Nirmala UI Semilight"/>
          <w:sz w:val="24"/>
          <w:szCs w:val="24"/>
          <w:lang w:eastAsia="es-AR"/>
        </w:rPr>
      </w:pPr>
      <w:r w:rsidRPr="00442517">
        <w:rPr>
          <w:rFonts w:ascii="Nirmala UI Semilight" w:eastAsia="Times New Roman" w:hAnsi="Nirmala UI Semilight" w:cs="Nirmala UI Semilight"/>
          <w:sz w:val="24"/>
          <w:szCs w:val="24"/>
          <w:lang w:eastAsia="es-AR"/>
        </w:rPr>
        <w:t xml:space="preserve">Goffman, E. (1963) </w:t>
      </w:r>
      <w:r w:rsidRPr="00442517">
        <w:rPr>
          <w:rFonts w:ascii="Nirmala UI Semilight" w:eastAsia="Times New Roman" w:hAnsi="Nirmala UI Semilight" w:cs="Nirmala UI Semilight"/>
          <w:i/>
          <w:iCs/>
          <w:sz w:val="24"/>
          <w:szCs w:val="24"/>
          <w:lang w:eastAsia="es-AR"/>
        </w:rPr>
        <w:t>Stigma</w:t>
      </w:r>
      <w:r w:rsidRPr="00442517">
        <w:rPr>
          <w:rFonts w:ascii="Nirmala UI Semilight" w:eastAsia="Times New Roman" w:hAnsi="Nirmala UI Semilight" w:cs="Nirmala UI Semilight"/>
          <w:sz w:val="24"/>
          <w:szCs w:val="24"/>
          <w:lang w:eastAsia="es-AR"/>
        </w:rPr>
        <w:t xml:space="preserve">. Harmondsworth: Penguin Books. </w:t>
      </w:r>
    </w:p>
    <w:p w14:paraId="48431883"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442517">
        <w:rPr>
          <w:rFonts w:ascii="Nirmala UI Semilight" w:eastAsia="Times New Roman" w:hAnsi="Nirmala UI Semilight" w:cs="Nirmala UI Semilight"/>
          <w:sz w:val="24"/>
          <w:szCs w:val="24"/>
          <w:lang w:eastAsia="es-AR"/>
        </w:rPr>
        <w:lastRenderedPageBreak/>
        <w:t xml:space="preserve">Goffman, E. (1969) </w:t>
      </w:r>
      <w:r w:rsidRPr="00442517">
        <w:rPr>
          <w:rFonts w:ascii="Nirmala UI Semilight" w:eastAsia="Times New Roman" w:hAnsi="Nirmala UI Semilight" w:cs="Nirmala UI Semilight"/>
          <w:i/>
          <w:iCs/>
          <w:sz w:val="24"/>
          <w:szCs w:val="24"/>
          <w:lang w:eastAsia="es-AR"/>
        </w:rPr>
        <w:t>The Presentation of Self in Everyday Life</w:t>
      </w:r>
      <w:r w:rsidRPr="00442517">
        <w:rPr>
          <w:rFonts w:ascii="Nirmala UI Semilight" w:eastAsia="Times New Roman" w:hAnsi="Nirmala UI Semilight" w:cs="Nirmala UI Semilight"/>
          <w:sz w:val="24"/>
          <w:szCs w:val="24"/>
          <w:lang w:eastAsia="es-AR"/>
        </w:rPr>
        <w:t>. Harmondsworth: Penguin Books.</w:t>
      </w:r>
    </w:p>
    <w:p w14:paraId="51102BB6"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Gottfredson, M.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Hirschi, T. (1990) </w:t>
      </w:r>
      <w:r w:rsidRPr="00792C55">
        <w:rPr>
          <w:rFonts w:ascii="Nirmala UI Semilight" w:hAnsi="Nirmala UI Semilight" w:cs="Nirmala UI Semilight"/>
          <w:i/>
          <w:iCs/>
          <w:sz w:val="24"/>
          <w:szCs w:val="24"/>
        </w:rPr>
        <w:t>A General Theory of Crime</w:t>
      </w:r>
      <w:r w:rsidRPr="00792C55">
        <w:rPr>
          <w:rFonts w:ascii="Nirmala UI Semilight" w:hAnsi="Nirmala UI Semilight" w:cs="Nirmala UI Semilight"/>
          <w:sz w:val="24"/>
          <w:szCs w:val="24"/>
        </w:rPr>
        <w:t>. Stanford, CA: Stanford University Press.</w:t>
      </w:r>
    </w:p>
    <w:p w14:paraId="7469C1F3"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Green, G</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South</w:t>
      </w:r>
      <w:r>
        <w:rPr>
          <w:rFonts w:ascii="Nirmala UI Semilight" w:hAnsi="Nirmala UI Semilight" w:cs="Nirmala UI Semilight"/>
          <w:sz w:val="24"/>
          <w:szCs w:val="24"/>
        </w:rPr>
        <w:t>, N.</w:t>
      </w:r>
      <w:r w:rsidRPr="00792C55">
        <w:rPr>
          <w:rFonts w:ascii="Nirmala UI Semilight" w:hAnsi="Nirmala UI Semilight" w:cs="Nirmala UI Semilight"/>
          <w:sz w:val="24"/>
          <w:szCs w:val="24"/>
        </w:rPr>
        <w:t xml:space="preserve"> y Smith</w:t>
      </w:r>
      <w:r>
        <w:rPr>
          <w:rFonts w:ascii="Nirmala UI Semilight" w:hAnsi="Nirmala UI Semilight" w:cs="Nirmala UI Semilight"/>
          <w:sz w:val="24"/>
          <w:szCs w:val="24"/>
        </w:rPr>
        <w:t>, R. (2006)</w:t>
      </w:r>
      <w:r w:rsidRPr="00792C55">
        <w:rPr>
          <w:rFonts w:ascii="Nirmala UI Semilight" w:hAnsi="Nirmala UI Semilight" w:cs="Nirmala UI Semilight"/>
          <w:sz w:val="24"/>
          <w:szCs w:val="24"/>
        </w:rPr>
        <w:t xml:space="preserve"> ‘They Say that You are a Danger but You are Not’: Representations and Construction of the Moral Self in Narrative of ‘Dangerous Individuals’, </w:t>
      </w:r>
      <w:r w:rsidRPr="00792C55">
        <w:rPr>
          <w:rFonts w:ascii="Nirmala UI Semilight" w:hAnsi="Nirmala UI Semilight" w:cs="Nirmala UI Semilight"/>
          <w:i/>
          <w:iCs/>
          <w:sz w:val="24"/>
          <w:szCs w:val="24"/>
        </w:rPr>
        <w:t>Deviant Behavior</w:t>
      </w:r>
      <w:r w:rsidRPr="00792C55">
        <w:rPr>
          <w:rFonts w:ascii="Nirmala UI Semilight" w:hAnsi="Nirmala UI Semilight" w:cs="Nirmala UI Semilight"/>
          <w:sz w:val="24"/>
          <w:szCs w:val="24"/>
        </w:rPr>
        <w:t xml:space="preserve"> 27, 299–328. </w:t>
      </w:r>
    </w:p>
    <w:p w14:paraId="18428981"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Grossman, R. (1984) </w:t>
      </w:r>
      <w:r w:rsidRPr="00792C55">
        <w:rPr>
          <w:rFonts w:ascii="Nirmala UI Semilight" w:hAnsi="Nirmala UI Semilight" w:cs="Nirmala UI Semilight"/>
          <w:i/>
          <w:iCs/>
          <w:sz w:val="24"/>
          <w:szCs w:val="24"/>
        </w:rPr>
        <w:t>Phenomenology and Existentialism</w:t>
      </w:r>
      <w:r w:rsidRPr="00792C55">
        <w:rPr>
          <w:rFonts w:ascii="Nirmala UI Semilight" w:hAnsi="Nirmala UI Semilight" w:cs="Nirmala UI Semilight"/>
          <w:sz w:val="24"/>
          <w:szCs w:val="24"/>
        </w:rPr>
        <w:t>. London: Routledge &amp; Kegan Paul.</w:t>
      </w:r>
    </w:p>
    <w:p w14:paraId="4BA1E803"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Heidegger, M. (1926) </w:t>
      </w:r>
      <w:r w:rsidRPr="00792C55">
        <w:rPr>
          <w:rFonts w:ascii="Nirmala UI Semilight" w:hAnsi="Nirmala UI Semilight" w:cs="Nirmala UI Semilight"/>
          <w:i/>
          <w:iCs/>
          <w:sz w:val="24"/>
          <w:szCs w:val="24"/>
        </w:rPr>
        <w:t>Being and Time</w:t>
      </w:r>
      <w:r w:rsidRPr="00792C55">
        <w:rPr>
          <w:rFonts w:ascii="Nirmala UI Semilight" w:hAnsi="Nirmala UI Semilight" w:cs="Nirmala UI Semilight"/>
          <w:sz w:val="24"/>
          <w:szCs w:val="24"/>
        </w:rPr>
        <w:t xml:space="preserve">. Translated by Macquarrie, J. and Robinson, E. [1962]. New York: Harper [trad.: </w:t>
      </w:r>
      <w:r w:rsidRPr="00792C55">
        <w:rPr>
          <w:rFonts w:ascii="Nirmala UI Semilight" w:hAnsi="Nirmala UI Semilight" w:cs="Nirmala UI Semilight"/>
          <w:i/>
          <w:iCs/>
          <w:sz w:val="24"/>
          <w:szCs w:val="24"/>
        </w:rPr>
        <w:t>Ser y tiempo</w:t>
      </w:r>
      <w:r w:rsidRPr="00792C55">
        <w:rPr>
          <w:rFonts w:ascii="Nirmala UI Semilight" w:hAnsi="Nirmala UI Semilight" w:cs="Nirmala UI Semilight"/>
          <w:sz w:val="24"/>
          <w:szCs w:val="24"/>
        </w:rPr>
        <w:t>, Madrid: Trotta, 2023].</w:t>
      </w:r>
    </w:p>
    <w:p w14:paraId="1D4EA63D"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Horney, J.D., Osgood, W.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Marshall, I.H. (1995) Criminal careers in the short-term. </w:t>
      </w:r>
      <w:r w:rsidRPr="00792C55">
        <w:rPr>
          <w:rFonts w:ascii="Nirmala UI Semilight" w:hAnsi="Nirmala UI Semilight" w:cs="Nirmala UI Semilight"/>
          <w:i/>
          <w:iCs/>
          <w:sz w:val="24"/>
          <w:szCs w:val="24"/>
        </w:rPr>
        <w:t>American Sociological Review</w:t>
      </w:r>
      <w:r w:rsidRPr="00792C55">
        <w:rPr>
          <w:rFonts w:ascii="Nirmala UI Semilight" w:hAnsi="Nirmala UI Semilight" w:cs="Nirmala UI Semilight"/>
          <w:sz w:val="24"/>
          <w:szCs w:val="24"/>
        </w:rPr>
        <w:t>, 60</w:t>
      </w:r>
      <w:r>
        <w:rPr>
          <w:rFonts w:ascii="Nirmala UI Semilight" w:hAnsi="Nirmala UI Semilight" w:cs="Nirmala UI Semilight"/>
          <w:sz w:val="24"/>
          <w:szCs w:val="24"/>
        </w:rPr>
        <w:t>(</w:t>
      </w:r>
      <w:r w:rsidRPr="00792C55">
        <w:rPr>
          <w:rFonts w:ascii="Nirmala UI Semilight" w:hAnsi="Nirmala UI Semilight" w:cs="Nirmala UI Semilight"/>
          <w:sz w:val="24"/>
          <w:szCs w:val="24"/>
        </w:rPr>
        <w:t>5</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655–673.</w:t>
      </w:r>
    </w:p>
    <w:p w14:paraId="6D4C4242"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Hulley, S., Liebling, A. y Crewe, B. (2011) Respect in prisons: Prisoners’ experiences of respect in public and private sector prisons. </w:t>
      </w:r>
      <w:r w:rsidRPr="00792C55">
        <w:rPr>
          <w:rFonts w:ascii="Nirmala UI Semilight" w:hAnsi="Nirmala UI Semilight" w:cs="Nirmala UI Semilight"/>
          <w:i/>
          <w:iCs/>
          <w:sz w:val="24"/>
          <w:szCs w:val="24"/>
        </w:rPr>
        <w:t>Criminology &amp; Criminal Justice</w:t>
      </w:r>
      <w:r w:rsidRPr="00792C55">
        <w:rPr>
          <w:rFonts w:ascii="Nirmala UI Semilight" w:hAnsi="Nirmala UI Semilight" w:cs="Nirmala UI Semilight"/>
          <w:sz w:val="24"/>
          <w:szCs w:val="24"/>
        </w:rPr>
        <w:t xml:space="preserve"> 12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3-23.</w:t>
      </w:r>
    </w:p>
    <w:p w14:paraId="2196BE7D" w14:textId="77777777" w:rsidR="00130F20" w:rsidRPr="00F21AE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Hunter, B. (2009) White-collar offenders after the fall from grace. </w:t>
      </w:r>
      <w:r>
        <w:rPr>
          <w:rFonts w:ascii="Nirmala UI Semilight" w:eastAsia="Times New Roman" w:hAnsi="Nirmala UI Semilight" w:cs="Nirmala UI Semilight"/>
          <w:sz w:val="24"/>
          <w:szCs w:val="24"/>
          <w:lang w:eastAsia="es-AR"/>
        </w:rPr>
        <w:t>E</w:t>
      </w:r>
      <w:r w:rsidRPr="00F21AE5">
        <w:rPr>
          <w:rFonts w:ascii="Nirmala UI Semilight" w:eastAsia="Times New Roman" w:hAnsi="Nirmala UI Semilight" w:cs="Nirmala UI Semilight"/>
          <w:sz w:val="24"/>
          <w:szCs w:val="24"/>
          <w:lang w:eastAsia="es-AR"/>
        </w:rPr>
        <w:t>n</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Lippens, R. </w:t>
      </w:r>
      <w:r>
        <w:rPr>
          <w:rFonts w:ascii="Nirmala UI Semilight" w:eastAsia="Times New Roman" w:hAnsi="Nirmala UI Semilight" w:cs="Nirmala UI Semilight"/>
          <w:sz w:val="24"/>
          <w:szCs w:val="24"/>
          <w:lang w:eastAsia="es-AR"/>
        </w:rPr>
        <w:t>y</w:t>
      </w:r>
      <w:r w:rsidRPr="00F21AE5">
        <w:rPr>
          <w:rFonts w:ascii="Nirmala UI Semilight" w:eastAsia="Times New Roman" w:hAnsi="Nirmala UI Semilight" w:cs="Nirmala UI Semilight"/>
          <w:sz w:val="24"/>
          <w:szCs w:val="24"/>
          <w:lang w:eastAsia="es-AR"/>
        </w:rPr>
        <w:t xml:space="preserve"> Crewe, D. (eds</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w:t>
      </w:r>
      <w:r w:rsidRPr="00F21AE5">
        <w:rPr>
          <w:rFonts w:ascii="Nirmala UI Semilight" w:eastAsia="Times New Roman" w:hAnsi="Nirmala UI Semilight" w:cs="Nirmala UI Semilight"/>
          <w:i/>
          <w:iCs/>
          <w:sz w:val="24"/>
          <w:szCs w:val="24"/>
          <w:lang w:eastAsia="es-AR"/>
        </w:rPr>
        <w:t>Criminology and Existentialism</w:t>
      </w:r>
      <w:r w:rsidRPr="00F21AE5">
        <w:rPr>
          <w:rFonts w:ascii="Nirmala UI Semilight" w:eastAsia="Times New Roman" w:hAnsi="Nirmala UI Semilight" w:cs="Nirmala UI Semilight"/>
          <w:sz w:val="24"/>
          <w:szCs w:val="24"/>
          <w:lang w:eastAsia="es-AR"/>
        </w:rPr>
        <w:t xml:space="preserve">. London: Routledge, pp. 145–168. </w:t>
      </w:r>
    </w:p>
    <w:p w14:paraId="2F167317"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F21AE5">
        <w:rPr>
          <w:rFonts w:ascii="Nirmala UI Semilight" w:eastAsia="Times New Roman" w:hAnsi="Nirmala UI Semilight" w:cs="Nirmala UI Semilight"/>
          <w:sz w:val="24"/>
          <w:szCs w:val="24"/>
          <w:lang w:eastAsia="es-AR"/>
        </w:rPr>
        <w:t xml:space="preserve">Hunter, B. (2011) ‘I can’t make my own future’. </w:t>
      </w:r>
      <w:r>
        <w:rPr>
          <w:rFonts w:ascii="Nirmala UI Semilight" w:eastAsia="Times New Roman" w:hAnsi="Nirmala UI Semilight" w:cs="Nirmala UI Semilight"/>
          <w:sz w:val="24"/>
          <w:szCs w:val="24"/>
          <w:lang w:eastAsia="es-AR"/>
        </w:rPr>
        <w:t>E</w:t>
      </w:r>
      <w:r w:rsidRPr="00F21AE5">
        <w:rPr>
          <w:rFonts w:ascii="Nirmala UI Semilight" w:eastAsia="Times New Roman" w:hAnsi="Nirmala UI Semilight" w:cs="Nirmala UI Semilight"/>
          <w:sz w:val="24"/>
          <w:szCs w:val="24"/>
          <w:lang w:eastAsia="es-AR"/>
        </w:rPr>
        <w:t>n</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Farrall, S., Hough, M., Maruna, S., </w:t>
      </w:r>
      <w:r>
        <w:rPr>
          <w:rFonts w:ascii="Nirmala UI Semilight" w:eastAsia="Times New Roman" w:hAnsi="Nirmala UI Semilight" w:cs="Nirmala UI Semilight"/>
          <w:sz w:val="24"/>
          <w:szCs w:val="24"/>
          <w:lang w:eastAsia="es-AR"/>
        </w:rPr>
        <w:t>y</w:t>
      </w:r>
      <w:r w:rsidRPr="00F21AE5">
        <w:rPr>
          <w:rFonts w:ascii="Nirmala UI Semilight" w:eastAsia="Times New Roman" w:hAnsi="Nirmala UI Semilight" w:cs="Nirmala UI Semilight"/>
          <w:sz w:val="24"/>
          <w:szCs w:val="24"/>
          <w:lang w:eastAsia="es-AR"/>
        </w:rPr>
        <w:t xml:space="preserve"> Sparks, R. (eds</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w:t>
      </w:r>
      <w:r>
        <w:rPr>
          <w:rFonts w:ascii="Nirmala UI Semilight" w:eastAsia="Times New Roman" w:hAnsi="Nirmala UI Semilight" w:cs="Nirmala UI Semilight"/>
          <w:sz w:val="24"/>
          <w:szCs w:val="24"/>
          <w:lang w:eastAsia="es-AR"/>
        </w:rPr>
        <w:t>:</w:t>
      </w:r>
      <w:r w:rsidRPr="00F21AE5">
        <w:rPr>
          <w:rFonts w:ascii="Nirmala UI Semilight" w:eastAsia="Times New Roman" w:hAnsi="Nirmala UI Semilight" w:cs="Nirmala UI Semilight"/>
          <w:sz w:val="24"/>
          <w:szCs w:val="24"/>
          <w:lang w:eastAsia="es-AR"/>
        </w:rPr>
        <w:t xml:space="preserve"> </w:t>
      </w:r>
      <w:r w:rsidRPr="00F21AE5">
        <w:rPr>
          <w:rFonts w:ascii="Nirmala UI Semilight" w:eastAsia="Times New Roman" w:hAnsi="Nirmala UI Semilight" w:cs="Nirmala UI Semilight"/>
          <w:i/>
          <w:iCs/>
          <w:sz w:val="24"/>
          <w:szCs w:val="24"/>
          <w:lang w:eastAsia="es-AR"/>
        </w:rPr>
        <w:t>Escape Routes</w:t>
      </w:r>
      <w:r w:rsidRPr="00F21AE5">
        <w:rPr>
          <w:rFonts w:ascii="Nirmala UI Semilight" w:eastAsia="Times New Roman" w:hAnsi="Nirmala UI Semilight" w:cs="Nirmala UI Semilight"/>
          <w:sz w:val="24"/>
          <w:szCs w:val="24"/>
          <w:lang w:eastAsia="es-AR"/>
        </w:rPr>
        <w:t>. Abingdon: Routledge, pp. 221–239.</w:t>
      </w:r>
    </w:p>
    <w:p w14:paraId="0B49FD3E"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Hunter, B. </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2015</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White-Collar Offenders and Desistance from Crime. Future Selve and the Constancy of Change</w:t>
      </w:r>
      <w:r w:rsidRPr="00792C55">
        <w:rPr>
          <w:rFonts w:ascii="Nirmala UI Semilight" w:hAnsi="Nirmala UI Semilight" w:cs="Nirmala UI Semilight"/>
          <w:sz w:val="24"/>
          <w:szCs w:val="24"/>
        </w:rPr>
        <w:t>. New York: Routledge.</w:t>
      </w:r>
    </w:p>
    <w:p w14:paraId="3084FCBB"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Jacobs, B</w:t>
      </w:r>
      <w:r>
        <w:rPr>
          <w:rFonts w:ascii="Nirmala UI Semilight" w:hAnsi="Nirmala UI Semilight" w:cs="Nirmala UI Semilight"/>
          <w:sz w:val="24"/>
          <w:szCs w:val="24"/>
        </w:rPr>
        <w:t>.</w:t>
      </w:r>
      <w:r w:rsidRPr="00792C55">
        <w:rPr>
          <w:rFonts w:ascii="Nirmala UI Semilight" w:hAnsi="Nirmala UI Semilight" w:cs="Nirmala UI Semilight"/>
          <w:sz w:val="24"/>
          <w:szCs w:val="24"/>
        </w:rPr>
        <w:t>A.</w:t>
      </w:r>
      <w:r>
        <w:rPr>
          <w:rFonts w:ascii="Nirmala UI Semilight" w:hAnsi="Nirmala UI Semilight" w:cs="Nirmala UI Semilight"/>
          <w:sz w:val="24"/>
          <w:szCs w:val="24"/>
        </w:rPr>
        <w:t xml:space="preserve"> (1999)</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Robbing Drug Dealers: Violence Beyond the Law</w:t>
      </w:r>
      <w:r w:rsidRPr="00792C55">
        <w:rPr>
          <w:rFonts w:ascii="Nirmala UI Semilight" w:hAnsi="Nirmala UI Semilight" w:cs="Nirmala UI Semilight"/>
          <w:sz w:val="24"/>
          <w:szCs w:val="24"/>
        </w:rPr>
        <w:t>. New York: Aldine de Gruyter.</w:t>
      </w:r>
    </w:p>
    <w:p w14:paraId="78E0572A"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Jacobs, B</w:t>
      </w:r>
      <w:r>
        <w:rPr>
          <w:rFonts w:ascii="Nirmala UI Semilight" w:hAnsi="Nirmala UI Semilight" w:cs="Nirmala UI Semilight"/>
          <w:sz w:val="24"/>
          <w:szCs w:val="24"/>
        </w:rPr>
        <w:t>.</w:t>
      </w:r>
      <w:r w:rsidRPr="00792C55">
        <w:rPr>
          <w:rFonts w:ascii="Nirmala UI Semilight" w:hAnsi="Nirmala UI Semilight" w:cs="Nirmala UI Semilight"/>
          <w:sz w:val="24"/>
          <w:szCs w:val="24"/>
        </w:rPr>
        <w:t>A.</w:t>
      </w:r>
      <w:r>
        <w:rPr>
          <w:rFonts w:ascii="Nirmala UI Semilight" w:hAnsi="Nirmala UI Semilight" w:cs="Nirmala UI Semilight"/>
          <w:sz w:val="24"/>
          <w:szCs w:val="24"/>
        </w:rPr>
        <w:t xml:space="preserve"> (2000)</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Dealing Crack: The Social World of Streetcorner Selling</w:t>
      </w:r>
      <w:r w:rsidRPr="00792C55">
        <w:rPr>
          <w:rFonts w:ascii="Nirmala UI Semilight" w:hAnsi="Nirmala UI Semilight" w:cs="Nirmala UI Semilight"/>
          <w:sz w:val="24"/>
          <w:szCs w:val="24"/>
        </w:rPr>
        <w:t>. Boston: Northeastern University Press</w:t>
      </w:r>
      <w:r>
        <w:rPr>
          <w:rFonts w:ascii="Nirmala UI Semilight" w:hAnsi="Nirmala UI Semilight" w:cs="Nirmala UI Semilight"/>
          <w:sz w:val="24"/>
          <w:szCs w:val="24"/>
        </w:rPr>
        <w:t>.</w:t>
      </w:r>
    </w:p>
    <w:p w14:paraId="517CE02A"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Jacobs, B</w:t>
      </w:r>
      <w:r>
        <w:rPr>
          <w:rFonts w:ascii="Nirmala UI Semilight" w:hAnsi="Nirmala UI Semilight" w:cs="Nirmala UI Semilight"/>
          <w:sz w:val="24"/>
          <w:szCs w:val="24"/>
        </w:rPr>
        <w:t>.</w:t>
      </w:r>
      <w:r w:rsidRPr="00792C55">
        <w:rPr>
          <w:rFonts w:ascii="Nirmala UI Semilight" w:hAnsi="Nirmala UI Semilight" w:cs="Nirmala UI Semilight"/>
          <w:sz w:val="24"/>
          <w:szCs w:val="24"/>
        </w:rPr>
        <w:t>A. y Wright</w:t>
      </w:r>
      <w:r>
        <w:rPr>
          <w:rFonts w:ascii="Nirmala UI Semilight" w:hAnsi="Nirmala UI Semilight" w:cs="Nirmala UI Semilight"/>
          <w:sz w:val="24"/>
          <w:szCs w:val="24"/>
        </w:rPr>
        <w:t xml:space="preserve">, </w:t>
      </w:r>
      <w:r w:rsidRPr="00792C55">
        <w:rPr>
          <w:rFonts w:ascii="Nirmala UI Semilight" w:hAnsi="Nirmala UI Semilight" w:cs="Nirmala UI Semilight"/>
          <w:sz w:val="24"/>
          <w:szCs w:val="24"/>
        </w:rPr>
        <w:t>R</w:t>
      </w:r>
      <w:r>
        <w:rPr>
          <w:rFonts w:ascii="Nirmala UI Semilight" w:hAnsi="Nirmala UI Semilight" w:cs="Nirmala UI Semilight"/>
          <w:sz w:val="24"/>
          <w:szCs w:val="24"/>
        </w:rPr>
        <w:t>.</w:t>
      </w:r>
      <w:r w:rsidRPr="00792C55">
        <w:rPr>
          <w:rFonts w:ascii="Nirmala UI Semilight" w:hAnsi="Nirmala UI Semilight" w:cs="Nirmala UI Semilight"/>
          <w:sz w:val="24"/>
          <w:szCs w:val="24"/>
        </w:rPr>
        <w:t>T.</w:t>
      </w:r>
      <w:r>
        <w:rPr>
          <w:rFonts w:ascii="Nirmala UI Semilight" w:hAnsi="Nirmala UI Semilight" w:cs="Nirmala UI Semilight"/>
          <w:sz w:val="24"/>
          <w:szCs w:val="24"/>
        </w:rPr>
        <w:t xml:space="preserve"> (1999)</w:t>
      </w:r>
      <w:r w:rsidRPr="00792C55">
        <w:rPr>
          <w:rFonts w:ascii="Nirmala UI Semilight" w:hAnsi="Nirmala UI Semilight" w:cs="Nirmala UI Semilight"/>
          <w:sz w:val="24"/>
          <w:szCs w:val="24"/>
        </w:rPr>
        <w:t xml:space="preserve"> Stick Up, Street Culture, and Offender Motivation,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xml:space="preserve"> 37, 149–173. </w:t>
      </w:r>
    </w:p>
    <w:p w14:paraId="3EB0997A"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Jacobs, B</w:t>
      </w:r>
      <w:r>
        <w:rPr>
          <w:rFonts w:ascii="Nirmala UI Semilight" w:hAnsi="Nirmala UI Semilight" w:cs="Nirmala UI Semilight"/>
          <w:sz w:val="24"/>
          <w:szCs w:val="24"/>
        </w:rPr>
        <w:t>.</w:t>
      </w:r>
      <w:r w:rsidRPr="00792C55">
        <w:rPr>
          <w:rFonts w:ascii="Nirmala UI Semilight" w:hAnsi="Nirmala UI Semilight" w:cs="Nirmala UI Semilight"/>
          <w:sz w:val="24"/>
          <w:szCs w:val="24"/>
        </w:rPr>
        <w:t>A., Topalli</w:t>
      </w:r>
      <w:r>
        <w:rPr>
          <w:rFonts w:ascii="Nirmala UI Semilight" w:hAnsi="Nirmala UI Semilight" w:cs="Nirmala UI Semilight"/>
          <w:sz w:val="24"/>
          <w:szCs w:val="24"/>
        </w:rPr>
        <w:t>, V.</w:t>
      </w:r>
      <w:r w:rsidRPr="00792C55">
        <w:rPr>
          <w:rFonts w:ascii="Nirmala UI Semilight" w:hAnsi="Nirmala UI Semilight" w:cs="Nirmala UI Semilight"/>
          <w:sz w:val="24"/>
          <w:szCs w:val="24"/>
        </w:rPr>
        <w:t xml:space="preserve"> y Wright</w:t>
      </w:r>
      <w:r>
        <w:rPr>
          <w:rFonts w:ascii="Nirmala UI Semilight" w:hAnsi="Nirmala UI Semilight" w:cs="Nirmala UI Semilight"/>
          <w:sz w:val="24"/>
          <w:szCs w:val="24"/>
        </w:rPr>
        <w:t xml:space="preserve">, </w:t>
      </w:r>
      <w:r w:rsidRPr="00792C55">
        <w:rPr>
          <w:rFonts w:ascii="Nirmala UI Semilight" w:hAnsi="Nirmala UI Semilight" w:cs="Nirmala UI Semilight"/>
          <w:sz w:val="24"/>
          <w:szCs w:val="24"/>
        </w:rPr>
        <w:t>R</w:t>
      </w:r>
      <w:r>
        <w:rPr>
          <w:rFonts w:ascii="Nirmala UI Semilight" w:hAnsi="Nirmala UI Semilight" w:cs="Nirmala UI Semilight"/>
          <w:sz w:val="24"/>
          <w:szCs w:val="24"/>
        </w:rPr>
        <w:t>.</w:t>
      </w:r>
      <w:r w:rsidRPr="00792C55">
        <w:rPr>
          <w:rFonts w:ascii="Nirmala UI Semilight" w:hAnsi="Nirmala UI Semilight" w:cs="Nirmala UI Semilight"/>
          <w:sz w:val="24"/>
          <w:szCs w:val="24"/>
        </w:rPr>
        <w:t>T.</w:t>
      </w:r>
      <w:r>
        <w:rPr>
          <w:rFonts w:ascii="Nirmala UI Semilight" w:hAnsi="Nirmala UI Semilight" w:cs="Nirmala UI Semilight"/>
          <w:sz w:val="24"/>
          <w:szCs w:val="24"/>
        </w:rPr>
        <w:t xml:space="preserve"> (2000)</w:t>
      </w:r>
      <w:r w:rsidRPr="00792C55">
        <w:rPr>
          <w:rFonts w:ascii="Nirmala UI Semilight" w:hAnsi="Nirmala UI Semilight" w:cs="Nirmala UI Semilight"/>
          <w:sz w:val="24"/>
          <w:szCs w:val="24"/>
        </w:rPr>
        <w:t xml:space="preserve"> Managing Retaliation: Drug Robbery and Informal Social Control,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xml:space="preserve"> 38, 2000, 171–198. </w:t>
      </w:r>
    </w:p>
    <w:p w14:paraId="17FCBE94"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Katz, J. (1988) </w:t>
      </w:r>
      <w:r w:rsidRPr="00792C55">
        <w:rPr>
          <w:rFonts w:ascii="Nirmala UI Semilight" w:hAnsi="Nirmala UI Semilight" w:cs="Nirmala UI Semilight"/>
          <w:i/>
          <w:iCs/>
          <w:sz w:val="24"/>
          <w:szCs w:val="24"/>
        </w:rPr>
        <w:t>Seductions of Crime</w:t>
      </w:r>
      <w:r w:rsidRPr="00792C55">
        <w:rPr>
          <w:rFonts w:ascii="Nirmala UI Semilight" w:hAnsi="Nirmala UI Semilight" w:cs="Nirmala UI Semilight"/>
          <w:sz w:val="24"/>
          <w:szCs w:val="24"/>
        </w:rPr>
        <w:t>. New York: Basic Books</w:t>
      </w:r>
      <w:r>
        <w:rPr>
          <w:rFonts w:ascii="Nirmala UI Semilight" w:hAnsi="Nirmala UI Semilight" w:cs="Nirmala UI Semilight"/>
          <w:sz w:val="24"/>
          <w:szCs w:val="24"/>
        </w:rPr>
        <w:t xml:space="preserve"> [trad.: </w:t>
      </w:r>
      <w:r w:rsidRPr="00E92BD3">
        <w:rPr>
          <w:rFonts w:ascii="Nirmala UI Semilight" w:hAnsi="Nirmala UI Semilight" w:cs="Nirmala UI Semilight"/>
          <w:i/>
          <w:iCs/>
          <w:sz w:val="24"/>
          <w:szCs w:val="24"/>
        </w:rPr>
        <w:t>Los encantos del delito</w:t>
      </w:r>
      <w:r>
        <w:rPr>
          <w:rFonts w:ascii="Nirmala UI Semilight" w:hAnsi="Nirmala UI Semilight" w:cs="Nirmala UI Semilight"/>
          <w:sz w:val="24"/>
          <w:szCs w:val="24"/>
        </w:rPr>
        <w:t>, Bernal: UNQ, 2023].</w:t>
      </w:r>
    </w:p>
    <w:p w14:paraId="562804C3"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Kenyon, G.M. (2000) Philosophical foundations of existential meaning.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Reker, G.T.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Chamberlain, K.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Exploring Existential Meaning</w:t>
      </w:r>
      <w:r w:rsidRPr="00792C55">
        <w:rPr>
          <w:rFonts w:ascii="Nirmala UI Semilight" w:hAnsi="Nirmala UI Semilight" w:cs="Nirmala UI Semilight"/>
          <w:sz w:val="24"/>
          <w:szCs w:val="24"/>
        </w:rPr>
        <w:t>. London: Sage, pp. 7–22.</w:t>
      </w:r>
    </w:p>
    <w:p w14:paraId="584B943D"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lastRenderedPageBreak/>
        <w:t xml:space="preserve">Kierkegaard, S.A. (1844) </w:t>
      </w:r>
      <w:r w:rsidRPr="00792C55">
        <w:rPr>
          <w:rFonts w:ascii="Nirmala UI Semilight" w:hAnsi="Nirmala UI Semilight" w:cs="Nirmala UI Semilight"/>
          <w:i/>
          <w:iCs/>
          <w:sz w:val="24"/>
          <w:szCs w:val="24"/>
        </w:rPr>
        <w:t>The Concept of Dread</w:t>
      </w:r>
      <w:r w:rsidRPr="00792C55">
        <w:rPr>
          <w:rFonts w:ascii="Nirmala UI Semilight" w:hAnsi="Nirmala UI Semilight" w:cs="Nirmala UI Semilight"/>
          <w:sz w:val="24"/>
          <w:szCs w:val="24"/>
        </w:rPr>
        <w:t xml:space="preserve">. Translated by Lowrie, W. [1946]. Princeton, NJ: Princeton University Press [trad.: </w:t>
      </w:r>
      <w:r w:rsidRPr="00792C55">
        <w:rPr>
          <w:rFonts w:ascii="Nirmala UI Semilight" w:hAnsi="Nirmala UI Semilight" w:cs="Nirmala UI Semilight"/>
          <w:i/>
          <w:iCs/>
          <w:sz w:val="24"/>
          <w:szCs w:val="24"/>
        </w:rPr>
        <w:t>El concepto de la angustia</w:t>
      </w:r>
      <w:r w:rsidRPr="00792C55">
        <w:rPr>
          <w:rFonts w:ascii="Nirmala UI Semilight" w:hAnsi="Nirmala UI Semilight" w:cs="Nirmala UI Semilight"/>
          <w:sz w:val="24"/>
          <w:szCs w:val="24"/>
        </w:rPr>
        <w:t>, Madrid: Alianza, 2013].</w:t>
      </w:r>
    </w:p>
    <w:p w14:paraId="6682DB79"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Kotarba, J.A. (1984) A synthesis.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Kotarba, J.A.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Fontana, A.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Existential Self in Society</w:t>
      </w:r>
      <w:r w:rsidRPr="00792C55">
        <w:rPr>
          <w:rFonts w:ascii="Nirmala UI Semilight" w:hAnsi="Nirmala UI Semilight" w:cs="Nirmala UI Semilight"/>
          <w:sz w:val="24"/>
          <w:szCs w:val="24"/>
        </w:rPr>
        <w:t>. London: University of Chicago Press, pp. 222–234.</w:t>
      </w:r>
    </w:p>
    <w:p w14:paraId="452A9FB3" w14:textId="77777777" w:rsidR="00130F20" w:rsidRPr="004306CE" w:rsidRDefault="00130F20" w:rsidP="00130F20">
      <w:pPr>
        <w:spacing w:after="120" w:line="240" w:lineRule="auto"/>
        <w:rPr>
          <w:rFonts w:ascii="Nirmala UI Semilight" w:eastAsia="Times New Roman" w:hAnsi="Nirmala UI Semilight" w:cs="Nirmala UI Semilight"/>
          <w:sz w:val="24"/>
          <w:szCs w:val="24"/>
          <w:lang w:eastAsia="es-AR"/>
        </w:rPr>
      </w:pPr>
      <w:r w:rsidRPr="004306CE">
        <w:rPr>
          <w:rFonts w:ascii="Nirmala UI Semilight" w:eastAsia="Times New Roman" w:hAnsi="Nirmala UI Semilight" w:cs="Nirmala UI Semilight"/>
          <w:sz w:val="24"/>
          <w:szCs w:val="24"/>
          <w:lang w:eastAsia="es-AR"/>
        </w:rPr>
        <w:t xml:space="preserve">Kotarba, J.A. </w:t>
      </w:r>
      <w:r>
        <w:rPr>
          <w:rFonts w:ascii="Nirmala UI Semilight" w:eastAsia="Times New Roman" w:hAnsi="Nirmala UI Semilight" w:cs="Nirmala UI Semilight"/>
          <w:sz w:val="24"/>
          <w:szCs w:val="24"/>
          <w:lang w:eastAsia="es-AR"/>
        </w:rPr>
        <w:t>y</w:t>
      </w:r>
      <w:r w:rsidRPr="004306CE">
        <w:rPr>
          <w:rFonts w:ascii="Nirmala UI Semilight" w:eastAsia="Times New Roman" w:hAnsi="Nirmala UI Semilight" w:cs="Nirmala UI Semilight"/>
          <w:sz w:val="24"/>
          <w:szCs w:val="24"/>
          <w:lang w:eastAsia="es-AR"/>
        </w:rPr>
        <w:t xml:space="preserve"> Fontana, A. (eds</w:t>
      </w:r>
      <w:r>
        <w:rPr>
          <w:rFonts w:ascii="Nirmala UI Semilight" w:eastAsia="Times New Roman" w:hAnsi="Nirmala UI Semilight" w:cs="Nirmala UI Semilight"/>
          <w:sz w:val="24"/>
          <w:szCs w:val="24"/>
          <w:lang w:eastAsia="es-AR"/>
        </w:rPr>
        <w:t>.</w:t>
      </w:r>
      <w:r w:rsidRPr="004306CE">
        <w:rPr>
          <w:rFonts w:ascii="Nirmala UI Semilight" w:eastAsia="Times New Roman" w:hAnsi="Nirmala UI Semilight" w:cs="Nirmala UI Semilight"/>
          <w:sz w:val="24"/>
          <w:szCs w:val="24"/>
          <w:lang w:eastAsia="es-AR"/>
        </w:rPr>
        <w:t>)</w:t>
      </w:r>
      <w:r>
        <w:rPr>
          <w:rFonts w:ascii="Nirmala UI Semilight" w:eastAsia="Times New Roman" w:hAnsi="Nirmala UI Semilight" w:cs="Nirmala UI Semilight"/>
          <w:sz w:val="24"/>
          <w:szCs w:val="24"/>
          <w:lang w:eastAsia="es-AR"/>
        </w:rPr>
        <w:t>:</w:t>
      </w:r>
      <w:r w:rsidRPr="004306CE">
        <w:rPr>
          <w:rFonts w:ascii="Nirmala UI Semilight" w:eastAsia="Times New Roman" w:hAnsi="Nirmala UI Semilight" w:cs="Nirmala UI Semilight"/>
          <w:sz w:val="24"/>
          <w:szCs w:val="24"/>
          <w:lang w:eastAsia="es-AR"/>
        </w:rPr>
        <w:t xml:space="preserve"> (1984) </w:t>
      </w:r>
      <w:r w:rsidRPr="004306CE">
        <w:rPr>
          <w:rFonts w:ascii="Nirmala UI Semilight" w:eastAsia="Times New Roman" w:hAnsi="Nirmala UI Semilight" w:cs="Nirmala UI Semilight"/>
          <w:i/>
          <w:iCs/>
          <w:sz w:val="24"/>
          <w:szCs w:val="24"/>
          <w:lang w:eastAsia="es-AR"/>
        </w:rPr>
        <w:t>The Existential Self in Society</w:t>
      </w:r>
      <w:r w:rsidRPr="004306CE">
        <w:rPr>
          <w:rFonts w:ascii="Nirmala UI Semilight" w:eastAsia="Times New Roman" w:hAnsi="Nirmala UI Semilight" w:cs="Nirmala UI Semilight"/>
          <w:sz w:val="24"/>
          <w:szCs w:val="24"/>
          <w:lang w:eastAsia="es-AR"/>
        </w:rPr>
        <w:t xml:space="preserve">. Chicago, IL: Chicago University Press. </w:t>
      </w:r>
    </w:p>
    <w:p w14:paraId="0F3D81B4" w14:textId="77777777" w:rsidR="00130F20" w:rsidRPr="004306CE" w:rsidRDefault="00130F20" w:rsidP="00130F20">
      <w:pPr>
        <w:spacing w:after="120" w:line="240" w:lineRule="auto"/>
        <w:rPr>
          <w:rFonts w:ascii="Nirmala UI Semilight" w:eastAsia="Times New Roman" w:hAnsi="Nirmala UI Semilight" w:cs="Nirmala UI Semilight"/>
          <w:sz w:val="24"/>
          <w:szCs w:val="24"/>
          <w:lang w:eastAsia="es-AR"/>
        </w:rPr>
      </w:pPr>
      <w:r w:rsidRPr="004306CE">
        <w:rPr>
          <w:rFonts w:ascii="Nirmala UI Semilight" w:eastAsia="Times New Roman" w:hAnsi="Nirmala UI Semilight" w:cs="Nirmala UI Semilight"/>
          <w:sz w:val="24"/>
          <w:szCs w:val="24"/>
          <w:lang w:eastAsia="es-AR"/>
        </w:rPr>
        <w:t xml:space="preserve">Kotarba, J.A. </w:t>
      </w:r>
      <w:r>
        <w:rPr>
          <w:rFonts w:ascii="Nirmala UI Semilight" w:eastAsia="Times New Roman" w:hAnsi="Nirmala UI Semilight" w:cs="Nirmala UI Semilight"/>
          <w:sz w:val="24"/>
          <w:szCs w:val="24"/>
          <w:lang w:eastAsia="es-AR"/>
        </w:rPr>
        <w:t>y</w:t>
      </w:r>
      <w:r w:rsidRPr="004306CE">
        <w:rPr>
          <w:rFonts w:ascii="Nirmala UI Semilight" w:eastAsia="Times New Roman" w:hAnsi="Nirmala UI Semilight" w:cs="Nirmala UI Semilight"/>
          <w:sz w:val="24"/>
          <w:szCs w:val="24"/>
          <w:lang w:eastAsia="es-AR"/>
        </w:rPr>
        <w:t xml:space="preserve"> Bentley, P. (1988) Workplace wellness participation and the becoming of self. </w:t>
      </w:r>
      <w:r w:rsidRPr="004306CE">
        <w:rPr>
          <w:rFonts w:ascii="Nirmala UI Semilight" w:eastAsia="Times New Roman" w:hAnsi="Nirmala UI Semilight" w:cs="Nirmala UI Semilight"/>
          <w:i/>
          <w:iCs/>
          <w:sz w:val="24"/>
          <w:szCs w:val="24"/>
          <w:lang w:eastAsia="es-AR"/>
        </w:rPr>
        <w:t>Social Science and Medicine</w:t>
      </w:r>
      <w:r w:rsidRPr="004306CE">
        <w:rPr>
          <w:rFonts w:ascii="Nirmala UI Semilight" w:eastAsia="Times New Roman" w:hAnsi="Nirmala UI Semilight" w:cs="Nirmala UI Semilight"/>
          <w:sz w:val="24"/>
          <w:szCs w:val="24"/>
          <w:lang w:eastAsia="es-AR"/>
        </w:rPr>
        <w:t xml:space="preserve">, 26, 5, 551–558. </w:t>
      </w:r>
    </w:p>
    <w:p w14:paraId="45A58A8A" w14:textId="77777777" w:rsidR="00130F20" w:rsidRPr="004306CE" w:rsidRDefault="00130F20" w:rsidP="00130F20">
      <w:pPr>
        <w:spacing w:after="120" w:line="240" w:lineRule="auto"/>
        <w:rPr>
          <w:rFonts w:ascii="Nirmala UI Semilight" w:eastAsia="Times New Roman" w:hAnsi="Nirmala UI Semilight" w:cs="Nirmala UI Semilight"/>
          <w:sz w:val="24"/>
          <w:szCs w:val="24"/>
          <w:lang w:eastAsia="es-AR"/>
        </w:rPr>
      </w:pPr>
      <w:r w:rsidRPr="004306CE">
        <w:rPr>
          <w:rFonts w:ascii="Nirmala UI Semilight" w:eastAsia="Times New Roman" w:hAnsi="Nirmala UI Semilight" w:cs="Nirmala UI Semilight"/>
          <w:sz w:val="24"/>
          <w:szCs w:val="24"/>
          <w:lang w:eastAsia="es-AR"/>
        </w:rPr>
        <w:t xml:space="preserve">Kotarba, J.A. </w:t>
      </w:r>
      <w:r>
        <w:rPr>
          <w:rFonts w:ascii="Nirmala UI Semilight" w:eastAsia="Times New Roman" w:hAnsi="Nirmala UI Semilight" w:cs="Nirmala UI Semilight"/>
          <w:sz w:val="24"/>
          <w:szCs w:val="24"/>
          <w:lang w:eastAsia="es-AR"/>
        </w:rPr>
        <w:t>y</w:t>
      </w:r>
      <w:r w:rsidRPr="004306CE">
        <w:rPr>
          <w:rFonts w:ascii="Nirmala UI Semilight" w:eastAsia="Times New Roman" w:hAnsi="Nirmala UI Semilight" w:cs="Nirmala UI Semilight"/>
          <w:sz w:val="24"/>
          <w:szCs w:val="24"/>
          <w:lang w:eastAsia="es-AR"/>
        </w:rPr>
        <w:t xml:space="preserve"> Johnson, J.M. (eds</w:t>
      </w:r>
      <w:r>
        <w:rPr>
          <w:rFonts w:ascii="Nirmala UI Semilight" w:eastAsia="Times New Roman" w:hAnsi="Nirmala UI Semilight" w:cs="Nirmala UI Semilight"/>
          <w:sz w:val="24"/>
          <w:szCs w:val="24"/>
          <w:lang w:eastAsia="es-AR"/>
        </w:rPr>
        <w:t>.</w:t>
      </w:r>
      <w:r w:rsidRPr="004306CE">
        <w:rPr>
          <w:rFonts w:ascii="Nirmala UI Semilight" w:eastAsia="Times New Roman" w:hAnsi="Nirmala UI Semilight" w:cs="Nirmala UI Semilight"/>
          <w:sz w:val="24"/>
          <w:szCs w:val="24"/>
          <w:lang w:eastAsia="es-AR"/>
        </w:rPr>
        <w:t xml:space="preserve">) (2002) </w:t>
      </w:r>
      <w:r w:rsidRPr="004306CE">
        <w:rPr>
          <w:rFonts w:ascii="Nirmala UI Semilight" w:eastAsia="Times New Roman" w:hAnsi="Nirmala UI Semilight" w:cs="Nirmala UI Semilight"/>
          <w:i/>
          <w:iCs/>
          <w:sz w:val="24"/>
          <w:szCs w:val="24"/>
          <w:lang w:eastAsia="es-AR"/>
        </w:rPr>
        <w:t>Postmodern Existential Sociology</w:t>
      </w:r>
      <w:r w:rsidRPr="004306CE">
        <w:rPr>
          <w:rFonts w:ascii="Nirmala UI Semilight" w:eastAsia="Times New Roman" w:hAnsi="Nirmala UI Semilight" w:cs="Nirmala UI Semilight"/>
          <w:sz w:val="24"/>
          <w:szCs w:val="24"/>
          <w:lang w:eastAsia="es-AR"/>
        </w:rPr>
        <w:t>. Lanham, MD: Rowman and Littlefield.</w:t>
      </w:r>
    </w:p>
    <w:p w14:paraId="7AC0BA27" w14:textId="77777777" w:rsidR="00130F20" w:rsidRPr="00D719DF" w:rsidRDefault="00130F20" w:rsidP="00130F20">
      <w:pPr>
        <w:spacing w:after="120" w:line="240" w:lineRule="auto"/>
        <w:rPr>
          <w:rFonts w:ascii="Nirmala UI Semilight" w:eastAsia="Times New Roman" w:hAnsi="Nirmala UI Semilight" w:cs="Nirmala UI Semilight"/>
          <w:sz w:val="24"/>
          <w:szCs w:val="24"/>
          <w:lang w:eastAsia="es-AR"/>
        </w:rPr>
      </w:pPr>
      <w:r w:rsidRPr="00D719DF">
        <w:rPr>
          <w:rFonts w:ascii="Nirmala UI Semilight" w:eastAsia="Times New Roman" w:hAnsi="Nirmala UI Semilight" w:cs="Nirmala UI Semilight"/>
          <w:sz w:val="24"/>
          <w:szCs w:val="24"/>
          <w:lang w:eastAsia="es-AR"/>
        </w:rPr>
        <w:t xml:space="preserve">Laub, J.H. </w:t>
      </w:r>
      <w:r>
        <w:rPr>
          <w:rFonts w:ascii="Nirmala UI Semilight" w:eastAsia="Times New Roman" w:hAnsi="Nirmala UI Semilight" w:cs="Nirmala UI Semilight"/>
          <w:sz w:val="24"/>
          <w:szCs w:val="24"/>
          <w:lang w:eastAsia="es-AR"/>
        </w:rPr>
        <w:t>y</w:t>
      </w:r>
      <w:r w:rsidRPr="00D719DF">
        <w:rPr>
          <w:rFonts w:ascii="Nirmala UI Semilight" w:eastAsia="Times New Roman" w:hAnsi="Nirmala UI Semilight" w:cs="Nirmala UI Semilight"/>
          <w:sz w:val="24"/>
          <w:szCs w:val="24"/>
          <w:lang w:eastAsia="es-AR"/>
        </w:rPr>
        <w:t xml:space="preserve"> Sampson, R.J. (1993) Turning points in the life course. </w:t>
      </w:r>
      <w:r w:rsidRPr="00D719DF">
        <w:rPr>
          <w:rFonts w:ascii="Nirmala UI Semilight" w:eastAsia="Times New Roman" w:hAnsi="Nirmala UI Semilight" w:cs="Nirmala UI Semilight"/>
          <w:i/>
          <w:iCs/>
          <w:sz w:val="24"/>
          <w:szCs w:val="24"/>
          <w:lang w:eastAsia="es-AR"/>
        </w:rPr>
        <w:t>Criminology</w:t>
      </w:r>
      <w:r w:rsidRPr="00D719DF">
        <w:rPr>
          <w:rFonts w:ascii="Nirmala UI Semilight" w:eastAsia="Times New Roman" w:hAnsi="Nirmala UI Semilight" w:cs="Nirmala UI Semilight"/>
          <w:sz w:val="24"/>
          <w:szCs w:val="24"/>
          <w:lang w:eastAsia="es-AR"/>
        </w:rPr>
        <w:t>, 31</w:t>
      </w:r>
      <w:r>
        <w:rPr>
          <w:rFonts w:ascii="Nirmala UI Semilight" w:eastAsia="Times New Roman" w:hAnsi="Nirmala UI Semilight" w:cs="Nirmala UI Semilight"/>
          <w:sz w:val="24"/>
          <w:szCs w:val="24"/>
          <w:lang w:eastAsia="es-AR"/>
        </w:rPr>
        <w:t>(</w:t>
      </w:r>
      <w:r w:rsidRPr="00D719DF">
        <w:rPr>
          <w:rFonts w:ascii="Nirmala UI Semilight" w:eastAsia="Times New Roman" w:hAnsi="Nirmala UI Semilight" w:cs="Nirmala UI Semilight"/>
          <w:sz w:val="24"/>
          <w:szCs w:val="24"/>
          <w:lang w:eastAsia="es-AR"/>
        </w:rPr>
        <w:t>3</w:t>
      </w:r>
      <w:r>
        <w:rPr>
          <w:rFonts w:ascii="Nirmala UI Semilight" w:eastAsia="Times New Roman" w:hAnsi="Nirmala UI Semilight" w:cs="Nirmala UI Semilight"/>
          <w:sz w:val="24"/>
          <w:szCs w:val="24"/>
          <w:lang w:eastAsia="es-AR"/>
        </w:rPr>
        <w:t>)</w:t>
      </w:r>
      <w:r w:rsidRPr="00D719DF">
        <w:rPr>
          <w:rFonts w:ascii="Nirmala UI Semilight" w:eastAsia="Times New Roman" w:hAnsi="Nirmala UI Semilight" w:cs="Nirmala UI Semilight"/>
          <w:sz w:val="24"/>
          <w:szCs w:val="24"/>
          <w:lang w:eastAsia="es-AR"/>
        </w:rPr>
        <w:t xml:space="preserve">, 301–325. </w:t>
      </w:r>
    </w:p>
    <w:p w14:paraId="4EB26B32" w14:textId="77777777" w:rsidR="00130F20" w:rsidRPr="00D719DF" w:rsidRDefault="00130F20" w:rsidP="00130F20">
      <w:pPr>
        <w:spacing w:after="120" w:line="240" w:lineRule="auto"/>
        <w:rPr>
          <w:rFonts w:ascii="Nirmala UI Semilight" w:eastAsia="Times New Roman" w:hAnsi="Nirmala UI Semilight" w:cs="Nirmala UI Semilight"/>
          <w:sz w:val="24"/>
          <w:szCs w:val="24"/>
          <w:lang w:eastAsia="es-AR"/>
        </w:rPr>
      </w:pPr>
      <w:r w:rsidRPr="00D719DF">
        <w:rPr>
          <w:rFonts w:ascii="Nirmala UI Semilight" w:eastAsia="Times New Roman" w:hAnsi="Nirmala UI Semilight" w:cs="Nirmala UI Semilight"/>
          <w:sz w:val="24"/>
          <w:szCs w:val="24"/>
          <w:lang w:eastAsia="es-AR"/>
        </w:rPr>
        <w:t xml:space="preserve">Laub, J.H. </w:t>
      </w:r>
      <w:r>
        <w:rPr>
          <w:rFonts w:ascii="Nirmala UI Semilight" w:eastAsia="Times New Roman" w:hAnsi="Nirmala UI Semilight" w:cs="Nirmala UI Semilight"/>
          <w:sz w:val="24"/>
          <w:szCs w:val="24"/>
          <w:lang w:eastAsia="es-AR"/>
        </w:rPr>
        <w:t>y</w:t>
      </w:r>
      <w:r w:rsidRPr="00D719DF">
        <w:rPr>
          <w:rFonts w:ascii="Nirmala UI Semilight" w:eastAsia="Times New Roman" w:hAnsi="Nirmala UI Semilight" w:cs="Nirmala UI Semilight"/>
          <w:sz w:val="24"/>
          <w:szCs w:val="24"/>
          <w:lang w:eastAsia="es-AR"/>
        </w:rPr>
        <w:t xml:space="preserve"> Sampson, R.J. (2001) Understanding desistance from crime. </w:t>
      </w:r>
      <w:r w:rsidRPr="00D719DF">
        <w:rPr>
          <w:rFonts w:ascii="Nirmala UI Semilight" w:eastAsia="Times New Roman" w:hAnsi="Nirmala UI Semilight" w:cs="Nirmala UI Semilight"/>
          <w:i/>
          <w:iCs/>
          <w:sz w:val="24"/>
          <w:szCs w:val="24"/>
          <w:lang w:eastAsia="es-AR"/>
        </w:rPr>
        <w:t>Crime and Justice</w:t>
      </w:r>
      <w:r w:rsidRPr="00D719DF">
        <w:rPr>
          <w:rFonts w:ascii="Nirmala UI Semilight" w:eastAsia="Times New Roman" w:hAnsi="Nirmala UI Semilight" w:cs="Nirmala UI Semilight"/>
          <w:sz w:val="24"/>
          <w:szCs w:val="24"/>
          <w:lang w:eastAsia="es-AR"/>
        </w:rPr>
        <w:t xml:space="preserve">, 28, 1–69. </w:t>
      </w:r>
    </w:p>
    <w:p w14:paraId="2DC72EEA"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D719DF">
        <w:rPr>
          <w:rFonts w:ascii="Nirmala UI Semilight" w:eastAsia="Times New Roman" w:hAnsi="Nirmala UI Semilight" w:cs="Nirmala UI Semilight"/>
          <w:sz w:val="24"/>
          <w:szCs w:val="24"/>
          <w:lang w:eastAsia="es-AR"/>
        </w:rPr>
        <w:t xml:space="preserve">Laub, J.H. </w:t>
      </w:r>
      <w:r>
        <w:rPr>
          <w:rFonts w:ascii="Nirmala UI Semilight" w:eastAsia="Times New Roman" w:hAnsi="Nirmala UI Semilight" w:cs="Nirmala UI Semilight"/>
          <w:sz w:val="24"/>
          <w:szCs w:val="24"/>
          <w:lang w:eastAsia="es-AR"/>
        </w:rPr>
        <w:t>y</w:t>
      </w:r>
      <w:r w:rsidRPr="00D719DF">
        <w:rPr>
          <w:rFonts w:ascii="Nirmala UI Semilight" w:eastAsia="Times New Roman" w:hAnsi="Nirmala UI Semilight" w:cs="Nirmala UI Semilight"/>
          <w:sz w:val="24"/>
          <w:szCs w:val="24"/>
          <w:lang w:eastAsia="es-AR"/>
        </w:rPr>
        <w:t xml:space="preserve"> Sampson, R.J. (2003) </w:t>
      </w:r>
      <w:r w:rsidRPr="00D719DF">
        <w:rPr>
          <w:rFonts w:ascii="Nirmala UI Semilight" w:eastAsia="Times New Roman" w:hAnsi="Nirmala UI Semilight" w:cs="Nirmala UI Semilight"/>
          <w:i/>
          <w:iCs/>
          <w:sz w:val="24"/>
          <w:szCs w:val="24"/>
          <w:lang w:eastAsia="es-AR"/>
        </w:rPr>
        <w:t>Shared Beginnings, Divergent Lives</w:t>
      </w:r>
      <w:r w:rsidRPr="00D719DF">
        <w:rPr>
          <w:rFonts w:ascii="Nirmala UI Semilight" w:eastAsia="Times New Roman" w:hAnsi="Nirmala UI Semilight" w:cs="Nirmala UI Semilight"/>
          <w:sz w:val="24"/>
          <w:szCs w:val="24"/>
          <w:lang w:eastAsia="es-AR"/>
        </w:rPr>
        <w:t>. London: Harvard University Press.</w:t>
      </w:r>
    </w:p>
    <w:p w14:paraId="4D5F8100"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792C55">
        <w:rPr>
          <w:rFonts w:ascii="Nirmala UI Semilight" w:hAnsi="Nirmala UI Semilight" w:cs="Nirmala UI Semilight"/>
          <w:sz w:val="24"/>
          <w:szCs w:val="24"/>
        </w:rPr>
        <w:t xml:space="preserve">Laub, J.H., Nagin, D.S.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Sampson, R.J. (1998) Trajectories of change in criminal offending. </w:t>
      </w:r>
      <w:r w:rsidRPr="00792C55">
        <w:rPr>
          <w:rFonts w:ascii="Nirmala UI Semilight" w:hAnsi="Nirmala UI Semilight" w:cs="Nirmala UI Semilight"/>
          <w:i/>
          <w:iCs/>
          <w:sz w:val="24"/>
          <w:szCs w:val="24"/>
        </w:rPr>
        <w:t>American Sociological Review</w:t>
      </w:r>
      <w:r w:rsidRPr="00792C55">
        <w:rPr>
          <w:rFonts w:ascii="Nirmala UI Semilight" w:hAnsi="Nirmala UI Semilight" w:cs="Nirmala UI Semilight"/>
          <w:sz w:val="24"/>
          <w:szCs w:val="24"/>
        </w:rPr>
        <w:t>, 63</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225–238.</w:t>
      </w:r>
    </w:p>
    <w:p w14:paraId="63E4CD77"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Lazarus, R.S. (1999) Hope. </w:t>
      </w:r>
      <w:r w:rsidRPr="00792C55">
        <w:rPr>
          <w:rFonts w:ascii="Nirmala UI Semilight" w:hAnsi="Nirmala UI Semilight" w:cs="Nirmala UI Semilight"/>
          <w:i/>
          <w:iCs/>
          <w:sz w:val="24"/>
          <w:szCs w:val="24"/>
        </w:rPr>
        <w:t>Social Research</w:t>
      </w:r>
      <w:r w:rsidRPr="00792C55">
        <w:rPr>
          <w:rFonts w:ascii="Nirmala UI Semilight" w:hAnsi="Nirmala UI Semilight" w:cs="Nirmala UI Semilight"/>
          <w:sz w:val="24"/>
          <w:szCs w:val="24"/>
        </w:rPr>
        <w:t>, 66, 2, 653–678.</w:t>
      </w:r>
    </w:p>
    <w:p w14:paraId="5BAB40B8"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Leibrich, J. (1996) The role of shame in going straight.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Galaway, B.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Hudson, J.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Restorative Justice</w:t>
      </w:r>
      <w:r w:rsidRPr="00792C55">
        <w:rPr>
          <w:rFonts w:ascii="Nirmala UI Semilight" w:hAnsi="Nirmala UI Semilight" w:cs="Nirmala UI Semilight"/>
          <w:sz w:val="24"/>
          <w:szCs w:val="24"/>
        </w:rPr>
        <w:t>. New York: Criminal Justice Press, pp. 283–302.</w:t>
      </w:r>
    </w:p>
    <w:p w14:paraId="53DEC1A9"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Loader, I.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deHaan, W. (2004) On the emotions of crime, punishment and social control. </w:t>
      </w:r>
      <w:r w:rsidRPr="00792C55">
        <w:rPr>
          <w:rFonts w:ascii="Nirmala UI Semilight" w:hAnsi="Nirmala UI Semilight" w:cs="Nirmala UI Semilight"/>
          <w:i/>
          <w:iCs/>
          <w:sz w:val="24"/>
          <w:szCs w:val="24"/>
        </w:rPr>
        <w:t>Theoretical Criminology</w:t>
      </w:r>
      <w:r w:rsidRPr="00792C55">
        <w:rPr>
          <w:rFonts w:ascii="Nirmala UI Semilight" w:hAnsi="Nirmala UI Semilight" w:cs="Nirmala UI Semilight"/>
          <w:sz w:val="24"/>
          <w:szCs w:val="24"/>
        </w:rPr>
        <w:t>, 6</w:t>
      </w:r>
      <w:r>
        <w:rPr>
          <w:rFonts w:ascii="Nirmala UI Semilight" w:hAnsi="Nirmala UI Semilight" w:cs="Nirmala UI Semilight"/>
          <w:sz w:val="24"/>
          <w:szCs w:val="24"/>
        </w:rPr>
        <w:t>(</w:t>
      </w:r>
      <w:r w:rsidRPr="00792C55">
        <w:rPr>
          <w:rFonts w:ascii="Nirmala UI Semilight" w:hAnsi="Nirmala UI Semilight" w:cs="Nirmala UI Semilight"/>
          <w:sz w:val="24"/>
          <w:szCs w:val="24"/>
        </w:rPr>
        <w:t>3</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243–253.</w:t>
      </w:r>
    </w:p>
    <w:p w14:paraId="23B86309"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Lynd, H.M. (1958) </w:t>
      </w:r>
      <w:r w:rsidRPr="00792C55">
        <w:rPr>
          <w:rFonts w:ascii="Nirmala UI Semilight" w:hAnsi="Nirmala UI Semilight" w:cs="Nirmala UI Semilight"/>
          <w:i/>
          <w:iCs/>
          <w:sz w:val="24"/>
          <w:szCs w:val="24"/>
        </w:rPr>
        <w:t>On Shame and the Search for Identity</w:t>
      </w:r>
      <w:r w:rsidRPr="00792C55">
        <w:rPr>
          <w:rFonts w:ascii="Nirmala UI Semilight" w:hAnsi="Nirmala UI Semilight" w:cs="Nirmala UI Semilight"/>
          <w:sz w:val="24"/>
          <w:szCs w:val="24"/>
        </w:rPr>
        <w:t>. New York: Science Editions.</w:t>
      </w:r>
    </w:p>
    <w:p w14:paraId="73BC26A9"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Macquarrie, J. (1972) </w:t>
      </w:r>
      <w:r w:rsidRPr="00792C55">
        <w:rPr>
          <w:rFonts w:ascii="Nirmala UI Semilight" w:hAnsi="Nirmala UI Semilight" w:cs="Nirmala UI Semilight"/>
          <w:i/>
          <w:iCs/>
          <w:sz w:val="24"/>
          <w:szCs w:val="24"/>
        </w:rPr>
        <w:t>Existentialism</w:t>
      </w:r>
      <w:r w:rsidRPr="00792C55">
        <w:rPr>
          <w:rFonts w:ascii="Nirmala UI Semilight" w:hAnsi="Nirmala UI Semilight" w:cs="Nirmala UI Semilight"/>
          <w:sz w:val="24"/>
          <w:szCs w:val="24"/>
        </w:rPr>
        <w:t>. London: Penguin Books.</w:t>
      </w:r>
    </w:p>
    <w:p w14:paraId="14240BCC"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Manion, J. (2002) The moral relevance of shame. </w:t>
      </w:r>
      <w:r w:rsidRPr="00792C55">
        <w:rPr>
          <w:rFonts w:ascii="Nirmala UI Semilight" w:hAnsi="Nirmala UI Semilight" w:cs="Nirmala UI Semilight"/>
          <w:i/>
          <w:iCs/>
          <w:sz w:val="24"/>
          <w:szCs w:val="24"/>
        </w:rPr>
        <w:t>American Philosophical Quarterly</w:t>
      </w:r>
      <w:r w:rsidRPr="00792C55">
        <w:rPr>
          <w:rFonts w:ascii="Nirmala UI Semilight" w:hAnsi="Nirmala UI Semilight" w:cs="Nirmala UI Semilight"/>
          <w:sz w:val="24"/>
          <w:szCs w:val="24"/>
        </w:rPr>
        <w:t>, 39</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73–90.</w:t>
      </w:r>
    </w:p>
    <w:p w14:paraId="45E541E3"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Maruna, S. (2001) </w:t>
      </w:r>
      <w:r w:rsidRPr="00792C55">
        <w:rPr>
          <w:rFonts w:ascii="Nirmala UI Semilight" w:hAnsi="Nirmala UI Semilight" w:cs="Nirmala UI Semilight"/>
          <w:i/>
          <w:iCs/>
          <w:sz w:val="24"/>
          <w:szCs w:val="24"/>
        </w:rPr>
        <w:t>Making Good</w:t>
      </w:r>
      <w:r w:rsidRPr="00792C55">
        <w:rPr>
          <w:rFonts w:ascii="Nirmala UI Semilight" w:hAnsi="Nirmala UI Semilight" w:cs="Nirmala UI Semilight"/>
          <w:sz w:val="24"/>
          <w:szCs w:val="24"/>
        </w:rPr>
        <w:t>. Washington, DC: American Psychological Association Books.</w:t>
      </w:r>
    </w:p>
    <w:p w14:paraId="071D84D3"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Maruna, S.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Farrall, S. (2004) Desistance from crime. </w:t>
      </w:r>
      <w:r w:rsidRPr="00792C55">
        <w:rPr>
          <w:rFonts w:ascii="Nirmala UI Semilight" w:hAnsi="Nirmala UI Semilight" w:cs="Nirmala UI Semilight"/>
          <w:i/>
          <w:iCs/>
          <w:sz w:val="24"/>
          <w:szCs w:val="24"/>
        </w:rPr>
        <w:t>Kölner Zeitschrift für Soziologie &amp; Sozialpsychologie</w:t>
      </w:r>
      <w:r w:rsidRPr="00792C55">
        <w:rPr>
          <w:rFonts w:ascii="Nirmala UI Semilight" w:hAnsi="Nirmala UI Semilight" w:cs="Nirmala UI Semilight"/>
          <w:sz w:val="24"/>
          <w:szCs w:val="24"/>
        </w:rPr>
        <w:t>, 43, 171–194.</w:t>
      </w:r>
    </w:p>
    <w:p w14:paraId="127D4096"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Maruna, S. and Roy, K. (2007) Amputation or reconstruction? </w:t>
      </w:r>
      <w:r w:rsidRPr="00792C55">
        <w:rPr>
          <w:rFonts w:ascii="Nirmala UI Semilight" w:hAnsi="Nirmala UI Semilight" w:cs="Nirmala UI Semilight"/>
          <w:i/>
          <w:iCs/>
          <w:sz w:val="24"/>
          <w:szCs w:val="24"/>
        </w:rPr>
        <w:t>Journal of Contemporary Criminal Justice</w:t>
      </w:r>
      <w:r w:rsidRPr="00792C55">
        <w:rPr>
          <w:rFonts w:ascii="Nirmala UI Semilight" w:hAnsi="Nirmala UI Semilight" w:cs="Nirmala UI Semilight"/>
          <w:sz w:val="24"/>
          <w:szCs w:val="24"/>
        </w:rPr>
        <w:t>, 23</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104–124.</w:t>
      </w:r>
    </w:p>
    <w:p w14:paraId="6A237B3A"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lastRenderedPageBreak/>
        <w:t xml:space="preserve">Meisenhelder, T. (1977) An exploratory study of exiting from criminal careers.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15</w:t>
      </w:r>
      <w:r>
        <w:rPr>
          <w:rFonts w:ascii="Nirmala UI Semilight" w:hAnsi="Nirmala UI Semilight" w:cs="Nirmala UI Semilight"/>
          <w:sz w:val="24"/>
          <w:szCs w:val="24"/>
        </w:rPr>
        <w:t>(</w:t>
      </w:r>
      <w:r w:rsidRPr="00792C55">
        <w:rPr>
          <w:rFonts w:ascii="Nirmala UI Semilight" w:hAnsi="Nirmala UI Semilight" w:cs="Nirmala UI Semilight"/>
          <w:sz w:val="24"/>
          <w:szCs w:val="24"/>
        </w:rPr>
        <w:t>3</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319–334.</w:t>
      </w:r>
    </w:p>
    <w:p w14:paraId="6E3B5DDF"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Morrison, W. (1995) </w:t>
      </w:r>
      <w:r w:rsidRPr="00792C55">
        <w:rPr>
          <w:rFonts w:ascii="Nirmala UI Semilight" w:hAnsi="Nirmala UI Semilight" w:cs="Nirmala UI Semilight"/>
          <w:i/>
          <w:iCs/>
          <w:sz w:val="24"/>
          <w:szCs w:val="24"/>
        </w:rPr>
        <w:t>Theoretical Criminology</w:t>
      </w:r>
      <w:r w:rsidRPr="00792C55">
        <w:rPr>
          <w:rFonts w:ascii="Nirmala UI Semilight" w:hAnsi="Nirmala UI Semilight" w:cs="Nirmala UI Semilight"/>
          <w:sz w:val="24"/>
          <w:szCs w:val="24"/>
        </w:rPr>
        <w:t>. London: Cavendish Publishing.</w:t>
      </w:r>
    </w:p>
    <w:p w14:paraId="768D333D"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Nelken, D. (2012) White-collar and corporate crime.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n</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Maguire, M., Morgan, R.</w:t>
      </w:r>
      <w:r>
        <w:rPr>
          <w:rFonts w:ascii="Nirmala UI Semilight" w:hAnsi="Nirmala UI Semilight" w:cs="Nirmala UI Semilight"/>
          <w:sz w:val="24"/>
          <w:szCs w:val="24"/>
        </w:rPr>
        <w:t xml:space="preserve"> y</w:t>
      </w:r>
      <w:r w:rsidRPr="00792C55">
        <w:rPr>
          <w:rFonts w:ascii="Nirmala UI Semilight" w:hAnsi="Nirmala UI Semilight" w:cs="Nirmala UI Semilight"/>
          <w:sz w:val="24"/>
          <w:szCs w:val="24"/>
        </w:rPr>
        <w:t xml:space="preserve"> Reiner, R.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Oxford Handbook of Criminology</w:t>
      </w:r>
      <w:r w:rsidRPr="00792C55">
        <w:rPr>
          <w:rFonts w:ascii="Nirmala UI Semilight" w:hAnsi="Nirmala UI Semilight" w:cs="Nirmala UI Semilight"/>
          <w:sz w:val="24"/>
          <w:szCs w:val="24"/>
        </w:rPr>
        <w:t>, 5th edition. Oxford: Oxford University Press, pp. 623–659.</w:t>
      </w:r>
    </w:p>
    <w:p w14:paraId="21F3957C"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Pezzin, L.E. (1995) Earning prospects, matching effects, and the decision to terminate a criminal career. </w:t>
      </w:r>
      <w:r w:rsidRPr="00792C55">
        <w:rPr>
          <w:rFonts w:ascii="Nirmala UI Semilight" w:hAnsi="Nirmala UI Semilight" w:cs="Nirmala UI Semilight"/>
          <w:i/>
          <w:iCs/>
          <w:sz w:val="24"/>
          <w:szCs w:val="24"/>
        </w:rPr>
        <w:t>Journal of Quantitative Criminology</w:t>
      </w:r>
      <w:r w:rsidRPr="00792C55">
        <w:rPr>
          <w:rFonts w:ascii="Nirmala UI Semilight" w:hAnsi="Nirmala UI Semilight" w:cs="Nirmala UI Semilight"/>
          <w:sz w:val="24"/>
          <w:szCs w:val="24"/>
        </w:rPr>
        <w:t>, 11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29–50.</w:t>
      </w:r>
    </w:p>
    <w:p w14:paraId="18BA864C"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Piquero, N.L.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Benson, M.L. (2004) White-collar crime and criminal careers. </w:t>
      </w:r>
      <w:r w:rsidRPr="00792C55">
        <w:rPr>
          <w:rFonts w:ascii="Nirmala UI Semilight" w:hAnsi="Nirmala UI Semilight" w:cs="Nirmala UI Semilight"/>
          <w:i/>
          <w:iCs/>
          <w:sz w:val="24"/>
          <w:szCs w:val="24"/>
        </w:rPr>
        <w:t>Journal of Contemporary Criminal Justice</w:t>
      </w:r>
      <w:r w:rsidRPr="00792C55">
        <w:rPr>
          <w:rFonts w:ascii="Nirmala UI Semilight" w:hAnsi="Nirmala UI Semilight" w:cs="Nirmala UI Semilight"/>
          <w:sz w:val="24"/>
          <w:szCs w:val="24"/>
        </w:rPr>
        <w:t>, 20</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148–165.</w:t>
      </w:r>
    </w:p>
    <w:p w14:paraId="46BED9B1"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Presser, Lois</w:t>
      </w:r>
      <w:r>
        <w:rPr>
          <w:rFonts w:ascii="Nirmala UI Semilight" w:hAnsi="Nirmala UI Semilight" w:cs="Nirmala UI Semilight"/>
          <w:sz w:val="24"/>
          <w:szCs w:val="24"/>
        </w:rPr>
        <w:t xml:space="preserve"> (2004) </w:t>
      </w:r>
      <w:r w:rsidRPr="00792C55">
        <w:rPr>
          <w:rFonts w:ascii="Nirmala UI Semilight" w:hAnsi="Nirmala UI Semilight" w:cs="Nirmala UI Semilight"/>
          <w:sz w:val="24"/>
          <w:szCs w:val="24"/>
        </w:rPr>
        <w:t>Violent Offenders, Moral Selves: Constructing Identities and Accounts in the Research Interview</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Social Problems</w:t>
      </w:r>
      <w:r w:rsidRPr="00792C55">
        <w:rPr>
          <w:rFonts w:ascii="Nirmala UI Semilight" w:hAnsi="Nirmala UI Semilight" w:cs="Nirmala UI Semilight"/>
          <w:sz w:val="24"/>
          <w:szCs w:val="24"/>
        </w:rPr>
        <w:t xml:space="preserve"> 51(1), 82–101. </w:t>
      </w:r>
    </w:p>
    <w:p w14:paraId="22B22B1A"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Retzinger, S.M. (1991) </w:t>
      </w:r>
      <w:r w:rsidRPr="00792C55">
        <w:rPr>
          <w:rFonts w:ascii="Nirmala UI Semilight" w:hAnsi="Nirmala UI Semilight" w:cs="Nirmala UI Semilight"/>
          <w:i/>
          <w:iCs/>
          <w:sz w:val="24"/>
          <w:szCs w:val="24"/>
        </w:rPr>
        <w:t>Violent Emotions: Shame and Rage in Marital Quarrels</w:t>
      </w:r>
      <w:r w:rsidRPr="00792C55">
        <w:rPr>
          <w:rFonts w:ascii="Nirmala UI Semilight" w:hAnsi="Nirmala UI Semilight" w:cs="Nirmala UI Semilight"/>
          <w:sz w:val="24"/>
          <w:szCs w:val="24"/>
        </w:rPr>
        <w:t>. London: Sage.</w:t>
      </w:r>
    </w:p>
    <w:p w14:paraId="282C4915"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Sandberg, S. </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2009</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A Narrative Search for Respect. </w:t>
      </w:r>
      <w:r w:rsidRPr="00792C55">
        <w:rPr>
          <w:rFonts w:ascii="Nirmala UI Semilight" w:hAnsi="Nirmala UI Semilight" w:cs="Nirmala UI Semilight"/>
          <w:i/>
          <w:iCs/>
          <w:sz w:val="24"/>
          <w:szCs w:val="24"/>
        </w:rPr>
        <w:t>Deviant Behavior</w:t>
      </w:r>
      <w:r w:rsidRPr="00792C55">
        <w:rPr>
          <w:rFonts w:ascii="Nirmala UI Semilight" w:hAnsi="Nirmala UI Semilight" w:cs="Nirmala UI Semilight"/>
          <w:sz w:val="24"/>
          <w:szCs w:val="24"/>
        </w:rPr>
        <w:t xml:space="preserve"> 30</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487-510.</w:t>
      </w:r>
    </w:p>
    <w:p w14:paraId="45FC6CCA"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Sandberg, Sveinung</w:t>
      </w:r>
      <w:r>
        <w:rPr>
          <w:rFonts w:ascii="Nirmala UI Semilight" w:hAnsi="Nirmala UI Semilight" w:cs="Nirmala UI Semilight"/>
          <w:sz w:val="24"/>
          <w:szCs w:val="24"/>
        </w:rPr>
        <w:t xml:space="preserve"> (2009)</w:t>
      </w:r>
      <w:r w:rsidRPr="00792C55">
        <w:rPr>
          <w:rFonts w:ascii="Nirmala UI Semilight" w:hAnsi="Nirmala UI Semilight" w:cs="Nirmala UI Semilight"/>
          <w:sz w:val="24"/>
          <w:szCs w:val="24"/>
        </w:rPr>
        <w:t xml:space="preserve"> Gangster, Victim, or Both? </w:t>
      </w:r>
      <w:r>
        <w:rPr>
          <w:rFonts w:ascii="Nirmala UI Semilight" w:hAnsi="Nirmala UI Semilight" w:cs="Nirmala UI Semilight"/>
          <w:sz w:val="24"/>
          <w:szCs w:val="24"/>
        </w:rPr>
        <w:t>The Interdiscursive Construction of Sameness and Difference in Self-Presentations.</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British Journal of Sociology</w:t>
      </w:r>
      <w:r w:rsidRPr="00792C55">
        <w:rPr>
          <w:rFonts w:ascii="Nirmala UI Semilight" w:hAnsi="Nirmala UI Semilight" w:cs="Nirmala UI Semilight"/>
          <w:sz w:val="24"/>
          <w:szCs w:val="24"/>
        </w:rPr>
        <w:t>,</w:t>
      </w:r>
      <w:r>
        <w:rPr>
          <w:rFonts w:ascii="Nirmala UI Semilight" w:hAnsi="Nirmala UI Semilight" w:cs="Nirmala UI Semilight"/>
          <w:sz w:val="24"/>
          <w:szCs w:val="24"/>
        </w:rPr>
        <w:t xml:space="preserve"> 60(3), 523-542</w:t>
      </w:r>
      <w:r w:rsidRPr="00792C55">
        <w:rPr>
          <w:rFonts w:ascii="Nirmala UI Semilight" w:hAnsi="Nirmala UI Semilight" w:cs="Nirmala UI Semilight"/>
          <w:sz w:val="24"/>
          <w:szCs w:val="24"/>
        </w:rPr>
        <w:t xml:space="preserve">. </w:t>
      </w:r>
    </w:p>
    <w:p w14:paraId="7FE66A21" w14:textId="77777777" w:rsidR="00130F20" w:rsidRPr="00290AED" w:rsidRDefault="00130F20" w:rsidP="00130F20">
      <w:pPr>
        <w:spacing w:after="120" w:line="240" w:lineRule="auto"/>
        <w:rPr>
          <w:rFonts w:ascii="Nirmala UI Semilight" w:eastAsia="Times New Roman" w:hAnsi="Nirmala UI Semilight" w:cs="Nirmala UI Semilight"/>
          <w:sz w:val="24"/>
          <w:szCs w:val="24"/>
          <w:lang w:eastAsia="es-AR"/>
        </w:rPr>
      </w:pPr>
      <w:r w:rsidRPr="00290AED">
        <w:rPr>
          <w:rFonts w:ascii="Nirmala UI Semilight" w:eastAsia="Times New Roman" w:hAnsi="Nirmala UI Semilight" w:cs="Nirmala UI Semilight"/>
          <w:sz w:val="24"/>
          <w:szCs w:val="24"/>
          <w:lang w:eastAsia="es-AR"/>
        </w:rPr>
        <w:t xml:space="preserve">Sartre, J.-P. (1958) </w:t>
      </w:r>
      <w:r w:rsidRPr="00290AED">
        <w:rPr>
          <w:rFonts w:ascii="Nirmala UI Semilight" w:eastAsia="Times New Roman" w:hAnsi="Nirmala UI Semilight" w:cs="Nirmala UI Semilight"/>
          <w:i/>
          <w:iCs/>
          <w:sz w:val="24"/>
          <w:szCs w:val="24"/>
          <w:lang w:eastAsia="es-AR"/>
        </w:rPr>
        <w:t>Being and Nothingness</w:t>
      </w:r>
      <w:r w:rsidRPr="00290AED">
        <w:rPr>
          <w:rFonts w:ascii="Nirmala UI Semilight" w:eastAsia="Times New Roman" w:hAnsi="Nirmala UI Semilight" w:cs="Nirmala UI Semilight"/>
          <w:sz w:val="24"/>
          <w:szCs w:val="24"/>
          <w:lang w:eastAsia="es-AR"/>
        </w:rPr>
        <w:t>. Translated by Barnes, H.E [1980]. New York: Philosophical Library</w:t>
      </w:r>
      <w:r w:rsidRPr="00792C55">
        <w:rPr>
          <w:rFonts w:ascii="Nirmala UI Semilight" w:eastAsia="Times New Roman" w:hAnsi="Nirmala UI Semilight" w:cs="Nirmala UI Semilight"/>
          <w:sz w:val="24"/>
          <w:szCs w:val="24"/>
          <w:lang w:eastAsia="es-AR"/>
        </w:rPr>
        <w:t xml:space="preserve"> [trad.: </w:t>
      </w:r>
      <w:r w:rsidRPr="00792C55">
        <w:rPr>
          <w:rFonts w:ascii="Nirmala UI Semilight" w:eastAsia="Times New Roman" w:hAnsi="Nirmala UI Semilight" w:cs="Nirmala UI Semilight"/>
          <w:i/>
          <w:iCs/>
          <w:sz w:val="24"/>
          <w:szCs w:val="24"/>
          <w:lang w:eastAsia="es-AR"/>
        </w:rPr>
        <w:t>El ser y la nada</w:t>
      </w:r>
      <w:r w:rsidRPr="00792C55">
        <w:rPr>
          <w:rFonts w:ascii="Nirmala UI Semilight" w:eastAsia="Times New Roman" w:hAnsi="Nirmala UI Semilight" w:cs="Nirmala UI Semilight"/>
          <w:sz w:val="24"/>
          <w:szCs w:val="24"/>
          <w:lang w:eastAsia="es-AR"/>
        </w:rPr>
        <w:t>, Buenos Aires: Losada, 2013]</w:t>
      </w:r>
    </w:p>
    <w:p w14:paraId="458271A5" w14:textId="77777777" w:rsidR="00130F20" w:rsidRPr="00290AED" w:rsidRDefault="00130F20" w:rsidP="00130F20">
      <w:pPr>
        <w:spacing w:after="120" w:line="240" w:lineRule="auto"/>
        <w:rPr>
          <w:rFonts w:ascii="Nirmala UI Semilight" w:eastAsia="Times New Roman" w:hAnsi="Nirmala UI Semilight" w:cs="Nirmala UI Semilight"/>
          <w:sz w:val="24"/>
          <w:szCs w:val="24"/>
          <w:lang w:eastAsia="es-AR"/>
        </w:rPr>
      </w:pPr>
      <w:r w:rsidRPr="00290AED">
        <w:rPr>
          <w:rFonts w:ascii="Nirmala UI Semilight" w:eastAsia="Times New Roman" w:hAnsi="Nirmala UI Semilight" w:cs="Nirmala UI Semilight"/>
          <w:sz w:val="24"/>
          <w:szCs w:val="24"/>
          <w:lang w:eastAsia="es-AR"/>
        </w:rPr>
        <w:t xml:space="preserve">Sartre, J.-P. (1963) </w:t>
      </w:r>
      <w:r w:rsidRPr="00290AED">
        <w:rPr>
          <w:rFonts w:ascii="Nirmala UI Semilight" w:eastAsia="Times New Roman" w:hAnsi="Nirmala UI Semilight" w:cs="Nirmala UI Semilight"/>
          <w:i/>
          <w:iCs/>
          <w:sz w:val="24"/>
          <w:szCs w:val="24"/>
          <w:lang w:eastAsia="es-AR"/>
        </w:rPr>
        <w:t>Saint Genet</w:t>
      </w:r>
      <w:r w:rsidRPr="00290AED">
        <w:rPr>
          <w:rFonts w:ascii="Nirmala UI Semilight" w:eastAsia="Times New Roman" w:hAnsi="Nirmala UI Semilight" w:cs="Nirmala UI Semilight"/>
          <w:sz w:val="24"/>
          <w:szCs w:val="24"/>
          <w:lang w:eastAsia="es-AR"/>
        </w:rPr>
        <w:t>. Translated by Fretchman, B. [1984]. New York: Pantheon</w:t>
      </w:r>
      <w:r w:rsidRPr="00792C55">
        <w:rPr>
          <w:rFonts w:ascii="Nirmala UI Semilight" w:eastAsia="Times New Roman" w:hAnsi="Nirmala UI Semilight" w:cs="Nirmala UI Semilight"/>
          <w:sz w:val="24"/>
          <w:szCs w:val="24"/>
          <w:lang w:eastAsia="es-AR"/>
        </w:rPr>
        <w:t xml:space="preserve"> [trad.: </w:t>
      </w:r>
      <w:r w:rsidRPr="00792C55">
        <w:rPr>
          <w:rFonts w:ascii="Nirmala UI Semilight" w:eastAsia="Times New Roman" w:hAnsi="Nirmala UI Semilight" w:cs="Nirmala UI Semilight"/>
          <w:i/>
          <w:iCs/>
          <w:sz w:val="24"/>
          <w:szCs w:val="24"/>
          <w:lang w:eastAsia="es-AR"/>
        </w:rPr>
        <w:t>San Genet, comediante y mártir</w:t>
      </w:r>
      <w:r w:rsidRPr="00792C55">
        <w:rPr>
          <w:rFonts w:ascii="Nirmala UI Semilight" w:eastAsia="Times New Roman" w:hAnsi="Nirmala UI Semilight" w:cs="Nirmala UI Semilight"/>
          <w:sz w:val="24"/>
          <w:szCs w:val="24"/>
          <w:lang w:eastAsia="es-AR"/>
        </w:rPr>
        <w:t>, Buenos Aires: Losada, 2016].</w:t>
      </w:r>
    </w:p>
    <w:p w14:paraId="384E91F2"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Scheff, T.J. (2000) Shame and the social bond. </w:t>
      </w:r>
      <w:r w:rsidRPr="00792C55">
        <w:rPr>
          <w:rFonts w:ascii="Nirmala UI Semilight" w:hAnsi="Nirmala UI Semilight" w:cs="Nirmala UI Semilight"/>
          <w:i/>
          <w:iCs/>
          <w:sz w:val="24"/>
          <w:szCs w:val="24"/>
        </w:rPr>
        <w:t>Sociological Theory</w:t>
      </w:r>
      <w:r w:rsidRPr="00792C55">
        <w:rPr>
          <w:rFonts w:ascii="Nirmala UI Semilight" w:hAnsi="Nirmala UI Semilight" w:cs="Nirmala UI Semilight"/>
          <w:sz w:val="24"/>
          <w:szCs w:val="24"/>
        </w:rPr>
        <w:t>, 18</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84–99.</w:t>
      </w:r>
    </w:p>
    <w:p w14:paraId="3941C3EF"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Scheff, T.J.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Retzinger, S.M. (1991) </w:t>
      </w:r>
      <w:r w:rsidRPr="00792C55">
        <w:rPr>
          <w:rFonts w:ascii="Nirmala UI Semilight" w:hAnsi="Nirmala UI Semilight" w:cs="Nirmala UI Semilight"/>
          <w:i/>
          <w:iCs/>
          <w:sz w:val="24"/>
          <w:szCs w:val="24"/>
        </w:rPr>
        <w:t>Emotions and Violence</w:t>
      </w:r>
      <w:r w:rsidRPr="00792C55">
        <w:rPr>
          <w:rFonts w:ascii="Nirmala UI Semilight" w:hAnsi="Nirmala UI Semilight" w:cs="Nirmala UI Semilight"/>
          <w:sz w:val="24"/>
          <w:szCs w:val="24"/>
        </w:rPr>
        <w:t>. Lexington, MA: Lexington.</w:t>
      </w:r>
    </w:p>
    <w:p w14:paraId="2B068B8E"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Schneider, C.D. (1992) </w:t>
      </w:r>
      <w:r w:rsidRPr="00792C55">
        <w:rPr>
          <w:rFonts w:ascii="Nirmala UI Semilight" w:hAnsi="Nirmala UI Semilight" w:cs="Nirmala UI Semilight"/>
          <w:i/>
          <w:iCs/>
          <w:sz w:val="24"/>
          <w:szCs w:val="24"/>
        </w:rPr>
        <w:t>Shame, Exposure and Privacy</w:t>
      </w:r>
      <w:r w:rsidRPr="00792C55">
        <w:rPr>
          <w:rFonts w:ascii="Nirmala UI Semilight" w:hAnsi="Nirmala UI Semilight" w:cs="Nirmala UI Semilight"/>
          <w:sz w:val="24"/>
          <w:szCs w:val="24"/>
        </w:rPr>
        <w:t>. London: W.W. Norton &amp; Company.</w:t>
      </w:r>
    </w:p>
    <w:p w14:paraId="3524975C"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Schrock, D. (2002) Emotional stories.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 xml:space="preserve">n Kotarba, J.A.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Johnson, J.M. (eds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Postmodern Existential Sociology</w:t>
      </w:r>
      <w:r w:rsidRPr="00792C55">
        <w:rPr>
          <w:rFonts w:ascii="Nirmala UI Semilight" w:hAnsi="Nirmala UI Semilight" w:cs="Nirmala UI Semilight"/>
          <w:sz w:val="24"/>
          <w:szCs w:val="24"/>
        </w:rPr>
        <w:t>. Lanham, MD: Rowman and Littlefield, pp. 219–234.</w:t>
      </w:r>
    </w:p>
    <w:p w14:paraId="57CF76EB"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Scott, G. (2004) It’s a sucker’s outfit. </w:t>
      </w:r>
      <w:r w:rsidRPr="00792C55">
        <w:rPr>
          <w:rFonts w:ascii="Nirmala UI Semilight" w:hAnsi="Nirmala UI Semilight" w:cs="Nirmala UI Semilight"/>
          <w:i/>
          <w:iCs/>
          <w:sz w:val="24"/>
          <w:szCs w:val="24"/>
        </w:rPr>
        <w:t>Ethnography</w:t>
      </w:r>
      <w:r w:rsidRPr="00792C55">
        <w:rPr>
          <w:rFonts w:ascii="Nirmala UI Semilight" w:hAnsi="Nirmala UI Semilight" w:cs="Nirmala UI Semilight"/>
          <w:sz w:val="24"/>
          <w:szCs w:val="24"/>
        </w:rPr>
        <w:t>, 5</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107–140.</w:t>
      </w:r>
    </w:p>
    <w:p w14:paraId="4D11EEAF"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Shover, N. (1983) The later stages of ordinary property offender careers. </w:t>
      </w:r>
      <w:r w:rsidRPr="00792C55">
        <w:rPr>
          <w:rFonts w:ascii="Nirmala UI Semilight" w:hAnsi="Nirmala UI Semilight" w:cs="Nirmala UI Semilight"/>
          <w:i/>
          <w:iCs/>
          <w:sz w:val="24"/>
          <w:szCs w:val="24"/>
        </w:rPr>
        <w:t>Social Problems</w:t>
      </w:r>
      <w:r w:rsidRPr="00792C55">
        <w:rPr>
          <w:rFonts w:ascii="Nirmala UI Semilight" w:hAnsi="Nirmala UI Semilight" w:cs="Nirmala UI Semilight"/>
          <w:sz w:val="24"/>
          <w:szCs w:val="24"/>
        </w:rPr>
        <w:t>, 31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208–218.</w:t>
      </w:r>
    </w:p>
    <w:p w14:paraId="43FE9D32"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Shover, N. (1985) </w:t>
      </w:r>
      <w:r w:rsidRPr="00792C55">
        <w:rPr>
          <w:rFonts w:ascii="Nirmala UI Semilight" w:hAnsi="Nirmala UI Semilight" w:cs="Nirmala UI Semilight"/>
          <w:i/>
          <w:iCs/>
          <w:sz w:val="24"/>
          <w:szCs w:val="24"/>
        </w:rPr>
        <w:t>Aging Criminals</w:t>
      </w:r>
      <w:r w:rsidRPr="00792C55">
        <w:rPr>
          <w:rFonts w:ascii="Nirmala UI Semilight" w:hAnsi="Nirmala UI Semilight" w:cs="Nirmala UI Semilight"/>
          <w:sz w:val="24"/>
          <w:szCs w:val="24"/>
        </w:rPr>
        <w:t>. Thousand Oaks, CA: Sage.</w:t>
      </w:r>
    </w:p>
    <w:p w14:paraId="19E1570A"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lastRenderedPageBreak/>
        <w:t xml:space="preserve">Shover, N.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Thompson, C.Y. (1992) Age, differential expectations, and crime desistance.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30</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89–104.</w:t>
      </w:r>
    </w:p>
    <w:p w14:paraId="74D4E63C"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Shover, N.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Hochstetler, A. (2006) </w:t>
      </w:r>
      <w:r w:rsidRPr="00792C55">
        <w:rPr>
          <w:rFonts w:ascii="Nirmala UI Semilight" w:hAnsi="Nirmala UI Semilight" w:cs="Nirmala UI Semilight"/>
          <w:i/>
          <w:iCs/>
          <w:sz w:val="24"/>
          <w:szCs w:val="24"/>
        </w:rPr>
        <w:t>Choosing White-Collar Crime</w:t>
      </w:r>
      <w:r w:rsidRPr="00792C55">
        <w:rPr>
          <w:rFonts w:ascii="Nirmala UI Semilight" w:hAnsi="Nirmala UI Semilight" w:cs="Nirmala UI Semilight"/>
          <w:sz w:val="24"/>
          <w:szCs w:val="24"/>
        </w:rPr>
        <w:t>. London: Cambridge University Press.</w:t>
      </w:r>
    </w:p>
    <w:p w14:paraId="26917034"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Simpson, C. (2004) When hope makes us vulnerable. </w:t>
      </w:r>
      <w:r w:rsidRPr="00792C55">
        <w:rPr>
          <w:rFonts w:ascii="Nirmala UI Semilight" w:hAnsi="Nirmala UI Semilight" w:cs="Nirmala UI Semilight"/>
          <w:i/>
          <w:iCs/>
          <w:sz w:val="24"/>
          <w:szCs w:val="24"/>
        </w:rPr>
        <w:t>Bioethics</w:t>
      </w:r>
      <w:r w:rsidRPr="00792C55">
        <w:rPr>
          <w:rFonts w:ascii="Nirmala UI Semilight" w:hAnsi="Nirmala UI Semilight" w:cs="Nirmala UI Semilight"/>
          <w:sz w:val="24"/>
          <w:szCs w:val="24"/>
        </w:rPr>
        <w:t>, 18</w:t>
      </w:r>
      <w:r>
        <w:rPr>
          <w:rFonts w:ascii="Nirmala UI Semilight" w:hAnsi="Nirmala UI Semilight" w:cs="Nirmala UI Semilight"/>
          <w:sz w:val="24"/>
          <w:szCs w:val="24"/>
        </w:rPr>
        <w:t>(</w:t>
      </w:r>
      <w:r w:rsidRPr="00792C55">
        <w:rPr>
          <w:rFonts w:ascii="Nirmala UI Semilight" w:hAnsi="Nirmala UI Semilight" w:cs="Nirmala UI Semilight"/>
          <w:sz w:val="24"/>
          <w:szCs w:val="24"/>
        </w:rPr>
        <w:t>5</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428–447.</w:t>
      </w:r>
    </w:p>
    <w:p w14:paraId="348A3DA7"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Sykes, G</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y Matza</w:t>
      </w:r>
      <w:r>
        <w:rPr>
          <w:rFonts w:ascii="Nirmala UI Semilight" w:hAnsi="Nirmala UI Semilight" w:cs="Nirmala UI Semilight"/>
          <w:sz w:val="24"/>
          <w:szCs w:val="24"/>
        </w:rPr>
        <w:t>, D. (</w:t>
      </w:r>
      <w:r w:rsidRPr="00792C55">
        <w:rPr>
          <w:rFonts w:ascii="Nirmala UI Semilight" w:hAnsi="Nirmala UI Semilight" w:cs="Nirmala UI Semilight"/>
          <w:sz w:val="24"/>
          <w:szCs w:val="24"/>
        </w:rPr>
        <w:t>1957</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Techniques of Neutralization: A Theory of Delinquency</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American Sociological Review</w:t>
      </w:r>
      <w:r w:rsidRPr="00792C55">
        <w:rPr>
          <w:rFonts w:ascii="Nirmala UI Semilight" w:hAnsi="Nirmala UI Semilight" w:cs="Nirmala UI Semilight"/>
          <w:sz w:val="24"/>
          <w:szCs w:val="24"/>
        </w:rPr>
        <w:t xml:space="preserve"> 22, 664–670. </w:t>
      </w:r>
    </w:p>
    <w:p w14:paraId="366C0370"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Taylor, G. (1985) </w:t>
      </w:r>
      <w:r w:rsidRPr="00792C55">
        <w:rPr>
          <w:rFonts w:ascii="Nirmala UI Semilight" w:hAnsi="Nirmala UI Semilight" w:cs="Nirmala UI Semilight"/>
          <w:i/>
          <w:iCs/>
          <w:sz w:val="24"/>
          <w:szCs w:val="24"/>
        </w:rPr>
        <w:t>Pride, Shame and Guilt</w:t>
      </w:r>
      <w:r w:rsidRPr="00792C55">
        <w:rPr>
          <w:rFonts w:ascii="Nirmala UI Semilight" w:hAnsi="Nirmala UI Semilight" w:cs="Nirmala UI Semilight"/>
          <w:sz w:val="24"/>
          <w:szCs w:val="24"/>
        </w:rPr>
        <w:t>. Oxford: Clarendon Press.</w:t>
      </w:r>
    </w:p>
    <w:p w14:paraId="68CCBC5F"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Uggen, C. (2000) Work as a turning point in the life course of criminals. </w:t>
      </w:r>
      <w:r w:rsidRPr="00792C55">
        <w:rPr>
          <w:rFonts w:ascii="Nirmala UI Semilight" w:hAnsi="Nirmala UI Semilight" w:cs="Nirmala UI Semilight"/>
          <w:i/>
          <w:iCs/>
          <w:sz w:val="24"/>
          <w:szCs w:val="24"/>
        </w:rPr>
        <w:t>American Sociological Review</w:t>
      </w:r>
      <w:r w:rsidRPr="00792C55">
        <w:rPr>
          <w:rFonts w:ascii="Nirmala UI Semilight" w:hAnsi="Nirmala UI Semilight" w:cs="Nirmala UI Semilight"/>
          <w:sz w:val="24"/>
          <w:szCs w:val="24"/>
        </w:rPr>
        <w:t>, 65</w:t>
      </w:r>
      <w:r>
        <w:rPr>
          <w:rFonts w:ascii="Nirmala UI Semilight" w:hAnsi="Nirmala UI Semilight" w:cs="Nirmala UI Semilight"/>
          <w:sz w:val="24"/>
          <w:szCs w:val="24"/>
        </w:rPr>
        <w:t>(</w:t>
      </w:r>
      <w:r w:rsidRPr="00792C55">
        <w:rPr>
          <w:rFonts w:ascii="Nirmala UI Semilight" w:hAnsi="Nirmala UI Semilight" w:cs="Nirmala UI Semilight"/>
          <w:sz w:val="24"/>
          <w:szCs w:val="24"/>
        </w:rPr>
        <w:t>4</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529–546.</w:t>
      </w:r>
    </w:p>
    <w:p w14:paraId="11637CCE"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Uggen, C. </w:t>
      </w:r>
      <w:r>
        <w:rPr>
          <w:rFonts w:ascii="Nirmala UI Semilight" w:hAnsi="Nirmala UI Semilight" w:cs="Nirmala UI Semilight"/>
          <w:sz w:val="24"/>
          <w:szCs w:val="24"/>
        </w:rPr>
        <w:t>y</w:t>
      </w:r>
      <w:r w:rsidRPr="00792C55">
        <w:rPr>
          <w:rFonts w:ascii="Nirmala UI Semilight" w:hAnsi="Nirmala UI Semilight" w:cs="Nirmala UI Semilight"/>
          <w:sz w:val="24"/>
          <w:szCs w:val="24"/>
        </w:rPr>
        <w:t xml:space="preserve"> Kruttschnitt, C. (1998) Crime in the breaking. </w:t>
      </w:r>
      <w:r w:rsidRPr="00792C55">
        <w:rPr>
          <w:rFonts w:ascii="Nirmala UI Semilight" w:hAnsi="Nirmala UI Semilight" w:cs="Nirmala UI Semilight"/>
          <w:i/>
          <w:iCs/>
          <w:sz w:val="24"/>
          <w:szCs w:val="24"/>
        </w:rPr>
        <w:t>Law and Society Review</w:t>
      </w:r>
      <w:r w:rsidRPr="00792C55">
        <w:rPr>
          <w:rFonts w:ascii="Nirmala UI Semilight" w:hAnsi="Nirmala UI Semilight" w:cs="Nirmala UI Semilight"/>
          <w:sz w:val="24"/>
          <w:szCs w:val="24"/>
        </w:rPr>
        <w:t>, 32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2</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339–366.</w:t>
      </w:r>
    </w:p>
    <w:p w14:paraId="30B79AB7"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Vigil, James D.: </w:t>
      </w:r>
      <w:r w:rsidRPr="00792C55">
        <w:rPr>
          <w:rFonts w:ascii="Nirmala UI Semilight" w:hAnsi="Nirmala UI Semilight" w:cs="Nirmala UI Semilight"/>
          <w:i/>
          <w:iCs/>
          <w:sz w:val="24"/>
          <w:szCs w:val="24"/>
        </w:rPr>
        <w:t>A Rainbow of Gangs</w:t>
      </w:r>
      <w:r w:rsidRPr="00792C55">
        <w:rPr>
          <w:rFonts w:ascii="Nirmala UI Semilight" w:hAnsi="Nirmala UI Semilight" w:cs="Nirmala UI Semilight"/>
          <w:sz w:val="24"/>
          <w:szCs w:val="24"/>
        </w:rPr>
        <w:t xml:space="preserve">. Austin: University of Texas Press, 2002. </w:t>
      </w:r>
    </w:p>
    <w:p w14:paraId="0EB73AF2"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792C55">
        <w:rPr>
          <w:rFonts w:ascii="Nirmala UI Semilight" w:hAnsi="Nirmala UI Semilight" w:cs="Nirmala UI Semilight"/>
          <w:sz w:val="24"/>
          <w:szCs w:val="24"/>
        </w:rPr>
        <w:t xml:space="preserve">Warr, M. (1988) Life course transitions and desistance from crime. </w:t>
      </w:r>
      <w:r w:rsidRPr="00792C55">
        <w:rPr>
          <w:rFonts w:ascii="Nirmala UI Semilight" w:hAnsi="Nirmala UI Semilight" w:cs="Nirmala UI Semilight"/>
          <w:i/>
          <w:iCs/>
          <w:sz w:val="24"/>
          <w:szCs w:val="24"/>
        </w:rPr>
        <w:t>Criminology</w:t>
      </w:r>
      <w:r w:rsidRPr="00792C55">
        <w:rPr>
          <w:rFonts w:ascii="Nirmala UI Semilight" w:hAnsi="Nirmala UI Semilight" w:cs="Nirmala UI Semilight"/>
          <w:sz w:val="24"/>
          <w:szCs w:val="24"/>
        </w:rPr>
        <w:t>, 36</w:t>
      </w:r>
      <w:r>
        <w:rPr>
          <w:rFonts w:ascii="Nirmala UI Semilight" w:hAnsi="Nirmala UI Semilight" w:cs="Nirmala UI Semilight"/>
          <w:sz w:val="24"/>
          <w:szCs w:val="24"/>
        </w:rPr>
        <w:t>(</w:t>
      </w:r>
      <w:r w:rsidRPr="00792C55">
        <w:rPr>
          <w:rFonts w:ascii="Nirmala UI Semilight" w:hAnsi="Nirmala UI Semilight" w:cs="Nirmala UI Semilight"/>
          <w:sz w:val="24"/>
          <w:szCs w:val="24"/>
        </w:rPr>
        <w:t>1</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183–216.</w:t>
      </w:r>
    </w:p>
    <w:p w14:paraId="265D0EF0" w14:textId="77777777" w:rsidR="00130F20" w:rsidRPr="00D719DF" w:rsidRDefault="00130F20" w:rsidP="00130F20">
      <w:pPr>
        <w:spacing w:after="120" w:line="240" w:lineRule="auto"/>
        <w:rPr>
          <w:rFonts w:ascii="Nirmala UI Semilight" w:eastAsia="Times New Roman" w:hAnsi="Nirmala UI Semilight" w:cs="Nirmala UI Semilight"/>
          <w:sz w:val="24"/>
          <w:szCs w:val="24"/>
          <w:lang w:eastAsia="es-AR"/>
        </w:rPr>
      </w:pPr>
      <w:r w:rsidRPr="00D719DF">
        <w:rPr>
          <w:rFonts w:ascii="Nirmala UI Semilight" w:eastAsia="Times New Roman" w:hAnsi="Nirmala UI Semilight" w:cs="Nirmala UI Semilight"/>
          <w:sz w:val="24"/>
          <w:szCs w:val="24"/>
          <w:lang w:eastAsia="es-AR"/>
        </w:rPr>
        <w:t xml:space="preserve">Weisburd, D., Waring, E.J. </w:t>
      </w:r>
      <w:r>
        <w:rPr>
          <w:rFonts w:ascii="Nirmala UI Semilight" w:eastAsia="Times New Roman" w:hAnsi="Nirmala UI Semilight" w:cs="Nirmala UI Semilight"/>
          <w:sz w:val="24"/>
          <w:szCs w:val="24"/>
          <w:lang w:eastAsia="es-AR"/>
        </w:rPr>
        <w:t>y</w:t>
      </w:r>
      <w:r w:rsidRPr="00D719DF">
        <w:rPr>
          <w:rFonts w:ascii="Nirmala UI Semilight" w:eastAsia="Times New Roman" w:hAnsi="Nirmala UI Semilight" w:cs="Nirmala UI Semilight"/>
          <w:sz w:val="24"/>
          <w:szCs w:val="24"/>
          <w:lang w:eastAsia="es-AR"/>
        </w:rPr>
        <w:t xml:space="preserve"> Chayet, E.F. (2001) </w:t>
      </w:r>
      <w:r w:rsidRPr="00D719DF">
        <w:rPr>
          <w:rFonts w:ascii="Nirmala UI Semilight" w:eastAsia="Times New Roman" w:hAnsi="Nirmala UI Semilight" w:cs="Nirmala UI Semilight"/>
          <w:i/>
          <w:iCs/>
          <w:sz w:val="24"/>
          <w:szCs w:val="24"/>
          <w:lang w:eastAsia="es-AR"/>
        </w:rPr>
        <w:t>White-Collar Crime and Criminal Careers</w:t>
      </w:r>
      <w:r w:rsidRPr="00D719DF">
        <w:rPr>
          <w:rFonts w:ascii="Nirmala UI Semilight" w:eastAsia="Times New Roman" w:hAnsi="Nirmala UI Semilight" w:cs="Nirmala UI Semilight"/>
          <w:sz w:val="24"/>
          <w:szCs w:val="24"/>
          <w:lang w:eastAsia="es-AR"/>
        </w:rPr>
        <w:t xml:space="preserve">. Cambridge: Cambridge University Press. </w:t>
      </w:r>
    </w:p>
    <w:p w14:paraId="5B12C96E" w14:textId="77777777" w:rsidR="00130F20" w:rsidRPr="00792C55" w:rsidRDefault="00130F20" w:rsidP="00130F20">
      <w:pPr>
        <w:spacing w:after="120" w:line="240" w:lineRule="auto"/>
        <w:rPr>
          <w:rFonts w:ascii="Nirmala UI Semilight" w:eastAsia="Times New Roman" w:hAnsi="Nirmala UI Semilight" w:cs="Nirmala UI Semilight"/>
          <w:sz w:val="24"/>
          <w:szCs w:val="24"/>
          <w:lang w:eastAsia="es-AR"/>
        </w:rPr>
      </w:pPr>
      <w:r w:rsidRPr="00D719DF">
        <w:rPr>
          <w:rFonts w:ascii="Nirmala UI Semilight" w:eastAsia="Times New Roman" w:hAnsi="Nirmala UI Semilight" w:cs="Nirmala UI Semilight"/>
          <w:sz w:val="24"/>
          <w:szCs w:val="24"/>
          <w:lang w:eastAsia="es-AR"/>
        </w:rPr>
        <w:t xml:space="preserve">Weisburd, D., Wheeler, S., Waring, E.J. </w:t>
      </w:r>
      <w:r>
        <w:rPr>
          <w:rFonts w:ascii="Nirmala UI Semilight" w:eastAsia="Times New Roman" w:hAnsi="Nirmala UI Semilight" w:cs="Nirmala UI Semilight"/>
          <w:sz w:val="24"/>
          <w:szCs w:val="24"/>
          <w:lang w:eastAsia="es-AR"/>
        </w:rPr>
        <w:t>y</w:t>
      </w:r>
      <w:r w:rsidRPr="00D719DF">
        <w:rPr>
          <w:rFonts w:ascii="Nirmala UI Semilight" w:eastAsia="Times New Roman" w:hAnsi="Nirmala UI Semilight" w:cs="Nirmala UI Semilight"/>
          <w:sz w:val="24"/>
          <w:szCs w:val="24"/>
          <w:lang w:eastAsia="es-AR"/>
        </w:rPr>
        <w:t xml:space="preserve"> Bode, N. (1991) </w:t>
      </w:r>
      <w:r w:rsidRPr="00D719DF">
        <w:rPr>
          <w:rFonts w:ascii="Nirmala UI Semilight" w:eastAsia="Times New Roman" w:hAnsi="Nirmala UI Semilight" w:cs="Nirmala UI Semilight"/>
          <w:i/>
          <w:iCs/>
          <w:sz w:val="24"/>
          <w:szCs w:val="24"/>
          <w:lang w:eastAsia="es-AR"/>
        </w:rPr>
        <w:t>Crimes of the Middle Classes</w:t>
      </w:r>
      <w:r w:rsidRPr="00D719DF">
        <w:rPr>
          <w:rFonts w:ascii="Nirmala UI Semilight" w:eastAsia="Times New Roman" w:hAnsi="Nirmala UI Semilight" w:cs="Nirmala UI Semilight"/>
          <w:sz w:val="24"/>
          <w:szCs w:val="24"/>
          <w:lang w:eastAsia="es-AR"/>
        </w:rPr>
        <w:t>. London: Yale University Press.</w:t>
      </w:r>
    </w:p>
    <w:p w14:paraId="7AC65C4C" w14:textId="77777777" w:rsidR="00130F20" w:rsidRPr="00792C55"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Westerhof, G., Alea, N. y Bluck S. (2020) Narrative and Identity: The Importance of Our Personal Past in Later Life</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w:t>
      </w:r>
      <w:r>
        <w:rPr>
          <w:rFonts w:ascii="Nirmala UI Semilight" w:hAnsi="Nirmala UI Semilight" w:cs="Nirmala UI Semilight"/>
          <w:sz w:val="24"/>
          <w:szCs w:val="24"/>
        </w:rPr>
        <w:t>E</w:t>
      </w:r>
      <w:r w:rsidRPr="00792C55">
        <w:rPr>
          <w:rFonts w:ascii="Nirmala UI Semilight" w:hAnsi="Nirmala UI Semilight" w:cs="Nirmala UI Semilight"/>
          <w:sz w:val="24"/>
          <w:szCs w:val="24"/>
        </w:rPr>
        <w:t xml:space="preserve">n: K.T. Ayanna y A. Gutchess (eds.): </w:t>
      </w:r>
      <w:r w:rsidRPr="00792C55">
        <w:rPr>
          <w:rFonts w:ascii="Nirmala UI Semilight" w:hAnsi="Nirmala UI Semilight" w:cs="Nirmala UI Semilight"/>
          <w:i/>
          <w:iCs/>
          <w:sz w:val="24"/>
          <w:szCs w:val="24"/>
        </w:rPr>
        <w:t>The Cambridge Handbook of Cognitive Aging: A Life Course Perspective</w:t>
      </w:r>
      <w:r w:rsidRPr="00792C55">
        <w:rPr>
          <w:rFonts w:ascii="Nirmala UI Semilight" w:hAnsi="Nirmala UI Semilight" w:cs="Nirmala UI Semilight"/>
          <w:sz w:val="24"/>
          <w:szCs w:val="24"/>
        </w:rPr>
        <w:t>, Cambridge: Cambridge University Press, pp. 383-99.</w:t>
      </w:r>
    </w:p>
    <w:p w14:paraId="26CFB98F"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Wolfgang</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M</w:t>
      </w:r>
      <w:r>
        <w:rPr>
          <w:rFonts w:ascii="Nirmala UI Semilight" w:hAnsi="Nirmala UI Semilight" w:cs="Nirmala UI Semilight"/>
          <w:sz w:val="24"/>
          <w:szCs w:val="24"/>
        </w:rPr>
        <w:t>.</w:t>
      </w:r>
      <w:r w:rsidRPr="00792C55">
        <w:rPr>
          <w:rFonts w:ascii="Nirmala UI Semilight" w:hAnsi="Nirmala UI Semilight" w:cs="Nirmala UI Semilight"/>
          <w:sz w:val="24"/>
          <w:szCs w:val="24"/>
        </w:rPr>
        <w:t xml:space="preserve"> E. y Ferracuti</w:t>
      </w:r>
      <w:r>
        <w:rPr>
          <w:rFonts w:ascii="Nirmala UI Semilight" w:hAnsi="Nirmala UI Semilight" w:cs="Nirmala UI Semilight"/>
          <w:sz w:val="24"/>
          <w:szCs w:val="24"/>
        </w:rPr>
        <w:t>, F. (1967)</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The Subculture of Violence</w:t>
      </w:r>
      <w:r w:rsidRPr="00792C55">
        <w:rPr>
          <w:rFonts w:ascii="Nirmala UI Semilight" w:hAnsi="Nirmala UI Semilight" w:cs="Nirmala UI Semilight"/>
          <w:sz w:val="24"/>
          <w:szCs w:val="24"/>
        </w:rPr>
        <w:t>. London: Tavistock</w:t>
      </w:r>
      <w:r>
        <w:rPr>
          <w:rFonts w:ascii="Nirmala UI Semilight" w:hAnsi="Nirmala UI Semilight" w:cs="Nirmala UI Semilight"/>
          <w:sz w:val="24"/>
          <w:szCs w:val="24"/>
        </w:rPr>
        <w:t xml:space="preserve"> [trad.: </w:t>
      </w:r>
      <w:r w:rsidRPr="0006459E">
        <w:rPr>
          <w:rFonts w:ascii="Nirmala UI Semilight" w:hAnsi="Nirmala UI Semilight" w:cs="Nirmala UI Semilight"/>
          <w:i/>
          <w:iCs/>
          <w:sz w:val="24"/>
          <w:szCs w:val="24"/>
        </w:rPr>
        <w:t>Subcultura de la violencia</w:t>
      </w:r>
      <w:r>
        <w:rPr>
          <w:rFonts w:ascii="Nirmala UI Semilight" w:hAnsi="Nirmala UI Semilight" w:cs="Nirmala UI Semilight"/>
          <w:sz w:val="24"/>
          <w:szCs w:val="24"/>
        </w:rPr>
        <w:t>, México: FCE]</w:t>
      </w:r>
      <w:r w:rsidRPr="00792C55">
        <w:rPr>
          <w:rFonts w:ascii="Nirmala UI Semilight" w:hAnsi="Nirmala UI Semilight" w:cs="Nirmala UI Semilight"/>
          <w:sz w:val="24"/>
          <w:szCs w:val="24"/>
        </w:rPr>
        <w:t xml:space="preserve">. </w:t>
      </w:r>
    </w:p>
    <w:p w14:paraId="0A0E76CC"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Wright, R</w:t>
      </w:r>
      <w:r>
        <w:rPr>
          <w:rFonts w:ascii="Nirmala UI Semilight" w:hAnsi="Nirmala UI Semilight" w:cs="Nirmala UI Semilight"/>
          <w:sz w:val="24"/>
          <w:szCs w:val="24"/>
        </w:rPr>
        <w:t>.</w:t>
      </w:r>
      <w:r w:rsidRPr="00792C55">
        <w:rPr>
          <w:rFonts w:ascii="Nirmala UI Semilight" w:hAnsi="Nirmala UI Semilight" w:cs="Nirmala UI Semilight"/>
          <w:sz w:val="24"/>
          <w:szCs w:val="24"/>
        </w:rPr>
        <w:t>T. y Decker</w:t>
      </w:r>
      <w:r>
        <w:rPr>
          <w:rFonts w:ascii="Nirmala UI Semilight" w:hAnsi="Nirmala UI Semilight" w:cs="Nirmala UI Semilight"/>
          <w:sz w:val="24"/>
          <w:szCs w:val="24"/>
        </w:rPr>
        <w:t xml:space="preserve">, </w:t>
      </w:r>
      <w:r w:rsidRPr="00792C55">
        <w:rPr>
          <w:rFonts w:ascii="Nirmala UI Semilight" w:hAnsi="Nirmala UI Semilight" w:cs="Nirmala UI Semilight"/>
          <w:sz w:val="24"/>
          <w:szCs w:val="24"/>
        </w:rPr>
        <w:t>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H.</w:t>
      </w:r>
      <w:r>
        <w:rPr>
          <w:rFonts w:ascii="Nirmala UI Semilight" w:hAnsi="Nirmala UI Semilight" w:cs="Nirmala UI Semilight"/>
          <w:sz w:val="24"/>
          <w:szCs w:val="24"/>
        </w:rPr>
        <w:t xml:space="preserve"> (1994)</w:t>
      </w:r>
      <w:r w:rsidRPr="004B24C3">
        <w:rPr>
          <w:rFonts w:ascii="Nirmala UI Semilight" w:hAnsi="Nirmala UI Semilight" w:cs="Nirmala UI Semilight"/>
          <w:i/>
          <w:iCs/>
          <w:sz w:val="24"/>
          <w:szCs w:val="24"/>
        </w:rPr>
        <w:t xml:space="preserve"> </w:t>
      </w:r>
      <w:r w:rsidRPr="00792C55">
        <w:rPr>
          <w:rFonts w:ascii="Nirmala UI Semilight" w:hAnsi="Nirmala UI Semilight" w:cs="Nirmala UI Semilight"/>
          <w:i/>
          <w:iCs/>
          <w:sz w:val="24"/>
          <w:szCs w:val="24"/>
        </w:rPr>
        <w:t>Burglars on the Job</w:t>
      </w:r>
      <w:r w:rsidRPr="00792C55">
        <w:rPr>
          <w:rFonts w:ascii="Nirmala UI Semilight" w:hAnsi="Nirmala UI Semilight" w:cs="Nirmala UI Semilight"/>
          <w:sz w:val="24"/>
          <w:szCs w:val="24"/>
        </w:rPr>
        <w:t>. Boston: Northeastern University Press</w:t>
      </w:r>
      <w:r>
        <w:rPr>
          <w:rFonts w:ascii="Nirmala UI Semilight" w:hAnsi="Nirmala UI Semilight" w:cs="Nirmala UI Semilight"/>
          <w:sz w:val="24"/>
          <w:szCs w:val="24"/>
        </w:rPr>
        <w:t>.</w:t>
      </w:r>
    </w:p>
    <w:p w14:paraId="67F02D66" w14:textId="77777777" w:rsidR="00130F20" w:rsidRPr="00792C55" w:rsidRDefault="00130F20" w:rsidP="00130F20">
      <w:pPr>
        <w:spacing w:after="120" w:line="240" w:lineRule="auto"/>
        <w:ind w:right="49"/>
        <w:jc w:val="both"/>
        <w:rPr>
          <w:rFonts w:ascii="Nirmala UI Semilight" w:hAnsi="Nirmala UI Semilight" w:cs="Nirmala UI Semilight"/>
          <w:sz w:val="24"/>
          <w:szCs w:val="24"/>
        </w:rPr>
      </w:pPr>
      <w:r w:rsidRPr="00792C55">
        <w:rPr>
          <w:rFonts w:ascii="Nirmala UI Semilight" w:hAnsi="Nirmala UI Semilight" w:cs="Nirmala UI Semilight"/>
          <w:sz w:val="24"/>
          <w:szCs w:val="24"/>
        </w:rPr>
        <w:t>Wright, R</w:t>
      </w:r>
      <w:r>
        <w:rPr>
          <w:rFonts w:ascii="Nirmala UI Semilight" w:hAnsi="Nirmala UI Semilight" w:cs="Nirmala UI Semilight"/>
          <w:sz w:val="24"/>
          <w:szCs w:val="24"/>
        </w:rPr>
        <w:t>.</w:t>
      </w:r>
      <w:r w:rsidRPr="00792C55">
        <w:rPr>
          <w:rFonts w:ascii="Nirmala UI Semilight" w:hAnsi="Nirmala UI Semilight" w:cs="Nirmala UI Semilight"/>
          <w:sz w:val="24"/>
          <w:szCs w:val="24"/>
        </w:rPr>
        <w:t>T. y Decker</w:t>
      </w:r>
      <w:r>
        <w:rPr>
          <w:rFonts w:ascii="Nirmala UI Semilight" w:hAnsi="Nirmala UI Semilight" w:cs="Nirmala UI Semilight"/>
          <w:sz w:val="24"/>
          <w:szCs w:val="24"/>
        </w:rPr>
        <w:t xml:space="preserve">, </w:t>
      </w:r>
      <w:r w:rsidRPr="00792C55">
        <w:rPr>
          <w:rFonts w:ascii="Nirmala UI Semilight" w:hAnsi="Nirmala UI Semilight" w:cs="Nirmala UI Semilight"/>
          <w:sz w:val="24"/>
          <w:szCs w:val="24"/>
        </w:rPr>
        <w:t>S</w:t>
      </w:r>
      <w:r>
        <w:rPr>
          <w:rFonts w:ascii="Nirmala UI Semilight" w:hAnsi="Nirmala UI Semilight" w:cs="Nirmala UI Semilight"/>
          <w:sz w:val="24"/>
          <w:szCs w:val="24"/>
        </w:rPr>
        <w:t>.</w:t>
      </w:r>
      <w:r w:rsidRPr="00792C55">
        <w:rPr>
          <w:rFonts w:ascii="Nirmala UI Semilight" w:hAnsi="Nirmala UI Semilight" w:cs="Nirmala UI Semilight"/>
          <w:sz w:val="24"/>
          <w:szCs w:val="24"/>
        </w:rPr>
        <w:t>H.</w:t>
      </w:r>
      <w:r>
        <w:rPr>
          <w:rFonts w:ascii="Nirmala UI Semilight" w:hAnsi="Nirmala UI Semilight" w:cs="Nirmala UI Semilight"/>
          <w:sz w:val="24"/>
          <w:szCs w:val="24"/>
        </w:rPr>
        <w:t xml:space="preserve"> (1997)</w:t>
      </w:r>
      <w:r w:rsidRPr="00792C55">
        <w:rPr>
          <w:rFonts w:ascii="Nirmala UI Semilight" w:hAnsi="Nirmala UI Semilight" w:cs="Nirmala UI Semilight"/>
          <w:sz w:val="24"/>
          <w:szCs w:val="24"/>
        </w:rPr>
        <w:t xml:space="preserve"> </w:t>
      </w:r>
      <w:r w:rsidRPr="00792C55">
        <w:rPr>
          <w:rFonts w:ascii="Nirmala UI Semilight" w:hAnsi="Nirmala UI Semilight" w:cs="Nirmala UI Semilight"/>
          <w:i/>
          <w:iCs/>
          <w:sz w:val="24"/>
          <w:szCs w:val="24"/>
        </w:rPr>
        <w:t>Armed Robbers in Action</w:t>
      </w:r>
      <w:r w:rsidRPr="00792C55">
        <w:rPr>
          <w:rFonts w:ascii="Nirmala UI Semilight" w:hAnsi="Nirmala UI Semilight" w:cs="Nirmala UI Semilight"/>
          <w:sz w:val="24"/>
          <w:szCs w:val="24"/>
        </w:rPr>
        <w:t>. Boston: Northeastern University Press</w:t>
      </w:r>
      <w:r>
        <w:rPr>
          <w:rFonts w:ascii="Nirmala UI Semilight" w:hAnsi="Nirmala UI Semilight" w:cs="Nirmala UI Semilight"/>
          <w:sz w:val="24"/>
          <w:szCs w:val="24"/>
        </w:rPr>
        <w:t>.</w:t>
      </w:r>
    </w:p>
    <w:p w14:paraId="4DBA5BD2" w14:textId="0AC20726" w:rsidR="00130F20" w:rsidRPr="00130F20" w:rsidRDefault="00130F20" w:rsidP="00130F20">
      <w:pPr>
        <w:spacing w:after="120" w:line="240" w:lineRule="auto"/>
        <w:rPr>
          <w:rFonts w:ascii="Nirmala UI Semilight" w:hAnsi="Nirmala UI Semilight" w:cs="Nirmala UI Semilight"/>
          <w:sz w:val="24"/>
          <w:szCs w:val="24"/>
        </w:rPr>
      </w:pPr>
      <w:r w:rsidRPr="00792C55">
        <w:rPr>
          <w:rFonts w:ascii="Nirmala UI Semilight" w:hAnsi="Nirmala UI Semilight" w:cs="Nirmala UI Semilight"/>
          <w:sz w:val="24"/>
          <w:szCs w:val="24"/>
        </w:rPr>
        <w:t xml:space="preserve">Yalom, I. (1980) </w:t>
      </w:r>
      <w:r w:rsidRPr="00792C55">
        <w:rPr>
          <w:rFonts w:ascii="Nirmala UI Semilight" w:hAnsi="Nirmala UI Semilight" w:cs="Nirmala UI Semilight"/>
          <w:i/>
          <w:iCs/>
          <w:sz w:val="24"/>
          <w:szCs w:val="24"/>
        </w:rPr>
        <w:t>Existential Psychotherapy</w:t>
      </w:r>
      <w:r w:rsidRPr="00792C55">
        <w:rPr>
          <w:rFonts w:ascii="Nirmala UI Semilight" w:hAnsi="Nirmala UI Semilight" w:cs="Nirmala UI Semilight"/>
          <w:sz w:val="24"/>
          <w:szCs w:val="24"/>
        </w:rPr>
        <w:t>. New York: Basic Books.</w:t>
      </w:r>
    </w:p>
    <w:p w14:paraId="154910CF" w14:textId="44911CF0" w:rsidR="00A73AA4" w:rsidRDefault="00A73AA4" w:rsidP="00B17D94">
      <w:pPr>
        <w:spacing w:after="120" w:line="276" w:lineRule="auto"/>
        <w:jc w:val="both"/>
        <w:rPr>
          <w:rFonts w:ascii="Nirmala UI Semilight" w:hAnsi="Nirmala UI Semilight" w:cs="Nirmala UI Semilight"/>
          <w:bCs/>
          <w:sz w:val="28"/>
          <w:szCs w:val="28"/>
        </w:rPr>
      </w:pPr>
    </w:p>
    <w:sectPr w:rsidR="00A73AA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32CB" w14:textId="77777777" w:rsidR="007B52CC" w:rsidRDefault="007B52CC" w:rsidP="00C7070F">
      <w:pPr>
        <w:spacing w:after="0" w:line="240" w:lineRule="auto"/>
      </w:pPr>
      <w:r>
        <w:separator/>
      </w:r>
    </w:p>
  </w:endnote>
  <w:endnote w:type="continuationSeparator" w:id="0">
    <w:p w14:paraId="72EDC036" w14:textId="77777777" w:rsidR="007B52CC" w:rsidRDefault="007B52CC" w:rsidP="00C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810523"/>
      <w:docPartObj>
        <w:docPartGallery w:val="Page Numbers (Bottom of Page)"/>
        <w:docPartUnique/>
      </w:docPartObj>
    </w:sdtPr>
    <w:sdtEndPr/>
    <w:sdtContent>
      <w:p w14:paraId="66436BE3" w14:textId="582BF20C" w:rsidR="00526B52" w:rsidRDefault="00526B52">
        <w:pPr>
          <w:pStyle w:val="Piedepgina"/>
          <w:jc w:val="center"/>
        </w:pPr>
        <w:r>
          <w:fldChar w:fldCharType="begin"/>
        </w:r>
        <w:r>
          <w:instrText>PAGE   \* MERGEFORMAT</w:instrText>
        </w:r>
        <w:r>
          <w:fldChar w:fldCharType="separate"/>
        </w:r>
        <w:r>
          <w:rPr>
            <w:lang w:val="es-ES"/>
          </w:rPr>
          <w:t>2</w:t>
        </w:r>
        <w:r>
          <w:fldChar w:fldCharType="end"/>
        </w:r>
      </w:p>
    </w:sdtContent>
  </w:sdt>
  <w:p w14:paraId="1585C7D7" w14:textId="77777777" w:rsidR="00526B52" w:rsidRDefault="00526B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312B" w14:textId="77777777" w:rsidR="007B52CC" w:rsidRDefault="007B52CC" w:rsidP="00C7070F">
      <w:pPr>
        <w:spacing w:after="0" w:line="240" w:lineRule="auto"/>
      </w:pPr>
      <w:r>
        <w:separator/>
      </w:r>
    </w:p>
  </w:footnote>
  <w:footnote w:type="continuationSeparator" w:id="0">
    <w:p w14:paraId="4738C359" w14:textId="77777777" w:rsidR="007B52CC" w:rsidRDefault="007B52CC" w:rsidP="00C7070F">
      <w:pPr>
        <w:spacing w:after="0" w:line="240" w:lineRule="auto"/>
      </w:pPr>
      <w:r>
        <w:continuationSeparator/>
      </w:r>
    </w:p>
  </w:footnote>
  <w:footnote w:id="1">
    <w:p w14:paraId="72272DA4" w14:textId="7A0B53BB" w:rsidR="00C7070F" w:rsidRPr="00B96856" w:rsidRDefault="00C7070F"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Es importante señalar aquí que cuando se hace hincapié en realizar investigaciones que hagan foco en las “emociones” no sé hace referencia a la tradicional división entre violencias </w:t>
      </w:r>
      <w:r w:rsidRPr="00B96856">
        <w:rPr>
          <w:rFonts w:asciiTheme="majorHAnsi" w:hAnsiTheme="majorHAnsi" w:cstheme="majorHAnsi"/>
          <w:i/>
          <w:iCs/>
        </w:rPr>
        <w:t>instrumentales</w:t>
      </w:r>
      <w:r w:rsidRPr="00B96856">
        <w:rPr>
          <w:rFonts w:asciiTheme="majorHAnsi" w:hAnsiTheme="majorHAnsi" w:cstheme="majorHAnsi"/>
        </w:rPr>
        <w:t xml:space="preserve"> y </w:t>
      </w:r>
      <w:r w:rsidRPr="00B96856">
        <w:rPr>
          <w:rFonts w:asciiTheme="majorHAnsi" w:hAnsiTheme="majorHAnsi" w:cstheme="majorHAnsi"/>
          <w:i/>
          <w:iCs/>
        </w:rPr>
        <w:t>expresivas</w:t>
      </w:r>
      <w:r w:rsidRPr="00B96856">
        <w:rPr>
          <w:rFonts w:asciiTheme="majorHAnsi" w:hAnsiTheme="majorHAnsi" w:cstheme="majorHAnsi"/>
        </w:rPr>
        <w:t xml:space="preserve">. Estas últimas siguen siendo argumentaciones al “por qué”, mientras que el exhorto que hace Katz es sobre la respuesta al “cómo” (ver, Katz, J.: “Resistir a las seducciones del Estado”, en: </w:t>
      </w:r>
      <w:r w:rsidR="008417B5" w:rsidRPr="00B96856">
        <w:rPr>
          <w:rFonts w:asciiTheme="majorHAnsi" w:hAnsiTheme="majorHAnsi" w:cstheme="majorHAnsi"/>
        </w:rPr>
        <w:t xml:space="preserve">Los encantos del delito, Bernal: UNQ, 2023). La investigación tiene que basarse en el desarrollo de una “ontología social”. </w:t>
      </w:r>
      <w:r w:rsidRPr="00B96856">
        <w:rPr>
          <w:rFonts w:asciiTheme="majorHAnsi" w:hAnsiTheme="majorHAnsi" w:cstheme="majorHAnsi"/>
        </w:rPr>
        <w:t xml:space="preserve"> </w:t>
      </w:r>
    </w:p>
  </w:footnote>
  <w:footnote w:id="2">
    <w:p w14:paraId="6C4C154F" w14:textId="4751A3FD" w:rsidR="00BA07A7" w:rsidRPr="00B96856" w:rsidRDefault="00BA07A7"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Para un análisis del uso del concepto “respeto” tanto en las ciencias humanas como en la interacción social, </w:t>
      </w:r>
      <w:r w:rsidR="006520D0" w:rsidRPr="00B96856">
        <w:rPr>
          <w:rFonts w:asciiTheme="majorHAnsi" w:hAnsiTheme="majorHAnsi" w:cstheme="majorHAnsi"/>
        </w:rPr>
        <w:t xml:space="preserve">véase </w:t>
      </w:r>
      <w:r w:rsidRPr="00B96856">
        <w:rPr>
          <w:rFonts w:asciiTheme="majorHAnsi" w:hAnsiTheme="majorHAnsi" w:cstheme="majorHAnsi"/>
        </w:rPr>
        <w:t>Buttny y Williams (2000).</w:t>
      </w:r>
    </w:p>
  </w:footnote>
  <w:footnote w:id="3">
    <w:p w14:paraId="1B6735A4" w14:textId="73F3DF55" w:rsidR="00B013CF" w:rsidRPr="00B96856" w:rsidRDefault="00B013CF"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w:t>
      </w:r>
      <w:r w:rsidR="0092383C" w:rsidRPr="00B96856">
        <w:rPr>
          <w:rFonts w:asciiTheme="majorHAnsi" w:hAnsiTheme="majorHAnsi" w:cstheme="majorHAnsi"/>
        </w:rPr>
        <w:t xml:space="preserve">Para un acercamiento </w:t>
      </w:r>
      <w:r w:rsidR="007750F8" w:rsidRPr="00B96856">
        <w:rPr>
          <w:rFonts w:asciiTheme="majorHAnsi" w:hAnsiTheme="majorHAnsi" w:cstheme="majorHAnsi"/>
        </w:rPr>
        <w:t xml:space="preserve">a estas preguntas </w:t>
      </w:r>
      <w:r w:rsidR="005A4440" w:rsidRPr="00B96856">
        <w:rPr>
          <w:rFonts w:asciiTheme="majorHAnsi" w:hAnsiTheme="majorHAnsi" w:cstheme="majorHAnsi"/>
        </w:rPr>
        <w:t xml:space="preserve">desde el estudio de biografías de delincuentes de cuello blanco, </w:t>
      </w:r>
      <w:r w:rsidR="006520D0" w:rsidRPr="00B96856">
        <w:rPr>
          <w:rFonts w:asciiTheme="majorHAnsi" w:hAnsiTheme="majorHAnsi" w:cstheme="majorHAnsi"/>
        </w:rPr>
        <w:t>véase</w:t>
      </w:r>
      <w:r w:rsidR="005A4440" w:rsidRPr="00B96856">
        <w:rPr>
          <w:rFonts w:asciiTheme="majorHAnsi" w:hAnsiTheme="majorHAnsi" w:cstheme="majorHAnsi"/>
        </w:rPr>
        <w:t xml:space="preserve"> </w:t>
      </w:r>
      <w:r w:rsidR="00DD260E" w:rsidRPr="00B96856">
        <w:rPr>
          <w:rFonts w:asciiTheme="majorHAnsi" w:hAnsiTheme="majorHAnsi" w:cstheme="majorHAnsi"/>
        </w:rPr>
        <w:t>Hunter (</w:t>
      </w:r>
      <w:r w:rsidR="0023099C" w:rsidRPr="00B96856">
        <w:rPr>
          <w:rFonts w:asciiTheme="majorHAnsi" w:hAnsiTheme="majorHAnsi" w:cstheme="majorHAnsi"/>
        </w:rPr>
        <w:t>2015).</w:t>
      </w:r>
      <w:r w:rsidR="005E474C" w:rsidRPr="00B96856">
        <w:rPr>
          <w:rFonts w:asciiTheme="majorHAnsi" w:hAnsiTheme="majorHAnsi" w:cstheme="majorHAnsi"/>
        </w:rPr>
        <w:t xml:space="preserve"> Aunque Hunter estudia casos de delincuentes de cuello blanco que fueron condenados, es decir, pasaron por la intervención del sistema de justicia penal y por la cárcel. </w:t>
      </w:r>
    </w:p>
  </w:footnote>
  <w:footnote w:id="4">
    <w:p w14:paraId="5BC2FB5A" w14:textId="7682B989" w:rsidR="00C10818" w:rsidRPr="00B96856" w:rsidRDefault="00C10818" w:rsidP="00B96856">
      <w:pPr>
        <w:spacing w:after="0" w:line="240" w:lineRule="auto"/>
        <w:jc w:val="both"/>
        <w:rPr>
          <w:rFonts w:asciiTheme="majorHAnsi" w:hAnsiTheme="majorHAnsi" w:cstheme="majorHAnsi"/>
          <w:bCs/>
          <w:sz w:val="20"/>
          <w:szCs w:val="20"/>
        </w:rPr>
      </w:pPr>
      <w:r w:rsidRPr="00B96856">
        <w:rPr>
          <w:rStyle w:val="Refdenotaalpie"/>
          <w:rFonts w:asciiTheme="majorHAnsi" w:hAnsiTheme="majorHAnsi" w:cstheme="majorHAnsi"/>
          <w:sz w:val="20"/>
          <w:szCs w:val="20"/>
        </w:rPr>
        <w:footnoteRef/>
      </w:r>
      <w:r w:rsidRPr="00B96856">
        <w:rPr>
          <w:rFonts w:asciiTheme="majorHAnsi" w:hAnsiTheme="majorHAnsi" w:cstheme="majorHAnsi"/>
          <w:sz w:val="20"/>
          <w:szCs w:val="20"/>
        </w:rPr>
        <w:t xml:space="preserve"> </w:t>
      </w:r>
      <w:r w:rsidR="00AA79BD" w:rsidRPr="00B96856">
        <w:rPr>
          <w:rFonts w:asciiTheme="majorHAnsi" w:hAnsiTheme="majorHAnsi" w:cstheme="majorHAnsi"/>
          <w:sz w:val="20"/>
          <w:szCs w:val="20"/>
        </w:rPr>
        <w:t xml:space="preserve">Para una explicación más extensa </w:t>
      </w:r>
      <w:r w:rsidR="009824DC" w:rsidRPr="00B96856">
        <w:rPr>
          <w:rFonts w:asciiTheme="majorHAnsi" w:hAnsiTheme="majorHAnsi" w:cstheme="majorHAnsi"/>
          <w:sz w:val="20"/>
          <w:szCs w:val="20"/>
        </w:rPr>
        <w:t>sobre la importancia de construir una narrativa del yo para definir una identidad futura que</w:t>
      </w:r>
      <w:r w:rsidR="006C1B36" w:rsidRPr="00B96856">
        <w:rPr>
          <w:rFonts w:asciiTheme="majorHAnsi" w:hAnsiTheme="majorHAnsi" w:cstheme="majorHAnsi"/>
          <w:sz w:val="20"/>
          <w:szCs w:val="20"/>
        </w:rPr>
        <w:t xml:space="preserve"> no esté perturbada por el pasado, </w:t>
      </w:r>
      <w:r w:rsidR="00AA79BD" w:rsidRPr="00B96856">
        <w:rPr>
          <w:rFonts w:asciiTheme="majorHAnsi" w:hAnsiTheme="majorHAnsi" w:cstheme="majorHAnsi"/>
          <w:sz w:val="20"/>
          <w:szCs w:val="20"/>
        </w:rPr>
        <w:t xml:space="preserve">véase </w:t>
      </w:r>
      <w:r w:rsidR="00DB2BEB" w:rsidRPr="00B96856">
        <w:rPr>
          <w:rFonts w:asciiTheme="majorHAnsi" w:hAnsiTheme="majorHAnsi" w:cstheme="majorHAnsi"/>
          <w:sz w:val="20"/>
          <w:szCs w:val="20"/>
        </w:rPr>
        <w:t xml:space="preserve">Westerhof </w:t>
      </w:r>
      <w:r w:rsidR="00DB2BEB" w:rsidRPr="00B96856">
        <w:rPr>
          <w:rFonts w:asciiTheme="majorHAnsi" w:hAnsiTheme="majorHAnsi" w:cstheme="majorHAnsi"/>
          <w:i/>
          <w:iCs/>
          <w:sz w:val="20"/>
          <w:szCs w:val="20"/>
        </w:rPr>
        <w:t>et al.</w:t>
      </w:r>
      <w:r w:rsidR="00DB2BEB" w:rsidRPr="00B96856">
        <w:rPr>
          <w:rFonts w:asciiTheme="majorHAnsi" w:hAnsiTheme="majorHAnsi" w:cstheme="majorHAnsi"/>
          <w:sz w:val="20"/>
          <w:szCs w:val="20"/>
        </w:rPr>
        <w:t xml:space="preserve"> (2020).</w:t>
      </w:r>
      <w:r w:rsidR="002B64E2" w:rsidRPr="00B96856">
        <w:rPr>
          <w:rFonts w:asciiTheme="majorHAnsi" w:hAnsiTheme="majorHAnsi" w:cstheme="majorHAnsi"/>
          <w:sz w:val="20"/>
          <w:szCs w:val="20"/>
        </w:rPr>
        <w:t xml:space="preserve"> </w:t>
      </w:r>
      <w:r w:rsidR="002B64E2" w:rsidRPr="00B96856">
        <w:rPr>
          <w:rFonts w:asciiTheme="majorHAnsi" w:hAnsiTheme="majorHAnsi" w:cstheme="majorHAnsi"/>
          <w:bCs/>
          <w:sz w:val="20"/>
          <w:szCs w:val="20"/>
        </w:rPr>
        <w:t xml:space="preserve">El </w:t>
      </w:r>
      <w:r w:rsidR="002B64E2" w:rsidRPr="00B96856">
        <w:rPr>
          <w:rFonts w:asciiTheme="majorHAnsi" w:hAnsiTheme="majorHAnsi" w:cstheme="majorHAnsi"/>
          <w:bCs/>
          <w:i/>
          <w:iCs/>
          <w:sz w:val="20"/>
          <w:szCs w:val="20"/>
        </w:rPr>
        <w:t>cambio</w:t>
      </w:r>
      <w:r w:rsidR="002B64E2" w:rsidRPr="00B96856">
        <w:rPr>
          <w:rFonts w:asciiTheme="majorHAnsi" w:hAnsiTheme="majorHAnsi" w:cstheme="majorHAnsi"/>
          <w:bCs/>
          <w:sz w:val="20"/>
          <w:szCs w:val="20"/>
        </w:rPr>
        <w:t xml:space="preserve"> es un hecho cotidiano, reconocible en muchas formas. La conversión religiosa, la jubilación y el matrimonio son ejemplos de cosas que ocurren todos los días a muchas personas, oportunidades que se buscan activamente tanto como meras ocurrencias que se acercan sigilosamente a individuos desprevenidos. El cambio anunciado por acontecimientos como éstos es un cambio en la autoconcepción y en el sentido de lo que uno es. Más que eso, ese cambio y los acontecimientos a los que está ligado sitúan el pasado en un contexto determinado. Los acontecimientos se recuerdan de una manera particular por lo que significan en el gran esquema de la vida hasta ese momento. Un presente concreto requiere un pasado concreto y, aunque los hechos ocurridos no pueden cambiarse, sí puede hacerlo el significado que se les atribuye.</w:t>
      </w:r>
    </w:p>
  </w:footnote>
  <w:footnote w:id="5">
    <w:p w14:paraId="3E5A229C" w14:textId="7195EF6A" w:rsidR="006D02E2" w:rsidRPr="00B96856" w:rsidRDefault="006D02E2"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No podré referirme aquí a la “perspectiva de futuro” o a la planificación de una vida a mediano y largo plazo, que es una las diferencias importantes entre los delincuentes callejeros y </w:t>
      </w:r>
      <w:r w:rsidR="00B96856" w:rsidRPr="00B96856">
        <w:rPr>
          <w:rFonts w:asciiTheme="majorHAnsi" w:hAnsiTheme="majorHAnsi" w:cstheme="majorHAnsi"/>
        </w:rPr>
        <w:t>los delincuentes de clase media, para que unos continúen delinquiendo y los otros abandonen el delito.</w:t>
      </w:r>
    </w:p>
  </w:footnote>
  <w:footnote w:id="6">
    <w:p w14:paraId="2BE0993E" w14:textId="3CC9FDD4" w:rsidR="00FB6129" w:rsidRPr="00B96856" w:rsidRDefault="00FB6129"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w:t>
      </w:r>
      <w:r w:rsidR="007F4A24" w:rsidRPr="00B96856">
        <w:rPr>
          <w:rFonts w:asciiTheme="majorHAnsi" w:hAnsiTheme="majorHAnsi" w:cstheme="majorHAnsi"/>
        </w:rPr>
        <w:t xml:space="preserve">Aquí no quiero detenerme a analizar estos importantes estudios. Sólo señalaré que para </w:t>
      </w:r>
      <w:r w:rsidR="00E26668" w:rsidRPr="00B96856">
        <w:rPr>
          <w:rFonts w:asciiTheme="majorHAnsi" w:hAnsiTheme="majorHAnsi" w:cstheme="majorHAnsi"/>
        </w:rPr>
        <w:t>Maruna (2001) los jóvenes que delinquen desarrollan un “</w:t>
      </w:r>
      <w:r w:rsidR="00124324" w:rsidRPr="00B96856">
        <w:rPr>
          <w:rFonts w:asciiTheme="majorHAnsi" w:hAnsiTheme="majorHAnsi" w:cstheme="majorHAnsi"/>
        </w:rPr>
        <w:t>guion</w:t>
      </w:r>
      <w:r w:rsidR="00E26668" w:rsidRPr="00B96856">
        <w:rPr>
          <w:rFonts w:asciiTheme="majorHAnsi" w:hAnsiTheme="majorHAnsi" w:cstheme="majorHAnsi"/>
        </w:rPr>
        <w:t xml:space="preserve"> de redención” para desistir, en tanto, para Sampson y Laub (</w:t>
      </w:r>
      <w:r w:rsidR="00801194" w:rsidRPr="00B96856">
        <w:rPr>
          <w:rFonts w:asciiTheme="majorHAnsi" w:hAnsiTheme="majorHAnsi" w:cstheme="majorHAnsi"/>
        </w:rPr>
        <w:t xml:space="preserve">1993, 2003) lo importante son ciertos “puntos de inflexión” en la vida del joven delincuente y el compromiso que esté pueda asumir con ese momento bisagra. </w:t>
      </w:r>
      <w:r w:rsidR="00C80DF2" w:rsidRPr="00B96856">
        <w:rPr>
          <w:rFonts w:asciiTheme="majorHAnsi" w:hAnsiTheme="majorHAnsi" w:cstheme="majorHAnsi"/>
        </w:rPr>
        <w:t xml:space="preserve">Por su parte, Giordano </w:t>
      </w:r>
      <w:r w:rsidR="00C80DF2" w:rsidRPr="00B96856">
        <w:rPr>
          <w:rFonts w:asciiTheme="majorHAnsi" w:hAnsiTheme="majorHAnsi" w:cstheme="majorHAnsi"/>
          <w:i/>
          <w:iCs/>
        </w:rPr>
        <w:t>et al.</w:t>
      </w:r>
      <w:r w:rsidR="00C80DF2" w:rsidRPr="00B96856">
        <w:rPr>
          <w:rFonts w:asciiTheme="majorHAnsi" w:hAnsiTheme="majorHAnsi" w:cstheme="majorHAnsi"/>
        </w:rPr>
        <w:t xml:space="preserve"> (</w:t>
      </w:r>
      <w:r w:rsidR="00A3014B" w:rsidRPr="00B96856">
        <w:rPr>
          <w:rFonts w:asciiTheme="majorHAnsi" w:hAnsiTheme="majorHAnsi" w:cstheme="majorHAnsi"/>
        </w:rPr>
        <w:t>2002)</w:t>
      </w:r>
      <w:r w:rsidR="00AD6754" w:rsidRPr="00B96856">
        <w:rPr>
          <w:rFonts w:asciiTheme="majorHAnsi" w:hAnsiTheme="majorHAnsi" w:cstheme="majorHAnsi"/>
        </w:rPr>
        <w:t xml:space="preserve"> proponen una </w:t>
      </w:r>
      <w:r w:rsidR="00AD6754" w:rsidRPr="00B96856">
        <w:rPr>
          <w:rFonts w:asciiTheme="majorHAnsi" w:hAnsiTheme="majorHAnsi" w:cstheme="majorHAnsi"/>
          <w:i/>
          <w:iCs/>
        </w:rPr>
        <w:t>transformación cognitiva</w:t>
      </w:r>
      <w:r w:rsidR="00AD6754" w:rsidRPr="00B96856">
        <w:rPr>
          <w:rFonts w:asciiTheme="majorHAnsi" w:hAnsiTheme="majorHAnsi" w:cstheme="majorHAnsi"/>
        </w:rPr>
        <w:t xml:space="preserve"> a través de</w:t>
      </w:r>
      <w:r w:rsidR="003C4E34" w:rsidRPr="00B96856">
        <w:rPr>
          <w:rFonts w:asciiTheme="majorHAnsi" w:hAnsiTheme="majorHAnsi" w:cstheme="majorHAnsi"/>
        </w:rPr>
        <w:t xml:space="preserve"> la construcción de un “yo sustituto”</w:t>
      </w:r>
      <w:r w:rsidR="00120CD2" w:rsidRPr="00B96856">
        <w:rPr>
          <w:rFonts w:asciiTheme="majorHAnsi" w:hAnsiTheme="majorHAnsi" w:cstheme="majorHAnsi"/>
        </w:rPr>
        <w:t>, que explican produce cambios más duraderos que cualquier factor estructural o externo.</w:t>
      </w:r>
      <w:r w:rsidR="00783FB7" w:rsidRPr="00B96856">
        <w:rPr>
          <w:rFonts w:asciiTheme="majorHAnsi" w:hAnsiTheme="majorHAnsi" w:cstheme="majorHAnsi"/>
        </w:rPr>
        <w:t xml:space="preserve"> </w:t>
      </w:r>
      <w:r w:rsidR="00783FB7" w:rsidRPr="00B96856">
        <w:rPr>
          <w:rFonts w:asciiTheme="majorHAnsi" w:hAnsiTheme="majorHAnsi" w:cstheme="majorHAnsi"/>
          <w:bCs/>
        </w:rPr>
        <w:t xml:space="preserve">Farrall y otros (Farrall, 2002, 2005; Maruna y Farrall, 2004; Farrall y Calverley, 2006; Farrall </w:t>
      </w:r>
      <w:r w:rsidR="00783FB7" w:rsidRPr="00B96856">
        <w:rPr>
          <w:rFonts w:asciiTheme="majorHAnsi" w:hAnsiTheme="majorHAnsi" w:cstheme="majorHAnsi"/>
          <w:bCs/>
          <w:i/>
          <w:iCs/>
        </w:rPr>
        <w:t>et al.</w:t>
      </w:r>
      <w:r w:rsidR="00783FB7" w:rsidRPr="00B96856">
        <w:rPr>
          <w:rFonts w:asciiTheme="majorHAnsi" w:hAnsiTheme="majorHAnsi" w:cstheme="majorHAnsi"/>
          <w:bCs/>
        </w:rPr>
        <w:t>, 2014)</w:t>
      </w:r>
      <w:r w:rsidR="001A0451" w:rsidRPr="00B96856">
        <w:rPr>
          <w:rFonts w:asciiTheme="majorHAnsi" w:hAnsiTheme="majorHAnsi" w:cstheme="majorHAnsi"/>
          <w:bCs/>
        </w:rPr>
        <w:t xml:space="preserve"> exploran como se “siente” </w:t>
      </w:r>
      <w:r w:rsidR="002320A1" w:rsidRPr="00B96856">
        <w:rPr>
          <w:rFonts w:asciiTheme="majorHAnsi" w:hAnsiTheme="majorHAnsi" w:cstheme="majorHAnsi"/>
          <w:bCs/>
        </w:rPr>
        <w:t xml:space="preserve">la persona que desiste. Lo original de estos últimos estudios es que se centran en </w:t>
      </w:r>
      <w:r w:rsidR="00BE3980" w:rsidRPr="00B96856">
        <w:rPr>
          <w:rFonts w:asciiTheme="majorHAnsi" w:hAnsiTheme="majorHAnsi" w:cstheme="majorHAnsi"/>
          <w:bCs/>
        </w:rPr>
        <w:t>los factores internos subjetivos del desistimiento.</w:t>
      </w:r>
    </w:p>
  </w:footnote>
  <w:footnote w:id="7">
    <w:p w14:paraId="782CC14E" w14:textId="72F328CD" w:rsidR="00173C76" w:rsidRPr="00B96856" w:rsidRDefault="00173C76"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Este análisis impactaría también en las investigaciones que se realizan sobre “carreras delictivas”. </w:t>
      </w:r>
    </w:p>
  </w:footnote>
  <w:footnote w:id="8">
    <w:p w14:paraId="2C711D30" w14:textId="6BF5C0C6" w:rsidR="00E5797E" w:rsidRPr="00B96856" w:rsidRDefault="00E5797E"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w:t>
      </w:r>
      <w:r w:rsidRPr="00B96856">
        <w:rPr>
          <w:rFonts w:asciiTheme="majorHAnsi" w:hAnsiTheme="majorHAnsi" w:cstheme="majorHAnsi"/>
          <w:bCs/>
        </w:rPr>
        <w:t>La idea de que los sentimientos de vergüenza pueden estar relacionados con el desistimiento no es nueva, véase, por ejemplo: Braithwaite (1989) y Liebrich (1996).</w:t>
      </w:r>
    </w:p>
  </w:footnote>
  <w:footnote w:id="9">
    <w:p w14:paraId="395D3278" w14:textId="72BB9D10" w:rsidR="009F2BA9" w:rsidRPr="00B96856" w:rsidRDefault="009F2BA9" w:rsidP="00B96856">
      <w:pPr>
        <w:pStyle w:val="Textonotapie"/>
        <w:jc w:val="both"/>
        <w:rPr>
          <w:rFonts w:asciiTheme="majorHAnsi" w:hAnsiTheme="majorHAnsi" w:cstheme="majorHAnsi"/>
        </w:rPr>
      </w:pPr>
      <w:r w:rsidRPr="00B96856">
        <w:rPr>
          <w:rStyle w:val="Refdenotaalpie"/>
          <w:rFonts w:asciiTheme="majorHAnsi" w:hAnsiTheme="majorHAnsi" w:cstheme="majorHAnsi"/>
        </w:rPr>
        <w:footnoteRef/>
      </w:r>
      <w:r w:rsidRPr="00B96856">
        <w:rPr>
          <w:rFonts w:asciiTheme="majorHAnsi" w:hAnsiTheme="majorHAnsi" w:cstheme="majorHAnsi"/>
        </w:rPr>
        <w:t xml:space="preserve"> Ver también Katz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72"/>
    <w:rsid w:val="00030B70"/>
    <w:rsid w:val="00032826"/>
    <w:rsid w:val="00043391"/>
    <w:rsid w:val="00050DFE"/>
    <w:rsid w:val="00061F34"/>
    <w:rsid w:val="00074FAF"/>
    <w:rsid w:val="000769E1"/>
    <w:rsid w:val="00091772"/>
    <w:rsid w:val="000B5875"/>
    <w:rsid w:val="000B7186"/>
    <w:rsid w:val="000F0085"/>
    <w:rsid w:val="000F0EB5"/>
    <w:rsid w:val="000F34DF"/>
    <w:rsid w:val="00103A82"/>
    <w:rsid w:val="001113C8"/>
    <w:rsid w:val="00115A70"/>
    <w:rsid w:val="00120CD2"/>
    <w:rsid w:val="00124324"/>
    <w:rsid w:val="00130F20"/>
    <w:rsid w:val="00163893"/>
    <w:rsid w:val="00170503"/>
    <w:rsid w:val="00173C76"/>
    <w:rsid w:val="0018575B"/>
    <w:rsid w:val="001A0451"/>
    <w:rsid w:val="001A7492"/>
    <w:rsid w:val="001D3048"/>
    <w:rsid w:val="001D392F"/>
    <w:rsid w:val="001F0739"/>
    <w:rsid w:val="001F6EEB"/>
    <w:rsid w:val="00213F02"/>
    <w:rsid w:val="0023099C"/>
    <w:rsid w:val="002320A1"/>
    <w:rsid w:val="00233540"/>
    <w:rsid w:val="00234280"/>
    <w:rsid w:val="002424B1"/>
    <w:rsid w:val="002577C6"/>
    <w:rsid w:val="00286232"/>
    <w:rsid w:val="00294564"/>
    <w:rsid w:val="00295D5F"/>
    <w:rsid w:val="002A7E2E"/>
    <w:rsid w:val="002B071F"/>
    <w:rsid w:val="002B64E2"/>
    <w:rsid w:val="002B6FF8"/>
    <w:rsid w:val="002C01E1"/>
    <w:rsid w:val="002D44AA"/>
    <w:rsid w:val="002E3CB9"/>
    <w:rsid w:val="00317797"/>
    <w:rsid w:val="003279D1"/>
    <w:rsid w:val="00341303"/>
    <w:rsid w:val="00347E79"/>
    <w:rsid w:val="0035313D"/>
    <w:rsid w:val="00361808"/>
    <w:rsid w:val="00363F54"/>
    <w:rsid w:val="00396AFD"/>
    <w:rsid w:val="003B4E83"/>
    <w:rsid w:val="003C4E34"/>
    <w:rsid w:val="003D46B5"/>
    <w:rsid w:val="003E3790"/>
    <w:rsid w:val="003F22C5"/>
    <w:rsid w:val="003F2692"/>
    <w:rsid w:val="003F7123"/>
    <w:rsid w:val="003F78B5"/>
    <w:rsid w:val="004036F2"/>
    <w:rsid w:val="00410D0C"/>
    <w:rsid w:val="00414A79"/>
    <w:rsid w:val="00416866"/>
    <w:rsid w:val="00422E2B"/>
    <w:rsid w:val="00426DE3"/>
    <w:rsid w:val="004329CF"/>
    <w:rsid w:val="004555E6"/>
    <w:rsid w:val="0046220D"/>
    <w:rsid w:val="0047572F"/>
    <w:rsid w:val="004A0E29"/>
    <w:rsid w:val="004A49BC"/>
    <w:rsid w:val="004A7207"/>
    <w:rsid w:val="004C18B6"/>
    <w:rsid w:val="004C3849"/>
    <w:rsid w:val="004D101D"/>
    <w:rsid w:val="004D40A8"/>
    <w:rsid w:val="004D5AA2"/>
    <w:rsid w:val="004E7C11"/>
    <w:rsid w:val="004F6F46"/>
    <w:rsid w:val="00526B52"/>
    <w:rsid w:val="00530D71"/>
    <w:rsid w:val="005316B7"/>
    <w:rsid w:val="00533A21"/>
    <w:rsid w:val="00535FA4"/>
    <w:rsid w:val="00577967"/>
    <w:rsid w:val="005855B4"/>
    <w:rsid w:val="0058750E"/>
    <w:rsid w:val="005A40A1"/>
    <w:rsid w:val="005A4440"/>
    <w:rsid w:val="005A4D2A"/>
    <w:rsid w:val="005B21A3"/>
    <w:rsid w:val="005C14CB"/>
    <w:rsid w:val="005E474C"/>
    <w:rsid w:val="005F036F"/>
    <w:rsid w:val="005F477C"/>
    <w:rsid w:val="005F655C"/>
    <w:rsid w:val="00603151"/>
    <w:rsid w:val="00626CC0"/>
    <w:rsid w:val="00626CCB"/>
    <w:rsid w:val="00631B08"/>
    <w:rsid w:val="00643A34"/>
    <w:rsid w:val="00651471"/>
    <w:rsid w:val="006520D0"/>
    <w:rsid w:val="00655D33"/>
    <w:rsid w:val="006879B8"/>
    <w:rsid w:val="006925A1"/>
    <w:rsid w:val="006A3119"/>
    <w:rsid w:val="006B6955"/>
    <w:rsid w:val="006C1B36"/>
    <w:rsid w:val="006C35BB"/>
    <w:rsid w:val="006C46D4"/>
    <w:rsid w:val="006D02E2"/>
    <w:rsid w:val="006E2FE3"/>
    <w:rsid w:val="00706A2B"/>
    <w:rsid w:val="00711E00"/>
    <w:rsid w:val="00717EB6"/>
    <w:rsid w:val="00732683"/>
    <w:rsid w:val="00767B9E"/>
    <w:rsid w:val="0077407F"/>
    <w:rsid w:val="00774B5B"/>
    <w:rsid w:val="007750F8"/>
    <w:rsid w:val="00783FB7"/>
    <w:rsid w:val="007B52CC"/>
    <w:rsid w:val="007C2E82"/>
    <w:rsid w:val="007E3FCA"/>
    <w:rsid w:val="007F2FEB"/>
    <w:rsid w:val="007F4A24"/>
    <w:rsid w:val="00801194"/>
    <w:rsid w:val="008208AC"/>
    <w:rsid w:val="0082165D"/>
    <w:rsid w:val="00833C74"/>
    <w:rsid w:val="00834924"/>
    <w:rsid w:val="008417B5"/>
    <w:rsid w:val="008535AC"/>
    <w:rsid w:val="008604A9"/>
    <w:rsid w:val="008805BA"/>
    <w:rsid w:val="008A019F"/>
    <w:rsid w:val="008A3CB9"/>
    <w:rsid w:val="008B1572"/>
    <w:rsid w:val="00900D78"/>
    <w:rsid w:val="009063D2"/>
    <w:rsid w:val="00907061"/>
    <w:rsid w:val="0090755E"/>
    <w:rsid w:val="00920135"/>
    <w:rsid w:val="0092383C"/>
    <w:rsid w:val="00924847"/>
    <w:rsid w:val="009439A6"/>
    <w:rsid w:val="009447F8"/>
    <w:rsid w:val="00952610"/>
    <w:rsid w:val="00964D06"/>
    <w:rsid w:val="0096612A"/>
    <w:rsid w:val="009769B8"/>
    <w:rsid w:val="009824DC"/>
    <w:rsid w:val="0098736C"/>
    <w:rsid w:val="009A5B80"/>
    <w:rsid w:val="009A6FE6"/>
    <w:rsid w:val="009B746C"/>
    <w:rsid w:val="009C0846"/>
    <w:rsid w:val="009C74CD"/>
    <w:rsid w:val="009D1955"/>
    <w:rsid w:val="009F1499"/>
    <w:rsid w:val="009F2BA9"/>
    <w:rsid w:val="009F2CB2"/>
    <w:rsid w:val="00A037D4"/>
    <w:rsid w:val="00A10083"/>
    <w:rsid w:val="00A154C7"/>
    <w:rsid w:val="00A27428"/>
    <w:rsid w:val="00A3014B"/>
    <w:rsid w:val="00A52410"/>
    <w:rsid w:val="00A53C7A"/>
    <w:rsid w:val="00A60C9F"/>
    <w:rsid w:val="00A623C2"/>
    <w:rsid w:val="00A6504F"/>
    <w:rsid w:val="00A72059"/>
    <w:rsid w:val="00A73AA4"/>
    <w:rsid w:val="00A749FF"/>
    <w:rsid w:val="00A80D16"/>
    <w:rsid w:val="00A96819"/>
    <w:rsid w:val="00AA04BB"/>
    <w:rsid w:val="00AA79BD"/>
    <w:rsid w:val="00AB3F79"/>
    <w:rsid w:val="00AB4881"/>
    <w:rsid w:val="00AC1A17"/>
    <w:rsid w:val="00AD6754"/>
    <w:rsid w:val="00AE572D"/>
    <w:rsid w:val="00AE63DB"/>
    <w:rsid w:val="00AE63F2"/>
    <w:rsid w:val="00AF2BF7"/>
    <w:rsid w:val="00AF6B12"/>
    <w:rsid w:val="00B013CF"/>
    <w:rsid w:val="00B02E6B"/>
    <w:rsid w:val="00B13473"/>
    <w:rsid w:val="00B16025"/>
    <w:rsid w:val="00B17D94"/>
    <w:rsid w:val="00B22DB4"/>
    <w:rsid w:val="00B33EFF"/>
    <w:rsid w:val="00B532B6"/>
    <w:rsid w:val="00B616DE"/>
    <w:rsid w:val="00B62EB9"/>
    <w:rsid w:val="00B70666"/>
    <w:rsid w:val="00B76402"/>
    <w:rsid w:val="00B8001E"/>
    <w:rsid w:val="00B825CF"/>
    <w:rsid w:val="00B96856"/>
    <w:rsid w:val="00BA07A7"/>
    <w:rsid w:val="00BA3D7C"/>
    <w:rsid w:val="00BA74DC"/>
    <w:rsid w:val="00BB7265"/>
    <w:rsid w:val="00BC5929"/>
    <w:rsid w:val="00BD2CE1"/>
    <w:rsid w:val="00BD6473"/>
    <w:rsid w:val="00BE3980"/>
    <w:rsid w:val="00BE51F0"/>
    <w:rsid w:val="00BF06DF"/>
    <w:rsid w:val="00C10818"/>
    <w:rsid w:val="00C301E8"/>
    <w:rsid w:val="00C42F3E"/>
    <w:rsid w:val="00C7070F"/>
    <w:rsid w:val="00C80D80"/>
    <w:rsid w:val="00C80DF2"/>
    <w:rsid w:val="00C83E0C"/>
    <w:rsid w:val="00CE0AB1"/>
    <w:rsid w:val="00CE2CEC"/>
    <w:rsid w:val="00D02193"/>
    <w:rsid w:val="00D02230"/>
    <w:rsid w:val="00D04246"/>
    <w:rsid w:val="00D11E15"/>
    <w:rsid w:val="00D310C2"/>
    <w:rsid w:val="00D441CB"/>
    <w:rsid w:val="00D44FBE"/>
    <w:rsid w:val="00D54472"/>
    <w:rsid w:val="00D6456F"/>
    <w:rsid w:val="00D66EC9"/>
    <w:rsid w:val="00D675A1"/>
    <w:rsid w:val="00D93CF2"/>
    <w:rsid w:val="00D96A66"/>
    <w:rsid w:val="00DB1026"/>
    <w:rsid w:val="00DB2BEB"/>
    <w:rsid w:val="00DB73F0"/>
    <w:rsid w:val="00DC3C8B"/>
    <w:rsid w:val="00DC3F91"/>
    <w:rsid w:val="00DD260E"/>
    <w:rsid w:val="00DD3B89"/>
    <w:rsid w:val="00DF023E"/>
    <w:rsid w:val="00E019E3"/>
    <w:rsid w:val="00E261A3"/>
    <w:rsid w:val="00E26668"/>
    <w:rsid w:val="00E465DA"/>
    <w:rsid w:val="00E508D0"/>
    <w:rsid w:val="00E5797E"/>
    <w:rsid w:val="00E679EA"/>
    <w:rsid w:val="00E83A4B"/>
    <w:rsid w:val="00E85759"/>
    <w:rsid w:val="00E86778"/>
    <w:rsid w:val="00EA3458"/>
    <w:rsid w:val="00EA6E0A"/>
    <w:rsid w:val="00EC6038"/>
    <w:rsid w:val="00ED1D58"/>
    <w:rsid w:val="00EE210E"/>
    <w:rsid w:val="00EE7AF8"/>
    <w:rsid w:val="00EF6629"/>
    <w:rsid w:val="00F12C68"/>
    <w:rsid w:val="00F20717"/>
    <w:rsid w:val="00F252B6"/>
    <w:rsid w:val="00F3489F"/>
    <w:rsid w:val="00F51344"/>
    <w:rsid w:val="00F5411F"/>
    <w:rsid w:val="00F56524"/>
    <w:rsid w:val="00F574A4"/>
    <w:rsid w:val="00F60469"/>
    <w:rsid w:val="00F63B1D"/>
    <w:rsid w:val="00F64D0A"/>
    <w:rsid w:val="00F66E12"/>
    <w:rsid w:val="00F67970"/>
    <w:rsid w:val="00F84726"/>
    <w:rsid w:val="00FB4FC1"/>
    <w:rsid w:val="00FB6129"/>
    <w:rsid w:val="00FC5DA9"/>
    <w:rsid w:val="00FC646E"/>
    <w:rsid w:val="00FD7EC4"/>
    <w:rsid w:val="00FF30D9"/>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452A"/>
  <w15:chartTrackingRefBased/>
  <w15:docId w15:val="{538D67DA-5776-44E4-AC9A-3B523080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07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70F"/>
    <w:rPr>
      <w:sz w:val="20"/>
      <w:szCs w:val="20"/>
      <w:lang w:val="es-AR"/>
    </w:rPr>
  </w:style>
  <w:style w:type="character" w:styleId="Refdenotaalpie">
    <w:name w:val="footnote reference"/>
    <w:basedOn w:val="Fuentedeprrafopredeter"/>
    <w:uiPriority w:val="99"/>
    <w:semiHidden/>
    <w:unhideWhenUsed/>
    <w:rsid w:val="00C7070F"/>
    <w:rPr>
      <w:vertAlign w:val="superscript"/>
    </w:rPr>
  </w:style>
  <w:style w:type="paragraph" w:styleId="Encabezado">
    <w:name w:val="header"/>
    <w:basedOn w:val="Normal"/>
    <w:link w:val="EncabezadoCar"/>
    <w:uiPriority w:val="99"/>
    <w:unhideWhenUsed/>
    <w:rsid w:val="00526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B52"/>
    <w:rPr>
      <w:lang w:val="es-AR"/>
    </w:rPr>
  </w:style>
  <w:style w:type="paragraph" w:styleId="Piedepgina">
    <w:name w:val="footer"/>
    <w:basedOn w:val="Normal"/>
    <w:link w:val="PiedepginaCar"/>
    <w:uiPriority w:val="99"/>
    <w:unhideWhenUsed/>
    <w:rsid w:val="00526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B52"/>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23E7-B7A9-47B1-9BD3-40F3F0F2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36</Pages>
  <Words>10702</Words>
  <Characters>58866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 Alejandro Roldán</dc:creator>
  <cp:keywords/>
  <dc:description/>
  <cp:lastModifiedBy>Nahuel Alejandro Roldán</cp:lastModifiedBy>
  <cp:revision>290</cp:revision>
  <dcterms:created xsi:type="dcterms:W3CDTF">2024-03-15T19:10:00Z</dcterms:created>
  <dcterms:modified xsi:type="dcterms:W3CDTF">2024-03-23T02:28:00Z</dcterms:modified>
</cp:coreProperties>
</file>