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4A" w:rsidRPr="00E665EF" w:rsidRDefault="00E665EF" w:rsidP="00E665EF">
      <w:pPr>
        <w:pStyle w:val="Ttulo2"/>
        <w:jc w:val="both"/>
        <w:rPr>
          <w:rFonts w:ascii="Calibri" w:hAnsi="Calibri"/>
          <w:b/>
          <w:color w:val="auto"/>
          <w:sz w:val="28"/>
          <w:szCs w:val="28"/>
          <w:lang w:val="es-AR"/>
        </w:rPr>
      </w:pPr>
      <w:bookmarkStart w:id="0" w:name="título"/>
      <w:r w:rsidRPr="00E665EF">
        <w:rPr>
          <w:rFonts w:ascii="Calibri" w:hAnsi="Calibri"/>
          <w:b/>
          <w:color w:val="auto"/>
          <w:sz w:val="28"/>
          <w:szCs w:val="28"/>
          <w:lang w:val="es-AR"/>
        </w:rPr>
        <w:t>Título:</w:t>
      </w:r>
    </w:p>
    <w:p w:rsidR="00030A4A" w:rsidRPr="00E665EF" w:rsidRDefault="00E665EF" w:rsidP="00E665EF">
      <w:pPr>
        <w:pStyle w:val="FirstParagraph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Agentes de socialización y género en los proyectos de vida</w:t>
      </w:r>
    </w:p>
    <w:p w:rsidR="00E665EF" w:rsidRPr="00E665EF" w:rsidRDefault="00E665EF" w:rsidP="00E665EF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1" w:name="X716a4656e61f68499f8170ad8997800ca1a78bd"/>
      <w:bookmarkEnd w:id="0"/>
      <w:r w:rsidRPr="00E665EF">
        <w:rPr>
          <w:rFonts w:ascii="Calibri" w:hAnsi="Calibri"/>
          <w:b/>
          <w:color w:val="auto"/>
          <w:sz w:val="24"/>
          <w:szCs w:val="24"/>
          <w:lang w:val="es-AR"/>
        </w:rPr>
        <w:t>Autores:</w:t>
      </w:r>
    </w:p>
    <w:p w:rsidR="00E665EF" w:rsidRDefault="00E665EF" w:rsidP="00E665EF">
      <w:pPr>
        <w:pStyle w:val="NormalWeb"/>
        <w:numPr>
          <w:ilvl w:val="0"/>
          <w:numId w:val="3"/>
        </w:numPr>
        <w:jc w:val="both"/>
        <w:rPr>
          <w:rFonts w:ascii="Calibri" w:hAnsi="Calibri"/>
        </w:rPr>
      </w:pPr>
      <w:r w:rsidRPr="00E665EF">
        <w:rPr>
          <w:rFonts w:ascii="Calibri" w:hAnsi="Calibri"/>
        </w:rPr>
        <w:t xml:space="preserve">Lopez, Adriana (IPEM 359 Dr. Arturo </w:t>
      </w:r>
      <w:r>
        <w:rPr>
          <w:rFonts w:ascii="Calibri" w:hAnsi="Calibri"/>
        </w:rPr>
        <w:t xml:space="preserve">U. Illia) - </w:t>
      </w:r>
      <w:hyperlink r:id="rId6" w:history="1">
        <w:r w:rsidRPr="00847151">
          <w:rPr>
            <w:rStyle w:val="Hipervnculo"/>
            <w:rFonts w:ascii="Calibri" w:hAnsi="Calibri"/>
          </w:rPr>
          <w:t>a05771114@gmail.com</w:t>
        </w:r>
      </w:hyperlink>
    </w:p>
    <w:p w:rsidR="00E665EF" w:rsidRDefault="00E665EF" w:rsidP="00E665EF">
      <w:pPr>
        <w:pStyle w:val="NormalWeb"/>
        <w:numPr>
          <w:ilvl w:val="0"/>
          <w:numId w:val="3"/>
        </w:numPr>
        <w:jc w:val="both"/>
        <w:rPr>
          <w:rFonts w:ascii="Calibri" w:hAnsi="Calibri"/>
        </w:rPr>
      </w:pPr>
      <w:r w:rsidRPr="00E665EF">
        <w:rPr>
          <w:rFonts w:ascii="Calibri" w:hAnsi="Calibri"/>
        </w:rPr>
        <w:t>Martínez, Luna (IPEM 359 Dr. Arturo U.</w:t>
      </w:r>
      <w:r w:rsidRPr="00E665EF">
        <w:rPr>
          <w:rFonts w:ascii="Calibri" w:hAnsi="Calibri"/>
        </w:rPr>
        <w:t xml:space="preserve"> Illia) - </w:t>
      </w:r>
      <w:hyperlink r:id="rId7" w:history="1">
        <w:r w:rsidRPr="00847151">
          <w:rPr>
            <w:rStyle w:val="Hipervnculo"/>
            <w:rFonts w:ascii="Calibri" w:hAnsi="Calibri"/>
          </w:rPr>
          <w:t>mileimarito@gmail.com</w:t>
        </w:r>
      </w:hyperlink>
    </w:p>
    <w:p w:rsidR="00E665EF" w:rsidRDefault="00E665EF" w:rsidP="00E665EF">
      <w:pPr>
        <w:pStyle w:val="NormalWeb"/>
        <w:numPr>
          <w:ilvl w:val="0"/>
          <w:numId w:val="3"/>
        </w:numPr>
        <w:jc w:val="both"/>
        <w:rPr>
          <w:rFonts w:ascii="Calibri" w:hAnsi="Calibri"/>
        </w:rPr>
      </w:pPr>
      <w:r w:rsidRPr="00E665EF">
        <w:rPr>
          <w:rFonts w:ascii="Calibri" w:hAnsi="Calibri"/>
        </w:rPr>
        <w:t xml:space="preserve">Olivera, Joel (IPEM 359 Dr. Arturo U. Illia) - </w:t>
      </w:r>
      <w:hyperlink r:id="rId8" w:history="1">
        <w:r w:rsidRPr="00847151">
          <w:rPr>
            <w:rStyle w:val="Hipervnculo"/>
            <w:rFonts w:ascii="Calibri" w:hAnsi="Calibri"/>
          </w:rPr>
          <w:t>oliverajoel1cipem359@gmail.com</w:t>
        </w:r>
      </w:hyperlink>
    </w:p>
    <w:p w:rsidR="00E665EF" w:rsidRDefault="00E665EF" w:rsidP="00E665EF">
      <w:pPr>
        <w:pStyle w:val="NormalWeb"/>
        <w:numPr>
          <w:ilvl w:val="0"/>
          <w:numId w:val="3"/>
        </w:numPr>
        <w:jc w:val="both"/>
        <w:rPr>
          <w:rFonts w:ascii="Calibri" w:hAnsi="Calibri"/>
        </w:rPr>
      </w:pPr>
      <w:r w:rsidRPr="00E665EF">
        <w:rPr>
          <w:rFonts w:ascii="Calibri" w:hAnsi="Calibri"/>
        </w:rPr>
        <w:t>Figueroa, Melina (IPEM 359 Dr. Arturo U. Illi</w:t>
      </w:r>
      <w:r w:rsidRPr="00E665EF">
        <w:rPr>
          <w:rFonts w:ascii="Calibri" w:hAnsi="Calibri"/>
        </w:rPr>
        <w:t xml:space="preserve">a) - </w:t>
      </w:r>
      <w:hyperlink r:id="rId9" w:history="1">
        <w:r w:rsidRPr="00847151">
          <w:rPr>
            <w:rStyle w:val="Hipervnculo"/>
            <w:rFonts w:ascii="Calibri" w:hAnsi="Calibri"/>
          </w:rPr>
          <w:t>anonimoxsiemprea@gmail.com</w:t>
        </w:r>
      </w:hyperlink>
    </w:p>
    <w:p w:rsidR="00E665EF" w:rsidRDefault="00E665EF" w:rsidP="00E665EF">
      <w:pPr>
        <w:pStyle w:val="NormalWeb"/>
        <w:numPr>
          <w:ilvl w:val="0"/>
          <w:numId w:val="3"/>
        </w:numPr>
        <w:jc w:val="both"/>
        <w:rPr>
          <w:rFonts w:ascii="Calibri" w:hAnsi="Calibri"/>
        </w:rPr>
      </w:pPr>
      <w:r w:rsidRPr="00E665EF">
        <w:rPr>
          <w:rFonts w:ascii="Calibri" w:hAnsi="Calibri"/>
        </w:rPr>
        <w:t>Gil, Guadalupe Leticia (IPEM 359 Dr. Arturo U. Illi</w:t>
      </w:r>
      <w:r w:rsidRPr="00E665EF">
        <w:rPr>
          <w:rFonts w:ascii="Calibri" w:hAnsi="Calibri"/>
        </w:rPr>
        <w:t xml:space="preserve">a) - </w:t>
      </w:r>
      <w:hyperlink r:id="rId10" w:history="1">
        <w:r w:rsidRPr="00847151">
          <w:rPr>
            <w:rStyle w:val="Hipervnculo"/>
            <w:rFonts w:ascii="Calibri" w:hAnsi="Calibri"/>
          </w:rPr>
          <w:t>lic.guadalupegil@gmail.com</w:t>
        </w:r>
      </w:hyperlink>
    </w:p>
    <w:p w:rsidR="00030A4A" w:rsidRPr="00E665EF" w:rsidRDefault="00E665EF" w:rsidP="00E665EF">
      <w:pPr>
        <w:pStyle w:val="NormalWeb"/>
        <w:jc w:val="both"/>
        <w:rPr>
          <w:rFonts w:ascii="Calibri" w:hAnsi="Calibri"/>
          <w:b/>
        </w:rPr>
      </w:pPr>
      <w:r w:rsidRPr="00E665EF">
        <w:rPr>
          <w:rFonts w:ascii="Calibri" w:hAnsi="Calibri"/>
          <w:b/>
        </w:rPr>
        <w:t>Interrogantes</w:t>
      </w:r>
      <w:r>
        <w:rPr>
          <w:rFonts w:ascii="Calibri" w:hAnsi="Calibri"/>
          <w:b/>
        </w:rPr>
        <w:t xml:space="preserve"> y objetivos</w:t>
      </w:r>
    </w:p>
    <w:p w:rsidR="00030A4A" w:rsidRPr="00E665EF" w:rsidRDefault="00E665EF" w:rsidP="00E665EF">
      <w:pPr>
        <w:pStyle w:val="FirstParagraph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La investigación busca responder: ¿cómo influyen los agentes de socialización, como la familia, la escuela y los medios de comunicación, en la configuración de los roles de género asumidos por los estudiantes de 4° añ</w:t>
      </w:r>
      <w:r>
        <w:rPr>
          <w:rFonts w:ascii="Calibri" w:hAnsi="Calibri"/>
          <w:lang w:val="es-AR"/>
        </w:rPr>
        <w:t xml:space="preserve">o del IPEM 359? ¿De qué manera </w:t>
      </w:r>
      <w:proofErr w:type="gramStart"/>
      <w:r>
        <w:rPr>
          <w:rFonts w:ascii="Calibri" w:hAnsi="Calibri"/>
          <w:lang w:val="es-AR"/>
        </w:rPr>
        <w:t>e</w:t>
      </w:r>
      <w:r w:rsidRPr="00E665EF">
        <w:rPr>
          <w:rFonts w:ascii="Calibri" w:hAnsi="Calibri"/>
          <w:lang w:val="es-AR"/>
        </w:rPr>
        <w:t>stos</w:t>
      </w:r>
      <w:proofErr w:type="gramEnd"/>
      <w:r w:rsidRPr="00E665EF">
        <w:rPr>
          <w:rFonts w:ascii="Calibri" w:hAnsi="Calibri"/>
          <w:lang w:val="es-AR"/>
        </w:rPr>
        <w:t xml:space="preserve"> ro</w:t>
      </w:r>
      <w:r w:rsidRPr="00E665EF">
        <w:rPr>
          <w:rFonts w:ascii="Calibri" w:hAnsi="Calibri"/>
          <w:lang w:val="es-AR"/>
        </w:rPr>
        <w:t>les inciden en la construcción de sus proyectos de vida personales, profesionales y afectivos? ¿Qué estereotipos están presentes en la vida cotidiana escolar y familiar, y cómo son reproducidos por los distintos actores sociales?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El objetivo general es ana</w:t>
      </w:r>
      <w:r w:rsidRPr="00E665EF">
        <w:rPr>
          <w:rFonts w:ascii="Calibri" w:hAnsi="Calibri"/>
          <w:lang w:val="es-AR"/>
        </w:rPr>
        <w:t>lizar la influencia de los agentes de socialización en la configuración de roles de género y su impacto en los proyectos de vida de los estudiantes, promoviendo la reflexión crítica sobre las desigualdades de género. Los objetivos específicos incluyen iden</w:t>
      </w:r>
      <w:r w:rsidRPr="00E665EF">
        <w:rPr>
          <w:rFonts w:ascii="Calibri" w:hAnsi="Calibri"/>
          <w:lang w:val="es-AR"/>
        </w:rPr>
        <w:t>tificar los estereotipos de género presentes en la vida escolar y familiar, examinar cómo los distintos agentes los reproducen o cuestionan, y visibilizar cómo estas construcciones afectan las aspiraciones personales, profesionales y afectivas de los jóven</w:t>
      </w:r>
      <w:r w:rsidRPr="00E665EF">
        <w:rPr>
          <w:rFonts w:ascii="Calibri" w:hAnsi="Calibri"/>
          <w:lang w:val="es-AR"/>
        </w:rPr>
        <w:t>es.</w:t>
      </w:r>
    </w:p>
    <w:p w:rsidR="00030A4A" w:rsidRPr="00E665EF" w:rsidRDefault="00E665EF" w:rsidP="00E665EF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2" w:name="Xc72b473a6c5500e4f4502a3e235c20049107530"/>
      <w:bookmarkEnd w:id="1"/>
      <w:r w:rsidRPr="00E665EF">
        <w:rPr>
          <w:rFonts w:ascii="Calibri" w:hAnsi="Calibri"/>
          <w:b/>
          <w:color w:val="auto"/>
          <w:sz w:val="24"/>
          <w:szCs w:val="24"/>
          <w:lang w:val="es-AR"/>
        </w:rPr>
        <w:t>Breve fundamentación / antecedentes / importancia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 xml:space="preserve"> del estudio</w:t>
      </w:r>
    </w:p>
    <w:p w:rsidR="00030A4A" w:rsidRPr="00E665EF" w:rsidRDefault="00E665EF" w:rsidP="00E665EF">
      <w:pPr>
        <w:pStyle w:val="FirstParagraph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La socialización es el proceso mediante el cual los individuos aprenden valores, normas y roles sociales a través de la interacción con distintos agentes, como la familia</w:t>
      </w:r>
      <w:r w:rsidRPr="00E665EF">
        <w:rPr>
          <w:rFonts w:ascii="Calibri" w:hAnsi="Calibri"/>
          <w:lang w:val="es-AR"/>
        </w:rPr>
        <w:t>, la escuela, los pares y los medios de comunicación. Los roles de género constituyen un componente central de esta socialización, ya que definen expectativas sobre comportamientos, actitudes y decisiones, afectando tanto la identidad personal como los pro</w:t>
      </w:r>
      <w:r w:rsidRPr="00E665EF">
        <w:rPr>
          <w:rFonts w:ascii="Calibri" w:hAnsi="Calibri"/>
          <w:lang w:val="es-AR"/>
        </w:rPr>
        <w:t>yectos de vida.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Investigaciones previas han mostrado que las desigualdades de género se reproducen desde edades tempranas y continúan impactando en la educación y la elección de carreras. Por ejemplo, el estudio “Género y carrera: el gusto por el área acad</w:t>
      </w:r>
      <w:r w:rsidRPr="00E665EF">
        <w:rPr>
          <w:rFonts w:ascii="Calibri" w:hAnsi="Calibri"/>
          <w:lang w:val="es-AR"/>
        </w:rPr>
        <w:t xml:space="preserve">émica como elemento en la elección de una licenciatura” evidencia que los estereotipos y preferencias de género influyen en la orientación profesional y en la elección de áreas académicas (Flores, 2009). Asimismo, se ha identificado que las diferencias de </w:t>
      </w:r>
      <w:r w:rsidRPr="00E665EF">
        <w:rPr>
          <w:rFonts w:ascii="Calibri" w:hAnsi="Calibri"/>
          <w:lang w:val="es-AR"/>
        </w:rPr>
        <w:t>género en habilidades cognitivas y rendimiento académico pueden estar mediadas por expectativas sociales y prácticas educativas que perpetúan desigualdades (González &amp; Ramírez, 2014).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lastRenderedPageBreak/>
        <w:t>En el contexto escolar, los dispositivos institucionales para debatir cr</w:t>
      </w:r>
      <w:r w:rsidRPr="00E665EF">
        <w:rPr>
          <w:rFonts w:ascii="Calibri" w:hAnsi="Calibri"/>
          <w:lang w:val="es-AR"/>
        </w:rPr>
        <w:t>íticamente sobre género y proyectos de vida aún son limitados, lo que dificulta que los jóvenes reconozcan y cuestionen las desigualdades presentes en sus entornos. Este proyecto surge con la intención de visibilizar cómo los agentes de socialización influ</w:t>
      </w:r>
      <w:r w:rsidRPr="00E665EF">
        <w:rPr>
          <w:rFonts w:ascii="Calibri" w:hAnsi="Calibri"/>
          <w:lang w:val="es-AR"/>
        </w:rPr>
        <w:t>yen en los roles de género y en las aspiraciones de los estudiantes, ofreciendo evidencia que pueda orientar acciones pedagógicas que fomenten entornos más igualitarios y la toma de conciencia sobre la construcción social de la identidad de género.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La impo</w:t>
      </w:r>
      <w:r w:rsidRPr="00E665EF">
        <w:rPr>
          <w:rFonts w:ascii="Calibri" w:hAnsi="Calibri"/>
          <w:lang w:val="es-AR"/>
        </w:rPr>
        <w:t>rtancia del estudio radica en la posibilidad de generar reflexión crítica y transformación de las prácticas socializadoras, promoviendo proyectos de vida más libres de estereotipos y limitaciones impuestas por roles de género tradicionales.</w:t>
      </w:r>
    </w:p>
    <w:p w:rsidR="00030A4A" w:rsidRPr="00E665EF" w:rsidRDefault="00E665EF" w:rsidP="00E665EF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3" w:name="X9a82026daedaf38fb3628c2462941e9c191772f"/>
      <w:bookmarkEnd w:id="2"/>
      <w:r w:rsidRPr="00E665EF">
        <w:rPr>
          <w:rFonts w:ascii="Calibri" w:hAnsi="Calibri"/>
          <w:b/>
          <w:color w:val="auto"/>
          <w:sz w:val="24"/>
          <w:szCs w:val="24"/>
          <w:lang w:val="es-AR"/>
        </w:rPr>
        <w:t>Principales con</w:t>
      </w:r>
      <w:r w:rsidRPr="00E665EF">
        <w:rPr>
          <w:rFonts w:ascii="Calibri" w:hAnsi="Calibri"/>
          <w:b/>
          <w:color w:val="auto"/>
          <w:sz w:val="24"/>
          <w:szCs w:val="24"/>
          <w:lang w:val="es-AR"/>
        </w:rPr>
        <w:t>ceptos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 xml:space="preserve"> del trabajo</w:t>
      </w:r>
    </w:p>
    <w:p w:rsidR="00030A4A" w:rsidRPr="00E665EF" w:rsidRDefault="00E665EF" w:rsidP="00E665EF">
      <w:pPr>
        <w:pStyle w:val="FirstParagraph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El </w:t>
      </w:r>
      <w:r w:rsidRPr="00E665EF">
        <w:rPr>
          <w:rFonts w:ascii="Calibri" w:hAnsi="Calibri"/>
          <w:bCs/>
          <w:lang w:val="es-AR"/>
        </w:rPr>
        <w:t>proceso de socialización</w:t>
      </w:r>
      <w:r w:rsidRPr="00E665EF">
        <w:rPr>
          <w:rFonts w:ascii="Calibri" w:hAnsi="Calibri"/>
          <w:lang w:val="es-AR"/>
        </w:rPr>
        <w:t xml:space="preserve"> se entiende como la construcción progresiva de normas, valores y comportamientos a través de la interacción con agentes sociales. Los </w:t>
      </w:r>
      <w:r w:rsidRPr="00E665EF">
        <w:rPr>
          <w:rFonts w:ascii="Calibri" w:hAnsi="Calibri"/>
          <w:bCs/>
          <w:lang w:val="es-AR"/>
        </w:rPr>
        <w:t>agentes de socialización</w:t>
      </w:r>
      <w:r w:rsidRPr="00E665EF">
        <w:rPr>
          <w:rFonts w:ascii="Calibri" w:hAnsi="Calibri"/>
          <w:lang w:val="es-AR"/>
        </w:rPr>
        <w:t>, como la familia, la escuela y</w:t>
      </w:r>
      <w:r w:rsidRPr="00E665EF">
        <w:rPr>
          <w:rFonts w:ascii="Calibri" w:hAnsi="Calibri"/>
          <w:lang w:val="es-AR"/>
        </w:rPr>
        <w:t xml:space="preserve"> los medios de comunicación, actúan como mediadores en la transmisión de expectativas y modelos de comportamiento que orientan la vida cotidiana de los individuos.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Los </w:t>
      </w:r>
      <w:r w:rsidRPr="00E665EF">
        <w:rPr>
          <w:rFonts w:ascii="Calibri" w:hAnsi="Calibri"/>
          <w:bCs/>
          <w:lang w:val="es-AR"/>
        </w:rPr>
        <w:t>roles de género</w:t>
      </w:r>
      <w:r w:rsidRPr="00E665EF">
        <w:rPr>
          <w:rFonts w:ascii="Calibri" w:hAnsi="Calibri"/>
          <w:lang w:val="es-AR"/>
        </w:rPr>
        <w:t xml:space="preserve"> son conjuntos de comportamientos, actitudes y responsabilidades asignada</w:t>
      </w:r>
      <w:r w:rsidRPr="00E665EF">
        <w:rPr>
          <w:rFonts w:ascii="Calibri" w:hAnsi="Calibri"/>
          <w:lang w:val="es-AR"/>
        </w:rPr>
        <w:t xml:space="preserve">s socialmente a varones y mujeres, que condicionan desde la infancia hasta la juventud cómo se expresan, interactúan y toman decisiones. Estos roles están estrechamente vinculados a los </w:t>
      </w:r>
      <w:r w:rsidRPr="00E665EF">
        <w:rPr>
          <w:rFonts w:ascii="Calibri" w:hAnsi="Calibri"/>
          <w:bCs/>
          <w:lang w:val="es-AR"/>
        </w:rPr>
        <w:t>estereotipos de género</w:t>
      </w:r>
      <w:r w:rsidRPr="00E665EF">
        <w:rPr>
          <w:rFonts w:ascii="Calibri" w:hAnsi="Calibri"/>
          <w:lang w:val="es-AR"/>
        </w:rPr>
        <w:t>, entendidos como creencias general</w:t>
      </w:r>
      <w:bookmarkStart w:id="4" w:name="_GoBack"/>
      <w:bookmarkEnd w:id="4"/>
      <w:r w:rsidRPr="00E665EF">
        <w:rPr>
          <w:rFonts w:ascii="Calibri" w:hAnsi="Calibri"/>
          <w:lang w:val="es-AR"/>
        </w:rPr>
        <w:t xml:space="preserve">izadas sobre </w:t>
      </w:r>
      <w:r w:rsidRPr="00E665EF">
        <w:rPr>
          <w:rFonts w:ascii="Calibri" w:hAnsi="Calibri"/>
          <w:lang w:val="es-AR"/>
        </w:rPr>
        <w:t>las características, habilidades y capacidades que deberían poseer los distintos géneros, los cuales pueden limitar oportunidades y decisiones en distintos ámbitos de la vida.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El </w:t>
      </w:r>
      <w:r w:rsidRPr="00E665EF">
        <w:rPr>
          <w:rFonts w:ascii="Calibri" w:hAnsi="Calibri"/>
          <w:bCs/>
          <w:lang w:val="es-AR"/>
        </w:rPr>
        <w:t>sujeto social</w:t>
      </w:r>
      <w:r w:rsidRPr="00E665EF">
        <w:rPr>
          <w:rFonts w:ascii="Calibri" w:hAnsi="Calibri"/>
          <w:lang w:val="es-AR"/>
        </w:rPr>
        <w:t xml:space="preserve"> se concibe como el individuo inserto en un contexto cultural y </w:t>
      </w:r>
      <w:r w:rsidRPr="00E665EF">
        <w:rPr>
          <w:rFonts w:ascii="Calibri" w:hAnsi="Calibri"/>
          <w:lang w:val="es-AR"/>
        </w:rPr>
        <w:t xml:space="preserve">social que influye en su identidad y en la construcción de su proyecto de vida. Por su parte, los </w:t>
      </w:r>
      <w:r w:rsidRPr="00E665EF">
        <w:rPr>
          <w:rFonts w:ascii="Calibri" w:hAnsi="Calibri"/>
          <w:bCs/>
          <w:lang w:val="es-AR"/>
        </w:rPr>
        <w:t>proyectos de vida</w:t>
      </w:r>
      <w:r w:rsidRPr="00E665EF">
        <w:rPr>
          <w:rFonts w:ascii="Calibri" w:hAnsi="Calibri"/>
          <w:lang w:val="es-AR"/>
        </w:rPr>
        <w:t xml:space="preserve"> son planes, aspiraciones y expectativas personales que guían la trayectoria educativa, laboral y afectiva de los jóvenes, y que se ven modul</w:t>
      </w:r>
      <w:r w:rsidRPr="00E665EF">
        <w:rPr>
          <w:rFonts w:ascii="Calibri" w:hAnsi="Calibri"/>
          <w:lang w:val="es-AR"/>
        </w:rPr>
        <w:t>ados por los aprendizajes y normas de género adquiridos en los distintos entornos de socialización.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Estos conceptos permiten analizar cómo la interacción entre agentes sociales y estereotipos de género impacta en la configuración de los proyectos de vida d</w:t>
      </w:r>
      <w:r w:rsidRPr="00E665EF">
        <w:rPr>
          <w:rFonts w:ascii="Calibri" w:hAnsi="Calibri"/>
          <w:lang w:val="es-AR"/>
        </w:rPr>
        <w:t>e los estudiantes, buscando visibilizar patrones comunes y oportunidades de intervención pedagógica.</w:t>
      </w:r>
    </w:p>
    <w:p w:rsidR="00030A4A" w:rsidRPr="00E665EF" w:rsidRDefault="00E665EF" w:rsidP="00E665EF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5" w:name="X15d649ee501b45a1e900e283db83edb0d66546d"/>
      <w:bookmarkEnd w:id="3"/>
      <w:r w:rsidRPr="00E665EF">
        <w:rPr>
          <w:rFonts w:ascii="Calibri" w:hAnsi="Calibri"/>
          <w:b/>
          <w:color w:val="auto"/>
          <w:sz w:val="24"/>
          <w:szCs w:val="24"/>
          <w:lang w:val="es-AR"/>
        </w:rPr>
        <w:t xml:space="preserve">Propuesta de diseño 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 xml:space="preserve">metodológico </w:t>
      </w:r>
    </w:p>
    <w:p w:rsidR="00030A4A" w:rsidRPr="00E665EF" w:rsidRDefault="00E665EF" w:rsidP="00E665EF">
      <w:pPr>
        <w:pStyle w:val="FirstParagraph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La investigación adoptará un </w:t>
      </w:r>
      <w:r w:rsidRPr="00E665EF">
        <w:rPr>
          <w:rFonts w:ascii="Calibri" w:hAnsi="Calibri"/>
          <w:bCs/>
          <w:lang w:val="es-AR"/>
        </w:rPr>
        <w:t>diseño mixto</w:t>
      </w:r>
      <w:r w:rsidRPr="00E665EF">
        <w:rPr>
          <w:rFonts w:ascii="Calibri" w:hAnsi="Calibri"/>
          <w:lang w:val="es-AR"/>
        </w:rPr>
        <w:t>, combinando métodos cuantitativos y cualitativos para obtene</w:t>
      </w:r>
      <w:r w:rsidRPr="00E665EF">
        <w:rPr>
          <w:rFonts w:ascii="Calibri" w:hAnsi="Calibri"/>
          <w:lang w:val="es-AR"/>
        </w:rPr>
        <w:t>r un análisis integral de la influencia de los agentes de socialización en los roles de género y proyectos de vida de los estudiantes. La población objetivo son los estudiantes de 4° año de la orientación Turismo del IPEM 359, seleccionados mediante muestr</w:t>
      </w:r>
      <w:r w:rsidRPr="00E665EF">
        <w:rPr>
          <w:rFonts w:ascii="Calibri" w:hAnsi="Calibri"/>
          <w:lang w:val="es-AR"/>
        </w:rPr>
        <w:t>eo intencional para incluir diversidad de experiencias y perspectivas.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Se aplicará una </w:t>
      </w:r>
      <w:r w:rsidRPr="00E665EF">
        <w:rPr>
          <w:rFonts w:ascii="Calibri" w:hAnsi="Calibri"/>
          <w:bCs/>
          <w:lang w:val="es-AR"/>
        </w:rPr>
        <w:t>encuesta digital</w:t>
      </w:r>
      <w:r w:rsidRPr="00E665EF">
        <w:rPr>
          <w:rFonts w:ascii="Calibri" w:hAnsi="Calibri"/>
          <w:lang w:val="es-AR"/>
        </w:rPr>
        <w:t xml:space="preserve"> destinada a relevar percepciones sobre experiencias personales, situaciones de desigualdad o discriminación de género y aspiraciones en distintos ámbito</w:t>
      </w:r>
      <w:r w:rsidRPr="00E665EF">
        <w:rPr>
          <w:rFonts w:ascii="Calibri" w:hAnsi="Calibri"/>
          <w:lang w:val="es-AR"/>
        </w:rPr>
        <w:t xml:space="preserve">s de la vida. Complementariamente, se realizarán </w:t>
      </w:r>
      <w:r w:rsidRPr="00E665EF">
        <w:rPr>
          <w:rFonts w:ascii="Calibri" w:hAnsi="Calibri"/>
          <w:bCs/>
          <w:lang w:val="es-AR"/>
        </w:rPr>
        <w:t xml:space="preserve">entrevistas </w:t>
      </w:r>
      <w:proofErr w:type="spellStart"/>
      <w:r w:rsidRPr="00E665EF">
        <w:rPr>
          <w:rFonts w:ascii="Calibri" w:hAnsi="Calibri"/>
          <w:bCs/>
          <w:lang w:val="es-AR"/>
        </w:rPr>
        <w:t>semiestructuradas</w:t>
      </w:r>
      <w:proofErr w:type="spellEnd"/>
      <w:r w:rsidRPr="00E665EF">
        <w:rPr>
          <w:rFonts w:ascii="Calibri" w:hAnsi="Calibri"/>
          <w:lang w:val="es-AR"/>
        </w:rPr>
        <w:t>, enfocadas en profundizar cómo los estudiantes interpretan las expectativas de género recibidas de la familia, la escuela y los medios, y cómo estas afectan sus proyectos de vid</w:t>
      </w:r>
      <w:r w:rsidRPr="00E665EF">
        <w:rPr>
          <w:rFonts w:ascii="Calibri" w:hAnsi="Calibri"/>
          <w:lang w:val="es-AR"/>
        </w:rPr>
        <w:t>a. Todas las preguntas se formularán con criterios éticos, respetuosos y pertinentes, garantizando un ambiente seguro y de confianza para los participantes, con acompañamiento docente.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El análisis de los datos combinará herramientas estadísticas para proce</w:t>
      </w:r>
      <w:r w:rsidRPr="00E665EF">
        <w:rPr>
          <w:rFonts w:ascii="Calibri" w:hAnsi="Calibri"/>
          <w:lang w:val="es-AR"/>
        </w:rPr>
        <w:t>sar las encuestas y técnicas de codificación temática para interpretar las entrevistas. Los hallazgos se integrarán con un enfoque interdisciplinario, incorporando perspectivas de Sociología, Formación para la Vida y el Trabajo, y Matemática, permitiendo i</w:t>
      </w:r>
      <w:r w:rsidRPr="00E665EF">
        <w:rPr>
          <w:rFonts w:ascii="Calibri" w:hAnsi="Calibri"/>
          <w:lang w:val="es-AR"/>
        </w:rPr>
        <w:t>dentificar patrones comunes, diferencias significativas y relaciones entre variables de socialización y proyectos de vida.</w:t>
      </w:r>
    </w:p>
    <w:p w:rsidR="00030A4A" w:rsidRPr="00E665EF" w:rsidRDefault="00E665EF" w:rsidP="00E665EF">
      <w:pPr>
        <w:pStyle w:val="Textoindependiente"/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Se espera que los resultados permitan identificar estereotipos y roles de género presentes en la vida cotidiana de los jóvenes, así c</w:t>
      </w:r>
      <w:r w:rsidRPr="00E665EF">
        <w:rPr>
          <w:rFonts w:ascii="Calibri" w:hAnsi="Calibri"/>
          <w:lang w:val="es-AR"/>
        </w:rPr>
        <w:t xml:space="preserve">omo evidencias sobre cómo estos influyen en sus aspiraciones y decisiones. A su vez, se busca generar insumos para reflexionar colectivamente sobre las prácticas socializadoras y promover intervenciones educativas que contribuyan a la igualdad de género y </w:t>
      </w:r>
      <w:r w:rsidRPr="00E665EF">
        <w:rPr>
          <w:rFonts w:ascii="Calibri" w:hAnsi="Calibri"/>
          <w:lang w:val="es-AR"/>
        </w:rPr>
        <w:t>a la construcción de proyectos de vida más autónomos.</w:t>
      </w:r>
    </w:p>
    <w:p w:rsidR="00030A4A" w:rsidRPr="00E665EF" w:rsidRDefault="00E665EF" w:rsidP="00E665EF">
      <w:pPr>
        <w:pStyle w:val="Ttulo2"/>
        <w:jc w:val="both"/>
        <w:rPr>
          <w:rFonts w:ascii="Calibri" w:hAnsi="Calibri"/>
          <w:b/>
          <w:color w:val="auto"/>
          <w:sz w:val="24"/>
          <w:szCs w:val="24"/>
          <w:lang w:val="es-AR"/>
        </w:rPr>
      </w:pPr>
      <w:bookmarkStart w:id="6" w:name="Xf997e7622a4859f36db9a5fed566cd36292c419"/>
      <w:bookmarkEnd w:id="5"/>
      <w:r w:rsidRPr="00E665EF">
        <w:rPr>
          <w:rFonts w:ascii="Calibri" w:hAnsi="Calibri"/>
          <w:b/>
          <w:color w:val="auto"/>
          <w:sz w:val="24"/>
          <w:szCs w:val="24"/>
          <w:lang w:val="es-AR"/>
        </w:rPr>
        <w:t xml:space="preserve">Bibliografía y otras </w:t>
      </w:r>
      <w:r>
        <w:rPr>
          <w:rFonts w:ascii="Calibri" w:hAnsi="Calibri"/>
          <w:b/>
          <w:color w:val="auto"/>
          <w:sz w:val="24"/>
          <w:szCs w:val="24"/>
          <w:lang w:val="es-AR"/>
        </w:rPr>
        <w:t>fuentes utilizadas</w:t>
      </w:r>
    </w:p>
    <w:p w:rsidR="00030A4A" w:rsidRDefault="00E665EF" w:rsidP="00E665EF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Flores, A. (2009). Género y carrera: el gusto por el área académica como elemento en la elección de una licenciatura. </w:t>
      </w:r>
      <w:r w:rsidRPr="00E665EF">
        <w:rPr>
          <w:rFonts w:ascii="Calibri" w:hAnsi="Calibri"/>
          <w:i/>
          <w:iCs/>
          <w:lang w:val="es-AR"/>
        </w:rPr>
        <w:t>Revista Latinoamericana de Est</w:t>
      </w:r>
      <w:r w:rsidRPr="00E665EF">
        <w:rPr>
          <w:rFonts w:ascii="Calibri" w:hAnsi="Calibri"/>
          <w:i/>
          <w:iCs/>
          <w:lang w:val="es-AR"/>
        </w:rPr>
        <w:t>udios Educativos, 1</w:t>
      </w:r>
      <w:r w:rsidRPr="00E665EF">
        <w:rPr>
          <w:rFonts w:ascii="Calibri" w:hAnsi="Calibri"/>
          <w:lang w:val="es-AR"/>
        </w:rPr>
        <w:t xml:space="preserve">(1). Recuperado de </w:t>
      </w:r>
      <w:hyperlink r:id="rId11" w:history="1">
        <w:r w:rsidRPr="00847151">
          <w:rPr>
            <w:rStyle w:val="Hipervnculo"/>
            <w:rFonts w:ascii="Calibri" w:hAnsi="Calibri"/>
            <w:lang w:val="es-AR"/>
          </w:rPr>
          <w:t>https://www.scielo.org.mx/scielo.php?script=sci_arttext&amp;pid=S1607-40412009000100008</w:t>
        </w:r>
      </w:hyperlink>
    </w:p>
    <w:p w:rsidR="00030A4A" w:rsidRPr="00E665EF" w:rsidRDefault="00E665EF" w:rsidP="00E665EF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>González, M., &amp; Ramírez, L. (2014). Diferencia de género en habilidades cognitivas y rendimiento académico en estudiantes universitari</w:t>
      </w:r>
      <w:r w:rsidRPr="00E665EF">
        <w:rPr>
          <w:rFonts w:ascii="Calibri" w:hAnsi="Calibri"/>
          <w:lang w:val="es-AR"/>
        </w:rPr>
        <w:t xml:space="preserve">os. </w:t>
      </w:r>
      <w:proofErr w:type="spellStart"/>
      <w:r w:rsidRPr="00E665EF">
        <w:rPr>
          <w:rFonts w:ascii="Calibri" w:hAnsi="Calibri"/>
          <w:i/>
          <w:iCs/>
        </w:rPr>
        <w:t>Revista</w:t>
      </w:r>
      <w:proofErr w:type="spellEnd"/>
      <w:r w:rsidRPr="00E665EF">
        <w:rPr>
          <w:rFonts w:ascii="Calibri" w:hAnsi="Calibri"/>
          <w:i/>
          <w:iCs/>
        </w:rPr>
        <w:t xml:space="preserve"> REDALYC, 647</w:t>
      </w:r>
      <w:r w:rsidRPr="00E665EF">
        <w:rPr>
          <w:rFonts w:ascii="Calibri" w:hAnsi="Calibri"/>
        </w:rPr>
        <w:t xml:space="preserve">, 1-12. Recuperado de </w:t>
      </w:r>
      <w:hyperlink r:id="rId12" w:history="1">
        <w:r w:rsidRPr="00847151">
          <w:rPr>
            <w:rStyle w:val="Hipervnculo"/>
            <w:rFonts w:ascii="Calibri" w:hAnsi="Calibri"/>
          </w:rPr>
          <w:t>https://www.redalyc.org/pdf/647/64760211.pdf</w:t>
        </w:r>
      </w:hyperlink>
    </w:p>
    <w:p w:rsidR="00030A4A" w:rsidRPr="00E665EF" w:rsidRDefault="00E665EF" w:rsidP="00E665EF">
      <w:pPr>
        <w:pStyle w:val="Compact"/>
        <w:numPr>
          <w:ilvl w:val="0"/>
          <w:numId w:val="2"/>
        </w:numPr>
        <w:jc w:val="both"/>
        <w:rPr>
          <w:rFonts w:ascii="Calibri" w:hAnsi="Calibri"/>
          <w:lang w:val="es-AR"/>
        </w:rPr>
      </w:pPr>
      <w:r w:rsidRPr="00E665EF">
        <w:rPr>
          <w:rFonts w:ascii="Calibri" w:hAnsi="Calibri"/>
          <w:lang w:val="es-AR"/>
        </w:rPr>
        <w:t xml:space="preserve">Berger, P., &amp; </w:t>
      </w:r>
      <w:proofErr w:type="spellStart"/>
      <w:r w:rsidRPr="00E665EF">
        <w:rPr>
          <w:rFonts w:ascii="Calibri" w:hAnsi="Calibri"/>
          <w:lang w:val="es-AR"/>
        </w:rPr>
        <w:t>Luckmann</w:t>
      </w:r>
      <w:proofErr w:type="spellEnd"/>
      <w:r w:rsidRPr="00E665EF">
        <w:rPr>
          <w:rFonts w:ascii="Calibri" w:hAnsi="Calibri"/>
          <w:lang w:val="es-AR"/>
        </w:rPr>
        <w:t xml:space="preserve">, T. (1966). </w:t>
      </w:r>
      <w:r w:rsidRPr="00E665EF">
        <w:rPr>
          <w:rFonts w:ascii="Calibri" w:hAnsi="Calibri"/>
          <w:i/>
          <w:iCs/>
          <w:lang w:val="es-AR"/>
        </w:rPr>
        <w:t>La construcción social de la realidad</w:t>
      </w:r>
      <w:r w:rsidRPr="00E665EF">
        <w:rPr>
          <w:rFonts w:ascii="Calibri" w:hAnsi="Calibri"/>
          <w:lang w:val="es-AR"/>
        </w:rPr>
        <w:t xml:space="preserve">. </w:t>
      </w:r>
      <w:r w:rsidRPr="00E665EF">
        <w:rPr>
          <w:rFonts w:ascii="Calibri" w:hAnsi="Calibri"/>
        </w:rPr>
        <w:t xml:space="preserve">Buenos Aires: </w:t>
      </w:r>
      <w:proofErr w:type="spellStart"/>
      <w:r w:rsidRPr="00E665EF">
        <w:rPr>
          <w:rFonts w:ascii="Calibri" w:hAnsi="Calibri"/>
        </w:rPr>
        <w:t>Amorrortu</w:t>
      </w:r>
      <w:proofErr w:type="spellEnd"/>
      <w:r w:rsidRPr="00E665EF">
        <w:rPr>
          <w:rFonts w:ascii="Calibri" w:hAnsi="Calibri"/>
        </w:rPr>
        <w:t>.</w:t>
      </w:r>
    </w:p>
    <w:p w:rsidR="00030A4A" w:rsidRPr="00E665EF" w:rsidRDefault="00E665EF" w:rsidP="00E665EF">
      <w:pPr>
        <w:pStyle w:val="Compact"/>
        <w:numPr>
          <w:ilvl w:val="0"/>
          <w:numId w:val="2"/>
        </w:numPr>
        <w:jc w:val="both"/>
        <w:rPr>
          <w:rFonts w:ascii="Calibri" w:hAnsi="Calibri"/>
        </w:rPr>
      </w:pPr>
      <w:r w:rsidRPr="00E665EF">
        <w:rPr>
          <w:rFonts w:ascii="Calibri" w:hAnsi="Calibri"/>
          <w:lang w:val="es-AR"/>
        </w:rPr>
        <w:t xml:space="preserve">Martín, E. (2019). </w:t>
      </w:r>
      <w:r w:rsidRPr="00E665EF">
        <w:rPr>
          <w:rFonts w:ascii="Calibri" w:hAnsi="Calibri"/>
          <w:i/>
          <w:iCs/>
          <w:lang w:val="es-AR"/>
        </w:rPr>
        <w:t>Género y socialización: Teorías y enfoques</w:t>
      </w:r>
      <w:r w:rsidRPr="00E665EF">
        <w:rPr>
          <w:rFonts w:ascii="Calibri" w:hAnsi="Calibri"/>
          <w:lang w:val="es-AR"/>
        </w:rPr>
        <w:t xml:space="preserve">. </w:t>
      </w:r>
      <w:r w:rsidRPr="00E665EF">
        <w:rPr>
          <w:rFonts w:ascii="Calibri" w:hAnsi="Calibri"/>
        </w:rPr>
        <w:t>Mad</w:t>
      </w:r>
      <w:r w:rsidRPr="00E665EF">
        <w:rPr>
          <w:rFonts w:ascii="Calibri" w:hAnsi="Calibri"/>
        </w:rPr>
        <w:t xml:space="preserve">rid: </w:t>
      </w:r>
      <w:proofErr w:type="spellStart"/>
      <w:r w:rsidRPr="00E665EF">
        <w:rPr>
          <w:rFonts w:ascii="Calibri" w:hAnsi="Calibri"/>
        </w:rPr>
        <w:t>Ediciones</w:t>
      </w:r>
      <w:proofErr w:type="spellEnd"/>
      <w:r w:rsidRPr="00E665EF">
        <w:rPr>
          <w:rFonts w:ascii="Calibri" w:hAnsi="Calibri"/>
        </w:rPr>
        <w:t xml:space="preserve"> </w:t>
      </w:r>
      <w:proofErr w:type="spellStart"/>
      <w:r w:rsidRPr="00E665EF">
        <w:rPr>
          <w:rFonts w:ascii="Calibri" w:hAnsi="Calibri"/>
        </w:rPr>
        <w:t>Académicas</w:t>
      </w:r>
      <w:proofErr w:type="spellEnd"/>
      <w:r w:rsidRPr="00E665EF">
        <w:rPr>
          <w:rFonts w:ascii="Calibri" w:hAnsi="Calibri"/>
        </w:rPr>
        <w:t>.</w:t>
      </w:r>
      <w:bookmarkEnd w:id="6"/>
    </w:p>
    <w:sectPr w:rsidR="00030A4A" w:rsidRPr="00E665EF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F7342B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785E3DE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E14327"/>
    <w:multiLevelType w:val="hybridMultilevel"/>
    <w:tmpl w:val="FA529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4A"/>
    <w:rsid w:val="00030A4A"/>
    <w:rsid w:val="00E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EpgrafeCar"/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E665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Epgrafe">
    <w:name w:val="caption"/>
    <w:basedOn w:val="Normal"/>
    <w:link w:val="EpgrafeCar"/>
    <w:pPr>
      <w:spacing w:after="120"/>
    </w:pPr>
    <w:rPr>
      <w:i/>
    </w:rPr>
  </w:style>
  <w:style w:type="paragraph" w:customStyle="1" w:styleId="TableCaption">
    <w:name w:val="Table Caption"/>
    <w:basedOn w:val="Epgrafe"/>
    <w:pPr>
      <w:keepNext/>
    </w:pPr>
  </w:style>
  <w:style w:type="paragraph" w:customStyle="1" w:styleId="ImageCaption">
    <w:name w:val="Image Caption"/>
    <w:basedOn w:val="Epgraf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EpgrafeCar">
    <w:name w:val="Epígrafe Car"/>
    <w:basedOn w:val="Fuentedeprrafopredeter"/>
    <w:link w:val="Epgrafe"/>
  </w:style>
  <w:style w:type="character" w:customStyle="1" w:styleId="VerbatimChar">
    <w:name w:val="Verbatim Char"/>
    <w:basedOn w:val="Epgraf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EpgrafeCar"/>
  </w:style>
  <w:style w:type="character" w:styleId="Refdenotaalpie">
    <w:name w:val="footnote reference"/>
    <w:basedOn w:val="EpgrafeCar"/>
    <w:rPr>
      <w:vertAlign w:val="superscript"/>
    </w:rPr>
  </w:style>
  <w:style w:type="character" w:styleId="Hipervnculo">
    <w:name w:val="Hyperlink"/>
    <w:basedOn w:val="EpgrafeCar"/>
    <w:rPr>
      <w:color w:val="156082" w:themeColor="accent1"/>
    </w:rPr>
  </w:style>
  <w:style w:type="paragraph" w:styleId="Ttulode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E665E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ajoel1cipem359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leimarito@gmail.com" TargetMode="External"/><Relationship Id="rId12" Type="http://schemas.openxmlformats.org/officeDocument/2006/relationships/hyperlink" Target="https://www.redalyc.org/pdf/647/647602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05771114@gmail.com" TargetMode="External"/><Relationship Id="rId11" Type="http://schemas.openxmlformats.org/officeDocument/2006/relationships/hyperlink" Target="https://www.scielo.org.mx/scielo.php?script=sci_arttext&amp;pid=S1607-404120090001000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c.guadalupeg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onimoxsiempre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2025-09-09T04:36:00Z</dcterms:created>
  <dcterms:modified xsi:type="dcterms:W3CDTF">2025-09-09T04:36:00Z</dcterms:modified>
</cp:coreProperties>
</file>