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F63A" w14:textId="504AB4DF" w:rsidR="00AD175D" w:rsidRPr="00AD175D" w:rsidRDefault="00AD175D" w:rsidP="00AD175D">
      <w:pPr>
        <w:jc w:val="center"/>
        <w:rPr>
          <w:rFonts w:ascii="Times New Roman" w:hAnsi="Times New Roman" w:cs="Times New Roman"/>
        </w:rPr>
      </w:pPr>
      <w:r w:rsidRPr="00AD175D">
        <w:rPr>
          <w:rFonts w:ascii="Times New Roman" w:hAnsi="Times New Roman" w:cs="Times New Roman"/>
        </w:rPr>
        <w:t xml:space="preserve">IPEM </w:t>
      </w:r>
      <w:proofErr w:type="spellStart"/>
      <w:r w:rsidRPr="00AD175D">
        <w:rPr>
          <w:rFonts w:ascii="Times New Roman" w:hAnsi="Times New Roman" w:cs="Times New Roman"/>
        </w:rPr>
        <w:t>N°</w:t>
      </w:r>
      <w:proofErr w:type="spellEnd"/>
      <w:r w:rsidRPr="00AD175D">
        <w:rPr>
          <w:rFonts w:ascii="Times New Roman" w:hAnsi="Times New Roman" w:cs="Times New Roman"/>
        </w:rPr>
        <w:t xml:space="preserve"> 353</w:t>
      </w:r>
    </w:p>
    <w:p w14:paraId="5A3FFB18" w14:textId="402D4781" w:rsidR="00AD175D" w:rsidRDefault="00AD175D" w:rsidP="00AD175D">
      <w:pPr>
        <w:jc w:val="center"/>
        <w:rPr>
          <w:rFonts w:ascii="Times New Roman" w:hAnsi="Times New Roman" w:cs="Times New Roman"/>
        </w:rPr>
      </w:pPr>
      <w:r w:rsidRPr="00AD175D">
        <w:rPr>
          <w:rFonts w:ascii="Times New Roman" w:hAnsi="Times New Roman" w:cs="Times New Roman"/>
        </w:rPr>
        <w:t xml:space="preserve">Efraín U. </w:t>
      </w:r>
      <w:proofErr w:type="spellStart"/>
      <w:r w:rsidRPr="00AD175D">
        <w:rPr>
          <w:rFonts w:ascii="Times New Roman" w:hAnsi="Times New Roman" w:cs="Times New Roman"/>
        </w:rPr>
        <w:t>Bischoff</w:t>
      </w:r>
      <w:proofErr w:type="spellEnd"/>
    </w:p>
    <w:p w14:paraId="3FFD7F9D" w14:textId="77777777" w:rsidR="00AD175D" w:rsidRPr="00AD175D" w:rsidRDefault="00AD175D" w:rsidP="00AD175D">
      <w:pPr>
        <w:jc w:val="center"/>
        <w:rPr>
          <w:rFonts w:ascii="Times New Roman" w:hAnsi="Times New Roman" w:cs="Times New Roman"/>
        </w:rPr>
      </w:pPr>
    </w:p>
    <w:p w14:paraId="473AE6E6" w14:textId="50A286DF" w:rsidR="00FD19EB" w:rsidRPr="00AD175D" w:rsidRDefault="00FD19EB" w:rsidP="00AD175D">
      <w:pPr>
        <w:jc w:val="center"/>
        <w:rPr>
          <w:rFonts w:ascii="Times New Roman" w:hAnsi="Times New Roman" w:cs="Times New Roman"/>
          <w:b/>
          <w:bCs/>
        </w:rPr>
      </w:pPr>
      <w:r w:rsidRPr="00AD175D">
        <w:rPr>
          <w:rFonts w:ascii="Times New Roman" w:hAnsi="Times New Roman" w:cs="Times New Roman"/>
          <w:b/>
          <w:bCs/>
        </w:rPr>
        <w:t>Tema: Redes sociales y salud mental</w:t>
      </w:r>
    </w:p>
    <w:p w14:paraId="39B8E683"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Pregunta: ¿Qué relación existe entre el uso de las redes sociales y el bienestar psicológico de las y los adolescentes de entre 13 y 16 años que asisten al IPEM 353?</w:t>
      </w:r>
    </w:p>
    <w:p w14:paraId="05700B15"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Objetivo General: Analizar la relación entre el uso de redes sociales y el bienestar psicológico en adolescentes de 13 a 16 años del IPEM 353.</w:t>
      </w:r>
    </w:p>
    <w:p w14:paraId="3665CFCA"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Objetivos específicos: Explorar la frecuencia y duración del uso de redes sociales en adolescentes.</w:t>
      </w:r>
    </w:p>
    <w:p w14:paraId="7AE143D5"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Identificar los tipos de contenidos más consumidos en redes sociales por esta población.</w:t>
      </w:r>
    </w:p>
    <w:p w14:paraId="2EF43F36"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Describir las motivaciones y preferencias en el consumo de contenidos digitales.</w:t>
      </w:r>
    </w:p>
    <w:p w14:paraId="6B29C5C5"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 xml:space="preserve">Examinar posibles asociaciones entre el uso de redes sociales y dimensiones del bienestar psicológico. </w:t>
      </w:r>
    </w:p>
    <w:p w14:paraId="4C254E0F" w14:textId="77777777" w:rsid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Fundamentación</w:t>
      </w:r>
    </w:p>
    <w:p w14:paraId="3C94F786" w14:textId="4E307A61"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En la actualidad, las redes sociales se han convertido en un componente central de la vida cotidiana de las y los adolescentes, influyendo no solo en sus modos de comunicación e interacción, sino también en aspectos relacionados con su identidad, autoestima y bienestar psicológico. El período de la adolescencia implica una etapa clave del desarrollo psicosocial, donde la búsqueda de pertenencia y reconocimiento cobra especial relevancia (Erikson, 1968).</w:t>
      </w:r>
    </w:p>
    <w:p w14:paraId="39E8AB51"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Diversas investigaciones han advertido que el uso excesivo o inadecuado de redes sociales puede estar vinculado con síntomas de ansiedad, depresión, alteraciones del sueño y disminución de la autoestima (</w:t>
      </w:r>
      <w:proofErr w:type="spellStart"/>
      <w:r w:rsidRPr="00AD175D">
        <w:rPr>
          <w:rFonts w:ascii="Times New Roman" w:hAnsi="Times New Roman" w:cs="Times New Roman"/>
        </w:rPr>
        <w:t>Keles</w:t>
      </w:r>
      <w:proofErr w:type="spellEnd"/>
      <w:r w:rsidRPr="00AD175D">
        <w:rPr>
          <w:rFonts w:ascii="Times New Roman" w:hAnsi="Times New Roman" w:cs="Times New Roman"/>
        </w:rPr>
        <w:t xml:space="preserve">, </w:t>
      </w:r>
      <w:proofErr w:type="spellStart"/>
      <w:r w:rsidRPr="00AD175D">
        <w:rPr>
          <w:rFonts w:ascii="Times New Roman" w:hAnsi="Times New Roman" w:cs="Times New Roman"/>
        </w:rPr>
        <w:t>McCrae</w:t>
      </w:r>
      <w:proofErr w:type="spellEnd"/>
      <w:r w:rsidRPr="00AD175D">
        <w:rPr>
          <w:rFonts w:ascii="Times New Roman" w:hAnsi="Times New Roman" w:cs="Times New Roman"/>
        </w:rPr>
        <w:t xml:space="preserve"> &amp; </w:t>
      </w:r>
      <w:proofErr w:type="spellStart"/>
      <w:r w:rsidRPr="00AD175D">
        <w:rPr>
          <w:rFonts w:ascii="Times New Roman" w:hAnsi="Times New Roman" w:cs="Times New Roman"/>
        </w:rPr>
        <w:t>Grealish</w:t>
      </w:r>
      <w:proofErr w:type="spellEnd"/>
      <w:r w:rsidRPr="00AD175D">
        <w:rPr>
          <w:rFonts w:ascii="Times New Roman" w:hAnsi="Times New Roman" w:cs="Times New Roman"/>
        </w:rPr>
        <w:t>, 2020). Sin embargo, también se reconoce que las redes pueden facilitar la expresión emocional, el contacto con pares y el acceso a espacios de apoyo, dependiendo del tipo de contenido consumido y del uso que se haga de estas plataformas (Valkenburg &amp; Peter, 2011).</w:t>
      </w:r>
    </w:p>
    <w:p w14:paraId="2E0121E3"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Esta investigación permitirá desarrollar estrategias de acompañamiento, prevención y educación digital adaptadas a las necesidades de esta población.</w:t>
      </w:r>
    </w:p>
    <w:p w14:paraId="7C7DC4AC"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lastRenderedPageBreak/>
        <w:t xml:space="preserve">Principales conceptos: </w:t>
      </w:r>
    </w:p>
    <w:p w14:paraId="7FEEF810"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Bienestar psicológico</w:t>
      </w:r>
    </w:p>
    <w:p w14:paraId="0DAF6824"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Se refiere a un estado subjetivo de equilibrio emocional, satisfacción personal y funcionamiento positivo en distintos aspectos de la vida.</w:t>
      </w:r>
    </w:p>
    <w:p w14:paraId="1D3AD6F7"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En adolescentes, el bienestar psicológico puede verse influido por diversos factores sociales, familiares y tecnológicos, incluyendo el uso de redes sociales (</w:t>
      </w:r>
      <w:proofErr w:type="spellStart"/>
      <w:r w:rsidRPr="00AD175D">
        <w:rPr>
          <w:rFonts w:ascii="Times New Roman" w:hAnsi="Times New Roman" w:cs="Times New Roman"/>
        </w:rPr>
        <w:t>Orben</w:t>
      </w:r>
      <w:proofErr w:type="spellEnd"/>
      <w:r w:rsidRPr="00AD175D">
        <w:rPr>
          <w:rFonts w:ascii="Times New Roman" w:hAnsi="Times New Roman" w:cs="Times New Roman"/>
        </w:rPr>
        <w:t xml:space="preserve"> &amp; </w:t>
      </w:r>
      <w:proofErr w:type="spellStart"/>
      <w:r w:rsidRPr="00AD175D">
        <w:rPr>
          <w:rFonts w:ascii="Times New Roman" w:hAnsi="Times New Roman" w:cs="Times New Roman"/>
        </w:rPr>
        <w:t>Przybylski</w:t>
      </w:r>
      <w:proofErr w:type="spellEnd"/>
      <w:r w:rsidRPr="00AD175D">
        <w:rPr>
          <w:rFonts w:ascii="Times New Roman" w:hAnsi="Times New Roman" w:cs="Times New Roman"/>
        </w:rPr>
        <w:t>, 2019).</w:t>
      </w:r>
    </w:p>
    <w:p w14:paraId="755589CF"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Las adolescencias</w:t>
      </w:r>
    </w:p>
    <w:p w14:paraId="6D94C05C"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 xml:space="preserve">Es concebida como una etapa dinámica y compleja marcada por profundas transformaciones en las dimensiones subjetiva, afectiva, social y cognitiva. Esta etapa no se define estrictamente por la edad, sino por los procesos psíquicos y vinculares que atraviesan a quienes transitan ese momento vital. En ese sentido, se trata de un período en el que se reformulan los vínculos con la familia, se reconfigura la relación con el propio cuerpo y emergen nuevas formas de inscripción en el lazo social (Aberastury &amp; </w:t>
      </w:r>
      <w:proofErr w:type="spellStart"/>
      <w:r w:rsidRPr="00AD175D">
        <w:rPr>
          <w:rFonts w:ascii="Times New Roman" w:hAnsi="Times New Roman" w:cs="Times New Roman"/>
        </w:rPr>
        <w:t>Knobel</w:t>
      </w:r>
      <w:proofErr w:type="spellEnd"/>
      <w:r w:rsidRPr="00AD175D">
        <w:rPr>
          <w:rFonts w:ascii="Times New Roman" w:hAnsi="Times New Roman" w:cs="Times New Roman"/>
        </w:rPr>
        <w:t>, 1970).</w:t>
      </w:r>
    </w:p>
    <w:p w14:paraId="7EA4747E"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 xml:space="preserve">Asimismo, se reconoce la existencia de las adolescencias en plural, entendidas como trayectorias singulares moldeadas por contextos sociohistóricos, condiciones materiales de existencia, género, sexualidad, cultura y pertenencia territorial (Feijoo, 2011; </w:t>
      </w:r>
      <w:proofErr w:type="spellStart"/>
      <w:r w:rsidRPr="00AD175D">
        <w:rPr>
          <w:rFonts w:ascii="Times New Roman" w:hAnsi="Times New Roman" w:cs="Times New Roman"/>
        </w:rPr>
        <w:t>Duschatzky</w:t>
      </w:r>
      <w:proofErr w:type="spellEnd"/>
      <w:r w:rsidRPr="00AD175D">
        <w:rPr>
          <w:rFonts w:ascii="Times New Roman" w:hAnsi="Times New Roman" w:cs="Times New Roman"/>
        </w:rPr>
        <w:t xml:space="preserve"> &amp; Corea, 2002). </w:t>
      </w:r>
    </w:p>
    <w:p w14:paraId="0615F558"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Redes sociales digitales</w:t>
      </w:r>
    </w:p>
    <w:p w14:paraId="1371F648"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Son plataformas virtuales que permiten la creación, intercambio y difusión de contenido entre usuarios. Estas plataformas —Instagram, TikTok, WhatsApp o YouTube— forman parte del entorno cotidiano de las adolescencias.</w:t>
      </w:r>
    </w:p>
    <w:p w14:paraId="1601DC4F"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 xml:space="preserve">Diseño metodológico: </w:t>
      </w:r>
    </w:p>
    <w:p w14:paraId="606D865C"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Enfoque cuantitativo. Estudio exploratorio descriptivo. Muestra intencional.</w:t>
      </w:r>
    </w:p>
    <w:p w14:paraId="64C85215" w14:textId="77777777"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Técnicas e instrumentos de recolección de datos: cuestionario autoadministrado</w:t>
      </w:r>
    </w:p>
    <w:p w14:paraId="06F18437" w14:textId="7401E796" w:rsidR="00FD19EB" w:rsidRPr="00AD175D" w:rsidRDefault="00FD19EB" w:rsidP="00AD175D">
      <w:pPr>
        <w:spacing w:line="360" w:lineRule="auto"/>
        <w:jc w:val="both"/>
        <w:rPr>
          <w:rFonts w:ascii="Times New Roman" w:hAnsi="Times New Roman" w:cs="Times New Roman"/>
        </w:rPr>
      </w:pPr>
      <w:r w:rsidRPr="00AD175D">
        <w:rPr>
          <w:rFonts w:ascii="Times New Roman" w:hAnsi="Times New Roman" w:cs="Times New Roman"/>
        </w:rPr>
        <w:t>Análisis descriptivo.</w:t>
      </w:r>
    </w:p>
    <w:p w14:paraId="10139C24" w14:textId="14407846" w:rsidR="00FD19EB" w:rsidRPr="00AD175D" w:rsidRDefault="00EB197D" w:rsidP="00AD175D">
      <w:pPr>
        <w:spacing w:line="360" w:lineRule="auto"/>
        <w:jc w:val="both"/>
        <w:rPr>
          <w:rFonts w:ascii="Times New Roman" w:hAnsi="Times New Roman" w:cs="Times New Roman"/>
        </w:rPr>
      </w:pPr>
      <w:r w:rsidRPr="00AD175D">
        <w:rPr>
          <w:rFonts w:ascii="Times New Roman" w:hAnsi="Times New Roman" w:cs="Times New Roman"/>
        </w:rPr>
        <w:t>Recolección de datos:</w:t>
      </w:r>
    </w:p>
    <w:p w14:paraId="3EF8E226" w14:textId="5BAC9275" w:rsidR="00F573F5" w:rsidRPr="00AD175D" w:rsidRDefault="00EB197D" w:rsidP="00AD175D">
      <w:pPr>
        <w:pStyle w:val="NormalWeb"/>
        <w:spacing w:line="360" w:lineRule="auto"/>
        <w:jc w:val="both"/>
      </w:pPr>
      <w:r w:rsidRPr="00AD175D">
        <w:lastRenderedPageBreak/>
        <w:t xml:space="preserve">Se elaboró un cuestionario </w:t>
      </w:r>
      <w:r w:rsidR="00F573F5" w:rsidRPr="00AD175D">
        <w:t xml:space="preserve">virtual a través de formularios de Google. El mismo estuvo conformado por preguntas con opciones. En total se administraron a 20 estudiantes. </w:t>
      </w:r>
      <w:r w:rsidR="00F573F5" w:rsidRPr="00AD175D">
        <w:t xml:space="preserve">El presente estudio se enmarca en un </w:t>
      </w:r>
      <w:r w:rsidR="00F573F5" w:rsidRPr="00AD175D">
        <w:rPr>
          <w:rStyle w:val="Textoennegrita"/>
          <w:rFonts w:eastAsiaTheme="majorEastAsia"/>
          <w:b w:val="0"/>
          <w:bCs w:val="0"/>
        </w:rPr>
        <w:t>enfoque cuantitativo</w:t>
      </w:r>
      <w:r w:rsidR="00F573F5" w:rsidRPr="00AD175D">
        <w:t xml:space="preserve">, dado que busca recolectar y analizar datos numéricos con el propósito de describir las características de la población en estudio. Se llevó a cabo bajo un </w:t>
      </w:r>
      <w:r w:rsidR="00F573F5" w:rsidRPr="00AD175D">
        <w:rPr>
          <w:rStyle w:val="Textoennegrita"/>
          <w:rFonts w:eastAsiaTheme="majorEastAsia"/>
          <w:b w:val="0"/>
          <w:bCs w:val="0"/>
        </w:rPr>
        <w:t>diseño exploratorio-descriptivo</w:t>
      </w:r>
      <w:r w:rsidR="00F573F5" w:rsidRPr="00AD175D">
        <w:t>, ya que se pretende indagar y obtener un primer acercamiento a la temática, describiendo tendencias, percepciones y comportamientos sin establecer relaciones causales.</w:t>
      </w:r>
    </w:p>
    <w:p w14:paraId="6D08936F" w14:textId="77777777" w:rsidR="00F573F5" w:rsidRPr="00AD175D" w:rsidRDefault="00F573F5" w:rsidP="00AD175D">
      <w:pPr>
        <w:pStyle w:val="NormalWeb"/>
        <w:spacing w:line="360" w:lineRule="auto"/>
        <w:jc w:val="both"/>
      </w:pPr>
      <w:r w:rsidRPr="00AD175D">
        <w:t xml:space="preserve">La </w:t>
      </w:r>
      <w:r w:rsidRPr="00AD175D">
        <w:rPr>
          <w:rStyle w:val="Textoennegrita"/>
          <w:rFonts w:eastAsiaTheme="majorEastAsia"/>
          <w:b w:val="0"/>
          <w:bCs w:val="0"/>
        </w:rPr>
        <w:t>muestra</w:t>
      </w:r>
      <w:r w:rsidRPr="00AD175D">
        <w:t xml:space="preserve"> fue de tipo </w:t>
      </w:r>
      <w:r w:rsidRPr="00AD175D">
        <w:rPr>
          <w:rStyle w:val="Textoennegrita"/>
          <w:rFonts w:eastAsiaTheme="majorEastAsia"/>
          <w:b w:val="0"/>
          <w:bCs w:val="0"/>
        </w:rPr>
        <w:t>intencional</w:t>
      </w:r>
      <w:r w:rsidRPr="00AD175D">
        <w:t xml:space="preserve">, integrada por un total de </w:t>
      </w:r>
      <w:r w:rsidRPr="00AD175D">
        <w:rPr>
          <w:rStyle w:val="Textoennegrita"/>
          <w:rFonts w:eastAsiaTheme="majorEastAsia"/>
          <w:b w:val="0"/>
          <w:bCs w:val="0"/>
        </w:rPr>
        <w:t>20 estudiantes</w:t>
      </w:r>
      <w:r w:rsidRPr="00AD175D">
        <w:t>, seleccionados en función de criterios de accesibilidad y pertinencia para los objetivos de la investigación.</w:t>
      </w:r>
    </w:p>
    <w:p w14:paraId="7D0CFC09" w14:textId="77777777" w:rsidR="00F573F5" w:rsidRPr="00AD175D" w:rsidRDefault="00F573F5" w:rsidP="00AD175D">
      <w:pPr>
        <w:pStyle w:val="NormalWeb"/>
        <w:spacing w:line="360" w:lineRule="auto"/>
        <w:jc w:val="both"/>
      </w:pPr>
      <w:r w:rsidRPr="00AD175D">
        <w:t xml:space="preserve">En cuanto a las </w:t>
      </w:r>
      <w:r w:rsidRPr="00AD175D">
        <w:rPr>
          <w:rStyle w:val="Textoennegrita"/>
          <w:rFonts w:eastAsiaTheme="majorEastAsia"/>
          <w:b w:val="0"/>
          <w:bCs w:val="0"/>
        </w:rPr>
        <w:t>técnicas e instrumentos de recolección de datos</w:t>
      </w:r>
      <w:r w:rsidRPr="00AD175D">
        <w:t xml:space="preserve">, se empleó un </w:t>
      </w:r>
      <w:r w:rsidRPr="00AD175D">
        <w:rPr>
          <w:rStyle w:val="Textoennegrita"/>
          <w:rFonts w:eastAsiaTheme="majorEastAsia"/>
          <w:b w:val="0"/>
          <w:bCs w:val="0"/>
        </w:rPr>
        <w:t>cuestionario autoadministrado</w:t>
      </w:r>
      <w:r w:rsidRPr="00AD175D">
        <w:t xml:space="preserve">, elaborado en formato virtual a través de </w:t>
      </w:r>
      <w:r w:rsidRPr="00AD175D">
        <w:rPr>
          <w:rStyle w:val="Textoennegrita"/>
          <w:rFonts w:eastAsiaTheme="majorEastAsia"/>
          <w:b w:val="0"/>
          <w:bCs w:val="0"/>
        </w:rPr>
        <w:t>formularios de Google</w:t>
      </w:r>
      <w:r w:rsidRPr="00AD175D">
        <w:t>. El cuestionario estuvo conformado por preguntas cerradas con opciones de respuesta preestablecidas, lo que permitió estandarizar la información obtenida y facilitar su posterior análisis.</w:t>
      </w:r>
    </w:p>
    <w:p w14:paraId="762DE911" w14:textId="77777777" w:rsidR="00F573F5" w:rsidRPr="00AD175D" w:rsidRDefault="00F573F5" w:rsidP="00AD175D">
      <w:pPr>
        <w:pStyle w:val="NormalWeb"/>
        <w:spacing w:line="360" w:lineRule="auto"/>
        <w:jc w:val="both"/>
      </w:pPr>
      <w:r w:rsidRPr="00AD175D">
        <w:t xml:space="preserve">Para el </w:t>
      </w:r>
      <w:r w:rsidRPr="00AD175D">
        <w:rPr>
          <w:rStyle w:val="Textoennegrita"/>
          <w:rFonts w:eastAsiaTheme="majorEastAsia"/>
          <w:b w:val="0"/>
          <w:bCs w:val="0"/>
        </w:rPr>
        <w:t>análisis de los datos</w:t>
      </w:r>
      <w:r w:rsidRPr="00AD175D">
        <w:t xml:space="preserve"> se utilizó un </w:t>
      </w:r>
      <w:r w:rsidRPr="00AD175D">
        <w:rPr>
          <w:rStyle w:val="Textoennegrita"/>
          <w:rFonts w:eastAsiaTheme="majorEastAsia"/>
          <w:b w:val="0"/>
          <w:bCs w:val="0"/>
        </w:rPr>
        <w:t>enfoque descriptivo</w:t>
      </w:r>
      <w:r w:rsidRPr="00AD175D">
        <w:t>, recurriendo a la organización y sistematización de la información en frecuencias y porcentajes. Esto posibilitó identificar las tendencias y características más relevantes de las respuestas emitidas por los estudiantes participantes.</w:t>
      </w:r>
    </w:p>
    <w:p w14:paraId="5A531E7F" w14:textId="77777777" w:rsidR="00F573F5" w:rsidRPr="00AD175D" w:rsidRDefault="00F573F5" w:rsidP="00AD175D">
      <w:pPr>
        <w:pStyle w:val="NormalWeb"/>
        <w:spacing w:line="360" w:lineRule="auto"/>
        <w:jc w:val="both"/>
      </w:pPr>
      <w:r w:rsidRPr="00AD175D">
        <w:t xml:space="preserve">La </w:t>
      </w:r>
      <w:r w:rsidRPr="00AD175D">
        <w:rPr>
          <w:rStyle w:val="Textoennegrita"/>
          <w:rFonts w:eastAsiaTheme="majorEastAsia"/>
          <w:b w:val="0"/>
          <w:bCs w:val="0"/>
        </w:rPr>
        <w:t>recolección de datos</w:t>
      </w:r>
      <w:r w:rsidRPr="00AD175D">
        <w:t xml:space="preserve"> se realizó de manera remota, en un único momento de aplicación, garantizando la confidencialidad y el anonimato de los encuestados.</w:t>
      </w:r>
    </w:p>
    <w:p w14:paraId="48B5F51B" w14:textId="0CDB629B" w:rsidR="00F573F5" w:rsidRDefault="00F573F5" w:rsidP="00F573F5">
      <w:pPr>
        <w:pStyle w:val="NormalWeb"/>
      </w:pPr>
      <w:r>
        <w:t>Conclusión:</w:t>
      </w:r>
    </w:p>
    <w:p w14:paraId="3E3D33DF" w14:textId="77777777" w:rsidR="00AD175D" w:rsidRPr="00AD175D" w:rsidRDefault="00AD175D" w:rsidP="00AD175D">
      <w:pPr>
        <w:pStyle w:val="NormalWeb"/>
        <w:spacing w:line="360" w:lineRule="auto"/>
        <w:jc w:val="both"/>
      </w:pPr>
      <w:r w:rsidRPr="00AD175D">
        <w:t xml:space="preserve">Los resultados del estudio permiten sostener que el </w:t>
      </w:r>
      <w:r w:rsidRPr="00AD175D">
        <w:rPr>
          <w:rStyle w:val="Textoennegrita"/>
          <w:rFonts w:eastAsiaTheme="majorEastAsia"/>
          <w:b w:val="0"/>
          <w:bCs w:val="0"/>
        </w:rPr>
        <w:t>uso de redes sociales constituye una práctica cotidiana y altamente extendida</w:t>
      </w:r>
      <w:r w:rsidRPr="00AD175D">
        <w:t xml:space="preserve"> entre las y los adolescentes de 13 a 16 años del IPEM 353. La mayoría de los participantes declaró utilizarlas con una frecuencia diaria que varía entre </w:t>
      </w:r>
      <w:r w:rsidRPr="00AD175D">
        <w:rPr>
          <w:rStyle w:val="Textoennegrita"/>
          <w:rFonts w:eastAsiaTheme="majorEastAsia"/>
          <w:b w:val="0"/>
          <w:bCs w:val="0"/>
        </w:rPr>
        <w:t>una y ocho horas</w:t>
      </w:r>
      <w:r w:rsidRPr="00AD175D">
        <w:t>, lo cual evidencia la centralidad que estas plataformas tienen en su vida cotidiana.</w:t>
      </w:r>
    </w:p>
    <w:p w14:paraId="4CFBDA9C" w14:textId="77777777" w:rsidR="00AD175D" w:rsidRPr="00AD175D" w:rsidRDefault="00AD175D" w:rsidP="00AD175D">
      <w:pPr>
        <w:pStyle w:val="NormalWeb"/>
        <w:spacing w:line="360" w:lineRule="auto"/>
        <w:jc w:val="both"/>
      </w:pPr>
      <w:r w:rsidRPr="00AD175D">
        <w:t xml:space="preserve">El análisis sugiere que </w:t>
      </w:r>
      <w:r w:rsidRPr="00AD175D">
        <w:rPr>
          <w:rStyle w:val="Textoennegrita"/>
          <w:rFonts w:eastAsiaTheme="majorEastAsia"/>
          <w:b w:val="0"/>
          <w:bCs w:val="0"/>
        </w:rPr>
        <w:t>no solo la cantidad de tiempo invertido</w:t>
      </w:r>
      <w:r w:rsidRPr="00AD175D">
        <w:t xml:space="preserve">, sino también </w:t>
      </w:r>
      <w:r w:rsidRPr="00AD175D">
        <w:rPr>
          <w:rStyle w:val="Textoennegrita"/>
          <w:rFonts w:eastAsiaTheme="majorEastAsia"/>
          <w:b w:val="0"/>
          <w:bCs w:val="0"/>
        </w:rPr>
        <w:t>la calidad y el tipo de contenido consumido</w:t>
      </w:r>
      <w:r w:rsidRPr="00AD175D">
        <w:t xml:space="preserve">, son variables clave para comprender su impacto en el </w:t>
      </w:r>
      <w:r w:rsidRPr="00AD175D">
        <w:rPr>
          <w:rStyle w:val="Textoennegrita"/>
          <w:rFonts w:eastAsiaTheme="majorEastAsia"/>
          <w:b w:val="0"/>
          <w:bCs w:val="0"/>
        </w:rPr>
        <w:lastRenderedPageBreak/>
        <w:t>bienestar psicológico</w:t>
      </w:r>
      <w:r w:rsidRPr="00AD175D">
        <w:t xml:space="preserve">. Mientras que algunos contenidos vinculados con el deporte o la música pueden funcionar como espacios de motivación, pertenencia y recreación, otros —como el consumo intensivo de videojuegos o tendencias altamente competitivas— se asocian con </w:t>
      </w:r>
      <w:r w:rsidRPr="00AD175D">
        <w:rPr>
          <w:rStyle w:val="Textoennegrita"/>
          <w:rFonts w:eastAsiaTheme="majorEastAsia"/>
          <w:b w:val="0"/>
          <w:bCs w:val="0"/>
        </w:rPr>
        <w:t>cambios en los patrones de conducta, dificultades en la regulación emocional y una mayor exposición a dinámicas de comparación social</w:t>
      </w:r>
      <w:r w:rsidRPr="00AD175D">
        <w:t>.</w:t>
      </w:r>
    </w:p>
    <w:p w14:paraId="74FE8263" w14:textId="77777777" w:rsidR="00AD175D" w:rsidRPr="00AD175D" w:rsidRDefault="00AD175D" w:rsidP="00AD175D">
      <w:pPr>
        <w:pStyle w:val="NormalWeb"/>
        <w:spacing w:line="360" w:lineRule="auto"/>
        <w:jc w:val="both"/>
      </w:pPr>
      <w:r w:rsidRPr="00AD175D">
        <w:t xml:space="preserve">Asimismo, la </w:t>
      </w:r>
      <w:r w:rsidRPr="00AD175D">
        <w:rPr>
          <w:rStyle w:val="Textoennegrita"/>
          <w:rFonts w:eastAsiaTheme="majorEastAsia"/>
          <w:b w:val="0"/>
          <w:bCs w:val="0"/>
        </w:rPr>
        <w:t>frecuencia con la que los adolescentes revisan las redes (entre 5 y 8 veces por día en promedio)</w:t>
      </w:r>
      <w:r w:rsidRPr="00AD175D">
        <w:t xml:space="preserve"> constituye un indicador de la posible consolidación de hábitos de uso compulsivo, lo que incrementa el riesgo de </w:t>
      </w:r>
      <w:r w:rsidRPr="00AD175D">
        <w:rPr>
          <w:rStyle w:val="Textoennegrita"/>
          <w:rFonts w:eastAsiaTheme="majorEastAsia"/>
          <w:b w:val="0"/>
          <w:bCs w:val="0"/>
        </w:rPr>
        <w:t>adicción comportamental</w:t>
      </w:r>
      <w:r w:rsidRPr="00AD175D">
        <w:t xml:space="preserve"> y de alteraciones en la atención, el sueño y la autoestima.</w:t>
      </w:r>
    </w:p>
    <w:p w14:paraId="62DD097F" w14:textId="77777777" w:rsidR="00AD175D" w:rsidRPr="00AD175D" w:rsidRDefault="00AD175D" w:rsidP="00AD175D">
      <w:pPr>
        <w:pStyle w:val="NormalWeb"/>
        <w:spacing w:line="360" w:lineRule="auto"/>
        <w:jc w:val="both"/>
      </w:pPr>
      <w:r w:rsidRPr="00AD175D">
        <w:t xml:space="preserve">Es importante remarcar que, aunque el estudio no establece relaciones causales, sí permite </w:t>
      </w:r>
      <w:r w:rsidRPr="00AD175D">
        <w:rPr>
          <w:rStyle w:val="Textoennegrita"/>
          <w:rFonts w:eastAsiaTheme="majorEastAsia"/>
          <w:b w:val="0"/>
          <w:bCs w:val="0"/>
        </w:rPr>
        <w:t>visibilizar tendencias que requieren atención pedagógica, familiar y comunitaria</w:t>
      </w:r>
      <w:r w:rsidRPr="00AD175D">
        <w:t xml:space="preserve">. El uso de redes sociales, lejos de ser homogéneo, puede </w:t>
      </w:r>
      <w:r w:rsidRPr="00AD175D">
        <w:rPr>
          <w:rStyle w:val="Textoennegrita"/>
          <w:rFonts w:eastAsiaTheme="majorEastAsia"/>
          <w:b w:val="0"/>
          <w:bCs w:val="0"/>
        </w:rPr>
        <w:t>favorecer el bienestar psicológico cuando se orienta a la interacción positiva y al acceso a contenidos de valor</w:t>
      </w:r>
      <w:r w:rsidRPr="00AD175D">
        <w:t>, pero también puede convertirse en un factor de vulnerabilidad si predomina el consumo pasivo, excesivo o vinculado a dinámicas de presión social.</w:t>
      </w:r>
    </w:p>
    <w:p w14:paraId="0BC3A31A" w14:textId="136ABDE4" w:rsidR="005034D5" w:rsidRDefault="00AD175D" w:rsidP="00AD175D">
      <w:pPr>
        <w:pStyle w:val="NormalWeb"/>
        <w:spacing w:line="360" w:lineRule="auto"/>
        <w:jc w:val="both"/>
      </w:pPr>
      <w:r w:rsidRPr="00AD175D">
        <w:t xml:space="preserve">Finalmente, la investigación destaca la </w:t>
      </w:r>
      <w:r w:rsidRPr="00AD175D">
        <w:rPr>
          <w:rStyle w:val="Textoennegrita"/>
          <w:rFonts w:eastAsiaTheme="majorEastAsia"/>
          <w:b w:val="0"/>
          <w:bCs w:val="0"/>
        </w:rPr>
        <w:t>necesidad de diseñar estrategias de acompañamiento y educación digital</w:t>
      </w:r>
      <w:r w:rsidRPr="00AD175D">
        <w:t xml:space="preserve"> que permitan a las y los adolescentes </w:t>
      </w:r>
      <w:r w:rsidRPr="00AD175D">
        <w:rPr>
          <w:rStyle w:val="Textoennegrita"/>
          <w:rFonts w:eastAsiaTheme="majorEastAsia"/>
          <w:b w:val="0"/>
          <w:bCs w:val="0"/>
        </w:rPr>
        <w:t>gestionar de manera saludable su tiempo en línea</w:t>
      </w:r>
      <w:r w:rsidRPr="00AD175D">
        <w:rPr>
          <w:b/>
          <w:bCs/>
        </w:rPr>
        <w:t xml:space="preserve">, </w:t>
      </w:r>
      <w:r w:rsidRPr="00AD175D">
        <w:t>desarrollar</w:t>
      </w:r>
      <w:r w:rsidRPr="00AD175D">
        <w:rPr>
          <w:b/>
          <w:bCs/>
        </w:rPr>
        <w:t xml:space="preserve"> </w:t>
      </w:r>
      <w:r w:rsidRPr="00AD175D">
        <w:rPr>
          <w:rStyle w:val="Textoennegrita"/>
          <w:rFonts w:eastAsiaTheme="majorEastAsia"/>
          <w:b w:val="0"/>
          <w:bCs w:val="0"/>
        </w:rPr>
        <w:t>criterios críticos frente a los contenidos consumidos</w:t>
      </w:r>
      <w:r w:rsidRPr="00AD175D">
        <w:t xml:space="preserve"> y </w:t>
      </w:r>
      <w:r w:rsidRPr="00AD175D">
        <w:rPr>
          <w:rStyle w:val="Textoennegrita"/>
          <w:rFonts w:eastAsiaTheme="majorEastAsia"/>
          <w:b w:val="0"/>
          <w:bCs w:val="0"/>
        </w:rPr>
        <w:t>fortalecer espacios de apoyo afectivo</w:t>
      </w:r>
      <w:r w:rsidRPr="00AD175D">
        <w:t xml:space="preserve"> tanto en el ámbito escolar como familiar.</w:t>
      </w:r>
    </w:p>
    <w:p w14:paraId="1F3CE4C5" w14:textId="77777777" w:rsidR="005034D5" w:rsidRPr="005034D5" w:rsidRDefault="005034D5" w:rsidP="005034D5">
      <w:pPr>
        <w:spacing w:before="100" w:beforeAutospacing="1" w:after="100" w:afterAutospacing="1" w:line="240" w:lineRule="auto"/>
        <w:outlineLvl w:val="2"/>
        <w:rPr>
          <w:rFonts w:ascii="Times New Roman" w:eastAsia="Times New Roman" w:hAnsi="Times New Roman" w:cs="Times New Roman"/>
          <w:b/>
          <w:bCs/>
          <w:kern w:val="0"/>
          <w:sz w:val="27"/>
          <w:szCs w:val="27"/>
          <w:lang w:eastAsia="es-AR"/>
          <w14:ligatures w14:val="none"/>
        </w:rPr>
      </w:pPr>
      <w:r w:rsidRPr="005034D5">
        <w:rPr>
          <w:rFonts w:ascii="Times New Roman" w:eastAsia="Times New Roman" w:hAnsi="Times New Roman" w:cs="Times New Roman"/>
          <w:b/>
          <w:bCs/>
          <w:kern w:val="0"/>
          <w:sz w:val="27"/>
          <w:szCs w:val="27"/>
          <w:lang w:eastAsia="es-AR"/>
          <w14:ligatures w14:val="none"/>
        </w:rPr>
        <w:t>Bibliografía</w:t>
      </w:r>
    </w:p>
    <w:p w14:paraId="7E212384"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r w:rsidRPr="005034D5">
        <w:rPr>
          <w:rFonts w:ascii="Times New Roman" w:eastAsia="Times New Roman" w:hAnsi="Times New Roman" w:cs="Times New Roman"/>
          <w:kern w:val="0"/>
          <w:lang w:eastAsia="es-AR"/>
          <w14:ligatures w14:val="none"/>
        </w:rPr>
        <w:t xml:space="preserve">Aberastury, A., &amp; </w:t>
      </w:r>
      <w:proofErr w:type="spellStart"/>
      <w:r w:rsidRPr="005034D5">
        <w:rPr>
          <w:rFonts w:ascii="Times New Roman" w:eastAsia="Times New Roman" w:hAnsi="Times New Roman" w:cs="Times New Roman"/>
          <w:kern w:val="0"/>
          <w:lang w:eastAsia="es-AR"/>
          <w14:ligatures w14:val="none"/>
        </w:rPr>
        <w:t>Knobel</w:t>
      </w:r>
      <w:proofErr w:type="spellEnd"/>
      <w:r w:rsidRPr="005034D5">
        <w:rPr>
          <w:rFonts w:ascii="Times New Roman" w:eastAsia="Times New Roman" w:hAnsi="Times New Roman" w:cs="Times New Roman"/>
          <w:kern w:val="0"/>
          <w:lang w:eastAsia="es-AR"/>
          <w14:ligatures w14:val="none"/>
        </w:rPr>
        <w:t xml:space="preserve">, M. (1970). </w:t>
      </w:r>
      <w:r w:rsidRPr="005034D5">
        <w:rPr>
          <w:rFonts w:ascii="Times New Roman" w:eastAsia="Times New Roman" w:hAnsi="Times New Roman" w:cs="Times New Roman"/>
          <w:i/>
          <w:iCs/>
          <w:kern w:val="0"/>
          <w:lang w:eastAsia="es-AR"/>
          <w14:ligatures w14:val="none"/>
        </w:rPr>
        <w:t>La adolescencia normal</w:t>
      </w:r>
      <w:r w:rsidRPr="005034D5">
        <w:rPr>
          <w:rFonts w:ascii="Times New Roman" w:eastAsia="Times New Roman" w:hAnsi="Times New Roman" w:cs="Times New Roman"/>
          <w:kern w:val="0"/>
          <w:lang w:eastAsia="es-AR"/>
          <w14:ligatures w14:val="none"/>
        </w:rPr>
        <w:t>. Buenos Aires: Paidós.</w:t>
      </w:r>
    </w:p>
    <w:p w14:paraId="585C89DE"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proofErr w:type="spellStart"/>
      <w:r w:rsidRPr="005034D5">
        <w:rPr>
          <w:rFonts w:ascii="Times New Roman" w:eastAsia="Times New Roman" w:hAnsi="Times New Roman" w:cs="Times New Roman"/>
          <w:kern w:val="0"/>
          <w:lang w:eastAsia="es-AR"/>
          <w14:ligatures w14:val="none"/>
        </w:rPr>
        <w:t>Duschatzky</w:t>
      </w:r>
      <w:proofErr w:type="spellEnd"/>
      <w:r w:rsidRPr="005034D5">
        <w:rPr>
          <w:rFonts w:ascii="Times New Roman" w:eastAsia="Times New Roman" w:hAnsi="Times New Roman" w:cs="Times New Roman"/>
          <w:kern w:val="0"/>
          <w:lang w:eastAsia="es-AR"/>
          <w14:ligatures w14:val="none"/>
        </w:rPr>
        <w:t xml:space="preserve">, S., &amp; Corea, C. (2002). </w:t>
      </w:r>
      <w:r w:rsidRPr="005034D5">
        <w:rPr>
          <w:rFonts w:ascii="Times New Roman" w:eastAsia="Times New Roman" w:hAnsi="Times New Roman" w:cs="Times New Roman"/>
          <w:i/>
          <w:iCs/>
          <w:kern w:val="0"/>
          <w:lang w:eastAsia="es-AR"/>
          <w14:ligatures w14:val="none"/>
        </w:rPr>
        <w:t>Chicos en banda: Los caminos de la subjetividad en el declive de las instituciones</w:t>
      </w:r>
      <w:r w:rsidRPr="005034D5">
        <w:rPr>
          <w:rFonts w:ascii="Times New Roman" w:eastAsia="Times New Roman" w:hAnsi="Times New Roman" w:cs="Times New Roman"/>
          <w:kern w:val="0"/>
          <w:lang w:eastAsia="es-AR"/>
          <w14:ligatures w14:val="none"/>
        </w:rPr>
        <w:t>. Buenos Aires: Paidós.</w:t>
      </w:r>
    </w:p>
    <w:p w14:paraId="712200DB"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r w:rsidRPr="005034D5">
        <w:rPr>
          <w:rFonts w:ascii="Times New Roman" w:eastAsia="Times New Roman" w:hAnsi="Times New Roman" w:cs="Times New Roman"/>
          <w:kern w:val="0"/>
          <w:lang w:eastAsia="es-AR"/>
          <w14:ligatures w14:val="none"/>
        </w:rPr>
        <w:t xml:space="preserve">Erikson, E. H. (1968). </w:t>
      </w:r>
      <w:r w:rsidRPr="005034D5">
        <w:rPr>
          <w:rFonts w:ascii="Times New Roman" w:eastAsia="Times New Roman" w:hAnsi="Times New Roman" w:cs="Times New Roman"/>
          <w:i/>
          <w:iCs/>
          <w:kern w:val="0"/>
          <w:lang w:eastAsia="es-AR"/>
          <w14:ligatures w14:val="none"/>
        </w:rPr>
        <w:t>Identidad: juventud y crisis</w:t>
      </w:r>
      <w:r w:rsidRPr="005034D5">
        <w:rPr>
          <w:rFonts w:ascii="Times New Roman" w:eastAsia="Times New Roman" w:hAnsi="Times New Roman" w:cs="Times New Roman"/>
          <w:kern w:val="0"/>
          <w:lang w:eastAsia="es-AR"/>
          <w14:ligatures w14:val="none"/>
        </w:rPr>
        <w:t>. Buenos Aires: Paidós.</w:t>
      </w:r>
    </w:p>
    <w:p w14:paraId="4087D163"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r w:rsidRPr="005034D5">
        <w:rPr>
          <w:rFonts w:ascii="Times New Roman" w:eastAsia="Times New Roman" w:hAnsi="Times New Roman" w:cs="Times New Roman"/>
          <w:kern w:val="0"/>
          <w:lang w:eastAsia="es-AR"/>
          <w14:ligatures w14:val="none"/>
        </w:rPr>
        <w:t xml:space="preserve">Feijoo, M. del C. (2011). </w:t>
      </w:r>
      <w:r w:rsidRPr="005034D5">
        <w:rPr>
          <w:rFonts w:ascii="Times New Roman" w:eastAsia="Times New Roman" w:hAnsi="Times New Roman" w:cs="Times New Roman"/>
          <w:i/>
          <w:iCs/>
          <w:kern w:val="0"/>
          <w:lang w:eastAsia="es-AR"/>
          <w14:ligatures w14:val="none"/>
        </w:rPr>
        <w:t>Las adolescencias: Un plural necesario</w:t>
      </w:r>
      <w:r w:rsidRPr="005034D5">
        <w:rPr>
          <w:rFonts w:ascii="Times New Roman" w:eastAsia="Times New Roman" w:hAnsi="Times New Roman" w:cs="Times New Roman"/>
          <w:kern w:val="0"/>
          <w:lang w:eastAsia="es-AR"/>
          <w14:ligatures w14:val="none"/>
        </w:rPr>
        <w:t>. Buenos Aires: Biblos.</w:t>
      </w:r>
    </w:p>
    <w:p w14:paraId="3578984F"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proofErr w:type="spellStart"/>
      <w:r w:rsidRPr="005034D5">
        <w:rPr>
          <w:rFonts w:ascii="Times New Roman" w:eastAsia="Times New Roman" w:hAnsi="Times New Roman" w:cs="Times New Roman"/>
          <w:kern w:val="0"/>
          <w:lang w:eastAsia="es-AR"/>
          <w14:ligatures w14:val="none"/>
        </w:rPr>
        <w:t>Keles</w:t>
      </w:r>
      <w:proofErr w:type="spellEnd"/>
      <w:r w:rsidRPr="005034D5">
        <w:rPr>
          <w:rFonts w:ascii="Times New Roman" w:eastAsia="Times New Roman" w:hAnsi="Times New Roman" w:cs="Times New Roman"/>
          <w:kern w:val="0"/>
          <w:lang w:eastAsia="es-AR"/>
          <w14:ligatures w14:val="none"/>
        </w:rPr>
        <w:t xml:space="preserve">, B., </w:t>
      </w:r>
      <w:proofErr w:type="spellStart"/>
      <w:r w:rsidRPr="005034D5">
        <w:rPr>
          <w:rFonts w:ascii="Times New Roman" w:eastAsia="Times New Roman" w:hAnsi="Times New Roman" w:cs="Times New Roman"/>
          <w:kern w:val="0"/>
          <w:lang w:eastAsia="es-AR"/>
          <w14:ligatures w14:val="none"/>
        </w:rPr>
        <w:t>McCrae</w:t>
      </w:r>
      <w:proofErr w:type="spellEnd"/>
      <w:r w:rsidRPr="005034D5">
        <w:rPr>
          <w:rFonts w:ascii="Times New Roman" w:eastAsia="Times New Roman" w:hAnsi="Times New Roman" w:cs="Times New Roman"/>
          <w:kern w:val="0"/>
          <w:lang w:eastAsia="es-AR"/>
          <w14:ligatures w14:val="none"/>
        </w:rPr>
        <w:t xml:space="preserve">, N., &amp; </w:t>
      </w:r>
      <w:proofErr w:type="spellStart"/>
      <w:r w:rsidRPr="005034D5">
        <w:rPr>
          <w:rFonts w:ascii="Times New Roman" w:eastAsia="Times New Roman" w:hAnsi="Times New Roman" w:cs="Times New Roman"/>
          <w:kern w:val="0"/>
          <w:lang w:eastAsia="es-AR"/>
          <w14:ligatures w14:val="none"/>
        </w:rPr>
        <w:t>Grealish</w:t>
      </w:r>
      <w:proofErr w:type="spellEnd"/>
      <w:r w:rsidRPr="005034D5">
        <w:rPr>
          <w:rFonts w:ascii="Times New Roman" w:eastAsia="Times New Roman" w:hAnsi="Times New Roman" w:cs="Times New Roman"/>
          <w:kern w:val="0"/>
          <w:lang w:eastAsia="es-AR"/>
          <w14:ligatures w14:val="none"/>
        </w:rPr>
        <w:t xml:space="preserve">, A. (2020). Una revisión sistemática: La influencia de las redes sociales en la depresión, la ansiedad y el malestar </w:t>
      </w:r>
      <w:r w:rsidRPr="005034D5">
        <w:rPr>
          <w:rFonts w:ascii="Times New Roman" w:eastAsia="Times New Roman" w:hAnsi="Times New Roman" w:cs="Times New Roman"/>
          <w:kern w:val="0"/>
          <w:lang w:eastAsia="es-AR"/>
          <w14:ligatures w14:val="none"/>
        </w:rPr>
        <w:lastRenderedPageBreak/>
        <w:t xml:space="preserve">psicológico en adolescentes. </w:t>
      </w:r>
      <w:r w:rsidRPr="005034D5">
        <w:rPr>
          <w:rFonts w:ascii="Times New Roman" w:eastAsia="Times New Roman" w:hAnsi="Times New Roman" w:cs="Times New Roman"/>
          <w:i/>
          <w:iCs/>
          <w:kern w:val="0"/>
          <w:lang w:eastAsia="es-AR"/>
          <w14:ligatures w14:val="none"/>
        </w:rPr>
        <w:t xml:space="preserve">International </w:t>
      </w:r>
      <w:proofErr w:type="spellStart"/>
      <w:r w:rsidRPr="005034D5">
        <w:rPr>
          <w:rFonts w:ascii="Times New Roman" w:eastAsia="Times New Roman" w:hAnsi="Times New Roman" w:cs="Times New Roman"/>
          <w:i/>
          <w:iCs/>
          <w:kern w:val="0"/>
          <w:lang w:eastAsia="es-AR"/>
          <w14:ligatures w14:val="none"/>
        </w:rPr>
        <w:t>Journal</w:t>
      </w:r>
      <w:proofErr w:type="spellEnd"/>
      <w:r w:rsidRPr="005034D5">
        <w:rPr>
          <w:rFonts w:ascii="Times New Roman" w:eastAsia="Times New Roman" w:hAnsi="Times New Roman" w:cs="Times New Roman"/>
          <w:i/>
          <w:iCs/>
          <w:kern w:val="0"/>
          <w:lang w:eastAsia="es-AR"/>
          <w14:ligatures w14:val="none"/>
        </w:rPr>
        <w:t xml:space="preserve"> </w:t>
      </w:r>
      <w:proofErr w:type="spellStart"/>
      <w:r w:rsidRPr="005034D5">
        <w:rPr>
          <w:rFonts w:ascii="Times New Roman" w:eastAsia="Times New Roman" w:hAnsi="Times New Roman" w:cs="Times New Roman"/>
          <w:i/>
          <w:iCs/>
          <w:kern w:val="0"/>
          <w:lang w:eastAsia="es-AR"/>
          <w14:ligatures w14:val="none"/>
        </w:rPr>
        <w:t>of</w:t>
      </w:r>
      <w:proofErr w:type="spellEnd"/>
      <w:r w:rsidRPr="005034D5">
        <w:rPr>
          <w:rFonts w:ascii="Times New Roman" w:eastAsia="Times New Roman" w:hAnsi="Times New Roman" w:cs="Times New Roman"/>
          <w:i/>
          <w:iCs/>
          <w:kern w:val="0"/>
          <w:lang w:eastAsia="es-AR"/>
          <w14:ligatures w14:val="none"/>
        </w:rPr>
        <w:t xml:space="preserve"> </w:t>
      </w:r>
      <w:proofErr w:type="spellStart"/>
      <w:r w:rsidRPr="005034D5">
        <w:rPr>
          <w:rFonts w:ascii="Times New Roman" w:eastAsia="Times New Roman" w:hAnsi="Times New Roman" w:cs="Times New Roman"/>
          <w:i/>
          <w:iCs/>
          <w:kern w:val="0"/>
          <w:lang w:eastAsia="es-AR"/>
          <w14:ligatures w14:val="none"/>
        </w:rPr>
        <w:t>Adolescence</w:t>
      </w:r>
      <w:proofErr w:type="spellEnd"/>
      <w:r w:rsidRPr="005034D5">
        <w:rPr>
          <w:rFonts w:ascii="Times New Roman" w:eastAsia="Times New Roman" w:hAnsi="Times New Roman" w:cs="Times New Roman"/>
          <w:i/>
          <w:iCs/>
          <w:kern w:val="0"/>
          <w:lang w:eastAsia="es-AR"/>
          <w14:ligatures w14:val="none"/>
        </w:rPr>
        <w:t xml:space="preserve"> and </w:t>
      </w:r>
      <w:proofErr w:type="spellStart"/>
      <w:r w:rsidRPr="005034D5">
        <w:rPr>
          <w:rFonts w:ascii="Times New Roman" w:eastAsia="Times New Roman" w:hAnsi="Times New Roman" w:cs="Times New Roman"/>
          <w:i/>
          <w:iCs/>
          <w:kern w:val="0"/>
          <w:lang w:eastAsia="es-AR"/>
          <w14:ligatures w14:val="none"/>
        </w:rPr>
        <w:t>Youth</w:t>
      </w:r>
      <w:proofErr w:type="spellEnd"/>
      <w:r w:rsidRPr="005034D5">
        <w:rPr>
          <w:rFonts w:ascii="Times New Roman" w:eastAsia="Times New Roman" w:hAnsi="Times New Roman" w:cs="Times New Roman"/>
          <w:i/>
          <w:iCs/>
          <w:kern w:val="0"/>
          <w:lang w:eastAsia="es-AR"/>
          <w14:ligatures w14:val="none"/>
        </w:rPr>
        <w:t>, 25</w:t>
      </w:r>
      <w:r w:rsidRPr="005034D5">
        <w:rPr>
          <w:rFonts w:ascii="Times New Roman" w:eastAsia="Times New Roman" w:hAnsi="Times New Roman" w:cs="Times New Roman"/>
          <w:kern w:val="0"/>
          <w:lang w:eastAsia="es-AR"/>
          <w14:ligatures w14:val="none"/>
        </w:rPr>
        <w:t>(1), 79–93. https://doi.org/10.1080/02673843.2019.1590851</w:t>
      </w:r>
    </w:p>
    <w:p w14:paraId="6E77E444"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proofErr w:type="spellStart"/>
      <w:r w:rsidRPr="005034D5">
        <w:rPr>
          <w:rFonts w:ascii="Times New Roman" w:eastAsia="Times New Roman" w:hAnsi="Times New Roman" w:cs="Times New Roman"/>
          <w:kern w:val="0"/>
          <w:lang w:eastAsia="es-AR"/>
          <w14:ligatures w14:val="none"/>
        </w:rPr>
        <w:t>Orben</w:t>
      </w:r>
      <w:proofErr w:type="spellEnd"/>
      <w:r w:rsidRPr="005034D5">
        <w:rPr>
          <w:rFonts w:ascii="Times New Roman" w:eastAsia="Times New Roman" w:hAnsi="Times New Roman" w:cs="Times New Roman"/>
          <w:kern w:val="0"/>
          <w:lang w:eastAsia="es-AR"/>
          <w14:ligatures w14:val="none"/>
        </w:rPr>
        <w:t xml:space="preserve">, A., &amp; </w:t>
      </w:r>
      <w:proofErr w:type="spellStart"/>
      <w:r w:rsidRPr="005034D5">
        <w:rPr>
          <w:rFonts w:ascii="Times New Roman" w:eastAsia="Times New Roman" w:hAnsi="Times New Roman" w:cs="Times New Roman"/>
          <w:kern w:val="0"/>
          <w:lang w:eastAsia="es-AR"/>
          <w14:ligatures w14:val="none"/>
        </w:rPr>
        <w:t>Przybylski</w:t>
      </w:r>
      <w:proofErr w:type="spellEnd"/>
      <w:r w:rsidRPr="005034D5">
        <w:rPr>
          <w:rFonts w:ascii="Times New Roman" w:eastAsia="Times New Roman" w:hAnsi="Times New Roman" w:cs="Times New Roman"/>
          <w:kern w:val="0"/>
          <w:lang w:eastAsia="es-AR"/>
          <w14:ligatures w14:val="none"/>
        </w:rPr>
        <w:t xml:space="preserve">, A. K. (2019). La asociación entre el bienestar adolescente y el uso de tecnologías digitales. </w:t>
      </w:r>
      <w:proofErr w:type="spellStart"/>
      <w:r w:rsidRPr="005034D5">
        <w:rPr>
          <w:rFonts w:ascii="Times New Roman" w:eastAsia="Times New Roman" w:hAnsi="Times New Roman" w:cs="Times New Roman"/>
          <w:i/>
          <w:iCs/>
          <w:kern w:val="0"/>
          <w:lang w:eastAsia="es-AR"/>
          <w14:ligatures w14:val="none"/>
        </w:rPr>
        <w:t>Nature</w:t>
      </w:r>
      <w:proofErr w:type="spellEnd"/>
      <w:r w:rsidRPr="005034D5">
        <w:rPr>
          <w:rFonts w:ascii="Times New Roman" w:eastAsia="Times New Roman" w:hAnsi="Times New Roman" w:cs="Times New Roman"/>
          <w:i/>
          <w:iCs/>
          <w:kern w:val="0"/>
          <w:lang w:eastAsia="es-AR"/>
          <w14:ligatures w14:val="none"/>
        </w:rPr>
        <w:t xml:space="preserve"> Human </w:t>
      </w:r>
      <w:proofErr w:type="spellStart"/>
      <w:r w:rsidRPr="005034D5">
        <w:rPr>
          <w:rFonts w:ascii="Times New Roman" w:eastAsia="Times New Roman" w:hAnsi="Times New Roman" w:cs="Times New Roman"/>
          <w:i/>
          <w:iCs/>
          <w:kern w:val="0"/>
          <w:lang w:eastAsia="es-AR"/>
          <w14:ligatures w14:val="none"/>
        </w:rPr>
        <w:t>Behaviour</w:t>
      </w:r>
      <w:proofErr w:type="spellEnd"/>
      <w:r w:rsidRPr="005034D5">
        <w:rPr>
          <w:rFonts w:ascii="Times New Roman" w:eastAsia="Times New Roman" w:hAnsi="Times New Roman" w:cs="Times New Roman"/>
          <w:i/>
          <w:iCs/>
          <w:kern w:val="0"/>
          <w:lang w:eastAsia="es-AR"/>
          <w14:ligatures w14:val="none"/>
        </w:rPr>
        <w:t>, 3</w:t>
      </w:r>
      <w:r w:rsidRPr="005034D5">
        <w:rPr>
          <w:rFonts w:ascii="Times New Roman" w:eastAsia="Times New Roman" w:hAnsi="Times New Roman" w:cs="Times New Roman"/>
          <w:kern w:val="0"/>
          <w:lang w:eastAsia="es-AR"/>
          <w14:ligatures w14:val="none"/>
        </w:rPr>
        <w:t>(2), 173–182. https://doi.org/10.1038/s41562-018-0506-1</w:t>
      </w:r>
    </w:p>
    <w:p w14:paraId="087CEF2E" w14:textId="77777777" w:rsidR="005034D5" w:rsidRPr="005034D5" w:rsidRDefault="005034D5" w:rsidP="005034D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AR"/>
          <w14:ligatures w14:val="none"/>
        </w:rPr>
      </w:pPr>
      <w:r w:rsidRPr="005034D5">
        <w:rPr>
          <w:rFonts w:ascii="Times New Roman" w:eastAsia="Times New Roman" w:hAnsi="Times New Roman" w:cs="Times New Roman"/>
          <w:kern w:val="0"/>
          <w:lang w:eastAsia="es-AR"/>
          <w14:ligatures w14:val="none"/>
        </w:rPr>
        <w:t xml:space="preserve">Valkenburg, P. M., &amp; Peter, J. (2011). Comunicación en línea entre adolescentes: un modelo integrado de su atractivo, oportunidades y riesgos. </w:t>
      </w:r>
      <w:proofErr w:type="spellStart"/>
      <w:r w:rsidRPr="005034D5">
        <w:rPr>
          <w:rFonts w:ascii="Times New Roman" w:eastAsia="Times New Roman" w:hAnsi="Times New Roman" w:cs="Times New Roman"/>
          <w:i/>
          <w:iCs/>
          <w:kern w:val="0"/>
          <w:lang w:eastAsia="es-AR"/>
          <w14:ligatures w14:val="none"/>
        </w:rPr>
        <w:t>Journal</w:t>
      </w:r>
      <w:proofErr w:type="spellEnd"/>
      <w:r w:rsidRPr="005034D5">
        <w:rPr>
          <w:rFonts w:ascii="Times New Roman" w:eastAsia="Times New Roman" w:hAnsi="Times New Roman" w:cs="Times New Roman"/>
          <w:i/>
          <w:iCs/>
          <w:kern w:val="0"/>
          <w:lang w:eastAsia="es-AR"/>
          <w14:ligatures w14:val="none"/>
        </w:rPr>
        <w:t xml:space="preserve"> </w:t>
      </w:r>
      <w:proofErr w:type="spellStart"/>
      <w:r w:rsidRPr="005034D5">
        <w:rPr>
          <w:rFonts w:ascii="Times New Roman" w:eastAsia="Times New Roman" w:hAnsi="Times New Roman" w:cs="Times New Roman"/>
          <w:i/>
          <w:iCs/>
          <w:kern w:val="0"/>
          <w:lang w:eastAsia="es-AR"/>
          <w14:ligatures w14:val="none"/>
        </w:rPr>
        <w:t>of</w:t>
      </w:r>
      <w:proofErr w:type="spellEnd"/>
      <w:r w:rsidRPr="005034D5">
        <w:rPr>
          <w:rFonts w:ascii="Times New Roman" w:eastAsia="Times New Roman" w:hAnsi="Times New Roman" w:cs="Times New Roman"/>
          <w:i/>
          <w:iCs/>
          <w:kern w:val="0"/>
          <w:lang w:eastAsia="es-AR"/>
          <w14:ligatures w14:val="none"/>
        </w:rPr>
        <w:t xml:space="preserve"> </w:t>
      </w:r>
      <w:proofErr w:type="spellStart"/>
      <w:r w:rsidRPr="005034D5">
        <w:rPr>
          <w:rFonts w:ascii="Times New Roman" w:eastAsia="Times New Roman" w:hAnsi="Times New Roman" w:cs="Times New Roman"/>
          <w:i/>
          <w:iCs/>
          <w:kern w:val="0"/>
          <w:lang w:eastAsia="es-AR"/>
          <w14:ligatures w14:val="none"/>
        </w:rPr>
        <w:t>Adolescent</w:t>
      </w:r>
      <w:proofErr w:type="spellEnd"/>
      <w:r w:rsidRPr="005034D5">
        <w:rPr>
          <w:rFonts w:ascii="Times New Roman" w:eastAsia="Times New Roman" w:hAnsi="Times New Roman" w:cs="Times New Roman"/>
          <w:i/>
          <w:iCs/>
          <w:kern w:val="0"/>
          <w:lang w:eastAsia="es-AR"/>
          <w14:ligatures w14:val="none"/>
        </w:rPr>
        <w:t xml:space="preserve"> </w:t>
      </w:r>
      <w:proofErr w:type="spellStart"/>
      <w:r w:rsidRPr="005034D5">
        <w:rPr>
          <w:rFonts w:ascii="Times New Roman" w:eastAsia="Times New Roman" w:hAnsi="Times New Roman" w:cs="Times New Roman"/>
          <w:i/>
          <w:iCs/>
          <w:kern w:val="0"/>
          <w:lang w:eastAsia="es-AR"/>
          <w14:ligatures w14:val="none"/>
        </w:rPr>
        <w:t>Health</w:t>
      </w:r>
      <w:proofErr w:type="spellEnd"/>
      <w:r w:rsidRPr="005034D5">
        <w:rPr>
          <w:rFonts w:ascii="Times New Roman" w:eastAsia="Times New Roman" w:hAnsi="Times New Roman" w:cs="Times New Roman"/>
          <w:i/>
          <w:iCs/>
          <w:kern w:val="0"/>
          <w:lang w:eastAsia="es-AR"/>
          <w14:ligatures w14:val="none"/>
        </w:rPr>
        <w:t>, 48</w:t>
      </w:r>
      <w:r w:rsidRPr="005034D5">
        <w:rPr>
          <w:rFonts w:ascii="Times New Roman" w:eastAsia="Times New Roman" w:hAnsi="Times New Roman" w:cs="Times New Roman"/>
          <w:kern w:val="0"/>
          <w:lang w:eastAsia="es-AR"/>
          <w14:ligatures w14:val="none"/>
        </w:rPr>
        <w:t>(2), 121–127. https://doi.org/10.1016/j.jadohealth.2010.08.020</w:t>
      </w:r>
    </w:p>
    <w:p w14:paraId="2ED64CA0" w14:textId="77777777" w:rsidR="005034D5" w:rsidRPr="00AD175D" w:rsidRDefault="005034D5" w:rsidP="005034D5">
      <w:pPr>
        <w:pStyle w:val="NormalWeb"/>
        <w:spacing w:line="360" w:lineRule="auto"/>
        <w:jc w:val="both"/>
      </w:pPr>
    </w:p>
    <w:p w14:paraId="3111CC84" w14:textId="41C5C893" w:rsidR="00F573F5" w:rsidRPr="00AD175D" w:rsidRDefault="00F573F5" w:rsidP="005034D5">
      <w:pPr>
        <w:spacing w:line="360" w:lineRule="auto"/>
        <w:jc w:val="both"/>
      </w:pPr>
    </w:p>
    <w:sectPr w:rsidR="00F573F5" w:rsidRPr="00AD17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B37"/>
    <w:multiLevelType w:val="multilevel"/>
    <w:tmpl w:val="BD1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9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EB"/>
    <w:rsid w:val="00015E7C"/>
    <w:rsid w:val="004027F6"/>
    <w:rsid w:val="005034D5"/>
    <w:rsid w:val="00AD175D"/>
    <w:rsid w:val="00EB197D"/>
    <w:rsid w:val="00F573F5"/>
    <w:rsid w:val="00FD19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5BEF"/>
  <w15:chartTrackingRefBased/>
  <w15:docId w15:val="{FF91F73F-13CF-498B-9BBE-57A83947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D19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19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9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9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9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9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9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9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19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D19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19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9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9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9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9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9EB"/>
    <w:rPr>
      <w:rFonts w:eastAsiaTheme="majorEastAsia" w:cstheme="majorBidi"/>
      <w:color w:val="272727" w:themeColor="text1" w:themeTint="D8"/>
    </w:rPr>
  </w:style>
  <w:style w:type="paragraph" w:styleId="Ttulo">
    <w:name w:val="Title"/>
    <w:basedOn w:val="Normal"/>
    <w:next w:val="Normal"/>
    <w:link w:val="TtuloCar"/>
    <w:uiPriority w:val="10"/>
    <w:qFormat/>
    <w:rsid w:val="00FD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9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9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9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9EB"/>
    <w:pPr>
      <w:spacing w:before="160"/>
      <w:jc w:val="center"/>
    </w:pPr>
    <w:rPr>
      <w:i/>
      <w:iCs/>
      <w:color w:val="404040" w:themeColor="text1" w:themeTint="BF"/>
    </w:rPr>
  </w:style>
  <w:style w:type="character" w:customStyle="1" w:styleId="CitaCar">
    <w:name w:val="Cita Car"/>
    <w:basedOn w:val="Fuentedeprrafopredeter"/>
    <w:link w:val="Cita"/>
    <w:uiPriority w:val="29"/>
    <w:rsid w:val="00FD19EB"/>
    <w:rPr>
      <w:i/>
      <w:iCs/>
      <w:color w:val="404040" w:themeColor="text1" w:themeTint="BF"/>
    </w:rPr>
  </w:style>
  <w:style w:type="paragraph" w:styleId="Prrafodelista">
    <w:name w:val="List Paragraph"/>
    <w:basedOn w:val="Normal"/>
    <w:uiPriority w:val="34"/>
    <w:qFormat/>
    <w:rsid w:val="00FD19EB"/>
    <w:pPr>
      <w:ind w:left="720"/>
      <w:contextualSpacing/>
    </w:pPr>
  </w:style>
  <w:style w:type="character" w:styleId="nfasisintenso">
    <w:name w:val="Intense Emphasis"/>
    <w:basedOn w:val="Fuentedeprrafopredeter"/>
    <w:uiPriority w:val="21"/>
    <w:qFormat/>
    <w:rsid w:val="00FD19EB"/>
    <w:rPr>
      <w:i/>
      <w:iCs/>
      <w:color w:val="0F4761" w:themeColor="accent1" w:themeShade="BF"/>
    </w:rPr>
  </w:style>
  <w:style w:type="paragraph" w:styleId="Citadestacada">
    <w:name w:val="Intense Quote"/>
    <w:basedOn w:val="Normal"/>
    <w:next w:val="Normal"/>
    <w:link w:val="CitadestacadaCar"/>
    <w:uiPriority w:val="30"/>
    <w:qFormat/>
    <w:rsid w:val="00FD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9EB"/>
    <w:rPr>
      <w:i/>
      <w:iCs/>
      <w:color w:val="0F4761" w:themeColor="accent1" w:themeShade="BF"/>
    </w:rPr>
  </w:style>
  <w:style w:type="character" w:styleId="Referenciaintensa">
    <w:name w:val="Intense Reference"/>
    <w:basedOn w:val="Fuentedeprrafopredeter"/>
    <w:uiPriority w:val="32"/>
    <w:qFormat/>
    <w:rsid w:val="00FD19EB"/>
    <w:rPr>
      <w:b/>
      <w:bCs/>
      <w:smallCaps/>
      <w:color w:val="0F4761" w:themeColor="accent1" w:themeShade="BF"/>
      <w:spacing w:val="5"/>
    </w:rPr>
  </w:style>
  <w:style w:type="paragraph" w:styleId="NormalWeb">
    <w:name w:val="Normal (Web)"/>
    <w:basedOn w:val="Normal"/>
    <w:uiPriority w:val="99"/>
    <w:semiHidden/>
    <w:unhideWhenUsed/>
    <w:rsid w:val="00F573F5"/>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Textoennegrita">
    <w:name w:val="Strong"/>
    <w:basedOn w:val="Fuentedeprrafopredeter"/>
    <w:uiPriority w:val="22"/>
    <w:qFormat/>
    <w:rsid w:val="00F573F5"/>
    <w:rPr>
      <w:b/>
      <w:bCs/>
    </w:rPr>
  </w:style>
  <w:style w:type="character" w:styleId="nfasis">
    <w:name w:val="Emphasis"/>
    <w:basedOn w:val="Fuentedeprrafopredeter"/>
    <w:uiPriority w:val="20"/>
    <w:qFormat/>
    <w:rsid w:val="00503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Ataide Cabral</dc:creator>
  <cp:keywords/>
  <dc:description/>
  <cp:lastModifiedBy>Daniela Ataide Cabral</cp:lastModifiedBy>
  <cp:revision>1</cp:revision>
  <dcterms:created xsi:type="dcterms:W3CDTF">2025-09-10T00:42:00Z</dcterms:created>
  <dcterms:modified xsi:type="dcterms:W3CDTF">2025-09-10T02:02:00Z</dcterms:modified>
</cp:coreProperties>
</file>