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CD" w:rsidRDefault="004730CD" w:rsidP="00E24624">
      <w:pPr>
        <w:jc w:val="both"/>
        <w:rPr>
          <w:b/>
          <w:bCs/>
          <w:lang w:val="es-ES_tradnl"/>
        </w:rPr>
      </w:pPr>
      <w:r w:rsidRPr="00AC7460">
        <w:rPr>
          <w:b/>
          <w:bCs/>
          <w:lang w:val="es-ES_tradnl"/>
        </w:rPr>
        <w:t>Muerte y manicomio</w:t>
      </w:r>
      <w:r>
        <w:rPr>
          <w:b/>
          <w:bCs/>
          <w:lang w:val="es-ES_tradnl"/>
        </w:rPr>
        <w:t xml:space="preserve"> 1959</w:t>
      </w:r>
      <w:r w:rsidRPr="00AC7460">
        <w:rPr>
          <w:b/>
          <w:bCs/>
          <w:lang w:val="es-ES_tradnl"/>
        </w:rPr>
        <w:t xml:space="preserve">. </w:t>
      </w:r>
    </w:p>
    <w:p w:rsidR="004730CD" w:rsidRPr="00AC7460" w:rsidRDefault="004730CD" w:rsidP="00E24624">
      <w:pPr>
        <w:jc w:val="both"/>
        <w:rPr>
          <w:b/>
          <w:bCs/>
          <w:lang w:val="es-ES_tradnl"/>
        </w:rPr>
      </w:pPr>
      <w:r>
        <w:rPr>
          <w:b/>
          <w:bCs/>
          <w:lang w:val="es-ES_tradnl"/>
        </w:rPr>
        <w:t>El invierno de Alsogaray.</w:t>
      </w:r>
      <w:r>
        <w:rPr>
          <w:rStyle w:val="Refdenotaalpie"/>
          <w:b/>
          <w:bCs/>
          <w:lang w:val="es-ES_tradnl"/>
        </w:rPr>
        <w:footnoteReference w:id="1"/>
      </w:r>
    </w:p>
    <w:p w:rsidR="004730CD" w:rsidRDefault="004730CD" w:rsidP="00E24624">
      <w:pPr>
        <w:jc w:val="both"/>
        <w:rPr>
          <w:lang w:val="es-ES_tradnl"/>
        </w:rPr>
      </w:pPr>
      <w:r>
        <w:rPr>
          <w:lang w:val="es-ES_tradnl"/>
        </w:rPr>
        <w:t>Carla Pierri</w:t>
      </w:r>
    </w:p>
    <w:p w:rsidR="004730CD" w:rsidRDefault="004730CD" w:rsidP="00E24624">
      <w:pPr>
        <w:jc w:val="both"/>
        <w:rPr>
          <w:lang w:val="es-ES_tradnl"/>
        </w:rPr>
      </w:pPr>
      <w:r>
        <w:rPr>
          <w:lang w:val="es-ES_tradnl"/>
        </w:rPr>
        <w:t>En 2012 me incorpor</w:t>
      </w:r>
      <w:r w:rsidR="00DE45BF">
        <w:rPr>
          <w:lang w:val="es-ES_tradnl"/>
        </w:rPr>
        <w:t>o</w:t>
      </w:r>
      <w:r>
        <w:rPr>
          <w:lang w:val="es-ES_tradnl"/>
        </w:rPr>
        <w:t xml:space="preserve"> a un equipo de </w:t>
      </w:r>
      <w:r w:rsidR="006A0368">
        <w:rPr>
          <w:lang w:val="es-ES_tradnl"/>
        </w:rPr>
        <w:t>i</w:t>
      </w:r>
      <w:r>
        <w:rPr>
          <w:lang w:val="es-ES_tradnl"/>
        </w:rPr>
        <w:t xml:space="preserve">nvestigación </w:t>
      </w:r>
      <w:r w:rsidR="006A0368">
        <w:rPr>
          <w:rStyle w:val="Refdenotaalpie"/>
          <w:lang w:val="es-ES_tradnl"/>
        </w:rPr>
        <w:footnoteReference w:id="2"/>
      </w:r>
      <w:r>
        <w:rPr>
          <w:lang w:val="es-ES_tradnl"/>
        </w:rPr>
        <w:t>dirigido por la Dra. Anahí Sy para estudiar, a través de historias clínicas y desde el enfoque de la medicina social latinoamericana-salud colectiva, el perfil epidemiológico de personas internadas y fallecidas en el Hospital Esteves en Lomas de Zamora durante el siglo XX.  Inici</w:t>
      </w:r>
      <w:r w:rsidR="00DE45BF">
        <w:rPr>
          <w:lang w:val="es-ES_tradnl"/>
        </w:rPr>
        <w:t>o</w:t>
      </w:r>
      <w:r>
        <w:rPr>
          <w:lang w:val="es-ES_tradnl"/>
        </w:rPr>
        <w:t xml:space="preserve"> así un </w:t>
      </w:r>
      <w:r w:rsidR="006A0368">
        <w:rPr>
          <w:lang w:val="es-ES_tradnl"/>
        </w:rPr>
        <w:t>recorrido por archivos</w:t>
      </w:r>
      <w:r w:rsidR="00DE45BF">
        <w:rPr>
          <w:lang w:val="es-ES_tradnl"/>
        </w:rPr>
        <w:t xml:space="preserve"> (en especial el Archivo General de la Nación AGN)</w:t>
      </w:r>
      <w:r w:rsidR="006A0368">
        <w:rPr>
          <w:lang w:val="es-ES_tradnl"/>
        </w:rPr>
        <w:t>, bibliotecas, bares, consultorios, archivos de revistas, hospitales.</w:t>
      </w:r>
      <w:r w:rsidR="00DE45BF">
        <w:rPr>
          <w:lang w:val="es-ES_tradnl"/>
        </w:rPr>
        <w:t xml:space="preserve"> </w:t>
      </w:r>
      <w:r w:rsidR="006A0368">
        <w:rPr>
          <w:lang w:val="es-ES_tradnl"/>
        </w:rPr>
        <w:t xml:space="preserve">El andar me </w:t>
      </w:r>
      <w:r w:rsidR="00DE45BF">
        <w:rPr>
          <w:lang w:val="es-ES_tradnl"/>
        </w:rPr>
        <w:t>va</w:t>
      </w:r>
      <w:r w:rsidR="006A0368">
        <w:rPr>
          <w:lang w:val="es-ES_tradnl"/>
        </w:rPr>
        <w:t xml:space="preserve"> llevando a entrevistarme con trabajadores de la salud mental de distintas edades, profesiones, funciones, distintas perspectivas pero con iguales preocupaciones por las personas internadas en manicomios. Curiosamente lo que más me cautiva</w:t>
      </w:r>
      <w:r w:rsidR="00DE45BF">
        <w:rPr>
          <w:lang w:val="es-ES_tradnl"/>
        </w:rPr>
        <w:t xml:space="preserve"> es cuando me hablan </w:t>
      </w:r>
      <w:r w:rsidR="006A0368">
        <w:rPr>
          <w:lang w:val="es-ES_tradnl"/>
        </w:rPr>
        <w:t>de un clima de época de lucha, creación, de apuesta, de música y ruptura.</w:t>
      </w:r>
    </w:p>
    <w:p w:rsidR="004730CD" w:rsidRPr="00726FA1" w:rsidRDefault="004730CD" w:rsidP="00E24624">
      <w:pPr>
        <w:jc w:val="both"/>
        <w:rPr>
          <w:lang w:val="es-ES_tradnl"/>
        </w:rPr>
      </w:pPr>
      <w:r>
        <w:rPr>
          <w:b/>
          <w:bCs/>
          <w:lang w:val="es-ES_tradnl"/>
        </w:rPr>
        <w:t>H</w:t>
      </w:r>
      <w:r w:rsidRPr="00D11B20">
        <w:rPr>
          <w:b/>
          <w:bCs/>
          <w:lang w:val="es-ES_tradnl"/>
        </w:rPr>
        <w:t>istorias clínicas</w:t>
      </w:r>
      <w:r>
        <w:rPr>
          <w:b/>
          <w:bCs/>
          <w:lang w:val="es-ES_tradnl"/>
        </w:rPr>
        <w:t xml:space="preserve">, admisión. </w:t>
      </w:r>
    </w:p>
    <w:p w:rsidR="004730CD" w:rsidRDefault="00015AAE" w:rsidP="00E24624">
      <w:pPr>
        <w:jc w:val="both"/>
        <w:rPr>
          <w:color w:val="FF0000"/>
          <w:lang w:val="es-ES_tradnl"/>
        </w:rPr>
      </w:pPr>
      <w:r>
        <w:rPr>
          <w:lang w:val="es-ES_tradnl"/>
        </w:rPr>
        <w:t xml:space="preserve">Dos años de este recorrido los </w:t>
      </w:r>
      <w:proofErr w:type="gramStart"/>
      <w:r>
        <w:rPr>
          <w:lang w:val="es-ES_tradnl"/>
        </w:rPr>
        <w:t>paso</w:t>
      </w:r>
      <w:proofErr w:type="gramEnd"/>
      <w:r>
        <w:rPr>
          <w:lang w:val="es-ES_tradnl"/>
        </w:rPr>
        <w:t xml:space="preserve"> casi todo el tiempo en </w:t>
      </w:r>
      <w:r w:rsidR="004730CD">
        <w:rPr>
          <w:lang w:val="es-ES_tradnl"/>
        </w:rPr>
        <w:t>Paseo Colon y Humberto 1º</w:t>
      </w:r>
      <w:r>
        <w:rPr>
          <w:lang w:val="es-ES_tradnl"/>
        </w:rPr>
        <w:t>. Allí está el archivo intermedio de AGN donde l</w:t>
      </w:r>
      <w:r w:rsidR="004730CD">
        <w:rPr>
          <w:lang w:val="es-ES_tradnl"/>
        </w:rPr>
        <w:t>e</w:t>
      </w:r>
      <w:r w:rsidR="007F2AAC">
        <w:rPr>
          <w:lang w:val="es-ES_tradnl"/>
        </w:rPr>
        <w:t>o</w:t>
      </w:r>
      <w:r w:rsidR="004730CD">
        <w:rPr>
          <w:lang w:val="es-ES_tradnl"/>
        </w:rPr>
        <w:t xml:space="preserve"> historias clínicas</w:t>
      </w:r>
      <w:r w:rsidR="004C2210">
        <w:rPr>
          <w:lang w:val="es-ES_tradnl"/>
        </w:rPr>
        <w:t xml:space="preserve"> (HC)</w:t>
      </w:r>
      <w:r w:rsidR="004730CD">
        <w:rPr>
          <w:lang w:val="es-ES_tradnl"/>
        </w:rPr>
        <w:t xml:space="preserve"> de mujeres que han fallecido durante su internación en el Esteves. La rutina del Archivo General de la Nación con sus guantes, estrictos silencios y modos de trabajar con “documentos contaminados” crea un clima de</w:t>
      </w:r>
      <w:r>
        <w:rPr>
          <w:lang w:val="es-ES_tradnl"/>
        </w:rPr>
        <w:t xml:space="preserve"> ritual que me convoca.</w:t>
      </w:r>
    </w:p>
    <w:p w:rsidR="004730CD" w:rsidRDefault="004730CD" w:rsidP="00E24624">
      <w:pPr>
        <w:jc w:val="both"/>
        <w:rPr>
          <w:lang w:val="es-ES_tradnl"/>
        </w:rPr>
      </w:pPr>
      <w:r>
        <w:rPr>
          <w:lang w:val="es-ES_tradnl"/>
        </w:rPr>
        <w:t xml:space="preserve">Al abrir </w:t>
      </w:r>
      <w:r w:rsidR="00DE45BF">
        <w:rPr>
          <w:lang w:val="es-ES_tradnl"/>
        </w:rPr>
        <w:t>cada</w:t>
      </w:r>
      <w:r>
        <w:rPr>
          <w:lang w:val="es-ES_tradnl"/>
        </w:rPr>
        <w:t xml:space="preserve"> carpeta lo primero que encuentro es un certificado de defunción. Inmediatamente después una copia de un telegrama para los allegados: </w:t>
      </w:r>
      <w:r w:rsidRPr="00C00370">
        <w:rPr>
          <w:b/>
          <w:bCs/>
          <w:lang w:val="es-ES_tradnl"/>
        </w:rPr>
        <w:t xml:space="preserve">“Falleció </w:t>
      </w:r>
      <w:proofErr w:type="spellStart"/>
      <w:r w:rsidRPr="00C00370">
        <w:rPr>
          <w:b/>
          <w:bCs/>
          <w:lang w:val="es-ES_tradnl"/>
        </w:rPr>
        <w:t>xxxx</w:t>
      </w:r>
      <w:proofErr w:type="spellEnd"/>
      <w:r w:rsidRPr="00C00370">
        <w:rPr>
          <w:b/>
          <w:bCs/>
          <w:lang w:val="es-ES_tradnl"/>
        </w:rPr>
        <w:t xml:space="preserve"> </w:t>
      </w:r>
      <w:proofErr w:type="spellStart"/>
      <w:r w:rsidRPr="00C00370">
        <w:rPr>
          <w:b/>
          <w:bCs/>
          <w:lang w:val="es-ES_tradnl"/>
        </w:rPr>
        <w:t>xxxxx</w:t>
      </w:r>
      <w:proofErr w:type="spellEnd"/>
      <w:r w:rsidRPr="00C00370">
        <w:rPr>
          <w:b/>
          <w:bCs/>
          <w:lang w:val="es-ES_tradnl"/>
        </w:rPr>
        <w:t xml:space="preserve">. Responda si se hace </w:t>
      </w:r>
      <w:bookmarkStart w:id="0" w:name="_GoBack"/>
      <w:r w:rsidRPr="00C00370">
        <w:rPr>
          <w:b/>
          <w:bCs/>
          <w:lang w:val="es-ES_tradnl"/>
        </w:rPr>
        <w:t>cargo”.</w:t>
      </w:r>
      <w:r>
        <w:rPr>
          <w:lang w:val="es-ES_tradnl"/>
        </w:rPr>
        <w:t xml:space="preserve"> Si la familia no responde, aparece un pequeño papelito que certifica que la Facultad de </w:t>
      </w:r>
      <w:bookmarkEnd w:id="0"/>
      <w:r>
        <w:rPr>
          <w:lang w:val="es-ES_tradnl"/>
        </w:rPr>
        <w:t xml:space="preserve">Medicina retira “el cadáver”. Peculiar modo de comunicar una muerte, de hacer con un cuerpo,  con una vida. ¿Condensa ese proceder el valor social atribuido a una “loca”?  </w:t>
      </w:r>
    </w:p>
    <w:p w:rsidR="004730CD" w:rsidRDefault="004C2210" w:rsidP="00E24624">
      <w:pPr>
        <w:jc w:val="both"/>
        <w:rPr>
          <w:lang w:val="es-ES_tradnl"/>
        </w:rPr>
      </w:pPr>
      <w:r>
        <w:rPr>
          <w:lang w:val="es-ES_tradnl"/>
        </w:rPr>
        <w:t xml:space="preserve">Las </w:t>
      </w:r>
      <w:proofErr w:type="spellStart"/>
      <w:r>
        <w:rPr>
          <w:lang w:val="es-ES_tradnl"/>
        </w:rPr>
        <w:t>HCs</w:t>
      </w:r>
      <w:proofErr w:type="spellEnd"/>
      <w:r w:rsidR="004730CD">
        <w:rPr>
          <w:lang w:val="es-ES_tradnl"/>
        </w:rPr>
        <w:t xml:space="preserve"> </w:t>
      </w:r>
      <w:r w:rsidR="00015AAE">
        <w:rPr>
          <w:lang w:val="es-ES_tradnl"/>
        </w:rPr>
        <w:t xml:space="preserve">suelen estar </w:t>
      </w:r>
      <w:r w:rsidR="004730CD">
        <w:rPr>
          <w:lang w:val="es-ES_tradnl"/>
        </w:rPr>
        <w:t>escritas con letra ilegible y se reducen a una escueta y repetida descripción de estado. Por ejemplo: “levantada, tranquila, sucia, igual estado mental, físico bien, come y duerme bien”.  ¿Sucia? ¿Levantada? La frecuencia de registros es baja y se va espaciando cada vez más con los años de internación.</w:t>
      </w:r>
      <w:r w:rsidR="00015AAE">
        <w:rPr>
          <w:lang w:val="es-ES_tradnl"/>
        </w:rPr>
        <w:t xml:space="preserve"> </w:t>
      </w:r>
      <w:r w:rsidR="004730CD">
        <w:rPr>
          <w:lang w:val="es-ES_tradnl"/>
        </w:rPr>
        <w:t>Los registros de tratamiento no abundan excepto que la “enferma” se encuentre “agresiva”.</w:t>
      </w:r>
      <w:r w:rsidR="00DE45BF">
        <w:rPr>
          <w:lang w:val="es-ES_tradnl"/>
        </w:rPr>
        <w:t xml:space="preserve"> Ese registro se asocia a distintos “tratamientos” que muchas veces me hacen levantar de la silla, dejar </w:t>
      </w:r>
      <w:r w:rsidR="004730CD">
        <w:rPr>
          <w:lang w:val="es-ES_tradnl"/>
        </w:rPr>
        <w:t>mis cosas, baj</w:t>
      </w:r>
      <w:r w:rsidR="00DE45BF">
        <w:rPr>
          <w:lang w:val="es-ES_tradnl"/>
        </w:rPr>
        <w:t>ar</w:t>
      </w:r>
      <w:r w:rsidR="004730CD">
        <w:rPr>
          <w:lang w:val="es-ES_tradnl"/>
        </w:rPr>
        <w:t xml:space="preserve"> los 4 pisos por escalera y busc</w:t>
      </w:r>
      <w:r w:rsidR="00DE45BF">
        <w:rPr>
          <w:lang w:val="es-ES_tradnl"/>
        </w:rPr>
        <w:t>ar</w:t>
      </w:r>
      <w:r w:rsidR="004730CD">
        <w:rPr>
          <w:lang w:val="es-ES_tradnl"/>
        </w:rPr>
        <w:t xml:space="preserve"> café, un pucho, aire. Necesidad física de alejarme del manicomio.  </w:t>
      </w:r>
    </w:p>
    <w:p w:rsidR="004730CD" w:rsidRDefault="007F2AAC" w:rsidP="00E24624">
      <w:pPr>
        <w:jc w:val="both"/>
        <w:rPr>
          <w:lang w:val="es-ES_tradnl"/>
        </w:rPr>
      </w:pPr>
      <w:r>
        <w:rPr>
          <w:lang w:val="es-ES_tradnl"/>
        </w:rPr>
        <w:lastRenderedPageBreak/>
        <w:t xml:space="preserve">El </w:t>
      </w:r>
      <w:r w:rsidR="004730CD">
        <w:rPr>
          <w:lang w:val="es-ES_tradnl"/>
        </w:rPr>
        <w:t xml:space="preserve">momento de mayor profundidad </w:t>
      </w:r>
      <w:r>
        <w:rPr>
          <w:lang w:val="es-ES_tradnl"/>
        </w:rPr>
        <w:t xml:space="preserve">–quizás el único- </w:t>
      </w:r>
      <w:r w:rsidR="004730CD">
        <w:rPr>
          <w:lang w:val="es-ES_tradnl"/>
        </w:rPr>
        <w:t xml:space="preserve">en los registros es el ingreso. </w:t>
      </w:r>
      <w:r>
        <w:rPr>
          <w:lang w:val="es-ES_tradnl"/>
        </w:rPr>
        <w:t xml:space="preserve">Durante las internaciones y en los </w:t>
      </w:r>
      <w:r w:rsidR="004730CD">
        <w:rPr>
          <w:lang w:val="es-ES_tradnl"/>
        </w:rPr>
        <w:t xml:space="preserve">reingresos no suele haber evaluaciones, sino que se </w:t>
      </w:r>
      <w:r w:rsidR="00DE45BF">
        <w:rPr>
          <w:lang w:val="es-ES_tradnl"/>
        </w:rPr>
        <w:t>continúa</w:t>
      </w:r>
      <w:r w:rsidR="004730CD">
        <w:rPr>
          <w:lang w:val="es-ES_tradnl"/>
        </w:rPr>
        <w:t xml:space="preserve"> la historia consignando</w:t>
      </w:r>
      <w:r>
        <w:rPr>
          <w:lang w:val="es-ES_tradnl"/>
        </w:rPr>
        <w:t xml:space="preserve"> a lo sumo </w:t>
      </w:r>
      <w:r w:rsidR="004730CD">
        <w:rPr>
          <w:lang w:val="es-ES_tradnl"/>
        </w:rPr>
        <w:t>la palabra “reingreso”.  ¿Será que lo que se dice en el</w:t>
      </w:r>
      <w:r>
        <w:rPr>
          <w:lang w:val="es-ES_tradnl"/>
        </w:rPr>
        <w:t xml:space="preserve"> primer</w:t>
      </w:r>
      <w:r w:rsidR="004730CD">
        <w:rPr>
          <w:lang w:val="es-ES_tradnl"/>
        </w:rPr>
        <w:t xml:space="preserve"> ingreso </w:t>
      </w:r>
      <w:r>
        <w:rPr>
          <w:lang w:val="es-ES_tradnl"/>
        </w:rPr>
        <w:t xml:space="preserve">a un manicomio </w:t>
      </w:r>
      <w:r w:rsidR="004730CD">
        <w:rPr>
          <w:lang w:val="es-ES_tradnl"/>
        </w:rPr>
        <w:t xml:space="preserve">y la paciente están unidos hasta que la muerte los separe? </w:t>
      </w:r>
    </w:p>
    <w:p w:rsidR="004730CD" w:rsidRDefault="007F2AAC" w:rsidP="00E24624">
      <w:pPr>
        <w:jc w:val="both"/>
        <w:rPr>
          <w:lang w:val="es-ES_tradnl"/>
        </w:rPr>
      </w:pPr>
      <w:r>
        <w:rPr>
          <w:lang w:val="es-ES_tradnl"/>
        </w:rPr>
        <w:t xml:space="preserve">Allí </w:t>
      </w:r>
      <w:r w:rsidR="004730CD">
        <w:rPr>
          <w:lang w:val="es-ES_tradnl"/>
        </w:rPr>
        <w:t xml:space="preserve">se completa un cuestionario impreso donde se mezclan las voces de las mujeres, los médicos y los familiares. Muchas veces el relato de síntomas lo hace un familiar o un informe policial. Incluso durante años en la historia de una mujer se registra que es “reticente a exteriorizar el delirio”.  También encuentro registros de acusaciones hacia familiares de parte de las mujeres internadas refiriendo “me interna porque quiere vivir con la vecina y me quiere sacar del medio” o  “mi hermano me quiere sacar mi casa, no entiendo cómo me hace esto”. A posteriori se registra el nombre técnico: “delirios objetivados en familiares/vecinos”.  Curioso que estos síntomas no entran en conflicto con los registros de las visitadoras sociales cuando al asistir a casa de familiares refieren situaciones que concuerdan con las acusaciones de las mujeres. Peculiar modo de valorar las palabras. </w:t>
      </w:r>
      <w:r w:rsidR="00015AAE">
        <w:rPr>
          <w:lang w:val="es-ES_tradnl"/>
        </w:rPr>
        <w:t>¿Cómo es el valor de la palabra de una “insana”?</w:t>
      </w:r>
    </w:p>
    <w:p w:rsidR="00DE45BF" w:rsidRDefault="00015AAE" w:rsidP="00E24624">
      <w:pPr>
        <w:jc w:val="both"/>
        <w:rPr>
          <w:lang w:val="es-ES_tradnl"/>
        </w:rPr>
      </w:pPr>
      <w:r>
        <w:rPr>
          <w:b/>
          <w:bCs/>
          <w:lang w:val="es-ES_tradnl"/>
        </w:rPr>
        <w:t xml:space="preserve">Las historias suelen tener una carga de muerte y hay </w:t>
      </w:r>
      <w:r w:rsidR="004730CD">
        <w:rPr>
          <w:b/>
          <w:bCs/>
          <w:lang w:val="es-ES_tradnl"/>
        </w:rPr>
        <w:t xml:space="preserve">días en que </w:t>
      </w:r>
      <w:r>
        <w:rPr>
          <w:b/>
          <w:bCs/>
          <w:lang w:val="es-ES_tradnl"/>
        </w:rPr>
        <w:t>n</w:t>
      </w:r>
      <w:r w:rsidR="004730CD">
        <w:rPr>
          <w:b/>
          <w:bCs/>
          <w:lang w:val="es-ES_tradnl"/>
        </w:rPr>
        <w:t>o puedo</w:t>
      </w:r>
      <w:r>
        <w:rPr>
          <w:b/>
          <w:bCs/>
          <w:lang w:val="es-ES_tradnl"/>
        </w:rPr>
        <w:t>/no quiero</w:t>
      </w:r>
      <w:r w:rsidR="004730CD">
        <w:rPr>
          <w:b/>
          <w:bCs/>
          <w:lang w:val="es-ES_tradnl"/>
        </w:rPr>
        <w:t xml:space="preserve"> leer</w:t>
      </w:r>
      <w:r>
        <w:rPr>
          <w:b/>
          <w:bCs/>
          <w:lang w:val="es-ES_tradnl"/>
        </w:rPr>
        <w:t>las</w:t>
      </w:r>
      <w:r w:rsidR="004730CD">
        <w:rPr>
          <w:b/>
          <w:bCs/>
          <w:lang w:val="es-ES_tradnl"/>
        </w:rPr>
        <w:t xml:space="preserve">. Entonces la búsqueda sigue otros caminos: trabajo </w:t>
      </w:r>
      <w:r w:rsidR="004730CD" w:rsidRPr="00015AAE">
        <w:rPr>
          <w:b/>
          <w:bCs/>
          <w:lang w:val="es-ES_tradnl"/>
        </w:rPr>
        <w:t>con datos estadísticos generales armando gráficos y tablas que me sugieren nuevas preguntas.</w:t>
      </w:r>
      <w:r w:rsidR="004730CD" w:rsidRPr="00015AAE">
        <w:rPr>
          <w:lang w:val="es-ES_tradnl"/>
        </w:rPr>
        <w:t xml:space="preserve"> Así </w:t>
      </w:r>
      <w:r w:rsidRPr="00015AAE">
        <w:rPr>
          <w:lang w:val="es-ES_tradnl"/>
        </w:rPr>
        <w:t xml:space="preserve">es </w:t>
      </w:r>
      <w:r w:rsidR="00E8058B">
        <w:rPr>
          <w:lang w:val="es-ES_tradnl"/>
        </w:rPr>
        <w:t xml:space="preserve">que </w:t>
      </w:r>
      <w:r w:rsidRPr="00015AAE">
        <w:rPr>
          <w:lang w:val="es-ES_tradnl"/>
        </w:rPr>
        <w:t>un día veo</w:t>
      </w:r>
      <w:r w:rsidR="004730CD" w:rsidRPr="00015AAE">
        <w:rPr>
          <w:lang w:val="es-ES_tradnl"/>
        </w:rPr>
        <w:t xml:space="preserve"> </w:t>
      </w:r>
      <w:r>
        <w:rPr>
          <w:b/>
          <w:bCs/>
          <w:lang w:val="es-ES_tradnl"/>
        </w:rPr>
        <w:t xml:space="preserve">desde </w:t>
      </w:r>
      <w:r w:rsidR="00E8058B">
        <w:rPr>
          <w:b/>
          <w:bCs/>
          <w:lang w:val="es-ES_tradnl"/>
        </w:rPr>
        <w:t xml:space="preserve">que </w:t>
      </w:r>
      <w:r>
        <w:rPr>
          <w:b/>
          <w:bCs/>
          <w:lang w:val="es-ES_tradnl"/>
        </w:rPr>
        <w:t xml:space="preserve">fines de los ´50 y en los ´60 crece la cantidad de muertes por año y que en </w:t>
      </w:r>
      <w:r w:rsidR="004730CD" w:rsidRPr="00015AAE">
        <w:rPr>
          <w:b/>
          <w:bCs/>
          <w:lang w:val="es-ES_tradnl"/>
        </w:rPr>
        <w:t>1959 se produ</w:t>
      </w:r>
      <w:r>
        <w:rPr>
          <w:b/>
          <w:bCs/>
          <w:lang w:val="es-ES_tradnl"/>
        </w:rPr>
        <w:t>ce</w:t>
      </w:r>
      <w:r w:rsidR="004730CD" w:rsidRPr="00015AAE">
        <w:rPr>
          <w:b/>
          <w:bCs/>
          <w:lang w:val="es-ES_tradnl"/>
        </w:rPr>
        <w:t xml:space="preserve"> el mayor pico de fallecimientos de mujeres internadas en el Hospital Esteves de todo el siglo</w:t>
      </w:r>
      <w:r w:rsidR="004730CD" w:rsidRPr="00015AAE">
        <w:rPr>
          <w:lang w:val="es-ES_tradnl"/>
        </w:rPr>
        <w:t xml:space="preserve">. </w:t>
      </w:r>
      <w:r w:rsidRPr="00015AAE">
        <w:rPr>
          <w:b/>
          <w:lang w:val="es-ES_tradnl"/>
        </w:rPr>
        <w:t>E</w:t>
      </w:r>
      <w:r w:rsidR="004730CD" w:rsidRPr="00015AAE">
        <w:rPr>
          <w:b/>
          <w:lang w:val="es-ES_tradnl"/>
        </w:rPr>
        <w:t xml:space="preserve">n 1959 la cantidad de fallecimientos llegó a duplicar a la de años anteriores </w:t>
      </w:r>
      <w:r w:rsidR="004730CD">
        <w:rPr>
          <w:lang w:val="es-ES_tradnl"/>
        </w:rPr>
        <w:t>y superó notablemente a las de años posteriores</w:t>
      </w:r>
      <w:r w:rsidR="00DE45BF">
        <w:rPr>
          <w:lang w:val="es-ES_tradnl"/>
        </w:rPr>
        <w:t>.</w:t>
      </w:r>
    </w:p>
    <w:p w:rsidR="00DE45BF" w:rsidRPr="006D68A5" w:rsidRDefault="00DE45BF" w:rsidP="00DE45BF">
      <w:pPr>
        <w:spacing w:line="240" w:lineRule="auto"/>
      </w:pPr>
      <w:r w:rsidRPr="006D68A5">
        <w:t>Figura 1</w:t>
      </w:r>
      <w:r>
        <w:t>.</w:t>
      </w:r>
      <w:r w:rsidRPr="006D68A5">
        <w:t xml:space="preserve"> Gráfico de cantidad de fallecimientos por año en el Hospital Esteves de la Provincia de Buenos Aires, Argentina </w:t>
      </w:r>
    </w:p>
    <w:p w:rsidR="00DE45BF" w:rsidRPr="00A04489" w:rsidRDefault="00DE45BF" w:rsidP="00DE45BF">
      <w:pPr>
        <w:spacing w:line="240" w:lineRule="auto"/>
        <w:jc w:val="center"/>
        <w:rPr>
          <w:sz w:val="20"/>
          <w:szCs w:val="20"/>
        </w:rPr>
      </w:pPr>
      <w:r w:rsidRPr="00A04489">
        <w:rPr>
          <w:noProof/>
          <w:sz w:val="20"/>
          <w:szCs w:val="20"/>
        </w:rPr>
        <w:drawing>
          <wp:inline distT="0" distB="0" distL="0" distR="0" wp14:anchorId="2B5EAD67" wp14:editId="6A2F22DB">
            <wp:extent cx="2150076" cy="2504303"/>
            <wp:effectExtent l="0" t="0" r="3175" b="0"/>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8"/>
                    <a:srcRect/>
                    <a:stretch>
                      <a:fillRect/>
                    </a:stretch>
                  </pic:blipFill>
                  <pic:spPr bwMode="auto">
                    <a:xfrm>
                      <a:off x="0" y="0"/>
                      <a:ext cx="2152170" cy="2506742"/>
                    </a:xfrm>
                    <a:prstGeom prst="rect">
                      <a:avLst/>
                    </a:prstGeom>
                    <a:noFill/>
                    <a:ln w="9525">
                      <a:noFill/>
                      <a:miter lim="800000"/>
                      <a:headEnd/>
                      <a:tailEnd/>
                    </a:ln>
                  </pic:spPr>
                </pic:pic>
              </a:graphicData>
            </a:graphic>
          </wp:inline>
        </w:drawing>
      </w:r>
    </w:p>
    <w:p w:rsidR="00DE45BF" w:rsidRPr="00846D2D" w:rsidRDefault="00DE45BF" w:rsidP="00DE45BF">
      <w:pPr>
        <w:spacing w:line="240" w:lineRule="auto"/>
      </w:pPr>
      <w:r w:rsidRPr="00846D2D">
        <w:t xml:space="preserve">Fuente: Elaboración propia a partir de datos </w:t>
      </w:r>
      <w:r>
        <w:t>provenientes</w:t>
      </w:r>
      <w:r w:rsidRPr="00846D2D">
        <w:t xml:space="preserve"> de base general de Historias Clínicas del Hospital Esteves realizada por </w:t>
      </w:r>
      <w:r>
        <w:t>el Archivo General de la Nación (s/f).</w:t>
      </w:r>
    </w:p>
    <w:p w:rsidR="00DE45BF" w:rsidRDefault="00DE45BF" w:rsidP="00E24624">
      <w:pPr>
        <w:jc w:val="both"/>
        <w:rPr>
          <w:lang w:val="es-ES_tradnl"/>
        </w:rPr>
      </w:pPr>
    </w:p>
    <w:p w:rsidR="00DE45BF" w:rsidRDefault="00DE45BF" w:rsidP="00E24624">
      <w:pPr>
        <w:jc w:val="both"/>
        <w:rPr>
          <w:lang w:val="es-ES_tradnl"/>
        </w:rPr>
      </w:pPr>
    </w:p>
    <w:p w:rsidR="004730CD" w:rsidRDefault="00015AAE" w:rsidP="00E24624">
      <w:pPr>
        <w:jc w:val="both"/>
        <w:rPr>
          <w:lang w:val="es-ES_tradnl"/>
        </w:rPr>
      </w:pPr>
      <w:r>
        <w:rPr>
          <w:lang w:val="es-ES_tradnl"/>
        </w:rPr>
        <w:t xml:space="preserve"> </w:t>
      </w:r>
      <w:r w:rsidR="004730CD">
        <w:rPr>
          <w:lang w:val="es-ES_tradnl"/>
        </w:rPr>
        <w:t>Ahora bien ¿qué pasó? ¿</w:t>
      </w:r>
      <w:proofErr w:type="gramStart"/>
      <w:r w:rsidR="004730CD">
        <w:rPr>
          <w:lang w:val="es-ES_tradnl"/>
        </w:rPr>
        <w:t>hubo</w:t>
      </w:r>
      <w:proofErr w:type="gramEnd"/>
      <w:r w:rsidR="004730CD">
        <w:rPr>
          <w:lang w:val="es-ES_tradnl"/>
        </w:rPr>
        <w:t xml:space="preserve"> cambios significativos en algún aspecto en 1959? </w:t>
      </w:r>
      <w:r>
        <w:rPr>
          <w:lang w:val="es-ES_tradnl"/>
        </w:rPr>
        <w:t>¿</w:t>
      </w:r>
      <w:proofErr w:type="gramStart"/>
      <w:r>
        <w:rPr>
          <w:lang w:val="es-ES_tradnl"/>
        </w:rPr>
        <w:t>quiénes</w:t>
      </w:r>
      <w:proofErr w:type="gramEnd"/>
      <w:r>
        <w:rPr>
          <w:lang w:val="es-ES_tradnl"/>
        </w:rPr>
        <w:t xml:space="preserve"> eran esas personas fallecidas? </w:t>
      </w:r>
      <w:r w:rsidR="004730CD">
        <w:rPr>
          <w:lang w:val="es-ES_tradnl"/>
        </w:rPr>
        <w:t>¿</w:t>
      </w:r>
      <w:proofErr w:type="gramStart"/>
      <w:r w:rsidR="004730CD">
        <w:rPr>
          <w:lang w:val="es-ES_tradnl"/>
        </w:rPr>
        <w:t>hubo</w:t>
      </w:r>
      <w:proofErr w:type="gramEnd"/>
      <w:r w:rsidR="004730CD">
        <w:rPr>
          <w:lang w:val="es-ES_tradnl"/>
        </w:rPr>
        <w:t xml:space="preserve"> mayor rotación de personas? ¿</w:t>
      </w:r>
      <w:proofErr w:type="gramStart"/>
      <w:r w:rsidR="004730CD">
        <w:rPr>
          <w:lang w:val="es-ES_tradnl"/>
        </w:rPr>
        <w:t>creció</w:t>
      </w:r>
      <w:proofErr w:type="gramEnd"/>
      <w:r w:rsidR="004730CD">
        <w:rPr>
          <w:lang w:val="es-ES_tradnl"/>
        </w:rPr>
        <w:t xml:space="preserve"> la cantidad de camas? ¿</w:t>
      </w:r>
      <w:proofErr w:type="gramStart"/>
      <w:r w:rsidR="004730CD">
        <w:rPr>
          <w:lang w:val="es-ES_tradnl"/>
        </w:rPr>
        <w:t>empeoraron</w:t>
      </w:r>
      <w:proofErr w:type="gramEnd"/>
      <w:r w:rsidR="004730CD">
        <w:rPr>
          <w:lang w:val="es-ES_tradnl"/>
        </w:rPr>
        <w:t xml:space="preserve"> las condiciones de vida en el hospital? ¿</w:t>
      </w:r>
      <w:proofErr w:type="gramStart"/>
      <w:r w:rsidR="004730CD">
        <w:rPr>
          <w:lang w:val="es-ES_tradnl"/>
        </w:rPr>
        <w:t>cambiaron</w:t>
      </w:r>
      <w:proofErr w:type="gramEnd"/>
      <w:r w:rsidR="004730CD">
        <w:rPr>
          <w:lang w:val="es-ES_tradnl"/>
        </w:rPr>
        <w:t xml:space="preserve"> las condiciones laborales de sus trabajadores? ¿</w:t>
      </w:r>
      <w:proofErr w:type="gramStart"/>
      <w:r w:rsidR="004730CD">
        <w:rPr>
          <w:lang w:val="es-ES_tradnl"/>
        </w:rPr>
        <w:t>qué</w:t>
      </w:r>
      <w:proofErr w:type="gramEnd"/>
      <w:r w:rsidR="004730CD">
        <w:rPr>
          <w:lang w:val="es-ES_tradnl"/>
        </w:rPr>
        <w:t xml:space="preserve"> presupuesto había en salud mental en aquellos años? ¿</w:t>
      </w:r>
      <w:proofErr w:type="gramStart"/>
      <w:r w:rsidR="004730CD">
        <w:rPr>
          <w:lang w:val="es-ES_tradnl"/>
        </w:rPr>
        <w:t>qué</w:t>
      </w:r>
      <w:proofErr w:type="gramEnd"/>
      <w:r w:rsidR="004730CD">
        <w:rPr>
          <w:lang w:val="es-ES_tradnl"/>
        </w:rPr>
        <w:t xml:space="preserve"> pasaba en la Argentina en aquellos años? Este texto intenta documentar lo transitado hasta el momento. </w:t>
      </w:r>
    </w:p>
    <w:p w:rsidR="004730CD" w:rsidRDefault="004730CD" w:rsidP="00E24624">
      <w:pPr>
        <w:jc w:val="both"/>
        <w:rPr>
          <w:b/>
          <w:bCs/>
          <w:lang w:val="es-ES_tradnl"/>
        </w:rPr>
      </w:pPr>
      <w:r>
        <w:rPr>
          <w:b/>
          <w:bCs/>
          <w:lang w:val="es-ES_tradnl"/>
        </w:rPr>
        <w:t>QD, i</w:t>
      </w:r>
      <w:r w:rsidR="00DE45BF">
        <w:rPr>
          <w:b/>
          <w:bCs/>
          <w:lang w:val="es-ES_tradnl"/>
        </w:rPr>
        <w:t>nmigrantes, cronificadas. ¿Quiénes son? ¿Cuál tratamiento?</w:t>
      </w:r>
    </w:p>
    <w:p w:rsidR="004730CD" w:rsidRPr="004C2210" w:rsidRDefault="004730CD" w:rsidP="00E24624">
      <w:pPr>
        <w:jc w:val="both"/>
        <w:rPr>
          <w:lang w:val="es-ES_tradnl"/>
        </w:rPr>
      </w:pPr>
      <w:r>
        <w:rPr>
          <w:lang w:val="es-ES_tradnl"/>
        </w:rPr>
        <w:t>Las mujeres que fallecieron en 1959 en el Esteves llevaban hasta 62 años de internación al  momento de morir. De las 215 fallecidas en 1959, más de la mitad  (117) llevaban más de 20 años de internación al morir</w:t>
      </w:r>
      <w:r>
        <w:rPr>
          <w:rStyle w:val="Refdenotaalpie"/>
          <w:lang w:val="es-ES_tradnl"/>
        </w:rPr>
        <w:footnoteReference w:id="3"/>
      </w:r>
      <w:r>
        <w:rPr>
          <w:lang w:val="es-ES_tradnl"/>
        </w:rPr>
        <w:t xml:space="preserve">, 170 llevaban más de 10 años internadas y casi la totalidad (200) tenían más de dos años de internación. La gran mayoría había ingresado en las décadas del ´30 y ´40. </w:t>
      </w:r>
      <w:r w:rsidR="004C2210">
        <w:rPr>
          <w:lang w:val="es-ES_tradnl"/>
        </w:rPr>
        <w:t xml:space="preserve">Entonces, </w:t>
      </w:r>
      <w:r>
        <w:rPr>
          <w:lang w:val="es-ES_tradnl"/>
        </w:rPr>
        <w:t xml:space="preserve">el pico de muertes de 1959 </w:t>
      </w:r>
      <w:r w:rsidRPr="001E6295">
        <w:rPr>
          <w:lang w:val="es-ES_tradnl"/>
        </w:rPr>
        <w:t>es eminentemente de personas cronificadas</w:t>
      </w:r>
      <w:r>
        <w:rPr>
          <w:lang w:val="es-ES_tradnl"/>
        </w:rPr>
        <w:t xml:space="preserve">. </w:t>
      </w:r>
      <w:r w:rsidR="004C2210">
        <w:rPr>
          <w:lang w:val="es-ES_tradnl"/>
        </w:rPr>
        <w:t xml:space="preserve">Al mirar </w:t>
      </w:r>
      <w:r>
        <w:rPr>
          <w:lang w:val="es-ES_tradnl"/>
        </w:rPr>
        <w:t xml:space="preserve">sus historias clínicas </w:t>
      </w:r>
      <w:r w:rsidR="00E8058B">
        <w:rPr>
          <w:lang w:val="es-ES_tradnl"/>
        </w:rPr>
        <w:t>noto</w:t>
      </w:r>
      <w:r>
        <w:rPr>
          <w:lang w:val="es-ES_tradnl"/>
        </w:rPr>
        <w:t xml:space="preserve"> que </w:t>
      </w:r>
      <w:r w:rsidR="004C2210">
        <w:rPr>
          <w:lang w:val="es-ES_tradnl"/>
        </w:rPr>
        <w:t xml:space="preserve">la mayoría </w:t>
      </w:r>
      <w:r>
        <w:rPr>
          <w:lang w:val="es-ES_tradnl"/>
        </w:rPr>
        <w:t>venía</w:t>
      </w:r>
      <w:r w:rsidR="004C2210">
        <w:rPr>
          <w:lang w:val="es-ES_tradnl"/>
        </w:rPr>
        <w:t>n</w:t>
      </w:r>
      <w:r>
        <w:rPr>
          <w:lang w:val="es-ES_tradnl"/>
        </w:rPr>
        <w:t xml:space="preserve"> trasladadas del Hospital Nacional de Alienadas (actual Moyano)</w:t>
      </w:r>
      <w:r w:rsidR="004C2210">
        <w:rPr>
          <w:lang w:val="es-ES_tradnl"/>
        </w:rPr>
        <w:t xml:space="preserve"> después de varios años de internación</w:t>
      </w:r>
      <w:r w:rsidR="004C2210">
        <w:rPr>
          <w:rStyle w:val="Refdenotaalpie"/>
          <w:lang w:val="es-ES_tradnl"/>
        </w:rPr>
        <w:footnoteReference w:id="4"/>
      </w:r>
      <w:r w:rsidRPr="001E6295">
        <w:rPr>
          <w:lang w:val="es-ES_tradnl"/>
        </w:rPr>
        <w:t>.</w:t>
      </w:r>
      <w:r w:rsidRPr="00CA5C97">
        <w:rPr>
          <w:color w:val="548DD4"/>
          <w:lang w:val="es-ES_tradnl"/>
        </w:rPr>
        <w:t xml:space="preserve"> </w:t>
      </w:r>
    </w:p>
    <w:p w:rsidR="004730CD" w:rsidRDefault="004730CD" w:rsidP="00E24624">
      <w:pPr>
        <w:jc w:val="both"/>
        <w:rPr>
          <w:lang w:val="es-ES_tradnl"/>
        </w:rPr>
      </w:pPr>
      <w:r>
        <w:rPr>
          <w:lang w:val="es-ES_tradnl"/>
        </w:rPr>
        <w:t>Más de la</w:t>
      </w:r>
      <w:r w:rsidRPr="001E6295">
        <w:rPr>
          <w:lang w:val="es-ES_tradnl"/>
        </w:rPr>
        <w:t xml:space="preserve"> mitad </w:t>
      </w:r>
      <w:r>
        <w:rPr>
          <w:lang w:val="es-ES_tradnl"/>
        </w:rPr>
        <w:t>e</w:t>
      </w:r>
      <w:r w:rsidRPr="001E6295">
        <w:rPr>
          <w:lang w:val="es-ES_tradnl"/>
        </w:rPr>
        <w:t xml:space="preserve">ran </w:t>
      </w:r>
      <w:r w:rsidR="008A41D2">
        <w:rPr>
          <w:lang w:val="es-ES_tradnl"/>
        </w:rPr>
        <w:t>“</w:t>
      </w:r>
      <w:r>
        <w:rPr>
          <w:lang w:val="es-ES_tradnl"/>
        </w:rPr>
        <w:t>inmigrantes</w:t>
      </w:r>
      <w:r w:rsidRPr="001E6295">
        <w:rPr>
          <w:lang w:val="es-ES_tradnl"/>
        </w:rPr>
        <w:t xml:space="preserve"> </w:t>
      </w:r>
      <w:r>
        <w:rPr>
          <w:lang w:val="es-ES_tradnl"/>
        </w:rPr>
        <w:t>de ultramar</w:t>
      </w:r>
      <w:r w:rsidR="008A41D2">
        <w:rPr>
          <w:lang w:val="es-ES_tradnl"/>
        </w:rPr>
        <w:t>”</w:t>
      </w:r>
      <w:r>
        <w:rPr>
          <w:lang w:val="es-ES_tradnl"/>
        </w:rPr>
        <w:t xml:space="preserve"> </w:t>
      </w:r>
      <w:r w:rsidRPr="001E6295">
        <w:rPr>
          <w:lang w:val="es-ES_tradnl"/>
        </w:rPr>
        <w:t>(11</w:t>
      </w:r>
      <w:r>
        <w:rPr>
          <w:lang w:val="es-ES_tradnl"/>
        </w:rPr>
        <w:t>0</w:t>
      </w:r>
      <w:r w:rsidRPr="001E6295">
        <w:rPr>
          <w:lang w:val="es-ES_tradnl"/>
        </w:rPr>
        <w:t>/215)</w:t>
      </w:r>
      <w:r>
        <w:rPr>
          <w:lang w:val="es-ES_tradnl"/>
        </w:rPr>
        <w:t>.</w:t>
      </w:r>
      <w:r w:rsidRPr="001E6295">
        <w:rPr>
          <w:lang w:val="es-ES_tradnl"/>
        </w:rPr>
        <w:t xml:space="preserve"> </w:t>
      </w:r>
      <w:r>
        <w:rPr>
          <w:lang w:val="es-ES_tradnl"/>
        </w:rPr>
        <w:t>E</w:t>
      </w:r>
      <w:r w:rsidRPr="001E6295">
        <w:rPr>
          <w:lang w:val="es-ES_tradnl"/>
        </w:rPr>
        <w:t xml:space="preserve">n su mayoría </w:t>
      </w:r>
      <w:r>
        <w:rPr>
          <w:lang w:val="es-ES_tradnl"/>
        </w:rPr>
        <w:t>e</w:t>
      </w:r>
      <w:r w:rsidRPr="001E6295">
        <w:rPr>
          <w:lang w:val="es-ES_tradnl"/>
        </w:rPr>
        <w:t>spañolas e italianas pero también rusas, lituanas, griegas, alemanas, austríacas, polacas, rumanas, yugoeslavas, húngaras, armenia</w:t>
      </w:r>
      <w:r>
        <w:rPr>
          <w:lang w:val="es-ES_tradnl"/>
        </w:rPr>
        <w:t>s</w:t>
      </w:r>
      <w:r w:rsidRPr="001E6295">
        <w:rPr>
          <w:lang w:val="es-ES_tradnl"/>
        </w:rPr>
        <w:t>, belga</w:t>
      </w:r>
      <w:r>
        <w:rPr>
          <w:lang w:val="es-ES_tradnl"/>
        </w:rPr>
        <w:t>s</w:t>
      </w:r>
      <w:r w:rsidRPr="001E6295">
        <w:rPr>
          <w:lang w:val="es-ES_tradnl"/>
        </w:rPr>
        <w:t>, suiza</w:t>
      </w:r>
      <w:r>
        <w:rPr>
          <w:lang w:val="es-ES_tradnl"/>
        </w:rPr>
        <w:t>s</w:t>
      </w:r>
      <w:r w:rsidRPr="001E6295">
        <w:rPr>
          <w:lang w:val="es-ES_tradnl"/>
        </w:rPr>
        <w:t>, checoslovacas</w:t>
      </w:r>
      <w:r>
        <w:rPr>
          <w:lang w:val="es-ES_tradnl"/>
        </w:rPr>
        <w:t xml:space="preserve">. </w:t>
      </w:r>
      <w:r>
        <w:rPr>
          <w:rStyle w:val="Refdenotaalpie"/>
          <w:lang w:val="es-ES_tradnl"/>
        </w:rPr>
        <w:footnoteReference w:id="5"/>
      </w:r>
    </w:p>
    <w:p w:rsidR="004730CD" w:rsidRDefault="004730CD" w:rsidP="00E24624">
      <w:pPr>
        <w:jc w:val="both"/>
        <w:rPr>
          <w:lang w:val="es-ES_tradnl"/>
        </w:rPr>
      </w:pPr>
      <w:r w:rsidRPr="001E6295">
        <w:rPr>
          <w:lang w:val="es-ES_tradnl"/>
        </w:rPr>
        <w:t>Las historias clínicas casi en su totalidad registran que estas mujeres tenían como ocupación los “quehaceres domésticos”</w:t>
      </w:r>
      <w:r>
        <w:rPr>
          <w:lang w:val="es-ES_tradnl"/>
        </w:rPr>
        <w:t xml:space="preserve"> (QD). </w:t>
      </w:r>
      <w:r w:rsidR="004C2210">
        <w:rPr>
          <w:lang w:val="es-ES_tradnl"/>
        </w:rPr>
        <w:t>De hecho n</w:t>
      </w:r>
      <w:r>
        <w:rPr>
          <w:lang w:val="es-ES_tradnl"/>
        </w:rPr>
        <w:t>o es extraño encontrar que u</w:t>
      </w:r>
      <w:r w:rsidRPr="001E6295">
        <w:rPr>
          <w:lang w:val="es-ES_tradnl"/>
        </w:rPr>
        <w:t>no de los síntomas registrados</w:t>
      </w:r>
      <w:r>
        <w:rPr>
          <w:lang w:val="es-ES_tradnl"/>
        </w:rPr>
        <w:t xml:space="preserve"> en </w:t>
      </w:r>
      <w:r w:rsidR="004C2210">
        <w:rPr>
          <w:lang w:val="es-ES_tradnl"/>
        </w:rPr>
        <w:t xml:space="preserve">el ingreso </w:t>
      </w:r>
      <w:r w:rsidRPr="001E6295">
        <w:rPr>
          <w:lang w:val="es-ES_tradnl"/>
        </w:rPr>
        <w:t>era que la mujer en cuestión “no se ocupa de los quehaceres domésticos”</w:t>
      </w:r>
      <w:r>
        <w:rPr>
          <w:lang w:val="es-ES_tradnl"/>
        </w:rPr>
        <w:t>.</w:t>
      </w:r>
      <w:r w:rsidR="004C2210">
        <w:rPr>
          <w:lang w:val="es-ES_tradnl"/>
        </w:rPr>
        <w:t xml:space="preserve"> </w:t>
      </w:r>
      <w:r>
        <w:rPr>
          <w:lang w:val="es-ES_tradnl"/>
        </w:rPr>
        <w:t xml:space="preserve">También hay registros de algunas pocas </w:t>
      </w:r>
      <w:r w:rsidRPr="001E6295">
        <w:rPr>
          <w:lang w:val="es-ES_tradnl"/>
        </w:rPr>
        <w:t>“sirvientas”,</w:t>
      </w:r>
      <w:r>
        <w:rPr>
          <w:lang w:val="es-ES_tradnl"/>
        </w:rPr>
        <w:t xml:space="preserve"> modistas, c</w:t>
      </w:r>
      <w:r w:rsidRPr="001E6295">
        <w:rPr>
          <w:lang w:val="es-ES_tradnl"/>
        </w:rPr>
        <w:t>ocineras, lavanderas,</w:t>
      </w:r>
      <w:r>
        <w:rPr>
          <w:lang w:val="es-ES_tradnl"/>
        </w:rPr>
        <w:t xml:space="preserve"> r</w:t>
      </w:r>
      <w:r w:rsidRPr="001E6295">
        <w:rPr>
          <w:lang w:val="es-ES_tradnl"/>
        </w:rPr>
        <w:t xml:space="preserve">eligiosas, </w:t>
      </w:r>
      <w:r w:rsidR="004C2210">
        <w:rPr>
          <w:lang w:val="es-ES_tradnl"/>
        </w:rPr>
        <w:t>entre otras</w:t>
      </w:r>
      <w:r w:rsidR="004C2210">
        <w:rPr>
          <w:rStyle w:val="Refdenotaalpie"/>
          <w:lang w:val="es-ES_tradnl"/>
        </w:rPr>
        <w:footnoteReference w:id="6"/>
      </w:r>
      <w:r w:rsidR="004C2210">
        <w:rPr>
          <w:lang w:val="es-ES_tradnl"/>
        </w:rPr>
        <w:t xml:space="preserve">. </w:t>
      </w:r>
      <w:r>
        <w:rPr>
          <w:lang w:val="es-ES_tradnl"/>
        </w:rPr>
        <w:t xml:space="preserve">Estas mujeres </w:t>
      </w:r>
      <w:r w:rsidR="004C2210">
        <w:rPr>
          <w:lang w:val="es-ES_tradnl"/>
        </w:rPr>
        <w:t>en su gran mayoría</w:t>
      </w:r>
      <w:r>
        <w:rPr>
          <w:rStyle w:val="Refdenotaalpie"/>
          <w:lang w:val="es-ES_tradnl"/>
        </w:rPr>
        <w:footnoteReference w:id="7"/>
      </w:r>
      <w:r>
        <w:rPr>
          <w:lang w:val="es-ES_tradnl"/>
        </w:rPr>
        <w:t xml:space="preserve"> provienen de </w:t>
      </w:r>
      <w:r w:rsidRPr="001E6295">
        <w:rPr>
          <w:lang w:val="es-ES_tradnl"/>
        </w:rPr>
        <w:t>familias</w:t>
      </w:r>
      <w:r>
        <w:rPr>
          <w:lang w:val="es-ES_tradnl"/>
        </w:rPr>
        <w:t xml:space="preserve"> </w:t>
      </w:r>
      <w:r w:rsidRPr="001E6295">
        <w:rPr>
          <w:lang w:val="es-ES_tradnl"/>
        </w:rPr>
        <w:t>trabajador</w:t>
      </w:r>
      <w:r>
        <w:rPr>
          <w:lang w:val="es-ES_tradnl"/>
        </w:rPr>
        <w:t xml:space="preserve">as. </w:t>
      </w:r>
    </w:p>
    <w:p w:rsidR="004730CD" w:rsidRDefault="004730CD" w:rsidP="00E24624">
      <w:pPr>
        <w:jc w:val="both"/>
        <w:rPr>
          <w:color w:val="FF0000"/>
          <w:lang w:val="es-ES_tradnl"/>
        </w:rPr>
      </w:pPr>
      <w:r>
        <w:rPr>
          <w:lang w:val="es-ES_tradnl"/>
        </w:rPr>
        <w:t>En cuanto a los tratamientos, hasta fines de los ´50 hay muy poco registro. En muy pocos casos registran alguna intervención por ejemplo: shock de cardiazol, coma insulínico, aislamiento, restraint (chaleco</w:t>
      </w:r>
      <w:r w:rsidR="00DE45BF">
        <w:rPr>
          <w:lang w:val="es-ES_tradnl"/>
        </w:rPr>
        <w:t xml:space="preserve"> de fuerza</w:t>
      </w:r>
      <w:r>
        <w:rPr>
          <w:lang w:val="es-ES_tradnl"/>
        </w:rPr>
        <w:t>), “poner en cama”, baños. Corresponde preguntarme ¿se registraban poco las intervenciones? ¿</w:t>
      </w:r>
      <w:proofErr w:type="gramStart"/>
      <w:r>
        <w:rPr>
          <w:lang w:val="es-ES_tradnl"/>
        </w:rPr>
        <w:t>se</w:t>
      </w:r>
      <w:proofErr w:type="gramEnd"/>
      <w:r>
        <w:rPr>
          <w:lang w:val="es-ES_tradnl"/>
        </w:rPr>
        <w:t xml:space="preserve"> hacían pocas intervenciones?</w:t>
      </w:r>
      <w:r w:rsidR="00E8058B">
        <w:rPr>
          <w:lang w:val="es-ES_tradnl"/>
        </w:rPr>
        <w:t xml:space="preserve"> Si así era</w:t>
      </w:r>
      <w:r>
        <w:rPr>
          <w:lang w:val="es-ES_tradnl"/>
        </w:rPr>
        <w:t xml:space="preserve"> ¿con qué sentido estaban internadas? </w:t>
      </w:r>
    </w:p>
    <w:p w:rsidR="004730CD" w:rsidRDefault="004730CD" w:rsidP="00E24624">
      <w:pPr>
        <w:jc w:val="both"/>
        <w:rPr>
          <w:color w:val="000000"/>
          <w:lang w:eastAsia="es-ES"/>
        </w:rPr>
      </w:pPr>
      <w:r>
        <w:rPr>
          <w:color w:val="000000"/>
          <w:lang w:eastAsia="es-ES"/>
        </w:rPr>
        <w:lastRenderedPageBreak/>
        <w:t xml:space="preserve">Carpintero y Vainer </w:t>
      </w:r>
      <w:r w:rsidR="00E8058B">
        <w:rPr>
          <w:color w:val="000000"/>
          <w:lang w:eastAsia="es-ES"/>
        </w:rPr>
        <w:t xml:space="preserve">desde </w:t>
      </w:r>
      <w:r>
        <w:rPr>
          <w:color w:val="000000"/>
          <w:lang w:eastAsia="es-ES"/>
        </w:rPr>
        <w:t>las</w:t>
      </w:r>
      <w:r w:rsidRPr="00E342D6">
        <w:rPr>
          <w:i/>
          <w:iCs/>
          <w:color w:val="000000"/>
          <w:lang w:eastAsia="es-ES"/>
        </w:rPr>
        <w:t xml:space="preserve"> Huellas de la memoria</w:t>
      </w:r>
      <w:r>
        <w:rPr>
          <w:color w:val="000000"/>
          <w:lang w:eastAsia="es-ES"/>
        </w:rPr>
        <w:t xml:space="preserve"> </w:t>
      </w:r>
      <w:r w:rsidR="00884F42">
        <w:rPr>
          <w:color w:val="000000"/>
          <w:lang w:eastAsia="es-ES"/>
        </w:rPr>
        <w:t xml:space="preserve">de alguna manera me responden </w:t>
      </w:r>
      <w:r>
        <w:rPr>
          <w:color w:val="000000"/>
          <w:lang w:eastAsia="es-ES"/>
        </w:rPr>
        <w:t xml:space="preserve">que </w:t>
      </w:r>
      <w:r w:rsidRPr="00A04489">
        <w:rPr>
          <w:color w:val="000000"/>
          <w:lang w:eastAsia="es-ES"/>
        </w:rPr>
        <w:t>“</w:t>
      </w:r>
      <w:r>
        <w:rPr>
          <w:color w:val="000000"/>
          <w:lang w:eastAsia="es-ES"/>
        </w:rPr>
        <w:t>(…</w:t>
      </w:r>
      <w:proofErr w:type="gramStart"/>
      <w:r>
        <w:rPr>
          <w:color w:val="000000"/>
          <w:lang w:eastAsia="es-ES"/>
        </w:rPr>
        <w:t>)</w:t>
      </w:r>
      <w:r w:rsidRPr="00A04489">
        <w:rPr>
          <w:color w:val="000000"/>
          <w:lang w:eastAsia="es-ES"/>
        </w:rPr>
        <w:t>Para</w:t>
      </w:r>
      <w:proofErr w:type="gramEnd"/>
      <w:r w:rsidRPr="00A04489">
        <w:rPr>
          <w:color w:val="000000"/>
          <w:lang w:eastAsia="es-ES"/>
        </w:rPr>
        <w:t xml:space="preserve"> la impotencia terapéutica estaba la internación de por vida” (</w:t>
      </w:r>
      <w:r w:rsidRPr="00A04489">
        <w:rPr>
          <w:lang w:eastAsia="es-ES"/>
        </w:rPr>
        <w:t>p 265)</w:t>
      </w:r>
      <w:r>
        <w:rPr>
          <w:lang w:eastAsia="es-ES"/>
        </w:rPr>
        <w:t>. Si bien du</w:t>
      </w:r>
      <w:r w:rsidRPr="00A04489">
        <w:rPr>
          <w:lang w:eastAsia="es-ES"/>
        </w:rPr>
        <w:t>rante los ´50 se dio la llamada “</w:t>
      </w:r>
      <w:r>
        <w:rPr>
          <w:lang w:eastAsia="es-ES"/>
        </w:rPr>
        <w:t>r</w:t>
      </w:r>
      <w:r w:rsidRPr="00A04489">
        <w:rPr>
          <w:lang w:eastAsia="es-ES"/>
        </w:rPr>
        <w:t xml:space="preserve">evolución </w:t>
      </w:r>
      <w:r>
        <w:rPr>
          <w:lang w:eastAsia="es-ES"/>
        </w:rPr>
        <w:t>p</w:t>
      </w:r>
      <w:r w:rsidRPr="00A04489">
        <w:rPr>
          <w:lang w:eastAsia="es-ES"/>
        </w:rPr>
        <w:t>sicofarmacológica” que posibi</w:t>
      </w:r>
      <w:r w:rsidRPr="00A04489">
        <w:rPr>
          <w:color w:val="000000"/>
          <w:lang w:eastAsia="es-ES"/>
        </w:rPr>
        <w:t>lit</w:t>
      </w:r>
      <w:r>
        <w:rPr>
          <w:color w:val="000000"/>
          <w:lang w:eastAsia="es-ES"/>
        </w:rPr>
        <w:t xml:space="preserve">ó </w:t>
      </w:r>
      <w:r w:rsidRPr="00A04489">
        <w:rPr>
          <w:color w:val="000000"/>
          <w:lang w:eastAsia="es-ES"/>
        </w:rPr>
        <w:t xml:space="preserve">pensar nuevos tratamientos </w:t>
      </w:r>
      <w:r>
        <w:rPr>
          <w:color w:val="000000"/>
          <w:lang w:eastAsia="es-ES"/>
        </w:rPr>
        <w:t xml:space="preserve">quizás hayan pasado algunos años para que estos fármacos llegaran al Esteves porque no son usualmente registrados hasta años posteriores. </w:t>
      </w:r>
    </w:p>
    <w:p w:rsidR="004730CD" w:rsidRPr="00B15100" w:rsidRDefault="0061414E" w:rsidP="00E24624">
      <w:pPr>
        <w:jc w:val="both"/>
        <w:rPr>
          <w:b/>
          <w:bCs/>
          <w:lang w:val="es-ES_tradnl"/>
        </w:rPr>
      </w:pPr>
      <w:r>
        <w:rPr>
          <w:b/>
          <w:bCs/>
          <w:lang w:val="es-ES_tradnl"/>
        </w:rPr>
        <w:t>C</w:t>
      </w:r>
      <w:r w:rsidR="004730CD">
        <w:rPr>
          <w:b/>
          <w:bCs/>
          <w:lang w:val="es-ES_tradnl"/>
        </w:rPr>
        <w:t xml:space="preserve">ondiciones de vida. El Esteves </w:t>
      </w:r>
      <w:r w:rsidR="00884F42">
        <w:rPr>
          <w:b/>
          <w:bCs/>
          <w:lang w:val="es-ES_tradnl"/>
        </w:rPr>
        <w:t xml:space="preserve">a fines de los ´50. </w:t>
      </w:r>
      <w:r>
        <w:rPr>
          <w:b/>
          <w:bCs/>
          <w:lang w:val="es-ES_tradnl"/>
        </w:rPr>
        <w:t xml:space="preserve"> La escena</w:t>
      </w:r>
    </w:p>
    <w:p w:rsidR="004730CD" w:rsidRDefault="00884F42" w:rsidP="00E24624">
      <w:pPr>
        <w:jc w:val="both"/>
        <w:rPr>
          <w:lang w:val="es-ES_tradnl"/>
        </w:rPr>
      </w:pPr>
      <w:r>
        <w:rPr>
          <w:lang w:val="es-ES_tradnl"/>
        </w:rPr>
        <w:t>No he encontrado registros de la vida cotidiana en el Esteves para</w:t>
      </w:r>
      <w:r w:rsidR="00DE45BF">
        <w:rPr>
          <w:lang w:val="es-ES_tradnl"/>
        </w:rPr>
        <w:t xml:space="preserve"> 1959, pero los registros del Centro P</w:t>
      </w:r>
      <w:r>
        <w:rPr>
          <w:lang w:val="es-ES_tradnl"/>
        </w:rPr>
        <w:t xml:space="preserve">iloto de comunidad terapéutica que funcionó allí </w:t>
      </w:r>
      <w:r w:rsidRPr="00AE7D48">
        <w:rPr>
          <w:lang w:val="es-ES_tradnl"/>
        </w:rPr>
        <w:t xml:space="preserve">entre 1968 y 1971 dan algunas pinceladas que permiten imaginar las condiciones de vida 10 años antes. </w:t>
      </w:r>
      <w:r w:rsidR="004F11F3" w:rsidRPr="00AE7D48">
        <w:rPr>
          <w:lang w:val="es-ES_tradnl"/>
        </w:rPr>
        <w:t>L</w:t>
      </w:r>
      <w:r w:rsidR="004730CD" w:rsidRPr="00AE7D48">
        <w:rPr>
          <w:lang w:val="es-ES_tradnl"/>
        </w:rPr>
        <w:t>a edad promedio e</w:t>
      </w:r>
      <w:r w:rsidRPr="00AE7D48">
        <w:rPr>
          <w:lang w:val="es-ES_tradnl"/>
        </w:rPr>
        <w:t>s</w:t>
      </w:r>
      <w:r w:rsidR="004730CD" w:rsidRPr="00AE7D48">
        <w:rPr>
          <w:lang w:val="es-ES_tradnl"/>
        </w:rPr>
        <w:t xml:space="preserve"> de 55 años, con 10 de internación, las pacientes prov</w:t>
      </w:r>
      <w:r w:rsidRPr="00AE7D48">
        <w:rPr>
          <w:lang w:val="es-ES_tradnl"/>
        </w:rPr>
        <w:t xml:space="preserve">ienen </w:t>
      </w:r>
      <w:r w:rsidR="004730CD" w:rsidRPr="00AE7D48">
        <w:rPr>
          <w:lang w:val="es-ES_tradnl"/>
        </w:rPr>
        <w:t xml:space="preserve">de distintos lugares del país pero especialmente de otros manicomios que lo consideran un depósito final. Los almuerzos </w:t>
      </w:r>
      <w:r w:rsidRPr="00AE7D48">
        <w:rPr>
          <w:lang w:val="es-ES_tradnl"/>
        </w:rPr>
        <w:t>son</w:t>
      </w:r>
      <w:r w:rsidR="004730CD" w:rsidRPr="00AE7D48">
        <w:rPr>
          <w:lang w:val="es-ES_tradnl"/>
        </w:rPr>
        <w:t xml:space="preserve"> a las</w:t>
      </w:r>
      <w:r w:rsidR="004730CD">
        <w:rPr>
          <w:lang w:val="es-ES_tradnl"/>
        </w:rPr>
        <w:t xml:space="preserve"> 10:30 de la mañana, las cenas a las 15:30 por conveniencia del personal y se utiliza</w:t>
      </w:r>
      <w:r>
        <w:rPr>
          <w:lang w:val="es-ES_tradnl"/>
        </w:rPr>
        <w:t>n</w:t>
      </w:r>
      <w:r w:rsidR="004730CD">
        <w:rPr>
          <w:lang w:val="es-ES_tradnl"/>
        </w:rPr>
        <w:t xml:space="preserve"> prácticas como electroshock, shock insulínic</w:t>
      </w:r>
      <w:r w:rsidR="004730CD" w:rsidRPr="00F30045">
        <w:rPr>
          <w:lang w:val="es-ES_tradnl"/>
        </w:rPr>
        <w:t>o, chalecos de fuerza y abscesos de fijación como castigos</w:t>
      </w:r>
      <w:r>
        <w:rPr>
          <w:lang w:val="es-ES_tradnl"/>
        </w:rPr>
        <w:t xml:space="preserve">. Los pacientes que no son del centro piloto tienen </w:t>
      </w:r>
      <w:r w:rsidR="004730CD" w:rsidRPr="00F30045">
        <w:rPr>
          <w:lang w:val="es-ES_tradnl"/>
        </w:rPr>
        <w:t xml:space="preserve">un baño semanal casi siempre con agua fría, </w:t>
      </w:r>
      <w:r>
        <w:rPr>
          <w:lang w:val="es-ES_tradnl"/>
        </w:rPr>
        <w:t>el estado de higiene de los baños no es bueno</w:t>
      </w:r>
      <w:r w:rsidR="004730CD" w:rsidRPr="00F30045">
        <w:rPr>
          <w:lang w:val="es-ES_tradnl"/>
        </w:rPr>
        <w:t xml:space="preserve">, la mayoría del personal </w:t>
      </w:r>
      <w:r>
        <w:rPr>
          <w:lang w:val="es-ES_tradnl"/>
        </w:rPr>
        <w:t>realiza un trabajo m</w:t>
      </w:r>
      <w:r w:rsidR="004730CD" w:rsidRPr="00F30045">
        <w:rPr>
          <w:lang w:val="es-ES_tradnl"/>
        </w:rPr>
        <w:t>al pago y duro</w:t>
      </w:r>
      <w:r w:rsidR="004730CD">
        <w:rPr>
          <w:lang w:val="es-ES_tradnl"/>
        </w:rPr>
        <w:t xml:space="preserve"> y</w:t>
      </w:r>
      <w:r w:rsidR="004730CD" w:rsidRPr="00F30045">
        <w:rPr>
          <w:lang w:val="es-ES_tradnl"/>
        </w:rPr>
        <w:t xml:space="preserve"> </w:t>
      </w:r>
      <w:r>
        <w:rPr>
          <w:lang w:val="es-ES_tradnl"/>
        </w:rPr>
        <w:t xml:space="preserve">hay </w:t>
      </w:r>
      <w:r w:rsidR="004730CD" w:rsidRPr="00F30045">
        <w:rPr>
          <w:lang w:val="es-ES_tradnl"/>
        </w:rPr>
        <w:t xml:space="preserve">baja proporción de personal </w:t>
      </w:r>
      <w:r w:rsidR="004730CD">
        <w:rPr>
          <w:lang w:val="es-ES_tradnl"/>
        </w:rPr>
        <w:t xml:space="preserve">por número de personas internadas </w:t>
      </w:r>
      <w:r w:rsidR="004730CD" w:rsidRPr="00F30045">
        <w:rPr>
          <w:lang w:val="es-ES_tradnl"/>
        </w:rPr>
        <w:t>(0,18 personal por paciente y 10 médicos para 2500 personas internadas en 1968). El rito de ingreso implica sacarle toda pertenencia a la persona, desvestirla y ante su resistencia comprobar que “necesitaba contención”</w:t>
      </w:r>
      <w:r w:rsidR="006E7263">
        <w:rPr>
          <w:rStyle w:val="Refdenotaalpie"/>
          <w:lang w:val="es-ES_tradnl"/>
        </w:rPr>
        <w:footnoteReference w:id="8"/>
      </w:r>
      <w:r w:rsidR="004730CD" w:rsidRPr="00F30045">
        <w:rPr>
          <w:lang w:val="es-ES_tradnl"/>
        </w:rPr>
        <w:t xml:space="preserve">. </w:t>
      </w:r>
      <w:r w:rsidR="006E7263">
        <w:rPr>
          <w:lang w:val="es-ES_tradnl"/>
        </w:rPr>
        <w:t>En dichos registros también es posible encontrarse con las</w:t>
      </w:r>
      <w:r w:rsidR="004730CD" w:rsidRPr="00F30045">
        <w:rPr>
          <w:lang w:val="es-ES_tradnl"/>
        </w:rPr>
        <w:t xml:space="preserve"> monjas preocupadas por </w:t>
      </w:r>
      <w:r w:rsidR="004730CD">
        <w:rPr>
          <w:lang w:val="es-ES_tradnl"/>
        </w:rPr>
        <w:t xml:space="preserve">combatir </w:t>
      </w:r>
      <w:r w:rsidR="004730CD" w:rsidRPr="00F30045">
        <w:rPr>
          <w:lang w:val="es-ES_tradnl"/>
        </w:rPr>
        <w:t xml:space="preserve">el sexo y las moscas, </w:t>
      </w:r>
      <w:r w:rsidR="004730CD">
        <w:rPr>
          <w:lang w:val="es-ES_tradnl"/>
        </w:rPr>
        <w:t xml:space="preserve"> </w:t>
      </w:r>
      <w:r w:rsidR="004730CD" w:rsidRPr="00F30045">
        <w:rPr>
          <w:lang w:val="es-ES_tradnl"/>
        </w:rPr>
        <w:t xml:space="preserve">así como a la cooperadora de la que </w:t>
      </w:r>
      <w:r w:rsidR="006E7263">
        <w:rPr>
          <w:lang w:val="es-ES_tradnl"/>
        </w:rPr>
        <w:t xml:space="preserve">plantean que </w:t>
      </w:r>
      <w:r w:rsidR="004730CD" w:rsidRPr="00F30045">
        <w:rPr>
          <w:lang w:val="es-ES_tradnl"/>
        </w:rPr>
        <w:t>t</w:t>
      </w:r>
      <w:r>
        <w:rPr>
          <w:lang w:val="es-ES_tradnl"/>
        </w:rPr>
        <w:t xml:space="preserve">iene </w:t>
      </w:r>
      <w:r w:rsidR="004730CD" w:rsidRPr="00F30045">
        <w:rPr>
          <w:lang w:val="es-ES_tradnl"/>
        </w:rPr>
        <w:t>más injerencia</w:t>
      </w:r>
      <w:r w:rsidR="004730CD">
        <w:rPr>
          <w:lang w:val="es-ES_tradnl"/>
        </w:rPr>
        <w:t xml:space="preserve"> en las decisiones </w:t>
      </w:r>
      <w:r w:rsidR="004730CD" w:rsidRPr="00F30045">
        <w:rPr>
          <w:lang w:val="es-ES_tradnl"/>
        </w:rPr>
        <w:t xml:space="preserve">que la </w:t>
      </w:r>
      <w:r w:rsidR="004730CD">
        <w:rPr>
          <w:lang w:val="es-ES_tradnl"/>
        </w:rPr>
        <w:t xml:space="preserve">propia </w:t>
      </w:r>
      <w:r w:rsidR="004730CD" w:rsidRPr="00F30045">
        <w:rPr>
          <w:lang w:val="es-ES_tradnl"/>
        </w:rPr>
        <w:t>dirección</w:t>
      </w:r>
      <w:r w:rsidR="004730CD">
        <w:rPr>
          <w:lang w:val="es-ES_tradnl"/>
        </w:rPr>
        <w:t xml:space="preserve">. También </w:t>
      </w:r>
      <w:r w:rsidR="006E7263">
        <w:rPr>
          <w:lang w:val="es-ES_tradnl"/>
        </w:rPr>
        <w:t xml:space="preserve">se </w:t>
      </w:r>
      <w:r w:rsidR="004730CD">
        <w:rPr>
          <w:lang w:val="es-ES_tradnl"/>
        </w:rPr>
        <w:t>consigna</w:t>
      </w:r>
      <w:r w:rsidR="006E7263">
        <w:rPr>
          <w:lang w:val="es-ES_tradnl"/>
        </w:rPr>
        <w:t>n</w:t>
      </w:r>
      <w:r w:rsidR="004730CD">
        <w:rPr>
          <w:lang w:val="es-ES_tradnl"/>
        </w:rPr>
        <w:t xml:space="preserve"> r</w:t>
      </w:r>
      <w:r w:rsidR="004730CD" w:rsidRPr="00F30045">
        <w:rPr>
          <w:lang w:val="es-ES_tradnl"/>
        </w:rPr>
        <w:t xml:space="preserve">elatos de violencia </w:t>
      </w:r>
      <w:r w:rsidR="004730CD">
        <w:rPr>
          <w:lang w:val="es-ES_tradnl"/>
        </w:rPr>
        <w:t xml:space="preserve">física </w:t>
      </w:r>
      <w:r w:rsidR="004730CD" w:rsidRPr="00F30045">
        <w:rPr>
          <w:lang w:val="es-ES_tradnl"/>
        </w:rPr>
        <w:t xml:space="preserve">(golpes con </w:t>
      </w:r>
      <w:r w:rsidR="004730CD">
        <w:rPr>
          <w:lang w:val="es-ES_tradnl"/>
        </w:rPr>
        <w:t xml:space="preserve">un </w:t>
      </w:r>
      <w:r w:rsidR="004730CD" w:rsidRPr="00F30045">
        <w:rPr>
          <w:lang w:val="es-ES_tradnl"/>
        </w:rPr>
        <w:t xml:space="preserve">palo por parte de la caba del pabellón a una mujer). </w:t>
      </w:r>
      <w:r w:rsidR="006E7263">
        <w:rPr>
          <w:lang w:val="es-ES_tradnl"/>
        </w:rPr>
        <w:t xml:space="preserve">Miguel Vayo, a cargo del equipo que trabajaba con personas cronificadas en dicha experiencia, en una entrevista que realicé en 2013 relata los castigos a pacientes con inyecciones de leche, escenas de violencia de algunos jefes de pabellón para con otros trabajadores del centro de salud entre otras escenas de violencia institucional. </w:t>
      </w:r>
    </w:p>
    <w:p w:rsidR="004730CD" w:rsidRPr="00F30045" w:rsidRDefault="006E7263" w:rsidP="00E24624">
      <w:pPr>
        <w:jc w:val="both"/>
        <w:rPr>
          <w:lang w:val="es-ES_tradnl"/>
        </w:rPr>
      </w:pPr>
      <w:r>
        <w:rPr>
          <w:lang w:val="es-ES_tradnl"/>
        </w:rPr>
        <w:t xml:space="preserve">También en </w:t>
      </w:r>
      <w:r w:rsidR="004730CD" w:rsidRPr="00F30045">
        <w:rPr>
          <w:lang w:val="es-ES_tradnl"/>
        </w:rPr>
        <w:t>una entrevista</w:t>
      </w:r>
      <w:r>
        <w:rPr>
          <w:lang w:val="es-ES_tradnl"/>
        </w:rPr>
        <w:t xml:space="preserve"> (</w:t>
      </w:r>
      <w:r w:rsidR="003D0194">
        <w:t>en Octubre de 2015</w:t>
      </w:r>
      <w:r>
        <w:t>)</w:t>
      </w:r>
      <w:r w:rsidR="004730CD">
        <w:rPr>
          <w:lang w:val="es-ES_tradnl"/>
        </w:rPr>
        <w:t xml:space="preserve"> </w:t>
      </w:r>
      <w:r w:rsidR="004730CD">
        <w:t>Jorge Zrycki</w:t>
      </w:r>
      <w:r>
        <w:t xml:space="preserve"> (</w:t>
      </w:r>
      <w:r w:rsidR="004730CD">
        <w:t>miembro del</w:t>
      </w:r>
      <w:r>
        <w:t xml:space="preserve"> mismo equipo que M. Vayo)</w:t>
      </w:r>
      <w:r w:rsidR="007A4E89">
        <w:t>,</w:t>
      </w:r>
      <w:r w:rsidR="004730CD">
        <w:t xml:space="preserve"> mencion</w:t>
      </w:r>
      <w:r>
        <w:t>a</w:t>
      </w:r>
      <w:r w:rsidR="004730CD">
        <w:t xml:space="preserve"> un recuerdo </w:t>
      </w:r>
      <w:r w:rsidR="003D0194">
        <w:t>sobre la alimentación en otros pabellones</w:t>
      </w:r>
      <w:r w:rsidR="004730CD">
        <w:t xml:space="preserve"> </w:t>
      </w:r>
      <w:r w:rsidR="004730CD" w:rsidRPr="00F30045">
        <w:rPr>
          <w:lang w:val="es-ES_tradnl"/>
        </w:rPr>
        <w:t>“</w:t>
      </w:r>
      <w:r w:rsidR="004730CD">
        <w:rPr>
          <w:lang w:val="es-ES_tradnl"/>
        </w:rPr>
        <w:t xml:space="preserve">hay una imagen </w:t>
      </w:r>
      <w:r w:rsidR="004730CD" w:rsidRPr="00F30045">
        <w:rPr>
          <w:lang w:val="es-ES_tradnl"/>
        </w:rPr>
        <w:t>que</w:t>
      </w:r>
      <w:r w:rsidR="00723314">
        <w:rPr>
          <w:lang w:val="es-ES_tradnl"/>
        </w:rPr>
        <w:t xml:space="preserve"> nunca me voy a olvidar…</w:t>
      </w:r>
      <w:r w:rsidR="004730CD" w:rsidRPr="00F30045">
        <w:rPr>
          <w:lang w:val="es-ES_tradnl"/>
        </w:rPr>
        <w:t xml:space="preserve"> ponían monton</w:t>
      </w:r>
      <w:r w:rsidR="00723314">
        <w:rPr>
          <w:lang w:val="es-ES_tradnl"/>
        </w:rPr>
        <w:t>es</w:t>
      </w:r>
      <w:r w:rsidR="004730CD" w:rsidRPr="00F30045">
        <w:rPr>
          <w:lang w:val="es-ES_tradnl"/>
        </w:rPr>
        <w:t xml:space="preserve"> de comida en una mesada de mármol y </w:t>
      </w:r>
      <w:r w:rsidR="00723314">
        <w:rPr>
          <w:lang w:val="es-ES_tradnl"/>
        </w:rPr>
        <w:t xml:space="preserve">las pacientes </w:t>
      </w:r>
      <w:r w:rsidR="004730CD" w:rsidRPr="00F30045">
        <w:rPr>
          <w:lang w:val="es-ES_tradnl"/>
        </w:rPr>
        <w:t xml:space="preserve">comían de ahí con las manos”. </w:t>
      </w:r>
      <w:r w:rsidR="004730CD">
        <w:rPr>
          <w:lang w:val="es-ES_tradnl"/>
        </w:rPr>
        <w:t xml:space="preserve"> </w:t>
      </w:r>
    </w:p>
    <w:p w:rsidR="004730CD" w:rsidRPr="00D262AB" w:rsidRDefault="004730CD" w:rsidP="00B53E21">
      <w:pPr>
        <w:jc w:val="both"/>
        <w:rPr>
          <w:b/>
          <w:bCs/>
          <w:lang w:val="es-ES_tradnl"/>
        </w:rPr>
      </w:pPr>
      <w:r w:rsidRPr="00D262AB">
        <w:rPr>
          <w:b/>
          <w:bCs/>
          <w:lang w:val="es-ES_tradnl"/>
        </w:rPr>
        <w:t>“</w:t>
      </w:r>
      <w:r>
        <w:rPr>
          <w:b/>
          <w:bCs/>
          <w:lang w:val="es-ES_tradnl"/>
        </w:rPr>
        <w:t>M</w:t>
      </w:r>
      <w:r w:rsidRPr="00D262AB">
        <w:rPr>
          <w:b/>
          <w:bCs/>
          <w:lang w:val="es-ES_tradnl"/>
        </w:rPr>
        <w:t>onstruosos depósitos de locos”</w:t>
      </w:r>
    </w:p>
    <w:p w:rsidR="004730CD" w:rsidRDefault="007A4E89" w:rsidP="00B53E21">
      <w:pPr>
        <w:jc w:val="both"/>
      </w:pPr>
      <w:r>
        <w:t xml:space="preserve">En la segunda posguerra nacen en nuestro país y en el mundo </w:t>
      </w:r>
      <w:r w:rsidRPr="00F30045">
        <w:t>las pol</w:t>
      </w:r>
      <w:r>
        <w:t>í</w:t>
      </w:r>
      <w:r w:rsidRPr="00F30045">
        <w:t>ticas de salud mental</w:t>
      </w:r>
      <w:r>
        <w:t xml:space="preserve">.  En la Argentina se crea en 1957 </w:t>
      </w:r>
      <w:r w:rsidR="004730CD">
        <w:rPr>
          <w:lang w:val="es-ES_tradnl"/>
        </w:rPr>
        <w:t>el Instituto Nacional de Salud Mental</w:t>
      </w:r>
      <w:r>
        <w:rPr>
          <w:lang w:val="es-ES_tradnl"/>
        </w:rPr>
        <w:t xml:space="preserve"> 4 años </w:t>
      </w:r>
      <w:r w:rsidR="004730CD">
        <w:rPr>
          <w:lang w:val="es-ES_tradnl"/>
        </w:rPr>
        <w:t>después de que la O</w:t>
      </w:r>
      <w:r>
        <w:rPr>
          <w:lang w:val="es-ES_tradnl"/>
        </w:rPr>
        <w:t>MS en un contexto de horror al nazismo,</w:t>
      </w:r>
      <w:r w:rsidR="004730CD">
        <w:rPr>
          <w:lang w:val="es-ES_tradnl"/>
        </w:rPr>
        <w:t xml:space="preserve"> sus campos de concentración</w:t>
      </w:r>
      <w:r>
        <w:rPr>
          <w:lang w:val="es-ES_tradnl"/>
        </w:rPr>
        <w:t xml:space="preserve"> y ciert</w:t>
      </w:r>
      <w:r w:rsidR="006E7263">
        <w:rPr>
          <w:lang w:val="es-ES_tradnl"/>
        </w:rPr>
        <w:t>o</w:t>
      </w:r>
      <w:r>
        <w:rPr>
          <w:lang w:val="es-ES_tradnl"/>
        </w:rPr>
        <w:t xml:space="preserve"> parecido con los manicomios </w:t>
      </w:r>
      <w:r w:rsidR="004730CD">
        <w:rPr>
          <w:lang w:val="es-ES_tradnl"/>
        </w:rPr>
        <w:t xml:space="preserve"> llamara a transformar</w:t>
      </w:r>
      <w:r>
        <w:rPr>
          <w:lang w:val="es-ES_tradnl"/>
        </w:rPr>
        <w:t>los en comunidades terapéuticas</w:t>
      </w:r>
      <w:r w:rsidR="004730CD">
        <w:rPr>
          <w:lang w:val="es-ES_tradnl"/>
        </w:rPr>
        <w:t xml:space="preserve">. </w:t>
      </w:r>
    </w:p>
    <w:p w:rsidR="007A4E89" w:rsidRDefault="007A4E89" w:rsidP="007A4E89">
      <w:pPr>
        <w:jc w:val="both"/>
      </w:pPr>
      <w:r>
        <w:lastRenderedPageBreak/>
        <w:t>Hacia fines de los ´50 en el Esteves se creó la</w:t>
      </w:r>
      <w:r w:rsidRPr="002670A1">
        <w:rPr>
          <w:color w:val="000000"/>
          <w:shd w:val="clear" w:color="auto" w:fill="FFFFFF"/>
        </w:rPr>
        <w:t xml:space="preserve"> e</w:t>
      </w:r>
      <w:r>
        <w:rPr>
          <w:color w:val="000000"/>
          <w:shd w:val="clear" w:color="auto" w:fill="FFFFFF"/>
        </w:rPr>
        <w:t xml:space="preserve">scuela de enfermería (funcionó hasta 1962) y para </w:t>
      </w:r>
      <w:r w:rsidRPr="002670A1">
        <w:t>1958 el Esteves pasó a depender del Instituto Nacional de Salud Men</w:t>
      </w:r>
      <w:r>
        <w:t>tal (INSM).</w:t>
      </w:r>
    </w:p>
    <w:p w:rsidR="007A4E89" w:rsidRDefault="007A4E89" w:rsidP="007A4E89">
      <w:pPr>
        <w:jc w:val="both"/>
        <w:rPr>
          <w:lang w:val="es-ES_tradnl"/>
        </w:rPr>
      </w:pPr>
      <w:r>
        <w:rPr>
          <w:lang w:val="es-ES_tradnl"/>
        </w:rPr>
        <w:t>Sylvia Bermann (1959)</w:t>
      </w:r>
      <w:r w:rsidR="008A41D2">
        <w:rPr>
          <w:lang w:val="es-ES_tradnl"/>
        </w:rPr>
        <w:t xml:space="preserve"> y Gregorio Bermann (1965)</w:t>
      </w:r>
      <w:r>
        <w:rPr>
          <w:lang w:val="es-ES_tradnl"/>
        </w:rPr>
        <w:t xml:space="preserve"> presenta</w:t>
      </w:r>
      <w:r w:rsidR="008A41D2">
        <w:rPr>
          <w:lang w:val="es-ES_tradnl"/>
        </w:rPr>
        <w:t>n</w:t>
      </w:r>
      <w:r>
        <w:rPr>
          <w:lang w:val="es-ES_tradnl"/>
        </w:rPr>
        <w:t xml:space="preserve"> datos para fines de los ´50 del Esteves</w:t>
      </w:r>
      <w:r w:rsidR="006E7263">
        <w:rPr>
          <w:lang w:val="es-ES_tradnl"/>
        </w:rPr>
        <w:t>: de cada 100 personas que “sal</w:t>
      </w:r>
      <w:r w:rsidR="008A41D2">
        <w:rPr>
          <w:lang w:val="es-ES_tradnl"/>
        </w:rPr>
        <w:t>ieron</w:t>
      </w:r>
      <w:r w:rsidR="006E7263">
        <w:rPr>
          <w:lang w:val="es-ES_tradnl"/>
        </w:rPr>
        <w:t xml:space="preserve">” del Esteves </w:t>
      </w:r>
      <w:r w:rsidR="008A41D2">
        <w:rPr>
          <w:lang w:val="es-ES_tradnl"/>
        </w:rPr>
        <w:t xml:space="preserve">en 1957, 37 eran defunciones y 63 eran “altas”. </w:t>
      </w:r>
      <w:r>
        <w:rPr>
          <w:lang w:val="es-ES_tradnl"/>
        </w:rPr>
        <w:t xml:space="preserve">Ese </w:t>
      </w:r>
      <w:r w:rsidR="008A41D2">
        <w:rPr>
          <w:lang w:val="es-ES_tradnl"/>
        </w:rPr>
        <w:t xml:space="preserve">mismo </w:t>
      </w:r>
      <w:r>
        <w:rPr>
          <w:lang w:val="es-ES_tradnl"/>
        </w:rPr>
        <w:t xml:space="preserve">año </w:t>
      </w:r>
      <w:r w:rsidR="008A41D2">
        <w:rPr>
          <w:lang w:val="es-ES_tradnl"/>
        </w:rPr>
        <w:t xml:space="preserve">el hospital </w:t>
      </w:r>
      <w:r>
        <w:rPr>
          <w:lang w:val="es-ES_tradnl"/>
        </w:rPr>
        <w:t xml:space="preserve">tenía alrededor de 3240 camas en tanto que según datos disponibles, para 1961 había 2500.  740 camas menos. Entre 1957 y fines de 1961 murieron </w:t>
      </w:r>
      <w:r w:rsidR="008A41D2">
        <w:rPr>
          <w:lang w:val="es-ES_tradnl"/>
        </w:rPr>
        <w:t>712 personas.</w:t>
      </w:r>
      <w:r>
        <w:rPr>
          <w:lang w:val="es-ES_tradnl"/>
        </w:rPr>
        <w:t xml:space="preserve"> </w:t>
      </w:r>
    </w:p>
    <w:p w:rsidR="007A4E89" w:rsidRPr="00AE7D48" w:rsidRDefault="00DB5FE7" w:rsidP="007A4E89">
      <w:pPr>
        <w:jc w:val="both"/>
        <w:rPr>
          <w:lang w:val="es-ES_tradnl"/>
        </w:rPr>
      </w:pPr>
      <w:r>
        <w:rPr>
          <w:lang w:val="es-ES_tradnl"/>
        </w:rPr>
        <w:t xml:space="preserve">En una editorial de Acta </w:t>
      </w:r>
      <w:r w:rsidR="007A4E89">
        <w:rPr>
          <w:lang w:val="es-ES_tradnl"/>
        </w:rPr>
        <w:t>de</w:t>
      </w:r>
      <w:r w:rsidR="007A4E89" w:rsidRPr="00F30045">
        <w:rPr>
          <w:lang w:val="es-ES_tradnl"/>
        </w:rPr>
        <w:t xml:space="preserve"> 1959 </w:t>
      </w:r>
      <w:r>
        <w:rPr>
          <w:lang w:val="es-ES_tradnl"/>
        </w:rPr>
        <w:t>encuentro un cuestionamiento al estado de los hospitales neuropsiquiátricos que había caído “e</w:t>
      </w:r>
      <w:r w:rsidR="007A4E89" w:rsidRPr="00F30045">
        <w:rPr>
          <w:lang w:val="es-ES_tradnl"/>
        </w:rPr>
        <w:t>n el más lamentable abandono</w:t>
      </w:r>
      <w:r>
        <w:rPr>
          <w:lang w:val="es-ES_tradnl"/>
        </w:rPr>
        <w:t>” y</w:t>
      </w:r>
      <w:r w:rsidR="007A4E89" w:rsidRPr="00F30045">
        <w:rPr>
          <w:lang w:val="es-ES_tradnl"/>
        </w:rPr>
        <w:t xml:space="preserve"> que parec</w:t>
      </w:r>
      <w:r w:rsidR="007A4E89">
        <w:rPr>
          <w:lang w:val="es-ES_tradnl"/>
        </w:rPr>
        <w:t>ía</w:t>
      </w:r>
      <w:r w:rsidR="007A4E89" w:rsidRPr="00F30045">
        <w:rPr>
          <w:lang w:val="es-ES_tradnl"/>
        </w:rPr>
        <w:t>n “monstruosos depósitos de locos”</w:t>
      </w:r>
      <w:r>
        <w:rPr>
          <w:lang w:val="es-ES_tradnl"/>
        </w:rPr>
        <w:t>.</w:t>
      </w:r>
      <w:r w:rsidR="007A4E89" w:rsidRPr="00F30045">
        <w:rPr>
          <w:lang w:val="es-ES_tradnl"/>
        </w:rPr>
        <w:t xml:space="preserve"> Según la</w:t>
      </w:r>
      <w:r>
        <w:rPr>
          <w:lang w:val="es-ES_tradnl"/>
        </w:rPr>
        <w:t xml:space="preserve"> misma</w:t>
      </w:r>
      <w:r w:rsidR="007A4E89" w:rsidRPr="00F30045">
        <w:rPr>
          <w:lang w:val="es-ES_tradnl"/>
        </w:rPr>
        <w:t xml:space="preserve"> editorial ello se debía a varias c</w:t>
      </w:r>
      <w:r>
        <w:rPr>
          <w:lang w:val="es-ES_tradnl"/>
        </w:rPr>
        <w:t>uestiones. Una sería</w:t>
      </w:r>
      <w:r w:rsidR="007A4E89">
        <w:rPr>
          <w:lang w:val="es-ES_tradnl"/>
        </w:rPr>
        <w:t xml:space="preserve"> </w:t>
      </w:r>
      <w:r>
        <w:rPr>
          <w:lang w:val="es-ES_tradnl"/>
        </w:rPr>
        <w:t xml:space="preserve">de </w:t>
      </w:r>
      <w:r w:rsidR="007A4E89">
        <w:rPr>
          <w:lang w:val="es-ES_tradnl"/>
        </w:rPr>
        <w:t xml:space="preserve">costos pero la principal sería una razón psicosocial: </w:t>
      </w:r>
      <w:r w:rsidR="007A4E89" w:rsidRPr="00F30045">
        <w:rPr>
          <w:lang w:val="es-ES_tradnl"/>
        </w:rPr>
        <w:t xml:space="preserve">“no es por azar que, en todo el mundo, son los hospitales destinados a los enfermos mentales los que funcionan en peores </w:t>
      </w:r>
      <w:r w:rsidR="007A4E89" w:rsidRPr="00AE7D48">
        <w:rPr>
          <w:lang w:val="es-ES_tradnl"/>
        </w:rPr>
        <w:t xml:space="preserve">condiciones”.     </w:t>
      </w:r>
    </w:p>
    <w:p w:rsidR="007A4E89" w:rsidRPr="00AE7D48" w:rsidRDefault="00DB5FE7" w:rsidP="007A4E89">
      <w:pPr>
        <w:jc w:val="both"/>
      </w:pPr>
      <w:r w:rsidRPr="00AE7D48">
        <w:t>Recapitulando, los elementos que ten</w:t>
      </w:r>
      <w:r w:rsidR="008A41D2" w:rsidRPr="00AE7D48">
        <w:t xml:space="preserve">emos </w:t>
      </w:r>
      <w:r w:rsidRPr="00AE7D48">
        <w:t xml:space="preserve">para 1959 en el Esteves: </w:t>
      </w:r>
      <w:r w:rsidR="007A4E89" w:rsidRPr="00AE7D48">
        <w:t>el porcentaje de fallecimientos por egreso crec</w:t>
      </w:r>
      <w:r w:rsidRPr="00AE7D48">
        <w:t>e</w:t>
      </w:r>
      <w:r w:rsidR="007A4E89" w:rsidRPr="00AE7D48">
        <w:t>, disminu</w:t>
      </w:r>
      <w:r w:rsidRPr="00AE7D48">
        <w:t>ye  la cantidad de</w:t>
      </w:r>
      <w:r w:rsidR="007A4E89" w:rsidRPr="00AE7D48">
        <w:t xml:space="preserve"> camas, </w:t>
      </w:r>
      <w:r w:rsidRPr="00AE7D48">
        <w:t xml:space="preserve">hay abundantes </w:t>
      </w:r>
      <w:r w:rsidR="007A4E89" w:rsidRPr="00AE7D48">
        <w:t xml:space="preserve">pacientes cronificadas, </w:t>
      </w:r>
      <w:r w:rsidRPr="00AE7D48">
        <w:t xml:space="preserve">hay </w:t>
      </w:r>
      <w:r w:rsidR="007A4E89" w:rsidRPr="00AE7D48">
        <w:t>condiciones de higiene y alimentación deficientes, escasez de personal con tareas duras y mal pag</w:t>
      </w:r>
      <w:r w:rsidRPr="00AE7D48">
        <w:t>a</w:t>
      </w:r>
      <w:r w:rsidR="007A4E89" w:rsidRPr="00AE7D48">
        <w:t xml:space="preserve">s, </w:t>
      </w:r>
      <w:r w:rsidRPr="00AE7D48">
        <w:t xml:space="preserve">ha habido un </w:t>
      </w:r>
      <w:r w:rsidR="007A4E89" w:rsidRPr="00AE7D48">
        <w:t xml:space="preserve">cambio de dependencia reciente, </w:t>
      </w:r>
      <w:r w:rsidRPr="00AE7D48">
        <w:t>hay situaciones de violencia hacia y entre pacientes</w:t>
      </w:r>
      <w:r w:rsidR="007A4E89" w:rsidRPr="00AE7D48">
        <w:t xml:space="preserve">. … ahora bien en un contexto donde las condiciones de vida según los relatos son </w:t>
      </w:r>
      <w:r w:rsidRPr="00AE7D48">
        <w:t xml:space="preserve">estas </w:t>
      </w:r>
      <w:r w:rsidR="007A4E89" w:rsidRPr="00AE7D48">
        <w:t xml:space="preserve"> ¿qué cuestiones serían novedosas como comprender el crecimiento en la cantidad de muertes de crónicas? </w:t>
      </w:r>
    </w:p>
    <w:p w:rsidR="004730CD" w:rsidRPr="00182417" w:rsidRDefault="00DB5FE7" w:rsidP="00E24624">
      <w:pPr>
        <w:jc w:val="both"/>
        <w:rPr>
          <w:b/>
          <w:bCs/>
        </w:rPr>
      </w:pPr>
      <w:r>
        <w:rPr>
          <w:b/>
          <w:bCs/>
        </w:rPr>
        <w:t>Sospechas.</w:t>
      </w:r>
      <w:r w:rsidRPr="00182417">
        <w:rPr>
          <w:b/>
          <w:bCs/>
        </w:rPr>
        <w:t xml:space="preserve"> </w:t>
      </w:r>
      <w:r w:rsidR="004730CD" w:rsidRPr="00182417">
        <w:rPr>
          <w:b/>
          <w:bCs/>
        </w:rPr>
        <w:t>El invierno de 1959</w:t>
      </w:r>
      <w:r w:rsidR="0061414E">
        <w:rPr>
          <w:b/>
          <w:bCs/>
        </w:rPr>
        <w:t xml:space="preserve">. </w:t>
      </w:r>
    </w:p>
    <w:p w:rsidR="0061414E" w:rsidRDefault="004730CD" w:rsidP="00E24624">
      <w:pPr>
        <w:jc w:val="both"/>
      </w:pPr>
      <w:r>
        <w:t xml:space="preserve">Mario </w:t>
      </w:r>
      <w:proofErr w:type="spellStart"/>
      <w:r>
        <w:t>Rapoport</w:t>
      </w:r>
      <w:proofErr w:type="spellEnd"/>
      <w:r>
        <w:t xml:space="preserve"> (2000) llama al período 1955-1966 como </w:t>
      </w:r>
      <w:r w:rsidR="00DB5FE7">
        <w:t xml:space="preserve">la </w:t>
      </w:r>
      <w:r>
        <w:t>“década de inestabilidad”. E</w:t>
      </w:r>
      <w:r w:rsidR="0061414E">
        <w:t>s</w:t>
      </w:r>
      <w:r>
        <w:t xml:space="preserve"> un contexto de repetidos golpes de estado</w:t>
      </w:r>
      <w:r w:rsidR="0061414E">
        <w:t xml:space="preserve"> y</w:t>
      </w:r>
      <w:r>
        <w:t xml:space="preserve"> de proscripción del peronismo</w:t>
      </w:r>
      <w:r w:rsidR="0061414E">
        <w:t xml:space="preserve">. </w:t>
      </w:r>
    </w:p>
    <w:p w:rsidR="004730CD" w:rsidRPr="0061414E" w:rsidRDefault="004730CD" w:rsidP="00E24624">
      <w:pPr>
        <w:jc w:val="both"/>
      </w:pPr>
      <w:r>
        <w:t xml:space="preserve">Frondizi hace un “pacto” </w:t>
      </w:r>
      <w:r w:rsidR="00DB5FE7">
        <w:t xml:space="preserve">con el peronismo que incluye </w:t>
      </w:r>
      <w:r>
        <w:t>amnistiar a dirigentes peronistas, restablecer el orden sindical previo al gobierno militar y permitir que los peronistas pu</w:t>
      </w:r>
      <w:r w:rsidR="00DB5FE7">
        <w:t>edan</w:t>
      </w:r>
      <w:r>
        <w:t xml:space="preserve"> participar de las siguientes elecciones. Ello lo lleva a la presidencia. </w:t>
      </w:r>
      <w:r w:rsidR="00DB5FE7">
        <w:t>Sin embargo, e</w:t>
      </w:r>
      <w:r>
        <w:t>n esos años se apr</w:t>
      </w:r>
      <w:r w:rsidR="00DB5FE7">
        <w:t>ueba</w:t>
      </w:r>
      <w:r>
        <w:t xml:space="preserve"> la ley de enseñanza libre -por sobre la laica - se promulg</w:t>
      </w:r>
      <w:r w:rsidR="00DB5FE7">
        <w:t>a</w:t>
      </w:r>
      <w:r>
        <w:t xml:space="preserve"> la ley de promoción de las inversiones extranjeras,</w:t>
      </w:r>
      <w:r w:rsidR="0061414E">
        <w:t xml:space="preserve"> se</w:t>
      </w:r>
      <w:r>
        <w:t xml:space="preserve"> imp</w:t>
      </w:r>
      <w:r w:rsidR="00DB5FE7">
        <w:t xml:space="preserve">one </w:t>
      </w:r>
      <w:r>
        <w:t>el estado de sitio por el que fueron detenidos cientos de líderes gremiales</w:t>
      </w:r>
      <w:r w:rsidR="007F2AAC">
        <w:t xml:space="preserve"> y </w:t>
      </w:r>
      <w:r w:rsidR="00DB5FE7">
        <w:t xml:space="preserve">se </w:t>
      </w:r>
      <w:r w:rsidR="007F2AAC">
        <w:t>ejecut</w:t>
      </w:r>
      <w:r w:rsidR="00DB5FE7">
        <w:t>a</w:t>
      </w:r>
      <w:r w:rsidR="007F2AAC">
        <w:t xml:space="preserve"> el plan CONINTES</w:t>
      </w:r>
      <w:r w:rsidR="0061414E">
        <w:t>. La</w:t>
      </w:r>
      <w:r>
        <w:t xml:space="preserve"> política de austeridad implementada en acuerdo con el FMI provoc</w:t>
      </w:r>
      <w:r w:rsidR="00DB5FE7">
        <w:t>a</w:t>
      </w:r>
      <w:r>
        <w:t xml:space="preserve"> una depresión económica hacia 1959 con una erosión del salario real. Las huelgas en el sector petrolero, bancario y otros, no se hicieron esperar, la represión tampoco (</w:t>
      </w:r>
      <w:proofErr w:type="spellStart"/>
      <w:r>
        <w:t>Rapoport</w:t>
      </w:r>
      <w:proofErr w:type="spellEnd"/>
      <w:r>
        <w:t>; 2000).</w:t>
      </w:r>
    </w:p>
    <w:p w:rsidR="00DB5FE7" w:rsidRDefault="004730CD" w:rsidP="00E24624">
      <w:pPr>
        <w:jc w:val="both"/>
        <w:rPr>
          <w:b/>
          <w:bCs/>
          <w:lang w:val="es-ES_tradnl"/>
        </w:rPr>
      </w:pPr>
      <w:r w:rsidRPr="00276343">
        <w:rPr>
          <w:b/>
          <w:bCs/>
          <w:lang w:val="es-ES_tradnl"/>
        </w:rPr>
        <w:t>¿Será que las deplorables condiciones de vida en un manicomio hace que las personas cronificadas cuya salud puede verse desgastada sean de los grupos sociales más sensibles a las políticas de ajuste?</w:t>
      </w:r>
      <w:r w:rsidR="00DB5FE7" w:rsidRPr="00DB5FE7">
        <w:rPr>
          <w:b/>
          <w:bCs/>
          <w:lang w:val="es-ES_tradnl"/>
        </w:rPr>
        <w:t xml:space="preserve"> </w:t>
      </w:r>
      <w:r w:rsidR="00DB5FE7">
        <w:rPr>
          <w:b/>
          <w:bCs/>
          <w:lang w:val="es-ES_tradnl"/>
        </w:rPr>
        <w:t>¿</w:t>
      </w:r>
      <w:proofErr w:type="gramStart"/>
      <w:r w:rsidR="00DB5FE7">
        <w:rPr>
          <w:b/>
          <w:bCs/>
          <w:lang w:val="es-ES_tradnl"/>
        </w:rPr>
        <w:t>en</w:t>
      </w:r>
      <w:proofErr w:type="gramEnd"/>
      <w:r w:rsidR="00DB5FE7">
        <w:rPr>
          <w:b/>
          <w:bCs/>
          <w:lang w:val="es-ES_tradnl"/>
        </w:rPr>
        <w:t xml:space="preserve"> climas de estado de excepción pueden verse empeoradas las condiciones de los lugares de encierro? </w:t>
      </w:r>
      <w:r w:rsidRPr="00276343">
        <w:rPr>
          <w:b/>
          <w:bCs/>
          <w:lang w:val="es-ES_tradnl"/>
        </w:rPr>
        <w:t>¿Será su delicada subsistencia más rápidamente sensible al ajuste? ¿</w:t>
      </w:r>
      <w:proofErr w:type="gramStart"/>
      <w:r w:rsidRPr="00276343">
        <w:rPr>
          <w:b/>
          <w:bCs/>
          <w:lang w:val="es-ES_tradnl"/>
        </w:rPr>
        <w:t>hubo</w:t>
      </w:r>
      <w:proofErr w:type="gramEnd"/>
      <w:r w:rsidRPr="00276343">
        <w:rPr>
          <w:b/>
          <w:bCs/>
          <w:lang w:val="es-ES_tradnl"/>
        </w:rPr>
        <w:t xml:space="preserve"> problemas de financiamiento en el hospital? </w:t>
      </w:r>
    </w:p>
    <w:p w:rsidR="004730CD" w:rsidRPr="00DB5FE7" w:rsidRDefault="008A41D2" w:rsidP="00E24624">
      <w:pPr>
        <w:jc w:val="both"/>
        <w:rPr>
          <w:lang w:val="es-ES_tradnl"/>
        </w:rPr>
      </w:pPr>
      <w:r>
        <w:rPr>
          <w:lang w:val="es-ES_tradnl"/>
        </w:rPr>
        <w:lastRenderedPageBreak/>
        <w:t>L</w:t>
      </w:r>
      <w:r w:rsidR="00DB5FE7">
        <w:rPr>
          <w:lang w:val="es-ES_tradnl"/>
        </w:rPr>
        <w:t>a asociación cooperadora del Esteves se fundó en 1959. ¿Por qué la habrán fundado en ese momento?</w:t>
      </w:r>
      <w:r w:rsidR="004730CD">
        <w:rPr>
          <w:lang w:val="es-ES_tradnl"/>
        </w:rPr>
        <w:t xml:space="preserve"> </w:t>
      </w:r>
      <w:r w:rsidR="007F2AAC">
        <w:rPr>
          <w:lang w:val="es-ES_tradnl"/>
        </w:rPr>
        <w:t xml:space="preserve">¿Tendrá </w:t>
      </w:r>
      <w:r w:rsidR="004730CD" w:rsidRPr="00F30045">
        <w:rPr>
          <w:lang w:val="es-ES_tradnl"/>
        </w:rPr>
        <w:t xml:space="preserve">relación </w:t>
      </w:r>
      <w:r w:rsidR="007F2AAC">
        <w:rPr>
          <w:lang w:val="es-ES_tradnl"/>
        </w:rPr>
        <w:t xml:space="preserve">la creación de la cooperadora </w:t>
      </w:r>
      <w:r w:rsidR="004730CD" w:rsidRPr="00F30045">
        <w:rPr>
          <w:lang w:val="es-ES_tradnl"/>
        </w:rPr>
        <w:t xml:space="preserve">con </w:t>
      </w:r>
      <w:r w:rsidR="004730CD">
        <w:rPr>
          <w:lang w:val="es-ES_tradnl"/>
        </w:rPr>
        <w:t>un posible desfinanciamiento</w:t>
      </w:r>
      <w:r w:rsidR="007F2AAC">
        <w:rPr>
          <w:lang w:val="es-ES_tradnl"/>
        </w:rPr>
        <w:t xml:space="preserve">? Ese año </w:t>
      </w:r>
      <w:r w:rsidR="004730CD">
        <w:rPr>
          <w:lang w:val="es-ES_tradnl"/>
        </w:rPr>
        <w:t>Als</w:t>
      </w:r>
      <w:r w:rsidR="004730CD" w:rsidRPr="00F30045">
        <w:rPr>
          <w:lang w:val="es-ES_tradnl"/>
        </w:rPr>
        <w:t xml:space="preserve">ogaray, ministro de economía de Frondizi </w:t>
      </w:r>
      <w:r w:rsidR="004730CD">
        <w:rPr>
          <w:lang w:val="es-ES_tradnl"/>
        </w:rPr>
        <w:t xml:space="preserve"> en su famoso discurso de fines de Junio de 1959 planteaba que sería muy difícil poder pagar los sueldos de la administración pública a tiempo y grababa en la memoria colectiva su famosa fórmula: “hay que pasar el invierno”.  Sus medidas implicaron la caída en un 24% del salario real, la inflación era galopante y en estos años se incluyeron en los convenios colectivos de trabajo las cláusulas de productividad. Todas medidas feroces para los trabajadores con el fin de aumentar la productividad y las ganancias</w:t>
      </w:r>
      <w:r>
        <w:rPr>
          <w:lang w:val="es-ES_tradnl"/>
        </w:rPr>
        <w:t xml:space="preserve"> de distintos sectores de la burguesía</w:t>
      </w:r>
      <w:r w:rsidR="004730CD">
        <w:rPr>
          <w:lang w:val="es-ES_tradnl"/>
        </w:rPr>
        <w:t>. Estoy en proceso de búsqueda de los presupuestos para salud mental en esos años pero descuento que por el contexto económico-político tiene que haberse visto afectado</w:t>
      </w:r>
      <w:r w:rsidR="00CC324B">
        <w:rPr>
          <w:lang w:val="es-ES_tradnl"/>
        </w:rPr>
        <w:t>s</w:t>
      </w:r>
      <w:r w:rsidR="004730CD">
        <w:rPr>
          <w:lang w:val="es-ES_tradnl"/>
        </w:rPr>
        <w:t xml:space="preserve">.  </w:t>
      </w:r>
    </w:p>
    <w:p w:rsidR="00140DB4" w:rsidRDefault="004730CD" w:rsidP="00E24624">
      <w:pPr>
        <w:jc w:val="both"/>
        <w:rPr>
          <w:lang w:val="es-ES_tradnl"/>
        </w:rPr>
      </w:pPr>
      <w:r>
        <w:rPr>
          <w:lang w:val="es-ES_tradnl"/>
        </w:rPr>
        <w:t>Me quedo pensando</w:t>
      </w:r>
      <w:r w:rsidR="00CC324B">
        <w:rPr>
          <w:lang w:val="es-ES_tradnl"/>
        </w:rPr>
        <w:t xml:space="preserve">. </w:t>
      </w:r>
      <w:r w:rsidR="008A41D2">
        <w:rPr>
          <w:lang w:val="es-ES_tradnl"/>
        </w:rPr>
        <w:t xml:space="preserve">El </w:t>
      </w:r>
      <w:r>
        <w:rPr>
          <w:lang w:val="es-ES_tradnl"/>
        </w:rPr>
        <w:t xml:space="preserve">ajuste enferma, mata, daña </w:t>
      </w:r>
      <w:r w:rsidR="008A41D2">
        <w:rPr>
          <w:lang w:val="es-ES_tradnl"/>
        </w:rPr>
        <w:t xml:space="preserve">y </w:t>
      </w:r>
      <w:r>
        <w:rPr>
          <w:lang w:val="es-ES_tradnl"/>
        </w:rPr>
        <w:t>lo hace en forma diferencial a los distintos grupos sociales</w:t>
      </w:r>
      <w:r w:rsidR="008A41D2">
        <w:rPr>
          <w:lang w:val="es-ES_tradnl"/>
        </w:rPr>
        <w:t>.</w:t>
      </w:r>
      <w:r>
        <w:rPr>
          <w:lang w:val="es-ES_tradnl"/>
        </w:rPr>
        <w:t xml:space="preserve"> ¿Serán los hospitales psiquiátricos y en especial las personas cronificadas de los primeros grupos sociales que </w:t>
      </w:r>
      <w:r w:rsidR="008A41D2">
        <w:rPr>
          <w:lang w:val="es-ES_tradnl"/>
        </w:rPr>
        <w:t>“</w:t>
      </w:r>
      <w:r>
        <w:rPr>
          <w:lang w:val="es-ES_tradnl"/>
        </w:rPr>
        <w:t>pagan</w:t>
      </w:r>
      <w:r w:rsidR="008A41D2">
        <w:rPr>
          <w:lang w:val="es-ES_tradnl"/>
        </w:rPr>
        <w:t>”</w:t>
      </w:r>
      <w:r>
        <w:rPr>
          <w:lang w:val="es-ES_tradnl"/>
        </w:rPr>
        <w:t xml:space="preserve"> el ajuste? De ninguna manera </w:t>
      </w:r>
      <w:r w:rsidR="007F2AAC">
        <w:rPr>
          <w:lang w:val="es-ES_tradnl"/>
        </w:rPr>
        <w:t xml:space="preserve">es posible pensar en </w:t>
      </w:r>
      <w:r>
        <w:rPr>
          <w:lang w:val="es-ES_tradnl"/>
        </w:rPr>
        <w:t>causas únicas pero quizás sume a este eje</w:t>
      </w:r>
      <w:r w:rsidR="007F2AAC">
        <w:rPr>
          <w:lang w:val="es-ES_tradnl"/>
        </w:rPr>
        <w:t xml:space="preserve">rcicio de pensamiento </w:t>
      </w:r>
      <w:r w:rsidR="00140DB4">
        <w:rPr>
          <w:lang w:val="es-ES_tradnl"/>
        </w:rPr>
        <w:t xml:space="preserve">a E. </w:t>
      </w:r>
      <w:r w:rsidR="008A41D2">
        <w:rPr>
          <w:lang w:val="es-ES_tradnl"/>
        </w:rPr>
        <w:t xml:space="preserve">Carpintero </w:t>
      </w:r>
      <w:r w:rsidR="00140DB4">
        <w:rPr>
          <w:lang w:val="es-ES_tradnl"/>
        </w:rPr>
        <w:t xml:space="preserve">(2010) quien cita a </w:t>
      </w:r>
      <w:proofErr w:type="spellStart"/>
      <w:r w:rsidR="007F2AAC">
        <w:rPr>
          <w:lang w:val="es-ES_tradnl"/>
        </w:rPr>
        <w:t>Slavov</w:t>
      </w:r>
      <w:proofErr w:type="spellEnd"/>
      <w:r w:rsidR="007F2AAC">
        <w:rPr>
          <w:lang w:val="es-ES_tradnl"/>
        </w:rPr>
        <w:t xml:space="preserve"> </w:t>
      </w:r>
      <w:proofErr w:type="spellStart"/>
      <w:r>
        <w:rPr>
          <w:lang w:val="es-ES_tradnl"/>
        </w:rPr>
        <w:t>Zizek</w:t>
      </w:r>
      <w:proofErr w:type="spellEnd"/>
      <w:r>
        <w:rPr>
          <w:lang w:val="es-ES_tradnl"/>
        </w:rPr>
        <w:t xml:space="preserve"> (2010)</w:t>
      </w:r>
      <w:r w:rsidR="00140DB4">
        <w:rPr>
          <w:lang w:val="es-ES_tradnl"/>
        </w:rPr>
        <w:t xml:space="preserve"> acerca de una investigación </w:t>
      </w:r>
      <w:r>
        <w:rPr>
          <w:lang w:val="es-ES_tradnl"/>
        </w:rPr>
        <w:t xml:space="preserve">de Cambridge y Yale en 2008 </w:t>
      </w:r>
      <w:r w:rsidR="00140DB4">
        <w:rPr>
          <w:lang w:val="es-ES_tradnl"/>
        </w:rPr>
        <w:t xml:space="preserve">donde se estableció </w:t>
      </w:r>
      <w:r>
        <w:rPr>
          <w:lang w:val="es-ES_tradnl"/>
        </w:rPr>
        <w:t xml:space="preserve">una correlación entre los préstamos del FMI y la incidencia de tuberculosis en países de Europa del Este. </w:t>
      </w:r>
      <w:r w:rsidR="00140DB4">
        <w:rPr>
          <w:lang w:val="es-ES_tradnl"/>
        </w:rPr>
        <w:t>D</w:t>
      </w:r>
      <w:r>
        <w:rPr>
          <w:lang w:val="es-ES_tradnl"/>
        </w:rPr>
        <w:t xml:space="preserve">icha correlación </w:t>
      </w:r>
      <w:r w:rsidR="00140DB4">
        <w:rPr>
          <w:lang w:val="es-ES_tradnl"/>
        </w:rPr>
        <w:t xml:space="preserve">se explicaba </w:t>
      </w:r>
      <w:r>
        <w:rPr>
          <w:lang w:val="es-ES_tradnl"/>
        </w:rPr>
        <w:t>planteando que las exigencias de este organismo internacional implicaba</w:t>
      </w:r>
      <w:r w:rsidR="008A41D2">
        <w:rPr>
          <w:lang w:val="es-ES_tradnl"/>
        </w:rPr>
        <w:t>n</w:t>
      </w:r>
      <w:r>
        <w:rPr>
          <w:lang w:val="es-ES_tradnl"/>
        </w:rPr>
        <w:t xml:space="preserve"> reducir el gasto público que incluye el gasto en salud pública. </w:t>
      </w:r>
    </w:p>
    <w:p w:rsidR="004730CD" w:rsidRDefault="008A41D2" w:rsidP="00E24624">
      <w:pPr>
        <w:jc w:val="both"/>
        <w:rPr>
          <w:lang w:val="es-ES_tradnl"/>
        </w:rPr>
      </w:pPr>
      <w:r>
        <w:rPr>
          <w:lang w:val="es-ES_tradnl"/>
        </w:rPr>
        <w:t xml:space="preserve">Creo que </w:t>
      </w:r>
      <w:r w:rsidR="004730CD">
        <w:rPr>
          <w:lang w:val="es-ES_tradnl"/>
        </w:rPr>
        <w:t xml:space="preserve">la salud desgastada por años de manicomio ubica a las mujeres cronificadas en lugares de mayor vulnerabilidad ante </w:t>
      </w:r>
      <w:r>
        <w:rPr>
          <w:lang w:val="es-ES_tradnl"/>
        </w:rPr>
        <w:t>el</w:t>
      </w:r>
      <w:r w:rsidR="004730CD">
        <w:rPr>
          <w:lang w:val="es-ES_tradnl"/>
        </w:rPr>
        <w:t xml:space="preserve"> ajuste</w:t>
      </w:r>
      <w:r>
        <w:rPr>
          <w:lang w:val="es-ES_tradnl"/>
        </w:rPr>
        <w:t xml:space="preserve">. Por supuesto esta preocupación sigue vigente en 2016. </w:t>
      </w:r>
    </w:p>
    <w:p w:rsidR="004730CD" w:rsidRPr="005517F6" w:rsidRDefault="004730CD" w:rsidP="00E24624">
      <w:pPr>
        <w:jc w:val="both"/>
        <w:rPr>
          <w:b/>
          <w:bCs/>
          <w:lang w:val="es-ES_tradnl"/>
        </w:rPr>
      </w:pPr>
      <w:r w:rsidRPr="005517F6">
        <w:rPr>
          <w:b/>
          <w:bCs/>
          <w:lang w:val="es-ES_tradnl"/>
        </w:rPr>
        <w:t>Bibliografía</w:t>
      </w:r>
    </w:p>
    <w:p w:rsidR="004730CD" w:rsidRDefault="004730CD" w:rsidP="00E24624">
      <w:pPr>
        <w:jc w:val="both"/>
        <w:rPr>
          <w:noProof/>
        </w:rPr>
      </w:pPr>
      <w:r>
        <w:rPr>
          <w:noProof/>
        </w:rPr>
        <w:t>Carpintero E, Vainer A. Las huellas de la memoria I. Psicoanálisis y Salud Mental en la Argentina de los ´60 y ´70 Tomo 1: 1957- 1969 Buenos Aires: Topía; 2004.</w:t>
      </w:r>
    </w:p>
    <w:p w:rsidR="00140DB4" w:rsidRDefault="00140DB4" w:rsidP="00E24624">
      <w:pPr>
        <w:jc w:val="both"/>
        <w:rPr>
          <w:noProof/>
        </w:rPr>
      </w:pPr>
      <w:r>
        <w:rPr>
          <w:noProof/>
        </w:rPr>
        <w:t xml:space="preserve">Carpintero E, </w:t>
      </w:r>
      <w:r w:rsidRPr="00140DB4">
        <w:rPr>
          <w:noProof/>
        </w:rPr>
        <w:t>Editorial: Argentina del Bicentenario. El poder en el campo de la Salud Mental</w:t>
      </w:r>
      <w:r>
        <w:rPr>
          <w:noProof/>
        </w:rPr>
        <w:t xml:space="preserve">, Revista Topía. Abril 2010. Disponible en </w:t>
      </w:r>
      <w:r w:rsidRPr="00140DB4">
        <w:rPr>
          <w:noProof/>
        </w:rPr>
        <w:t>https://www.topia.com.ar/articulos/argentina-del-bicentenario-poder-campo-salud-mental</w:t>
      </w:r>
    </w:p>
    <w:p w:rsidR="004730CD" w:rsidRDefault="004730CD" w:rsidP="00E24624">
      <w:pPr>
        <w:jc w:val="both"/>
        <w:rPr>
          <w:noProof/>
        </w:rPr>
      </w:pPr>
      <w:r>
        <w:rPr>
          <w:noProof/>
        </w:rPr>
        <w:t>Archivo General de la Nación. Base de Historias Clínicas del Hospital Esteves. s/f. disponible en AGN.</w:t>
      </w:r>
    </w:p>
    <w:p w:rsidR="004730CD" w:rsidRDefault="004730CD" w:rsidP="00E24624">
      <w:pPr>
        <w:jc w:val="both"/>
        <w:rPr>
          <w:noProof/>
        </w:rPr>
      </w:pPr>
      <w:r>
        <w:rPr>
          <w:noProof/>
        </w:rPr>
        <w:t>Bermann G. La salud mental y la asistencia psiquiátrica en la Argentina. 1st ed. Buenos Aires: Paidós; 1965.</w:t>
      </w:r>
    </w:p>
    <w:p w:rsidR="004730CD" w:rsidRDefault="004730CD" w:rsidP="00E24624">
      <w:pPr>
        <w:jc w:val="both"/>
        <w:rPr>
          <w:noProof/>
        </w:rPr>
      </w:pPr>
      <w:r>
        <w:rPr>
          <w:noProof/>
        </w:rPr>
        <w:t xml:space="preserve">Bermann S. Análisis de algunos datos de estadística psiquiátrica. Acta Neuropsiquiátrica. 1959; 5: 150-160. </w:t>
      </w:r>
    </w:p>
    <w:p w:rsidR="004730CD" w:rsidRDefault="004730CD" w:rsidP="00E24624">
      <w:pPr>
        <w:jc w:val="both"/>
        <w:rPr>
          <w:noProof/>
        </w:rPr>
      </w:pPr>
      <w:r>
        <w:rPr>
          <w:noProof/>
        </w:rPr>
        <w:t>Galende E. Psicoanálisis y Salud Mental. Para una crítica de la razón psiquiátrica Argentina: Paidós; 1990.</w:t>
      </w:r>
    </w:p>
    <w:p w:rsidR="004730CD" w:rsidRDefault="004730CD" w:rsidP="00E24624">
      <w:pPr>
        <w:jc w:val="both"/>
        <w:rPr>
          <w:noProof/>
        </w:rPr>
      </w:pPr>
      <w:r>
        <w:rPr>
          <w:noProof/>
        </w:rPr>
        <w:lastRenderedPageBreak/>
        <w:t>Grimson WR. Sociedad de Locos. Experiencia y Violencia en un hospital psiquiátrico Buenos Aires: Nueva Visión; 1972.</w:t>
      </w:r>
    </w:p>
    <w:p w:rsidR="004730CD" w:rsidRDefault="004730CD" w:rsidP="00E24624">
      <w:pPr>
        <w:jc w:val="both"/>
        <w:rPr>
          <w:noProof/>
        </w:rPr>
      </w:pPr>
      <w:r>
        <w:rPr>
          <w:noProof/>
        </w:rPr>
        <w:t xml:space="preserve">Falcone R. Breve historia de las Instituciones psiquiátricas en Argentina. Del Hospital cerrado al Hospital abierto. [Online]. Disponible en: </w:t>
      </w:r>
      <w:hyperlink r:id="rId9" w:history="1">
        <w:r>
          <w:rPr>
            <w:rStyle w:val="Hipervnculo"/>
            <w:noProof/>
          </w:rPr>
          <w:t>http://23118.psi.uba.ar/academica/carrerasdegrado/psicologia/informacion_adicional/obligatorias/034_historia_2/Archivos/inv/Falcone_HistoriaInstit.pdf</w:t>
        </w:r>
      </w:hyperlink>
    </w:p>
    <w:p w:rsidR="004730CD" w:rsidRDefault="004730CD" w:rsidP="00E24624">
      <w:pPr>
        <w:jc w:val="both"/>
        <w:rPr>
          <w:noProof/>
        </w:rPr>
      </w:pPr>
      <w:r>
        <w:rPr>
          <w:noProof/>
        </w:rPr>
        <w:t>Pak Linares A. Fondo Hospital Neurosiquiátrico “José A Estéves”. Bs As: AGN Depto. Archivo Intermedio; s/f.</w:t>
      </w:r>
    </w:p>
    <w:p w:rsidR="004730CD" w:rsidRDefault="004730CD" w:rsidP="00E24624">
      <w:pPr>
        <w:jc w:val="both"/>
        <w:rPr>
          <w:noProof/>
        </w:rPr>
      </w:pPr>
      <w:r>
        <w:rPr>
          <w:noProof/>
        </w:rPr>
        <w:t>Sy A et al. Continuidades y cambios en la atención de personas con sufrimiento psíquico. Una aproximación a través del análisis de noventa años de Historias Clínicas (1897-1987). 2014. Ponencia en XI CAAS Rosario 2014.</w:t>
      </w:r>
    </w:p>
    <w:p w:rsidR="004730CD" w:rsidRPr="008F182D" w:rsidRDefault="004730CD" w:rsidP="00E24624">
      <w:pPr>
        <w:jc w:val="both"/>
        <w:rPr>
          <w:lang w:val="es-ES_tradnl"/>
        </w:rPr>
      </w:pPr>
      <w:r>
        <w:rPr>
          <w:noProof/>
        </w:rPr>
        <w:t>Stokiner A. Nuevos Enfoques en Salud Mental. Ponencia en 14 Congreso Latinoamericano de arquitectura e ingeniería hospitalaria. Bs As:; 20</w:t>
      </w:r>
      <w:r w:rsidRPr="008F182D">
        <w:rPr>
          <w:noProof/>
        </w:rPr>
        <w:t>03 Septiembre</w:t>
      </w:r>
    </w:p>
    <w:p w:rsidR="004730CD" w:rsidRDefault="004730CD" w:rsidP="00E24624">
      <w:pPr>
        <w:jc w:val="both"/>
        <w:rPr>
          <w:lang w:val="es-ES_tradnl"/>
        </w:rPr>
      </w:pPr>
      <w:r w:rsidRPr="008F182D">
        <w:rPr>
          <w:lang w:val="es-ES_tradnl"/>
        </w:rPr>
        <w:t>Departamento de enfermería</w:t>
      </w:r>
      <w:r w:rsidR="008F182D" w:rsidRPr="008F182D">
        <w:rPr>
          <w:lang w:val="es-ES_tradnl"/>
        </w:rPr>
        <w:t xml:space="preserve"> del </w:t>
      </w:r>
      <w:proofErr w:type="spellStart"/>
      <w:r w:rsidR="008F182D" w:rsidRPr="008F182D">
        <w:rPr>
          <w:lang w:val="es-ES_tradnl"/>
        </w:rPr>
        <w:t>Htal</w:t>
      </w:r>
      <w:proofErr w:type="spellEnd"/>
      <w:r w:rsidR="008F182D">
        <w:rPr>
          <w:lang w:val="es-ES_tradnl"/>
        </w:rPr>
        <w:t>.</w:t>
      </w:r>
      <w:r w:rsidR="008F182D" w:rsidRPr="008F182D">
        <w:rPr>
          <w:lang w:val="es-ES_tradnl"/>
        </w:rPr>
        <w:t xml:space="preserve"> Esteves. Reseña Histórica del Hospital Interzonal “José A </w:t>
      </w:r>
      <w:proofErr w:type="spellStart"/>
      <w:r w:rsidR="008F182D" w:rsidRPr="008F182D">
        <w:rPr>
          <w:lang w:val="es-ES_tradnl"/>
        </w:rPr>
        <w:t>Estéves</w:t>
      </w:r>
      <w:proofErr w:type="spellEnd"/>
      <w:r w:rsidR="008F182D" w:rsidRPr="008F182D">
        <w:rPr>
          <w:lang w:val="es-ES_tradnl"/>
        </w:rPr>
        <w:t>”;</w:t>
      </w:r>
      <w:r w:rsidRPr="008F182D">
        <w:rPr>
          <w:lang w:val="es-ES_tradnl"/>
        </w:rPr>
        <w:t xml:space="preserve"> 1998</w:t>
      </w:r>
    </w:p>
    <w:p w:rsidR="004730CD" w:rsidRDefault="004730CD" w:rsidP="00E24624">
      <w:pPr>
        <w:jc w:val="both"/>
        <w:rPr>
          <w:lang w:val="es-ES_tradnl"/>
        </w:rPr>
      </w:pPr>
      <w:proofErr w:type="spellStart"/>
      <w:r>
        <w:rPr>
          <w:lang w:val="es-ES_tradnl"/>
        </w:rPr>
        <w:t>Rapoport</w:t>
      </w:r>
      <w:proofErr w:type="spellEnd"/>
      <w:r>
        <w:rPr>
          <w:lang w:val="es-ES_tradnl"/>
        </w:rPr>
        <w:t xml:space="preserve"> M. Historia económica, política y social de la Argentina (1880-2000. Buenos Aires: Ediciones Macchi, 2000. </w:t>
      </w:r>
    </w:p>
    <w:p w:rsidR="00AE7D48" w:rsidRDefault="004730CD" w:rsidP="00AE7D48">
      <w:pPr>
        <w:jc w:val="both"/>
        <w:rPr>
          <w:lang w:val="es-ES_tradnl"/>
        </w:rPr>
      </w:pPr>
      <w:r>
        <w:rPr>
          <w:lang w:val="es-ES_tradnl"/>
        </w:rPr>
        <w:t xml:space="preserve">Revista Acta Neuropsiquiátrica. Editorial. En torno al problema de la asistencia psiquiátrica nacional. Vol. V; 1959. </w:t>
      </w:r>
    </w:p>
    <w:p w:rsidR="004730CD" w:rsidRPr="00276343" w:rsidRDefault="004730CD" w:rsidP="00AE7D48">
      <w:pPr>
        <w:jc w:val="both"/>
        <w:rPr>
          <w:b/>
          <w:bCs/>
          <w:lang w:val="es-ES_tradnl"/>
        </w:rPr>
      </w:pPr>
      <w:proofErr w:type="spellStart"/>
      <w:r w:rsidRPr="00276343">
        <w:rPr>
          <w:lang w:val="es-ES_tradnl"/>
        </w:rPr>
        <w:t>Slavov</w:t>
      </w:r>
      <w:proofErr w:type="spellEnd"/>
      <w:r w:rsidRPr="00276343">
        <w:rPr>
          <w:lang w:val="es-ES_tradnl"/>
        </w:rPr>
        <w:t xml:space="preserve"> </w:t>
      </w:r>
      <w:proofErr w:type="spellStart"/>
      <w:r w:rsidRPr="00276343">
        <w:rPr>
          <w:lang w:val="es-ES_tradnl"/>
        </w:rPr>
        <w:t>Zizek</w:t>
      </w:r>
      <w:proofErr w:type="spellEnd"/>
      <w:r w:rsidRPr="00276343">
        <w:rPr>
          <w:lang w:val="es-ES_tradnl"/>
        </w:rPr>
        <w:t>, La vida vivida como electroshock</w:t>
      </w:r>
      <w:r>
        <w:rPr>
          <w:lang w:val="es-ES_tradnl"/>
        </w:rPr>
        <w:t>, 2010. Disponible</w:t>
      </w:r>
      <w:r w:rsidRPr="00276343">
        <w:rPr>
          <w:lang w:val="es-ES_tradnl"/>
        </w:rPr>
        <w:t xml:space="preserve"> en </w:t>
      </w:r>
      <w:hyperlink r:id="rId10" w:history="1">
        <w:r w:rsidRPr="00393B2A">
          <w:rPr>
            <w:rStyle w:val="Hipervnculo"/>
            <w:lang w:val="es-ES_tradnl"/>
          </w:rPr>
          <w:t>http://edant.revistaenie.clarin.com/notas/2010/01/24/_-02123859.htm</w:t>
        </w:r>
      </w:hyperlink>
      <w:r w:rsidRPr="00276343">
        <w:rPr>
          <w:lang w:val="es-ES_tradnl"/>
        </w:rPr>
        <w:t xml:space="preserve"> </w:t>
      </w:r>
    </w:p>
    <w:p w:rsidR="004730CD" w:rsidRDefault="004730CD" w:rsidP="00E24624">
      <w:pPr>
        <w:jc w:val="both"/>
        <w:rPr>
          <w:lang w:val="es-ES_tradnl"/>
        </w:rPr>
      </w:pPr>
    </w:p>
    <w:p w:rsidR="008A41D2" w:rsidRDefault="008A41D2" w:rsidP="00E24624">
      <w:pPr>
        <w:jc w:val="both"/>
        <w:rPr>
          <w:lang w:val="es-ES_tradnl"/>
        </w:rPr>
      </w:pPr>
    </w:p>
    <w:sectPr w:rsidR="008A41D2" w:rsidSect="002645C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8C" w:rsidRDefault="0075368C" w:rsidP="00B0740A">
      <w:pPr>
        <w:spacing w:after="0" w:line="240" w:lineRule="auto"/>
      </w:pPr>
      <w:r>
        <w:separator/>
      </w:r>
    </w:p>
  </w:endnote>
  <w:endnote w:type="continuationSeparator" w:id="0">
    <w:p w:rsidR="0075368C" w:rsidRDefault="0075368C" w:rsidP="00B0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8C" w:rsidRDefault="0075368C" w:rsidP="00B0740A">
      <w:pPr>
        <w:spacing w:after="0" w:line="240" w:lineRule="auto"/>
      </w:pPr>
      <w:r>
        <w:separator/>
      </w:r>
    </w:p>
  </w:footnote>
  <w:footnote w:type="continuationSeparator" w:id="0">
    <w:p w:rsidR="0075368C" w:rsidRDefault="0075368C" w:rsidP="00B0740A">
      <w:pPr>
        <w:spacing w:after="0" w:line="240" w:lineRule="auto"/>
      </w:pPr>
      <w:r>
        <w:continuationSeparator/>
      </w:r>
    </w:p>
  </w:footnote>
  <w:footnote w:id="1">
    <w:p w:rsidR="004730CD" w:rsidRDefault="004730CD" w:rsidP="00697F7A">
      <w:pPr>
        <w:jc w:val="both"/>
      </w:pPr>
      <w:r w:rsidRPr="00697F7A">
        <w:rPr>
          <w:rStyle w:val="Refdenotaalpie"/>
          <w:sz w:val="18"/>
          <w:szCs w:val="18"/>
        </w:rPr>
        <w:footnoteRef/>
      </w:r>
      <w:r w:rsidRPr="00697F7A">
        <w:rPr>
          <w:sz w:val="18"/>
          <w:szCs w:val="18"/>
        </w:rPr>
        <w:t xml:space="preserve"> </w:t>
      </w:r>
      <w:r w:rsidRPr="00697F7A">
        <w:rPr>
          <w:sz w:val="18"/>
          <w:szCs w:val="18"/>
          <w:lang w:val="es-ES_tradnl"/>
        </w:rPr>
        <w:t xml:space="preserve">Agradezco al personal del Archivo General de la Nación, al equipo de la </w:t>
      </w:r>
      <w:proofErr w:type="spellStart"/>
      <w:r w:rsidRPr="00697F7A">
        <w:rPr>
          <w:sz w:val="18"/>
          <w:szCs w:val="18"/>
          <w:lang w:val="es-ES_tradnl"/>
        </w:rPr>
        <w:t>UNLa</w:t>
      </w:r>
      <w:proofErr w:type="spellEnd"/>
      <w:r w:rsidRPr="00697F7A">
        <w:rPr>
          <w:sz w:val="18"/>
          <w:szCs w:val="18"/>
          <w:lang w:val="es-ES_tradnl"/>
        </w:rPr>
        <w:t xml:space="preserve"> que conformo y a los muchos compañeras/os colegas y no colegas con los que pienso cotidianamente y se ofrecen generosamente como interlocutores y estimuladores del pensamiento. Son autores también. Los errores todos míos. A los trabajadores del centro piloto que me prestaron sus recuerdos y sus ojos. </w:t>
      </w:r>
    </w:p>
  </w:footnote>
  <w:footnote w:id="2">
    <w:p w:rsidR="006A0368" w:rsidRDefault="006A0368">
      <w:pPr>
        <w:pStyle w:val="Textonotapie"/>
      </w:pPr>
      <w:r>
        <w:rPr>
          <w:rStyle w:val="Refdenotaalpie"/>
        </w:rPr>
        <w:footnoteRef/>
      </w:r>
      <w:r>
        <w:rPr>
          <w:lang w:val="es-ES_tradnl"/>
        </w:rPr>
        <w:t>Universidad Nacional de Lanús (Instituto de Salud Colectiva)</w:t>
      </w:r>
    </w:p>
  </w:footnote>
  <w:footnote w:id="3">
    <w:p w:rsidR="004730CD" w:rsidRDefault="004730CD">
      <w:pPr>
        <w:pStyle w:val="Textonotapie"/>
      </w:pPr>
      <w:r>
        <w:rPr>
          <w:rStyle w:val="Refdenotaalpie"/>
        </w:rPr>
        <w:footnoteRef/>
      </w:r>
      <w:r>
        <w:t xml:space="preserve"> </w:t>
      </w:r>
      <w:r>
        <w:rPr>
          <w:lang w:val="es-ES_tradnl"/>
        </w:rPr>
        <w:t xml:space="preserve">Algunas, </w:t>
      </w:r>
      <w:proofErr w:type="gramStart"/>
      <w:r>
        <w:rPr>
          <w:lang w:val="es-ES_tradnl"/>
        </w:rPr>
        <w:t>las</w:t>
      </w:r>
      <w:proofErr w:type="gramEnd"/>
      <w:r>
        <w:rPr>
          <w:lang w:val="es-ES_tradnl"/>
        </w:rPr>
        <w:t xml:space="preserve"> menos, con algún breve período de meses de externación o fuga.</w:t>
      </w:r>
    </w:p>
  </w:footnote>
  <w:footnote w:id="4">
    <w:p w:rsidR="004C2210" w:rsidRDefault="004C2210">
      <w:pPr>
        <w:pStyle w:val="Textonotapie"/>
      </w:pPr>
      <w:r>
        <w:rPr>
          <w:rStyle w:val="Refdenotaalpie"/>
        </w:rPr>
        <w:footnoteRef/>
      </w:r>
      <w:r>
        <w:t xml:space="preserve"> En las historias clínicas suelen aparecer frases como “dada su cronicidad puede pasar a Lomas” (Lomas es el asilo de Lomas, actual </w:t>
      </w:r>
      <w:proofErr w:type="spellStart"/>
      <w:r>
        <w:t>Htal</w:t>
      </w:r>
      <w:proofErr w:type="spellEnd"/>
      <w:r>
        <w:t>. Esteves)</w:t>
      </w:r>
    </w:p>
  </w:footnote>
  <w:footnote w:id="5">
    <w:p w:rsidR="004730CD" w:rsidRDefault="004730CD">
      <w:pPr>
        <w:pStyle w:val="Textonotapie"/>
      </w:pPr>
      <w:r>
        <w:rPr>
          <w:rStyle w:val="Refdenotaalpie"/>
        </w:rPr>
        <w:footnoteRef/>
      </w:r>
      <w:r>
        <w:t xml:space="preserve"> </w:t>
      </w:r>
      <w:r>
        <w:rPr>
          <w:lang w:val="es-ES_tradnl"/>
        </w:rPr>
        <w:t>Excede este trabajo la pregunta por la traducción de las que no hablaban español y estuvieron varias décadas internadas.</w:t>
      </w:r>
    </w:p>
  </w:footnote>
  <w:footnote w:id="6">
    <w:p w:rsidR="004C2210" w:rsidRDefault="004C2210">
      <w:pPr>
        <w:pStyle w:val="Textonotapie"/>
      </w:pPr>
      <w:r>
        <w:rPr>
          <w:rStyle w:val="Refdenotaalpie"/>
        </w:rPr>
        <w:footnoteRef/>
      </w:r>
      <w:r>
        <w:t xml:space="preserve"> </w:t>
      </w:r>
      <w:r>
        <w:rPr>
          <w:lang w:val="es-ES_tradnl"/>
        </w:rPr>
        <w:t xml:space="preserve">1 </w:t>
      </w:r>
      <w:r w:rsidRPr="001E6295">
        <w:rPr>
          <w:lang w:val="es-ES_tradnl"/>
        </w:rPr>
        <w:t xml:space="preserve">planchadora, </w:t>
      </w:r>
      <w:r>
        <w:rPr>
          <w:lang w:val="es-ES_tradnl"/>
        </w:rPr>
        <w:t>1 t</w:t>
      </w:r>
      <w:r w:rsidRPr="001E6295">
        <w:rPr>
          <w:lang w:val="es-ES_tradnl"/>
        </w:rPr>
        <w:t xml:space="preserve">elefonista, </w:t>
      </w:r>
      <w:r>
        <w:rPr>
          <w:lang w:val="es-ES_tradnl"/>
        </w:rPr>
        <w:t xml:space="preserve">1 </w:t>
      </w:r>
      <w:r w:rsidRPr="001E6295">
        <w:rPr>
          <w:lang w:val="es-ES_tradnl"/>
        </w:rPr>
        <w:t xml:space="preserve">artista,  </w:t>
      </w:r>
      <w:r>
        <w:rPr>
          <w:lang w:val="es-ES_tradnl"/>
        </w:rPr>
        <w:t xml:space="preserve">1 </w:t>
      </w:r>
      <w:r w:rsidRPr="001E6295">
        <w:rPr>
          <w:lang w:val="es-ES_tradnl"/>
        </w:rPr>
        <w:t xml:space="preserve">profesora de piano, </w:t>
      </w:r>
      <w:r>
        <w:rPr>
          <w:lang w:val="es-ES_tradnl"/>
        </w:rPr>
        <w:t xml:space="preserve">1 </w:t>
      </w:r>
      <w:r w:rsidRPr="001E6295">
        <w:rPr>
          <w:lang w:val="es-ES_tradnl"/>
        </w:rPr>
        <w:t>profesora de cor</w:t>
      </w:r>
      <w:r>
        <w:rPr>
          <w:lang w:val="es-ES_tradnl"/>
        </w:rPr>
        <w:t>te y confección y 1 enfermera.</w:t>
      </w:r>
    </w:p>
  </w:footnote>
  <w:footnote w:id="7">
    <w:p w:rsidR="004730CD" w:rsidRDefault="004730CD">
      <w:pPr>
        <w:pStyle w:val="Textonotapie"/>
      </w:pPr>
      <w:r>
        <w:rPr>
          <w:rStyle w:val="Refdenotaalpie"/>
        </w:rPr>
        <w:footnoteRef/>
      </w:r>
      <w:r>
        <w:t xml:space="preserve"> </w:t>
      </w:r>
      <w:r w:rsidR="004C2210">
        <w:t xml:space="preserve">He visto la HC </w:t>
      </w:r>
      <w:r>
        <w:rPr>
          <w:lang w:val="es-ES_tradnl"/>
        </w:rPr>
        <w:t xml:space="preserve"> de una “pensionada”, una joven de familia acomodada, es interesante por la diferencial relación que tenía con el personal del hospital</w:t>
      </w:r>
    </w:p>
  </w:footnote>
  <w:footnote w:id="8">
    <w:p w:rsidR="006E7263" w:rsidRPr="006E7263" w:rsidRDefault="006E7263" w:rsidP="006E7263">
      <w:pPr>
        <w:spacing w:line="240" w:lineRule="auto"/>
        <w:jc w:val="both"/>
        <w:rPr>
          <w:noProof/>
          <w:sz w:val="20"/>
          <w:szCs w:val="20"/>
        </w:rPr>
      </w:pPr>
      <w:r w:rsidRPr="006E7263">
        <w:rPr>
          <w:rStyle w:val="Refdenotaalpie"/>
          <w:sz w:val="20"/>
          <w:szCs w:val="20"/>
        </w:rPr>
        <w:footnoteRef/>
      </w:r>
      <w:r w:rsidRPr="006E7263">
        <w:rPr>
          <w:sz w:val="20"/>
          <w:szCs w:val="20"/>
        </w:rPr>
        <w:t xml:space="preserve"> </w:t>
      </w:r>
      <w:r w:rsidRPr="006E7263">
        <w:rPr>
          <w:noProof/>
          <w:sz w:val="20"/>
          <w:szCs w:val="20"/>
        </w:rPr>
        <w:t>Grimson WR. Sociedad de Locos. Experiencia y Violencia en un hospital psiquiátrico Buenos Aires: Nueva Visión; 1972.</w:t>
      </w:r>
    </w:p>
    <w:p w:rsidR="006E7263" w:rsidRDefault="006E7263">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98"/>
    <w:rsid w:val="00015AAE"/>
    <w:rsid w:val="000450D8"/>
    <w:rsid w:val="00053901"/>
    <w:rsid w:val="00053C51"/>
    <w:rsid w:val="000B794E"/>
    <w:rsid w:val="000C4927"/>
    <w:rsid w:val="000E780E"/>
    <w:rsid w:val="001079EA"/>
    <w:rsid w:val="001160DF"/>
    <w:rsid w:val="00117A97"/>
    <w:rsid w:val="001205D9"/>
    <w:rsid w:val="00127B0A"/>
    <w:rsid w:val="00140DB4"/>
    <w:rsid w:val="00153204"/>
    <w:rsid w:val="00154B50"/>
    <w:rsid w:val="00160F2C"/>
    <w:rsid w:val="001770B4"/>
    <w:rsid w:val="00182417"/>
    <w:rsid w:val="0018384A"/>
    <w:rsid w:val="001C30EB"/>
    <w:rsid w:val="001C5F7E"/>
    <w:rsid w:val="001E6295"/>
    <w:rsid w:val="00200CB2"/>
    <w:rsid w:val="00204CCD"/>
    <w:rsid w:val="00231BEA"/>
    <w:rsid w:val="002517C9"/>
    <w:rsid w:val="00262A5E"/>
    <w:rsid w:val="002645C8"/>
    <w:rsid w:val="002670A1"/>
    <w:rsid w:val="00276343"/>
    <w:rsid w:val="00276A22"/>
    <w:rsid w:val="002A6426"/>
    <w:rsid w:val="002B4438"/>
    <w:rsid w:val="002C31DE"/>
    <w:rsid w:val="002C77C4"/>
    <w:rsid w:val="002E47CC"/>
    <w:rsid w:val="002F1836"/>
    <w:rsid w:val="00307AA4"/>
    <w:rsid w:val="003118D5"/>
    <w:rsid w:val="00335E3E"/>
    <w:rsid w:val="00353004"/>
    <w:rsid w:val="00355F1C"/>
    <w:rsid w:val="003838DD"/>
    <w:rsid w:val="00393B2A"/>
    <w:rsid w:val="003B3EE3"/>
    <w:rsid w:val="003B493B"/>
    <w:rsid w:val="003C7444"/>
    <w:rsid w:val="003C7A56"/>
    <w:rsid w:val="003D0194"/>
    <w:rsid w:val="003D4CBA"/>
    <w:rsid w:val="003E0F80"/>
    <w:rsid w:val="00415999"/>
    <w:rsid w:val="004210E9"/>
    <w:rsid w:val="00441A84"/>
    <w:rsid w:val="00472B6F"/>
    <w:rsid w:val="004730CD"/>
    <w:rsid w:val="004805DE"/>
    <w:rsid w:val="004C0395"/>
    <w:rsid w:val="004C2210"/>
    <w:rsid w:val="004C3FCE"/>
    <w:rsid w:val="004D02F2"/>
    <w:rsid w:val="004E2593"/>
    <w:rsid w:val="004F11F3"/>
    <w:rsid w:val="004F3499"/>
    <w:rsid w:val="004F761E"/>
    <w:rsid w:val="005013E5"/>
    <w:rsid w:val="005064A3"/>
    <w:rsid w:val="005155A4"/>
    <w:rsid w:val="00527BE9"/>
    <w:rsid w:val="00534FDA"/>
    <w:rsid w:val="005517F6"/>
    <w:rsid w:val="00557CA6"/>
    <w:rsid w:val="00587149"/>
    <w:rsid w:val="005A247B"/>
    <w:rsid w:val="005D051A"/>
    <w:rsid w:val="005D06DA"/>
    <w:rsid w:val="005D62BE"/>
    <w:rsid w:val="005E0D38"/>
    <w:rsid w:val="005E7E64"/>
    <w:rsid w:val="005F71D1"/>
    <w:rsid w:val="00601418"/>
    <w:rsid w:val="0061414E"/>
    <w:rsid w:val="0062691F"/>
    <w:rsid w:val="00665CAE"/>
    <w:rsid w:val="006702FB"/>
    <w:rsid w:val="00694E67"/>
    <w:rsid w:val="00697F7A"/>
    <w:rsid w:val="006A0368"/>
    <w:rsid w:val="006D6B59"/>
    <w:rsid w:val="006E7263"/>
    <w:rsid w:val="00723314"/>
    <w:rsid w:val="00726FA1"/>
    <w:rsid w:val="007300DD"/>
    <w:rsid w:val="0075368C"/>
    <w:rsid w:val="00761DAA"/>
    <w:rsid w:val="00797AA8"/>
    <w:rsid w:val="007A4E89"/>
    <w:rsid w:val="007B1095"/>
    <w:rsid w:val="007E7B9A"/>
    <w:rsid w:val="007F2AAC"/>
    <w:rsid w:val="008240AF"/>
    <w:rsid w:val="00832D48"/>
    <w:rsid w:val="00840826"/>
    <w:rsid w:val="00852153"/>
    <w:rsid w:val="008608AA"/>
    <w:rsid w:val="00867B98"/>
    <w:rsid w:val="00875B40"/>
    <w:rsid w:val="00884F42"/>
    <w:rsid w:val="00896CC1"/>
    <w:rsid w:val="008A41D2"/>
    <w:rsid w:val="008E4ACF"/>
    <w:rsid w:val="008F182D"/>
    <w:rsid w:val="00914F3B"/>
    <w:rsid w:val="00925AFC"/>
    <w:rsid w:val="00931375"/>
    <w:rsid w:val="0097449B"/>
    <w:rsid w:val="009A0F4B"/>
    <w:rsid w:val="009A4101"/>
    <w:rsid w:val="009B6741"/>
    <w:rsid w:val="009D115E"/>
    <w:rsid w:val="009F5903"/>
    <w:rsid w:val="009F74E5"/>
    <w:rsid w:val="00A04489"/>
    <w:rsid w:val="00A2653E"/>
    <w:rsid w:val="00A60176"/>
    <w:rsid w:val="00A76A6E"/>
    <w:rsid w:val="00A76D7A"/>
    <w:rsid w:val="00AB6BE5"/>
    <w:rsid w:val="00AC7460"/>
    <w:rsid w:val="00AE7D48"/>
    <w:rsid w:val="00B0740A"/>
    <w:rsid w:val="00B14B8A"/>
    <w:rsid w:val="00B15100"/>
    <w:rsid w:val="00B41578"/>
    <w:rsid w:val="00B53E21"/>
    <w:rsid w:val="00BC68AA"/>
    <w:rsid w:val="00BD2A88"/>
    <w:rsid w:val="00BD3956"/>
    <w:rsid w:val="00BE0459"/>
    <w:rsid w:val="00BF632C"/>
    <w:rsid w:val="00BF79A4"/>
    <w:rsid w:val="00C00370"/>
    <w:rsid w:val="00C00B87"/>
    <w:rsid w:val="00C01172"/>
    <w:rsid w:val="00C0145E"/>
    <w:rsid w:val="00C0588B"/>
    <w:rsid w:val="00C07B95"/>
    <w:rsid w:val="00C872E5"/>
    <w:rsid w:val="00CA4A50"/>
    <w:rsid w:val="00CA5C97"/>
    <w:rsid w:val="00CC324B"/>
    <w:rsid w:val="00CD4E53"/>
    <w:rsid w:val="00CD5289"/>
    <w:rsid w:val="00CE162F"/>
    <w:rsid w:val="00D11768"/>
    <w:rsid w:val="00D11B20"/>
    <w:rsid w:val="00D1494D"/>
    <w:rsid w:val="00D248A5"/>
    <w:rsid w:val="00D262AB"/>
    <w:rsid w:val="00D35DC9"/>
    <w:rsid w:val="00D36C41"/>
    <w:rsid w:val="00D5228C"/>
    <w:rsid w:val="00D6053A"/>
    <w:rsid w:val="00D60B18"/>
    <w:rsid w:val="00D8444F"/>
    <w:rsid w:val="00D8470B"/>
    <w:rsid w:val="00DB5FE7"/>
    <w:rsid w:val="00DE45BF"/>
    <w:rsid w:val="00DE6980"/>
    <w:rsid w:val="00E24624"/>
    <w:rsid w:val="00E342D6"/>
    <w:rsid w:val="00E5702B"/>
    <w:rsid w:val="00E70E9E"/>
    <w:rsid w:val="00E70F62"/>
    <w:rsid w:val="00E8058B"/>
    <w:rsid w:val="00E86146"/>
    <w:rsid w:val="00EB0115"/>
    <w:rsid w:val="00EF0CDE"/>
    <w:rsid w:val="00F22B0A"/>
    <w:rsid w:val="00F30045"/>
    <w:rsid w:val="00F40AAD"/>
    <w:rsid w:val="00F52092"/>
    <w:rsid w:val="00F77E67"/>
    <w:rsid w:val="00FC0321"/>
    <w:rsid w:val="00FD49F8"/>
    <w:rsid w:val="00FD53ED"/>
    <w:rsid w:val="00FE521F"/>
    <w:rsid w:val="00FF2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DA"/>
    <w:pPr>
      <w:spacing w:after="200" w:line="276" w:lineRule="auto"/>
    </w:pPr>
    <w:rPr>
      <w:rFonts w:cs="Calibri"/>
      <w:lang w:val="es-AR" w:eastAsia="es-AR"/>
    </w:rPr>
  </w:style>
  <w:style w:type="paragraph" w:styleId="Ttulo1">
    <w:name w:val="heading 1"/>
    <w:basedOn w:val="Normal"/>
    <w:next w:val="Normal"/>
    <w:link w:val="Ttulo1Car"/>
    <w:uiPriority w:val="99"/>
    <w:qFormat/>
    <w:rsid w:val="00276343"/>
    <w:pPr>
      <w:keepNext/>
      <w:keepLines/>
      <w:spacing w:before="480" w:after="0"/>
      <w:outlineLvl w:val="0"/>
    </w:pPr>
    <w:rPr>
      <w:rFonts w:ascii="Cambria" w:hAnsi="Cambria" w:cs="Cambria"/>
      <w:b/>
      <w:bCs/>
      <w:color w:val="365F91"/>
      <w:sz w:val="28"/>
      <w:szCs w:val="28"/>
      <w:lang w:eastAsia="en-US"/>
    </w:rPr>
  </w:style>
  <w:style w:type="paragraph" w:styleId="Ttulo2">
    <w:name w:val="heading 2"/>
    <w:basedOn w:val="Normal"/>
    <w:next w:val="Normal"/>
    <w:link w:val="Ttulo2Car"/>
    <w:uiPriority w:val="99"/>
    <w:qFormat/>
    <w:rsid w:val="00053C51"/>
    <w:pPr>
      <w:keepNext/>
      <w:keepLines/>
      <w:spacing w:before="200" w:after="0"/>
      <w:outlineLvl w:val="1"/>
    </w:pPr>
    <w:rPr>
      <w:rFonts w:ascii="Cambria" w:hAnsi="Cambria" w:cs="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6343"/>
    <w:rPr>
      <w:rFonts w:ascii="Cambria" w:hAnsi="Cambria" w:cs="Cambria"/>
      <w:b/>
      <w:bCs/>
      <w:color w:val="365F91"/>
      <w:sz w:val="28"/>
      <w:szCs w:val="28"/>
      <w:lang w:eastAsia="en-US"/>
    </w:rPr>
  </w:style>
  <w:style w:type="character" w:customStyle="1" w:styleId="Ttulo2Car">
    <w:name w:val="Título 2 Car"/>
    <w:basedOn w:val="Fuentedeprrafopredeter"/>
    <w:link w:val="Ttulo2"/>
    <w:uiPriority w:val="99"/>
    <w:locked/>
    <w:rsid w:val="00053C51"/>
    <w:rPr>
      <w:rFonts w:ascii="Cambria" w:hAnsi="Cambria" w:cs="Cambria"/>
      <w:b/>
      <w:bCs/>
      <w:color w:val="4F81BD"/>
      <w:sz w:val="26"/>
      <w:szCs w:val="26"/>
    </w:rPr>
  </w:style>
  <w:style w:type="paragraph" w:styleId="Textodeglobo">
    <w:name w:val="Balloon Text"/>
    <w:basedOn w:val="Normal"/>
    <w:link w:val="TextodegloboCar"/>
    <w:uiPriority w:val="99"/>
    <w:semiHidden/>
    <w:rsid w:val="00F2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22B0A"/>
    <w:rPr>
      <w:rFonts w:ascii="Tahoma" w:hAnsi="Tahoma" w:cs="Tahoma"/>
      <w:sz w:val="16"/>
      <w:szCs w:val="16"/>
    </w:rPr>
  </w:style>
  <w:style w:type="paragraph" w:styleId="Textonotapie">
    <w:name w:val="footnote text"/>
    <w:basedOn w:val="Normal"/>
    <w:link w:val="TextonotapieCar"/>
    <w:uiPriority w:val="99"/>
    <w:semiHidden/>
    <w:rsid w:val="00B0740A"/>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B0740A"/>
    <w:rPr>
      <w:sz w:val="20"/>
      <w:szCs w:val="20"/>
    </w:rPr>
  </w:style>
  <w:style w:type="character" w:styleId="Refdenotaalpie">
    <w:name w:val="footnote reference"/>
    <w:basedOn w:val="Fuentedeprrafopredeter"/>
    <w:uiPriority w:val="99"/>
    <w:semiHidden/>
    <w:rsid w:val="00B0740A"/>
    <w:rPr>
      <w:vertAlign w:val="superscript"/>
    </w:rPr>
  </w:style>
  <w:style w:type="character" w:styleId="Hipervnculo">
    <w:name w:val="Hyperlink"/>
    <w:basedOn w:val="Fuentedeprrafopredeter"/>
    <w:uiPriority w:val="99"/>
    <w:rsid w:val="005155A4"/>
    <w:rPr>
      <w:color w:val="0000FF"/>
      <w:u w:val="single"/>
    </w:rPr>
  </w:style>
  <w:style w:type="character" w:customStyle="1" w:styleId="apple-converted-space">
    <w:name w:val="apple-converted-space"/>
    <w:basedOn w:val="Fuentedeprrafopredeter"/>
    <w:uiPriority w:val="99"/>
    <w:rsid w:val="00127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DA"/>
    <w:pPr>
      <w:spacing w:after="200" w:line="276" w:lineRule="auto"/>
    </w:pPr>
    <w:rPr>
      <w:rFonts w:cs="Calibri"/>
      <w:lang w:val="es-AR" w:eastAsia="es-AR"/>
    </w:rPr>
  </w:style>
  <w:style w:type="paragraph" w:styleId="Ttulo1">
    <w:name w:val="heading 1"/>
    <w:basedOn w:val="Normal"/>
    <w:next w:val="Normal"/>
    <w:link w:val="Ttulo1Car"/>
    <w:uiPriority w:val="99"/>
    <w:qFormat/>
    <w:rsid w:val="00276343"/>
    <w:pPr>
      <w:keepNext/>
      <w:keepLines/>
      <w:spacing w:before="480" w:after="0"/>
      <w:outlineLvl w:val="0"/>
    </w:pPr>
    <w:rPr>
      <w:rFonts w:ascii="Cambria" w:hAnsi="Cambria" w:cs="Cambria"/>
      <w:b/>
      <w:bCs/>
      <w:color w:val="365F91"/>
      <w:sz w:val="28"/>
      <w:szCs w:val="28"/>
      <w:lang w:eastAsia="en-US"/>
    </w:rPr>
  </w:style>
  <w:style w:type="paragraph" w:styleId="Ttulo2">
    <w:name w:val="heading 2"/>
    <w:basedOn w:val="Normal"/>
    <w:next w:val="Normal"/>
    <w:link w:val="Ttulo2Car"/>
    <w:uiPriority w:val="99"/>
    <w:qFormat/>
    <w:rsid w:val="00053C51"/>
    <w:pPr>
      <w:keepNext/>
      <w:keepLines/>
      <w:spacing w:before="200" w:after="0"/>
      <w:outlineLvl w:val="1"/>
    </w:pPr>
    <w:rPr>
      <w:rFonts w:ascii="Cambria" w:hAnsi="Cambria" w:cs="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6343"/>
    <w:rPr>
      <w:rFonts w:ascii="Cambria" w:hAnsi="Cambria" w:cs="Cambria"/>
      <w:b/>
      <w:bCs/>
      <w:color w:val="365F91"/>
      <w:sz w:val="28"/>
      <w:szCs w:val="28"/>
      <w:lang w:eastAsia="en-US"/>
    </w:rPr>
  </w:style>
  <w:style w:type="character" w:customStyle="1" w:styleId="Ttulo2Car">
    <w:name w:val="Título 2 Car"/>
    <w:basedOn w:val="Fuentedeprrafopredeter"/>
    <w:link w:val="Ttulo2"/>
    <w:uiPriority w:val="99"/>
    <w:locked/>
    <w:rsid w:val="00053C51"/>
    <w:rPr>
      <w:rFonts w:ascii="Cambria" w:hAnsi="Cambria" w:cs="Cambria"/>
      <w:b/>
      <w:bCs/>
      <w:color w:val="4F81BD"/>
      <w:sz w:val="26"/>
      <w:szCs w:val="26"/>
    </w:rPr>
  </w:style>
  <w:style w:type="paragraph" w:styleId="Textodeglobo">
    <w:name w:val="Balloon Text"/>
    <w:basedOn w:val="Normal"/>
    <w:link w:val="TextodegloboCar"/>
    <w:uiPriority w:val="99"/>
    <w:semiHidden/>
    <w:rsid w:val="00F2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22B0A"/>
    <w:rPr>
      <w:rFonts w:ascii="Tahoma" w:hAnsi="Tahoma" w:cs="Tahoma"/>
      <w:sz w:val="16"/>
      <w:szCs w:val="16"/>
    </w:rPr>
  </w:style>
  <w:style w:type="paragraph" w:styleId="Textonotapie">
    <w:name w:val="footnote text"/>
    <w:basedOn w:val="Normal"/>
    <w:link w:val="TextonotapieCar"/>
    <w:uiPriority w:val="99"/>
    <w:semiHidden/>
    <w:rsid w:val="00B0740A"/>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B0740A"/>
    <w:rPr>
      <w:sz w:val="20"/>
      <w:szCs w:val="20"/>
    </w:rPr>
  </w:style>
  <w:style w:type="character" w:styleId="Refdenotaalpie">
    <w:name w:val="footnote reference"/>
    <w:basedOn w:val="Fuentedeprrafopredeter"/>
    <w:uiPriority w:val="99"/>
    <w:semiHidden/>
    <w:rsid w:val="00B0740A"/>
    <w:rPr>
      <w:vertAlign w:val="superscript"/>
    </w:rPr>
  </w:style>
  <w:style w:type="character" w:styleId="Hipervnculo">
    <w:name w:val="Hyperlink"/>
    <w:basedOn w:val="Fuentedeprrafopredeter"/>
    <w:uiPriority w:val="99"/>
    <w:rsid w:val="005155A4"/>
    <w:rPr>
      <w:color w:val="0000FF"/>
      <w:u w:val="single"/>
    </w:rPr>
  </w:style>
  <w:style w:type="character" w:customStyle="1" w:styleId="apple-converted-space">
    <w:name w:val="apple-converted-space"/>
    <w:basedOn w:val="Fuentedeprrafopredeter"/>
    <w:uiPriority w:val="99"/>
    <w:rsid w:val="0012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dant.revistaenie.clarin.com/notas/2010/01/24/_-02123859.htm" TargetMode="External"/><Relationship Id="rId4" Type="http://schemas.openxmlformats.org/officeDocument/2006/relationships/settings" Target="settings.xml"/><Relationship Id="rId9" Type="http://schemas.openxmlformats.org/officeDocument/2006/relationships/hyperlink" Target="http://23118.psi.uba.ar/academica/carrerasdegrado/psicologia/informacion_adicional/obligatorias/034_historia_2/Archivos/inv/Falcone_HistoriaInst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8077-0D0B-4110-AF53-B0D2ABD6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2644</Words>
  <Characters>14544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Muerte y manicomio 1959</vt:lpstr>
    </vt:vector>
  </TitlesOfParts>
  <Company>Microsoft Corp.</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Muerte y manicomio 1959</dc:title>
  <dc:creator>Jose</dc:creator>
  <cp:lastModifiedBy>Carli</cp:lastModifiedBy>
  <cp:revision>4</cp:revision>
  <dcterms:created xsi:type="dcterms:W3CDTF">2016-03-06T15:02:00Z</dcterms:created>
  <dcterms:modified xsi:type="dcterms:W3CDTF">2017-03-24T16:35:00Z</dcterms:modified>
</cp:coreProperties>
</file>