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Ser docente en sexto año de la escuela secundaria: el desafío de acompañar los procesos de egreso estudiantiles en contexto de pandemia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Eje: </w:t>
      </w:r>
      <w:r w:rsidDel="00000000" w:rsidR="00000000" w:rsidRPr="00000000">
        <w:rPr>
          <w:sz w:val="24"/>
          <w:szCs w:val="24"/>
          <w:rtl w:val="0"/>
        </w:rPr>
        <w:t xml:space="preserve">Las prácticas de enseñanza, la pandemia y la educación no presencial: ternura y cuidado en los encuentros y los desencuentros escolares.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Dutari, Mercedes; Echaves, Berenice; Riglos, Paula; Tiede, Cecilia.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Nacional del Sur.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ceciliamendozatiede@gmail.com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ab/>
        <w:t xml:space="preserve">En el siguiente trabajo, retomaremos una investigación llevada a cabo durante el año 2020, en la asignatura Taller III: Instituciones y Sujetos en los  Niveles Secundario y Superior perteneciente a la Licenciatura en Ciencias de la Educación de la Universidad Nacional del Sur.  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En dicha exploración nos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propusimos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onocer los </w:t>
      </w:r>
      <w:r w:rsidDel="00000000" w:rsidR="00000000" w:rsidRPr="00000000">
        <w:rPr>
          <w:sz w:val="24"/>
          <w:szCs w:val="24"/>
          <w:rtl w:val="0"/>
        </w:rPr>
        <w:t xml:space="preserve">dispositivos </w:t>
      </w:r>
      <w:r w:rsidDel="00000000" w:rsidR="00000000" w:rsidRPr="00000000">
        <w:rPr>
          <w:sz w:val="24"/>
          <w:szCs w:val="24"/>
          <w:rtl w:val="0"/>
        </w:rPr>
        <w:t xml:space="preserve">socio-pedagógicos de acompañamiento al proceso de </w:t>
      </w:r>
      <w:r w:rsidDel="00000000" w:rsidR="00000000" w:rsidRPr="00000000">
        <w:rPr>
          <w:sz w:val="24"/>
          <w:szCs w:val="24"/>
          <w:rtl w:val="0"/>
        </w:rPr>
        <w:t xml:space="preserve">egreso </w:t>
      </w:r>
      <w:r w:rsidDel="00000000" w:rsidR="00000000" w:rsidRPr="00000000">
        <w:rPr>
          <w:sz w:val="24"/>
          <w:szCs w:val="24"/>
          <w:rtl w:val="0"/>
        </w:rPr>
        <w:t xml:space="preserve">de lxs estudiantes que concurren a escuelas secundarias comunes estatales de Bahía Blanca propuestos por los equipos docentes en tiempos de pandemia.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El alcance de esta investigación fue exploratorio-descriptivo. Se optó por un diseño de investigación no experimental, transversal, y el instrumento </w:t>
      </w:r>
      <w:r w:rsidDel="00000000" w:rsidR="00000000" w:rsidRPr="00000000">
        <w:rPr>
          <w:sz w:val="24"/>
          <w:szCs w:val="24"/>
          <w:rtl w:val="0"/>
        </w:rPr>
        <w:t xml:space="preserve">utilizado para la relevación de la información fue a partir de una encuesta online realizada por una muestra probabilística, conformada por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5 docentes del último año de escuelas secundarias de gestión pública de Bahía Blanca, durante el mes de noviembre del 2020. </w:t>
      </w:r>
      <w:r w:rsidDel="00000000" w:rsidR="00000000" w:rsidRPr="00000000">
        <w:rPr>
          <w:sz w:val="24"/>
          <w:szCs w:val="24"/>
          <w:rtl w:val="0"/>
        </w:rPr>
        <w:t xml:space="preserve">Entre los resultados más relevantes, identificamos, por un lado, que la propuesta de articulación más desarrollada con las instituciones de estudios superiores es la muestra de carreras y la visita a estas; por el otro, la heterogeneidad de respuestas que realizaron lxs docentes con respecto a las formas más apropiadas para ayudar a lxs estudiantes en su transición de la escuela secundaria a los estudios superiores y/o el mundo laboral rondan en torno a construir espacios de reflexión, escucha y el acercamiento de 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sz w:val="24"/>
          <w:szCs w:val="24"/>
          <w:shd w:fill="ff9900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Estos resultados demuestran que, a pesar de la variedad de dispositivos de acompañamiento, las instituciones se limitan a ofrecer información, dejando de lado la construcción de espacios de escucha y reflexión. En este sentido, concluimos también en la falta de políticas educativas o programas socio-educativos abocados a la articulación de la escuela secundaria con los estudios superiores y el mundo del trabajo que brindan herramientas concretas a las instituciones y docentes para abordar esta problemática de una forma transversal y situada.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vida en un sistema capitalista ha provocado grandes cambios en nuestras formas de habitar y comprender el mundo, dejando de lado las proyecciones a largo plazo y la estabilidad, para atender lo inmediato y adaptarnos a los cambios. </w:t>
      </w:r>
      <w:r w:rsidDel="00000000" w:rsidR="00000000" w:rsidRPr="00000000">
        <w:rPr>
          <w:sz w:val="24"/>
          <w:szCs w:val="24"/>
          <w:rtl w:val="0"/>
        </w:rPr>
        <w:t xml:space="preserve"> Frente a este contexto, emerge,</w:t>
      </w:r>
      <w:r w:rsidDel="00000000" w:rsidR="00000000" w:rsidRPr="00000000">
        <w:rPr>
          <w:sz w:val="24"/>
          <w:szCs w:val="24"/>
          <w:rtl w:val="0"/>
        </w:rPr>
        <w:t xml:space="preserve"> en lxs jóvenes y en sus expectativas post-secundarias, la sensación de estar a la deriva, de que ya nada está asegurado. Es así que consideramos fundamental reflexionar acerca de la pedagogía de la ternura y del cuidado en estos tiempos de transformación en que se ven afectadas las relaciones, las aspiraciones, </w:t>
      </w:r>
      <w:r w:rsidDel="00000000" w:rsidR="00000000" w:rsidRPr="00000000">
        <w:rPr>
          <w:sz w:val="24"/>
          <w:szCs w:val="24"/>
          <w:rtl w:val="0"/>
        </w:rPr>
        <w:t xml:space="preserve">la salud mental</w:t>
      </w:r>
      <w:r w:rsidDel="00000000" w:rsidR="00000000" w:rsidRPr="00000000">
        <w:rPr>
          <w:sz w:val="24"/>
          <w:szCs w:val="24"/>
          <w:rtl w:val="0"/>
        </w:rPr>
        <w:t xml:space="preserve"> y, de esta forma, revisar los dispositivos de acompañamiento a las trayectorias de estxs jóvenes que se encuentran en proceso de egreso de la escuela secundaria al mundo laboral y/o de estudios superiores.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Palabras clave: </w:t>
      </w:r>
      <w:r w:rsidDel="00000000" w:rsidR="00000000" w:rsidRPr="00000000">
        <w:rPr>
          <w:sz w:val="24"/>
          <w:szCs w:val="24"/>
          <w:rtl w:val="0"/>
        </w:rPr>
        <w:t xml:space="preserve">dispositivos socio-pedagógicos - escuelas secundarias - procesos de egreso - pandemia - pedagogía del cuidado.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eciliamendozatie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