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tabs>
          <w:tab w:val="left" w:pos="1425"/>
        </w:tabs>
        <w:spacing w:after="0" w:line="360" w:lineRule="auto"/>
        <w:ind w:left="284" w:firstLine="0"/>
        <w:jc w:val="cente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Demandas y desafíos en las prácticas de enseñanza a partir de la crisis del COVID 19.  El caso de la Universidad Nacional de San Isidro</w:t>
      </w:r>
    </w:p>
    <w:p w:rsidR="00000000" w:rsidDel="00000000" w:rsidP="00000000" w:rsidRDefault="00000000" w:rsidRPr="00000000" w14:paraId="00000002">
      <w:pPr>
        <w:shd w:fill="ffffff" w:val="clear"/>
        <w:tabs>
          <w:tab w:val="left" w:pos="1425"/>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Tornese Damián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Universidad Nacional Raúl Scalabrini Ortíz</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dtornese@unsanisidro.edu.ar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240" w:lineRule="auto"/>
        <w:ind w:left="0" w:right="0" w:firstLine="0"/>
        <w:jc w:val="left"/>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Viñas Walter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Universidad Nacional Raúl Scalabrini Ortíz</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wvinias@unsanisidro.edu.ar</w:t>
      </w:r>
    </w:p>
    <w:p w:rsidR="00000000" w:rsidDel="00000000" w:rsidP="00000000" w:rsidRDefault="00000000" w:rsidRPr="00000000" w14:paraId="0000000A">
      <w:pPr>
        <w:shd w:fill="ffffff" w:val="clear"/>
        <w:tabs>
          <w:tab w:val="left" w:pos="1425"/>
        </w:tabs>
        <w:spacing w:after="0" w:line="24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Tapia María Rosa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Universidad Nacional Raúl Scalabrini Ortíz</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mtapiasasot@unsanisidro.edu.ar</w:t>
      </w:r>
    </w:p>
    <w:p w:rsidR="00000000" w:rsidDel="00000000" w:rsidP="00000000" w:rsidRDefault="00000000" w:rsidRPr="00000000" w14:paraId="0000000E">
      <w:pPr>
        <w:shd w:fill="ffffff" w:val="clear"/>
        <w:tabs>
          <w:tab w:val="left" w:pos="1425"/>
        </w:tabs>
        <w:spacing w:after="0" w:line="24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Menichetti Natalia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Universidad Nacional Raúl Scalabrini Ortíz</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nmenichetti@unsanisidro.edu.ar</w:t>
      </w:r>
    </w:p>
    <w:p w:rsidR="00000000" w:rsidDel="00000000" w:rsidP="00000000" w:rsidRDefault="00000000" w:rsidRPr="00000000" w14:paraId="00000012">
      <w:pPr>
        <w:shd w:fill="ffffff" w:val="clear"/>
        <w:tabs>
          <w:tab w:val="left" w:pos="1425"/>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hd w:fill="ffffff" w:val="clear"/>
        <w:tabs>
          <w:tab w:val="left" w:pos="1425"/>
          <w:tab w:val="left" w:pos="3180"/>
        </w:tabs>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Resumen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Este trabajo presentará avances de los resultados de un proyecto de investigación orientado a caracterizar y analizar las propuestas de enseñanza llevadas a cabo a partir de la crisis del COVID 19 en una institución de nivel superior del AMBA Norte: la Universidad Nacional de San Isidro “Raúl Scalabrini Ortiz”.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Si bien el tema de las prácticas de enseñanza en una institución universitaria forma parte de la agenda clásica de la Didáctica de Nivel Superior, el contexto de la crisis del COVID 19, con sus fuertes condicionamientos sociopolíticos, sanitarios e incluso geográficos, le otorgaron a la problemática un carácter inédito.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Uno de los aspectos que se subraya en la bibliografía es el carácter provisorio de las decisiones pedagógico-didácticas que se fueron tomando en tal coyuntura, y aparece con fuerza la noción de enseñanza remota de emergencia, que no responde a una política establecida de antemano sino que surge como respuesta necesaria frente al contexto.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Estas características coyunturales se entrecruzan con problemas de investigación que sí han sido largamente tematizados por la Didáctica General y por la Didáctica del Nivel Superior: el estudio de las estrategias de enseñanza, las estrategias propias para el nivel superior, posibilidades y limitaciones en el campo de la educación a distancia y la formación pedagógico-didáctica de los profesores universitarios.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En el proyecto, se tomaron como casos cuatro cátedras correspondientes a dos unidades académicas distintas: el Departamento de Humanidades y Ciencias Sociales y el Departamento de Ciencias de la Salud; se entrevistó a actores relevantes (docentes, autoridades y referentes tecnológicos) y se realizó un análisis de la propuesta pedagógico-didáctica que cada cátedra diseñó en el campus virtual de la Universidad.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Esto ha permitido indagar qué tipo de prácticas de enseñanza se llevaron a cabo durante la crisis sanitaria del COVID 19, qué aciertos y qué dificultades se encontraron en el camino, y qué propuestas se pensaron para el período de postpandemia.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Educación Superior; Didáctica Universitaria; Enseñanza; Pandemia; Postpandemia</w:t>
      </w:r>
    </w:p>
    <w:p w:rsidR="00000000" w:rsidDel="00000000" w:rsidP="00000000" w:rsidRDefault="00000000" w:rsidRPr="00000000" w14:paraId="0000001C">
      <w:pPr>
        <w:shd w:fill="ffffff" w:val="clear"/>
        <w:tabs>
          <w:tab w:val="left" w:pos="1425"/>
        </w:tabs>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problema de investigación</w:t>
      </w:r>
    </w:p>
    <w:p w:rsidR="00000000" w:rsidDel="00000000" w:rsidP="00000000" w:rsidRDefault="00000000" w:rsidRPr="00000000" w14:paraId="0000001F">
      <w:pPr>
        <w:shd w:fill="ffffff" w:val="clear"/>
        <w:tabs>
          <w:tab w:val="left" w:pos="1425"/>
        </w:tabs>
        <w:spacing w:after="0" w:line="360" w:lineRule="auto"/>
        <w:jc w:val="both"/>
        <w:rPr>
          <w:rFonts w:ascii="Arial" w:cs="Arial" w:eastAsia="Arial" w:hAnsi="Arial"/>
        </w:rPr>
      </w:pPr>
      <w:r w:rsidDel="00000000" w:rsidR="00000000" w:rsidRPr="00000000">
        <w:rPr>
          <w:rFonts w:ascii="Arial" w:cs="Arial" w:eastAsia="Arial" w:hAnsi="Arial"/>
          <w:rtl w:val="0"/>
        </w:rPr>
        <w:tab/>
        <w:t xml:space="preserve">La investigación se propuso como objetivo describir y analizar las características de las propuestas de enseñanza remota desarrolladas en contexto de pandemia en la Universidad Nacional Raúl Scalabrini Ortiz, de San Isidro, provincia de Buenos Aires. </w:t>
      </w:r>
    </w:p>
    <w:p w:rsidR="00000000" w:rsidDel="00000000" w:rsidP="00000000" w:rsidRDefault="00000000" w:rsidRPr="00000000" w14:paraId="00000020">
      <w:pPr>
        <w:shd w:fill="ffffff" w:val="clear"/>
        <w:tabs>
          <w:tab w:val="left" w:pos="1425"/>
        </w:tabs>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Antecedentes y estado de la cuestión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ab/>
        <w:t xml:space="preserve">El tema de las prácticas de enseñanza en instituciones universitarias forma parte de la agenda clásica de la Didáctica de Nivel Superior, y reconoce innumerables aportes como el estudio de las estrategias de enseñanza (Anijovich y Mora, 2014; Davini, 2009; Eggen y Kauchak, 2001; Joyce y Weil, 2002) y las estrategias propias para el nivel superior (Bain, 2007; Finkelstein, 2007 y 2009; Maggio, 2018; Roig Vila, 2019; Steiman, 2008); posibilidades y limitaciones en el campo de la educación a distancia (Burbules, 2012; Lion, Mansur y Lombardo, 2015; Yen, Lo, Lee y Enriquez, 2018) y la formación pedagógico-didáctica de los profesores universitarios (Lucarelli, 2004; Soares y Da Cunha 2010). No obstante, el contexto de la crisis del COVID 19, con sus fuertes condicionamientos sociopolíticos, sanitarios e incluso geográficos, le otorgan a la problemática un carácter inédito.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ab/>
        <w:t xml:space="preserve">Uno de los aspectos que se subraya en la bibliografía es el carácter provisorio de las decisiones pedagógico-didácticas que se fueron tomando, y aparece con fuerza la noción de enseñanza remota de emergencia, que no responde a una política establecida de antemano sino que surge como respuesta necesaria frente al contexto (Fernández y Panico, 2020). La denominación de “no presencialidad”, en lugar de “educación a distancia”, pone de relieve lo imprevisto (e incluso no deseado) de la situación. </w:t>
      </w:r>
      <w:r w:rsidDel="00000000" w:rsidR="00000000" w:rsidRPr="00000000">
        <w:rPr>
          <w:rtl w:val="0"/>
        </w:rPr>
      </w:r>
    </w:p>
    <w:p w:rsidR="00000000" w:rsidDel="00000000" w:rsidP="00000000" w:rsidRDefault="00000000" w:rsidRPr="00000000" w14:paraId="00000024">
      <w:pPr>
        <w:shd w:fill="ffffff" w:val="clear"/>
        <w:tabs>
          <w:tab w:val="left" w:pos="1425"/>
        </w:tabs>
        <w:spacing w:after="0" w:line="360" w:lineRule="auto"/>
        <w:jc w:val="both"/>
        <w:rPr>
          <w:rFonts w:ascii="Arial" w:cs="Arial" w:eastAsia="Arial" w:hAnsi="Arial"/>
        </w:rPr>
      </w:pPr>
      <w:r w:rsidDel="00000000" w:rsidR="00000000" w:rsidRPr="00000000">
        <w:rPr>
          <w:rFonts w:ascii="Arial" w:cs="Arial" w:eastAsia="Arial" w:hAnsi="Arial"/>
          <w:rtl w:val="0"/>
        </w:rPr>
        <w:tab/>
        <w:t xml:space="preserve">El otro aspecto que sobresale refiere a los interrogantes sobre el tipo de contenidos que pueden adaptarse mejor a la modalidad de enseñanza remota de emergencia. La enseñanza de contenidos disciplinares y teóricos aparece como la alternativa que menos dificultades presenta a priori, mientras que la formación en habilidades prácticas, y la formación en la práctica profesional en sí, se constituye como el mayor desafío (Finkelstein, 2020).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sz w:val="24"/>
          <w:szCs w:val="24"/>
        </w:rPr>
      </w:pPr>
      <w:r w:rsidDel="00000000" w:rsidR="00000000" w:rsidRPr="00000000">
        <w:rPr>
          <w:rFonts w:ascii="Arial" w:cs="Arial" w:eastAsia="Arial" w:hAnsi="Arial"/>
          <w:rtl w:val="0"/>
        </w:rPr>
        <w:tab/>
        <w:t xml:space="preserve">Con todo, es importante insistir en que estas características coyunturales se entrecruzan con problemas de investigación que sí han sido largamente tematizados por la Didáctica General y por la Didáctica del Nivel Superior, tal como fue expresado al inicio de este apartado.</w:t>
      </w:r>
      <w:r w:rsidDel="00000000" w:rsidR="00000000" w:rsidRPr="00000000">
        <w:rPr>
          <w:rtl w:val="0"/>
        </w:rPr>
      </w:r>
    </w:p>
    <w:p w:rsidR="00000000" w:rsidDel="00000000" w:rsidP="00000000" w:rsidRDefault="00000000" w:rsidRPr="00000000" w14:paraId="00000026">
      <w:pPr>
        <w:shd w:fill="ffffff" w:val="clear"/>
        <w:tabs>
          <w:tab w:val="left" w:pos="1425"/>
        </w:tabs>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shd w:fill="ffffff" w:val="clear"/>
        <w:tabs>
          <w:tab w:val="left" w:pos="1425"/>
        </w:tabs>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Metodología</w:t>
      </w:r>
    </w:p>
    <w:p w:rsidR="00000000" w:rsidDel="00000000" w:rsidP="00000000" w:rsidRDefault="00000000" w:rsidRPr="00000000" w14:paraId="00000028">
      <w:pPr>
        <w:shd w:fill="ffffff" w:val="clear"/>
        <w:tabs>
          <w:tab w:val="left" w:pos="1425"/>
        </w:tabs>
        <w:spacing w:after="0" w:line="360" w:lineRule="auto"/>
        <w:jc w:val="both"/>
        <w:rPr>
          <w:rFonts w:ascii="Arial" w:cs="Arial" w:eastAsia="Arial" w:hAnsi="Arial"/>
        </w:rPr>
      </w:pPr>
      <w:r w:rsidDel="00000000" w:rsidR="00000000" w:rsidRPr="00000000">
        <w:rPr>
          <w:rFonts w:ascii="Arial" w:cs="Arial" w:eastAsia="Arial" w:hAnsi="Arial"/>
          <w:rtl w:val="0"/>
        </w:rPr>
        <w:tab/>
        <w:t xml:space="preserve">El proyecto adoptó una metodología cualitativa, para el desarrollo de un estudio exploratorio, descriptivo, e interpretativo acerca de las acciones de enseñanza implementadas por docentes de la Universidad Nacional Rául Scalabrini Ortiz en el contexto de pandemia y postpandemia.</w:t>
      </w:r>
    </w:p>
    <w:p w:rsidR="00000000" w:rsidDel="00000000" w:rsidP="00000000" w:rsidRDefault="00000000" w:rsidRPr="00000000" w14:paraId="00000029">
      <w:pPr>
        <w:shd w:fill="ffffff" w:val="clear"/>
        <w:tabs>
          <w:tab w:val="left" w:pos="1425"/>
        </w:tabs>
        <w:spacing w:after="0" w:line="360" w:lineRule="auto"/>
        <w:jc w:val="both"/>
        <w:rPr>
          <w:rFonts w:ascii="Arial" w:cs="Arial" w:eastAsia="Arial" w:hAnsi="Arial"/>
        </w:rPr>
      </w:pPr>
      <w:r w:rsidDel="00000000" w:rsidR="00000000" w:rsidRPr="00000000">
        <w:rPr>
          <w:rFonts w:ascii="Arial" w:cs="Arial" w:eastAsia="Arial" w:hAnsi="Arial"/>
          <w:rtl w:val="0"/>
        </w:rPr>
        <w:tab/>
        <w:t xml:space="preserve">En coherencia con los objetivos de la investigación y del tiempo y los alcances del proyecto, se focalizó el problema en cuatro casos (asignaturas/cátedras) de distintas carreras correspondientes a dos Departamentos de la Universidad: Humanidades y Ciencias Sociales, y Ciencias de la Salud. Para la elección de los casos se consideró que el equipo de cátedra, o parte del mismo, haya dictado la asignatura en 2019, en 2020, y tengan previsto dictarla en 2021; y que la materia haya tenido una cantidad numerosa de estudiantes.</w:t>
      </w:r>
    </w:p>
    <w:p w:rsidR="00000000" w:rsidDel="00000000" w:rsidP="00000000" w:rsidRDefault="00000000" w:rsidRPr="00000000" w14:paraId="0000002A">
      <w:pPr>
        <w:shd w:fill="ffffff" w:val="clear"/>
        <w:tabs>
          <w:tab w:val="left" w:pos="1425"/>
        </w:tabs>
        <w:spacing w:after="0" w:line="360" w:lineRule="auto"/>
        <w:jc w:val="both"/>
        <w:rPr>
          <w:rFonts w:ascii="Arial" w:cs="Arial" w:eastAsia="Arial" w:hAnsi="Arial"/>
        </w:rPr>
      </w:pPr>
      <w:r w:rsidDel="00000000" w:rsidR="00000000" w:rsidRPr="00000000">
        <w:rPr>
          <w:rFonts w:ascii="Arial" w:cs="Arial" w:eastAsia="Arial" w:hAnsi="Arial"/>
          <w:rtl w:val="0"/>
        </w:rPr>
        <w:tab/>
        <w:t xml:space="preserve">Para caracterizar las propuestas de enseñanza desde la perspectiva de autoridades y docentes, se realizaron entrevistas en profundidad a la Directora de cada Departamento, a dos profesores/as titulares de cada Departamento, y a un auxiliar docente del equipo de cada titular entrevistado/a. Para recoger información acerca de los recursos utilizados y las tareas de aprendizaje que se propusieron durante 2020, se accedió al aula virtual de cada materia seleccionada, y se analizaron las mismas. Para el tratamiento y análisis de la información recabada en el campo se organizaron los datos en matrices con categorías de análisis y fragmentos que ilustran las categorías definidas. </w:t>
      </w:r>
    </w:p>
    <w:p w:rsidR="00000000" w:rsidDel="00000000" w:rsidP="00000000" w:rsidRDefault="00000000" w:rsidRPr="00000000" w14:paraId="0000002B">
      <w:pPr>
        <w:shd w:fill="ffffff" w:val="clear"/>
        <w:tabs>
          <w:tab w:val="left" w:pos="1425"/>
        </w:tabs>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C">
      <w:pPr>
        <w:shd w:fill="ffffff" w:val="clear"/>
        <w:tabs>
          <w:tab w:val="left" w:pos="1425"/>
        </w:tabs>
        <w:spacing w:after="0" w:line="360" w:lineRule="auto"/>
        <w:jc w:val="both"/>
        <w:rPr>
          <w:rFonts w:ascii="Arial" w:cs="Arial" w:eastAsia="Arial" w:hAnsi="Arial"/>
          <w:color w:val="ff0000"/>
        </w:rPr>
      </w:pPr>
      <w:r w:rsidDel="00000000" w:rsidR="00000000" w:rsidRPr="00000000">
        <w:rPr>
          <w:rFonts w:ascii="Arial" w:cs="Arial" w:eastAsia="Arial" w:hAnsi="Arial"/>
          <w:b w:val="1"/>
          <w:sz w:val="24"/>
          <w:szCs w:val="24"/>
          <w:rtl w:val="0"/>
        </w:rPr>
        <w:t xml:space="preserve">Resultados preliminares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i w:val="1"/>
        </w:rPr>
      </w:pPr>
      <w:r w:rsidDel="00000000" w:rsidR="00000000" w:rsidRPr="00000000">
        <w:rPr>
          <w:rFonts w:ascii="Arial" w:cs="Arial" w:eastAsia="Arial" w:hAnsi="Arial"/>
          <w:i w:val="1"/>
          <w:rtl w:val="0"/>
        </w:rPr>
        <w:t xml:space="preserve">Características generales de las propuestas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ab/>
        <w:t xml:space="preserve">En las propuestas de enseñanza de las cuatro cátedras seleccionadas se observa cierta heterogeneidad pero con una característica común, al menos en el primer cuatrimestre de 2020: la intención de replicar, de la manera más fiel posible, las propuestas que se hacen en las clases presenciales.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ab/>
        <w:t xml:space="preserve">En todos los casos, aunque con distintas frecuencias y modalidades, se realizaron encuentros sincrónicos. En algunos se ofrecieron exposiciones de contenidos conceptuales, con o sin materiales de apoyo (como presentaciones de “Power Point”), y/o se respondían consultas sobre lo leído.</w:t>
      </w:r>
    </w:p>
    <w:p w:rsidR="00000000" w:rsidDel="00000000" w:rsidP="00000000" w:rsidRDefault="00000000" w:rsidRPr="00000000" w14:paraId="00000032">
      <w:pPr>
        <w:shd w:fill="ffffff" w:val="clear"/>
        <w:tabs>
          <w:tab w:val="left" w:pos="1425"/>
        </w:tabs>
        <w:spacing w:after="0" w:line="360" w:lineRule="auto"/>
        <w:jc w:val="both"/>
        <w:rPr>
          <w:rFonts w:ascii="Arial" w:cs="Arial" w:eastAsia="Arial" w:hAnsi="Arial"/>
        </w:rPr>
      </w:pPr>
      <w:r w:rsidDel="00000000" w:rsidR="00000000" w:rsidRPr="00000000">
        <w:rPr>
          <w:rFonts w:ascii="Arial" w:cs="Arial" w:eastAsia="Arial" w:hAnsi="Arial"/>
          <w:rtl w:val="0"/>
        </w:rPr>
        <w:tab/>
        <w:t xml:space="preserve">Los encuentros sincrónicos fueron en su mayoría en forma plenaria (grupo total) y, en mucha menor medida, en pequeños grupos a demanda de los estudiantes, en la medida de las posibilidades de cada cátedra y de cada docente.</w:t>
      </w:r>
    </w:p>
    <w:p w:rsidR="00000000" w:rsidDel="00000000" w:rsidP="00000000" w:rsidRDefault="00000000" w:rsidRPr="00000000" w14:paraId="00000033">
      <w:pPr>
        <w:shd w:fill="ffffff" w:val="clear"/>
        <w:tabs>
          <w:tab w:val="left" w:pos="1425"/>
        </w:tabs>
        <w:spacing w:after="0" w:line="360" w:lineRule="auto"/>
        <w:jc w:val="both"/>
        <w:rPr>
          <w:rFonts w:ascii="Arial" w:cs="Arial" w:eastAsia="Arial" w:hAnsi="Arial"/>
        </w:rPr>
      </w:pPr>
      <w:r w:rsidDel="00000000" w:rsidR="00000000" w:rsidRPr="00000000">
        <w:rPr>
          <w:rFonts w:ascii="Arial" w:cs="Arial" w:eastAsia="Arial" w:hAnsi="Arial"/>
          <w:rtl w:val="0"/>
        </w:rPr>
        <w:tab/>
        <w:t xml:space="preserve">Asimismo, se utilizó la modalidad de trabajos en pequeños grupos para la discusión y para la realización de Trabajos Prácticos, ya sean en forma aislada o concatenada entre sí (para pasar al práctico que sigue tenés que tener armado y aprobado el práctico anterior).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ab/>
        <w:t xml:space="preserve">La mayoría de las cátedras analizadas utilizaron el campus virtual para subir material, pero con variaciones en el tipo de material subido y su frecuencia, y también respecto del abanico de recursos del campus que pudieron aprovecharse: hubo cátedras que intentaron implementar variedad de recursos, mientras que una de ellas directamente no utilizó el campus durante el primer cuatrimestre de 2020.</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ab/>
        <w:t xml:space="preserve">En cuanto al tipo de material subido, encontramos frecuentemente dos tipos: la bibliografía para su lectura (posterior a las clases o anterior a las mismas) y videos (en algunos casos demostrativos de ciertas destrezas o con clases teóricas grabadas por el propio equipo de cátedra)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i w:val="1"/>
        </w:rPr>
      </w:pPr>
      <w:r w:rsidDel="00000000" w:rsidR="00000000" w:rsidRPr="00000000">
        <w:rPr>
          <w:rFonts w:ascii="Arial" w:cs="Arial" w:eastAsia="Arial" w:hAnsi="Arial"/>
          <w:i w:val="1"/>
          <w:rtl w:val="0"/>
        </w:rPr>
        <w:t xml:space="preserve">Los encuentros sincrónicos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ab/>
        <w:t xml:space="preserve">Los docentes manifestaron en las entrevistas que uno de los objetivos principales  de los encuentros sincrónicos fue que fueran lo más participativos posible, incluso afirmaron que invitaban con frecuencia a encender la cámara. Algunas cátedras desarrollaron los encuentros sincrónicos con todo el equipo docente conectado y en otros casos se organizaron para estar alternadamente. Asimismo, algunos equipos docentes grabaron los encuentros sincrónicos y en otros no.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i w:val="1"/>
        </w:rPr>
      </w:pPr>
      <w:r w:rsidDel="00000000" w:rsidR="00000000" w:rsidRPr="00000000">
        <w:rPr>
          <w:rFonts w:ascii="Arial" w:cs="Arial" w:eastAsia="Arial" w:hAnsi="Arial"/>
          <w:i w:val="1"/>
          <w:rtl w:val="0"/>
        </w:rPr>
        <w:t xml:space="preserve">Las estrategias de enseñanza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ab/>
        <w:t xml:space="preserve">La estrategia más utilizada fue la exposición de contenidos, ya sea en videos explicativos grabados previamente o de manera virtual sincrónica, generalmente con uso de alguna presentación de imágenes. Cabe señalar que algunos docentes reconocieron que la situación los impulsó a estructurar mejor sus exposiciones.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ab/>
        <w:t xml:space="preserve">Aún así, fue posible identificar exposiciones puras y exposiciones dialogadas, o con inclusión de preguntas. </w:t>
        <w:tab/>
        <w:t xml:space="preserve">Es interesante notar que varios docentes entrevistados se referían a las clases como “charlas”.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ab/>
        <w:t xml:space="preserve">Ahora bien, la situación de la proliferación de eventos remotos (charlas, ponencias, conversatorios, webinar, etc.) animó a varios docentes a realizar invitaciones a sus estudiantes como forma de inserción a determinadas temáticas relacionadas con su formación y como estrategia de inmersión en experiencias ligadas a la profesión académica. De modo similar, el contexto facilitó actividades tales como buscar un tutorial en línea, in situ, como forma de acercarlos a actividades de indagación y búsqueda de información. Es decir, que la clásica exposición del docente se vio complementada por otros tipos de exposición auxiliares, que se encontraron a disposición.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ab/>
        <w:t xml:space="preserve">Por otra parte, el uso de imágenes cobró significados diferentes según los casos. En una de las cátedras, cuyo contenido a enseñar es de carácter fuertemente teórico, la búsqueda de imágenes pertinentes que invitaran a la reflexión y a la pregunta resultó un recurso que, en el discurso de los docentes involucrados, permitió enriquecer la propuesta. Ahora bien, otra de las cátedras entrevistadas, que  en las clases presenciales utiliza generalmente simuladores para recrear un paro cardiaco, un trauma o una caída de altura, manifiesta que solo pudo presentar imágenes y videos alusivos, dejando postergada la actividad de simulación en sí hasta que las condiciones permitieran su realización. Esto fue percibido como un obstáculo a la enseñanza del contenido.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i w:val="1"/>
        </w:rPr>
      </w:pPr>
      <w:r w:rsidDel="00000000" w:rsidR="00000000" w:rsidRPr="00000000">
        <w:rPr>
          <w:rFonts w:ascii="Arial" w:cs="Arial" w:eastAsia="Arial" w:hAnsi="Arial"/>
          <w:i w:val="1"/>
          <w:rtl w:val="0"/>
        </w:rPr>
        <w:t xml:space="preserve">Las propuestas en las aulas virtuales</w:t>
      </w:r>
    </w:p>
    <w:p w:rsidR="00000000" w:rsidDel="00000000" w:rsidP="00000000" w:rsidRDefault="00000000" w:rsidRPr="00000000" w14:paraId="00000041">
      <w:pPr>
        <w:shd w:fill="ffffff" w:val="clear"/>
        <w:tabs>
          <w:tab w:val="left" w:pos="1425"/>
        </w:tabs>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2">
      <w:pPr>
        <w:shd w:fill="ffffff" w:val="clear"/>
        <w:tabs>
          <w:tab w:val="left" w:pos="1425"/>
        </w:tabs>
        <w:spacing w:after="0" w:line="360" w:lineRule="auto"/>
        <w:jc w:val="both"/>
        <w:rPr>
          <w:rFonts w:ascii="Arial" w:cs="Arial" w:eastAsia="Arial" w:hAnsi="Arial"/>
        </w:rPr>
      </w:pPr>
      <w:r w:rsidDel="00000000" w:rsidR="00000000" w:rsidRPr="00000000">
        <w:rPr>
          <w:rFonts w:ascii="Arial" w:cs="Arial" w:eastAsia="Arial" w:hAnsi="Arial"/>
          <w:rtl w:val="0"/>
        </w:rPr>
        <w:tab/>
        <w:t xml:space="preserve">La UNSO contaba con una plataforma virtual (</w:t>
      </w:r>
      <w:hyperlink r:id="rId7">
        <w:r w:rsidDel="00000000" w:rsidR="00000000" w:rsidRPr="00000000">
          <w:rPr>
            <w:rFonts w:ascii="Arial" w:cs="Arial" w:eastAsia="Arial" w:hAnsi="Arial"/>
            <w:color w:val="1155cc"/>
            <w:u w:val="single"/>
            <w:rtl w:val="0"/>
          </w:rPr>
          <w:t xml:space="preserve">https://campus.unsanisidro.edu.ar</w:t>
        </w:r>
      </w:hyperlink>
      <w:r w:rsidDel="00000000" w:rsidR="00000000" w:rsidRPr="00000000">
        <w:rPr>
          <w:rFonts w:ascii="Arial" w:cs="Arial" w:eastAsia="Arial" w:hAnsi="Arial"/>
          <w:rtl w:val="0"/>
        </w:rPr>
        <w:t xml:space="preserve">) desde el año 2019, y los y las docentes habían recibido una primera capacitación acerca de su uso poco antes de que iniciara la pandemia. Se ha podido observar en las aulas virtuales la misma heterogeneidad que identificamos en el uso de estrategias de enseñanza: aulas con mayor cantidad de recursos, y aulas con una propuesta más modesta.</w:t>
      </w:r>
    </w:p>
    <w:p w:rsidR="00000000" w:rsidDel="00000000" w:rsidP="00000000" w:rsidRDefault="00000000" w:rsidRPr="00000000" w14:paraId="00000043">
      <w:pPr>
        <w:shd w:fill="ffffff" w:val="clear"/>
        <w:tabs>
          <w:tab w:val="left" w:pos="1425"/>
        </w:tabs>
        <w:spacing w:after="0" w:line="360" w:lineRule="auto"/>
        <w:jc w:val="both"/>
        <w:rPr>
          <w:rFonts w:ascii="Arial" w:cs="Arial" w:eastAsia="Arial" w:hAnsi="Arial"/>
        </w:rPr>
      </w:pPr>
      <w:r w:rsidDel="00000000" w:rsidR="00000000" w:rsidRPr="00000000">
        <w:rPr>
          <w:rFonts w:ascii="Arial" w:cs="Arial" w:eastAsia="Arial" w:hAnsi="Arial"/>
          <w:rtl w:val="0"/>
        </w:rPr>
        <w:tab/>
        <w:t xml:space="preserve">Entre los recursos relevados, se presentaron guías de lectura de los textos fuente, PPT explicativos de autores (que por lo general se utilizaban en los encuentros sincrónicos como apoyatura de la exposición teórica) y foros de consultas generales (como espacio disponible para formular preguntas, o con actividades propuestas específicamente).</w:t>
      </w:r>
    </w:p>
    <w:p w:rsidR="00000000" w:rsidDel="00000000" w:rsidP="00000000" w:rsidRDefault="00000000" w:rsidRPr="00000000" w14:paraId="00000044">
      <w:pPr>
        <w:shd w:fill="ffffff" w:val="clear"/>
        <w:tabs>
          <w:tab w:val="left" w:pos="1425"/>
        </w:tabs>
        <w:spacing w:after="0" w:line="360" w:lineRule="auto"/>
        <w:jc w:val="both"/>
        <w:rPr>
          <w:rFonts w:ascii="Arial" w:cs="Arial" w:eastAsia="Arial" w:hAnsi="Arial"/>
        </w:rPr>
      </w:pPr>
      <w:r w:rsidDel="00000000" w:rsidR="00000000" w:rsidRPr="00000000">
        <w:rPr>
          <w:rFonts w:ascii="Arial" w:cs="Arial" w:eastAsia="Arial" w:hAnsi="Arial"/>
          <w:rtl w:val="0"/>
        </w:rPr>
        <w:tab/>
        <w:t xml:space="preserve">Hallamos un caso en el cual la cátedra propuso la realización de un trabajo colaborativo a través del recurso de “wiki”, en el que se observó participación por parte del grupo de estudiantes.</w:t>
      </w:r>
    </w:p>
    <w:p w:rsidR="00000000" w:rsidDel="00000000" w:rsidP="00000000" w:rsidRDefault="00000000" w:rsidRPr="00000000" w14:paraId="00000045">
      <w:pPr>
        <w:shd w:fill="ffffff" w:val="clear"/>
        <w:tabs>
          <w:tab w:val="left" w:pos="1425"/>
        </w:tabs>
        <w:spacing w:after="0" w:line="360" w:lineRule="auto"/>
        <w:jc w:val="both"/>
        <w:rPr>
          <w:rFonts w:ascii="Arial" w:cs="Arial" w:eastAsia="Arial" w:hAnsi="Arial"/>
        </w:rPr>
      </w:pPr>
      <w:r w:rsidDel="00000000" w:rsidR="00000000" w:rsidRPr="00000000">
        <w:rPr>
          <w:rFonts w:ascii="Arial" w:cs="Arial" w:eastAsia="Arial" w:hAnsi="Arial"/>
          <w:rtl w:val="0"/>
        </w:rPr>
        <w:tab/>
        <w:t xml:space="preserve">Los videos de encuentros sincrónicos, a medida que pasaron los cuatrimestres, quedaron como nuevo recurso para el enriquecimiento del aula, y los equipos docentes se dedicaron a continuar planificando y elaborando nuevas propuestas/recursos para sumar.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i w:val="1"/>
        </w:rPr>
      </w:pPr>
      <w:r w:rsidDel="00000000" w:rsidR="00000000" w:rsidRPr="00000000">
        <w:rPr>
          <w:rFonts w:ascii="Arial" w:cs="Arial" w:eastAsia="Arial" w:hAnsi="Arial"/>
          <w:i w:val="1"/>
          <w:rtl w:val="0"/>
        </w:rPr>
        <w:t xml:space="preserve">Los tipos de contenido</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ab/>
        <w:t xml:space="preserve">Respecto de los tipos de contenido que más sencillamente se pudieron enseñar durante el período en cuestión, el discurso de los actores entrevistados refleja aquello que la literatura especializada anticipó como posible escenario: que los contenidos conceptuales presentaron mucha menos dificultad para la enseñanza remota de emergencia que las habilidades y procedimientos de corte práctico (Feldman, 2020; Finkelstein, 2020). Frente a la pregunta de si hubo algunos contenidos que no pudieron enseñar, las entrevistadas y los entrevistados del Departamento de Humanidades y Ciencias Sociales manifestaron que no, que pudieron abarcar el programa de su asignatura, y que en todo caso discutieron cambios de bibliografía entre un cuatrimestre y otro (cuestión que, en definitiva, puede ocurrir también en una asignatura de carácter presencial). En contraposición, en el caso del Departamento de Ciencias de la Salud, las asignaturas con mayor carga de contenidos procedimentales debieron postergar la enseñanza de ese tipo de contenido, o bien ajustarlo a las posibilidades que el contexto permitía, con las dificultades que esto trajo aparejado para la enseñanza. Una de las cátedras entrevistadas, que utiliza generalmente simuladores para recrear un paro cardiaco, un trauma, una caída de altura o una electrocución, solo pudo presentar imágenes y videos de su realización.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i w:val="1"/>
        </w:rPr>
      </w:pPr>
      <w:r w:rsidDel="00000000" w:rsidR="00000000" w:rsidRPr="00000000">
        <w:rPr>
          <w:rFonts w:ascii="Arial" w:cs="Arial" w:eastAsia="Arial" w:hAnsi="Arial"/>
          <w:i w:val="1"/>
          <w:rtl w:val="0"/>
        </w:rPr>
        <w:t xml:space="preserve">El componente emocional de la Enseñanza Remota de Emergencia</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ab/>
        <w:t xml:space="preserve">Las entrevistas realizadas dan cuenta de un fuerte componente emocional que impregnó la elaboración y la puesta en marcha de estas propuestas de enseñanza en la universidad durante la pandemia. Los y las docentes que se han entrevistado enfatizaron la importancia de contener a los estudiantes, en particular durante los encuentros sincrónicos, y a su vez, estos docentes manifestaron necesidad propia, tanto de contener, como de ser contenidos. </w:t>
      </w:r>
      <w:r w:rsidDel="00000000" w:rsidR="00000000" w:rsidRPr="00000000">
        <w:rPr>
          <w:rFonts w:ascii="Arial" w:cs="Arial" w:eastAsia="Arial" w:hAnsi="Arial"/>
          <w:rtl w:val="0"/>
        </w:rPr>
        <w:tab/>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ab/>
        <w:t xml:space="preserve">Esta importancia que se le otorga a la dimensión humana de la enseñanza puede llevar a dos reflexiones: por un lado,  que se trata de una dimensión que resulta importante considerar también en la clase presencial, pero por otro, si este aspecto, que aparece sobredimensionado en el discurso, puede opacar la discusión respecto de la calidad de la propuesta de enseñanza (si se asume que la propuesta es, de por sí, buena, por el hecho de que el docente se preocupa por sus estudiantes).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i w:val="1"/>
        </w:rPr>
      </w:pPr>
      <w:r w:rsidDel="00000000" w:rsidR="00000000" w:rsidRPr="00000000">
        <w:rPr>
          <w:rFonts w:ascii="Arial" w:cs="Arial" w:eastAsia="Arial" w:hAnsi="Arial"/>
          <w:i w:val="1"/>
          <w:rtl w:val="0"/>
        </w:rPr>
        <w:t xml:space="preserve">La formación pedagógica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highlight w:val="yellow"/>
        </w:rPr>
      </w:pPr>
      <w:r w:rsidDel="00000000" w:rsidR="00000000" w:rsidRPr="00000000">
        <w:rPr>
          <w:rFonts w:ascii="Arial" w:cs="Arial" w:eastAsia="Arial" w:hAnsi="Arial"/>
          <w:rtl w:val="0"/>
        </w:rPr>
        <w:tab/>
        <w:t xml:space="preserve">Al interior de las cátedras entrevistadas, el nivel de formación pedagógica tendió a ser homogéneo: en aquellas en las que se relevó formación pedagógica sistemática y experiencia previa en educación a distancia, estos atributos se encontraban presentes en todos o la mayoría de los integrantes. Esto se observó en una de las cátedras del Departamento de Humanidades y Ciencias Sociales. </w:t>
      </w:r>
      <w:r w:rsidDel="00000000" w:rsidR="00000000" w:rsidRPr="00000000">
        <w:rPr>
          <w:rFonts w:ascii="Arial" w:cs="Arial" w:eastAsia="Arial" w:hAnsi="Arial"/>
          <w:highlight w:val="yellow"/>
          <w:rtl w:val="0"/>
        </w:rPr>
        <w:t xml:space="preserve">Por el contrario, en las otras tres cátedras las y los docentes tendían a no poseer formación pedagógica sistemática.</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ab/>
        <w:t xml:space="preserve">A modo de metáfora, puede plantearse que donde hubo formación pedagógica, si bien no necesariamente se lograron respuestas acabadas frente a la problemática de la enseñanza remota de emergencia, la formación funcionó como un “salvavidas” que permitió al equipo docente pensar sus estrategias de enseñanza con mayor comodidad y mostrarse receptivos frente a propuestas de innovación y cambio.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Fonts w:ascii="Arial" w:cs="Arial" w:eastAsia="Arial" w:hAnsi="Arial"/>
          <w:rtl w:val="0"/>
        </w:rPr>
        <w:tab/>
        <w:t xml:space="preserve">Por el contrario, la falta de formación y de experiencia en educación a distancia trajo aparejadas mayores dificultades para elaborar las propuestas, e incluso dio lugar a un discurso refractario a los avances de las nuevas tecnologías en educación, como sucedió en el caso de un profesor del Departamento de Humanidades.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425"/>
        </w:tabs>
        <w:spacing w:after="0" w:before="0" w:line="36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6">
      <w:pPr>
        <w:shd w:fill="ffffff" w:val="clear"/>
        <w:tabs>
          <w:tab w:val="left" w:pos="1425"/>
        </w:tabs>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Bibliografía y referencia bibliográficas </w:t>
      </w:r>
    </w:p>
    <w:p w:rsidR="00000000" w:rsidDel="00000000" w:rsidP="00000000" w:rsidRDefault="00000000" w:rsidRPr="00000000" w14:paraId="00000057">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AAVV (2020). COVID-19 y educación superior. De los efectos inmediatos al día después. UNESCO-IESALC [Sitio web]</w:t>
      </w:r>
      <w:r w:rsidDel="00000000" w:rsidR="00000000" w:rsidRPr="00000000">
        <w:rPr>
          <w:rtl w:val="0"/>
        </w:rPr>
      </w:r>
    </w:p>
    <w:p w:rsidR="00000000" w:rsidDel="00000000" w:rsidP="00000000" w:rsidRDefault="00000000" w:rsidRPr="00000000" w14:paraId="00000058">
      <w:pPr>
        <w:shd w:fill="ffffff" w:val="clear"/>
        <w:tabs>
          <w:tab w:val="left" w:pos="1425"/>
        </w:tabs>
        <w:spacing w:after="0" w:line="360" w:lineRule="auto"/>
        <w:ind w:left="720" w:firstLine="0"/>
        <w:jc w:val="both"/>
        <w:rPr>
          <w:rFonts w:ascii="Arial" w:cs="Arial" w:eastAsia="Arial" w:hAnsi="Arial"/>
        </w:rPr>
      </w:pPr>
      <w:hyperlink r:id="rId8">
        <w:r w:rsidDel="00000000" w:rsidR="00000000" w:rsidRPr="00000000">
          <w:rPr>
            <w:rFonts w:ascii="Arial" w:cs="Arial" w:eastAsia="Arial" w:hAnsi="Arial"/>
            <w:color w:val="1155cc"/>
            <w:u w:val="single"/>
            <w:rtl w:val="0"/>
          </w:rPr>
          <w:t xml:space="preserve">http://www.iesalc.unesco.org/wp-content/uploads/2020/05/COVID-19-ES-130520.pdf</w:t>
        </w:r>
      </w:hyperlink>
      <w:r w:rsidDel="00000000" w:rsidR="00000000" w:rsidRPr="00000000">
        <w:rPr>
          <w:rtl w:val="0"/>
        </w:rPr>
      </w:r>
    </w:p>
    <w:p w:rsidR="00000000" w:rsidDel="00000000" w:rsidP="00000000" w:rsidRDefault="00000000" w:rsidRPr="00000000" w14:paraId="00000059">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Anijovich, R. y Mora, S. (2014). Estrategias de enseñanza. Otra mirada al quehacer del aula. Ciudad de Buenos Aires: Aique</w:t>
      </w:r>
      <w:r w:rsidDel="00000000" w:rsidR="00000000" w:rsidRPr="00000000">
        <w:rPr>
          <w:rtl w:val="0"/>
        </w:rPr>
      </w:r>
    </w:p>
    <w:p w:rsidR="00000000" w:rsidDel="00000000" w:rsidP="00000000" w:rsidRDefault="00000000" w:rsidRPr="00000000" w14:paraId="0000005A">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Badía, A. y Barberá, E. (2004). Educar con aulas virtuales. Orientaciones para la innovación en el proceso de enseñanza y aprendizaje. Madrid: Antonio Machado Libros</w:t>
      </w:r>
      <w:r w:rsidDel="00000000" w:rsidR="00000000" w:rsidRPr="00000000">
        <w:rPr>
          <w:rtl w:val="0"/>
        </w:rPr>
      </w:r>
    </w:p>
    <w:p w:rsidR="00000000" w:rsidDel="00000000" w:rsidP="00000000" w:rsidRDefault="00000000" w:rsidRPr="00000000" w14:paraId="0000005B">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Bain, K. (2007) Lo que hacen los mejores profesores de universidad. Valencia: Universidad de Valencia </w:t>
      </w:r>
      <w:r w:rsidDel="00000000" w:rsidR="00000000" w:rsidRPr="00000000">
        <w:rPr>
          <w:rtl w:val="0"/>
        </w:rPr>
      </w:r>
    </w:p>
    <w:p w:rsidR="00000000" w:rsidDel="00000000" w:rsidP="00000000" w:rsidRDefault="00000000" w:rsidRPr="00000000" w14:paraId="0000005C">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Burbules, N. (2012). El aprendizaje ubicuo y el futuro de la enseñanza. Encuentros. Vol. 13, p. 3-14) </w:t>
      </w:r>
      <w:r w:rsidDel="00000000" w:rsidR="00000000" w:rsidRPr="00000000">
        <w:rPr>
          <w:rtl w:val="0"/>
        </w:rPr>
      </w:r>
    </w:p>
    <w:p w:rsidR="00000000" w:rsidDel="00000000" w:rsidP="00000000" w:rsidRDefault="00000000" w:rsidRPr="00000000" w14:paraId="0000005D">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Camilloni A. (2018). Didáctica y currículo universitario: palabras, conceptos y dilemas conceptuales en la construcción del conocimiento didáctico. InterCambios. Dilemas y transiciones de la Educación Superior 5(2), 12-23.</w:t>
      </w:r>
      <w:r w:rsidDel="00000000" w:rsidR="00000000" w:rsidRPr="00000000">
        <w:rPr>
          <w:rtl w:val="0"/>
        </w:rPr>
      </w:r>
    </w:p>
    <w:p w:rsidR="00000000" w:rsidDel="00000000" w:rsidP="00000000" w:rsidRDefault="00000000" w:rsidRPr="00000000" w14:paraId="0000005E">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Carlino, P. (2005). Escribir, leer y aprender en la universidad. Una introducción a la alfabetización académica. Buenos Aires: Fondo de Cultura Económica </w:t>
      </w:r>
      <w:r w:rsidDel="00000000" w:rsidR="00000000" w:rsidRPr="00000000">
        <w:rPr>
          <w:rtl w:val="0"/>
        </w:rPr>
      </w:r>
    </w:p>
    <w:p w:rsidR="00000000" w:rsidDel="00000000" w:rsidP="00000000" w:rsidRDefault="00000000" w:rsidRPr="00000000" w14:paraId="0000005F">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Coll, C. (1987) Psicología y currículum. Barcelona: Laia.</w:t>
      </w:r>
      <w:r w:rsidDel="00000000" w:rsidR="00000000" w:rsidRPr="00000000">
        <w:rPr>
          <w:rtl w:val="0"/>
        </w:rPr>
      </w:r>
    </w:p>
    <w:p w:rsidR="00000000" w:rsidDel="00000000" w:rsidP="00000000" w:rsidRDefault="00000000" w:rsidRPr="00000000" w14:paraId="00000060">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Davini, M. (2009). Métodos de enseñanza. Didáctica general para maestros y profesores. Buenos Aires: Santillana.</w:t>
      </w:r>
      <w:r w:rsidDel="00000000" w:rsidR="00000000" w:rsidRPr="00000000">
        <w:rPr>
          <w:rtl w:val="0"/>
        </w:rPr>
      </w:r>
    </w:p>
    <w:p w:rsidR="00000000" w:rsidDel="00000000" w:rsidP="00000000" w:rsidRDefault="00000000" w:rsidRPr="00000000" w14:paraId="00000061">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De la Torre, S. y Barrios Ríos, O. (2000). Estrategias didácticas innovadoras. Barcelona, Octaedro</w:t>
      </w:r>
      <w:r w:rsidDel="00000000" w:rsidR="00000000" w:rsidRPr="00000000">
        <w:rPr>
          <w:rtl w:val="0"/>
        </w:rPr>
      </w:r>
    </w:p>
    <w:p w:rsidR="00000000" w:rsidDel="00000000" w:rsidP="00000000" w:rsidRDefault="00000000" w:rsidRPr="00000000" w14:paraId="00000062">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Eggen, P. y Kauchak, D. (2001). Estrategias docentes. Enseñanza de contenidos curriculares y desarrollo de habilidades de pensamiento. México: Fondo de Cultura</w:t>
      </w:r>
      <w:r w:rsidDel="00000000" w:rsidR="00000000" w:rsidRPr="00000000">
        <w:rPr>
          <w:rtl w:val="0"/>
        </w:rPr>
      </w:r>
    </w:p>
    <w:p w:rsidR="00000000" w:rsidDel="00000000" w:rsidP="00000000" w:rsidRDefault="00000000" w:rsidRPr="00000000" w14:paraId="00000063">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Exley, K. y Dennick, R. (2007). Enseñanza en pequeños grupos en Educación Superior. Tutorías, seminarios y otros agrupamientos. Madrid: Ed. Narcea. 26</w:t>
      </w:r>
      <w:r w:rsidDel="00000000" w:rsidR="00000000" w:rsidRPr="00000000">
        <w:rPr>
          <w:rtl w:val="0"/>
        </w:rPr>
      </w:r>
    </w:p>
    <w:p w:rsidR="00000000" w:rsidDel="00000000" w:rsidP="00000000" w:rsidRDefault="00000000" w:rsidRPr="00000000" w14:paraId="00000064">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Feldman, D. (1999). Ayudar a enseñar. Relaciones entre didáctica y enseñanza. Buenos Aires: Aique</w:t>
      </w:r>
      <w:r w:rsidDel="00000000" w:rsidR="00000000" w:rsidRPr="00000000">
        <w:rPr>
          <w:rtl w:val="0"/>
        </w:rPr>
      </w:r>
    </w:p>
    <w:p w:rsidR="00000000" w:rsidDel="00000000" w:rsidP="00000000" w:rsidRDefault="00000000" w:rsidRPr="00000000" w14:paraId="00000065">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Feldman, D. (2015). Para definir el contenido: notas y variaciones sobre el tema en la universidad. Trayectorias Universitarias, 1(1). Recuperado a partir de </w:t>
      </w:r>
      <w:hyperlink r:id="rId9">
        <w:r w:rsidDel="00000000" w:rsidR="00000000" w:rsidRPr="00000000">
          <w:rPr>
            <w:rFonts w:ascii="Arial" w:cs="Arial" w:eastAsia="Arial" w:hAnsi="Arial"/>
            <w:color w:val="1155cc"/>
            <w:u w:val="single"/>
            <w:rtl w:val="0"/>
          </w:rPr>
          <w:t xml:space="preserve">https://revistas.unlp.edu.ar/TrayectoriasUniversitarias/article/view/2309Económica</w:t>
        </w:r>
      </w:hyperlink>
      <w:r w:rsidDel="00000000" w:rsidR="00000000" w:rsidRPr="00000000">
        <w:rPr>
          <w:rtl w:val="0"/>
        </w:rPr>
      </w:r>
    </w:p>
    <w:p w:rsidR="00000000" w:rsidDel="00000000" w:rsidP="00000000" w:rsidRDefault="00000000" w:rsidRPr="00000000" w14:paraId="00000066">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Feldman, D. (2020). Enseñanza sin presencialidad. Algunas notas para una situación no esperada. Citep. Centro de Innovación en Tecnología y Pedagogía. [Sitio web] </w:t>
      </w:r>
      <w:hyperlink r:id="rId10">
        <w:r w:rsidDel="00000000" w:rsidR="00000000" w:rsidRPr="00000000">
          <w:rPr>
            <w:rFonts w:ascii="Arial" w:cs="Arial" w:eastAsia="Arial" w:hAnsi="Arial"/>
            <w:color w:val="1155cc"/>
            <w:u w:val="single"/>
            <w:rtl w:val="0"/>
          </w:rPr>
          <w:t xml:space="preserve">http://citep.rec.uba.ar/covid-19-ens-sin-pres/</w:t>
        </w:r>
      </w:hyperlink>
      <w:r w:rsidDel="00000000" w:rsidR="00000000" w:rsidRPr="00000000">
        <w:rPr>
          <w:rtl w:val="0"/>
        </w:rPr>
      </w:r>
    </w:p>
    <w:p w:rsidR="00000000" w:rsidDel="00000000" w:rsidP="00000000" w:rsidRDefault="00000000" w:rsidRPr="00000000" w14:paraId="00000067">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Feldman. D. y Palamidessi, M. (2001). Programación de la enseñanza en la universidad. Problemas y enfoques. Buenos Aires: UNGS</w:t>
      </w:r>
      <w:r w:rsidDel="00000000" w:rsidR="00000000" w:rsidRPr="00000000">
        <w:rPr>
          <w:rtl w:val="0"/>
        </w:rPr>
      </w:r>
    </w:p>
    <w:p w:rsidR="00000000" w:rsidDel="00000000" w:rsidP="00000000" w:rsidRDefault="00000000" w:rsidRPr="00000000" w14:paraId="00000068">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Fernández Lamarra, N. (2018). La educación superior universitaria argentina. Situación actual en el contexto regional. Sáenz Peña: Universidad Nacional de Tres de Febrero</w:t>
      </w:r>
    </w:p>
    <w:p w:rsidR="00000000" w:rsidDel="00000000" w:rsidP="00000000" w:rsidRDefault="00000000" w:rsidRPr="00000000" w14:paraId="00000069">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Fernández, M. y Panico, B. (2020, 4 de mayo). Educación en cuarentena. La virtualidad bajo sospecha. Página 12. Recuperado de https://www.pagina12.com.ar/263760-educacion-encuarentena-la-virtualidad-bajo-sospecha</w:t>
      </w:r>
    </w:p>
    <w:p w:rsidR="00000000" w:rsidDel="00000000" w:rsidP="00000000" w:rsidRDefault="00000000" w:rsidRPr="00000000" w14:paraId="0000006A">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Finkelstein, C..(2007). La comunicación en el aula y su vinculación con las estrategias de enseñanza: La clase expositiva y la interrogación didáctica. Cuadernos de cátedra. Secretaría de Publicaciones de la Facultad de Filosofía y Letras. UBA</w:t>
      </w:r>
      <w:r w:rsidDel="00000000" w:rsidR="00000000" w:rsidRPr="00000000">
        <w:rPr>
          <w:rtl w:val="0"/>
        </w:rPr>
      </w:r>
    </w:p>
    <w:p w:rsidR="00000000" w:rsidDel="00000000" w:rsidP="00000000" w:rsidRDefault="00000000" w:rsidRPr="00000000" w14:paraId="0000006B">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Finkelstein, C.(2009). Estrategias de enseñanza basadas en la problematización: ABP y Método de estudio de casos. UBA.OPFYL</w:t>
      </w:r>
      <w:r w:rsidDel="00000000" w:rsidR="00000000" w:rsidRPr="00000000">
        <w:rPr>
          <w:rtl w:val="0"/>
        </w:rPr>
      </w:r>
    </w:p>
    <w:p w:rsidR="00000000" w:rsidDel="00000000" w:rsidP="00000000" w:rsidRDefault="00000000" w:rsidRPr="00000000" w14:paraId="0000006C">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Finkelstein, C. (2012). Los Docentes Universitarios, ¿pueden innovar en sus prácticas? En: Volpato, G. y Moog Pinto, M. (Org.). Pedagogia Universitária: Olhares e percepções. Curitiba-PR, Brasil. Editora CVR.</w:t>
      </w:r>
      <w:r w:rsidDel="00000000" w:rsidR="00000000" w:rsidRPr="00000000">
        <w:rPr>
          <w:rtl w:val="0"/>
        </w:rPr>
      </w:r>
    </w:p>
    <w:p w:rsidR="00000000" w:rsidDel="00000000" w:rsidP="00000000" w:rsidRDefault="00000000" w:rsidRPr="00000000" w14:paraId="0000006D">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Finkelstein, C. (2020). La enseñanza en la universidad en tiempos de pandemia. Citep. Centro de Innovación en Tecnología y Pedagogía. [Sitio web] </w:t>
      </w:r>
      <w:hyperlink r:id="rId11">
        <w:r w:rsidDel="00000000" w:rsidR="00000000" w:rsidRPr="00000000">
          <w:rPr>
            <w:rFonts w:ascii="Arial" w:cs="Arial" w:eastAsia="Arial" w:hAnsi="Arial"/>
            <w:color w:val="1155cc"/>
            <w:u w:val="single"/>
            <w:rtl w:val="0"/>
          </w:rPr>
          <w:t xml:space="preserve">http://citep.rec.uba.ar/covid-19-ens-sinpres/</w:t>
        </w:r>
      </w:hyperlink>
      <w:r w:rsidDel="00000000" w:rsidR="00000000" w:rsidRPr="00000000">
        <w:rPr>
          <w:rtl w:val="0"/>
        </w:rPr>
      </w:r>
    </w:p>
    <w:p w:rsidR="00000000" w:rsidDel="00000000" w:rsidP="00000000" w:rsidRDefault="00000000" w:rsidRPr="00000000" w14:paraId="0000006E">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Furman, M. (2020). La educación pos COVID-19. Hacia una modalidad híbrida. En: AAVV, Pospandemia. 53 políticas públicas para el mundo que viene. Ciudad Autónoma de Buenos Aires: Universidad Torcuato Di Tella</w:t>
      </w:r>
      <w:r w:rsidDel="00000000" w:rsidR="00000000" w:rsidRPr="00000000">
        <w:rPr>
          <w:rtl w:val="0"/>
        </w:rPr>
      </w:r>
    </w:p>
    <w:p w:rsidR="00000000" w:rsidDel="00000000" w:rsidP="00000000" w:rsidRDefault="00000000" w:rsidRPr="00000000" w14:paraId="0000006F">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Joyce, B. y Weil, M. (2002). Modelos de enseñanza. Barcelona: Gedisa 27</w:t>
      </w:r>
      <w:r w:rsidDel="00000000" w:rsidR="00000000" w:rsidRPr="00000000">
        <w:rPr>
          <w:rtl w:val="0"/>
        </w:rPr>
      </w:r>
    </w:p>
    <w:p w:rsidR="00000000" w:rsidDel="00000000" w:rsidP="00000000" w:rsidRDefault="00000000" w:rsidRPr="00000000" w14:paraId="00000070">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Koehler, M. y Punya, M. (2006). Technological Pedagogical Content Knowledge: A Framework for Teacher Knowledge. Teachers College Record, 108(6), 1017-1054. Disponible en inglés en: </w:t>
      </w:r>
      <w:hyperlink r:id="rId12">
        <w:r w:rsidDel="00000000" w:rsidR="00000000" w:rsidRPr="00000000">
          <w:rPr>
            <w:rFonts w:ascii="Arial" w:cs="Arial" w:eastAsia="Arial" w:hAnsi="Arial"/>
            <w:color w:val="1155cc"/>
            <w:u w:val="single"/>
            <w:rtl w:val="0"/>
          </w:rPr>
          <w:t xml:space="preserve">http://punya.educ.msu.edu/publications/journal_articles/mishra-koehlertcr2006.pdf</w:t>
        </w:r>
      </w:hyperlink>
      <w:r w:rsidDel="00000000" w:rsidR="00000000" w:rsidRPr="00000000">
        <w:rPr>
          <w:rFonts w:ascii="Arial" w:cs="Arial" w:eastAsia="Arial" w:hAnsi="Arial"/>
          <w:rtl w:val="0"/>
        </w:rPr>
        <w:t xml:space="preserve"> (Última consulta: febrero de 2013)</w:t>
      </w:r>
      <w:r w:rsidDel="00000000" w:rsidR="00000000" w:rsidRPr="00000000">
        <w:rPr>
          <w:rtl w:val="0"/>
        </w:rPr>
      </w:r>
    </w:p>
    <w:p w:rsidR="00000000" w:rsidDel="00000000" w:rsidP="00000000" w:rsidRDefault="00000000" w:rsidRPr="00000000" w14:paraId="00000071">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Lion, C.; Lombardo, C. y Mansur, A. (2015). Perspectivas y constructos para una educación a distancia re-concebida. Revista del IICE, 37, p. 101-118</w:t>
      </w:r>
      <w:r w:rsidDel="00000000" w:rsidR="00000000" w:rsidRPr="00000000">
        <w:rPr>
          <w:rtl w:val="0"/>
        </w:rPr>
      </w:r>
    </w:p>
    <w:p w:rsidR="00000000" w:rsidDel="00000000" w:rsidP="00000000" w:rsidRDefault="00000000" w:rsidRPr="00000000" w14:paraId="00000072">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Lucarelli, E. (2004). Prácticas innovadoras en la formación del docente universitario. Educação. 3 (54), pp. 503-534. Disponible en: </w:t>
      </w:r>
      <w:hyperlink r:id="rId13">
        <w:r w:rsidDel="00000000" w:rsidR="00000000" w:rsidRPr="00000000">
          <w:rPr>
            <w:rFonts w:ascii="Arial" w:cs="Arial" w:eastAsia="Arial" w:hAnsi="Arial"/>
            <w:color w:val="1155cc"/>
            <w:u w:val="single"/>
            <w:rtl w:val="0"/>
          </w:rPr>
          <w:t xml:space="preserve">http://revistaseletronicas.pucrs.br/ojs/index.php/faced/article/viewFile/396/293</w:t>
        </w:r>
      </w:hyperlink>
      <w:r w:rsidDel="00000000" w:rsidR="00000000" w:rsidRPr="00000000">
        <w:rPr>
          <w:rtl w:val="0"/>
        </w:rPr>
      </w:r>
    </w:p>
    <w:p w:rsidR="00000000" w:rsidDel="00000000" w:rsidP="00000000" w:rsidRDefault="00000000" w:rsidRPr="00000000" w14:paraId="00000073">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Malet, A. y Monetti, E. (Comps.) (2014). Debates universitarios acerca de lo didáctico y la formación docente. Didáctica general y didácticas específicas. Estrategias de enseñanza. Ambientes de aprendizaje. Buenos Aires: Noveduc</w:t>
      </w:r>
      <w:r w:rsidDel="00000000" w:rsidR="00000000" w:rsidRPr="00000000">
        <w:rPr>
          <w:rtl w:val="0"/>
        </w:rPr>
      </w:r>
    </w:p>
    <w:p w:rsidR="00000000" w:rsidDel="00000000" w:rsidP="00000000" w:rsidRDefault="00000000" w:rsidRPr="00000000" w14:paraId="00000074">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Maggio, M. (2012). Enriquecer la enseñanza. Los ambientes con alta disposición tecnológica como oportunidad. Buenos Aires: Paidós.</w:t>
      </w:r>
      <w:r w:rsidDel="00000000" w:rsidR="00000000" w:rsidRPr="00000000">
        <w:rPr>
          <w:rtl w:val="0"/>
        </w:rPr>
      </w:r>
    </w:p>
    <w:p w:rsidR="00000000" w:rsidDel="00000000" w:rsidP="00000000" w:rsidRDefault="00000000" w:rsidRPr="00000000" w14:paraId="00000075">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Maggio, M. (2018). Reinventar la clase en la universidad. Buenos Aires: Paidós</w:t>
      </w:r>
      <w:r w:rsidDel="00000000" w:rsidR="00000000" w:rsidRPr="00000000">
        <w:rPr>
          <w:rtl w:val="0"/>
        </w:rPr>
      </w:r>
    </w:p>
    <w:p w:rsidR="00000000" w:rsidDel="00000000" w:rsidP="00000000" w:rsidRDefault="00000000" w:rsidRPr="00000000" w14:paraId="00000076">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Maggio, M (2021): Educación en pandemia. Buenos Aires: Paidós.</w:t>
      </w:r>
      <w:r w:rsidDel="00000000" w:rsidR="00000000" w:rsidRPr="00000000">
        <w:rPr>
          <w:rtl w:val="0"/>
        </w:rPr>
      </w:r>
    </w:p>
    <w:p w:rsidR="00000000" w:rsidDel="00000000" w:rsidP="00000000" w:rsidRDefault="00000000" w:rsidRPr="00000000" w14:paraId="00000077">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Paparini, C. y Ozollo, F. (2015) Calidad y derecho a la educación superior. Integración y conocimiento. N° 3. Pp. 102-111</w:t>
      </w:r>
      <w:r w:rsidDel="00000000" w:rsidR="00000000" w:rsidRPr="00000000">
        <w:rPr>
          <w:rtl w:val="0"/>
        </w:rPr>
      </w:r>
    </w:p>
    <w:p w:rsidR="00000000" w:rsidDel="00000000" w:rsidP="00000000" w:rsidRDefault="00000000" w:rsidRPr="00000000" w14:paraId="00000078">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Parrino, M. C. (2014). Factores intervinientes en el fenómeno de la deserción universitaria. Revista Argentina de Educación Superior. Año 6. Nº 8</w:t>
      </w:r>
      <w:r w:rsidDel="00000000" w:rsidR="00000000" w:rsidRPr="00000000">
        <w:rPr>
          <w:rtl w:val="0"/>
        </w:rPr>
      </w:r>
    </w:p>
    <w:p w:rsidR="00000000" w:rsidDel="00000000" w:rsidP="00000000" w:rsidRDefault="00000000" w:rsidRPr="00000000" w14:paraId="00000079">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Pierella, M. P. (2011) El ingreso a la universidad como experiencia subjetiva y cultural en la Universidad Nacional de Rosario. Revista Argentina de Educación Superior. Año 3. Nº 3</w:t>
      </w:r>
      <w:r w:rsidDel="00000000" w:rsidR="00000000" w:rsidRPr="00000000">
        <w:rPr>
          <w:rtl w:val="0"/>
        </w:rPr>
      </w:r>
    </w:p>
    <w:p w:rsidR="00000000" w:rsidDel="00000000" w:rsidP="00000000" w:rsidRDefault="00000000" w:rsidRPr="00000000" w14:paraId="0000007A">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Rabossi, M. (2020). La universidad en escenario de pandemia: Reacción y futuro en la Argentina. En: AAVV, Pospandemia. 53 políticas públicas para el mundo que viene. Ciudad Autónoma de Buenos Aires: Universidad Torcuato Di Tella </w:t>
      </w:r>
      <w:r w:rsidDel="00000000" w:rsidR="00000000" w:rsidRPr="00000000">
        <w:rPr>
          <w:rtl w:val="0"/>
        </w:rPr>
      </w:r>
    </w:p>
    <w:p w:rsidR="00000000" w:rsidDel="00000000" w:rsidP="00000000" w:rsidRDefault="00000000" w:rsidRPr="00000000" w14:paraId="0000007B">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Roig, H. (2020). La calidad de la enseñanza en tiempos de virtualización. [PDF]. Enseñanza sin presencialidad: reflexiones y orientaciones pedagógicas. Citep. http://citep.rec.uba.ar/covid-19-ens-sin-pres/</w:t>
      </w:r>
      <w:r w:rsidDel="00000000" w:rsidR="00000000" w:rsidRPr="00000000">
        <w:rPr>
          <w:rtl w:val="0"/>
        </w:rPr>
      </w:r>
    </w:p>
    <w:p w:rsidR="00000000" w:rsidDel="00000000" w:rsidP="00000000" w:rsidRDefault="00000000" w:rsidRPr="00000000" w14:paraId="0000007C">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Roig Vila, R. (Ed.) (2019). Investigación e innovación en la enseñanza superior. Nuevos contextos, nuevas ideas. Barcelona: Octaedro </w:t>
      </w:r>
      <w:r w:rsidDel="00000000" w:rsidR="00000000" w:rsidRPr="00000000">
        <w:rPr>
          <w:rtl w:val="0"/>
        </w:rPr>
      </w:r>
    </w:p>
    <w:p w:rsidR="00000000" w:rsidDel="00000000" w:rsidP="00000000" w:rsidRDefault="00000000" w:rsidRPr="00000000" w14:paraId="0000007D">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Rottemberg, R. (2008). Medios y materiales didácticos: mucho más que apoyos para la enseñanza, Revista El educador, Agosto 2008. 28 </w:t>
      </w:r>
      <w:r w:rsidDel="00000000" w:rsidR="00000000" w:rsidRPr="00000000">
        <w:rPr>
          <w:rtl w:val="0"/>
        </w:rPr>
      </w:r>
    </w:p>
    <w:p w:rsidR="00000000" w:rsidDel="00000000" w:rsidP="00000000" w:rsidRDefault="00000000" w:rsidRPr="00000000" w14:paraId="0000007E">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San Martín, A. (1991). La organización escolar. Cuadernos de Pedagogía, No. 194, pp. 26-28</w:t>
      </w:r>
      <w:r w:rsidDel="00000000" w:rsidR="00000000" w:rsidRPr="00000000">
        <w:rPr>
          <w:rtl w:val="0"/>
        </w:rPr>
      </w:r>
    </w:p>
    <w:p w:rsidR="00000000" w:rsidDel="00000000" w:rsidP="00000000" w:rsidRDefault="00000000" w:rsidRPr="00000000" w14:paraId="0000007F">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Schwartzman, G., Tarasow F. y Trech M. (2014): De la educación a distancia a la educación en línea. Santa Fe: Homosapiens.</w:t>
      </w:r>
      <w:r w:rsidDel="00000000" w:rsidR="00000000" w:rsidRPr="00000000">
        <w:rPr>
          <w:rtl w:val="0"/>
        </w:rPr>
      </w:r>
    </w:p>
    <w:p w:rsidR="00000000" w:rsidDel="00000000" w:rsidP="00000000" w:rsidRDefault="00000000" w:rsidRPr="00000000" w14:paraId="00000080">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Steiman, J. (2008). Más didáctica (en la educación superior). Buenos Aires: Miño y Dávila.</w:t>
      </w:r>
      <w:r w:rsidDel="00000000" w:rsidR="00000000" w:rsidRPr="00000000">
        <w:rPr>
          <w:rtl w:val="0"/>
        </w:rPr>
      </w:r>
    </w:p>
    <w:p w:rsidR="00000000" w:rsidDel="00000000" w:rsidP="00000000" w:rsidRDefault="00000000" w:rsidRPr="00000000" w14:paraId="00000081">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Waserman, S. (1999). La enseñanza del método de casos. Buenos Aires: Amorrortu. </w:t>
      </w:r>
      <w:r w:rsidDel="00000000" w:rsidR="00000000" w:rsidRPr="00000000">
        <w:rPr>
          <w:rtl w:val="0"/>
        </w:rPr>
      </w:r>
    </w:p>
    <w:p w:rsidR="00000000" w:rsidDel="00000000" w:rsidP="00000000" w:rsidRDefault="00000000" w:rsidRPr="00000000" w14:paraId="00000082">
      <w:pPr>
        <w:numPr>
          <w:ilvl w:val="0"/>
          <w:numId w:val="1"/>
        </w:numPr>
        <w:shd w:fill="ffffff" w:val="clear"/>
        <w:tabs>
          <w:tab w:val="left" w:pos="1425"/>
        </w:tabs>
        <w:spacing w:after="0" w:line="36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Yen, S. C., Lo, Y., Lee, A., &amp; Enriquez, J. (2018). Learning online, offline, and in-between: comparing student academic outcomes and course satisfaction in face-to-face, online, and blended teaching modalities. Education and Information Technologies, 23(5), 2141-2153. </w:t>
      </w:r>
      <w:r w:rsidDel="00000000" w:rsidR="00000000" w:rsidRPr="00000000">
        <w:rPr>
          <w:rtl w:val="0"/>
        </w:rPr>
      </w:r>
    </w:p>
    <w:p w:rsidR="00000000" w:rsidDel="00000000" w:rsidP="00000000" w:rsidRDefault="00000000" w:rsidRPr="00000000" w14:paraId="00000083">
      <w:pPr>
        <w:shd w:fill="ffffff" w:val="clear"/>
        <w:tabs>
          <w:tab w:val="left" w:pos="1425"/>
        </w:tabs>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84">
      <w:pPr>
        <w:shd w:fill="ffffff" w:val="clear"/>
        <w:tabs>
          <w:tab w:val="left" w:pos="1425"/>
        </w:tabs>
        <w:spacing w:after="0" w:line="360" w:lineRule="auto"/>
        <w:ind w:left="284" w:firstLine="0"/>
        <w:rPr>
          <w:rFonts w:ascii="Arial" w:cs="Arial" w:eastAsia="Arial" w:hAnsi="Arial"/>
        </w:rPr>
      </w:pPr>
      <w:r w:rsidDel="00000000" w:rsidR="00000000" w:rsidRPr="00000000">
        <w:rPr>
          <w:rtl w:val="0"/>
        </w:rPr>
      </w:r>
    </w:p>
    <w:sectPr>
      <w:headerReference r:id="rId14" w:type="default"/>
      <w:footerReference r:id="rId15" w:type="default"/>
      <w:pgSz w:h="16839" w:w="11907"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Auspiciante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2119960</wp:posOffset>
          </wp:positionH>
          <wp:positionV relativeFrom="paragraph">
            <wp:posOffset>-177163</wp:posOffset>
          </wp:positionV>
          <wp:extent cx="1057910" cy="503555"/>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7910" cy="50355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right" w:pos="8505"/>
      </w:tabs>
      <w:spacing w:after="0" w:before="0" w:line="240" w:lineRule="auto"/>
      <w:ind w:left="284"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644800" cy="1292400"/>
          <wp:effectExtent b="0" l="0" r="0" t="0"/>
          <wp:docPr id="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644800" cy="1292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219E"/>
  </w:style>
  <w:style w:type="paragraph" w:styleId="Ttulo2">
    <w:name w:val="heading 2"/>
    <w:basedOn w:val="Normal"/>
    <w:link w:val="Ttulo2Car"/>
    <w:uiPriority w:val="9"/>
    <w:qFormat w:val="1"/>
    <w:rsid w:val="00E8364A"/>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s-AR"/>
    </w:rPr>
  </w:style>
  <w:style w:type="paragraph" w:styleId="Ttulo3">
    <w:name w:val="heading 3"/>
    <w:basedOn w:val="Normal"/>
    <w:link w:val="Ttulo3Car"/>
    <w:uiPriority w:val="9"/>
    <w:qFormat w:val="1"/>
    <w:rsid w:val="00E8364A"/>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s-AR"/>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6148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6148E"/>
  </w:style>
  <w:style w:type="paragraph" w:styleId="Piedepgina">
    <w:name w:val="footer"/>
    <w:basedOn w:val="Normal"/>
    <w:link w:val="PiedepginaCar"/>
    <w:uiPriority w:val="99"/>
    <w:unhideWhenUsed w:val="1"/>
    <w:rsid w:val="00D6148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6148E"/>
  </w:style>
  <w:style w:type="character" w:styleId="Hipervnculo">
    <w:name w:val="Hyperlink"/>
    <w:basedOn w:val="Fuentedeprrafopredeter"/>
    <w:uiPriority w:val="99"/>
    <w:unhideWhenUsed w:val="1"/>
    <w:rsid w:val="00D6148E"/>
    <w:rPr>
      <w:color w:val="0563c1" w:themeColor="hyperlink"/>
      <w:u w:val="single"/>
    </w:rPr>
  </w:style>
  <w:style w:type="character" w:styleId="Textoennegrita">
    <w:name w:val="Strong"/>
    <w:basedOn w:val="Fuentedeprrafopredeter"/>
    <w:uiPriority w:val="22"/>
    <w:qFormat w:val="1"/>
    <w:rsid w:val="003268D7"/>
    <w:rPr>
      <w:b w:val="1"/>
      <w:bCs w:val="1"/>
    </w:rPr>
  </w:style>
  <w:style w:type="character" w:styleId="nfasis">
    <w:name w:val="Emphasis"/>
    <w:basedOn w:val="Fuentedeprrafopredeter"/>
    <w:uiPriority w:val="20"/>
    <w:qFormat w:val="1"/>
    <w:rsid w:val="003268D7"/>
    <w:rPr>
      <w:i w:val="1"/>
      <w:iCs w:val="1"/>
    </w:rPr>
  </w:style>
  <w:style w:type="table" w:styleId="Tablaconcuadrcula">
    <w:name w:val="Table Grid"/>
    <w:basedOn w:val="Tablanormal"/>
    <w:uiPriority w:val="59"/>
    <w:rsid w:val="003F12D2"/>
    <w:pPr>
      <w:spacing w:after="0" w:line="240" w:lineRule="auto"/>
    </w:pPr>
    <w:rPr>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C66BD3"/>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C66BD3"/>
    <w:rPr>
      <w:rFonts w:ascii="Segoe UI" w:cs="Segoe UI" w:hAnsi="Segoe UI"/>
      <w:sz w:val="18"/>
      <w:szCs w:val="18"/>
    </w:rPr>
  </w:style>
  <w:style w:type="paragraph" w:styleId="Sinespaciado">
    <w:name w:val="No Spacing"/>
    <w:uiPriority w:val="1"/>
    <w:qFormat w:val="1"/>
    <w:rsid w:val="00BD219E"/>
    <w:pPr>
      <w:spacing w:after="0" w:line="240" w:lineRule="auto"/>
    </w:pPr>
    <w:rPr>
      <w:lang w:val="es-ES"/>
    </w:rPr>
  </w:style>
  <w:style w:type="paragraph" w:styleId="m4534101841712231497gmail-m-7771233109294620975gmail-msolistparagraph" w:customStyle="1">
    <w:name w:val="m_4534101841712231497gmail-m_-7771233109294620975gmail-msolistparagraph"/>
    <w:basedOn w:val="Normal"/>
    <w:rsid w:val="00367D4B"/>
    <w:pPr>
      <w:spacing w:after="100" w:afterAutospacing="1" w:before="100" w:beforeAutospacing="1" w:line="240" w:lineRule="auto"/>
    </w:pPr>
    <w:rPr>
      <w:rFonts w:ascii="Times New Roman" w:cs="Times New Roman" w:eastAsia="Times New Roman" w:hAnsi="Times New Roman"/>
      <w:sz w:val="24"/>
      <w:szCs w:val="24"/>
      <w:lang w:eastAsia="es-AR"/>
    </w:rPr>
  </w:style>
  <w:style w:type="character" w:styleId="Ttulo2Car" w:customStyle="1">
    <w:name w:val="Título 2 Car"/>
    <w:basedOn w:val="Fuentedeprrafopredeter"/>
    <w:link w:val="Ttulo2"/>
    <w:uiPriority w:val="9"/>
    <w:rsid w:val="00E8364A"/>
    <w:rPr>
      <w:rFonts w:ascii="Times New Roman" w:cs="Times New Roman" w:eastAsia="Times New Roman" w:hAnsi="Times New Roman"/>
      <w:b w:val="1"/>
      <w:bCs w:val="1"/>
      <w:sz w:val="36"/>
      <w:szCs w:val="36"/>
      <w:lang w:eastAsia="es-AR"/>
    </w:rPr>
  </w:style>
  <w:style w:type="character" w:styleId="Ttulo3Car" w:customStyle="1">
    <w:name w:val="Título 3 Car"/>
    <w:basedOn w:val="Fuentedeprrafopredeter"/>
    <w:link w:val="Ttulo3"/>
    <w:uiPriority w:val="9"/>
    <w:rsid w:val="00E8364A"/>
    <w:rPr>
      <w:rFonts w:ascii="Times New Roman" w:cs="Times New Roman" w:eastAsia="Times New Roman" w:hAnsi="Times New Roman"/>
      <w:b w:val="1"/>
      <w:bCs w:val="1"/>
      <w:sz w:val="27"/>
      <w:szCs w:val="27"/>
      <w:lang w:eastAsia="es-AR"/>
    </w:rPr>
  </w:style>
  <w:style w:type="paragraph" w:styleId="NormalWeb">
    <w:name w:val="Normal (Web)"/>
    <w:basedOn w:val="Normal"/>
    <w:uiPriority w:val="99"/>
    <w:semiHidden w:val="1"/>
    <w:unhideWhenUsed w:val="1"/>
    <w:rsid w:val="00E8364A"/>
    <w:pPr>
      <w:spacing w:after="100" w:afterAutospacing="1" w:before="100" w:beforeAutospacing="1" w:line="240" w:lineRule="auto"/>
    </w:pPr>
    <w:rPr>
      <w:rFonts w:ascii="Times New Roman" w:cs="Times New Roman" w:eastAsia="Times New Roman" w:hAnsi="Times New Roman"/>
      <w:sz w:val="24"/>
      <w:szCs w:val="24"/>
      <w:lang w:eastAsia="es-AR"/>
    </w:rPr>
  </w:style>
  <w:style w:type="paragraph" w:styleId="Prrafodelista">
    <w:name w:val="List Paragraph"/>
    <w:basedOn w:val="Normal"/>
    <w:uiPriority w:val="34"/>
    <w:qFormat w:val="1"/>
    <w:rsid w:val="00A640B7"/>
    <w:pPr>
      <w:ind w:left="720"/>
      <w:contextualSpacing w:val="1"/>
    </w:pPr>
  </w:style>
  <w:style w:type="paragraph" w:styleId="Textonotapie">
    <w:name w:val="footnote text"/>
    <w:basedOn w:val="Normal"/>
    <w:link w:val="TextonotapieCar"/>
    <w:uiPriority w:val="99"/>
    <w:semiHidden w:val="1"/>
    <w:unhideWhenUsed w:val="1"/>
    <w:rsid w:val="0075755E"/>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75755E"/>
    <w:rPr>
      <w:sz w:val="20"/>
      <w:szCs w:val="20"/>
    </w:rPr>
  </w:style>
  <w:style w:type="character" w:styleId="Refdenotaalpie">
    <w:name w:val="footnote reference"/>
    <w:basedOn w:val="Fuentedeprrafopredeter"/>
    <w:uiPriority w:val="99"/>
    <w:semiHidden w:val="1"/>
    <w:unhideWhenUsed w:val="1"/>
    <w:rsid w:val="0075755E"/>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citep.rec.uba.ar/covid-19-ens-sinpres/" TargetMode="External"/><Relationship Id="rId10" Type="http://schemas.openxmlformats.org/officeDocument/2006/relationships/hyperlink" Target="http://citep.rec.uba.ar/covid-19-ens-sin-pres/" TargetMode="External"/><Relationship Id="rId13" Type="http://schemas.openxmlformats.org/officeDocument/2006/relationships/hyperlink" Target="http://revistaseletronicas.pucrs.br/ojs/index.php/faced/article/viewFile/396/293" TargetMode="External"/><Relationship Id="rId12" Type="http://schemas.openxmlformats.org/officeDocument/2006/relationships/hyperlink" Target="http://punya.educ.msu.edu/publications/journal_articles/mishra-koehlertcr2006.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vistas.unlp.edu.ar/TrayectoriasUniversitarias/article/view/2309Econ%C3%B3mica"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ampus.unsanisidro.edu.ar" TargetMode="External"/><Relationship Id="rId8" Type="http://schemas.openxmlformats.org/officeDocument/2006/relationships/hyperlink" Target="http://www.iesalc.unesco.org/wp-content/uploads/2020/05/COVID-19-ES-13052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QnKkENfUARWBgddbnr091a1m8Q==">AMUW2mU39R0mq4WrAwgOVJk3RWdiTTxWsq31TxNnSsfb8cqK7RWf49ZqvvGRdPYzeCn+67ewObRvxF1XiTdluarCywfP1E1cJQ5T+QmqGKRcKgEkwaRrL1s5ZxXfCVeuQ0uPKVpK6e+T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2022-10-05T16:41:00Z</dcterms:created>
  <dc:creator>Lalys</dc:creator>
</cp:coreProperties>
</file>