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D2" w:rsidRPr="00BE3D0F" w:rsidRDefault="00B105D2" w:rsidP="00B105D2">
      <w:pPr>
        <w:spacing w:line="360" w:lineRule="auto"/>
        <w:jc w:val="both"/>
        <w:rPr>
          <w:rFonts w:ascii="Times New Roman" w:hAnsi="Times New Roman" w:cs="Times New Roman"/>
          <w:sz w:val="24"/>
          <w:lang w:val="es-ES"/>
        </w:rPr>
      </w:pPr>
      <w:r w:rsidRPr="00BE3D0F">
        <w:rPr>
          <w:rFonts w:ascii="Times New Roman" w:hAnsi="Times New Roman" w:cs="Times New Roman"/>
          <w:b/>
          <w:sz w:val="24"/>
          <w:lang w:val="es-ES"/>
        </w:rPr>
        <w:t>Título de la ponencia:</w:t>
      </w:r>
      <w:r w:rsidRPr="00BE3D0F">
        <w:rPr>
          <w:rFonts w:ascii="Times New Roman" w:hAnsi="Times New Roman" w:cs="Times New Roman"/>
          <w:sz w:val="24"/>
          <w:lang w:val="es-ES"/>
        </w:rPr>
        <w:t xml:space="preserve"> La movilidad social en el espacio multidimensional. CABA 2012-2013.</w:t>
      </w:r>
    </w:p>
    <w:p w:rsidR="00B105D2" w:rsidRPr="00BE3D0F" w:rsidRDefault="00B105D2" w:rsidP="00B105D2">
      <w:pPr>
        <w:spacing w:line="360" w:lineRule="auto"/>
        <w:jc w:val="both"/>
        <w:rPr>
          <w:rFonts w:ascii="Times New Roman" w:hAnsi="Times New Roman" w:cs="Times New Roman"/>
          <w:sz w:val="24"/>
          <w:lang w:val="es-ES"/>
        </w:rPr>
      </w:pPr>
      <w:r w:rsidRPr="00BE3D0F">
        <w:rPr>
          <w:rFonts w:ascii="Times New Roman" w:hAnsi="Times New Roman" w:cs="Times New Roman"/>
          <w:b/>
          <w:sz w:val="24"/>
          <w:lang w:val="es-ES"/>
        </w:rPr>
        <w:t xml:space="preserve">Nombre y apellido: </w:t>
      </w:r>
      <w:r w:rsidRPr="00BE3D0F">
        <w:rPr>
          <w:rFonts w:ascii="Times New Roman" w:hAnsi="Times New Roman" w:cs="Times New Roman"/>
          <w:sz w:val="24"/>
          <w:lang w:val="es-ES"/>
        </w:rPr>
        <w:t>Lic.</w:t>
      </w:r>
      <w:r w:rsidRPr="00BE3D0F">
        <w:rPr>
          <w:rFonts w:ascii="Times New Roman" w:hAnsi="Times New Roman" w:cs="Times New Roman"/>
          <w:b/>
          <w:sz w:val="24"/>
          <w:lang w:val="es-ES"/>
        </w:rPr>
        <w:t xml:space="preserve"> </w:t>
      </w:r>
      <w:r w:rsidRPr="00BE3D0F">
        <w:rPr>
          <w:rFonts w:ascii="Times New Roman" w:hAnsi="Times New Roman" w:cs="Times New Roman"/>
          <w:sz w:val="24"/>
          <w:lang w:val="es-ES"/>
        </w:rPr>
        <w:t>José Javier Rodríguez de la Fuente</w:t>
      </w:r>
    </w:p>
    <w:p w:rsidR="00B105D2" w:rsidRDefault="00B105D2" w:rsidP="00B105D2">
      <w:pPr>
        <w:spacing w:line="360" w:lineRule="auto"/>
        <w:jc w:val="both"/>
        <w:rPr>
          <w:rFonts w:ascii="Times New Roman" w:hAnsi="Times New Roman" w:cs="Times New Roman"/>
          <w:sz w:val="24"/>
          <w:lang w:val="es-ES"/>
        </w:rPr>
      </w:pPr>
      <w:r w:rsidRPr="00BE3D0F">
        <w:rPr>
          <w:rFonts w:ascii="Times New Roman" w:hAnsi="Times New Roman" w:cs="Times New Roman"/>
          <w:b/>
          <w:sz w:val="24"/>
          <w:lang w:val="es-ES"/>
        </w:rPr>
        <w:t>Pertenencia institucional:</w:t>
      </w:r>
      <w:r w:rsidRPr="00BE3D0F">
        <w:rPr>
          <w:rFonts w:ascii="Times New Roman" w:hAnsi="Times New Roman" w:cs="Times New Roman"/>
          <w:sz w:val="24"/>
          <w:lang w:val="es-ES"/>
        </w:rPr>
        <w:t xml:space="preserve"> </w:t>
      </w:r>
      <w:r>
        <w:rPr>
          <w:rFonts w:ascii="Times New Roman" w:hAnsi="Times New Roman" w:cs="Times New Roman"/>
          <w:sz w:val="24"/>
          <w:lang w:val="es-ES"/>
        </w:rPr>
        <w:t>Becario doctoral CONICET. Integrante del g</w:t>
      </w:r>
      <w:r w:rsidRPr="00BE3D0F">
        <w:rPr>
          <w:rFonts w:ascii="Times New Roman" w:hAnsi="Times New Roman" w:cs="Times New Roman"/>
          <w:sz w:val="24"/>
          <w:lang w:val="es-ES"/>
        </w:rPr>
        <w:t>rupo “Desigualdad y Movilidad Social”, perteneciente al Programa Cambio Estructural y Desigualdad Social del Instituto de Investigaciones Gino Germani, Facultad de Ciencias Sociales, Universidad de Buenos Aires.</w:t>
      </w:r>
    </w:p>
    <w:p w:rsidR="00B105D2" w:rsidRPr="00BE3D0F" w:rsidRDefault="00B105D2" w:rsidP="00B105D2">
      <w:pPr>
        <w:spacing w:line="360" w:lineRule="auto"/>
        <w:jc w:val="both"/>
        <w:rPr>
          <w:rFonts w:ascii="Times New Roman" w:hAnsi="Times New Roman" w:cs="Times New Roman"/>
          <w:sz w:val="24"/>
          <w:lang w:val="es-ES"/>
        </w:rPr>
      </w:pPr>
      <w:r>
        <w:rPr>
          <w:rFonts w:ascii="Times New Roman" w:hAnsi="Times New Roman" w:cs="Times New Roman"/>
          <w:b/>
          <w:sz w:val="24"/>
          <w:lang w:val="es-ES"/>
        </w:rPr>
        <w:t xml:space="preserve">Correo electrónico: </w:t>
      </w:r>
      <w:r>
        <w:rPr>
          <w:rFonts w:ascii="Times New Roman" w:hAnsi="Times New Roman" w:cs="Times New Roman"/>
          <w:sz w:val="24"/>
          <w:lang w:val="es-ES"/>
        </w:rPr>
        <w:t>josedelafuente_86@hotmail.com</w:t>
      </w:r>
    </w:p>
    <w:p w:rsidR="00B105D2" w:rsidRDefault="00B105D2" w:rsidP="00B105D2">
      <w:pPr>
        <w:pStyle w:val="Prrafodelista"/>
        <w:spacing w:after="0" w:line="360" w:lineRule="auto"/>
        <w:ind w:left="0"/>
        <w:contextualSpacing w:val="0"/>
        <w:jc w:val="both"/>
        <w:rPr>
          <w:rFonts w:ascii="Times New Roman" w:hAnsi="Times New Roman" w:cs="Times New Roman"/>
          <w:b/>
          <w:sz w:val="24"/>
        </w:rPr>
      </w:pPr>
    </w:p>
    <w:p w:rsidR="00B105D2" w:rsidRDefault="00B105D2" w:rsidP="00B105D2">
      <w:pPr>
        <w:pStyle w:val="Prrafodelista"/>
        <w:spacing w:after="0" w:line="360" w:lineRule="auto"/>
        <w:ind w:left="0"/>
        <w:contextualSpacing w:val="0"/>
        <w:jc w:val="both"/>
        <w:rPr>
          <w:rFonts w:ascii="Times New Roman" w:hAnsi="Times New Roman" w:cs="Times New Roman"/>
          <w:b/>
          <w:sz w:val="24"/>
        </w:rPr>
      </w:pPr>
      <w:r>
        <w:rPr>
          <w:rFonts w:ascii="Times New Roman" w:hAnsi="Times New Roman" w:cs="Times New Roman"/>
          <w:b/>
          <w:sz w:val="24"/>
        </w:rPr>
        <w:t>Introducción</w:t>
      </w:r>
    </w:p>
    <w:p w:rsidR="00B105D2" w:rsidRDefault="00B105D2" w:rsidP="00B105D2">
      <w:pPr>
        <w:spacing w:after="0" w:line="360" w:lineRule="auto"/>
        <w:jc w:val="both"/>
        <w:rPr>
          <w:rFonts w:ascii="Times New Roman" w:hAnsi="Times New Roman" w:cs="Times New Roman"/>
          <w:sz w:val="24"/>
        </w:rPr>
      </w:pPr>
      <w:r>
        <w:rPr>
          <w:rFonts w:ascii="Times New Roman" w:hAnsi="Times New Roman" w:cs="Times New Roman"/>
          <w:sz w:val="24"/>
          <w:lang w:val="es-ES"/>
        </w:rPr>
        <w:t>El presente trabajo</w:t>
      </w:r>
      <w:r w:rsidRPr="00BE3D0F">
        <w:rPr>
          <w:rFonts w:ascii="Times New Roman" w:hAnsi="Times New Roman" w:cs="Times New Roman"/>
          <w:sz w:val="24"/>
          <w:lang w:val="es-ES"/>
        </w:rPr>
        <w:t xml:space="preserve"> tiene como principal objetivo caracterizar los procesos de movilidad social intergeneracional en la Ciudad de Buenos Aires, a partir de un relevamiento</w:t>
      </w:r>
      <w:r>
        <w:rPr>
          <w:rFonts w:ascii="Times New Roman" w:hAnsi="Times New Roman" w:cs="Times New Roman"/>
          <w:sz w:val="24"/>
          <w:lang w:val="es-ES"/>
        </w:rPr>
        <w:t xml:space="preserve"> por encuesta</w:t>
      </w:r>
      <w:r w:rsidRPr="00BE3D0F">
        <w:rPr>
          <w:rFonts w:ascii="Times New Roman" w:hAnsi="Times New Roman" w:cs="Times New Roman"/>
          <w:sz w:val="24"/>
          <w:lang w:val="es-ES"/>
        </w:rPr>
        <w:t xml:space="preserve"> realizado en los años 2012-2013. Lo que se intenta es comprender la relación existente entre el cambio o la reproducción de posicione</w:t>
      </w:r>
      <w:r>
        <w:rPr>
          <w:rFonts w:ascii="Times New Roman" w:hAnsi="Times New Roman" w:cs="Times New Roman"/>
          <w:sz w:val="24"/>
          <w:lang w:val="es-ES"/>
        </w:rPr>
        <w:t>s sociales y otros factores que dan cuenta de las condiciones de vida y el bienestar de los individuos</w:t>
      </w:r>
      <w:r w:rsidRPr="00BE3D0F">
        <w:rPr>
          <w:rFonts w:ascii="Times New Roman" w:hAnsi="Times New Roman" w:cs="Times New Roman"/>
          <w:sz w:val="24"/>
          <w:lang w:val="es-ES"/>
        </w:rPr>
        <w:t>: ingresos</w:t>
      </w:r>
      <w:r>
        <w:rPr>
          <w:rFonts w:ascii="Times New Roman" w:hAnsi="Times New Roman" w:cs="Times New Roman"/>
          <w:sz w:val="24"/>
          <w:lang w:val="es-ES"/>
        </w:rPr>
        <w:t xml:space="preserve"> monetarios</w:t>
      </w:r>
      <w:r w:rsidRPr="00BE3D0F">
        <w:rPr>
          <w:rFonts w:ascii="Times New Roman" w:hAnsi="Times New Roman" w:cs="Times New Roman"/>
          <w:sz w:val="24"/>
          <w:lang w:val="es-ES"/>
        </w:rPr>
        <w:t>, niveles de consumo,</w:t>
      </w:r>
      <w:r>
        <w:rPr>
          <w:rFonts w:ascii="Times New Roman" w:hAnsi="Times New Roman" w:cs="Times New Roman"/>
          <w:sz w:val="24"/>
          <w:lang w:val="es-ES"/>
        </w:rPr>
        <w:t xml:space="preserve"> tenencia de vivienda,</w:t>
      </w:r>
      <w:r w:rsidRPr="00BE3D0F">
        <w:rPr>
          <w:rFonts w:ascii="Times New Roman" w:hAnsi="Times New Roman" w:cs="Times New Roman"/>
          <w:sz w:val="24"/>
          <w:lang w:val="es-ES"/>
        </w:rPr>
        <w:t xml:space="preserve"> lugar de residencia, calidad del empleo, etc.</w:t>
      </w:r>
      <w:r>
        <w:rPr>
          <w:rFonts w:ascii="Times New Roman" w:hAnsi="Times New Roman" w:cs="Times New Roman"/>
          <w:sz w:val="24"/>
          <w:lang w:val="es-ES"/>
        </w:rPr>
        <w:t xml:space="preserve"> </w:t>
      </w:r>
      <w:r w:rsidRPr="007A0E05">
        <w:rPr>
          <w:rFonts w:ascii="Times New Roman" w:hAnsi="Times New Roman" w:cs="Times New Roman"/>
          <w:sz w:val="24"/>
        </w:rPr>
        <w:t>El interés y la relevancia de estas</w:t>
      </w:r>
      <w:r>
        <w:rPr>
          <w:rFonts w:ascii="Times New Roman" w:hAnsi="Times New Roman" w:cs="Times New Roman"/>
          <w:sz w:val="24"/>
        </w:rPr>
        <w:t xml:space="preserve"> indagaciones parte de la nece</w:t>
      </w:r>
      <w:r w:rsidRPr="007A0E05">
        <w:rPr>
          <w:rFonts w:ascii="Times New Roman" w:hAnsi="Times New Roman" w:cs="Times New Roman"/>
          <w:sz w:val="24"/>
        </w:rPr>
        <w:t>sidad de comprender al fenómeno de la movilidad social más allá de las categorizaciones clásicas de “movilidad ascendente” / “movilidad descendente”, es dec</w:t>
      </w:r>
      <w:r>
        <w:rPr>
          <w:rFonts w:ascii="Times New Roman" w:hAnsi="Times New Roman" w:cs="Times New Roman"/>
          <w:sz w:val="24"/>
        </w:rPr>
        <w:t>ir, se busca encontrar otros ma</w:t>
      </w:r>
      <w:r w:rsidRPr="007A0E05">
        <w:rPr>
          <w:rFonts w:ascii="Times New Roman" w:hAnsi="Times New Roman" w:cs="Times New Roman"/>
          <w:sz w:val="24"/>
        </w:rPr>
        <w:t xml:space="preserve">tices que puedan caracterizar y </w:t>
      </w:r>
      <w:r>
        <w:rPr>
          <w:rFonts w:ascii="Times New Roman" w:hAnsi="Times New Roman" w:cs="Times New Roman"/>
          <w:sz w:val="24"/>
        </w:rPr>
        <w:t>complejizar dichas lecturas, si</w:t>
      </w:r>
      <w:r w:rsidRPr="007A0E05">
        <w:rPr>
          <w:rFonts w:ascii="Times New Roman" w:hAnsi="Times New Roman" w:cs="Times New Roman"/>
          <w:sz w:val="24"/>
        </w:rPr>
        <w:t>tuando al fenómeno de la mov</w:t>
      </w:r>
      <w:r>
        <w:rPr>
          <w:rFonts w:ascii="Times New Roman" w:hAnsi="Times New Roman" w:cs="Times New Roman"/>
          <w:sz w:val="24"/>
        </w:rPr>
        <w:t>ilidad en un espacio multidimen</w:t>
      </w:r>
      <w:r w:rsidRPr="007A0E05">
        <w:rPr>
          <w:rFonts w:ascii="Times New Roman" w:hAnsi="Times New Roman" w:cs="Times New Roman"/>
          <w:sz w:val="24"/>
        </w:rPr>
        <w:t>sional</w:t>
      </w:r>
      <w:r>
        <w:rPr>
          <w:rFonts w:ascii="Times New Roman" w:hAnsi="Times New Roman" w:cs="Times New Roman"/>
          <w:sz w:val="24"/>
        </w:rPr>
        <w:t xml:space="preserve">. </w:t>
      </w:r>
    </w:p>
    <w:p w:rsidR="00B105D2" w:rsidRDefault="0071132B" w:rsidP="002D1B11">
      <w:pPr>
        <w:spacing w:after="0" w:line="360" w:lineRule="auto"/>
        <w:jc w:val="both"/>
        <w:rPr>
          <w:rFonts w:ascii="Times New Roman" w:hAnsi="Times New Roman" w:cs="Times New Roman"/>
          <w:sz w:val="24"/>
          <w:lang w:val="es-ES"/>
        </w:rPr>
      </w:pPr>
      <w:r>
        <w:rPr>
          <w:rFonts w:ascii="Times New Roman" w:hAnsi="Times New Roman" w:cs="Times New Roman"/>
          <w:sz w:val="24"/>
        </w:rPr>
        <w:t xml:space="preserve">De este modo, la ponencia se ha estructurado en torno a la hipótesis que indica que los factores adscriptivos de los sujetos encuestados (principalmente haciendo hincapié en la clase social de la familia de origen) guardan una correspondencia o asociación </w:t>
      </w:r>
      <w:r w:rsidR="000D7054">
        <w:rPr>
          <w:rFonts w:ascii="Times New Roman" w:hAnsi="Times New Roman" w:cs="Times New Roman"/>
          <w:sz w:val="24"/>
        </w:rPr>
        <w:t>con la posición de</w:t>
      </w:r>
      <w:r>
        <w:rPr>
          <w:rFonts w:ascii="Times New Roman" w:hAnsi="Times New Roman" w:cs="Times New Roman"/>
          <w:sz w:val="24"/>
        </w:rPr>
        <w:t xml:space="preserve"> clase de los individuos y sus condiciones de vida, medidas a través de los aspectos anteriormente citados. </w:t>
      </w:r>
      <w:r w:rsidR="002D1B11">
        <w:rPr>
          <w:rFonts w:ascii="Times New Roman" w:hAnsi="Times New Roman" w:cs="Times New Roman"/>
          <w:sz w:val="24"/>
        </w:rPr>
        <w:t xml:space="preserve">Adentrándose en el lenguaje teórico-metodológico que se utilizará, de lo que se trata es de comprender como los distintos aspectos adscriptos se vinculan con el espacio social de las desigualdades de clase y las condiciones de vida. </w:t>
      </w:r>
    </w:p>
    <w:p w:rsidR="00B105D2" w:rsidRPr="00BE3D0F" w:rsidRDefault="00B105D2" w:rsidP="00B105D2">
      <w:pPr>
        <w:spacing w:line="360" w:lineRule="auto"/>
        <w:jc w:val="both"/>
        <w:rPr>
          <w:rFonts w:ascii="Times New Roman" w:hAnsi="Times New Roman" w:cs="Times New Roman"/>
          <w:sz w:val="24"/>
          <w:lang w:val="es-ES"/>
        </w:rPr>
      </w:pPr>
      <w:r w:rsidRPr="00BE3D0F">
        <w:rPr>
          <w:rFonts w:ascii="Times New Roman" w:hAnsi="Times New Roman" w:cs="Times New Roman"/>
          <w:sz w:val="24"/>
          <w:lang w:val="es-ES"/>
        </w:rPr>
        <w:t xml:space="preserve">Para realizar este objetivo se parte de una propuesta metodológica particular para la construcción, análisis y validación de tipologías denominada “estructural y articulada” </w:t>
      </w:r>
      <w:r w:rsidR="003C4235">
        <w:rPr>
          <w:rFonts w:ascii="Times New Roman" w:hAnsi="Times New Roman" w:cs="Times New Roman"/>
          <w:sz w:val="24"/>
          <w:lang w:val="es-ES"/>
        </w:rPr>
        <w:fldChar w:fldCharType="begin"/>
      </w:r>
      <w:r w:rsidR="001F57ED">
        <w:rPr>
          <w:rFonts w:ascii="Times New Roman" w:hAnsi="Times New Roman" w:cs="Times New Roman"/>
          <w:sz w:val="24"/>
          <w:lang w:val="es-ES"/>
        </w:rPr>
        <w:instrText xml:space="preserve"> ADDIN ZOTERO_ITEM CSL_CITATION {"citationID":"cqQJJ63i","properties":{"formattedCitation":"{\\rtf (Fachelli, L\\uc0\\u243{}pez-Rold\\uc0\\u225{}n, L\\uc0\\u243{}pez, y Sourrouille, 2012; L\\uc0\\u243{}pez Rold\\uc0\\u225{}n, 1996)}","plainCitation":"(Fachelli, López-Roldán, López, y Sourrouille, 2012; López Roldán, 1996)"},"citationItems":[{"id":571,"uris":["http://zotero.org/users/2248776/items/UKE48HAJ"],"uri":["http://zotero.org/users/2248776/items/UKE48HAJ"],"itemData":{"id":571,"type":"article-journal","title":"DESIGUALDAD Y DIVERSIDAD EN AMÉRICA LATINA","container-title":"siteal.org","URL":"http://www.siteal.org/sites/default/files/siteal_libro_digital_desigualdad_y_diversidad.pdf","author":[{"family":"Fachelli","given":"S"},{"family":"López-Roldán","given":"P"},{"family":"López","given":"Néstor"},{"family":"Sourrouille","given":"Florencia"}],"issued":{"date-parts":[["2012"]]}}},{"id":54,"uris":["http://zotero.org/users/2248776/items/4D6EFH9G"],"uri":["http://zotero.org/users/2248776/items/4D6EFH9G"],"itemData":{"id":54,"type":"article-journal","title":"La construcción de tipologias: metodologia de análisis","page":"9-29","author":[{"family":"López Roldán","given":"Pedro"}],"issued":{"date-parts":[["1996"]]}}}],"schema":"https://github.com/citation-style-language/schema/raw/master/csl-citation.json"} </w:instrText>
      </w:r>
      <w:r w:rsidR="003C4235">
        <w:rPr>
          <w:rFonts w:ascii="Times New Roman" w:hAnsi="Times New Roman" w:cs="Times New Roman"/>
          <w:sz w:val="24"/>
          <w:lang w:val="es-ES"/>
        </w:rPr>
        <w:fldChar w:fldCharType="separate"/>
      </w:r>
      <w:r w:rsidR="002D1B11" w:rsidRPr="002D1B11">
        <w:rPr>
          <w:rFonts w:ascii="Times New Roman" w:hAnsi="Times New Roman" w:cs="Times New Roman"/>
          <w:sz w:val="24"/>
          <w:szCs w:val="24"/>
        </w:rPr>
        <w:t>(Fachelli, López-Roldán, López, y Sourrouille, 2012; López Roldán, 1996)</w:t>
      </w:r>
      <w:r w:rsidR="003C4235">
        <w:rPr>
          <w:rFonts w:ascii="Times New Roman" w:hAnsi="Times New Roman" w:cs="Times New Roman"/>
          <w:sz w:val="24"/>
          <w:lang w:val="es-ES"/>
        </w:rPr>
        <w:fldChar w:fldCharType="end"/>
      </w:r>
      <w:r w:rsidR="002D1B11">
        <w:rPr>
          <w:rFonts w:ascii="Times New Roman" w:hAnsi="Times New Roman" w:cs="Times New Roman"/>
          <w:sz w:val="24"/>
          <w:lang w:val="es-ES"/>
        </w:rPr>
        <w:t xml:space="preserve">. </w:t>
      </w:r>
      <w:r w:rsidRPr="00BE3D0F">
        <w:rPr>
          <w:rFonts w:ascii="Times New Roman" w:hAnsi="Times New Roman" w:cs="Times New Roman"/>
          <w:sz w:val="24"/>
          <w:lang w:val="es-ES"/>
        </w:rPr>
        <w:t>Dentro de este abordaje se utilizan las técnicas de análisis factorial de correspondencias múlti</w:t>
      </w:r>
      <w:r w:rsidR="00AD3B15">
        <w:rPr>
          <w:rFonts w:ascii="Times New Roman" w:hAnsi="Times New Roman" w:cs="Times New Roman"/>
          <w:sz w:val="24"/>
          <w:lang w:val="es-ES"/>
        </w:rPr>
        <w:t xml:space="preserve">ples </w:t>
      </w:r>
      <w:r w:rsidR="00AD3B15">
        <w:rPr>
          <w:rFonts w:ascii="Times New Roman" w:hAnsi="Times New Roman" w:cs="Times New Roman"/>
          <w:sz w:val="24"/>
          <w:lang w:val="es-ES"/>
        </w:rPr>
        <w:lastRenderedPageBreak/>
        <w:t>y el análisis de conglomerados</w:t>
      </w:r>
      <w:r w:rsidR="00AD3B15">
        <w:rPr>
          <w:rStyle w:val="Refdenotaalpie"/>
          <w:rFonts w:ascii="Times New Roman" w:hAnsi="Times New Roman" w:cs="Times New Roman"/>
          <w:sz w:val="24"/>
          <w:lang w:val="es-ES"/>
        </w:rPr>
        <w:footnoteReference w:id="1"/>
      </w:r>
      <w:r w:rsidR="00AD3B15">
        <w:rPr>
          <w:rFonts w:ascii="Times New Roman" w:hAnsi="Times New Roman" w:cs="Times New Roman"/>
          <w:sz w:val="24"/>
          <w:lang w:val="es-ES"/>
        </w:rPr>
        <w:t xml:space="preserve"> para la construcción de variables factoriales que expliquen la mayor cantidad de varianza posible y para la posterior construcción de grupos homogéneos al interior y heterogéneos entre sí. A través de dicha propuesta, de lo que se trata es de formalizar la construcción de una tipología no sólo desde el aspecto teórico, sino también metodológico</w:t>
      </w:r>
      <w:r w:rsidR="000007E1">
        <w:rPr>
          <w:rFonts w:ascii="Times New Roman" w:hAnsi="Times New Roman" w:cs="Times New Roman"/>
          <w:sz w:val="24"/>
          <w:lang w:val="es-ES"/>
        </w:rPr>
        <w:t xml:space="preserve"> </w:t>
      </w:r>
      <w:r w:rsidR="003C4235">
        <w:rPr>
          <w:rFonts w:ascii="Times New Roman" w:hAnsi="Times New Roman" w:cs="Times New Roman"/>
          <w:sz w:val="24"/>
          <w:lang w:val="es-ES"/>
        </w:rPr>
        <w:fldChar w:fldCharType="begin"/>
      </w:r>
      <w:r w:rsidR="001F57ED">
        <w:rPr>
          <w:rFonts w:ascii="Times New Roman" w:hAnsi="Times New Roman" w:cs="Times New Roman"/>
          <w:sz w:val="24"/>
          <w:lang w:val="es-ES"/>
        </w:rPr>
        <w:instrText xml:space="preserve"> ADDIN ZOTERO_ITEM CSL_CITATION {"citationID":"12icd9b5et","properties":{"formattedCitation":"{\\rtf (L\\uc0\\u243{}pez Rold\\uc0\\u225{}n, 1996, p 10)}","plainCitation":"(López Roldán, 1996, p 10)"},"citationItems":[{"id":54,"uris":["http://zotero.org/users/2248776/items/4D6EFH9G"],"uri":["http://zotero.org/users/2248776/items/4D6EFH9G"],"itemData":{"id":54,"type":"article-journal","title":"La construcción de tipologias: metodologia de análisis","page":"9-29","author":[{"family":"López Roldán","given":"Pedro"}],"issued":{"date-parts":[["1996"]]}},"locator":"10"}],"schema":"https://github.com/citation-style-language/schema/raw/master/csl-citation.json"} </w:instrText>
      </w:r>
      <w:r w:rsidR="003C4235">
        <w:rPr>
          <w:rFonts w:ascii="Times New Roman" w:hAnsi="Times New Roman" w:cs="Times New Roman"/>
          <w:sz w:val="24"/>
          <w:lang w:val="es-ES"/>
        </w:rPr>
        <w:fldChar w:fldCharType="separate"/>
      </w:r>
      <w:r w:rsidR="000007E1" w:rsidRPr="000007E1">
        <w:rPr>
          <w:rFonts w:ascii="Times New Roman" w:hAnsi="Times New Roman" w:cs="Times New Roman"/>
          <w:sz w:val="24"/>
          <w:szCs w:val="24"/>
        </w:rPr>
        <w:t>(López Roldán, 1996, p 10)</w:t>
      </w:r>
      <w:r w:rsidR="003C4235">
        <w:rPr>
          <w:rFonts w:ascii="Times New Roman" w:hAnsi="Times New Roman" w:cs="Times New Roman"/>
          <w:sz w:val="24"/>
          <w:lang w:val="es-ES"/>
        </w:rPr>
        <w:fldChar w:fldCharType="end"/>
      </w:r>
      <w:r w:rsidR="00AD3B15">
        <w:rPr>
          <w:rFonts w:ascii="Times New Roman" w:hAnsi="Times New Roman" w:cs="Times New Roman"/>
          <w:sz w:val="24"/>
          <w:lang w:val="es-ES"/>
        </w:rPr>
        <w:t xml:space="preserve">. </w:t>
      </w:r>
      <w:r w:rsidR="000D7054">
        <w:rPr>
          <w:rFonts w:ascii="Times New Roman" w:hAnsi="Times New Roman" w:cs="Times New Roman"/>
          <w:sz w:val="24"/>
          <w:lang w:val="es-ES"/>
        </w:rPr>
        <w:t xml:space="preserve">Esto implica una </w:t>
      </w:r>
      <w:r w:rsidR="00AD3B15">
        <w:rPr>
          <w:rFonts w:ascii="Times New Roman" w:hAnsi="Times New Roman" w:cs="Times New Roman"/>
          <w:sz w:val="24"/>
          <w:lang w:val="es-ES"/>
        </w:rPr>
        <w:t>articulación constante entre lo teórico y lo empírico, es decir,</w:t>
      </w:r>
      <w:r w:rsidR="000007E1">
        <w:rPr>
          <w:rFonts w:ascii="Times New Roman" w:hAnsi="Times New Roman" w:cs="Times New Roman"/>
          <w:sz w:val="24"/>
          <w:lang w:val="es-ES"/>
        </w:rPr>
        <w:t xml:space="preserve"> entre las definiciones previas del marco teórico y los resultados arrojados por las técnicas estadísticas utilizadas. Como puede observarse, el espíritu de la metodología no se comporta de forma deductiva, como lo es frecuentemente en los abordajes cuantitativos, ya que el carácter articulado permite el pasaje constante de la inducción a la deducción.   </w:t>
      </w:r>
      <w:r w:rsidR="00AD3B15">
        <w:rPr>
          <w:rFonts w:ascii="Times New Roman" w:hAnsi="Times New Roman" w:cs="Times New Roman"/>
          <w:sz w:val="24"/>
          <w:lang w:val="es-ES"/>
        </w:rPr>
        <w:t xml:space="preserve"> </w:t>
      </w:r>
    </w:p>
    <w:p w:rsidR="000007E1" w:rsidRDefault="000007E1" w:rsidP="000007E1">
      <w:pPr>
        <w:pStyle w:val="Prrafodelista"/>
        <w:spacing w:after="0" w:line="360" w:lineRule="auto"/>
        <w:ind w:left="0"/>
        <w:contextualSpacing w:val="0"/>
        <w:jc w:val="both"/>
        <w:rPr>
          <w:rFonts w:ascii="Times New Roman" w:hAnsi="Times New Roman" w:cs="Times New Roman"/>
          <w:sz w:val="24"/>
        </w:rPr>
      </w:pPr>
    </w:p>
    <w:p w:rsidR="008967AB" w:rsidRPr="008967AB" w:rsidRDefault="00A3671A" w:rsidP="000007E1">
      <w:pPr>
        <w:pStyle w:val="Prrafodelista"/>
        <w:spacing w:after="0" w:line="360" w:lineRule="auto"/>
        <w:ind w:left="0"/>
        <w:contextualSpacing w:val="0"/>
        <w:jc w:val="both"/>
        <w:rPr>
          <w:rFonts w:ascii="Times New Roman" w:hAnsi="Times New Roman" w:cs="Times New Roman"/>
          <w:b/>
          <w:sz w:val="24"/>
        </w:rPr>
      </w:pPr>
      <w:r>
        <w:rPr>
          <w:rFonts w:ascii="Times New Roman" w:hAnsi="Times New Roman" w:cs="Times New Roman"/>
          <w:b/>
          <w:sz w:val="24"/>
        </w:rPr>
        <w:t>La e</w:t>
      </w:r>
      <w:r w:rsidR="00C571E2" w:rsidRPr="000007E1">
        <w:rPr>
          <w:rFonts w:ascii="Times New Roman" w:hAnsi="Times New Roman" w:cs="Times New Roman"/>
          <w:b/>
          <w:sz w:val="24"/>
        </w:rPr>
        <w:t xml:space="preserve">specificidad </w:t>
      </w:r>
      <w:r>
        <w:rPr>
          <w:rFonts w:ascii="Times New Roman" w:hAnsi="Times New Roman" w:cs="Times New Roman"/>
          <w:b/>
          <w:sz w:val="24"/>
        </w:rPr>
        <w:t xml:space="preserve">de los abordajes multidimensionales </w:t>
      </w:r>
      <w:r w:rsidR="00C571E2" w:rsidRPr="000007E1">
        <w:rPr>
          <w:rFonts w:ascii="Times New Roman" w:hAnsi="Times New Roman" w:cs="Times New Roman"/>
          <w:b/>
          <w:sz w:val="24"/>
        </w:rPr>
        <w:t>en el estudio de las clases y la movilidad social.</w:t>
      </w:r>
    </w:p>
    <w:p w:rsidR="008967AB" w:rsidRPr="008967AB" w:rsidRDefault="008967AB" w:rsidP="00B105D2">
      <w:pPr>
        <w:spacing w:after="0" w:line="360" w:lineRule="auto"/>
        <w:jc w:val="both"/>
        <w:rPr>
          <w:rFonts w:ascii="Times New Roman" w:hAnsi="Times New Roman" w:cs="Times New Roman"/>
          <w:i/>
          <w:sz w:val="24"/>
        </w:rPr>
      </w:pPr>
      <w:r>
        <w:rPr>
          <w:rFonts w:ascii="Times New Roman" w:hAnsi="Times New Roman" w:cs="Times New Roman"/>
          <w:i/>
          <w:sz w:val="24"/>
        </w:rPr>
        <w:t>Estratificación y multidimensionalidad</w:t>
      </w:r>
    </w:p>
    <w:p w:rsidR="00DC7E01" w:rsidRDefault="00974DFC" w:rsidP="00B105D2">
      <w:pPr>
        <w:spacing w:after="0" w:line="360" w:lineRule="auto"/>
        <w:jc w:val="both"/>
        <w:rPr>
          <w:rFonts w:ascii="Times New Roman" w:hAnsi="Times New Roman" w:cs="Times New Roman"/>
          <w:sz w:val="24"/>
        </w:rPr>
      </w:pPr>
      <w:r>
        <w:rPr>
          <w:rFonts w:ascii="Times New Roman" w:hAnsi="Times New Roman" w:cs="Times New Roman"/>
          <w:sz w:val="24"/>
        </w:rPr>
        <w:t>La concepción multidimensional de los procesos sociales, específicamente de la estratificación o</w:t>
      </w:r>
      <w:r w:rsidR="000D7054">
        <w:rPr>
          <w:rFonts w:ascii="Times New Roman" w:hAnsi="Times New Roman" w:cs="Times New Roman"/>
          <w:sz w:val="24"/>
        </w:rPr>
        <w:t xml:space="preserve"> la estructura de clases, tiene</w:t>
      </w:r>
      <w:r>
        <w:rPr>
          <w:rFonts w:ascii="Times New Roman" w:hAnsi="Times New Roman" w:cs="Times New Roman"/>
          <w:sz w:val="24"/>
        </w:rPr>
        <w:t xml:space="preserve"> un punto de origen en las tempranas aportaciones de Weber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{"citationID":"291t94860l","properties":{"formattedCitation":"(1964 [1922])","plainCitation":"(1964 [1922])"},"citationItems":[{"id":74,"uris":["http://zotero.org/users/2248776/items/59JQTGXE"],"uri":["http://zotero.org/users/2248776/items/59JQTGXE"],"itemData":{"id":74,"type":"book","title":"Economía y sociedad","publisher":"Fondo de Cultura Económica","publisher-place":"Madrid","event-place":"Madrid","ISBN":"84-375-0374-4","author":[{"family":"Weber","given":"Max"}],"issued":{"date-parts":[["1964"]]}},"suppress-author":true,"suffix":"[1922]"}],"schema":"https://github.com/citation-style-language/schema/raw/master/csl-citation.json"} </w:instrText>
      </w:r>
      <w:r w:rsidR="003C4235">
        <w:rPr>
          <w:rFonts w:ascii="Times New Roman" w:hAnsi="Times New Roman" w:cs="Times New Roman"/>
          <w:sz w:val="24"/>
        </w:rPr>
        <w:fldChar w:fldCharType="separate"/>
      </w:r>
      <w:r w:rsidRPr="00974DFC">
        <w:rPr>
          <w:rFonts w:ascii="Times New Roman" w:hAnsi="Times New Roman" w:cs="Times New Roman"/>
          <w:sz w:val="24"/>
        </w:rPr>
        <w:t>(1964 [1922])</w:t>
      </w:r>
      <w:r w:rsidR="003C4235">
        <w:rPr>
          <w:rFonts w:ascii="Times New Roman" w:hAnsi="Times New Roman" w:cs="Times New Roman"/>
          <w:sz w:val="24"/>
        </w:rPr>
        <w:fldChar w:fldCharType="end"/>
      </w:r>
      <w:r>
        <w:rPr>
          <w:rFonts w:ascii="Times New Roman" w:hAnsi="Times New Roman" w:cs="Times New Roman"/>
          <w:sz w:val="24"/>
        </w:rPr>
        <w:t xml:space="preserve"> sobre las formas de agrupamiento que asumen los individuos en las sociedades capitalistas.  En función de la naturaleza de las relaciones consideradas, la sociedad, según el autor alemán, podía estratificarse en clases</w:t>
      </w:r>
      <w:r w:rsidR="00484FAF">
        <w:rPr>
          <w:rFonts w:ascii="Times New Roman" w:hAnsi="Times New Roman" w:cs="Times New Roman"/>
          <w:sz w:val="24"/>
        </w:rPr>
        <w:t xml:space="preserve"> (a partir de la relaciones de mercado), en estamentos (a partir de relaciones de estatus u honor) y en partidos (a partir de relaciones de poder).</w:t>
      </w:r>
      <w:r w:rsidR="00A3671A">
        <w:rPr>
          <w:rFonts w:ascii="Times New Roman" w:hAnsi="Times New Roman" w:cs="Times New Roman"/>
          <w:sz w:val="24"/>
        </w:rPr>
        <w:t xml:space="preserve"> En términos analíticos, un individuo (o un hogar)</w:t>
      </w:r>
      <w:r w:rsidR="00484FAF">
        <w:rPr>
          <w:rFonts w:ascii="Times New Roman" w:hAnsi="Times New Roman" w:cs="Times New Roman"/>
          <w:sz w:val="24"/>
        </w:rPr>
        <w:t xml:space="preserve"> </w:t>
      </w:r>
      <w:r w:rsidR="00A3671A">
        <w:rPr>
          <w:rFonts w:ascii="Times New Roman" w:hAnsi="Times New Roman" w:cs="Times New Roman"/>
          <w:sz w:val="24"/>
        </w:rPr>
        <w:t xml:space="preserve">podía ser estratificado en cada una de estas dimensiones, entendiendo a su vez, que cada una guardaba un respectiva autonomía con respecto a las otras. </w:t>
      </w:r>
    </w:p>
    <w:p w:rsidR="00972FAB" w:rsidRDefault="00DC7E01" w:rsidP="00B105D2">
      <w:pPr>
        <w:spacing w:after="0" w:line="360" w:lineRule="auto"/>
        <w:jc w:val="both"/>
        <w:rPr>
          <w:rFonts w:ascii="Times New Roman" w:hAnsi="Times New Roman" w:cs="Times New Roman"/>
          <w:sz w:val="24"/>
        </w:rPr>
      </w:pPr>
      <w:r>
        <w:rPr>
          <w:rFonts w:ascii="Times New Roman" w:hAnsi="Times New Roman" w:cs="Times New Roman"/>
          <w:sz w:val="24"/>
        </w:rPr>
        <w:t xml:space="preserve">Sorokin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NqnwR6hw","properties":{"formattedCitation":"(1953)","plainCitation":"(1953)"},"citationItems":[{"id":1245,"uris":["http://zotero.org/users/2248776/items/V97K4F2M"],"uri":["http://zotero.org/users/2248776/items/V97K4F2M"],"itemData":{"id":1245,"type":"article-journal","title":"Estratificación y Movilidad Social","container-title":"Revista Mexicana de Sociología","page":"83","volume":"15","issue":"1","source":"CrossRef","DOI":"10.2307/3537850","ISSN":"01882503","author":[{"family":"Sorokin","given":"Pitirim A."}],"issued":{"date-parts":[["1953",1]]}},"suppress-author":true}],"schema":"https://github.com/citation-style-language/schema/raw/master/csl-citation.json"} </w:instrText>
      </w:r>
      <w:r w:rsidR="003C4235">
        <w:rPr>
          <w:rFonts w:ascii="Times New Roman" w:hAnsi="Times New Roman" w:cs="Times New Roman"/>
          <w:sz w:val="24"/>
        </w:rPr>
        <w:fldChar w:fldCharType="separate"/>
      </w:r>
      <w:r w:rsidRPr="00DC7E01">
        <w:rPr>
          <w:rFonts w:ascii="Times New Roman" w:hAnsi="Times New Roman" w:cs="Times New Roman"/>
          <w:sz w:val="24"/>
        </w:rPr>
        <w:t>(1953)</w:t>
      </w:r>
      <w:r w:rsidR="003C4235">
        <w:rPr>
          <w:rFonts w:ascii="Times New Roman" w:hAnsi="Times New Roman" w:cs="Times New Roman"/>
          <w:sz w:val="24"/>
        </w:rPr>
        <w:fldChar w:fldCharType="end"/>
      </w:r>
      <w:r>
        <w:rPr>
          <w:rFonts w:ascii="Times New Roman" w:hAnsi="Times New Roman" w:cs="Times New Roman"/>
          <w:sz w:val="24"/>
        </w:rPr>
        <w:t xml:space="preserve"> retomó la noción de multidimensionalidad elaborada por Weber, al entender que</w:t>
      </w:r>
      <w:r w:rsidR="00972FAB">
        <w:rPr>
          <w:rFonts w:ascii="Times New Roman" w:hAnsi="Times New Roman" w:cs="Times New Roman"/>
          <w:sz w:val="24"/>
        </w:rPr>
        <w:t xml:space="preserve"> la posición social se definía por una pluralidad de dimensiones, pero que podría</w:t>
      </w:r>
      <w:r w:rsidR="000D7054">
        <w:rPr>
          <w:rFonts w:ascii="Times New Roman" w:hAnsi="Times New Roman" w:cs="Times New Roman"/>
          <w:sz w:val="24"/>
        </w:rPr>
        <w:t>n</w:t>
      </w:r>
      <w:r w:rsidR="004D4293">
        <w:rPr>
          <w:rFonts w:ascii="Times New Roman" w:hAnsi="Times New Roman" w:cs="Times New Roman"/>
          <w:sz w:val="24"/>
        </w:rPr>
        <w:t xml:space="preserve"> </w:t>
      </w:r>
      <w:r w:rsidR="00972FAB">
        <w:rPr>
          <w:rFonts w:ascii="Times New Roman" w:hAnsi="Times New Roman" w:cs="Times New Roman"/>
          <w:sz w:val="24"/>
        </w:rPr>
        <w:t xml:space="preserve"> reducirse a tres: la </w:t>
      </w:r>
      <w:r w:rsidR="00972FAB">
        <w:rPr>
          <w:rFonts w:ascii="Times New Roman" w:hAnsi="Times New Roman" w:cs="Times New Roman"/>
          <w:sz w:val="24"/>
          <w:szCs w:val="24"/>
        </w:rPr>
        <w:t>estratificació</w:t>
      </w:r>
      <w:r w:rsidR="00972FAB" w:rsidRPr="00FE6F58">
        <w:rPr>
          <w:rFonts w:ascii="Times New Roman" w:hAnsi="Times New Roman" w:cs="Times New Roman"/>
          <w:sz w:val="24"/>
          <w:szCs w:val="24"/>
        </w:rPr>
        <w:t>n económica, política y ocupacional</w:t>
      </w:r>
      <w:r w:rsidR="00972FAB">
        <w:rPr>
          <w:rFonts w:ascii="Times New Roman" w:hAnsi="Times New Roman" w:cs="Times New Roman"/>
          <w:sz w:val="24"/>
        </w:rPr>
        <w:t>. A su vez, siguiendo al sociólogo alemán, comprendía que “l</w:t>
      </w:r>
      <w:r w:rsidR="00972FAB" w:rsidRPr="00972FAB">
        <w:rPr>
          <w:rFonts w:ascii="Times New Roman" w:hAnsi="Times New Roman" w:cs="Times New Roman"/>
          <w:sz w:val="24"/>
        </w:rPr>
        <w:t>a intercorrelación entre las tres formas de estratificación está muy lejos de ser perfecta, pues las capas de cada forma no coinciden exactamente con las de las otras</w:t>
      </w:r>
      <w:r w:rsidR="00972FAB">
        <w:rPr>
          <w:rFonts w:ascii="Times New Roman" w:hAnsi="Times New Roman" w:cs="Times New Roman"/>
          <w:sz w:val="24"/>
        </w:rPr>
        <w:t xml:space="preserv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{"citationID":"2mu5o4m2ls","properties":{"formattedCitation":"(1953, p 15)","plainCitation":"(1953, p 15)"},"citationItems":[{"id":1245,"uris":["http://zotero.org/users/2248776/items/V97K4F2M"],"uri":["http://zotero.org/users/2248776/items/V97K4F2M"],"itemData":{"id":1245,"type":"article-journal","title":"Estratificación y Movilidad Social","container-title":"Revista Mexicana de Sociología","page":"83","volume":"15","issue":"1","source":"CrossRef","DOI":"10.2307/3537850","ISSN":"01882503","author":[{"family":"Sorokin","given":"Pitirim A."}],"issued":{"date-parts":[["1953",1]]}},"locator":"15","suppress-author":true}],"schema":"https://github.com/citation-style-language/schema/raw/master/csl-citation.json"} </w:instrText>
      </w:r>
      <w:r w:rsidR="003C4235">
        <w:rPr>
          <w:rFonts w:ascii="Times New Roman" w:hAnsi="Times New Roman" w:cs="Times New Roman"/>
          <w:sz w:val="24"/>
        </w:rPr>
        <w:fldChar w:fldCharType="separate"/>
      </w:r>
      <w:r w:rsidR="00972FAB" w:rsidRPr="00972FAB">
        <w:rPr>
          <w:rFonts w:ascii="Times New Roman" w:hAnsi="Times New Roman" w:cs="Times New Roman"/>
          <w:sz w:val="24"/>
        </w:rPr>
        <w:t>(1953, p 15)</w:t>
      </w:r>
      <w:r w:rsidR="003C4235">
        <w:rPr>
          <w:rFonts w:ascii="Times New Roman" w:hAnsi="Times New Roman" w:cs="Times New Roman"/>
          <w:sz w:val="24"/>
        </w:rPr>
        <w:fldChar w:fldCharType="end"/>
      </w:r>
      <w:r w:rsidR="00972FAB">
        <w:rPr>
          <w:rFonts w:ascii="Times New Roman" w:hAnsi="Times New Roman" w:cs="Times New Roman"/>
          <w:sz w:val="24"/>
        </w:rPr>
        <w:t>, existiendo siempre un grado de separación entre cada una de las formas de estratificación.</w:t>
      </w:r>
    </w:p>
    <w:p w:rsidR="00F537F3" w:rsidRDefault="00972FAB" w:rsidP="00B105D2">
      <w:pPr>
        <w:spacing w:after="0" w:line="360" w:lineRule="auto"/>
        <w:jc w:val="both"/>
        <w:rPr>
          <w:rFonts w:ascii="Times New Roman" w:hAnsi="Times New Roman" w:cs="Times New Roman"/>
          <w:sz w:val="24"/>
        </w:rPr>
      </w:pPr>
      <w:r>
        <w:rPr>
          <w:rFonts w:ascii="Times New Roman" w:hAnsi="Times New Roman" w:cs="Times New Roman"/>
          <w:sz w:val="24"/>
        </w:rPr>
        <w:t>Por su parte, Sorokin agregó dos nociones básicas que tendrán una central influencia en los estudios futuros sobre la estratificación y la movilidad social. En primer lugar</w:t>
      </w:r>
      <w:r w:rsidR="00B87199">
        <w:rPr>
          <w:rFonts w:ascii="Times New Roman" w:hAnsi="Times New Roman" w:cs="Times New Roman"/>
          <w:sz w:val="24"/>
        </w:rPr>
        <w:t>,</w:t>
      </w:r>
      <w:r>
        <w:rPr>
          <w:rFonts w:ascii="Times New Roman" w:hAnsi="Times New Roman" w:cs="Times New Roman"/>
          <w:sz w:val="24"/>
        </w:rPr>
        <w:t xml:space="preserve"> acuñ</w:t>
      </w:r>
      <w:r w:rsidR="00B87199">
        <w:rPr>
          <w:rFonts w:ascii="Times New Roman" w:hAnsi="Times New Roman" w:cs="Times New Roman"/>
          <w:sz w:val="24"/>
        </w:rPr>
        <w:t>ó</w:t>
      </w:r>
      <w:r>
        <w:rPr>
          <w:rFonts w:ascii="Times New Roman" w:hAnsi="Times New Roman" w:cs="Times New Roman"/>
          <w:sz w:val="24"/>
        </w:rPr>
        <w:t xml:space="preserve"> </w:t>
      </w:r>
      <w:r>
        <w:rPr>
          <w:rFonts w:ascii="Times New Roman" w:hAnsi="Times New Roman" w:cs="Times New Roman"/>
          <w:sz w:val="24"/>
        </w:rPr>
        <w:lastRenderedPageBreak/>
        <w:t xml:space="preserve">el </w:t>
      </w:r>
      <w:r w:rsidR="00B87199">
        <w:rPr>
          <w:rFonts w:ascii="Times New Roman" w:hAnsi="Times New Roman" w:cs="Times New Roman"/>
          <w:sz w:val="24"/>
        </w:rPr>
        <w:t>término geográfico de “espacio social”</w:t>
      </w:r>
      <w:r w:rsidR="00DC7E01">
        <w:rPr>
          <w:rFonts w:ascii="Times New Roman" w:hAnsi="Times New Roman" w:cs="Times New Roman"/>
          <w:sz w:val="24"/>
        </w:rPr>
        <w:t xml:space="preserve"> </w:t>
      </w:r>
      <w:r w:rsidR="00B87199">
        <w:rPr>
          <w:rFonts w:ascii="Times New Roman" w:hAnsi="Times New Roman" w:cs="Times New Roman"/>
          <w:sz w:val="24"/>
        </w:rPr>
        <w:t>para dar cuenta del sistema de relaciones en las que se in</w:t>
      </w:r>
      <w:r w:rsidR="000D7054">
        <w:rPr>
          <w:rFonts w:ascii="Times New Roman" w:hAnsi="Times New Roman" w:cs="Times New Roman"/>
          <w:sz w:val="24"/>
        </w:rPr>
        <w:t>sertaban los individuos, grupos y</w:t>
      </w:r>
      <w:r w:rsidR="00B87199">
        <w:rPr>
          <w:rFonts w:ascii="Times New Roman" w:hAnsi="Times New Roman" w:cs="Times New Roman"/>
          <w:sz w:val="24"/>
        </w:rPr>
        <w:t xml:space="preserve"> países en función de la </w:t>
      </w:r>
      <w:r w:rsidR="00B87199" w:rsidRPr="00B87199">
        <w:rPr>
          <w:rFonts w:ascii="Times New Roman" w:hAnsi="Times New Roman" w:cs="Times New Roman"/>
          <w:sz w:val="24"/>
        </w:rPr>
        <w:t>religión, nacionalidad, ocupación, posición económica, partido político, raza, sexo, edad,</w:t>
      </w:r>
      <w:r w:rsidR="00B87199">
        <w:rPr>
          <w:rFonts w:ascii="Times New Roman" w:hAnsi="Times New Roman" w:cs="Times New Roman"/>
          <w:sz w:val="24"/>
        </w:rPr>
        <w:t xml:space="preserve"> etc.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{"citationID":"2mjck7lcrg","properties":{"formattedCitation":"(1953, p 10)","plainCitation":"(1953, p 10)"},"citationItems":[{"id":1245,"uris":["http://zotero.org/users/2248776/items/V97K4F2M"],"uri":["http://zotero.org/users/2248776/items/V97K4F2M"],"itemData":{"id":1245,"type":"article-journal","title":"Estratificación y Movilidad Social","container-title":"Revista Mexicana de Sociología","page":"83","volume":"15","issue":"1","source":"CrossRef","DOI":"10.2307/3537850","ISSN":"01882503","author":[{"family":"Sorokin","given":"Pitirim A."}],"issued":{"date-parts":[["1953",1]]}},"locator":"10","suppress-author":true}],"schema":"https://github.com/citation-style-language/schema/raw/master/csl-citation.json"} </w:instrText>
      </w:r>
      <w:r w:rsidR="003C4235">
        <w:rPr>
          <w:rFonts w:ascii="Times New Roman" w:hAnsi="Times New Roman" w:cs="Times New Roman"/>
          <w:sz w:val="24"/>
        </w:rPr>
        <w:fldChar w:fldCharType="separate"/>
      </w:r>
      <w:r w:rsidR="00B87199" w:rsidRPr="00B87199">
        <w:rPr>
          <w:rFonts w:ascii="Times New Roman" w:hAnsi="Times New Roman" w:cs="Times New Roman"/>
          <w:sz w:val="24"/>
        </w:rPr>
        <w:t>(1953, p 10)</w:t>
      </w:r>
      <w:r w:rsidR="003C4235">
        <w:rPr>
          <w:rFonts w:ascii="Times New Roman" w:hAnsi="Times New Roman" w:cs="Times New Roman"/>
          <w:sz w:val="24"/>
        </w:rPr>
        <w:fldChar w:fldCharType="end"/>
      </w:r>
      <w:r w:rsidR="00B87199">
        <w:rPr>
          <w:rFonts w:ascii="Times New Roman" w:hAnsi="Times New Roman" w:cs="Times New Roman"/>
          <w:sz w:val="24"/>
        </w:rPr>
        <w:t>. El atributo que adquiere cada sujeto para cada dimensión, los posiciona en un sistema de coordenadas</w:t>
      </w:r>
      <w:r w:rsidR="00FB2D82">
        <w:rPr>
          <w:rStyle w:val="Refdenotaalpie"/>
          <w:rFonts w:ascii="Times New Roman" w:hAnsi="Times New Roman" w:cs="Times New Roman"/>
          <w:sz w:val="24"/>
        </w:rPr>
        <w:footnoteReference w:id="2"/>
      </w:r>
      <w:r w:rsidR="00B87199">
        <w:rPr>
          <w:rFonts w:ascii="Times New Roman" w:hAnsi="Times New Roman" w:cs="Times New Roman"/>
          <w:sz w:val="24"/>
        </w:rPr>
        <w:t xml:space="preserve"> que permite definir la posición social del mismo, la existencia de similitudes con aquellos que se ubican en una posición cercana y de disimilitudes con aquellos que tienen atributos distintos y, por ende, posiciones lejanas</w:t>
      </w:r>
      <w:r w:rsidR="00FB2D82">
        <w:rPr>
          <w:rFonts w:ascii="Times New Roman" w:hAnsi="Times New Roman" w:cs="Times New Roman"/>
          <w:sz w:val="24"/>
        </w:rPr>
        <w:t xml:space="preserv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{"citationID":"15k2pv0sim","properties":{"formattedCitation":"(1953, p 9)","plainCitation":"(1953, p 9)"},"citationItems":[{"id":1245,"uris":["http://zotero.org/users/2248776/items/V97K4F2M"],"uri":["http://zotero.org/users/2248776/items/V97K4F2M"],"itemData":{"id":1245,"type":"article-journal","title":"Estratificación y Movilidad Social","container-title":"Revista Mexicana de Sociología","page":"83","volume":"15","issue":"1","source":"CrossRef","DOI":"10.2307/3537850","ISSN":"01882503","author":[{"family":"Sorokin","given":"Pitirim A."}],"issued":{"date-parts":[["1953",1]]}},"locator":"9","suppress-author":true}],"schema":"https://github.com/citation-style-language/schema/raw/master/csl-citation.json"} </w:instrText>
      </w:r>
      <w:r w:rsidR="003C4235">
        <w:rPr>
          <w:rFonts w:ascii="Times New Roman" w:hAnsi="Times New Roman" w:cs="Times New Roman"/>
          <w:sz w:val="24"/>
        </w:rPr>
        <w:fldChar w:fldCharType="separate"/>
      </w:r>
      <w:r w:rsidR="00FB2D82" w:rsidRPr="00FB2D82">
        <w:rPr>
          <w:rFonts w:ascii="Times New Roman" w:hAnsi="Times New Roman" w:cs="Times New Roman"/>
          <w:sz w:val="24"/>
        </w:rPr>
        <w:t>(1953, p 9)</w:t>
      </w:r>
      <w:r w:rsidR="003C4235">
        <w:rPr>
          <w:rFonts w:ascii="Times New Roman" w:hAnsi="Times New Roman" w:cs="Times New Roman"/>
          <w:sz w:val="24"/>
        </w:rPr>
        <w:fldChar w:fldCharType="end"/>
      </w:r>
      <w:r w:rsidR="00B87199">
        <w:rPr>
          <w:rFonts w:ascii="Times New Roman" w:hAnsi="Times New Roman" w:cs="Times New Roman"/>
          <w:sz w:val="24"/>
        </w:rPr>
        <w:t>. De este modo, la conceptualización d</w:t>
      </w:r>
      <w:r w:rsidR="00FB2D82">
        <w:rPr>
          <w:rFonts w:ascii="Times New Roman" w:hAnsi="Times New Roman" w:cs="Times New Roman"/>
          <w:sz w:val="24"/>
        </w:rPr>
        <w:t>e una teoría del espacio social</w:t>
      </w:r>
      <w:r w:rsidR="00B87199">
        <w:rPr>
          <w:rFonts w:ascii="Times New Roman" w:hAnsi="Times New Roman" w:cs="Times New Roman"/>
          <w:sz w:val="24"/>
        </w:rPr>
        <w:t xml:space="preserve"> llevaba </w:t>
      </w:r>
      <w:r w:rsidR="00FB2D82">
        <w:rPr>
          <w:rFonts w:ascii="Times New Roman" w:hAnsi="Times New Roman" w:cs="Times New Roman"/>
          <w:sz w:val="24"/>
        </w:rPr>
        <w:t xml:space="preserve">inevitablemente a una conceptualización de la distancia social, aportes que serán centrales, aunque no siempre reconocidos, en los trabajos de Bourdieu. La segunda noción </w:t>
      </w:r>
      <w:r w:rsidR="00EC772A">
        <w:rPr>
          <w:rFonts w:ascii="Times New Roman" w:hAnsi="Times New Roman" w:cs="Times New Roman"/>
          <w:sz w:val="24"/>
        </w:rPr>
        <w:t>que agrega Sorokin</w:t>
      </w:r>
      <w:r w:rsidR="00FB2D82">
        <w:rPr>
          <w:rFonts w:ascii="Times New Roman" w:hAnsi="Times New Roman" w:cs="Times New Roman"/>
          <w:sz w:val="24"/>
        </w:rPr>
        <w:t xml:space="preserve"> es la de “movimientos verticales” y “movimientos horizontales”</w:t>
      </w:r>
      <w:r w:rsidR="00447F01">
        <w:rPr>
          <w:rFonts w:ascii="Times New Roman" w:hAnsi="Times New Roman" w:cs="Times New Roman"/>
          <w:sz w:val="24"/>
        </w:rPr>
        <w:t xml:space="preserve"> que se producen debido a que la </w:t>
      </w:r>
      <w:r w:rsidR="00EC772A" w:rsidRPr="00EC772A">
        <w:rPr>
          <w:rFonts w:ascii="Times New Roman" w:hAnsi="Times New Roman" w:cs="Times New Roman"/>
          <w:sz w:val="24"/>
        </w:rPr>
        <w:t xml:space="preserve">población </w:t>
      </w:r>
      <w:r w:rsidR="00EC772A">
        <w:rPr>
          <w:rFonts w:ascii="Times New Roman" w:hAnsi="Times New Roman" w:cs="Times New Roman"/>
          <w:sz w:val="24"/>
        </w:rPr>
        <w:t>se diferencia a partir de</w:t>
      </w:r>
      <w:r w:rsidR="00EC772A" w:rsidRPr="00EC772A">
        <w:rPr>
          <w:rFonts w:ascii="Times New Roman" w:hAnsi="Times New Roman" w:cs="Times New Roman"/>
          <w:sz w:val="24"/>
        </w:rPr>
        <w:t xml:space="preserve"> clases jerárquicas superpuestas</w:t>
      </w:r>
      <w:r w:rsidR="00EC772A">
        <w:rPr>
          <w:rFonts w:ascii="Times New Roman" w:hAnsi="Times New Roman" w:cs="Times New Roman"/>
          <w:sz w:val="24"/>
        </w:rPr>
        <w:t xml:space="preserve"> basadas en “la</w:t>
      </w:r>
      <w:r w:rsidR="00EC772A" w:rsidRPr="00EC772A">
        <w:rPr>
          <w:rFonts w:ascii="Times New Roman" w:hAnsi="Times New Roman" w:cs="Times New Roman"/>
          <w:sz w:val="24"/>
        </w:rPr>
        <w:t xml:space="preserve"> distribución desigual de los derechos y privilegios, los deberes y responsabilidades, los valores sociales y las privaciones, el poder </w:t>
      </w:r>
      <w:r w:rsidR="00A72409">
        <w:rPr>
          <w:rFonts w:ascii="Times New Roman" w:hAnsi="Times New Roman" w:cs="Times New Roman"/>
          <w:sz w:val="24"/>
        </w:rPr>
        <w:t>y</w:t>
      </w:r>
      <w:r w:rsidR="00EC772A" w:rsidRPr="00EC772A">
        <w:rPr>
          <w:rFonts w:ascii="Times New Roman" w:hAnsi="Times New Roman" w:cs="Times New Roman"/>
          <w:sz w:val="24"/>
        </w:rPr>
        <w:t xml:space="preserve"> la influencia, entre los miembros de una sociedad</w:t>
      </w:r>
      <w:r w:rsidR="00EC772A">
        <w:rPr>
          <w:rFonts w:ascii="Times New Roman" w:hAnsi="Times New Roman" w:cs="Times New Roman"/>
          <w:sz w:val="24"/>
        </w:rPr>
        <w:t xml:space="preserv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{"citationID":"1hb5umvrfb","properties":{"formattedCitation":"(1953, p 13)","plainCitation":"(1953, p 13)"},"citationItems":[{"id":1245,"uris":["http://zotero.org/users/2248776/items/V97K4F2M"],"uri":["http://zotero.org/users/2248776/items/V97K4F2M"],"itemData":{"id":1245,"type":"article-journal","title":"Estratificación y Movilidad Social","container-title":"Revista Mexicana de Sociología","page":"83","volume":"15","issue":"1","source":"CrossRef","DOI":"10.2307/3537850","ISSN":"01882503","author":[{"family":"Sorokin","given":"Pitirim A."}],"issued":{"date-parts":[["1953",1]]}},"locator":"13","suppress-author":true}],"schema":"https://github.com/citation-style-language/schema/raw/master/csl-citation.json"} </w:instrText>
      </w:r>
      <w:r w:rsidR="003C4235">
        <w:rPr>
          <w:rFonts w:ascii="Times New Roman" w:hAnsi="Times New Roman" w:cs="Times New Roman"/>
          <w:sz w:val="24"/>
        </w:rPr>
        <w:fldChar w:fldCharType="separate"/>
      </w:r>
      <w:r w:rsidR="00EC772A" w:rsidRPr="00EC772A">
        <w:rPr>
          <w:rFonts w:ascii="Times New Roman" w:hAnsi="Times New Roman" w:cs="Times New Roman"/>
          <w:sz w:val="24"/>
        </w:rPr>
        <w:t>(1953, p 13)</w:t>
      </w:r>
      <w:r w:rsidR="003C4235">
        <w:rPr>
          <w:rFonts w:ascii="Times New Roman" w:hAnsi="Times New Roman" w:cs="Times New Roman"/>
          <w:sz w:val="24"/>
        </w:rPr>
        <w:fldChar w:fldCharType="end"/>
      </w:r>
      <w:r w:rsidR="00EC772A">
        <w:rPr>
          <w:rFonts w:ascii="Times New Roman" w:hAnsi="Times New Roman" w:cs="Times New Roman"/>
          <w:sz w:val="24"/>
        </w:rPr>
        <w:t>.</w:t>
      </w:r>
      <w:r w:rsidR="00A72409">
        <w:rPr>
          <w:rFonts w:ascii="Times New Roman" w:hAnsi="Times New Roman" w:cs="Times New Roman"/>
          <w:sz w:val="24"/>
        </w:rPr>
        <w:t xml:space="preserve"> Esta concepción sobre la estratificación y la movilidad fue retomada por la corriente funcionalista</w:t>
      </w:r>
      <w:r w:rsidR="00F537F3">
        <w:rPr>
          <w:rFonts w:ascii="Times New Roman" w:hAnsi="Times New Roman" w:cs="Times New Roman"/>
          <w:sz w:val="24"/>
        </w:rPr>
        <w:t xml:space="preserve">, principalmente por Parsons, Davies y Moore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{"citationID":"P4IyrZil","properties":{"formattedCitation":"{\\rtf (Cach\\uc0\\u243{}n Rodr\\uc0\\u237{}guez, 1989, p 49)}","plainCitation":"(Cachón Rodríguez, 1989, p 49)"},"citationItems":[{"id":1239,"uris":["http://zotero.org/users/2248776/items/KCNUVT7B"],"uri":["http://zotero.org/users/2248776/items/KCNUVT7B"],"itemData":{"id":1239,"type":"book","title":"¿Movilidad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Rodríguez","given":"Lorenzo"}],"issued":{"date-parts":[["1989"]]},"accessed":{"date-parts":[["2016",2,5]]}},"locator":"49"}],"schema":"https://github.com/citation-style-language/schema/raw/master/csl-citation.json"} </w:instrText>
      </w:r>
      <w:r w:rsidR="003C4235">
        <w:rPr>
          <w:rFonts w:ascii="Times New Roman" w:hAnsi="Times New Roman" w:cs="Times New Roman"/>
          <w:sz w:val="24"/>
        </w:rPr>
        <w:fldChar w:fldCharType="separate"/>
      </w:r>
      <w:r w:rsidR="00F537F3" w:rsidRPr="00F537F3">
        <w:rPr>
          <w:rFonts w:ascii="Times New Roman" w:hAnsi="Times New Roman" w:cs="Times New Roman"/>
          <w:sz w:val="24"/>
          <w:szCs w:val="24"/>
        </w:rPr>
        <w:t>(Cachón Rodríguez, 1989, p 49)</w:t>
      </w:r>
      <w:r w:rsidR="003C4235">
        <w:rPr>
          <w:rFonts w:ascii="Times New Roman" w:hAnsi="Times New Roman" w:cs="Times New Roman"/>
          <w:sz w:val="24"/>
        </w:rPr>
        <w:fldChar w:fldCharType="end"/>
      </w:r>
      <w:r w:rsidR="00F537F3">
        <w:rPr>
          <w:rFonts w:ascii="Times New Roman" w:hAnsi="Times New Roman" w:cs="Times New Roman"/>
          <w:sz w:val="24"/>
        </w:rPr>
        <w:t xml:space="preserve"> y podríamos agregar a Lipset y Bendix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cijrfohun","properties":{"formattedCitation":"(1963)","plainCitation":"(1963)"},"citationItems":[{"id":85,"uris":["http://zotero.org/users/2248776/items/5PG5UWFD"],"uri":["http://zotero.org/users/2248776/items/5PG5UWFD"],"itemData":{"id":85,"type":"book","title":"La movilidad social en la sociedad industrial","publisher":"Eudeba","publisher-place":"Buenos Aires","event-place":"Buenos Aires","author":[{"family":"Lipset","given":"Seymour Martin"},{"family":"Bendix","given":"Reinhard"}],"issued":{"date-parts":[["1963"]]}},"suppress-author":true}],"schema":"https://github.com/citation-style-language/schema/raw/master/csl-citation.json"} </w:instrText>
      </w:r>
      <w:r w:rsidR="003C4235">
        <w:rPr>
          <w:rFonts w:ascii="Times New Roman" w:hAnsi="Times New Roman" w:cs="Times New Roman"/>
          <w:sz w:val="24"/>
        </w:rPr>
        <w:fldChar w:fldCharType="separate"/>
      </w:r>
      <w:r w:rsidR="00F537F3" w:rsidRPr="00F537F3">
        <w:rPr>
          <w:rFonts w:ascii="Times New Roman" w:hAnsi="Times New Roman" w:cs="Times New Roman"/>
          <w:sz w:val="24"/>
        </w:rPr>
        <w:t>(1963)</w:t>
      </w:r>
      <w:r w:rsidR="003C4235">
        <w:rPr>
          <w:rFonts w:ascii="Times New Roman" w:hAnsi="Times New Roman" w:cs="Times New Roman"/>
          <w:sz w:val="24"/>
        </w:rPr>
        <w:fldChar w:fldCharType="end"/>
      </w:r>
      <w:r w:rsidR="00F537F3">
        <w:rPr>
          <w:rFonts w:ascii="Times New Roman" w:hAnsi="Times New Roman" w:cs="Times New Roman"/>
          <w:sz w:val="24"/>
        </w:rPr>
        <w:t xml:space="preserve">, entre otros. </w:t>
      </w:r>
    </w:p>
    <w:p w:rsidR="00DC7E01" w:rsidRDefault="00F537F3" w:rsidP="00B105D2">
      <w:pPr>
        <w:spacing w:after="0" w:line="360" w:lineRule="auto"/>
        <w:jc w:val="both"/>
        <w:rPr>
          <w:rFonts w:ascii="Times New Roman" w:hAnsi="Times New Roman" w:cs="Times New Roman"/>
          <w:sz w:val="24"/>
        </w:rPr>
      </w:pPr>
      <w:r>
        <w:rPr>
          <w:rFonts w:ascii="Times New Roman" w:hAnsi="Times New Roman" w:cs="Times New Roman"/>
          <w:sz w:val="24"/>
        </w:rPr>
        <w:t>De esta forma, el planteamiento funcionalista sobre la estratificación social descansaba sobre dos principios: la jerarquía y la multidimensional</w:t>
      </w:r>
      <w:r w:rsidR="0042121F">
        <w:rPr>
          <w:rFonts w:ascii="Times New Roman" w:hAnsi="Times New Roman" w:cs="Times New Roman"/>
          <w:sz w:val="24"/>
        </w:rPr>
        <w:t>idad</w:t>
      </w:r>
      <w:r>
        <w:rPr>
          <w:rFonts w:ascii="Times New Roman" w:hAnsi="Times New Roman" w:cs="Times New Roman"/>
          <w:sz w:val="24"/>
        </w:rPr>
        <w:t xml:space="preserve">. La primera indicaba que cada estrato o grupo se posicionaba en un continuum definido por el status de la ocupación detentada, mientras que la segunda idea, retomaba la vieja fórmula weberiana </w:t>
      </w:r>
      <w:r w:rsidR="0035031D">
        <w:rPr>
          <w:rFonts w:ascii="Times New Roman" w:hAnsi="Times New Roman" w:cs="Times New Roman"/>
          <w:sz w:val="24"/>
        </w:rPr>
        <w:t>de diferenciar a los grupos en función de diferentes dimensiones (ocupacional, estatus, poder, propiedad, educación, etc.) que en la mayoría de los casos se presentaban de forma consistente</w:t>
      </w:r>
      <w:r w:rsidR="0035031D">
        <w:rPr>
          <w:rStyle w:val="Refdenotaalpie"/>
          <w:rFonts w:ascii="Times New Roman" w:hAnsi="Times New Roman" w:cs="Times New Roman"/>
          <w:sz w:val="24"/>
        </w:rPr>
        <w:footnoteReference w:id="3"/>
      </w:r>
      <w:r w:rsidR="0035031D">
        <w:rPr>
          <w:rFonts w:ascii="Times New Roman" w:hAnsi="Times New Roman" w:cs="Times New Roman"/>
          <w:sz w:val="24"/>
        </w:rPr>
        <w:t xml:space="preserve">. Sin embargo, los trabajos empíricos que proliferaron en el período de posguerra, fuertemente vinculados a esta corriente, rara vez presentaban enfoques multidimensionales, ya que la ocupación aparecía como el principal indicador para comprender la desigualdad social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{"citationID":"25s7jn499v","properties":{"formattedCitation":"{\\rtf (Cach\\uc0\\u243{}n Rodr\\uc0\\u237{}guez, 1989, p 135)}","plainCitation":"(Cachón Rodríguez, 1989, p 135)"},"citationItems":[{"id":1239,"uris":["http://zotero.org/users/2248776/items/KCNUVT7B"],"uri":["http://zotero.org/users/2248776/items/KCNUVT7B"],"itemData":{"id":1239,"type":"book","title":"¿Movilidad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Rodríguez","given":"Lorenzo"}],"issued":{"date-parts":[["1989"]]},"accessed":{"date-parts":[["2016",2,5]]}},"locator":"135"}],"schema":"https://github.com/citation-style-language/schema/raw/master/csl-citation.json"} </w:instrText>
      </w:r>
      <w:r w:rsidR="003C4235">
        <w:rPr>
          <w:rFonts w:ascii="Times New Roman" w:hAnsi="Times New Roman" w:cs="Times New Roman"/>
          <w:sz w:val="24"/>
        </w:rPr>
        <w:fldChar w:fldCharType="separate"/>
      </w:r>
      <w:r w:rsidR="0035031D" w:rsidRPr="0035031D">
        <w:rPr>
          <w:rFonts w:ascii="Times New Roman" w:hAnsi="Times New Roman" w:cs="Times New Roman"/>
          <w:sz w:val="24"/>
          <w:szCs w:val="24"/>
        </w:rPr>
        <w:t>(Cachón Rodríguez, 1989, p 135)</w:t>
      </w:r>
      <w:r w:rsidR="003C4235">
        <w:rPr>
          <w:rFonts w:ascii="Times New Roman" w:hAnsi="Times New Roman" w:cs="Times New Roman"/>
          <w:sz w:val="24"/>
        </w:rPr>
        <w:fldChar w:fldCharType="end"/>
      </w:r>
      <w:r w:rsidR="00C53F2F">
        <w:rPr>
          <w:rFonts w:ascii="Times New Roman" w:hAnsi="Times New Roman" w:cs="Times New Roman"/>
          <w:sz w:val="24"/>
        </w:rPr>
        <w:t xml:space="preserve">. </w:t>
      </w:r>
    </w:p>
    <w:p w:rsidR="008967AB" w:rsidRDefault="008967AB" w:rsidP="00B105D2">
      <w:pPr>
        <w:spacing w:after="0" w:line="360" w:lineRule="auto"/>
        <w:jc w:val="both"/>
        <w:rPr>
          <w:rFonts w:ascii="Times New Roman" w:hAnsi="Times New Roman" w:cs="Times New Roman"/>
          <w:sz w:val="24"/>
        </w:rPr>
      </w:pPr>
      <w:r>
        <w:rPr>
          <w:rFonts w:ascii="Times New Roman" w:hAnsi="Times New Roman" w:cs="Times New Roman"/>
          <w:i/>
          <w:sz w:val="24"/>
        </w:rPr>
        <w:lastRenderedPageBreak/>
        <w:t>Movilidad social y multidimensionalidad</w:t>
      </w:r>
    </w:p>
    <w:p w:rsidR="00C73B78" w:rsidRDefault="008967AB" w:rsidP="00B105D2">
      <w:pPr>
        <w:spacing w:after="0" w:line="360" w:lineRule="auto"/>
        <w:jc w:val="both"/>
        <w:rPr>
          <w:rFonts w:ascii="Times New Roman" w:hAnsi="Times New Roman" w:cs="Times New Roman"/>
          <w:sz w:val="24"/>
        </w:rPr>
      </w:pPr>
      <w:r>
        <w:rPr>
          <w:rFonts w:ascii="Times New Roman" w:hAnsi="Times New Roman" w:cs="Times New Roman"/>
          <w:sz w:val="24"/>
        </w:rPr>
        <w:t xml:space="preserve">Manteniendo un enfoque unidimensional de la estratificación social, medida principalmente a partir de la ocupación, es promediando la década del 60’ con la aparición de </w:t>
      </w:r>
      <w:r>
        <w:rPr>
          <w:rFonts w:ascii="Times New Roman" w:hAnsi="Times New Roman" w:cs="Times New Roman"/>
          <w:i/>
          <w:sz w:val="24"/>
        </w:rPr>
        <w:t xml:space="preserve">The American Ocupational Structure </w:t>
      </w:r>
      <w:r w:rsidR="003C4235">
        <w:rPr>
          <w:rFonts w:ascii="Times New Roman" w:hAnsi="Times New Roman" w:cs="Times New Roman"/>
          <w:i/>
          <w:sz w:val="24"/>
        </w:rPr>
        <w:fldChar w:fldCharType="begin"/>
      </w:r>
      <w:r w:rsidR="001F57ED">
        <w:rPr>
          <w:rFonts w:ascii="Times New Roman" w:hAnsi="Times New Roman" w:cs="Times New Roman"/>
          <w:i/>
          <w:sz w:val="24"/>
        </w:rPr>
        <w:instrText xml:space="preserve"> ADDIN ZOTERO_ITEM CSL_CITATION {"citationID":"239abagp11","properties":{"formattedCitation":"(Blau y Duncan, 1967)","plainCitation":"(Blau y Duncan, 1967)"},"citationItems":[{"id":329,"uris":["http://zotero.org/users/2248776/items/HGN4PHWM"],"uri":["http://zotero.org/users/2248776/items/HGN4PHWM"],"itemData":{"id":329,"type":"book","title":"The American occupational structure","publisher":"John Wiley &amp; Sons","publisher-place":"New York","source":"Google Scholar","event-place":"New York","URL":"http://eric.ed.gov/?id=ED066526","author":[{"family":"Blau","given":"Peter M."},{"family":"Duncan","given":"Otis Dudley"}],"issued":{"date-parts":[["1967"]]},"accessed":{"date-parts":[["2015",3,17]]}}}],"schema":"https://github.com/citation-style-language/schema/raw/master/csl-citation.json"} </w:instrText>
      </w:r>
      <w:r w:rsidR="003C4235">
        <w:rPr>
          <w:rFonts w:ascii="Times New Roman" w:hAnsi="Times New Roman" w:cs="Times New Roman"/>
          <w:i/>
          <w:sz w:val="24"/>
        </w:rPr>
        <w:fldChar w:fldCharType="separate"/>
      </w:r>
      <w:r w:rsidRPr="008967AB">
        <w:rPr>
          <w:rFonts w:ascii="Times New Roman" w:hAnsi="Times New Roman" w:cs="Times New Roman"/>
          <w:sz w:val="24"/>
        </w:rPr>
        <w:t>(Blau y Duncan, 1967)</w:t>
      </w:r>
      <w:r w:rsidR="003C4235">
        <w:rPr>
          <w:rFonts w:ascii="Times New Roman" w:hAnsi="Times New Roman" w:cs="Times New Roman"/>
          <w:i/>
          <w:sz w:val="24"/>
        </w:rPr>
        <w:fldChar w:fldCharType="end"/>
      </w:r>
      <w:r>
        <w:rPr>
          <w:rFonts w:ascii="Times New Roman" w:hAnsi="Times New Roman" w:cs="Times New Roman"/>
          <w:sz w:val="24"/>
        </w:rPr>
        <w:t xml:space="preserve">, que se abre la segunda generación de estudios de movilidad social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{"citationID":"2b93dbsjg1","properties":{"formattedCitation":"(Ganzeboom, Treiman, y Ultee, 1991)","plainCitation":"(Ganzeboom, Treiman, y Ultee, 1991)"},"citationItems":[{"id":374,"uris":["http://zotero.org/users/2248776/items/JUCPTTBW"],"uri":["http://zotero.org/users/2248776/items/JUCPTTBW"],"itemData":{"id":374,"type":"article-journal","title":"Comparative intergenerational stratification research: Three generations and beyond","container-title":"Annual Review of sociology","page":"277-302","ISSN":"0360-0572","author":[{"family":"Ganzeboom","given":"Harry B G"},{"family":"Treiman","given":"Donald J"},{"family":"Ultee","given":"Wout C"}],"issued":{"date-parts":[["1991"]]}}}],"schema":"https://github.com/citation-style-language/schema/raw/master/csl-citation.json"} </w:instrText>
      </w:r>
      <w:r w:rsidR="003C4235">
        <w:rPr>
          <w:rFonts w:ascii="Times New Roman" w:hAnsi="Times New Roman" w:cs="Times New Roman"/>
          <w:sz w:val="24"/>
        </w:rPr>
        <w:fldChar w:fldCharType="separate"/>
      </w:r>
      <w:r w:rsidRPr="008967AB">
        <w:rPr>
          <w:rFonts w:ascii="Times New Roman" w:hAnsi="Times New Roman" w:cs="Times New Roman"/>
          <w:sz w:val="24"/>
        </w:rPr>
        <w:t>(Ganzeboom, Treiman, y Ultee, 1991)</w:t>
      </w:r>
      <w:r w:rsidR="003C4235">
        <w:rPr>
          <w:rFonts w:ascii="Times New Roman" w:hAnsi="Times New Roman" w:cs="Times New Roman"/>
          <w:sz w:val="24"/>
        </w:rPr>
        <w:fldChar w:fldCharType="end"/>
      </w:r>
      <w:r w:rsidR="0008502A">
        <w:rPr>
          <w:rFonts w:ascii="Times New Roman" w:hAnsi="Times New Roman" w:cs="Times New Roman"/>
          <w:sz w:val="24"/>
        </w:rPr>
        <w:t xml:space="preserve"> y con ella un primer intento sofisticado en la comprensión de las causas de la movilidad social en Estados Unidos. Bajo el denominado modelo de “logro de estatus”, los autores descompusieron el concepto de movilidad social en sus elementos constitutivos (orígenes y destinos sociales), intentando comprender cuáles factores determinantes del logro ocupacional de la población bajo estudio. De este modo, el modelo base incorporaba cinco variables que intentaban explicar </w:t>
      </w:r>
      <w:r w:rsidR="00BD72BD">
        <w:rPr>
          <w:rFonts w:ascii="Times New Roman" w:hAnsi="Times New Roman" w:cs="Times New Roman"/>
          <w:sz w:val="24"/>
        </w:rPr>
        <w:t xml:space="preserve">a dicha variable dependiente, a través de la novedosa técnica del </w:t>
      </w:r>
      <w:r w:rsidR="00BD72BD">
        <w:rPr>
          <w:rFonts w:ascii="Times New Roman" w:hAnsi="Times New Roman" w:cs="Times New Roman"/>
          <w:i/>
          <w:sz w:val="24"/>
        </w:rPr>
        <w:t>path analysis</w:t>
      </w:r>
      <w:r w:rsidR="00BD72BD">
        <w:rPr>
          <w:rFonts w:ascii="Times New Roman" w:hAnsi="Times New Roman" w:cs="Times New Roman"/>
          <w:sz w:val="24"/>
        </w:rPr>
        <w:t>: la educación y el estatus ocupacional del padre, el logro educativo y el estatus ocupacional del primer empleo del hijo</w:t>
      </w:r>
      <w:r w:rsidR="00BD72BD">
        <w:rPr>
          <w:rStyle w:val="Refdenotaalpie"/>
          <w:rFonts w:ascii="Times New Roman" w:hAnsi="Times New Roman" w:cs="Times New Roman"/>
          <w:sz w:val="24"/>
        </w:rPr>
        <w:footnoteReference w:id="4"/>
      </w:r>
      <w:r w:rsidR="00BD72BD">
        <w:rPr>
          <w:rFonts w:ascii="Times New Roman" w:hAnsi="Times New Roman" w:cs="Times New Roman"/>
          <w:sz w:val="24"/>
        </w:rPr>
        <w:t>. De lo que se trataba era de formalizar y probar ciertas hipótesis causales planteadas por la primera generación de estudios, desde una perspectiva que, a priori, consideraba</w:t>
      </w:r>
      <w:r w:rsidR="00C73B78">
        <w:rPr>
          <w:rFonts w:ascii="Times New Roman" w:hAnsi="Times New Roman" w:cs="Times New Roman"/>
          <w:sz w:val="24"/>
        </w:rPr>
        <w:t xml:space="preserve"> que la movilidad social debía ser comprendida por múltiples factores.</w:t>
      </w:r>
    </w:p>
    <w:p w:rsidR="00FB71E3" w:rsidRDefault="005C529F" w:rsidP="00B105D2">
      <w:pPr>
        <w:spacing w:after="0" w:line="360" w:lineRule="auto"/>
        <w:jc w:val="both"/>
        <w:rPr>
          <w:rFonts w:ascii="Times New Roman" w:hAnsi="Times New Roman" w:cs="Times New Roman"/>
          <w:sz w:val="24"/>
        </w:rPr>
      </w:pPr>
      <w:r>
        <w:rPr>
          <w:rFonts w:ascii="Times New Roman" w:hAnsi="Times New Roman" w:cs="Times New Roman"/>
          <w:sz w:val="24"/>
        </w:rPr>
        <w:t>L</w:t>
      </w:r>
      <w:r w:rsidR="00C73B78" w:rsidRPr="00C73B78">
        <w:rPr>
          <w:rFonts w:ascii="Times New Roman" w:hAnsi="Times New Roman" w:cs="Times New Roman"/>
          <w:sz w:val="24"/>
        </w:rPr>
        <w:t xml:space="preserve">a tercera generación de estudios sobre movilidad </w:t>
      </w:r>
      <w:r w:rsidRPr="00C73B78">
        <w:rPr>
          <w:rFonts w:ascii="Times New Roman" w:hAnsi="Times New Roman" w:cs="Times New Roman"/>
          <w:sz w:val="24"/>
        </w:rPr>
        <w:t>plantea</w:t>
      </w:r>
      <w:r w:rsidR="00C73B78" w:rsidRPr="00C73B78">
        <w:rPr>
          <w:rFonts w:ascii="Times New Roman" w:hAnsi="Times New Roman" w:cs="Times New Roman"/>
          <w:sz w:val="24"/>
        </w:rPr>
        <w:t xml:space="preserve"> ciertas rupturas con las anteriores dos, principalmente al partir de enfoques no funcionalistas. </w:t>
      </w:r>
      <w:r>
        <w:rPr>
          <w:rFonts w:ascii="Times New Roman" w:hAnsi="Times New Roman" w:cs="Times New Roman"/>
          <w:sz w:val="24"/>
        </w:rPr>
        <w:t>Retomando</w:t>
      </w:r>
      <w:r w:rsidR="00C73B78" w:rsidRPr="00C73B78">
        <w:rPr>
          <w:rFonts w:ascii="Times New Roman" w:hAnsi="Times New Roman" w:cs="Times New Roman"/>
          <w:sz w:val="24"/>
        </w:rPr>
        <w:t xml:space="preserve"> el interrogante por la movilidad social comparada</w:t>
      </w:r>
      <w:r>
        <w:rPr>
          <w:rFonts w:ascii="Times New Roman" w:hAnsi="Times New Roman" w:cs="Times New Roman"/>
          <w:sz w:val="24"/>
        </w:rPr>
        <w:t xml:space="preserve"> (presente ya en el clásico trabajo de Lipset y Bendix)</w:t>
      </w:r>
      <w:r w:rsidR="00C73B78" w:rsidRPr="00C73B78">
        <w:rPr>
          <w:rFonts w:ascii="Times New Roman" w:hAnsi="Times New Roman" w:cs="Times New Roman"/>
          <w:sz w:val="24"/>
        </w:rPr>
        <w:t>, pero a partir de técnicas estadísticas más sofis</w:t>
      </w:r>
      <w:r>
        <w:rPr>
          <w:rFonts w:ascii="Times New Roman" w:hAnsi="Times New Roman" w:cs="Times New Roman"/>
          <w:sz w:val="24"/>
        </w:rPr>
        <w:t>ticadas (modelos log-lineales),</w:t>
      </w:r>
      <w:r w:rsidR="00C73B78" w:rsidRPr="00C73B78">
        <w:rPr>
          <w:rFonts w:ascii="Times New Roman" w:hAnsi="Times New Roman" w:cs="Times New Roman"/>
          <w:sz w:val="24"/>
        </w:rPr>
        <w:t xml:space="preserve"> se intentaron superar dos de las críticas que se le habían imputado a las generaciones anteriores: ateoricismo e ininterpretabilidad de los resultados (Cachón Rodríguez, 1989, p 325). Dentro de esta generación, es central el papel del grupo del Nuffield College (Universidad de Oxford), con John Goldthorpe como máximo representante. </w:t>
      </w:r>
      <w:r>
        <w:rPr>
          <w:rFonts w:ascii="Times New Roman" w:hAnsi="Times New Roman" w:cs="Times New Roman"/>
          <w:sz w:val="24"/>
        </w:rPr>
        <w:t xml:space="preserve">El principal aporte de esta tercera generación radicó en el </w:t>
      </w:r>
      <w:r w:rsidR="00894DCF">
        <w:rPr>
          <w:rFonts w:ascii="Times New Roman" w:hAnsi="Times New Roman" w:cs="Times New Roman"/>
          <w:sz w:val="24"/>
        </w:rPr>
        <w:t xml:space="preserve">estudio del “patrón de fluidez social”, es decir, aquel flujo de movimientos que se genera independiente de las transformaciones en la estructura de clases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{"citationID":"2igr7uendd","properties":{"formattedCitation":"(Erikson y Goldthorpe, 1992)","plainCitation":"(Erikson y Goldthorpe, 1992)"},"citationItems":[{"id":382,"uris":["http://zotero.org/users/2248776/items/KBV76I6W"],"uri":["http://zotero.org/users/2248776/items/KBV76I6W"],"itemData":{"id":382,"type":"book","title":"The constant flux: A study of class mobility in industrial societies","publisher":"Oxford University Press, USA","ISBN":"0-19-827383-5","author":[{"family":"Erikson","given":"Robert"},{"family":"Goldthorpe","given":"John H"}],"issued":{"date-parts":[["1992"]]}}}],"schema":"https://github.com/citation-style-language/schema/raw/master/csl-citation.json"} </w:instrText>
      </w:r>
      <w:r w:rsidR="003C4235">
        <w:rPr>
          <w:rFonts w:ascii="Times New Roman" w:hAnsi="Times New Roman" w:cs="Times New Roman"/>
          <w:sz w:val="24"/>
        </w:rPr>
        <w:fldChar w:fldCharType="separate"/>
      </w:r>
      <w:r w:rsidR="00894DCF" w:rsidRPr="00894DCF">
        <w:rPr>
          <w:rFonts w:ascii="Times New Roman" w:hAnsi="Times New Roman" w:cs="Times New Roman"/>
          <w:sz w:val="24"/>
        </w:rPr>
        <w:t>(Erikson y Goldthorpe, 1992)</w:t>
      </w:r>
      <w:r w:rsidR="003C4235">
        <w:rPr>
          <w:rFonts w:ascii="Times New Roman" w:hAnsi="Times New Roman" w:cs="Times New Roman"/>
          <w:sz w:val="24"/>
        </w:rPr>
        <w:fldChar w:fldCharType="end"/>
      </w:r>
      <w:r w:rsidR="00894DCF">
        <w:rPr>
          <w:rFonts w:ascii="Times New Roman" w:hAnsi="Times New Roman" w:cs="Times New Roman"/>
          <w:sz w:val="24"/>
        </w:rPr>
        <w:t xml:space="preserve">. Por su parte, el estudio a partir de modelos log-lineales y la disposición de fuentes de información con numerosos casos a nivel internacional, permitía la incorporación de terceras variables al análisis: sexo, cohorte de nacimientos, país, entre otros. </w:t>
      </w:r>
    </w:p>
    <w:p w:rsidR="008967AB" w:rsidRDefault="0033451B" w:rsidP="00B105D2">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Siguiendo con la intensión de identificar abordajes multidimensionales sobre la movilidad social, </w:t>
      </w:r>
      <w:r w:rsidR="00FB71E3">
        <w:rPr>
          <w:rFonts w:ascii="Times New Roman" w:hAnsi="Times New Roman" w:cs="Times New Roman"/>
          <w:sz w:val="24"/>
        </w:rPr>
        <w:t xml:space="preserve">la renovada ola de estudios sobre movilidad social </w:t>
      </w:r>
      <w:r w:rsidR="00487308">
        <w:rPr>
          <w:rFonts w:ascii="Times New Roman" w:hAnsi="Times New Roman" w:cs="Times New Roman"/>
          <w:sz w:val="24"/>
        </w:rPr>
        <w:t>que se presentaron en Argentina</w:t>
      </w:r>
      <w:r w:rsidR="00487308">
        <w:rPr>
          <w:rStyle w:val="Refdenotaalpie"/>
          <w:rFonts w:ascii="Times New Roman" w:hAnsi="Times New Roman" w:cs="Times New Roman"/>
          <w:sz w:val="24"/>
        </w:rPr>
        <w:footnoteReference w:id="5"/>
      </w:r>
      <w:r w:rsidR="00487308">
        <w:rPr>
          <w:rFonts w:ascii="Times New Roman" w:hAnsi="Times New Roman" w:cs="Times New Roman"/>
          <w:sz w:val="24"/>
        </w:rPr>
        <w:t xml:space="preserve"> </w:t>
      </w:r>
      <w:r w:rsidR="00FB71E3">
        <w:rPr>
          <w:rFonts w:ascii="Times New Roman" w:hAnsi="Times New Roman" w:cs="Times New Roman"/>
          <w:sz w:val="24"/>
        </w:rPr>
        <w:t>a partir de la primer década del 2000</w:t>
      </w:r>
      <w:r>
        <w:rPr>
          <w:rFonts w:ascii="Times New Roman" w:hAnsi="Times New Roman" w:cs="Times New Roman"/>
          <w:sz w:val="24"/>
        </w:rPr>
        <w:t>, son un claro ejemplo de esto, si bien en la mayoría de los casos de lo que se trata es de especificar la relación entre orígenes y destinos a partir otra variable. En</w:t>
      </w:r>
      <w:r w:rsidR="00943701">
        <w:rPr>
          <w:rFonts w:ascii="Times New Roman" w:hAnsi="Times New Roman" w:cs="Times New Roman"/>
          <w:sz w:val="24"/>
        </w:rPr>
        <w:t xml:space="preserve"> este sentido, pueden citarse la</w:t>
      </w:r>
      <w:r>
        <w:rPr>
          <w:rFonts w:ascii="Times New Roman" w:hAnsi="Times New Roman" w:cs="Times New Roman"/>
          <w:sz w:val="24"/>
        </w:rPr>
        <w:t xml:space="preserve">s formulaciones acerca de los procesos de movilidad espuria evidenciados en los 90’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{"citationID":"3vnu05t9q","properties":{"formattedCitation":"(Kessler y Espinoza, 2007)","plainCitation":"(Kessler y Espinoza, 2007)"},"citationItems":[{"id":462,"uris":["http://zotero.org/users/2248776/items/PVNWVIWB"],"uri":["http://zotero.org/users/2248776/items/PVNWVIWB"],"itemData":{"id":462,"type":"chapter","title":"Movilidad social y trayectorias ocupacionales en Argentina: rupturas y algunas paradojas del caso de Buenos Aires","container-title":"Estratificación y movilidad social en América Latina: transformaciones estructurales de un cuarto de siglo","publisher":"CEPAL","author":[{"family":"Kessler","given":"Gabriel"},{"family":"Espinoza","given":"Vicente"}],"container-author":[{"family":"Atria","given":"Raúl"},{"family":"León","given":"Arturo"},{"family":"Franco","given":"Rolando"}],"issued":{"date-parts":[["2007"]]}}}],"schema":"https://github.com/citation-style-language/schema/raw/master/csl-citation.json"} </w:instrText>
      </w:r>
      <w:r w:rsidR="003C4235">
        <w:rPr>
          <w:rFonts w:ascii="Times New Roman" w:hAnsi="Times New Roman" w:cs="Times New Roman"/>
          <w:sz w:val="24"/>
        </w:rPr>
        <w:fldChar w:fldCharType="separate"/>
      </w:r>
      <w:r w:rsidRPr="0033451B">
        <w:rPr>
          <w:rFonts w:ascii="Times New Roman" w:hAnsi="Times New Roman" w:cs="Times New Roman"/>
          <w:sz w:val="24"/>
        </w:rPr>
        <w:t>(Kessler y Espinoza, 2007)</w:t>
      </w:r>
      <w:r w:rsidR="003C4235">
        <w:rPr>
          <w:rFonts w:ascii="Times New Roman" w:hAnsi="Times New Roman" w:cs="Times New Roman"/>
          <w:sz w:val="24"/>
        </w:rPr>
        <w:fldChar w:fldCharType="end"/>
      </w:r>
      <w:r>
        <w:rPr>
          <w:rFonts w:ascii="Times New Roman" w:hAnsi="Times New Roman" w:cs="Times New Roman"/>
          <w:sz w:val="24"/>
        </w:rPr>
        <w:t xml:space="preserve">; </w:t>
      </w:r>
      <w:r w:rsidR="00CA6E70">
        <w:rPr>
          <w:rFonts w:ascii="Times New Roman" w:hAnsi="Times New Roman" w:cs="Times New Roman"/>
          <w:sz w:val="24"/>
        </w:rPr>
        <w:t xml:space="preserve">los vínculos entre movilidad y marginalidad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{"citationID":"1h1aadgpl2","properties":{"formattedCitation":"{\\rtf (Ch\\uc0\\u225{}vez Molina y Guti\\uc0\\u233{}rrez Ageitos, 2009)}","plainCitation":"(Chávez Molina y Gutiérrez Ageitos, 2009)"},"citationItems":[{"id":502,"uris":["http://zotero.org/users/2248776/items/RCCKIBFJ"],"uri":["http://zotero.org/users/2248776/items/RCCKIBFJ"],"itemData":{"id":502,"type":"article-journal","title":"Movilidad intergeneracional y marginalidad económica. Un estudio de caso en el Conurbano Bonaerense","container-title":"Población de Buenos Aires","page":"29-48","volume":"6","issue":"10","ISSN":"1668-5458","author":[{"family":"Chávez Molina","given":"Eduardo"},{"family":"Gutiérrez Ageitos","given":"Pablo"}],"issued":{"date-parts":[["2009"]]}}}],"schema":"https://github.com/citation-style-language/schema/raw/master/csl-citation.json"} </w:instrText>
      </w:r>
      <w:r w:rsidR="003C4235">
        <w:rPr>
          <w:rFonts w:ascii="Times New Roman" w:hAnsi="Times New Roman" w:cs="Times New Roman"/>
          <w:sz w:val="24"/>
        </w:rPr>
        <w:fldChar w:fldCharType="separate"/>
      </w:r>
      <w:r w:rsidR="00CA6E70" w:rsidRPr="00CA6E70">
        <w:rPr>
          <w:rFonts w:ascii="Times New Roman" w:hAnsi="Times New Roman" w:cs="Times New Roman"/>
          <w:sz w:val="24"/>
          <w:szCs w:val="24"/>
        </w:rPr>
        <w:t>(Chávez Molina y Gutiérrez Ageitos, 2009)</w:t>
      </w:r>
      <w:r w:rsidR="003C4235">
        <w:rPr>
          <w:rFonts w:ascii="Times New Roman" w:hAnsi="Times New Roman" w:cs="Times New Roman"/>
          <w:sz w:val="24"/>
        </w:rPr>
        <w:fldChar w:fldCharType="end"/>
      </w:r>
      <w:r w:rsidR="00CA6E70">
        <w:rPr>
          <w:rFonts w:ascii="Times New Roman" w:hAnsi="Times New Roman" w:cs="Times New Roman"/>
          <w:sz w:val="24"/>
        </w:rPr>
        <w:t xml:space="preserve">; movilidad, heterogeneidad estructural e ingresos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{"citationID":"dl5n60t6l","properties":{"formattedCitation":"(Quartulli y Salvia, 2014)","plainCitation":"(Quartulli y Salvia, 2014)"},"citationItems":[{"id":1085,"uris":["http://zotero.org/users/2248776/items/K2AA7R42"],"uri":["http://zotero.org/users/2248776/items/K2AA7R42"],"itemData":{"id":1085,"type":"article-journal","title":"La movilidad y la estratificación socio-ocupacional en la Argentina. Un análisis de las desigualdades de origen","container-title":"Entramados y Perspectivas","page":"15–42","issue":"2","source":"Google Scholar","author":[{"family":"Quartulli","given":"Diego"},{"family":"Salvia","given":"Agustín"}],"issued":{"date-parts":[["2014"]]}}}],"schema":"https://github.com/citation-style-language/schema/raw/master/csl-citation.json"} </w:instrText>
      </w:r>
      <w:r w:rsidR="003C4235">
        <w:rPr>
          <w:rFonts w:ascii="Times New Roman" w:hAnsi="Times New Roman" w:cs="Times New Roman"/>
          <w:sz w:val="24"/>
        </w:rPr>
        <w:fldChar w:fldCharType="separate"/>
      </w:r>
      <w:r w:rsidR="00CA6E70" w:rsidRPr="00CA6E70">
        <w:rPr>
          <w:rFonts w:ascii="Times New Roman" w:hAnsi="Times New Roman" w:cs="Times New Roman"/>
          <w:sz w:val="24"/>
        </w:rPr>
        <w:t>(Quartulli y Salvia, 2014)</w:t>
      </w:r>
      <w:r w:rsidR="003C4235">
        <w:rPr>
          <w:rFonts w:ascii="Times New Roman" w:hAnsi="Times New Roman" w:cs="Times New Roman"/>
          <w:sz w:val="24"/>
        </w:rPr>
        <w:fldChar w:fldCharType="end"/>
      </w:r>
      <w:r w:rsidR="00CA6E70">
        <w:rPr>
          <w:rFonts w:ascii="Times New Roman" w:hAnsi="Times New Roman" w:cs="Times New Roman"/>
          <w:sz w:val="24"/>
        </w:rPr>
        <w:t xml:space="preserve">; movilidad, clases populares y origen étnico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{"citationID":"1tcci6sckf","properties":{"formattedCitation":"(Dalle, 2016)","plainCitation":"(Dalle, 2016)"},"citationItems":[{"id":1363,"uris":["http://zotero.org/users/2248776/items/VXV4HDAH"],"uri":["http://zotero.org/users/2248776/items/VXV4HDAH"],"itemData":{"id":1363,"type":"book","title":"Movilidad social desde las clases populares: un estudio sociológico en el Área Metropolitana de Buenos Aires 1960-2013","publisher":"IIGG-CLACSO","ISBN":"978-950-29-1542-5","author":[{"family":"Dalle","given":"Pablo"}],"issued":{"date-parts":[["2016"]]}}}],"schema":"https://github.com/citation-style-language/schema/raw/master/csl-citation.json"} </w:instrText>
      </w:r>
      <w:r w:rsidR="003C4235">
        <w:rPr>
          <w:rFonts w:ascii="Times New Roman" w:hAnsi="Times New Roman" w:cs="Times New Roman"/>
          <w:sz w:val="24"/>
        </w:rPr>
        <w:fldChar w:fldCharType="separate"/>
      </w:r>
      <w:r w:rsidR="00CA6E70" w:rsidRPr="00CA6E70">
        <w:rPr>
          <w:rFonts w:ascii="Times New Roman" w:hAnsi="Times New Roman" w:cs="Times New Roman"/>
          <w:sz w:val="24"/>
        </w:rPr>
        <w:t>(Dalle, 2016)</w:t>
      </w:r>
      <w:r w:rsidR="003C4235">
        <w:rPr>
          <w:rFonts w:ascii="Times New Roman" w:hAnsi="Times New Roman" w:cs="Times New Roman"/>
          <w:sz w:val="24"/>
        </w:rPr>
        <w:fldChar w:fldCharType="end"/>
      </w:r>
      <w:r w:rsidR="00CA6E70">
        <w:rPr>
          <w:rFonts w:ascii="Times New Roman" w:hAnsi="Times New Roman" w:cs="Times New Roman"/>
          <w:sz w:val="24"/>
        </w:rPr>
        <w:t xml:space="preserve">; movilidad y marcos de certidumbre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{"citationID":"21n421ndn6","properties":{"formattedCitation":"(Pla, 2012)","plainCitation":"(Pla, 2012)"},"citationItems":[{"id":409,"uris":["http://zotero.org/users/2248776/items/MI8SM3Z9"],"uri":["http://zotero.org/users/2248776/items/MI8SM3Z9"],"itemData":{"id":409,"type":"thesis","title":"Trayectorias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Inédita","author":[{"family":"Pla","given":"Jésica"}],"issued":{"date-parts":[["2012"]]}}}],"schema":"https://github.com/citation-style-language/schema/raw/master/csl-citation.json"} </w:instrText>
      </w:r>
      <w:r w:rsidR="003C4235">
        <w:rPr>
          <w:rFonts w:ascii="Times New Roman" w:hAnsi="Times New Roman" w:cs="Times New Roman"/>
          <w:sz w:val="24"/>
        </w:rPr>
        <w:fldChar w:fldCharType="separate"/>
      </w:r>
      <w:r w:rsidR="00CA6E70" w:rsidRPr="00CA6E70">
        <w:rPr>
          <w:rFonts w:ascii="Times New Roman" w:hAnsi="Times New Roman" w:cs="Times New Roman"/>
          <w:sz w:val="24"/>
        </w:rPr>
        <w:t>(Pla, 2012)</w:t>
      </w:r>
      <w:r w:rsidR="003C4235">
        <w:rPr>
          <w:rFonts w:ascii="Times New Roman" w:hAnsi="Times New Roman" w:cs="Times New Roman"/>
          <w:sz w:val="24"/>
        </w:rPr>
        <w:fldChar w:fldCharType="end"/>
      </w:r>
      <w:r w:rsidR="00CA6E70">
        <w:rPr>
          <w:rFonts w:ascii="Times New Roman" w:hAnsi="Times New Roman" w:cs="Times New Roman"/>
          <w:sz w:val="24"/>
        </w:rPr>
        <w:t xml:space="preserve">; movilidad y género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{"citationID":"1hhpuebmrr","properties":{"formattedCitation":"{\\rtf (G\\uc0\\u243{}mez-Rojas y Riveiro, 2014; Riveiro, 2011)}","plainCitation":"(Gómez-Rojas y Riveiro, 2014; Riveiro, 2011)"},"citationItems":[{"id":1316,"uris":["http://zotero.org/users/2248776/items/3R3DI6NR"],"uri":["http://zotero.org/users/2248776/items/3R3DI6NR"],"itemData":{"id":1316,"type":"article-journal","title":"Hacia una mirada de género en los estudios de movilidad social: interrogantes teórico-metodológicos","container-title":"Boletin Cientifico Sapiens Research","page":"26–32","volume":"4","issue":"1","source":"Google Scholar","shortTitle":"Hacia una mirada de género en los estudios de movilidad social","author":[{"family":"Gómez-Rojas","given":"Gabriela-Vivian"},{"family":"Riveiro","given":"Manuel"}],"issued":{"date-parts":[["2014"]]}}},{"id":1328,"uris":["http://zotero.org/users/2248776/items/DIPVIHUM"],"uri":["http://zotero.org/users/2248776/items/DIPVIHUM"],"itemData":{"id":1328,"type":"paper-conference","title":"Los ángeles no tienen sexo. La movilidad social sí","publisher-place":"Mar del Plata","source":"Google Scholar","event":"Seminario Internacional Movilidad y Cambio Social en América Latina.","event-place":"Mar del Plata","URL":"http://seminariosms.fahce.unlp.edu.ar/sceyms/sceyms-2011/actas/Riveiro.pdf","author":[{"family":"Riveiro","given":"Manuel"}],"issued":{"date-parts":[["2011"]]},"accessed":{"date-parts":[["2016",2,25]]}}}],"schema":"https://github.com/citation-style-language/schema/raw/master/csl-citation.json"} </w:instrText>
      </w:r>
      <w:r w:rsidR="003C4235">
        <w:rPr>
          <w:rFonts w:ascii="Times New Roman" w:hAnsi="Times New Roman" w:cs="Times New Roman"/>
          <w:sz w:val="24"/>
        </w:rPr>
        <w:fldChar w:fldCharType="separate"/>
      </w:r>
      <w:r w:rsidR="00CA6E70" w:rsidRPr="00CA6E70">
        <w:rPr>
          <w:rFonts w:ascii="Times New Roman" w:hAnsi="Times New Roman" w:cs="Times New Roman"/>
          <w:sz w:val="24"/>
          <w:szCs w:val="24"/>
        </w:rPr>
        <w:t>(Gómez-Rojas y Riveiro, 2014; Riveiro, 2011)</w:t>
      </w:r>
      <w:r w:rsidR="003C4235">
        <w:rPr>
          <w:rFonts w:ascii="Times New Roman" w:hAnsi="Times New Roman" w:cs="Times New Roman"/>
          <w:sz w:val="24"/>
        </w:rPr>
        <w:fldChar w:fldCharType="end"/>
      </w:r>
      <w:r w:rsidR="00CA6E70">
        <w:rPr>
          <w:rFonts w:ascii="Times New Roman" w:hAnsi="Times New Roman" w:cs="Times New Roman"/>
          <w:sz w:val="24"/>
        </w:rPr>
        <w:t xml:space="preserve">; movilidad y educación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{"citationID":"2ppknk47gm","properties":{"formattedCitation":"(Jorrat, 2014)","plainCitation":"(Jorrat, 2014)"},"citationItems":[{"id":536,"uris":["http://zotero.org/users/2248776/items/STUTZM5K"],"uri":["http://zotero.org/users/2248776/items/STUTZM5K"],"itemData":{"id":536,"type":"article-journal","title":"\"De tal padre, ¿tal hijo?\". Estudios sobre movilidad soical y educacional en Argentina","container-title":"Documentos de Trabajo","volume":"70","URL":"http://webiigg.sociales.uba.ar/iigg/textos/documentos/dt70.pdf","ISSN":"9789502915043","author":[{"family":"Jorrat","given":"Jorge Raúl"}],"issued":{"date-parts":[["2014"]]}}}],"schema":"https://github.com/citation-style-language/schema/raw/master/csl-citation.json"} </w:instrText>
      </w:r>
      <w:r w:rsidR="003C4235">
        <w:rPr>
          <w:rFonts w:ascii="Times New Roman" w:hAnsi="Times New Roman" w:cs="Times New Roman"/>
          <w:sz w:val="24"/>
        </w:rPr>
        <w:fldChar w:fldCharType="separate"/>
      </w:r>
      <w:r w:rsidR="00CA6E70" w:rsidRPr="00CA6E70">
        <w:rPr>
          <w:rFonts w:ascii="Times New Roman" w:hAnsi="Times New Roman" w:cs="Times New Roman"/>
          <w:sz w:val="24"/>
        </w:rPr>
        <w:t>(Jorrat, 2014)</w:t>
      </w:r>
      <w:r w:rsidR="003C4235">
        <w:rPr>
          <w:rFonts w:ascii="Times New Roman" w:hAnsi="Times New Roman" w:cs="Times New Roman"/>
          <w:sz w:val="24"/>
        </w:rPr>
        <w:fldChar w:fldCharType="end"/>
      </w:r>
      <w:r w:rsidR="00CA6E70">
        <w:rPr>
          <w:rFonts w:ascii="Times New Roman" w:hAnsi="Times New Roman" w:cs="Times New Roman"/>
          <w:sz w:val="24"/>
        </w:rPr>
        <w:t xml:space="preserve">, entre otros.  </w:t>
      </w:r>
      <w:r>
        <w:rPr>
          <w:rFonts w:ascii="Times New Roman" w:hAnsi="Times New Roman" w:cs="Times New Roman"/>
          <w:sz w:val="24"/>
        </w:rPr>
        <w:t xml:space="preserve">  </w:t>
      </w:r>
    </w:p>
    <w:p w:rsidR="007137D9" w:rsidRDefault="007137D9" w:rsidP="00B105D2">
      <w:pPr>
        <w:spacing w:after="0" w:line="360" w:lineRule="auto"/>
        <w:jc w:val="both"/>
        <w:rPr>
          <w:rFonts w:ascii="Times New Roman" w:hAnsi="Times New Roman" w:cs="Times New Roman"/>
          <w:sz w:val="24"/>
        </w:rPr>
      </w:pPr>
    </w:p>
    <w:p w:rsidR="000007E1" w:rsidRPr="008967AB" w:rsidRDefault="00CD1E75" w:rsidP="00B105D2">
      <w:pPr>
        <w:spacing w:after="0" w:line="360" w:lineRule="auto"/>
        <w:jc w:val="both"/>
        <w:rPr>
          <w:rFonts w:ascii="Times New Roman" w:hAnsi="Times New Roman" w:cs="Times New Roman"/>
          <w:i/>
          <w:sz w:val="24"/>
        </w:rPr>
      </w:pPr>
      <w:r>
        <w:rPr>
          <w:rFonts w:ascii="Times New Roman" w:hAnsi="Times New Roman" w:cs="Times New Roman"/>
          <w:i/>
          <w:sz w:val="24"/>
        </w:rPr>
        <w:t>Bourdieu: el retorno a</w:t>
      </w:r>
      <w:r w:rsidR="008967AB">
        <w:rPr>
          <w:rFonts w:ascii="Times New Roman" w:hAnsi="Times New Roman" w:cs="Times New Roman"/>
          <w:i/>
          <w:sz w:val="24"/>
        </w:rPr>
        <w:t>l espacio social</w:t>
      </w:r>
    </w:p>
    <w:p w:rsidR="00CA6E70" w:rsidRDefault="00CA6E70" w:rsidP="00B105D2">
      <w:pPr>
        <w:spacing w:after="0" w:line="360" w:lineRule="auto"/>
        <w:jc w:val="both"/>
        <w:rPr>
          <w:rFonts w:ascii="Times New Roman" w:hAnsi="Times New Roman" w:cs="Times New Roman"/>
          <w:sz w:val="24"/>
        </w:rPr>
      </w:pPr>
      <w:r>
        <w:rPr>
          <w:rFonts w:ascii="Times New Roman" w:hAnsi="Times New Roman" w:cs="Times New Roman"/>
          <w:sz w:val="24"/>
        </w:rPr>
        <w:t xml:space="preserve">Sería pertinente terminar este apartado de teórico y de antecedentes haciendo una breve reseña sobre los aportes centrales de Bourdieu al análisis de clase y </w:t>
      </w:r>
      <w:r w:rsidR="00BB7275">
        <w:rPr>
          <w:rFonts w:ascii="Times New Roman" w:hAnsi="Times New Roman" w:cs="Times New Roman"/>
          <w:sz w:val="24"/>
        </w:rPr>
        <w:t>de la movilidad social</w:t>
      </w:r>
      <w:r w:rsidR="00943701">
        <w:rPr>
          <w:rFonts w:ascii="Times New Roman" w:hAnsi="Times New Roman" w:cs="Times New Roman"/>
          <w:sz w:val="24"/>
        </w:rPr>
        <w:t>.</w:t>
      </w:r>
      <w:r w:rsidR="00BB7275">
        <w:rPr>
          <w:rStyle w:val="Refdenotaalpie"/>
          <w:rFonts w:ascii="Times New Roman" w:hAnsi="Times New Roman" w:cs="Times New Roman"/>
          <w:sz w:val="24"/>
        </w:rPr>
        <w:footnoteReference w:id="6"/>
      </w:r>
    </w:p>
    <w:p w:rsidR="00BB7275" w:rsidRDefault="008F40D8" w:rsidP="00B105D2">
      <w:pPr>
        <w:spacing w:after="0" w:line="360" w:lineRule="auto"/>
        <w:jc w:val="both"/>
        <w:rPr>
          <w:rFonts w:ascii="Times New Roman" w:hAnsi="Times New Roman" w:cs="Times New Roman"/>
          <w:sz w:val="24"/>
        </w:rPr>
      </w:pPr>
      <w:r>
        <w:rPr>
          <w:rFonts w:ascii="Times New Roman" w:hAnsi="Times New Roman" w:cs="Times New Roman"/>
          <w:sz w:val="24"/>
        </w:rPr>
        <w:t xml:space="preserve">Bourdieu retoma dos aspectos que habían sido obviados, o al menos minimizados, por las tradiciones neo-marxistas y neo-weberianas del análisis de clase: por un lado, la constitución multidimensional de las clases sociales, no reductibles a las relaciones de producción o mercado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{"citationID":"6prti9o8s","properties":{"formattedCitation":"(Bourdieu, 1990, p 27)","plainCitation":"(Bourdieu, 1990, p 27)"},"citationItems":[{"id":51,"uris":["http://zotero.org/users/2248776/items/45TNICF9"],"uri":["http://zotero.org/users/2248776/items/45TNICF9"],"itemData":{"id":51,"type":"article-journal","title":"Espacio social y génesis de las clases","container-title":"Sociología y cultura","page":"281–309","source":"Google Scholar","author":[{"family":"Bourdieu","given":"Pierre"}],"issued":{"date-parts":[["1990"]]}},"locator":"27"}],"schema":"https://github.com/citation-style-language/schema/raw/master/csl-citation.json"} </w:instrText>
      </w:r>
      <w:r w:rsidR="003C4235">
        <w:rPr>
          <w:rFonts w:ascii="Times New Roman" w:hAnsi="Times New Roman" w:cs="Times New Roman"/>
          <w:sz w:val="24"/>
        </w:rPr>
        <w:fldChar w:fldCharType="separate"/>
      </w:r>
      <w:r w:rsidRPr="008F40D8">
        <w:rPr>
          <w:rFonts w:ascii="Times New Roman" w:hAnsi="Times New Roman" w:cs="Times New Roman"/>
          <w:sz w:val="24"/>
        </w:rPr>
        <w:t>(Bourdieu, 1990, p 27)</w:t>
      </w:r>
      <w:r w:rsidR="003C4235">
        <w:rPr>
          <w:rFonts w:ascii="Times New Roman" w:hAnsi="Times New Roman" w:cs="Times New Roman"/>
          <w:sz w:val="24"/>
        </w:rPr>
        <w:fldChar w:fldCharType="end"/>
      </w:r>
      <w:r>
        <w:rPr>
          <w:rFonts w:ascii="Times New Roman" w:hAnsi="Times New Roman" w:cs="Times New Roman"/>
          <w:sz w:val="24"/>
        </w:rPr>
        <w:t xml:space="preserve"> y en segundo lugar, </w:t>
      </w:r>
      <w:r w:rsidR="00A062C5">
        <w:rPr>
          <w:rFonts w:ascii="Times New Roman" w:hAnsi="Times New Roman" w:cs="Times New Roman"/>
          <w:sz w:val="24"/>
        </w:rPr>
        <w:t>la vuelta a escena de la idea de “espacio social</w:t>
      </w:r>
      <w:r w:rsidR="00684891">
        <w:rPr>
          <w:rFonts w:ascii="Times New Roman" w:hAnsi="Times New Roman" w:cs="Times New Roman"/>
          <w:sz w:val="24"/>
        </w:rPr>
        <w:t>”, ya presente en Sorokin, que le permite desprenderse de la concepción clásica de clase social (unidimen</w:t>
      </w:r>
      <w:r w:rsidR="00E728FD">
        <w:rPr>
          <w:rFonts w:ascii="Times New Roman" w:hAnsi="Times New Roman" w:cs="Times New Roman"/>
          <w:sz w:val="24"/>
        </w:rPr>
        <w:t xml:space="preserve">sional, basada en la ocupación), consolidando un abordaje en el que las relaciones sociales son pensadas en términos topológicos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{"citationID":"795r5qtot","properties":{"formattedCitation":"(Baranger, 2004, pp 119-131; Bourdieu, 2012b, p 131)","plainCitation":"(Baranger, 2004, pp 119-131; Bourdieu, 2012b, p 131)"},"citationItems":[{"id":1676,"uris":["http://zotero.org/users/2248776/items/M4XK7HBJ"],"uri":["http://zotero.org/users/2248776/items/M4XK7HBJ"],"itemData":{"id":1676,"type":"book","title":"Epistemología y metodología en la obra de Pierre Bourdieu","publisher":"Prometeo Libros Editorial","source":"Google Scholar","URL":"https://books.google.es/books?hl=es&amp;lr=&amp;id=7ZC6gDuh7RkC&amp;oi=fnd&amp;pg=PA9&amp;dq=epistemologia+y+metodologia+en+la+obra+de+pierre+bourdieu&amp;ots=x0RvAQHx6h&amp;sig=krexSvGCufDCtE8hfShRguO5qDk","author":[{"family":"Baranger","given":"Denis"}],"issued":{"date-parts":[["2004"]]},"accessed":{"date-parts":[["2016",8,22]]}},"locator":"119-131"},{"id":198,"uris":["http://zotero.org/users/2248776/items/AMTHJSKC"],"uri":["http://zotero.org/users/2248776/items/AMTHJSKC"],"itemData":{"id":198,"type":"book","title":"Las estrategias de la reproducción social","publisher":"Siglo XXI","source":"Google Scholar","author":[{"family":"Bourdieu","given":"Pierre"}],"issued":{"date-parts":[["2012"]]}},"locator":"131"}],"schema":"https://github.com/citation-style-language/schema/raw/master/csl-citation.json"} </w:instrText>
      </w:r>
      <w:r w:rsidR="003C4235">
        <w:rPr>
          <w:rFonts w:ascii="Times New Roman" w:hAnsi="Times New Roman" w:cs="Times New Roman"/>
          <w:sz w:val="24"/>
        </w:rPr>
        <w:fldChar w:fldCharType="separate"/>
      </w:r>
      <w:r w:rsidR="00FC4E57" w:rsidRPr="00FC4E57">
        <w:rPr>
          <w:rFonts w:ascii="Times New Roman" w:hAnsi="Times New Roman" w:cs="Times New Roman"/>
          <w:sz w:val="24"/>
        </w:rPr>
        <w:t>(Baranger, 2004, pp 119-131; Bourdieu, 2012b, p 131)</w:t>
      </w:r>
      <w:r w:rsidR="003C4235">
        <w:rPr>
          <w:rFonts w:ascii="Times New Roman" w:hAnsi="Times New Roman" w:cs="Times New Roman"/>
          <w:sz w:val="24"/>
        </w:rPr>
        <w:fldChar w:fldCharType="end"/>
      </w:r>
      <w:r w:rsidR="00E728FD">
        <w:rPr>
          <w:rFonts w:ascii="Times New Roman" w:hAnsi="Times New Roman" w:cs="Times New Roman"/>
          <w:sz w:val="24"/>
        </w:rPr>
        <w:t>.</w:t>
      </w:r>
    </w:p>
    <w:p w:rsidR="00DF261F" w:rsidRDefault="005C5B80" w:rsidP="00B105D2">
      <w:pPr>
        <w:spacing w:after="0" w:line="360" w:lineRule="auto"/>
        <w:jc w:val="both"/>
        <w:rPr>
          <w:rFonts w:ascii="Times New Roman" w:hAnsi="Times New Roman" w:cs="Times New Roman"/>
          <w:sz w:val="24"/>
        </w:rPr>
      </w:pPr>
      <w:r>
        <w:rPr>
          <w:rFonts w:ascii="Times New Roman" w:hAnsi="Times New Roman" w:cs="Times New Roman"/>
          <w:sz w:val="24"/>
        </w:rPr>
        <w:t xml:space="preserve">En lo que a esta ponencia compete, nos centraremos en analizar dos aspectos de la teoría de Bourdieu: </w:t>
      </w:r>
      <w:r w:rsidR="00943701">
        <w:rPr>
          <w:rFonts w:ascii="Times New Roman" w:hAnsi="Times New Roman" w:cs="Times New Roman"/>
          <w:sz w:val="24"/>
        </w:rPr>
        <w:t>el proceso de conformación de las clases</w:t>
      </w:r>
      <w:r>
        <w:rPr>
          <w:rFonts w:ascii="Times New Roman" w:hAnsi="Times New Roman" w:cs="Times New Roman"/>
          <w:sz w:val="24"/>
        </w:rPr>
        <w:t xml:space="preserve"> y la reproducción de la</w:t>
      </w:r>
      <w:r w:rsidR="00943701">
        <w:rPr>
          <w:rFonts w:ascii="Times New Roman" w:hAnsi="Times New Roman" w:cs="Times New Roman"/>
          <w:sz w:val="24"/>
        </w:rPr>
        <w:t xml:space="preserve">s mismas. </w:t>
      </w:r>
      <w:r>
        <w:rPr>
          <w:rFonts w:ascii="Times New Roman" w:hAnsi="Times New Roman" w:cs="Times New Roman"/>
          <w:sz w:val="24"/>
        </w:rPr>
        <w:t xml:space="preserve">Siguiendo a Savage, Warde y Devine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liibt51s8","properties":{"formattedCitation":"(2005)","plainCitation":"(2005)"},"citationItems":[{"id":218,"uris":["http://zotero.org/users/2248776/items/BK4ZMKD8"],"uri":["http://zotero.org/users/2248776/items/BK4ZMKD8"],"itemData":{"id":218,"type":"article-journal","title":"Capitals, assets, and resources: some critical issues","container-title":"The British journal of sociology","page":"31–47","volume":"56","issue":"1","source":"Google Scholar","shortTitle":"Capitals, assets, and resources","author":[{"family":"Savage","given":"Mike"},{"family":"Warde","given":"Alan"},{"family":"Devine","given":"Fiona"}],"issued":{"date-parts":[["2005"]]}},"suppress-author":true}],"schema":"https://github.com/citation-style-language/schema/raw/master/csl-citation.json"} </w:instrText>
      </w:r>
      <w:r w:rsidR="003C4235">
        <w:rPr>
          <w:rFonts w:ascii="Times New Roman" w:hAnsi="Times New Roman" w:cs="Times New Roman"/>
          <w:sz w:val="24"/>
        </w:rPr>
        <w:fldChar w:fldCharType="separate"/>
      </w:r>
      <w:r w:rsidRPr="005C5B80">
        <w:rPr>
          <w:rFonts w:ascii="Times New Roman" w:hAnsi="Times New Roman" w:cs="Times New Roman"/>
          <w:sz w:val="24"/>
        </w:rPr>
        <w:t>(2005)</w:t>
      </w:r>
      <w:r w:rsidR="003C4235">
        <w:rPr>
          <w:rFonts w:ascii="Times New Roman" w:hAnsi="Times New Roman" w:cs="Times New Roman"/>
          <w:sz w:val="24"/>
        </w:rPr>
        <w:fldChar w:fldCharType="end"/>
      </w:r>
      <w:r>
        <w:rPr>
          <w:rFonts w:ascii="Times New Roman" w:hAnsi="Times New Roman" w:cs="Times New Roman"/>
          <w:sz w:val="24"/>
        </w:rPr>
        <w:t xml:space="preserve">, puede coincidirse que para Bourdieu, a diferencia de las principales corrientes hegemónicas en la temática, las clases deben entenderse como un efecto, un emergente del modo en que se configuran y reproducen </w:t>
      </w:r>
      <w:r w:rsidR="00943701">
        <w:rPr>
          <w:rFonts w:ascii="Times New Roman" w:hAnsi="Times New Roman" w:cs="Times New Roman"/>
          <w:sz w:val="24"/>
        </w:rPr>
        <w:lastRenderedPageBreak/>
        <w:t xml:space="preserve">los campos. </w:t>
      </w:r>
      <w:r>
        <w:rPr>
          <w:rFonts w:ascii="Times New Roman" w:hAnsi="Times New Roman" w:cs="Times New Roman"/>
          <w:sz w:val="24"/>
        </w:rPr>
        <w:t>Lo que se intenta remarcar con esto, es que la concepción de clase que plantea Bourdieu, es claramente inductiva</w:t>
      </w:r>
      <w:r w:rsidR="0085229D">
        <w:rPr>
          <w:rFonts w:ascii="Times New Roman" w:hAnsi="Times New Roman" w:cs="Times New Roman"/>
          <w:sz w:val="24"/>
        </w:rPr>
        <w:t xml:space="preserve">, no plantea la existencia de una estructura acabada de clases (medida a partir de un esquema) que sea única temporal y espacialmente, es decir aplicable en distintos contextos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{"citationID":"1s97k2qtbc","properties":{"formattedCitation":"(Baranger, 2004, p 119)","plainCitation":"(Baranger, 2004, p 119)"},"citationItems":[{"id":1676,"uris":["http://zotero.org/users/2248776/items/M4XK7HBJ"],"uri":["http://zotero.org/users/2248776/items/M4XK7HBJ"],"itemData":{"id":1676,"type":"book","title":"Epistemología y metodología en la obra de Pierre Bourdieu","publisher":"Prometeo Libros Editorial","source":"Google Scholar","URL":"https://books.google.es/books?hl=es&amp;lr=&amp;id=7ZC6gDuh7RkC&amp;oi=fnd&amp;pg=PA9&amp;dq=epistemologia+y+metodologia+en+la+obra+de+pierre+bourdieu&amp;ots=x0RvAQHx6h&amp;sig=krexSvGCufDCtE8hfShRguO5qDk","author":[{"family":"Baranger","given":"Denis"}],"issued":{"date-parts":[["2004"]]},"accessed":{"date-parts":[["2016",8,22]]}},"locator":"119"}],"schema":"https://github.com/citation-style-language/schema/raw/master/csl-citation.json"} </w:instrText>
      </w:r>
      <w:r w:rsidR="003C4235">
        <w:rPr>
          <w:rFonts w:ascii="Times New Roman" w:hAnsi="Times New Roman" w:cs="Times New Roman"/>
          <w:sz w:val="24"/>
        </w:rPr>
        <w:fldChar w:fldCharType="separate"/>
      </w:r>
      <w:r w:rsidR="0085229D" w:rsidRPr="0085229D">
        <w:rPr>
          <w:rFonts w:ascii="Times New Roman" w:hAnsi="Times New Roman" w:cs="Times New Roman"/>
          <w:sz w:val="24"/>
        </w:rPr>
        <w:t>(Baranger, 2004, p 119)</w:t>
      </w:r>
      <w:r w:rsidR="003C4235">
        <w:rPr>
          <w:rFonts w:ascii="Times New Roman" w:hAnsi="Times New Roman" w:cs="Times New Roman"/>
          <w:sz w:val="24"/>
        </w:rPr>
        <w:fldChar w:fldCharType="end"/>
      </w:r>
      <w:r w:rsidR="0085229D">
        <w:rPr>
          <w:rFonts w:ascii="Times New Roman" w:hAnsi="Times New Roman" w:cs="Times New Roman"/>
          <w:sz w:val="24"/>
        </w:rPr>
        <w:t>. En este sentido, la clase social “objeto”</w:t>
      </w:r>
      <w:r w:rsidR="0085229D">
        <w:rPr>
          <w:rStyle w:val="Refdenotaalpie"/>
          <w:rFonts w:ascii="Times New Roman" w:hAnsi="Times New Roman" w:cs="Times New Roman"/>
          <w:sz w:val="24"/>
        </w:rPr>
        <w:footnoteReference w:id="7"/>
      </w:r>
      <w:r w:rsidR="0085229D">
        <w:rPr>
          <w:rFonts w:ascii="Times New Roman" w:hAnsi="Times New Roman" w:cs="Times New Roman"/>
          <w:sz w:val="24"/>
        </w:rPr>
        <w:t>,</w:t>
      </w:r>
      <w:r w:rsidR="005E50D0">
        <w:rPr>
          <w:rFonts w:ascii="Times New Roman" w:hAnsi="Times New Roman" w:cs="Times New Roman"/>
          <w:sz w:val="24"/>
        </w:rPr>
        <w:t xml:space="preserve"> se constituye principalmente a partir de un espacio social de tres dimensiones</w:t>
      </w:r>
      <w:r w:rsidR="0029303E">
        <w:rPr>
          <w:rFonts w:ascii="Times New Roman" w:hAnsi="Times New Roman" w:cs="Times New Roman"/>
          <w:sz w:val="24"/>
        </w:rPr>
        <w:t xml:space="preserv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{"citationID":"1CTNrD6q","properties":{"formattedCitation":"(Bourdieu, 2012a, p 130; Weininger, 2005, p 123)","plainCitation":"(Bourdieu, 2012a, p 130; Weininger, 2005, p 123)"},"citationItems":[{"id":135,"uris":["http://zotero.org/users/2248776/items/7IUI2E94"],"uri":["http://zotero.org/users/2248776/items/7IUI2E94"],"itemData":{"id":135,"type":"book","title":"La Distinción: criterios y bases sociales del gusto","publisher":"Taurus","publisher-place":"Buenos Aires","source":"Open WorldCat","event-place":"Buenos Aires","ISBN":"84-306-1259-9","shortTitle":"La Distinción","language":"Trad. de: La distinction. [París]: Minuit, 1979.","author":[{"family":"Bourdieu","given":"Pierre"}],"issued":{"date-parts":[["2012"]]}},"locator":"130"},{"id":1768,"uris":["http://zotero.org/users/2248776/items/BTDQNH98"],"uri":["http://zotero.org/users/2248776/items/BTDQNH98"],"itemData":{"id":1768,"type":"chapter","title":"Foundations of Pierre Bourdieu’s class analysis","container-title":"Approaches to class analysis","page":"82–118","source":"Google Scholar","URL":"https://books.google.es/books?hl=es&amp;lr=&amp;id=GRu3tXAG9i8C&amp;oi=fnd&amp;pg=PA82&amp;dq=weininger+foudations&amp;ots=Mie-bfpGzZ&amp;sig=cgvPiU0UbYVoo2178VWiQmAGKNY","author":[{"family":"Weininger","given":"Elliot B."}],"container-author":[{"family":"Wright","given":"Erik Olin"}],"issued":{"date-parts":[["2005"]]},"accessed":{"date-parts":[["2016",9,28]]}},"locator":"123"}],"schema":"https://github.com/citation-style-language/schema/raw/master/csl-citation.json"} </w:instrText>
      </w:r>
      <w:r w:rsidR="003C4235">
        <w:rPr>
          <w:rFonts w:ascii="Times New Roman" w:hAnsi="Times New Roman" w:cs="Times New Roman"/>
          <w:sz w:val="24"/>
        </w:rPr>
        <w:fldChar w:fldCharType="separate"/>
      </w:r>
      <w:r w:rsidR="00FC4E57" w:rsidRPr="00FC4E57">
        <w:rPr>
          <w:rFonts w:ascii="Times New Roman" w:hAnsi="Times New Roman" w:cs="Times New Roman"/>
          <w:sz w:val="24"/>
        </w:rPr>
        <w:t>(Bourdieu, 2012a, p 130; Weininger, 2005, p 123)</w:t>
      </w:r>
      <w:r w:rsidR="003C4235">
        <w:rPr>
          <w:rFonts w:ascii="Times New Roman" w:hAnsi="Times New Roman" w:cs="Times New Roman"/>
          <w:sz w:val="24"/>
        </w:rPr>
        <w:fldChar w:fldCharType="end"/>
      </w:r>
      <w:r w:rsidR="005E50D0">
        <w:rPr>
          <w:rFonts w:ascii="Times New Roman" w:hAnsi="Times New Roman" w:cs="Times New Roman"/>
          <w:sz w:val="24"/>
        </w:rPr>
        <w:t>:</w:t>
      </w:r>
      <w:r w:rsidR="0029303E">
        <w:rPr>
          <w:rFonts w:ascii="Times New Roman" w:hAnsi="Times New Roman" w:cs="Times New Roman"/>
          <w:sz w:val="24"/>
        </w:rPr>
        <w:t xml:space="preserve"> 1) el </w:t>
      </w:r>
      <w:r w:rsidR="0029303E" w:rsidRPr="0029303E">
        <w:rPr>
          <w:rFonts w:ascii="Times New Roman" w:hAnsi="Times New Roman" w:cs="Times New Roman"/>
          <w:sz w:val="24"/>
        </w:rPr>
        <w:t>volumen del capital poseído</w:t>
      </w:r>
      <w:r w:rsidR="0029303E">
        <w:rPr>
          <w:rFonts w:ascii="Times New Roman" w:hAnsi="Times New Roman" w:cs="Times New Roman"/>
          <w:sz w:val="24"/>
        </w:rPr>
        <w:t xml:space="preserve">; </w:t>
      </w:r>
      <w:r w:rsidR="0029303E" w:rsidRPr="0029303E">
        <w:rPr>
          <w:rFonts w:ascii="Times New Roman" w:hAnsi="Times New Roman" w:cs="Times New Roman"/>
          <w:sz w:val="24"/>
        </w:rPr>
        <w:t>2)</w:t>
      </w:r>
      <w:r w:rsidR="0029303E">
        <w:rPr>
          <w:rFonts w:ascii="Times New Roman" w:hAnsi="Times New Roman" w:cs="Times New Roman"/>
          <w:sz w:val="24"/>
        </w:rPr>
        <w:t xml:space="preserve"> </w:t>
      </w:r>
      <w:r w:rsidR="0029303E" w:rsidRPr="0029303E">
        <w:rPr>
          <w:rFonts w:ascii="Times New Roman" w:hAnsi="Times New Roman" w:cs="Times New Roman"/>
          <w:sz w:val="24"/>
        </w:rPr>
        <w:t xml:space="preserve">la </w:t>
      </w:r>
      <w:r w:rsidR="0029303E">
        <w:rPr>
          <w:rFonts w:ascii="Times New Roman" w:hAnsi="Times New Roman" w:cs="Times New Roman"/>
          <w:sz w:val="24"/>
        </w:rPr>
        <w:t>composición del capital poseído; 3) las diferenciacio</w:t>
      </w:r>
      <w:r w:rsidR="0029303E" w:rsidRPr="0029303E">
        <w:rPr>
          <w:rFonts w:ascii="Times New Roman" w:hAnsi="Times New Roman" w:cs="Times New Roman"/>
          <w:sz w:val="24"/>
        </w:rPr>
        <w:t>n</w:t>
      </w:r>
      <w:r w:rsidR="0029303E">
        <w:rPr>
          <w:rFonts w:ascii="Times New Roman" w:hAnsi="Times New Roman" w:cs="Times New Roman"/>
          <w:sz w:val="24"/>
        </w:rPr>
        <w:t>es</w:t>
      </w:r>
      <w:r w:rsidR="0029303E" w:rsidRPr="0029303E">
        <w:rPr>
          <w:rFonts w:ascii="Times New Roman" w:hAnsi="Times New Roman" w:cs="Times New Roman"/>
          <w:sz w:val="24"/>
        </w:rPr>
        <w:t xml:space="preserve"> en función del tiempo en el que se está en </w:t>
      </w:r>
      <w:r w:rsidR="0029303E">
        <w:rPr>
          <w:rFonts w:ascii="Times New Roman" w:hAnsi="Times New Roman" w:cs="Times New Roman"/>
          <w:sz w:val="24"/>
        </w:rPr>
        <w:t xml:space="preserve">una posición. </w:t>
      </w:r>
      <w:r w:rsidR="00DF261F" w:rsidRPr="00DF261F">
        <w:rPr>
          <w:rFonts w:ascii="Times New Roman" w:hAnsi="Times New Roman" w:cs="Times New Roman"/>
          <w:sz w:val="24"/>
        </w:rPr>
        <w:t>Los agentes que se encuentran cercan</w:t>
      </w:r>
      <w:r w:rsidR="00DF261F">
        <w:rPr>
          <w:rFonts w:ascii="Times New Roman" w:hAnsi="Times New Roman" w:cs="Times New Roman"/>
          <w:sz w:val="24"/>
        </w:rPr>
        <w:t>os en cuanto a distancia social medida por estas dimensiones,</w:t>
      </w:r>
      <w:r w:rsidR="00DF261F" w:rsidRPr="00DF261F">
        <w:rPr>
          <w:rFonts w:ascii="Times New Roman" w:hAnsi="Times New Roman" w:cs="Times New Roman"/>
          <w:sz w:val="24"/>
        </w:rPr>
        <w:t xml:space="preserve"> tienen mayor probabilidad de compartir un mismo conjunto de determinaciones y disposiciones (hábitus).</w:t>
      </w:r>
    </w:p>
    <w:p w:rsidR="008D7574" w:rsidRDefault="0029303E" w:rsidP="008D7574">
      <w:pPr>
        <w:spacing w:after="0" w:line="360" w:lineRule="auto"/>
        <w:jc w:val="both"/>
        <w:rPr>
          <w:rFonts w:ascii="Times New Roman" w:hAnsi="Times New Roman" w:cs="Times New Roman"/>
          <w:sz w:val="24"/>
        </w:rPr>
      </w:pPr>
      <w:r>
        <w:rPr>
          <w:rFonts w:ascii="Times New Roman" w:hAnsi="Times New Roman" w:cs="Times New Roman"/>
          <w:sz w:val="24"/>
        </w:rPr>
        <w:t>Este último factor</w:t>
      </w:r>
      <w:r w:rsidR="00DF261F">
        <w:rPr>
          <w:rFonts w:ascii="Times New Roman" w:hAnsi="Times New Roman" w:cs="Times New Roman"/>
          <w:sz w:val="24"/>
        </w:rPr>
        <w:t xml:space="preserve"> (trayectoria)</w:t>
      </w:r>
      <w:r w:rsidRPr="0029303E">
        <w:rPr>
          <w:rFonts w:ascii="Times New Roman" w:hAnsi="Times New Roman" w:cs="Times New Roman"/>
          <w:sz w:val="24"/>
        </w:rPr>
        <w:t xml:space="preserve"> da cuenta de </w:t>
      </w:r>
      <w:r>
        <w:rPr>
          <w:rFonts w:ascii="Times New Roman" w:hAnsi="Times New Roman" w:cs="Times New Roman"/>
          <w:sz w:val="24"/>
        </w:rPr>
        <w:t xml:space="preserve">la </w:t>
      </w:r>
      <w:r w:rsidRPr="0029303E">
        <w:rPr>
          <w:rFonts w:ascii="Times New Roman" w:hAnsi="Times New Roman" w:cs="Times New Roman"/>
          <w:sz w:val="24"/>
        </w:rPr>
        <w:t xml:space="preserve">acumulación y composición de capitales </w:t>
      </w:r>
      <w:r>
        <w:rPr>
          <w:rFonts w:ascii="Times New Roman" w:hAnsi="Times New Roman" w:cs="Times New Roman"/>
          <w:sz w:val="24"/>
        </w:rPr>
        <w:t>en términos intergeneracio</w:t>
      </w:r>
      <w:r w:rsidR="00FC4E57">
        <w:rPr>
          <w:rFonts w:ascii="Times New Roman" w:hAnsi="Times New Roman" w:cs="Times New Roman"/>
          <w:sz w:val="24"/>
        </w:rPr>
        <w:t xml:space="preserve">nales. </w:t>
      </w:r>
      <w:r w:rsidR="00DF261F">
        <w:rPr>
          <w:rFonts w:ascii="Times New Roman" w:hAnsi="Times New Roman" w:cs="Times New Roman"/>
          <w:sz w:val="24"/>
        </w:rPr>
        <w:t xml:space="preserve">Así se </w:t>
      </w:r>
      <w:r w:rsidR="00FC4E57">
        <w:rPr>
          <w:rFonts w:ascii="Times New Roman" w:hAnsi="Times New Roman" w:cs="Times New Roman"/>
          <w:sz w:val="24"/>
        </w:rPr>
        <w:t xml:space="preserve">abre la puerta a la lectura que Bourdieu hace sobre los procesos de movilidad social. Claro está que esta idea aparece tratada en el lenguaje </w:t>
      </w:r>
      <w:r w:rsidR="00445C8A">
        <w:rPr>
          <w:rFonts w:ascii="Times New Roman" w:hAnsi="Times New Roman" w:cs="Times New Roman"/>
          <w:sz w:val="24"/>
        </w:rPr>
        <w:t xml:space="preserve">propio </w:t>
      </w:r>
      <w:r w:rsidR="00FC4E57">
        <w:rPr>
          <w:rFonts w:ascii="Times New Roman" w:hAnsi="Times New Roman" w:cs="Times New Roman"/>
          <w:sz w:val="24"/>
        </w:rPr>
        <w:t xml:space="preserve">del autor bajo las nociones de “reconversión”, “desclasamiento”, “advenimiento”, entre otras. </w:t>
      </w:r>
      <w:r w:rsidR="00DF261F">
        <w:rPr>
          <w:rFonts w:ascii="Times New Roman" w:hAnsi="Times New Roman" w:cs="Times New Roman"/>
          <w:sz w:val="24"/>
        </w:rPr>
        <w:t xml:space="preserve">Sin embargo, puede coincidirse </w:t>
      </w:r>
      <w:r w:rsidR="00445C8A">
        <w:rPr>
          <w:rFonts w:ascii="Times New Roman" w:hAnsi="Times New Roman" w:cs="Times New Roman"/>
          <w:sz w:val="24"/>
        </w:rPr>
        <w:t xml:space="preserve">en </w:t>
      </w:r>
      <w:r w:rsidR="00DF261F">
        <w:rPr>
          <w:rFonts w:ascii="Times New Roman" w:hAnsi="Times New Roman" w:cs="Times New Roman"/>
          <w:sz w:val="24"/>
        </w:rPr>
        <w:t xml:space="preserve">que la mirada sobre los orígenes sociales resulta central </w:t>
      </w:r>
      <w:r w:rsidR="00445C8A">
        <w:rPr>
          <w:rFonts w:ascii="Times New Roman" w:hAnsi="Times New Roman" w:cs="Times New Roman"/>
          <w:sz w:val="24"/>
        </w:rPr>
        <w:t>para el</w:t>
      </w:r>
      <w:r w:rsidR="00DF261F">
        <w:rPr>
          <w:rFonts w:ascii="Times New Roman" w:hAnsi="Times New Roman" w:cs="Times New Roman"/>
          <w:sz w:val="24"/>
        </w:rPr>
        <w:t xml:space="preserve"> autor</w:t>
      </w:r>
      <w:r w:rsidR="00445C8A">
        <w:rPr>
          <w:rFonts w:ascii="Times New Roman" w:hAnsi="Times New Roman" w:cs="Times New Roman"/>
          <w:sz w:val="24"/>
        </w:rPr>
        <w:t>, al igual que</w:t>
      </w:r>
      <w:r w:rsidR="00DF261F">
        <w:rPr>
          <w:rFonts w:ascii="Times New Roman" w:hAnsi="Times New Roman" w:cs="Times New Roman"/>
          <w:sz w:val="24"/>
        </w:rPr>
        <w:t xml:space="preserve"> para la tradición de estudios en movilidad social. </w:t>
      </w:r>
      <w:r w:rsidR="008D7574">
        <w:rPr>
          <w:rFonts w:ascii="Times New Roman" w:hAnsi="Times New Roman" w:cs="Times New Roman"/>
          <w:sz w:val="24"/>
        </w:rPr>
        <w:t>La trayectoria, que diferencia a los individuos en el espacio social que es captado sincrónicamente, da cuenta de una pendiente o haz que no solo remite a las estrategias intergeneracionales de reconversiones de capital que cada fracción de clase “probablemente” haya realizado, sino también permite trazar las posibles estrategias de reproducción que est</w:t>
      </w:r>
      <w:r w:rsidR="00445C8A">
        <w:rPr>
          <w:rFonts w:ascii="Times New Roman" w:hAnsi="Times New Roman" w:cs="Times New Roman"/>
          <w:sz w:val="24"/>
        </w:rPr>
        <w:t>arán ligadas al devenir de cada</w:t>
      </w:r>
      <w:r w:rsidR="008D7574">
        <w:rPr>
          <w:rFonts w:ascii="Times New Roman" w:hAnsi="Times New Roman" w:cs="Times New Roman"/>
          <w:sz w:val="24"/>
        </w:rPr>
        <w:t xml:space="preserve"> fracción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{"citationID":"o24ljmalc","properties":{"formattedCitation":"(Baranger, 2004, p 124; Bourdieu, 2012b, p 159)","plainCitation":"(Baranger, 2004, p 124; Bourdieu, 2012b, p 159)"},"citationItems":[{"id":1676,"uris":["http://zotero.org/users/2248776/items/M4XK7HBJ"],"uri":["http://zotero.org/users/2248776/items/M4XK7HBJ"],"itemData":{"id":1676,"type":"book","title":"Epistemología y metodología en la obra de Pierre Bourdieu","publisher":"Prometeo Libros Editorial","source":"Google Scholar","URL":"https://books.google.es/books?hl=es&amp;lr=&amp;id=7ZC6gDuh7RkC&amp;oi=fnd&amp;pg=PA9&amp;dq=epistemologia+y+metodologia+en+la+obra+de+pierre+bourdieu&amp;ots=x0RvAQHx6h&amp;sig=krexSvGCufDCtE8hfShRguO5qDk","author":[{"family":"Baranger","given":"Denis"}],"issued":{"date-parts":[["2004"]]},"accessed":{"date-parts":[["2016",8,22]]}},"locator":"124"},{"id":198,"uris":["http://zotero.org/users/2248776/items/AMTHJSKC"],"uri":["http://zotero.org/users/2248776/items/AMTHJSKC"],"itemData":{"id":198,"type":"book","title":"Las estrategias de la reproducción social","publisher":"Siglo XXI","source":"Google Scholar","author":[{"family":"Bourdieu","given":"Pierre"}],"issued":{"date-parts":[["2012"]]}},"locator":"159"}],"schema":"https://github.com/citation-style-language/schema/raw/master/csl-citation.json"} </w:instrText>
      </w:r>
      <w:r w:rsidR="003C4235">
        <w:rPr>
          <w:rFonts w:ascii="Times New Roman" w:hAnsi="Times New Roman" w:cs="Times New Roman"/>
          <w:sz w:val="24"/>
        </w:rPr>
        <w:fldChar w:fldCharType="separate"/>
      </w:r>
      <w:r w:rsidR="008D7574" w:rsidRPr="008D7574">
        <w:rPr>
          <w:rFonts w:ascii="Times New Roman" w:hAnsi="Times New Roman" w:cs="Times New Roman"/>
          <w:sz w:val="24"/>
        </w:rPr>
        <w:t>(Baranger, 2004, p 124; Bourdieu, 2012b, p 159)</w:t>
      </w:r>
      <w:r w:rsidR="003C4235">
        <w:rPr>
          <w:rFonts w:ascii="Times New Roman" w:hAnsi="Times New Roman" w:cs="Times New Roman"/>
          <w:sz w:val="24"/>
        </w:rPr>
        <w:fldChar w:fldCharType="end"/>
      </w:r>
      <w:r w:rsidR="008D7574">
        <w:rPr>
          <w:rFonts w:ascii="Times New Roman" w:hAnsi="Times New Roman" w:cs="Times New Roman"/>
          <w:sz w:val="24"/>
        </w:rPr>
        <w:t>.</w:t>
      </w:r>
    </w:p>
    <w:p w:rsidR="008D7574" w:rsidRDefault="008D7574" w:rsidP="008D7574">
      <w:pPr>
        <w:spacing w:after="0" w:line="360" w:lineRule="auto"/>
        <w:jc w:val="both"/>
        <w:rPr>
          <w:rFonts w:ascii="Times New Roman" w:hAnsi="Times New Roman" w:cs="Times New Roman"/>
          <w:sz w:val="24"/>
        </w:rPr>
      </w:pPr>
    </w:p>
    <w:p w:rsidR="008D7574" w:rsidRDefault="008D7574" w:rsidP="00B105D2">
      <w:pPr>
        <w:spacing w:after="0" w:line="360" w:lineRule="auto"/>
        <w:jc w:val="both"/>
        <w:rPr>
          <w:rFonts w:ascii="Times New Roman" w:hAnsi="Times New Roman" w:cs="Times New Roman"/>
          <w:b/>
          <w:sz w:val="24"/>
        </w:rPr>
      </w:pPr>
      <w:r>
        <w:rPr>
          <w:rFonts w:ascii="Times New Roman" w:hAnsi="Times New Roman" w:cs="Times New Roman"/>
          <w:b/>
          <w:sz w:val="24"/>
        </w:rPr>
        <w:t>Aspectos metodológicos</w:t>
      </w:r>
    </w:p>
    <w:p w:rsidR="001733EE" w:rsidRDefault="001733EE" w:rsidP="001733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Pr="0085069D">
        <w:rPr>
          <w:rFonts w:ascii="Times New Roman" w:hAnsi="Times New Roman" w:cs="Times New Roman"/>
          <w:sz w:val="24"/>
          <w:szCs w:val="24"/>
        </w:rPr>
        <w:t xml:space="preserve"> </w:t>
      </w:r>
      <w:r>
        <w:rPr>
          <w:rFonts w:ascii="Times New Roman" w:hAnsi="Times New Roman" w:cs="Times New Roman"/>
          <w:sz w:val="24"/>
          <w:szCs w:val="24"/>
        </w:rPr>
        <w:t>abordaje</w:t>
      </w:r>
      <w:r w:rsidRPr="0085069D">
        <w:rPr>
          <w:rFonts w:ascii="Times New Roman" w:hAnsi="Times New Roman" w:cs="Times New Roman"/>
          <w:sz w:val="24"/>
          <w:szCs w:val="24"/>
        </w:rPr>
        <w:t xml:space="preserve"> metodológico </w:t>
      </w:r>
      <w:r>
        <w:rPr>
          <w:rFonts w:ascii="Times New Roman" w:hAnsi="Times New Roman" w:cs="Times New Roman"/>
          <w:sz w:val="24"/>
          <w:szCs w:val="24"/>
        </w:rPr>
        <w:t xml:space="preserve">en este trabajo es </w:t>
      </w:r>
      <w:r w:rsidRPr="0085069D">
        <w:rPr>
          <w:rFonts w:ascii="Times New Roman" w:hAnsi="Times New Roman" w:cs="Times New Roman"/>
          <w:sz w:val="24"/>
          <w:szCs w:val="24"/>
        </w:rPr>
        <w:t>cuantitativo</w:t>
      </w:r>
      <w:r>
        <w:rPr>
          <w:rFonts w:ascii="Times New Roman" w:hAnsi="Times New Roman" w:cs="Times New Roman"/>
          <w:sz w:val="24"/>
          <w:szCs w:val="24"/>
        </w:rPr>
        <w:t>,</w:t>
      </w:r>
      <w:r w:rsidRPr="0085069D">
        <w:rPr>
          <w:rFonts w:ascii="Times New Roman" w:hAnsi="Times New Roman" w:cs="Times New Roman"/>
          <w:sz w:val="24"/>
          <w:szCs w:val="24"/>
        </w:rPr>
        <w:t xml:space="preserve"> utilizando como fuente de datos la “Encuesta sobre movilidad social y opiniones sobre la soc</w:t>
      </w:r>
      <w:r>
        <w:rPr>
          <w:rFonts w:ascii="Times New Roman" w:hAnsi="Times New Roman" w:cs="Times New Roman"/>
          <w:sz w:val="24"/>
          <w:szCs w:val="24"/>
        </w:rPr>
        <w:t>iedad actual” del año 2012-2013</w:t>
      </w:r>
      <w:r>
        <w:rPr>
          <w:rStyle w:val="Refdenotaalpie"/>
          <w:rFonts w:ascii="Times New Roman" w:hAnsi="Times New Roman" w:cs="Times New Roman"/>
          <w:sz w:val="24"/>
          <w:szCs w:val="24"/>
        </w:rPr>
        <w:footnoteReference w:id="8"/>
      </w:r>
      <w:r>
        <w:rPr>
          <w:rFonts w:ascii="Times New Roman" w:hAnsi="Times New Roman" w:cs="Times New Roman"/>
          <w:sz w:val="24"/>
          <w:szCs w:val="24"/>
        </w:rPr>
        <w:t xml:space="preserve">. </w:t>
      </w:r>
      <w:r w:rsidRPr="0085069D">
        <w:rPr>
          <w:rFonts w:ascii="Times New Roman" w:hAnsi="Times New Roman" w:cs="Times New Roman"/>
          <w:sz w:val="24"/>
          <w:szCs w:val="24"/>
        </w:rPr>
        <w:t xml:space="preserve">La muestra es de tipo probabilística estratificada proporcional y consta de 700 casos. El universo de análisis estuvo conformado por personas mayores a 30 años, ocupadas, que residían en la Ciudad Autónoma de Buenos Aires. </w:t>
      </w:r>
      <w:r w:rsidRPr="002406F2">
        <w:rPr>
          <w:rFonts w:ascii="Times New Roman" w:hAnsi="Times New Roman" w:cs="Times New Roman"/>
          <w:sz w:val="24"/>
          <w:szCs w:val="24"/>
        </w:rPr>
        <w:t xml:space="preserve">Lo que se busca con </w:t>
      </w:r>
      <w:r w:rsidRPr="002406F2">
        <w:rPr>
          <w:rFonts w:ascii="Times New Roman" w:hAnsi="Times New Roman" w:cs="Times New Roman"/>
          <w:sz w:val="24"/>
          <w:szCs w:val="24"/>
        </w:rPr>
        <w:lastRenderedPageBreak/>
        <w:t>este rango es captar a individuos que, con mayor probabilidad, se encuentren en una etapa de madurez ocupa</w:t>
      </w:r>
      <w:r>
        <w:rPr>
          <w:rFonts w:ascii="Times New Roman" w:hAnsi="Times New Roman" w:cs="Times New Roman"/>
          <w:sz w:val="24"/>
          <w:szCs w:val="24"/>
        </w:rPr>
        <w:t xml:space="preserve">cional </w:t>
      </w:r>
      <w:r w:rsidR="003C4235">
        <w:rPr>
          <w:rFonts w:ascii="Times New Roman" w:hAnsi="Times New Roman" w:cs="Times New Roman"/>
          <w:sz w:val="24"/>
          <w:szCs w:val="24"/>
        </w:rPr>
        <w:fldChar w:fldCharType="begin"/>
      </w:r>
      <w:r w:rsidR="008313FE">
        <w:rPr>
          <w:rFonts w:ascii="Times New Roman" w:hAnsi="Times New Roman" w:cs="Times New Roman"/>
          <w:sz w:val="24"/>
          <w:szCs w:val="24"/>
        </w:rPr>
        <w:instrText xml:space="preserve"> ADDIN ZOTERO_ITEM CSL_CITATION {"citationID":"ssMGNjNo","properties":{"formattedCitation":"(Erikson y Goldthorpe, 1992, p 73)","plainCitation":"(Erikson y Goldthorpe, 1992, p 73)"},"citationItems":[{"id":382,"uris":["http://zotero.org/users/2248776/items/KBV76I6W"],"uri":["http://zotero.org/users/2248776/items/KBV76I6W"],"itemData":{"id":382,"type":"book","title":"The constant flux: A study of class mobility in industrial societies","publisher":"Oxford University Press, USA","ISBN":"0-19-827383-5","author":[{"family":"Erikson","given":"Robert"},{"family":"Goldthorpe","given":"John H"}],"issued":{"date-parts":[["1992"]]}},"locator":"73"}],"schema":"https://github.com/citation-style-language/schema/raw/master/csl-citation.json"} </w:instrText>
      </w:r>
      <w:r w:rsidR="003C4235">
        <w:rPr>
          <w:rFonts w:ascii="Times New Roman" w:hAnsi="Times New Roman" w:cs="Times New Roman"/>
          <w:sz w:val="24"/>
          <w:szCs w:val="24"/>
        </w:rPr>
        <w:fldChar w:fldCharType="separate"/>
      </w:r>
      <w:r w:rsidR="008313FE" w:rsidRPr="008313FE">
        <w:rPr>
          <w:rFonts w:ascii="Times New Roman" w:hAnsi="Times New Roman" w:cs="Times New Roman"/>
          <w:sz w:val="24"/>
        </w:rPr>
        <w:t>(Erikson y Goldthorpe, 1992, p 73)</w:t>
      </w:r>
      <w:r w:rsidR="003C4235">
        <w:rPr>
          <w:rFonts w:ascii="Times New Roman" w:hAnsi="Times New Roman" w:cs="Times New Roman"/>
          <w:sz w:val="24"/>
          <w:szCs w:val="24"/>
        </w:rPr>
        <w:fldChar w:fldCharType="end"/>
      </w:r>
      <w:r w:rsidR="008313FE">
        <w:rPr>
          <w:rFonts w:ascii="Times New Roman" w:hAnsi="Times New Roman" w:cs="Times New Roman"/>
          <w:sz w:val="24"/>
          <w:szCs w:val="24"/>
        </w:rPr>
        <w:t xml:space="preserve">. </w:t>
      </w:r>
      <w:r>
        <w:rPr>
          <w:rFonts w:ascii="Times New Roman" w:hAnsi="Times New Roman" w:cs="Times New Roman"/>
          <w:sz w:val="24"/>
          <w:szCs w:val="24"/>
        </w:rPr>
        <w:t>La generación de hijos/as está comprendida por individuos nacidos entre el año 1933</w:t>
      </w:r>
      <w:r>
        <w:rPr>
          <w:rStyle w:val="Refdenotaalpie"/>
          <w:rFonts w:ascii="Times New Roman" w:hAnsi="Times New Roman" w:cs="Times New Roman"/>
          <w:sz w:val="24"/>
          <w:szCs w:val="24"/>
        </w:rPr>
        <w:footnoteReference w:id="9"/>
      </w:r>
      <w:r>
        <w:rPr>
          <w:rFonts w:ascii="Times New Roman" w:hAnsi="Times New Roman" w:cs="Times New Roman"/>
          <w:sz w:val="24"/>
          <w:szCs w:val="24"/>
        </w:rPr>
        <w:t xml:space="preserve"> y el año 1983. Por su parte, las encuestas de movilidad social recaban información sobre los orígenes sociales a partir de preguntas retrospectivas que se le realizan a los/las encuestados/as acerca de la posición del padre, madre o principal sostén del hogar cuando los mismos tenían alrededor de 16 años. De este modo, se cuenta con información sobre la posición socio-ocupacional de los orígenes para los años 1949 a 1999.</w:t>
      </w:r>
    </w:p>
    <w:p w:rsidR="008D7574" w:rsidRDefault="008D7574" w:rsidP="00B105D2">
      <w:pPr>
        <w:spacing w:after="0" w:line="360" w:lineRule="auto"/>
        <w:jc w:val="both"/>
        <w:rPr>
          <w:rFonts w:ascii="Times New Roman" w:hAnsi="Times New Roman" w:cs="Times New Roman"/>
          <w:b/>
          <w:sz w:val="24"/>
        </w:rPr>
      </w:pPr>
    </w:p>
    <w:p w:rsidR="001733EE" w:rsidRPr="00BC4C24" w:rsidRDefault="001733EE" w:rsidP="00B105D2">
      <w:pPr>
        <w:spacing w:after="0" w:line="360" w:lineRule="auto"/>
        <w:jc w:val="both"/>
        <w:rPr>
          <w:rFonts w:ascii="Times New Roman" w:hAnsi="Times New Roman" w:cs="Times New Roman"/>
          <w:i/>
          <w:sz w:val="24"/>
        </w:rPr>
      </w:pPr>
      <w:r w:rsidRPr="00BC4C24">
        <w:rPr>
          <w:rFonts w:ascii="Times New Roman" w:hAnsi="Times New Roman" w:cs="Times New Roman"/>
          <w:i/>
          <w:sz w:val="24"/>
        </w:rPr>
        <w:t>Metodología estructural y articulada. El uso de las técnicas de análisis de correspondencias múltiples y de conglomerados.</w:t>
      </w:r>
    </w:p>
    <w:p w:rsidR="002A4F2A" w:rsidRDefault="00E7245B" w:rsidP="00B105D2">
      <w:pPr>
        <w:spacing w:after="0" w:line="360" w:lineRule="auto"/>
        <w:jc w:val="both"/>
        <w:rPr>
          <w:rFonts w:ascii="Times New Roman" w:hAnsi="Times New Roman" w:cs="Times New Roman"/>
          <w:sz w:val="24"/>
        </w:rPr>
      </w:pPr>
      <w:r>
        <w:rPr>
          <w:rFonts w:ascii="Times New Roman" w:hAnsi="Times New Roman" w:cs="Times New Roman"/>
          <w:sz w:val="24"/>
        </w:rPr>
        <w:t>Podemos decir que el carácter estructural y articulado que se propone desde la metodología, y que fue resumido en la introducción, se logra mediante la aplicación de las técnicas de análisis de correspondencias múltiples</w:t>
      </w:r>
      <w:r w:rsidR="008313FE">
        <w:rPr>
          <w:rFonts w:ascii="Times New Roman" w:hAnsi="Times New Roman" w:cs="Times New Roman"/>
          <w:sz w:val="24"/>
        </w:rPr>
        <w:t xml:space="preserve"> (ACM)</w:t>
      </w:r>
      <w:r>
        <w:rPr>
          <w:rFonts w:ascii="Times New Roman" w:hAnsi="Times New Roman" w:cs="Times New Roman"/>
          <w:sz w:val="24"/>
        </w:rPr>
        <w:t xml:space="preserve"> y de conglomerados. En este sentido, el proceso consta de tres etapas analíticas. E</w:t>
      </w:r>
      <w:r w:rsidR="007A0E05" w:rsidRPr="007A0E05">
        <w:rPr>
          <w:rFonts w:ascii="Times New Roman" w:hAnsi="Times New Roman" w:cs="Times New Roman"/>
          <w:sz w:val="24"/>
        </w:rPr>
        <w:t>n primer lugar, se parte de un análisis de dimensionalización que busca determinar “la forma reducida, estructurada y significativa del espacio de atributos inicial sobre el que se basará y se construirá posteriormente la tipología” (López Roldán, 2012: 36). Lo que se intenta es hacer emerger las dimensiones fundamentales latentes que surgen de la estructura de interrelación existente entre las variables observadas, mediante su combinación y reducción. La técnica utilizada en este punto s</w:t>
      </w:r>
      <w:r w:rsidR="009C5BE2">
        <w:rPr>
          <w:rFonts w:ascii="Times New Roman" w:hAnsi="Times New Roman" w:cs="Times New Roman"/>
          <w:sz w:val="24"/>
        </w:rPr>
        <w:t xml:space="preserve">erá el </w:t>
      </w:r>
      <w:r w:rsidR="008313FE">
        <w:rPr>
          <w:rFonts w:ascii="Times New Roman" w:hAnsi="Times New Roman" w:cs="Times New Roman"/>
          <w:sz w:val="24"/>
        </w:rPr>
        <w:t>ACM</w:t>
      </w:r>
      <w:r w:rsidR="009C5BE2">
        <w:rPr>
          <w:rFonts w:ascii="Times New Roman" w:hAnsi="Times New Roman" w:cs="Times New Roman"/>
          <w:sz w:val="24"/>
        </w:rPr>
        <w:t xml:space="preserve">. </w:t>
      </w:r>
      <w:r>
        <w:rPr>
          <w:rFonts w:ascii="Times New Roman" w:hAnsi="Times New Roman" w:cs="Times New Roman"/>
          <w:sz w:val="24"/>
        </w:rPr>
        <w:t xml:space="preserve">Este tipo de análisis </w:t>
      </w:r>
      <w:r w:rsidR="000C4439">
        <w:rPr>
          <w:rFonts w:ascii="Times New Roman" w:hAnsi="Times New Roman" w:cs="Times New Roman"/>
          <w:sz w:val="24"/>
        </w:rPr>
        <w:t>forma parte de la familia de técnicas englobadas bajo el título de “</w:t>
      </w:r>
      <w:r>
        <w:rPr>
          <w:rFonts w:ascii="Times New Roman" w:hAnsi="Times New Roman" w:cs="Times New Roman"/>
          <w:sz w:val="24"/>
        </w:rPr>
        <w:t>análisis</w:t>
      </w:r>
      <w:r w:rsidR="002A4F2A">
        <w:rPr>
          <w:rFonts w:ascii="Times New Roman" w:hAnsi="Times New Roman" w:cs="Times New Roman"/>
          <w:sz w:val="24"/>
        </w:rPr>
        <w:t xml:space="preserve"> geométrico de datos</w:t>
      </w:r>
      <w:r w:rsidR="000C4439">
        <w:rPr>
          <w:rFonts w:ascii="Times New Roman" w:hAnsi="Times New Roman" w:cs="Times New Roman"/>
          <w:sz w:val="24"/>
        </w:rPr>
        <w:t>”</w:t>
      </w:r>
      <w:r>
        <w:rPr>
          <w:rFonts w:ascii="Times New Roman" w:hAnsi="Times New Roman" w:cs="Times New Roman"/>
          <w:sz w:val="24"/>
        </w:rPr>
        <w:t xml:space="preserve"> desarrollados por la </w:t>
      </w:r>
      <w:r w:rsidR="002A4F2A">
        <w:rPr>
          <w:rFonts w:ascii="Times New Roman" w:hAnsi="Times New Roman" w:cs="Times New Roman"/>
          <w:sz w:val="24"/>
        </w:rPr>
        <w:t>“</w:t>
      </w:r>
      <w:r>
        <w:rPr>
          <w:rFonts w:ascii="Times New Roman" w:hAnsi="Times New Roman" w:cs="Times New Roman"/>
          <w:sz w:val="24"/>
        </w:rPr>
        <w:t>escuela francesa de análisis de datos</w:t>
      </w:r>
      <w:r w:rsidR="002A4F2A">
        <w:rPr>
          <w:rFonts w:ascii="Times New Roman" w:hAnsi="Times New Roman" w:cs="Times New Roman"/>
          <w:sz w:val="24"/>
        </w:rPr>
        <w:t>”</w:t>
      </w:r>
      <w:r>
        <w:rPr>
          <w:rFonts w:ascii="Times New Roman" w:hAnsi="Times New Roman" w:cs="Times New Roman"/>
          <w:sz w:val="24"/>
        </w:rPr>
        <w:t xml:space="preserve">, cuyo </w:t>
      </w:r>
      <w:r w:rsidR="002A4F2A">
        <w:rPr>
          <w:rFonts w:ascii="Times New Roman" w:hAnsi="Times New Roman" w:cs="Times New Roman"/>
          <w:sz w:val="24"/>
        </w:rPr>
        <w:t>máximo representante fue Benzé</w:t>
      </w:r>
      <w:r>
        <w:rPr>
          <w:rFonts w:ascii="Times New Roman" w:hAnsi="Times New Roman" w:cs="Times New Roman"/>
          <w:sz w:val="24"/>
        </w:rPr>
        <w:t xml:space="preserve">cri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{"citationID":"MXny48qr","properties":{"formattedCitation":"(Baranger, 2009, p 97; Le Roux y Rouanet, 2010, p 1)","plainCitation":"(Baranger, 2009, p 97; Le Roux y Rouanet, 2010, p 1)"},"citationItems":[{"id":1716,"uris":["http://zotero.org/users/2248776/items/FGCTVZTS"],"uri":["http://zotero.org/users/2248776/items/FGCTVZTS"],"itemData":{"id":1716,"type":"article","title":"Construcción y análisis de datos. Introducción al uso de técnicas cuantitativas en la investigación social","source":"Google Scholar","URL":"http://www.academia.edu/download/33093559/LibroDBconanda0a7.v2.pdf","author":[{"family":"Baranger","given":"Denis"}],"issued":{"date-parts":[["2009"]]},"accessed":{"date-parts":[["2016",8,23]]}},"locator":"97"},{"id":1231,"uris":["http://zotero.org/users/2248776/items/N9BIURJD"],"uri":["http://zotero.org/users/2248776/items/N9BIURJD"],"itemData":{"id":1231,"type":"book","title":"Multiple correspondence analysis","collection-title":"Quantitative applications in the social sciences","collection-number":"163","publisher":"Sage Publications","publisher-place":"Thousand Oaks, Calif","number-of-pages":"115","source":"Library of Congress ISBN","event-place":"Thousand Oaks, Calif","ISBN":"978-1-4129-6897-3","call-number":"QA278.5 .L4 2010","author":[{"family":"Le Roux","given":"Brigitte"},{"family":"Rouanet","given":"Henry"}],"issued":{"date-parts":[["2010"]]}},"locator":"1"}],"schema":"https://github.com/citation-style-language/schema/raw/master/csl-citation.json"} </w:instrText>
      </w:r>
      <w:r w:rsidR="003C4235">
        <w:rPr>
          <w:rFonts w:ascii="Times New Roman" w:hAnsi="Times New Roman" w:cs="Times New Roman"/>
          <w:sz w:val="24"/>
        </w:rPr>
        <w:fldChar w:fldCharType="separate"/>
      </w:r>
      <w:r w:rsidR="002A4F2A" w:rsidRPr="002A4F2A">
        <w:rPr>
          <w:rFonts w:ascii="Times New Roman" w:hAnsi="Times New Roman" w:cs="Times New Roman"/>
          <w:sz w:val="24"/>
        </w:rPr>
        <w:t>(Baranger, 2009, p 97; Le Roux y Rouanet, 2010, p 1)</w:t>
      </w:r>
      <w:r w:rsidR="003C4235">
        <w:rPr>
          <w:rFonts w:ascii="Times New Roman" w:hAnsi="Times New Roman" w:cs="Times New Roman"/>
          <w:sz w:val="24"/>
        </w:rPr>
        <w:fldChar w:fldCharType="end"/>
      </w:r>
      <w:r w:rsidR="002A4F2A">
        <w:rPr>
          <w:rFonts w:ascii="Times New Roman" w:hAnsi="Times New Roman" w:cs="Times New Roman"/>
          <w:sz w:val="24"/>
        </w:rPr>
        <w:t>.</w:t>
      </w:r>
      <w:r w:rsidR="000C4439">
        <w:rPr>
          <w:rFonts w:ascii="Times New Roman" w:hAnsi="Times New Roman" w:cs="Times New Roman"/>
          <w:sz w:val="24"/>
        </w:rPr>
        <w:t xml:space="preserve"> Específicamente, a partir del ACM se </w:t>
      </w:r>
      <w:r w:rsidR="002A4F2A">
        <w:rPr>
          <w:rFonts w:ascii="Times New Roman" w:hAnsi="Times New Roman" w:cs="Times New Roman"/>
          <w:sz w:val="24"/>
        </w:rPr>
        <w:t>“analiza las relacio</w:t>
      </w:r>
      <w:r w:rsidR="002A4F2A" w:rsidRPr="007A0E05">
        <w:rPr>
          <w:rFonts w:ascii="Times New Roman" w:hAnsi="Times New Roman" w:cs="Times New Roman"/>
          <w:sz w:val="24"/>
        </w:rPr>
        <w:t xml:space="preserve">nes de interdependencia de un conjunto de variables cualitativas, y expresa sus asociaciones (correspondencias) en términos de un conjunto reducido de factores que </w:t>
      </w:r>
      <w:r w:rsidR="002A4F2A">
        <w:rPr>
          <w:rFonts w:ascii="Times New Roman" w:hAnsi="Times New Roman" w:cs="Times New Roman"/>
          <w:sz w:val="24"/>
        </w:rPr>
        <w:t>sintetizan las principales dife</w:t>
      </w:r>
      <w:r w:rsidR="002A4F2A" w:rsidRPr="007A0E05">
        <w:rPr>
          <w:rFonts w:ascii="Times New Roman" w:hAnsi="Times New Roman" w:cs="Times New Roman"/>
          <w:sz w:val="24"/>
        </w:rPr>
        <w:t>rencias que se dan entre los individuos” (López Roldán, 2012: 37).</w:t>
      </w:r>
      <w:r w:rsidR="000C4439">
        <w:rPr>
          <w:rFonts w:ascii="Times New Roman" w:hAnsi="Times New Roman" w:cs="Times New Roman"/>
          <w:sz w:val="24"/>
        </w:rPr>
        <w:t xml:space="preserve"> Su alcance es más bien descriptivo y guiado por una filosofía inductiva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{"citationID":"1k3f6ctuf","properties":{"formattedCitation":"(Le Roux y Rouanet, 2010, p 2)","plainCitation":"(Le Roux y Rouanet, 2010, p 2)"},"citationItems":[{"id":1231,"uris":["http://zotero.org/users/2248776/items/N9BIURJD"],"uri":["http://zotero.org/users/2248776/items/N9BIURJD"],"itemData":{"id":1231,"type":"book","title":"Multiple correspondence analysis","collection-title":"Quantitative applications in the social sciences","collection-number":"163","publisher":"Sage Publications","publisher-place":"Thousand Oaks, Calif","number-of-pages":"115","source":"Library of Congress ISBN","event-place":"Thousand Oaks, Calif","ISBN":"978-1-4129-6897-3","call-number":"QA278.5 .L4 2010","author":[{"family":"Le Roux","given":"Brigitte"},{"family":"Rouanet","given":"Henry"}],"issued":{"date-parts":[["2010"]]}},"locator":"2"}],"schema":"https://github.com/citation-style-language/schema/raw/master/csl-citation.json"} </w:instrText>
      </w:r>
      <w:r w:rsidR="003C4235">
        <w:rPr>
          <w:rFonts w:ascii="Times New Roman" w:hAnsi="Times New Roman" w:cs="Times New Roman"/>
          <w:sz w:val="24"/>
        </w:rPr>
        <w:fldChar w:fldCharType="separate"/>
      </w:r>
      <w:r w:rsidR="000C4439" w:rsidRPr="000C4439">
        <w:rPr>
          <w:rFonts w:ascii="Times New Roman" w:hAnsi="Times New Roman" w:cs="Times New Roman"/>
          <w:sz w:val="24"/>
        </w:rPr>
        <w:t>(Le Roux y Rouanet, 2010, p 2)</w:t>
      </w:r>
      <w:r w:rsidR="003C4235">
        <w:rPr>
          <w:rFonts w:ascii="Times New Roman" w:hAnsi="Times New Roman" w:cs="Times New Roman"/>
          <w:sz w:val="24"/>
        </w:rPr>
        <w:fldChar w:fldCharType="end"/>
      </w:r>
      <w:r w:rsidR="000C4439">
        <w:rPr>
          <w:rFonts w:ascii="Times New Roman" w:hAnsi="Times New Roman" w:cs="Times New Roman"/>
          <w:sz w:val="24"/>
        </w:rPr>
        <w:t xml:space="preserve">, </w:t>
      </w:r>
      <w:r w:rsidR="006D763E">
        <w:rPr>
          <w:rFonts w:ascii="Times New Roman" w:hAnsi="Times New Roman" w:cs="Times New Roman"/>
          <w:sz w:val="24"/>
        </w:rPr>
        <w:t xml:space="preserve">ya que </w:t>
      </w:r>
      <w:r w:rsidR="000C4439">
        <w:rPr>
          <w:rFonts w:ascii="Times New Roman" w:hAnsi="Times New Roman" w:cs="Times New Roman"/>
          <w:sz w:val="24"/>
        </w:rPr>
        <w:t xml:space="preserve">no se plantea un modelo para ser puesto a prueba a partir de los datos, sino que son los datos procesados a partir de la técnica </w:t>
      </w:r>
      <w:r w:rsidR="006D763E">
        <w:rPr>
          <w:rFonts w:ascii="Times New Roman" w:hAnsi="Times New Roman" w:cs="Times New Roman"/>
          <w:sz w:val="24"/>
        </w:rPr>
        <w:t xml:space="preserve">los </w:t>
      </w:r>
      <w:r w:rsidR="000C4439">
        <w:rPr>
          <w:rFonts w:ascii="Times New Roman" w:hAnsi="Times New Roman" w:cs="Times New Roman"/>
          <w:sz w:val="24"/>
        </w:rPr>
        <w:t xml:space="preserve">que permiten construir un modelo sobre lo </w:t>
      </w:r>
      <w:r w:rsidR="000C4439">
        <w:rPr>
          <w:rFonts w:ascii="Times New Roman" w:hAnsi="Times New Roman" w:cs="Times New Roman"/>
          <w:sz w:val="24"/>
        </w:rPr>
        <w:lastRenderedPageBreak/>
        <w:t>indag</w:t>
      </w:r>
      <w:r w:rsidR="00330B63">
        <w:rPr>
          <w:rFonts w:ascii="Times New Roman" w:hAnsi="Times New Roman" w:cs="Times New Roman"/>
          <w:sz w:val="24"/>
        </w:rPr>
        <w:t>ado. A su vez, la técnica permite</w:t>
      </w:r>
      <w:r w:rsidR="006D763E">
        <w:rPr>
          <w:rFonts w:ascii="Times New Roman" w:hAnsi="Times New Roman" w:cs="Times New Roman"/>
          <w:sz w:val="24"/>
        </w:rPr>
        <w:t xml:space="preserve"> un</w:t>
      </w:r>
      <w:r w:rsidR="00330B63">
        <w:rPr>
          <w:rFonts w:ascii="Times New Roman" w:hAnsi="Times New Roman" w:cs="Times New Roman"/>
          <w:sz w:val="24"/>
        </w:rPr>
        <w:t xml:space="preserve"> </w:t>
      </w:r>
      <w:r w:rsidR="00330B63">
        <w:rPr>
          <w:rFonts w:ascii="Times New Roman" w:hAnsi="Times New Roman" w:cs="Times New Roman"/>
          <w:i/>
          <w:sz w:val="24"/>
        </w:rPr>
        <w:t>feedback</w:t>
      </w:r>
      <w:r w:rsidR="00330B63">
        <w:rPr>
          <w:rFonts w:ascii="Times New Roman" w:hAnsi="Times New Roman" w:cs="Times New Roman"/>
          <w:sz w:val="24"/>
        </w:rPr>
        <w:t xml:space="preserve"> a través del cual el pasaje de los datos a la teoría y de la teoría a los datos es constante. </w:t>
      </w:r>
      <w:r w:rsidR="000C4439">
        <w:rPr>
          <w:rFonts w:ascii="Times New Roman" w:hAnsi="Times New Roman" w:cs="Times New Roman"/>
          <w:sz w:val="24"/>
        </w:rPr>
        <w:t xml:space="preserve"> </w:t>
      </w:r>
    </w:p>
    <w:p w:rsidR="005C317C" w:rsidRDefault="005C317C" w:rsidP="00B105D2">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diferencia de otras técnicas</w:t>
      </w:r>
      <w:r w:rsidR="00330B63">
        <w:rPr>
          <w:rFonts w:ascii="Times New Roman" w:hAnsi="Times New Roman" w:cs="Times New Roman"/>
          <w:sz w:val="24"/>
          <w:szCs w:val="24"/>
          <w:lang w:val="es-ES"/>
        </w:rPr>
        <w:t xml:space="preserve"> clásicas de análisis de variables (regresión, ANOVA, etc.)</w:t>
      </w:r>
      <w:r>
        <w:rPr>
          <w:rFonts w:ascii="Times New Roman" w:hAnsi="Times New Roman" w:cs="Times New Roman"/>
          <w:sz w:val="24"/>
          <w:szCs w:val="24"/>
          <w:lang w:val="es-ES"/>
        </w:rPr>
        <w:t xml:space="preserve">, el análisis de correspondencias múltiples permite un adecuado abordaje del sistema completo de relaciones que se configuran en el espacio social </w:t>
      </w:r>
      <w:r w:rsidR="003C4235">
        <w:rPr>
          <w:rFonts w:ascii="Times New Roman" w:hAnsi="Times New Roman" w:cs="Times New Roman"/>
          <w:sz w:val="24"/>
          <w:szCs w:val="24"/>
          <w:lang w:val="es-ES"/>
        </w:rPr>
        <w:fldChar w:fldCharType="begin"/>
      </w:r>
      <w:r w:rsidR="001F57ED">
        <w:rPr>
          <w:rFonts w:ascii="Times New Roman" w:hAnsi="Times New Roman" w:cs="Times New Roman"/>
          <w:sz w:val="24"/>
          <w:szCs w:val="24"/>
          <w:lang w:val="es-ES"/>
        </w:rPr>
        <w:instrText xml:space="preserve"> ADDIN ZOTERO_ITEM CSL_CITATION {"citationID":"a4lfvml7t","properties":{"formattedCitation":"(Rouanet, Ackermann, y Le Roux, 2011, p 140)","plainCitation":"(Rouanet, Ackermann, y Le Roux, 2011, p 140)"},"citationItems":[{"id":654,"uris":["http://zotero.org/users/2248776/items/ZQDVNUAV"],"uri":["http://zotero.org/users/2248776/items/ZQDVNUAV"],"itemData":{"id":654,"type":"article-journal","title":"El análisis geométrico de encuestas: la lección de La Distinción de Bourdieu","container-title":"Revista Colombiana de Sociología","page":"139–145","volume":"6","issue":"1","source":"Google Scholar","shortTitle":"El análisis geométrico de encustas","author":[{"family":"Rouanet","given":"Henry"},{"family":"Ackermann","given":"Wener"},{"family":"Le Roux","given":"Brigtte"}],"issued":{"date-parts":[["2011"]]}},"locator":"140"}],"schema":"https://github.com/citation-style-language/schema/raw/master/csl-citation.json"} </w:instrText>
      </w:r>
      <w:r w:rsidR="003C4235">
        <w:rPr>
          <w:rFonts w:ascii="Times New Roman" w:hAnsi="Times New Roman" w:cs="Times New Roman"/>
          <w:sz w:val="24"/>
          <w:szCs w:val="24"/>
          <w:lang w:val="es-ES"/>
        </w:rPr>
        <w:fldChar w:fldCharType="separate"/>
      </w:r>
      <w:r w:rsidR="002D1B11" w:rsidRPr="002D1B11">
        <w:rPr>
          <w:rFonts w:ascii="Times New Roman" w:hAnsi="Times New Roman" w:cs="Times New Roman"/>
          <w:sz w:val="24"/>
        </w:rPr>
        <w:t>(Rouanet, Ackermann, y Le Roux, 2011, p 140)</w:t>
      </w:r>
      <w:r w:rsidR="003C4235">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De este modo, </w:t>
      </w:r>
      <w:r w:rsidR="00330B63">
        <w:rPr>
          <w:rFonts w:ascii="Times New Roman" w:hAnsi="Times New Roman" w:cs="Times New Roman"/>
          <w:sz w:val="24"/>
          <w:szCs w:val="24"/>
          <w:lang w:val="es-ES"/>
        </w:rPr>
        <w:t>a partir del ACM se configuran</w:t>
      </w:r>
      <w:r>
        <w:rPr>
          <w:rFonts w:ascii="Times New Roman" w:hAnsi="Times New Roman" w:cs="Times New Roman"/>
          <w:sz w:val="24"/>
          <w:szCs w:val="24"/>
          <w:lang w:val="es-ES"/>
        </w:rPr>
        <w:t xml:space="preserve"> dos espacios: un espacio en el cual los individuos s</w:t>
      </w:r>
      <w:r w:rsidR="00330B63">
        <w:rPr>
          <w:rFonts w:ascii="Times New Roman" w:hAnsi="Times New Roman" w:cs="Times New Roman"/>
          <w:sz w:val="24"/>
          <w:szCs w:val="24"/>
          <w:lang w:val="es-ES"/>
        </w:rPr>
        <w:t>on</w:t>
      </w:r>
      <w:r>
        <w:rPr>
          <w:rFonts w:ascii="Times New Roman" w:hAnsi="Times New Roman" w:cs="Times New Roman"/>
          <w:sz w:val="24"/>
          <w:szCs w:val="24"/>
          <w:lang w:val="es-ES"/>
        </w:rPr>
        <w:t xml:space="preserve"> ubicados (nube de puntos) y otro, de representación simultánea con el anterior, que despliega la complejidad de las relaciones estadísticas expresando relaciones sociales, es decir, el “espacio de propiedades” </w:t>
      </w:r>
      <w:r w:rsidR="003C4235">
        <w:rPr>
          <w:rFonts w:ascii="Times New Roman" w:hAnsi="Times New Roman" w:cs="Times New Roman"/>
          <w:sz w:val="24"/>
          <w:szCs w:val="24"/>
          <w:lang w:val="es-ES"/>
        </w:rPr>
        <w:fldChar w:fldCharType="begin"/>
      </w:r>
      <w:r w:rsidR="001F57ED">
        <w:rPr>
          <w:rFonts w:ascii="Times New Roman" w:hAnsi="Times New Roman" w:cs="Times New Roman"/>
          <w:sz w:val="24"/>
          <w:szCs w:val="24"/>
          <w:lang w:val="es-ES"/>
        </w:rPr>
        <w:instrText xml:space="preserve"> ADDIN ZOTERO_ITEM CSL_CITATION {"citationID":"1h2nrqut0a","properties":{"formattedCitation":"(2011, p 141)","plainCitation":"(2011, p 141)"},"citationItems":[{"id":654,"uris":["http://zotero.org/users/2248776/items/ZQDVNUAV"],"uri":["http://zotero.org/users/2248776/items/ZQDVNUAV"],"itemData":{"id":654,"type":"article-journal","title":"El análisis geométrico de encuestas: la lección de La Distinción de Bourdieu","container-title":"Revista Colombiana de Sociología","page":"139–145","volume":"6","issue":"1","source":"Google Scholar","shortTitle":"El análisis geométrico de encustas","author":[{"family":"Rouanet","given":"Henry"},{"family":"Ackermann","given":"Wener"},{"family":"Le Roux","given":"Brigtte"}],"issued":{"date-parts":[["2011"]]}},"locator":"141","suppress-author":true}],"schema":"https://github.com/citation-style-language/schema/raw/master/csl-citation.json"} </w:instrText>
      </w:r>
      <w:r w:rsidR="003C4235">
        <w:rPr>
          <w:rFonts w:ascii="Times New Roman" w:hAnsi="Times New Roman" w:cs="Times New Roman"/>
          <w:sz w:val="24"/>
          <w:szCs w:val="24"/>
          <w:lang w:val="es-ES"/>
        </w:rPr>
        <w:fldChar w:fldCharType="separate"/>
      </w:r>
      <w:r w:rsidR="002D1B11" w:rsidRPr="002D1B11">
        <w:rPr>
          <w:rFonts w:ascii="Times New Roman" w:hAnsi="Times New Roman" w:cs="Times New Roman"/>
          <w:sz w:val="24"/>
        </w:rPr>
        <w:t>(2011, p 141)</w:t>
      </w:r>
      <w:r w:rsidR="003C4235">
        <w:rPr>
          <w:rFonts w:ascii="Times New Roman" w:hAnsi="Times New Roman" w:cs="Times New Roman"/>
          <w:sz w:val="24"/>
          <w:szCs w:val="24"/>
          <w:lang w:val="es-ES"/>
        </w:rPr>
        <w:fldChar w:fldCharType="end"/>
      </w:r>
      <w:r>
        <w:rPr>
          <w:rFonts w:ascii="Times New Roman" w:hAnsi="Times New Roman" w:cs="Times New Roman"/>
          <w:sz w:val="24"/>
          <w:szCs w:val="24"/>
          <w:lang w:val="es-ES"/>
        </w:rPr>
        <w:t xml:space="preserve">. </w:t>
      </w:r>
      <w:r w:rsidR="00330B63">
        <w:rPr>
          <w:rFonts w:ascii="Times New Roman" w:eastAsia="Times New Roman" w:hAnsi="Times New Roman" w:cs="Times New Roman"/>
          <w:sz w:val="24"/>
          <w:szCs w:val="24"/>
          <w:lang w:eastAsia="es-AR"/>
        </w:rPr>
        <w:t>Este segundo espacio es al que se le prestará mayor atención, ya que permite interpretar como se interrelacionan las distintas categorías de las variables consideradas</w:t>
      </w:r>
      <w:r w:rsidR="004F5979">
        <w:rPr>
          <w:rFonts w:ascii="Times New Roman" w:eastAsia="Times New Roman" w:hAnsi="Times New Roman" w:cs="Times New Roman"/>
          <w:sz w:val="24"/>
          <w:szCs w:val="24"/>
          <w:lang w:eastAsia="es-AR"/>
        </w:rPr>
        <w:t xml:space="preserve"> (llamadas “modalidades”).</w:t>
      </w:r>
    </w:p>
    <w:p w:rsidR="004F5979" w:rsidRDefault="00330B63" w:rsidP="00B105D2">
      <w:pPr>
        <w:spacing w:after="0"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Una de las ventajas centrales de los análisis factoriales es que permiten la </w:t>
      </w:r>
      <w:r w:rsidR="0015271F">
        <w:rPr>
          <w:rFonts w:ascii="Times New Roman" w:eastAsia="Times New Roman" w:hAnsi="Times New Roman" w:cs="Times New Roman"/>
          <w:sz w:val="24"/>
          <w:szCs w:val="24"/>
          <w:lang w:eastAsia="es-AR"/>
        </w:rPr>
        <w:t xml:space="preserve">disposición geométrica de las filas </w:t>
      </w:r>
      <w:r>
        <w:rPr>
          <w:rFonts w:ascii="Times New Roman" w:eastAsia="Times New Roman" w:hAnsi="Times New Roman" w:cs="Times New Roman"/>
          <w:sz w:val="24"/>
          <w:szCs w:val="24"/>
          <w:lang w:eastAsia="es-AR"/>
        </w:rPr>
        <w:t xml:space="preserve">(individuos) </w:t>
      </w:r>
      <w:r w:rsidR="0015271F">
        <w:rPr>
          <w:rFonts w:ascii="Times New Roman" w:eastAsia="Times New Roman" w:hAnsi="Times New Roman" w:cs="Times New Roman"/>
          <w:sz w:val="24"/>
          <w:szCs w:val="24"/>
          <w:lang w:eastAsia="es-AR"/>
        </w:rPr>
        <w:t xml:space="preserve">y columnas </w:t>
      </w:r>
      <w:r>
        <w:rPr>
          <w:rFonts w:ascii="Times New Roman" w:eastAsia="Times New Roman" w:hAnsi="Times New Roman" w:cs="Times New Roman"/>
          <w:sz w:val="24"/>
          <w:szCs w:val="24"/>
          <w:lang w:eastAsia="es-AR"/>
        </w:rPr>
        <w:t xml:space="preserve">(categorías de las variables) </w:t>
      </w:r>
      <w:r w:rsidR="0015271F">
        <w:rPr>
          <w:rFonts w:ascii="Times New Roman" w:eastAsia="Times New Roman" w:hAnsi="Times New Roman" w:cs="Times New Roman"/>
          <w:sz w:val="24"/>
          <w:szCs w:val="24"/>
          <w:lang w:eastAsia="es-AR"/>
        </w:rPr>
        <w:t xml:space="preserve">de una matriz de datos </w:t>
      </w:r>
      <w:r>
        <w:rPr>
          <w:rFonts w:ascii="Times New Roman" w:eastAsia="Times New Roman" w:hAnsi="Times New Roman" w:cs="Times New Roman"/>
          <w:sz w:val="24"/>
          <w:szCs w:val="24"/>
          <w:lang w:eastAsia="es-AR"/>
        </w:rPr>
        <w:t>en un espacio reducido de dos o tres dimensiones. Mientras que l</w:t>
      </w:r>
      <w:r w:rsidR="007F71A4" w:rsidRPr="007F71A4">
        <w:rPr>
          <w:rFonts w:ascii="Times New Roman" w:eastAsia="Times New Roman" w:hAnsi="Times New Roman" w:cs="Times New Roman"/>
          <w:sz w:val="24"/>
          <w:szCs w:val="24"/>
          <w:lang w:eastAsia="es-AR"/>
        </w:rPr>
        <w:t>a proximidad</w:t>
      </w:r>
      <w:r w:rsidR="006C0BF5">
        <w:rPr>
          <w:rFonts w:ascii="Times New Roman" w:eastAsia="Times New Roman" w:hAnsi="Times New Roman" w:cs="Times New Roman"/>
          <w:sz w:val="24"/>
          <w:szCs w:val="24"/>
          <w:lang w:eastAsia="es-AR"/>
        </w:rPr>
        <w:t xml:space="preserve"> gráfica</w:t>
      </w:r>
      <w:r w:rsidR="007F71A4" w:rsidRPr="007F71A4">
        <w:rPr>
          <w:rFonts w:ascii="Times New Roman" w:eastAsia="Times New Roman" w:hAnsi="Times New Roman" w:cs="Times New Roman"/>
          <w:sz w:val="24"/>
          <w:szCs w:val="24"/>
          <w:lang w:eastAsia="es-AR"/>
        </w:rPr>
        <w:t xml:space="preserve"> entre dos puntos</w:t>
      </w:r>
      <w:r w:rsidR="006C0BF5">
        <w:rPr>
          <w:rFonts w:ascii="Times New Roman" w:eastAsia="Times New Roman" w:hAnsi="Times New Roman" w:cs="Times New Roman"/>
          <w:sz w:val="24"/>
          <w:szCs w:val="24"/>
          <w:lang w:eastAsia="es-AR"/>
        </w:rPr>
        <w:t xml:space="preserve"> de la nube de individuos </w:t>
      </w:r>
      <w:r w:rsidR="007F71A4" w:rsidRPr="007F71A4">
        <w:rPr>
          <w:rFonts w:ascii="Times New Roman" w:eastAsia="Times New Roman" w:hAnsi="Times New Roman" w:cs="Times New Roman"/>
          <w:sz w:val="24"/>
          <w:szCs w:val="24"/>
          <w:lang w:eastAsia="es-AR"/>
        </w:rPr>
        <w:t xml:space="preserve">entre dos </w:t>
      </w:r>
      <w:r w:rsidR="006C0BF5">
        <w:rPr>
          <w:rFonts w:ascii="Times New Roman" w:eastAsia="Times New Roman" w:hAnsi="Times New Roman" w:cs="Times New Roman"/>
          <w:sz w:val="24"/>
          <w:szCs w:val="24"/>
          <w:lang w:eastAsia="es-AR"/>
        </w:rPr>
        <w:t>categorías de una misma variable</w:t>
      </w:r>
      <w:r w:rsidR="007F71A4" w:rsidRPr="007F71A4">
        <w:rPr>
          <w:rFonts w:ascii="Times New Roman" w:eastAsia="Times New Roman" w:hAnsi="Times New Roman" w:cs="Times New Roman"/>
          <w:sz w:val="24"/>
          <w:szCs w:val="24"/>
          <w:lang w:eastAsia="es-AR"/>
        </w:rPr>
        <w:t xml:space="preserve"> indica</w:t>
      </w:r>
      <w:r w:rsidR="007F71A4">
        <w:rPr>
          <w:rFonts w:ascii="Times New Roman" w:eastAsia="Times New Roman" w:hAnsi="Times New Roman" w:cs="Times New Roman"/>
          <w:sz w:val="24"/>
          <w:szCs w:val="24"/>
          <w:lang w:eastAsia="es-AR"/>
        </w:rPr>
        <w:t xml:space="preserve"> </w:t>
      </w:r>
      <w:r w:rsidR="004F5979">
        <w:rPr>
          <w:rFonts w:ascii="Times New Roman" w:eastAsia="Times New Roman" w:hAnsi="Times New Roman" w:cs="Times New Roman"/>
          <w:sz w:val="24"/>
          <w:szCs w:val="24"/>
          <w:lang w:eastAsia="es-AR"/>
        </w:rPr>
        <w:t>una similitud</w:t>
      </w:r>
      <w:r w:rsidR="007F71A4" w:rsidRPr="007F71A4">
        <w:rPr>
          <w:rFonts w:ascii="Times New Roman" w:eastAsia="Times New Roman" w:hAnsi="Times New Roman" w:cs="Times New Roman"/>
          <w:sz w:val="24"/>
          <w:szCs w:val="24"/>
          <w:lang w:eastAsia="es-AR"/>
        </w:rPr>
        <w:t xml:space="preserve"> entre </w:t>
      </w:r>
      <w:r w:rsidR="006C0BF5">
        <w:rPr>
          <w:rFonts w:ascii="Times New Roman" w:eastAsia="Times New Roman" w:hAnsi="Times New Roman" w:cs="Times New Roman"/>
          <w:sz w:val="24"/>
          <w:szCs w:val="24"/>
          <w:lang w:eastAsia="es-AR"/>
        </w:rPr>
        <w:t>los</w:t>
      </w:r>
      <w:r w:rsidR="007F71A4" w:rsidRPr="007F71A4">
        <w:rPr>
          <w:rFonts w:ascii="Times New Roman" w:eastAsia="Times New Roman" w:hAnsi="Times New Roman" w:cs="Times New Roman"/>
          <w:sz w:val="24"/>
          <w:szCs w:val="24"/>
          <w:lang w:eastAsia="es-AR"/>
        </w:rPr>
        <w:t xml:space="preserve"> perfiles</w:t>
      </w:r>
      <w:r w:rsidR="006C0BF5">
        <w:rPr>
          <w:rFonts w:ascii="Times New Roman" w:eastAsia="Times New Roman" w:hAnsi="Times New Roman" w:cs="Times New Roman"/>
          <w:sz w:val="24"/>
          <w:szCs w:val="24"/>
          <w:lang w:eastAsia="es-AR"/>
        </w:rPr>
        <w:t xml:space="preserve"> de los sujetos,</w:t>
      </w:r>
      <w:r w:rsidR="007F71A4" w:rsidRPr="007F71A4">
        <w:rPr>
          <w:rFonts w:ascii="Times New Roman" w:eastAsia="Times New Roman" w:hAnsi="Times New Roman" w:cs="Times New Roman"/>
          <w:sz w:val="24"/>
          <w:szCs w:val="24"/>
          <w:lang w:eastAsia="es-AR"/>
        </w:rPr>
        <w:t xml:space="preserve"> la proximidad entre elementos de diferentes</w:t>
      </w:r>
      <w:r w:rsidR="007F71A4">
        <w:rPr>
          <w:rFonts w:ascii="Times New Roman" w:eastAsia="Times New Roman" w:hAnsi="Times New Roman" w:cs="Times New Roman"/>
          <w:sz w:val="24"/>
          <w:szCs w:val="24"/>
          <w:lang w:eastAsia="es-AR"/>
        </w:rPr>
        <w:t xml:space="preserve"> </w:t>
      </w:r>
      <w:r w:rsidR="007F71A4" w:rsidRPr="007F71A4">
        <w:rPr>
          <w:rFonts w:ascii="Times New Roman" w:eastAsia="Times New Roman" w:hAnsi="Times New Roman" w:cs="Times New Roman"/>
          <w:sz w:val="24"/>
          <w:szCs w:val="24"/>
          <w:lang w:eastAsia="es-AR"/>
        </w:rPr>
        <w:t>variables indica asociación entre las modalidades</w:t>
      </w:r>
      <w:r w:rsidR="006C0BF5">
        <w:rPr>
          <w:rFonts w:ascii="Times New Roman" w:eastAsia="Times New Roman" w:hAnsi="Times New Roman" w:cs="Times New Roman"/>
          <w:sz w:val="24"/>
          <w:szCs w:val="24"/>
          <w:lang w:eastAsia="es-AR"/>
        </w:rPr>
        <w:t xml:space="preserve"> </w:t>
      </w:r>
      <w:r w:rsidR="003C4235">
        <w:rPr>
          <w:rFonts w:ascii="Times New Roman" w:eastAsia="Times New Roman" w:hAnsi="Times New Roman" w:cs="Times New Roman"/>
          <w:sz w:val="24"/>
          <w:szCs w:val="24"/>
          <w:lang w:eastAsia="es-AR"/>
        </w:rPr>
        <w:fldChar w:fldCharType="begin"/>
      </w:r>
      <w:r w:rsidR="001F57ED">
        <w:rPr>
          <w:rFonts w:ascii="Times New Roman" w:eastAsia="Times New Roman" w:hAnsi="Times New Roman" w:cs="Times New Roman"/>
          <w:sz w:val="24"/>
          <w:szCs w:val="24"/>
          <w:lang w:eastAsia="es-AR"/>
        </w:rPr>
        <w:instrText xml:space="preserve"> ADDIN ZOTERO_ITEM CSL_CITATION {"citationID":"l1hngr4tv","properties":{"formattedCitation":"(Baranger, 2009, p 102)","plainCitation":"(Baranger, 2009, p 102)"},"citationItems":[{"id":1716,"uris":["http://zotero.org/users/2248776/items/FGCTVZTS"],"uri":["http://zotero.org/users/2248776/items/FGCTVZTS"],"itemData":{"id":1716,"type":"article","title":"Construcción y análisis de datos. Introducción al uso de técnicas cuantitativas en la investigación social","source":"Google Scholar","URL":"http://www.academia.edu/download/33093559/LibroDBconanda0a7.v2.pdf","author":[{"family":"Baranger","given":"Denis"}],"issued":{"date-parts":[["2009"]]},"accessed":{"date-parts":[["2016",8,23]]}},"locator":"102"}],"schema":"https://github.com/citation-style-language/schema/raw/master/csl-citation.json"} </w:instrText>
      </w:r>
      <w:r w:rsidR="003C4235">
        <w:rPr>
          <w:rFonts w:ascii="Times New Roman" w:eastAsia="Times New Roman" w:hAnsi="Times New Roman" w:cs="Times New Roman"/>
          <w:sz w:val="24"/>
          <w:szCs w:val="24"/>
          <w:lang w:eastAsia="es-AR"/>
        </w:rPr>
        <w:fldChar w:fldCharType="separate"/>
      </w:r>
      <w:r w:rsidR="00007868" w:rsidRPr="00007868">
        <w:rPr>
          <w:rFonts w:ascii="Times New Roman" w:hAnsi="Times New Roman" w:cs="Times New Roman"/>
          <w:sz w:val="24"/>
        </w:rPr>
        <w:t>(Baranger, 2009, p 102)</w:t>
      </w:r>
      <w:r w:rsidR="003C4235">
        <w:rPr>
          <w:rFonts w:ascii="Times New Roman" w:eastAsia="Times New Roman" w:hAnsi="Times New Roman" w:cs="Times New Roman"/>
          <w:sz w:val="24"/>
          <w:szCs w:val="24"/>
          <w:lang w:eastAsia="es-AR"/>
        </w:rPr>
        <w:fldChar w:fldCharType="end"/>
      </w:r>
      <w:r w:rsidR="00007868">
        <w:rPr>
          <w:rFonts w:ascii="Times New Roman" w:eastAsia="Times New Roman" w:hAnsi="Times New Roman" w:cs="Times New Roman"/>
          <w:sz w:val="24"/>
          <w:szCs w:val="24"/>
          <w:lang w:eastAsia="es-AR"/>
        </w:rPr>
        <w:t>.</w:t>
      </w:r>
      <w:r w:rsidR="004F5979">
        <w:rPr>
          <w:rFonts w:ascii="Times New Roman" w:eastAsia="Times New Roman" w:hAnsi="Times New Roman" w:cs="Times New Roman"/>
          <w:sz w:val="24"/>
          <w:szCs w:val="24"/>
          <w:lang w:eastAsia="es-AR"/>
        </w:rPr>
        <w:t xml:space="preserve"> </w:t>
      </w:r>
    </w:p>
    <w:p w:rsidR="00F13C12" w:rsidRDefault="00007868" w:rsidP="00B105D2">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factores que surgen de la reducción producida sobre el espacio de propiedades de las variables originales permiten una explicación más parsimoniosa del problema a abordar. </w:t>
      </w:r>
      <w:r w:rsidR="007F71A4">
        <w:rPr>
          <w:rFonts w:ascii="Times New Roman" w:hAnsi="Times New Roman" w:cs="Times New Roman"/>
          <w:sz w:val="24"/>
          <w:szCs w:val="24"/>
          <w:lang w:val="es-ES"/>
        </w:rPr>
        <w:t>El primer factor</w:t>
      </w:r>
      <w:r>
        <w:rPr>
          <w:rFonts w:ascii="Times New Roman" w:hAnsi="Times New Roman" w:cs="Times New Roman"/>
          <w:sz w:val="24"/>
          <w:szCs w:val="24"/>
          <w:lang w:val="es-ES"/>
        </w:rPr>
        <w:t>-eje</w:t>
      </w:r>
      <w:r w:rsidR="007F71A4">
        <w:rPr>
          <w:rFonts w:ascii="Times New Roman" w:hAnsi="Times New Roman" w:cs="Times New Roman"/>
          <w:sz w:val="24"/>
          <w:szCs w:val="24"/>
          <w:lang w:val="es-ES"/>
        </w:rPr>
        <w:t xml:space="preserve"> </w:t>
      </w:r>
      <w:r>
        <w:rPr>
          <w:rFonts w:ascii="Times New Roman" w:hAnsi="Times New Roman" w:cs="Times New Roman"/>
          <w:sz w:val="24"/>
          <w:szCs w:val="24"/>
          <w:lang w:val="es-ES"/>
        </w:rPr>
        <w:t>resume</w:t>
      </w:r>
      <w:r w:rsidR="007F71A4">
        <w:rPr>
          <w:rFonts w:ascii="Times New Roman" w:hAnsi="Times New Roman" w:cs="Times New Roman"/>
          <w:sz w:val="24"/>
          <w:szCs w:val="24"/>
          <w:lang w:val="es-ES"/>
        </w:rPr>
        <w:t xml:space="preserve"> la mayor </w:t>
      </w:r>
      <w:r>
        <w:rPr>
          <w:rFonts w:ascii="Times New Roman" w:hAnsi="Times New Roman" w:cs="Times New Roman"/>
          <w:sz w:val="24"/>
          <w:szCs w:val="24"/>
          <w:lang w:val="es-ES"/>
        </w:rPr>
        <w:t>parte de la inercia (</w:t>
      </w:r>
      <w:r w:rsidR="007F71A4">
        <w:rPr>
          <w:rFonts w:ascii="Times New Roman" w:hAnsi="Times New Roman" w:cs="Times New Roman"/>
          <w:sz w:val="24"/>
          <w:szCs w:val="24"/>
          <w:lang w:val="es-ES"/>
        </w:rPr>
        <w:t>varianza</w:t>
      </w:r>
      <w:r>
        <w:rPr>
          <w:rFonts w:ascii="Times New Roman" w:hAnsi="Times New Roman" w:cs="Times New Roman"/>
          <w:sz w:val="24"/>
          <w:szCs w:val="24"/>
          <w:lang w:val="es-ES"/>
        </w:rPr>
        <w:t>) presentada entre los individuos, siendo éste el más relevante ya que es el que mejor se aproxima a la nube de puntos original.</w:t>
      </w:r>
      <w:r w:rsidR="007F71A4">
        <w:rPr>
          <w:rFonts w:ascii="Times New Roman" w:hAnsi="Times New Roman" w:cs="Times New Roman"/>
          <w:sz w:val="24"/>
          <w:szCs w:val="24"/>
          <w:lang w:val="es-ES"/>
        </w:rPr>
        <w:t xml:space="preserve"> </w:t>
      </w:r>
      <w:r>
        <w:rPr>
          <w:rFonts w:ascii="Times New Roman" w:hAnsi="Times New Roman" w:cs="Times New Roman"/>
          <w:sz w:val="24"/>
          <w:szCs w:val="24"/>
          <w:lang w:val="es-ES"/>
        </w:rPr>
        <w:t>El segundo factor-eje</w:t>
      </w:r>
      <w:r w:rsidR="00F13C12">
        <w:rPr>
          <w:rFonts w:ascii="Times New Roman" w:hAnsi="Times New Roman" w:cs="Times New Roman"/>
          <w:sz w:val="24"/>
          <w:szCs w:val="24"/>
          <w:lang w:val="es-ES"/>
        </w:rPr>
        <w:t xml:space="preserve">, es independiente del primero y da cuenta de las diferenciaciones residuales que el primer factor no pudo representar y así sucesivamente con el resto de los factores </w:t>
      </w:r>
      <w:r w:rsidR="003C4235">
        <w:rPr>
          <w:rFonts w:ascii="Times New Roman" w:hAnsi="Times New Roman" w:cs="Times New Roman"/>
          <w:sz w:val="24"/>
          <w:szCs w:val="24"/>
          <w:lang w:val="es-ES"/>
        </w:rPr>
        <w:fldChar w:fldCharType="begin"/>
      </w:r>
      <w:r w:rsidR="001F57ED">
        <w:rPr>
          <w:rFonts w:ascii="Times New Roman" w:hAnsi="Times New Roman" w:cs="Times New Roman"/>
          <w:sz w:val="24"/>
          <w:szCs w:val="24"/>
          <w:lang w:val="es-ES"/>
        </w:rPr>
        <w:instrText xml:space="preserve"> ADDIN ZOTERO_ITEM CSL_CITATION {"citationID":"2cu8qunnje","properties":{"formattedCitation":"(Baranger, 2009, p 100)","plainCitation":"(Baranger, 2009, p 100)"},"citationItems":[{"id":1716,"uris":["http://zotero.org/users/2248776/items/FGCTVZTS"],"uri":["http://zotero.org/users/2248776/items/FGCTVZTS"],"itemData":{"id":1716,"type":"article","title":"Construcción y análisis de datos. Introducción al uso de técnicas cuantitativas en la investigación social","source":"Google Scholar","URL":"http://www.academia.edu/download/33093559/LibroDBconanda0a7.v2.pdf","author":[{"family":"Baranger","given":"Denis"}],"issued":{"date-parts":[["2009"]]},"accessed":{"date-parts":[["2016",8,23]]}},"locator":"100"}],"schema":"https://github.com/citation-style-language/schema/raw/master/csl-citation.json"} </w:instrText>
      </w:r>
      <w:r w:rsidR="003C4235">
        <w:rPr>
          <w:rFonts w:ascii="Times New Roman" w:hAnsi="Times New Roman" w:cs="Times New Roman"/>
          <w:sz w:val="24"/>
          <w:szCs w:val="24"/>
          <w:lang w:val="es-ES"/>
        </w:rPr>
        <w:fldChar w:fldCharType="separate"/>
      </w:r>
      <w:r w:rsidR="00F13C12" w:rsidRPr="00F13C12">
        <w:rPr>
          <w:rFonts w:ascii="Times New Roman" w:hAnsi="Times New Roman" w:cs="Times New Roman"/>
          <w:sz w:val="24"/>
        </w:rPr>
        <w:t>(Baranger, 2009, p 100)</w:t>
      </w:r>
      <w:r w:rsidR="003C4235">
        <w:rPr>
          <w:rFonts w:ascii="Times New Roman" w:hAnsi="Times New Roman" w:cs="Times New Roman"/>
          <w:sz w:val="24"/>
          <w:szCs w:val="24"/>
          <w:lang w:val="es-ES"/>
        </w:rPr>
        <w:fldChar w:fldCharType="end"/>
      </w:r>
      <w:r w:rsidR="00F13C12">
        <w:rPr>
          <w:rFonts w:ascii="Times New Roman" w:hAnsi="Times New Roman" w:cs="Times New Roman"/>
          <w:sz w:val="24"/>
          <w:szCs w:val="24"/>
          <w:lang w:val="es-ES"/>
        </w:rPr>
        <w:t>. Si bien no hay un acuerdo con respecto a cuantos factores retener para el análisis, es recomendable basarse en aquellos que acumulan la mayor parte de la inercia explicada (generalmente un 70% o más de la varianza).</w:t>
      </w:r>
    </w:p>
    <w:p w:rsidR="00F13C12" w:rsidRPr="007870CA" w:rsidRDefault="00F13C12" w:rsidP="000C4439">
      <w:pPr>
        <w:spacing w:after="0" w:line="360" w:lineRule="auto"/>
        <w:jc w:val="both"/>
        <w:rPr>
          <w:rFonts w:ascii="Times New Roman" w:eastAsia="Times New Roman" w:hAnsi="Times New Roman" w:cs="Times New Roman"/>
          <w:sz w:val="24"/>
          <w:szCs w:val="24"/>
          <w:lang w:eastAsia="es-AR"/>
        </w:rPr>
      </w:pPr>
      <w:r>
        <w:rPr>
          <w:rFonts w:ascii="Times New Roman" w:hAnsi="Times New Roman" w:cs="Times New Roman"/>
          <w:sz w:val="24"/>
          <w:szCs w:val="24"/>
          <w:lang w:val="es-ES"/>
        </w:rPr>
        <w:t xml:space="preserve">Por otro lado, el ACM permite la incorporación de variables denominadas suplementarias o ilustrativas que </w:t>
      </w:r>
      <w:r w:rsidR="00D1105E">
        <w:rPr>
          <w:rFonts w:ascii="Times New Roman" w:hAnsi="Times New Roman" w:cs="Times New Roman"/>
          <w:sz w:val="24"/>
          <w:szCs w:val="24"/>
          <w:lang w:val="es-ES"/>
        </w:rPr>
        <w:t>no intervienen en la construcción de los factores (como sí lo hacen las variables activas) pero que permiten su proyección en el plano factorial y, por ende, el enriquecimiento del análisis</w:t>
      </w:r>
      <w:r w:rsidR="00D1105E">
        <w:rPr>
          <w:rFonts w:ascii="Times New Roman" w:eastAsia="Times New Roman" w:hAnsi="Times New Roman" w:cs="Times New Roman"/>
          <w:sz w:val="24"/>
          <w:szCs w:val="24"/>
          <w:lang w:eastAsia="es-AR"/>
        </w:rPr>
        <w:t xml:space="preserve"> </w:t>
      </w:r>
      <w:r w:rsidR="003C4235">
        <w:rPr>
          <w:rFonts w:ascii="Times New Roman" w:eastAsia="Times New Roman" w:hAnsi="Times New Roman" w:cs="Times New Roman"/>
          <w:sz w:val="24"/>
          <w:szCs w:val="24"/>
          <w:lang w:eastAsia="es-AR"/>
        </w:rPr>
        <w:fldChar w:fldCharType="begin"/>
      </w:r>
      <w:r w:rsidR="001F57ED">
        <w:rPr>
          <w:rFonts w:ascii="Times New Roman" w:eastAsia="Times New Roman" w:hAnsi="Times New Roman" w:cs="Times New Roman"/>
          <w:sz w:val="24"/>
          <w:szCs w:val="24"/>
          <w:lang w:eastAsia="es-AR"/>
        </w:rPr>
        <w:instrText xml:space="preserve"> ADDIN ZOTERO_ITEM CSL_CITATION {"citationID":"2k3eh6gcvj","properties":{"formattedCitation":"(Adaszko, 2009, p 196; Le Roux y Rouanet, 2010, p 60)","plainCitation":"(Adaszko, 2009, p 196; Le Roux y Rouanet, 2010, p 60)"},"citationItems":[{"id":203,"uris":["http://zotero.org/users/2248776/items/ATNR2GIH"],"uri":["http://zotero.org/users/2248776/items/ATNR2GIH"],"itemData":{"id":203,"type":"thesis","title":"El análisis de correspondencias desde adentro","publisher":"Universidad Nacional de Tres de Febrero","genre":"Tesis de Maestría","author":[{"family":"Adaszko","given":"Dan"}],"issued":{"date-parts":[["2009"]]}},"locator":"196"},{"id":1231,"uris":["http://zotero.org/users/2248776/items/N9BIURJD"],"uri":["http://zotero.org/users/2248776/items/N9BIURJD"],"itemData":{"id":1231,"type":"book","title":"Multiple correspondence analysis","collection-title":"Quantitative applications in the social sciences","collection-number":"163","publisher":"Sage Publications","publisher-place":"Thousand Oaks, Calif","number-of-pages":"115","source":"Library of Congress ISBN","event-place":"Thousand Oaks, Calif","ISBN":"978-1-4129-6897-3","call-number":"QA278.5 .L4 2010","author":[{"family":"Le Roux","given":"Brigitte"},{"family":"Rouanet","given":"Henry"}],"issued":{"date-parts":[["2010"]]}},"locator":"60"}],"schema":"https://github.com/citation-style-language/schema/raw/master/csl-citation.json"} </w:instrText>
      </w:r>
      <w:r w:rsidR="003C4235">
        <w:rPr>
          <w:rFonts w:ascii="Times New Roman" w:eastAsia="Times New Roman" w:hAnsi="Times New Roman" w:cs="Times New Roman"/>
          <w:sz w:val="24"/>
          <w:szCs w:val="24"/>
          <w:lang w:eastAsia="es-AR"/>
        </w:rPr>
        <w:fldChar w:fldCharType="separate"/>
      </w:r>
      <w:r w:rsidR="00D1105E" w:rsidRPr="00D1105E">
        <w:rPr>
          <w:rFonts w:ascii="Times New Roman" w:hAnsi="Times New Roman" w:cs="Times New Roman"/>
          <w:sz w:val="24"/>
        </w:rPr>
        <w:t>(Adaszko, 2009, p 196; Le Roux y Rouanet, 2010, p 60)</w:t>
      </w:r>
      <w:r w:rsidR="003C4235">
        <w:rPr>
          <w:rFonts w:ascii="Times New Roman" w:eastAsia="Times New Roman" w:hAnsi="Times New Roman" w:cs="Times New Roman"/>
          <w:sz w:val="24"/>
          <w:szCs w:val="24"/>
          <w:lang w:eastAsia="es-AR"/>
        </w:rPr>
        <w:fldChar w:fldCharType="end"/>
      </w:r>
      <w:r w:rsidR="0015271F">
        <w:rPr>
          <w:rFonts w:ascii="Times New Roman" w:eastAsia="Times New Roman" w:hAnsi="Times New Roman" w:cs="Times New Roman"/>
          <w:sz w:val="24"/>
          <w:szCs w:val="24"/>
          <w:lang w:eastAsia="es-AR"/>
        </w:rPr>
        <w:t xml:space="preserve">. </w:t>
      </w:r>
    </w:p>
    <w:p w:rsidR="00DD25B5" w:rsidRDefault="004F5979" w:rsidP="000C4439">
      <w:pPr>
        <w:spacing w:after="0" w:line="360" w:lineRule="auto"/>
        <w:jc w:val="both"/>
        <w:rPr>
          <w:rFonts w:ascii="Times New Roman" w:hAnsi="Times New Roman" w:cs="Times New Roman"/>
          <w:sz w:val="24"/>
        </w:rPr>
      </w:pPr>
      <w:r>
        <w:rPr>
          <w:rFonts w:ascii="Times New Roman" w:hAnsi="Times New Roman" w:cs="Times New Roman"/>
          <w:sz w:val="24"/>
        </w:rPr>
        <w:lastRenderedPageBreak/>
        <w:t>E</w:t>
      </w:r>
      <w:r w:rsidR="007870CA">
        <w:rPr>
          <w:rFonts w:ascii="Times New Roman" w:hAnsi="Times New Roman" w:cs="Times New Roman"/>
          <w:sz w:val="24"/>
        </w:rPr>
        <w:t>n la segunda etapa</w:t>
      </w:r>
      <w:r w:rsidR="000C4439" w:rsidRPr="007A0E05">
        <w:rPr>
          <w:rFonts w:ascii="Times New Roman" w:hAnsi="Times New Roman" w:cs="Times New Roman"/>
          <w:sz w:val="24"/>
        </w:rPr>
        <w:t xml:space="preserve"> se clasificarán las unidades a p</w:t>
      </w:r>
      <w:r w:rsidR="000C4439">
        <w:rPr>
          <w:rFonts w:ascii="Times New Roman" w:hAnsi="Times New Roman" w:cs="Times New Roman"/>
          <w:sz w:val="24"/>
        </w:rPr>
        <w:t>artir del es</w:t>
      </w:r>
      <w:r w:rsidR="000C4439" w:rsidRPr="007A0E05">
        <w:rPr>
          <w:rFonts w:ascii="Times New Roman" w:hAnsi="Times New Roman" w:cs="Times New Roman"/>
          <w:sz w:val="24"/>
        </w:rPr>
        <w:t>pacio de atributos reducido obtenido, es decir, de los factores obtenidos y que serv</w:t>
      </w:r>
      <w:r w:rsidR="000C4439">
        <w:rPr>
          <w:rFonts w:ascii="Times New Roman" w:hAnsi="Times New Roman" w:cs="Times New Roman"/>
          <w:sz w:val="24"/>
        </w:rPr>
        <w:t>irán como criterios clasificato</w:t>
      </w:r>
      <w:r w:rsidR="000C4439" w:rsidRPr="007A0E05">
        <w:rPr>
          <w:rFonts w:ascii="Times New Roman" w:hAnsi="Times New Roman" w:cs="Times New Roman"/>
          <w:sz w:val="24"/>
        </w:rPr>
        <w:t xml:space="preserve">rios: “el objetivo es obtener un conjunto de tipos que sean la expresión de grupos de unidades homogéneos internamente y significativamente diferenciados entre sí” (López Roldán, 2012: 40). La técnica de análisis utilizada será el </w:t>
      </w:r>
      <w:r>
        <w:rPr>
          <w:rFonts w:ascii="Times New Roman" w:hAnsi="Times New Roman" w:cs="Times New Roman"/>
          <w:sz w:val="24"/>
        </w:rPr>
        <w:t>“</w:t>
      </w:r>
      <w:r w:rsidR="007870CA">
        <w:rPr>
          <w:rFonts w:ascii="Times New Roman" w:hAnsi="Times New Roman" w:cs="Times New Roman"/>
          <w:sz w:val="24"/>
        </w:rPr>
        <w:t>análisis de conglomerados</w:t>
      </w:r>
      <w:r>
        <w:rPr>
          <w:rFonts w:ascii="Times New Roman" w:hAnsi="Times New Roman" w:cs="Times New Roman"/>
          <w:sz w:val="24"/>
        </w:rPr>
        <w:t>”</w:t>
      </w:r>
      <w:r w:rsidR="007870CA">
        <w:rPr>
          <w:rFonts w:ascii="Times New Roman" w:hAnsi="Times New Roman" w:cs="Times New Roman"/>
          <w:sz w:val="24"/>
        </w:rPr>
        <w:t xml:space="preserve">, que presenta una gran compatibilidad con el ACM, siendo calificados </w:t>
      </w:r>
      <w:r>
        <w:rPr>
          <w:rFonts w:ascii="Times New Roman" w:hAnsi="Times New Roman" w:cs="Times New Roman"/>
          <w:sz w:val="24"/>
        </w:rPr>
        <w:t xml:space="preserve">comúnmente </w:t>
      </w:r>
      <w:r w:rsidR="007870CA">
        <w:rPr>
          <w:rFonts w:ascii="Times New Roman" w:hAnsi="Times New Roman" w:cs="Times New Roman"/>
          <w:sz w:val="24"/>
        </w:rPr>
        <w:t xml:space="preserve">como “métodos compañeros”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{"citationID":"a7ci9085n","properties":{"formattedCitation":"(Le Roux y Rouanet, 2010, p 11)","plainCitation":"(Le Roux y Rouanet, 2010, p 11)"},"citationItems":[{"id":1231,"uris":["http://zotero.org/users/2248776/items/N9BIURJD"],"uri":["http://zotero.org/users/2248776/items/N9BIURJD"],"itemData":{"id":1231,"type":"book","title":"Multiple correspondence analysis","collection-title":"Quantitative applications in the social sciences","collection-number":"163","publisher":"Sage Publications","publisher-place":"Thousand Oaks, Calif","number-of-pages":"115","source":"Library of Congress ISBN","event-place":"Thousand Oaks, Calif","ISBN":"978-1-4129-6897-3","call-number":"QA278.5 .L4 2010","author":[{"family":"Le Roux","given":"Brigitte"},{"family":"Rouanet","given":"Henry"}],"issued":{"date-parts":[["2010"]]}},"locator":"11"}],"schema":"https://github.com/citation-style-language/schema/raw/master/csl-citation.json"} </w:instrText>
      </w:r>
      <w:r w:rsidR="003C4235">
        <w:rPr>
          <w:rFonts w:ascii="Times New Roman" w:hAnsi="Times New Roman" w:cs="Times New Roman"/>
          <w:sz w:val="24"/>
        </w:rPr>
        <w:fldChar w:fldCharType="separate"/>
      </w:r>
      <w:r w:rsidR="00975BBC" w:rsidRPr="00975BBC">
        <w:rPr>
          <w:rFonts w:ascii="Times New Roman" w:hAnsi="Times New Roman" w:cs="Times New Roman"/>
          <w:sz w:val="24"/>
        </w:rPr>
        <w:t>(Le Roux y Rouanet, 2010, p 11)</w:t>
      </w:r>
      <w:r w:rsidR="003C4235">
        <w:rPr>
          <w:rFonts w:ascii="Times New Roman" w:hAnsi="Times New Roman" w:cs="Times New Roman"/>
          <w:sz w:val="24"/>
        </w:rPr>
        <w:fldChar w:fldCharType="end"/>
      </w:r>
      <w:r w:rsidR="00975BBC">
        <w:rPr>
          <w:rFonts w:ascii="Times New Roman" w:hAnsi="Times New Roman" w:cs="Times New Roman"/>
          <w:sz w:val="24"/>
        </w:rPr>
        <w:t xml:space="preserve">. Particularmente, se utilizará </w:t>
      </w:r>
      <w:r w:rsidR="00C61C21">
        <w:rPr>
          <w:rFonts w:ascii="Times New Roman" w:hAnsi="Times New Roman" w:cs="Times New Roman"/>
          <w:sz w:val="24"/>
        </w:rPr>
        <w:t>el método jerárquico</w:t>
      </w:r>
      <w:r>
        <w:rPr>
          <w:rFonts w:ascii="Times New Roman" w:hAnsi="Times New Roman" w:cs="Times New Roman"/>
          <w:sz w:val="24"/>
        </w:rPr>
        <w:t xml:space="preserve"> ascendente</w:t>
      </w:r>
      <w:r w:rsidR="00C61C21">
        <w:rPr>
          <w:rFonts w:ascii="Times New Roman" w:hAnsi="Times New Roman" w:cs="Times New Roman"/>
          <w:sz w:val="24"/>
        </w:rPr>
        <w:t xml:space="preserve"> Ward </w:t>
      </w:r>
      <w:r w:rsidR="00DD25B5">
        <w:rPr>
          <w:rFonts w:ascii="Times New Roman" w:hAnsi="Times New Roman" w:cs="Times New Roman"/>
          <w:sz w:val="24"/>
        </w:rPr>
        <w:t>que consiste, escuetamente, “</w:t>
      </w:r>
      <w:r w:rsidR="00DD25B5" w:rsidRPr="00DD25B5">
        <w:rPr>
          <w:rFonts w:ascii="Times New Roman" w:hAnsi="Times New Roman" w:cs="Times New Roman"/>
          <w:sz w:val="24"/>
        </w:rPr>
        <w:t>en un proceso</w:t>
      </w:r>
      <w:r w:rsidR="00DD25B5">
        <w:rPr>
          <w:rFonts w:ascii="Times New Roman" w:hAnsi="Times New Roman" w:cs="Times New Roman"/>
          <w:sz w:val="24"/>
        </w:rPr>
        <w:t xml:space="preserve"> </w:t>
      </w:r>
      <w:r w:rsidR="00DD25B5" w:rsidRPr="00DD25B5">
        <w:rPr>
          <w:rFonts w:ascii="Times New Roman" w:hAnsi="Times New Roman" w:cs="Times New Roman"/>
          <w:sz w:val="24"/>
        </w:rPr>
        <w:t>progresivo de agregación de las unidades/grupos de manera que en cada etapa se unan</w:t>
      </w:r>
      <w:r w:rsidR="00DD25B5">
        <w:rPr>
          <w:rFonts w:ascii="Times New Roman" w:hAnsi="Times New Roman" w:cs="Times New Roman"/>
          <w:sz w:val="24"/>
        </w:rPr>
        <w:t xml:space="preserve"> </w:t>
      </w:r>
      <w:r w:rsidR="00DD25B5" w:rsidRPr="00DD25B5">
        <w:rPr>
          <w:rFonts w:ascii="Times New Roman" w:hAnsi="Times New Roman" w:cs="Times New Roman"/>
          <w:sz w:val="24"/>
        </w:rPr>
        <w:t>aquellos dos elementos que supongan la mínima pérdida de inercia</w:t>
      </w:r>
      <w:r w:rsidR="00DD25B5">
        <w:rPr>
          <w:rFonts w:ascii="Times New Roman" w:hAnsi="Times New Roman" w:cs="Times New Roman"/>
          <w:sz w:val="24"/>
        </w:rPr>
        <w:t>”</w:t>
      </w:r>
      <w:r>
        <w:rPr>
          <w:rFonts w:ascii="Times New Roman" w:hAnsi="Times New Roman" w:cs="Times New Roman"/>
          <w:sz w:val="24"/>
        </w:rPr>
        <w:t xml:space="preserv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{"citationID":"1dbc3q8u9q","properties":{"formattedCitation":"{\\rtf (L\\uc0\\u243{}pez-Rold\\uc0\\u225{}n y Fachelli, 2015a, p 35)}","plainCitation":"(López-Roldán y Fachelli, 2015a, p 35)"},"citationItems":[{"id":1752,"uris":["http://zotero.org/users/2248776/items/FBMUCMEH"],"uri":["http://zotero.org/users/2248776/items/FBMUCMEH"],"itemData":{"id":1752,"type":"article-journal","title":"Análisis de clasificación","container-title":"Metodología de la investigación social cuantitativa","page":"5-101","source":"ddd.uab.cat","abstract":"Capítulo donde se trata el análisis de clasificación como técnica multivariable destinada a la construcción de tipologías. Se presenta como técnica independiente si bien la empleamos habitualmente de forma complementaria con el análisis factorial. Tras presentar los conceptos de clasificación, taxonomía y tipología se recorren las distintas etapas del análisis, desde la selección de las variables, de la medida de proximidad, de los diferentes métodos, la determinación del número de grupos y la validación de los resultados. El capítulo se completa con la presentación de diversos ejemplos y con la utilización del software estadístico para trabajar con esta técnica en SPSS, SPAD y R.","language":"spa","author":[{"family":"López-Roldán","given":"Pedro"},{"family":"Fachelli","given":"Sandra"}],"issued":{"date-parts":[["2015"]]}},"locator":"35"}],"schema":"https://github.com/citation-style-language/schema/raw/master/csl-citation.json"} </w:instrText>
      </w:r>
      <w:r w:rsidR="003C4235">
        <w:rPr>
          <w:rFonts w:ascii="Times New Roman" w:hAnsi="Times New Roman" w:cs="Times New Roman"/>
          <w:sz w:val="24"/>
        </w:rPr>
        <w:fldChar w:fldCharType="separate"/>
      </w:r>
      <w:r w:rsidR="00F71923" w:rsidRPr="00F71923">
        <w:rPr>
          <w:rFonts w:ascii="Times New Roman" w:hAnsi="Times New Roman" w:cs="Times New Roman"/>
          <w:sz w:val="24"/>
          <w:szCs w:val="24"/>
        </w:rPr>
        <w:t>(López-Roldán y Fachelli, 2015a, p 35)</w:t>
      </w:r>
      <w:r w:rsidR="003C4235">
        <w:rPr>
          <w:rFonts w:ascii="Times New Roman" w:hAnsi="Times New Roman" w:cs="Times New Roman"/>
          <w:sz w:val="24"/>
        </w:rPr>
        <w:fldChar w:fldCharType="end"/>
      </w:r>
      <w:r w:rsidR="00DD25B5">
        <w:rPr>
          <w:rFonts w:ascii="Times New Roman" w:hAnsi="Times New Roman" w:cs="Times New Roman"/>
          <w:sz w:val="24"/>
        </w:rPr>
        <w:t>. Los conglomerados o</w:t>
      </w:r>
      <w:r w:rsidR="00DD25B5">
        <w:rPr>
          <w:rFonts w:ascii="Times New Roman" w:hAnsi="Times New Roman" w:cs="Times New Roman"/>
          <w:i/>
          <w:sz w:val="24"/>
        </w:rPr>
        <w:t xml:space="preserve"> clusters</w:t>
      </w:r>
      <w:r w:rsidR="00DD25B5">
        <w:rPr>
          <w:rFonts w:ascii="Times New Roman" w:hAnsi="Times New Roman" w:cs="Times New Roman"/>
          <w:sz w:val="24"/>
        </w:rPr>
        <w:t xml:space="preserve"> que surjan como </w:t>
      </w:r>
      <w:r>
        <w:rPr>
          <w:rFonts w:ascii="Times New Roman" w:hAnsi="Times New Roman" w:cs="Times New Roman"/>
          <w:sz w:val="24"/>
        </w:rPr>
        <w:t>resultado del proceso conformará</w:t>
      </w:r>
      <w:r w:rsidR="00DD25B5">
        <w:rPr>
          <w:rFonts w:ascii="Times New Roman" w:hAnsi="Times New Roman" w:cs="Times New Roman"/>
          <w:sz w:val="24"/>
        </w:rPr>
        <w:t>n la tipología de trayectorias de clase a la que se pretende arribar.</w:t>
      </w:r>
    </w:p>
    <w:p w:rsidR="000C4439" w:rsidRDefault="000C4439" w:rsidP="000C4439">
      <w:pPr>
        <w:spacing w:after="0" w:line="360" w:lineRule="auto"/>
        <w:jc w:val="both"/>
        <w:rPr>
          <w:rFonts w:ascii="Times New Roman" w:hAnsi="Times New Roman" w:cs="Times New Roman"/>
          <w:sz w:val="24"/>
        </w:rPr>
      </w:pPr>
      <w:r w:rsidRPr="007A0E05">
        <w:rPr>
          <w:rFonts w:ascii="Times New Roman" w:hAnsi="Times New Roman" w:cs="Times New Roman"/>
          <w:sz w:val="24"/>
        </w:rPr>
        <w:t>Finalmente, como tercera etapa, transversal a las anteriores, se desarrolla una progresiva validación de los resultados, en donde se combinan decisiones de índole estadística con decisiones de consistencia, estabilidad, interpretación y justificación sustantiva en el marco del modelo de análisis (López Roldán, 2012: 44).</w:t>
      </w:r>
    </w:p>
    <w:p w:rsidR="005C317C" w:rsidRDefault="005C317C" w:rsidP="00B105D2">
      <w:pPr>
        <w:spacing w:after="0" w:line="360" w:lineRule="auto"/>
        <w:jc w:val="both"/>
        <w:rPr>
          <w:rFonts w:ascii="Times New Roman" w:hAnsi="Times New Roman" w:cs="Times New Roman"/>
          <w:sz w:val="24"/>
        </w:rPr>
      </w:pPr>
    </w:p>
    <w:p w:rsidR="00DD25B5" w:rsidRDefault="00DD25B5" w:rsidP="00B105D2">
      <w:pPr>
        <w:spacing w:after="0" w:line="360" w:lineRule="auto"/>
        <w:jc w:val="both"/>
        <w:rPr>
          <w:rFonts w:ascii="Times New Roman" w:hAnsi="Times New Roman" w:cs="Times New Roman"/>
          <w:sz w:val="24"/>
        </w:rPr>
      </w:pPr>
      <w:r>
        <w:rPr>
          <w:rFonts w:ascii="Times New Roman" w:hAnsi="Times New Roman" w:cs="Times New Roman"/>
          <w:i/>
          <w:sz w:val="24"/>
        </w:rPr>
        <w:t>Variables seleccionadas para el análisis</w:t>
      </w:r>
    </w:p>
    <w:p w:rsidR="00066403" w:rsidRDefault="00FE3C74" w:rsidP="00B105D2">
      <w:pPr>
        <w:spacing w:after="0" w:line="360" w:lineRule="auto"/>
        <w:jc w:val="both"/>
        <w:rPr>
          <w:rFonts w:ascii="Times New Roman" w:hAnsi="Times New Roman" w:cs="Times New Roman"/>
          <w:sz w:val="24"/>
        </w:rPr>
      </w:pPr>
      <w:r>
        <w:rPr>
          <w:rFonts w:ascii="Times New Roman" w:hAnsi="Times New Roman" w:cs="Times New Roman"/>
          <w:sz w:val="24"/>
        </w:rPr>
        <w:t>Se han elegido como variables activas que intervienen en la construcción del espacio reducido, una serie de indicadores sobre aspectos vinculados a las condiciones de vida del individuo, así como a su posicionamiento de clase y</w:t>
      </w:r>
      <w:r w:rsidR="004603F5">
        <w:rPr>
          <w:rFonts w:ascii="Times New Roman" w:hAnsi="Times New Roman" w:cs="Times New Roman"/>
          <w:sz w:val="24"/>
        </w:rPr>
        <w:t xml:space="preserve"> su nivel educativo. Siguiendo a los trabajos de Bourdieu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m1vrpkut5","properties":{"formattedCitation":"(2012a)","plainCitation":"(2012a)"},"citationItems":[{"id":135,"uris":["http://zotero.org/users/2248776/items/7IUI2E94"],"uri":["http://zotero.org/users/2248776/items/7IUI2E94"],"itemData":{"id":135,"type":"book","title":"La Distinción: criterios y bases sociales del gusto","publisher":"Taurus","publisher-place":"Buenos Aires","source":"Open WorldCat","event-place":"Buenos Aires","ISBN":"84-306-1259-9","shortTitle":"La Distinción","language":"Trad. de: La distinction. [París]: Minuit, 1979.","author":[{"family":"Bourdieu","given":"Pierre"}],"issued":{"date-parts":[["2012"]]}},"suppress-author":true}],"schema":"https://github.com/citation-style-language/schema/raw/master/csl-citation.json"} </w:instrText>
      </w:r>
      <w:r w:rsidR="003C4235">
        <w:rPr>
          <w:rFonts w:ascii="Times New Roman" w:hAnsi="Times New Roman" w:cs="Times New Roman"/>
          <w:sz w:val="24"/>
        </w:rPr>
        <w:fldChar w:fldCharType="separate"/>
      </w:r>
      <w:r w:rsidR="004603F5" w:rsidRPr="004603F5">
        <w:rPr>
          <w:rFonts w:ascii="Times New Roman" w:hAnsi="Times New Roman" w:cs="Times New Roman"/>
          <w:sz w:val="24"/>
        </w:rPr>
        <w:t>(2012a)</w:t>
      </w:r>
      <w:r w:rsidR="003C4235">
        <w:rPr>
          <w:rFonts w:ascii="Times New Roman" w:hAnsi="Times New Roman" w:cs="Times New Roman"/>
          <w:sz w:val="24"/>
        </w:rPr>
        <w:fldChar w:fldCharType="end"/>
      </w:r>
      <w:r w:rsidR="004603F5">
        <w:rPr>
          <w:rFonts w:ascii="Times New Roman" w:hAnsi="Times New Roman" w:cs="Times New Roman"/>
          <w:sz w:val="24"/>
        </w:rPr>
        <w:t xml:space="preserve"> y Savage et al.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vi4jb40d1","properties":{"formattedCitation":"(2013)","plainCitation":"(2013)"},"citationItems":[{"id":235,"uris":["http://zotero.org/users/2248776/items/CNX3IAAF"],"uri":["http://zotero.org/users/2248776/items/CNX3IAAF"],"itemData":{"id":235,"type":"article-journal","title":"A new model of social class? Findings from the BBC’s Great British Class Survey Experiment","container-title":"Sociology","page":"219-250","volume":"47","issue":"2","ISSN":"0038-0385","author":[{"family":"Savage","given":"Mike"},{"family":"Devine","given":"Fiona"},{"family":"Cunningham","given":"Niall"},{"family":"Taylor","given":"Mark"},{"family":"Li","given":"Yaojun"},{"family":"Hjellbrekke","given":"Johs"},{"family":"Le Roux","given":"Brigitte"},{"family":"Friedman","given":"Sam"},{"family":"Miles","given":"Andrew"}],"issued":{"date-parts":[["2013"]]}},"suppress-author":true}],"schema":"https://github.com/citation-style-language/schema/raw/master/csl-citation.json"} </w:instrText>
      </w:r>
      <w:r w:rsidR="003C4235">
        <w:rPr>
          <w:rFonts w:ascii="Times New Roman" w:hAnsi="Times New Roman" w:cs="Times New Roman"/>
          <w:sz w:val="24"/>
        </w:rPr>
        <w:fldChar w:fldCharType="separate"/>
      </w:r>
      <w:r w:rsidR="004603F5" w:rsidRPr="004603F5">
        <w:rPr>
          <w:rFonts w:ascii="Times New Roman" w:hAnsi="Times New Roman" w:cs="Times New Roman"/>
          <w:sz w:val="24"/>
        </w:rPr>
        <w:t>(2013)</w:t>
      </w:r>
      <w:r w:rsidR="003C4235">
        <w:rPr>
          <w:rFonts w:ascii="Times New Roman" w:hAnsi="Times New Roman" w:cs="Times New Roman"/>
          <w:sz w:val="24"/>
        </w:rPr>
        <w:fldChar w:fldCharType="end"/>
      </w:r>
      <w:r w:rsidR="004603F5">
        <w:rPr>
          <w:rFonts w:ascii="Times New Roman" w:hAnsi="Times New Roman" w:cs="Times New Roman"/>
          <w:sz w:val="24"/>
        </w:rPr>
        <w:t>, l</w:t>
      </w:r>
      <w:r>
        <w:rPr>
          <w:rFonts w:ascii="Times New Roman" w:hAnsi="Times New Roman" w:cs="Times New Roman"/>
          <w:sz w:val="24"/>
        </w:rPr>
        <w:t xml:space="preserve">as características </w:t>
      </w:r>
      <w:r w:rsidR="00066403">
        <w:rPr>
          <w:rFonts w:ascii="Times New Roman" w:hAnsi="Times New Roman" w:cs="Times New Roman"/>
          <w:sz w:val="24"/>
        </w:rPr>
        <w:t>adscriptivas, aquellas que pueden ser</w:t>
      </w:r>
      <w:r>
        <w:rPr>
          <w:rFonts w:ascii="Times New Roman" w:hAnsi="Times New Roman" w:cs="Times New Roman"/>
          <w:sz w:val="24"/>
        </w:rPr>
        <w:t xml:space="preserve"> asocia</w:t>
      </w:r>
      <w:r w:rsidR="00066403">
        <w:rPr>
          <w:rFonts w:ascii="Times New Roman" w:hAnsi="Times New Roman" w:cs="Times New Roman"/>
          <w:sz w:val="24"/>
        </w:rPr>
        <w:t>d</w:t>
      </w:r>
      <w:r>
        <w:rPr>
          <w:rFonts w:ascii="Times New Roman" w:hAnsi="Times New Roman" w:cs="Times New Roman"/>
          <w:sz w:val="24"/>
        </w:rPr>
        <w:t xml:space="preserve">as al origen social, </w:t>
      </w:r>
      <w:r w:rsidR="00066403">
        <w:rPr>
          <w:rFonts w:ascii="Times New Roman" w:hAnsi="Times New Roman" w:cs="Times New Roman"/>
          <w:sz w:val="24"/>
        </w:rPr>
        <w:t>se han</w:t>
      </w:r>
      <w:r>
        <w:rPr>
          <w:rFonts w:ascii="Times New Roman" w:hAnsi="Times New Roman" w:cs="Times New Roman"/>
          <w:sz w:val="24"/>
        </w:rPr>
        <w:t xml:space="preserve"> incorporado como moda</w:t>
      </w:r>
      <w:r w:rsidR="00066403">
        <w:rPr>
          <w:rFonts w:ascii="Times New Roman" w:hAnsi="Times New Roman" w:cs="Times New Roman"/>
          <w:sz w:val="24"/>
        </w:rPr>
        <w:t xml:space="preserve">lidades suplementarias, </w:t>
      </w:r>
      <w:r w:rsidR="004603F5">
        <w:rPr>
          <w:rFonts w:ascii="Times New Roman" w:hAnsi="Times New Roman" w:cs="Times New Roman"/>
          <w:sz w:val="24"/>
        </w:rPr>
        <w:t>es decir</w:t>
      </w:r>
      <w:r w:rsidR="00133660">
        <w:rPr>
          <w:rFonts w:ascii="Times New Roman" w:hAnsi="Times New Roman" w:cs="Times New Roman"/>
          <w:sz w:val="24"/>
        </w:rPr>
        <w:t>,</w:t>
      </w:r>
      <w:r w:rsidR="004603F5">
        <w:rPr>
          <w:rFonts w:ascii="Times New Roman" w:hAnsi="Times New Roman" w:cs="Times New Roman"/>
          <w:sz w:val="24"/>
        </w:rPr>
        <w:t xml:space="preserve"> no intervienen</w:t>
      </w:r>
      <w:r w:rsidR="00133660">
        <w:rPr>
          <w:rFonts w:ascii="Times New Roman" w:hAnsi="Times New Roman" w:cs="Times New Roman"/>
          <w:sz w:val="24"/>
        </w:rPr>
        <w:t xml:space="preserve"> en la conformación del espacio</w:t>
      </w:r>
      <w:r w:rsidR="004603F5">
        <w:rPr>
          <w:rFonts w:ascii="Times New Roman" w:hAnsi="Times New Roman" w:cs="Times New Roman"/>
          <w:sz w:val="24"/>
        </w:rPr>
        <w:t xml:space="preserve"> pero sirven para interpretar las diferenciaciones producidas en el mismo.</w:t>
      </w:r>
      <w:r w:rsidR="00093795">
        <w:rPr>
          <w:rFonts w:ascii="Times New Roman" w:hAnsi="Times New Roman" w:cs="Times New Roman"/>
          <w:sz w:val="24"/>
        </w:rPr>
        <w:t xml:space="preserve"> Las variables que miden el posicionamiento de clase de los individuos y </w:t>
      </w:r>
      <w:r w:rsidR="00133660">
        <w:rPr>
          <w:rFonts w:ascii="Times New Roman" w:hAnsi="Times New Roman" w:cs="Times New Roman"/>
          <w:sz w:val="24"/>
        </w:rPr>
        <w:t>de los orígenes, fueron elaborada</w:t>
      </w:r>
      <w:r w:rsidR="00093795">
        <w:rPr>
          <w:rFonts w:ascii="Times New Roman" w:hAnsi="Times New Roman" w:cs="Times New Roman"/>
          <w:sz w:val="24"/>
        </w:rPr>
        <w:t xml:space="preserve">s a partir de clasificación socio-ocupacional propuesta por Torrado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ghioficq0","properties":{"formattedCitation":"(1998)","plainCitation":"(1998)"},"citationItems":[{"id":284,"uris":["http://zotero.org/users/2248776/items/F2XWD3Q7"],"uri":["http://zotero.org/users/2248776/items/F2XWD3Q7"],"itemData":{"id":284,"type":"chapter","title":"La medición empírica de las clases sociales","container-title":"Familia y diferenciación social","publisher":"Eudeba","author":[{"family":"Torrado","given":"Susana"}],"issued":{"date-parts":[["1998"]]}},"suppress-author":true}],"schema":"https://github.com/citation-style-language/schema/raw/master/csl-citation.json"} </w:instrText>
      </w:r>
      <w:r w:rsidR="003C4235">
        <w:rPr>
          <w:rFonts w:ascii="Times New Roman" w:hAnsi="Times New Roman" w:cs="Times New Roman"/>
          <w:sz w:val="24"/>
        </w:rPr>
        <w:fldChar w:fldCharType="separate"/>
      </w:r>
      <w:r w:rsidR="00093795" w:rsidRPr="00093795">
        <w:rPr>
          <w:rFonts w:ascii="Times New Roman" w:hAnsi="Times New Roman" w:cs="Times New Roman"/>
          <w:sz w:val="24"/>
        </w:rPr>
        <w:t>(1998)</w:t>
      </w:r>
      <w:r w:rsidR="003C4235">
        <w:rPr>
          <w:rFonts w:ascii="Times New Roman" w:hAnsi="Times New Roman" w:cs="Times New Roman"/>
          <w:sz w:val="24"/>
        </w:rPr>
        <w:fldChar w:fldCharType="end"/>
      </w:r>
      <w:r w:rsidR="00093795">
        <w:rPr>
          <w:rFonts w:ascii="Times New Roman" w:hAnsi="Times New Roman" w:cs="Times New Roman"/>
          <w:sz w:val="24"/>
        </w:rPr>
        <w:t xml:space="preserve">. En anexo </w:t>
      </w:r>
      <w:r w:rsidR="00133660">
        <w:rPr>
          <w:rFonts w:ascii="Times New Roman" w:hAnsi="Times New Roman" w:cs="Times New Roman"/>
          <w:sz w:val="24"/>
        </w:rPr>
        <w:t xml:space="preserve">(tabla </w:t>
      </w:r>
      <w:r w:rsidR="00FB0D2A">
        <w:rPr>
          <w:rFonts w:ascii="Times New Roman" w:hAnsi="Times New Roman" w:cs="Times New Roman"/>
          <w:sz w:val="24"/>
        </w:rPr>
        <w:t>5</w:t>
      </w:r>
      <w:r w:rsidR="00133660">
        <w:rPr>
          <w:rFonts w:ascii="Times New Roman" w:hAnsi="Times New Roman" w:cs="Times New Roman"/>
          <w:sz w:val="24"/>
        </w:rPr>
        <w:t xml:space="preserve">) </w:t>
      </w:r>
      <w:r w:rsidR="00093795">
        <w:rPr>
          <w:rFonts w:ascii="Times New Roman" w:hAnsi="Times New Roman" w:cs="Times New Roman"/>
          <w:sz w:val="24"/>
        </w:rPr>
        <w:t>se específica el modo de agregación del esquema a uno nuevo de cinco clases.</w:t>
      </w:r>
    </w:p>
    <w:p w:rsidR="004603F5" w:rsidRDefault="004603F5" w:rsidP="00B105D2">
      <w:pPr>
        <w:spacing w:after="0" w:line="360" w:lineRule="auto"/>
        <w:jc w:val="both"/>
        <w:rPr>
          <w:rFonts w:ascii="Times New Roman" w:hAnsi="Times New Roman" w:cs="Times New Roman"/>
          <w:sz w:val="24"/>
        </w:rPr>
      </w:pPr>
    </w:p>
    <w:p w:rsidR="00093795" w:rsidRDefault="00093795" w:rsidP="00093795">
      <w:pPr>
        <w:pStyle w:val="Epgrafe"/>
        <w:keepNext/>
      </w:pPr>
      <w:r>
        <w:t xml:space="preserve">Tabla </w:t>
      </w:r>
      <w:fldSimple w:instr=" SEQ Tabla \* ARABIC ">
        <w:r w:rsidR="009D14F2">
          <w:rPr>
            <w:noProof/>
          </w:rPr>
          <w:t>1</w:t>
        </w:r>
      </w:fldSimple>
      <w:r>
        <w:t>. Variables activas</w:t>
      </w:r>
    </w:p>
    <w:tbl>
      <w:tblPr>
        <w:tblStyle w:val="Tablaconcuadrcula"/>
        <w:tblW w:w="0" w:type="auto"/>
        <w:tblLook w:val="0420"/>
      </w:tblPr>
      <w:tblGrid>
        <w:gridCol w:w="1838"/>
        <w:gridCol w:w="2126"/>
        <w:gridCol w:w="3686"/>
      </w:tblGrid>
      <w:tr w:rsidR="004603F5" w:rsidRPr="0091397B" w:rsidTr="000C6603">
        <w:tc>
          <w:tcPr>
            <w:tcW w:w="1838" w:type="dxa"/>
            <w:shd w:val="clear" w:color="auto" w:fill="AEAAAA" w:themeFill="background2" w:themeFillShade="BF"/>
            <w:vAlign w:val="center"/>
          </w:tcPr>
          <w:p w:rsidR="004603F5" w:rsidRPr="003E5341" w:rsidRDefault="004603F5" w:rsidP="004603F5">
            <w:pPr>
              <w:jc w:val="center"/>
              <w:rPr>
                <w:rFonts w:ascii="Times New Roman" w:hAnsi="Times New Roman" w:cs="Times New Roman"/>
                <w:b/>
                <w:sz w:val="20"/>
                <w:szCs w:val="24"/>
                <w:lang w:val="es-ES"/>
              </w:rPr>
            </w:pPr>
            <w:r>
              <w:rPr>
                <w:rFonts w:ascii="Times New Roman" w:hAnsi="Times New Roman" w:cs="Times New Roman"/>
                <w:b/>
                <w:sz w:val="20"/>
                <w:szCs w:val="24"/>
                <w:lang w:val="es-ES"/>
              </w:rPr>
              <w:t>Dimensio</w:t>
            </w:r>
            <w:r w:rsidRPr="003E5341">
              <w:rPr>
                <w:rFonts w:ascii="Times New Roman" w:hAnsi="Times New Roman" w:cs="Times New Roman"/>
                <w:b/>
                <w:sz w:val="20"/>
                <w:szCs w:val="24"/>
                <w:lang w:val="es-ES"/>
              </w:rPr>
              <w:t>n</w:t>
            </w:r>
            <w:r>
              <w:rPr>
                <w:rFonts w:ascii="Times New Roman" w:hAnsi="Times New Roman" w:cs="Times New Roman"/>
                <w:b/>
                <w:sz w:val="20"/>
                <w:szCs w:val="24"/>
                <w:lang w:val="es-ES"/>
              </w:rPr>
              <w:t>es</w:t>
            </w:r>
            <w:r w:rsidRPr="003E5341">
              <w:rPr>
                <w:rFonts w:ascii="Times New Roman" w:hAnsi="Times New Roman" w:cs="Times New Roman"/>
                <w:b/>
                <w:sz w:val="20"/>
                <w:szCs w:val="24"/>
                <w:lang w:val="es-ES"/>
              </w:rPr>
              <w:t xml:space="preserve"> </w:t>
            </w:r>
          </w:p>
        </w:tc>
        <w:tc>
          <w:tcPr>
            <w:tcW w:w="2126" w:type="dxa"/>
            <w:shd w:val="clear" w:color="auto" w:fill="AEAAAA" w:themeFill="background2" w:themeFillShade="BF"/>
            <w:vAlign w:val="center"/>
          </w:tcPr>
          <w:p w:rsidR="004603F5" w:rsidRPr="003E5341" w:rsidRDefault="004603F5" w:rsidP="004603F5">
            <w:pPr>
              <w:jc w:val="center"/>
              <w:rPr>
                <w:rFonts w:ascii="Times New Roman" w:hAnsi="Times New Roman" w:cs="Times New Roman"/>
                <w:b/>
                <w:sz w:val="20"/>
                <w:szCs w:val="24"/>
                <w:lang w:val="es-ES"/>
              </w:rPr>
            </w:pPr>
            <w:r w:rsidRPr="003E5341">
              <w:rPr>
                <w:rFonts w:ascii="Times New Roman" w:hAnsi="Times New Roman" w:cs="Times New Roman"/>
                <w:b/>
                <w:sz w:val="20"/>
                <w:szCs w:val="24"/>
                <w:lang w:val="es-ES"/>
              </w:rPr>
              <w:t>Variable</w:t>
            </w:r>
            <w:r>
              <w:rPr>
                <w:rFonts w:ascii="Times New Roman" w:hAnsi="Times New Roman" w:cs="Times New Roman"/>
                <w:b/>
                <w:sz w:val="20"/>
                <w:szCs w:val="24"/>
                <w:lang w:val="es-ES"/>
              </w:rPr>
              <w:t>s</w:t>
            </w:r>
          </w:p>
        </w:tc>
        <w:tc>
          <w:tcPr>
            <w:tcW w:w="3686" w:type="dxa"/>
            <w:shd w:val="clear" w:color="auto" w:fill="AEAAAA" w:themeFill="background2" w:themeFillShade="BF"/>
            <w:vAlign w:val="center"/>
          </w:tcPr>
          <w:p w:rsidR="004603F5" w:rsidRPr="003E5341" w:rsidRDefault="004603F5" w:rsidP="004603F5">
            <w:pPr>
              <w:jc w:val="center"/>
              <w:rPr>
                <w:rFonts w:ascii="Times New Roman" w:hAnsi="Times New Roman" w:cs="Times New Roman"/>
                <w:b/>
                <w:sz w:val="20"/>
                <w:szCs w:val="24"/>
                <w:lang w:val="es-ES"/>
              </w:rPr>
            </w:pPr>
            <w:r w:rsidRPr="003E5341">
              <w:rPr>
                <w:rFonts w:ascii="Times New Roman" w:hAnsi="Times New Roman" w:cs="Times New Roman"/>
                <w:b/>
                <w:sz w:val="20"/>
                <w:szCs w:val="24"/>
                <w:lang w:val="es-ES"/>
              </w:rPr>
              <w:t>Categorías</w:t>
            </w:r>
            <w:r>
              <w:rPr>
                <w:rFonts w:ascii="Times New Roman" w:hAnsi="Times New Roman" w:cs="Times New Roman"/>
                <w:b/>
                <w:sz w:val="20"/>
                <w:szCs w:val="24"/>
                <w:lang w:val="es-ES"/>
              </w:rPr>
              <w:t xml:space="preserve"> (modalidades)</w:t>
            </w:r>
          </w:p>
        </w:tc>
      </w:tr>
      <w:tr w:rsidR="004603F5" w:rsidRPr="0091397B" w:rsidTr="000C6603">
        <w:tc>
          <w:tcPr>
            <w:tcW w:w="1838" w:type="dxa"/>
            <w:vMerge w:val="restart"/>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t xml:space="preserve">Características socio-económicas </w:t>
            </w:r>
            <w:r w:rsidRPr="003E5341">
              <w:rPr>
                <w:rFonts w:ascii="Times New Roman" w:hAnsi="Times New Roman" w:cs="Times New Roman"/>
                <w:sz w:val="20"/>
                <w:szCs w:val="24"/>
                <w:lang w:val="es-ES"/>
              </w:rPr>
              <w:lastRenderedPageBreak/>
              <w:t>del hogar</w:t>
            </w:r>
          </w:p>
        </w:tc>
        <w:tc>
          <w:tcPr>
            <w:tcW w:w="2126" w:type="dxa"/>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lastRenderedPageBreak/>
              <w:t xml:space="preserve">Ingreso total del </w:t>
            </w:r>
            <w:r w:rsidRPr="003E5341">
              <w:rPr>
                <w:rFonts w:ascii="Times New Roman" w:hAnsi="Times New Roman" w:cs="Times New Roman"/>
                <w:sz w:val="20"/>
                <w:szCs w:val="24"/>
                <w:lang w:val="es-ES"/>
              </w:rPr>
              <w:lastRenderedPageBreak/>
              <w:t>hogar</w:t>
            </w:r>
            <w:r w:rsidRPr="003E5341">
              <w:rPr>
                <w:rStyle w:val="Refdenotaalpie"/>
                <w:rFonts w:ascii="Times New Roman" w:hAnsi="Times New Roman" w:cs="Times New Roman"/>
                <w:sz w:val="20"/>
                <w:szCs w:val="24"/>
                <w:lang w:val="es-ES"/>
              </w:rPr>
              <w:footnoteReference w:id="10"/>
            </w:r>
          </w:p>
        </w:tc>
        <w:tc>
          <w:tcPr>
            <w:tcW w:w="3686" w:type="dxa"/>
            <w:vAlign w:val="center"/>
          </w:tcPr>
          <w:p w:rsidR="004603F5" w:rsidRPr="003E5341" w:rsidRDefault="004603F5" w:rsidP="004603F5">
            <w:pPr>
              <w:pStyle w:val="Prrafodelista"/>
              <w:numPr>
                <w:ilvl w:val="0"/>
                <w:numId w:val="2"/>
              </w:numPr>
              <w:spacing w:after="120"/>
              <w:rPr>
                <w:rFonts w:ascii="Times New Roman" w:hAnsi="Times New Roman" w:cs="Times New Roman"/>
                <w:sz w:val="20"/>
                <w:szCs w:val="24"/>
                <w:lang w:val="es-ES"/>
              </w:rPr>
            </w:pPr>
            <w:r w:rsidRPr="003E5341">
              <w:rPr>
                <w:rFonts w:ascii="Times New Roman" w:hAnsi="Times New Roman" w:cs="Times New Roman"/>
                <w:sz w:val="20"/>
                <w:szCs w:val="24"/>
                <w:lang w:val="es-ES"/>
              </w:rPr>
              <w:lastRenderedPageBreak/>
              <w:t>hasta $1</w:t>
            </w:r>
            <w:r>
              <w:rPr>
                <w:rFonts w:ascii="Times New Roman" w:hAnsi="Times New Roman" w:cs="Times New Roman"/>
                <w:sz w:val="20"/>
                <w:szCs w:val="24"/>
                <w:lang w:val="es-ES"/>
              </w:rPr>
              <w:t>.</w:t>
            </w:r>
            <w:r w:rsidRPr="003E5341">
              <w:rPr>
                <w:rFonts w:ascii="Times New Roman" w:hAnsi="Times New Roman" w:cs="Times New Roman"/>
                <w:sz w:val="20"/>
                <w:szCs w:val="24"/>
                <w:lang w:val="es-ES"/>
              </w:rPr>
              <w:t>400</w:t>
            </w:r>
          </w:p>
          <w:p w:rsidR="004603F5" w:rsidRPr="003E5341" w:rsidRDefault="004603F5" w:rsidP="004603F5">
            <w:pPr>
              <w:pStyle w:val="Prrafodelista"/>
              <w:numPr>
                <w:ilvl w:val="0"/>
                <w:numId w:val="2"/>
              </w:numPr>
              <w:spacing w:after="120"/>
              <w:rPr>
                <w:rFonts w:ascii="Times New Roman" w:hAnsi="Times New Roman" w:cs="Times New Roman"/>
                <w:sz w:val="20"/>
                <w:szCs w:val="24"/>
                <w:lang w:val="es-ES"/>
              </w:rPr>
            </w:pPr>
            <w:r w:rsidRPr="003E5341">
              <w:rPr>
                <w:rFonts w:ascii="Times New Roman" w:hAnsi="Times New Roman" w:cs="Times New Roman"/>
                <w:sz w:val="20"/>
                <w:szCs w:val="24"/>
                <w:lang w:val="es-ES"/>
              </w:rPr>
              <w:t>$1</w:t>
            </w:r>
            <w:r>
              <w:rPr>
                <w:rFonts w:ascii="Times New Roman" w:hAnsi="Times New Roman" w:cs="Times New Roman"/>
                <w:sz w:val="20"/>
                <w:szCs w:val="24"/>
                <w:lang w:val="es-ES"/>
              </w:rPr>
              <w:t>.</w:t>
            </w:r>
            <w:r w:rsidRPr="003E5341">
              <w:rPr>
                <w:rFonts w:ascii="Times New Roman" w:hAnsi="Times New Roman" w:cs="Times New Roman"/>
                <w:sz w:val="20"/>
                <w:szCs w:val="24"/>
                <w:lang w:val="es-ES"/>
              </w:rPr>
              <w:t>401-$3</w:t>
            </w:r>
            <w:r>
              <w:rPr>
                <w:rFonts w:ascii="Times New Roman" w:hAnsi="Times New Roman" w:cs="Times New Roman"/>
                <w:sz w:val="20"/>
                <w:szCs w:val="24"/>
                <w:lang w:val="es-ES"/>
              </w:rPr>
              <w:t>.</w:t>
            </w:r>
            <w:r w:rsidRPr="003E5341">
              <w:rPr>
                <w:rFonts w:ascii="Times New Roman" w:hAnsi="Times New Roman" w:cs="Times New Roman"/>
                <w:sz w:val="20"/>
                <w:szCs w:val="24"/>
                <w:lang w:val="es-ES"/>
              </w:rPr>
              <w:t xml:space="preserve">000 </w:t>
            </w:r>
          </w:p>
          <w:p w:rsidR="004603F5" w:rsidRPr="003E5341" w:rsidRDefault="004603F5" w:rsidP="004603F5">
            <w:pPr>
              <w:pStyle w:val="Prrafodelista"/>
              <w:numPr>
                <w:ilvl w:val="0"/>
                <w:numId w:val="2"/>
              </w:numPr>
              <w:spacing w:after="120"/>
              <w:rPr>
                <w:rFonts w:ascii="Times New Roman" w:hAnsi="Times New Roman" w:cs="Times New Roman"/>
                <w:sz w:val="20"/>
                <w:szCs w:val="24"/>
                <w:lang w:val="es-ES"/>
              </w:rPr>
            </w:pPr>
            <w:r w:rsidRPr="003E5341">
              <w:rPr>
                <w:rFonts w:ascii="Times New Roman" w:hAnsi="Times New Roman" w:cs="Times New Roman"/>
                <w:sz w:val="20"/>
                <w:szCs w:val="24"/>
                <w:lang w:val="es-ES"/>
              </w:rPr>
              <w:lastRenderedPageBreak/>
              <w:t>$3</w:t>
            </w:r>
            <w:r>
              <w:rPr>
                <w:rFonts w:ascii="Times New Roman" w:hAnsi="Times New Roman" w:cs="Times New Roman"/>
                <w:sz w:val="20"/>
                <w:szCs w:val="24"/>
                <w:lang w:val="es-ES"/>
              </w:rPr>
              <w:t>.</w:t>
            </w:r>
            <w:r w:rsidRPr="003E5341">
              <w:rPr>
                <w:rFonts w:ascii="Times New Roman" w:hAnsi="Times New Roman" w:cs="Times New Roman"/>
                <w:sz w:val="20"/>
                <w:szCs w:val="24"/>
                <w:lang w:val="es-ES"/>
              </w:rPr>
              <w:t>001-$6</w:t>
            </w:r>
            <w:r>
              <w:rPr>
                <w:rFonts w:ascii="Times New Roman" w:hAnsi="Times New Roman" w:cs="Times New Roman"/>
                <w:sz w:val="20"/>
                <w:szCs w:val="24"/>
                <w:lang w:val="es-ES"/>
              </w:rPr>
              <w:t>.</w:t>
            </w:r>
            <w:r w:rsidRPr="003E5341">
              <w:rPr>
                <w:rFonts w:ascii="Times New Roman" w:hAnsi="Times New Roman" w:cs="Times New Roman"/>
                <w:sz w:val="20"/>
                <w:szCs w:val="24"/>
                <w:lang w:val="es-ES"/>
              </w:rPr>
              <w:t xml:space="preserve">000 </w:t>
            </w:r>
          </w:p>
          <w:p w:rsidR="004603F5" w:rsidRPr="003E5341" w:rsidRDefault="004603F5" w:rsidP="004603F5">
            <w:pPr>
              <w:pStyle w:val="Prrafodelista"/>
              <w:numPr>
                <w:ilvl w:val="0"/>
                <w:numId w:val="2"/>
              </w:numPr>
              <w:spacing w:after="120"/>
              <w:rPr>
                <w:rFonts w:ascii="Times New Roman" w:hAnsi="Times New Roman" w:cs="Times New Roman"/>
                <w:sz w:val="20"/>
                <w:szCs w:val="24"/>
                <w:lang w:val="es-ES"/>
              </w:rPr>
            </w:pPr>
            <w:r w:rsidRPr="003E5341">
              <w:rPr>
                <w:rFonts w:ascii="Times New Roman" w:hAnsi="Times New Roman" w:cs="Times New Roman"/>
                <w:sz w:val="20"/>
                <w:szCs w:val="24"/>
                <w:lang w:val="es-ES"/>
              </w:rPr>
              <w:t>$6</w:t>
            </w:r>
            <w:r>
              <w:rPr>
                <w:rFonts w:ascii="Times New Roman" w:hAnsi="Times New Roman" w:cs="Times New Roman"/>
                <w:sz w:val="20"/>
                <w:szCs w:val="24"/>
                <w:lang w:val="es-ES"/>
              </w:rPr>
              <w:t>.</w:t>
            </w:r>
            <w:r w:rsidRPr="003E5341">
              <w:rPr>
                <w:rFonts w:ascii="Times New Roman" w:hAnsi="Times New Roman" w:cs="Times New Roman"/>
                <w:sz w:val="20"/>
                <w:szCs w:val="24"/>
                <w:lang w:val="es-ES"/>
              </w:rPr>
              <w:t>001-$12</w:t>
            </w:r>
            <w:r>
              <w:rPr>
                <w:rFonts w:ascii="Times New Roman" w:hAnsi="Times New Roman" w:cs="Times New Roman"/>
                <w:sz w:val="20"/>
                <w:szCs w:val="24"/>
                <w:lang w:val="es-ES"/>
              </w:rPr>
              <w:t>.</w:t>
            </w:r>
            <w:r w:rsidRPr="003E5341">
              <w:rPr>
                <w:rFonts w:ascii="Times New Roman" w:hAnsi="Times New Roman" w:cs="Times New Roman"/>
                <w:sz w:val="20"/>
                <w:szCs w:val="24"/>
                <w:lang w:val="es-ES"/>
              </w:rPr>
              <w:t xml:space="preserve">000 </w:t>
            </w:r>
          </w:p>
          <w:p w:rsidR="004603F5" w:rsidRPr="003E5341" w:rsidRDefault="004603F5" w:rsidP="00FB0D2A">
            <w:pPr>
              <w:pStyle w:val="Prrafodelista"/>
              <w:numPr>
                <w:ilvl w:val="0"/>
                <w:numId w:val="2"/>
              </w:numPr>
              <w:ind w:left="357" w:hanging="357"/>
              <w:rPr>
                <w:rFonts w:ascii="Times New Roman" w:hAnsi="Times New Roman" w:cs="Times New Roman"/>
                <w:sz w:val="20"/>
                <w:szCs w:val="24"/>
                <w:lang w:val="es-ES"/>
              </w:rPr>
            </w:pPr>
            <w:r>
              <w:rPr>
                <w:rFonts w:ascii="Times New Roman" w:hAnsi="Times New Roman" w:cs="Times New Roman"/>
                <w:sz w:val="20"/>
                <w:szCs w:val="24"/>
                <w:lang w:val="es-ES"/>
              </w:rPr>
              <w:t>Más de $12.001</w:t>
            </w:r>
          </w:p>
        </w:tc>
      </w:tr>
      <w:tr w:rsidR="004603F5" w:rsidRPr="0091397B" w:rsidTr="000C6603">
        <w:tc>
          <w:tcPr>
            <w:tcW w:w="1838" w:type="dxa"/>
            <w:vMerge/>
            <w:vAlign w:val="center"/>
          </w:tcPr>
          <w:p w:rsidR="004603F5" w:rsidRPr="003E5341" w:rsidRDefault="004603F5" w:rsidP="00321647">
            <w:pPr>
              <w:spacing w:after="120"/>
              <w:jc w:val="center"/>
              <w:rPr>
                <w:rFonts w:ascii="Times New Roman" w:hAnsi="Times New Roman" w:cs="Times New Roman"/>
                <w:sz w:val="20"/>
                <w:szCs w:val="24"/>
                <w:lang w:val="es-ES"/>
              </w:rPr>
            </w:pPr>
          </w:p>
        </w:tc>
        <w:tc>
          <w:tcPr>
            <w:tcW w:w="2126" w:type="dxa"/>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t>Nivel de consumo del hogar</w:t>
            </w:r>
            <w:r w:rsidRPr="003E5341">
              <w:rPr>
                <w:rStyle w:val="Refdenotaalpie"/>
                <w:rFonts w:ascii="Times New Roman" w:hAnsi="Times New Roman" w:cs="Times New Roman"/>
                <w:sz w:val="20"/>
                <w:szCs w:val="24"/>
                <w:lang w:val="es-ES"/>
              </w:rPr>
              <w:footnoteReference w:id="11"/>
            </w:r>
          </w:p>
        </w:tc>
        <w:tc>
          <w:tcPr>
            <w:tcW w:w="3686" w:type="dxa"/>
            <w:vAlign w:val="center"/>
          </w:tcPr>
          <w:p w:rsidR="004603F5" w:rsidRPr="003E5341" w:rsidRDefault="004603F5" w:rsidP="004603F5">
            <w:pPr>
              <w:pStyle w:val="Prrafodelista"/>
              <w:numPr>
                <w:ilvl w:val="0"/>
                <w:numId w:val="3"/>
              </w:numPr>
              <w:spacing w:after="120"/>
              <w:rPr>
                <w:rFonts w:ascii="Times New Roman" w:hAnsi="Times New Roman" w:cs="Times New Roman"/>
                <w:sz w:val="20"/>
                <w:szCs w:val="24"/>
                <w:lang w:val="es-ES"/>
              </w:rPr>
            </w:pPr>
            <w:r w:rsidRPr="003E5341">
              <w:rPr>
                <w:rFonts w:ascii="Times New Roman" w:hAnsi="Times New Roman" w:cs="Times New Roman"/>
                <w:sz w:val="20"/>
                <w:szCs w:val="24"/>
                <w:lang w:val="es-ES"/>
              </w:rPr>
              <w:t>Bajo</w:t>
            </w:r>
          </w:p>
          <w:p w:rsidR="004603F5" w:rsidRPr="003E5341" w:rsidRDefault="004603F5" w:rsidP="004603F5">
            <w:pPr>
              <w:pStyle w:val="Prrafodelista"/>
              <w:numPr>
                <w:ilvl w:val="0"/>
                <w:numId w:val="3"/>
              </w:numPr>
              <w:spacing w:after="120"/>
              <w:rPr>
                <w:rFonts w:ascii="Times New Roman" w:hAnsi="Times New Roman" w:cs="Times New Roman"/>
                <w:sz w:val="20"/>
                <w:szCs w:val="24"/>
                <w:lang w:val="es-ES"/>
              </w:rPr>
            </w:pPr>
            <w:r w:rsidRPr="003E5341">
              <w:rPr>
                <w:rFonts w:ascii="Times New Roman" w:hAnsi="Times New Roman" w:cs="Times New Roman"/>
                <w:sz w:val="20"/>
                <w:szCs w:val="24"/>
                <w:lang w:val="es-ES"/>
              </w:rPr>
              <w:t>Medio</w:t>
            </w:r>
          </w:p>
          <w:p w:rsidR="004603F5" w:rsidRPr="003E5341" w:rsidRDefault="004603F5" w:rsidP="004603F5">
            <w:pPr>
              <w:pStyle w:val="Prrafodelista"/>
              <w:numPr>
                <w:ilvl w:val="0"/>
                <w:numId w:val="3"/>
              </w:numPr>
              <w:spacing w:after="120"/>
              <w:rPr>
                <w:rFonts w:ascii="Times New Roman" w:hAnsi="Times New Roman" w:cs="Times New Roman"/>
                <w:sz w:val="20"/>
                <w:szCs w:val="24"/>
                <w:lang w:val="es-ES"/>
              </w:rPr>
            </w:pPr>
            <w:r w:rsidRPr="003E5341">
              <w:rPr>
                <w:rFonts w:ascii="Times New Roman" w:hAnsi="Times New Roman" w:cs="Times New Roman"/>
                <w:sz w:val="20"/>
                <w:szCs w:val="24"/>
                <w:lang w:val="es-ES"/>
              </w:rPr>
              <w:t>Medio Alto</w:t>
            </w:r>
          </w:p>
          <w:p w:rsidR="004603F5" w:rsidRPr="003E5341" w:rsidRDefault="004603F5" w:rsidP="00FB0D2A">
            <w:pPr>
              <w:pStyle w:val="Prrafodelista"/>
              <w:numPr>
                <w:ilvl w:val="0"/>
                <w:numId w:val="3"/>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Alto</w:t>
            </w:r>
          </w:p>
        </w:tc>
      </w:tr>
      <w:tr w:rsidR="004603F5" w:rsidRPr="0091397B" w:rsidTr="000C6603">
        <w:tc>
          <w:tcPr>
            <w:tcW w:w="1838" w:type="dxa"/>
            <w:vMerge/>
            <w:vAlign w:val="center"/>
          </w:tcPr>
          <w:p w:rsidR="004603F5" w:rsidRPr="003E5341" w:rsidRDefault="004603F5" w:rsidP="00321647">
            <w:pPr>
              <w:spacing w:after="120"/>
              <w:jc w:val="center"/>
              <w:rPr>
                <w:rFonts w:ascii="Times New Roman" w:hAnsi="Times New Roman" w:cs="Times New Roman"/>
                <w:sz w:val="20"/>
                <w:szCs w:val="24"/>
                <w:lang w:val="es-ES"/>
              </w:rPr>
            </w:pPr>
          </w:p>
        </w:tc>
        <w:tc>
          <w:tcPr>
            <w:tcW w:w="2126" w:type="dxa"/>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t>Tenencia de automóvil</w:t>
            </w:r>
          </w:p>
        </w:tc>
        <w:tc>
          <w:tcPr>
            <w:tcW w:w="3686" w:type="dxa"/>
            <w:vAlign w:val="center"/>
          </w:tcPr>
          <w:p w:rsidR="004603F5" w:rsidRPr="003E5341" w:rsidRDefault="004603F5" w:rsidP="00FB0D2A">
            <w:pPr>
              <w:pStyle w:val="Prrafodelista"/>
              <w:numPr>
                <w:ilvl w:val="0"/>
                <w:numId w:val="4"/>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Si</w:t>
            </w:r>
          </w:p>
          <w:p w:rsidR="004603F5" w:rsidRPr="003E5341" w:rsidRDefault="004603F5" w:rsidP="00FB0D2A">
            <w:pPr>
              <w:pStyle w:val="Prrafodelista"/>
              <w:numPr>
                <w:ilvl w:val="0"/>
                <w:numId w:val="4"/>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No</w:t>
            </w:r>
          </w:p>
        </w:tc>
      </w:tr>
      <w:tr w:rsidR="004603F5" w:rsidRPr="0091397B" w:rsidTr="000C6603">
        <w:tc>
          <w:tcPr>
            <w:tcW w:w="1838" w:type="dxa"/>
            <w:vMerge w:val="restart"/>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t>Características habitacionales y de acceso a la vivienda</w:t>
            </w:r>
          </w:p>
        </w:tc>
        <w:tc>
          <w:tcPr>
            <w:tcW w:w="2126" w:type="dxa"/>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t>Zona de residencia</w:t>
            </w:r>
            <w:r w:rsidRPr="003E5341">
              <w:rPr>
                <w:rStyle w:val="Refdenotaalpie"/>
                <w:rFonts w:ascii="Times New Roman" w:hAnsi="Times New Roman" w:cs="Times New Roman"/>
                <w:sz w:val="20"/>
                <w:szCs w:val="24"/>
                <w:lang w:val="es-ES"/>
              </w:rPr>
              <w:footnoteReference w:id="12"/>
            </w:r>
          </w:p>
        </w:tc>
        <w:tc>
          <w:tcPr>
            <w:tcW w:w="3686" w:type="dxa"/>
            <w:vAlign w:val="center"/>
          </w:tcPr>
          <w:p w:rsidR="004603F5" w:rsidRPr="003E5341" w:rsidRDefault="004603F5" w:rsidP="00FB0D2A">
            <w:pPr>
              <w:pStyle w:val="Prrafodelista"/>
              <w:numPr>
                <w:ilvl w:val="0"/>
                <w:numId w:val="5"/>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Norte</w:t>
            </w:r>
          </w:p>
          <w:p w:rsidR="004603F5" w:rsidRPr="003E5341" w:rsidRDefault="004603F5" w:rsidP="00FB0D2A">
            <w:pPr>
              <w:pStyle w:val="Prrafodelista"/>
              <w:numPr>
                <w:ilvl w:val="0"/>
                <w:numId w:val="5"/>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Centro</w:t>
            </w:r>
          </w:p>
          <w:p w:rsidR="004603F5" w:rsidRPr="003E5341" w:rsidRDefault="004603F5" w:rsidP="00FB0D2A">
            <w:pPr>
              <w:pStyle w:val="Prrafodelista"/>
              <w:numPr>
                <w:ilvl w:val="0"/>
                <w:numId w:val="5"/>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Sur (y villas)</w:t>
            </w:r>
          </w:p>
        </w:tc>
      </w:tr>
      <w:tr w:rsidR="004603F5" w:rsidRPr="0091397B" w:rsidTr="000C6603">
        <w:tc>
          <w:tcPr>
            <w:tcW w:w="1838" w:type="dxa"/>
            <w:vMerge/>
            <w:vAlign w:val="center"/>
          </w:tcPr>
          <w:p w:rsidR="004603F5" w:rsidRPr="003E5341" w:rsidRDefault="004603F5" w:rsidP="00321647">
            <w:pPr>
              <w:spacing w:after="120"/>
              <w:jc w:val="center"/>
              <w:rPr>
                <w:rFonts w:ascii="Times New Roman" w:hAnsi="Times New Roman" w:cs="Times New Roman"/>
                <w:sz w:val="20"/>
                <w:szCs w:val="24"/>
                <w:lang w:val="es-ES"/>
              </w:rPr>
            </w:pPr>
          </w:p>
        </w:tc>
        <w:tc>
          <w:tcPr>
            <w:tcW w:w="2126" w:type="dxa"/>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t>Situación dominial de la vivienda</w:t>
            </w:r>
          </w:p>
        </w:tc>
        <w:tc>
          <w:tcPr>
            <w:tcW w:w="3686" w:type="dxa"/>
            <w:vAlign w:val="center"/>
          </w:tcPr>
          <w:p w:rsidR="004603F5" w:rsidRPr="003E5341" w:rsidRDefault="004603F5" w:rsidP="00FB0D2A">
            <w:pPr>
              <w:pStyle w:val="Prrafodelista"/>
              <w:numPr>
                <w:ilvl w:val="0"/>
                <w:numId w:val="6"/>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Propietario</w:t>
            </w:r>
          </w:p>
          <w:p w:rsidR="004603F5" w:rsidRPr="003E5341" w:rsidRDefault="004603F5" w:rsidP="00FB0D2A">
            <w:pPr>
              <w:pStyle w:val="Prrafodelista"/>
              <w:numPr>
                <w:ilvl w:val="0"/>
                <w:numId w:val="6"/>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Inquilino</w:t>
            </w:r>
          </w:p>
          <w:p w:rsidR="004603F5" w:rsidRPr="003E5341" w:rsidRDefault="004603F5" w:rsidP="00FB0D2A">
            <w:pPr>
              <w:pStyle w:val="Prrafodelista"/>
              <w:numPr>
                <w:ilvl w:val="0"/>
                <w:numId w:val="6"/>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lang w:val="es-ES"/>
              </w:rPr>
              <w:t>Otra situación de ocupación (ocupación de hecho, por relación laboral, por préstamo, etc.)</w:t>
            </w:r>
          </w:p>
        </w:tc>
      </w:tr>
      <w:tr w:rsidR="004603F5" w:rsidRPr="0091397B" w:rsidTr="000C6603">
        <w:tc>
          <w:tcPr>
            <w:tcW w:w="1838" w:type="dxa"/>
            <w:vMerge/>
            <w:vAlign w:val="center"/>
          </w:tcPr>
          <w:p w:rsidR="004603F5" w:rsidRPr="003E5341" w:rsidRDefault="004603F5" w:rsidP="00321647">
            <w:pPr>
              <w:spacing w:after="120"/>
              <w:jc w:val="center"/>
              <w:rPr>
                <w:rFonts w:ascii="Times New Roman" w:hAnsi="Times New Roman" w:cs="Times New Roman"/>
                <w:sz w:val="20"/>
                <w:szCs w:val="24"/>
                <w:lang w:val="es-ES"/>
              </w:rPr>
            </w:pPr>
          </w:p>
        </w:tc>
        <w:tc>
          <w:tcPr>
            <w:tcW w:w="2126" w:type="dxa"/>
            <w:vAlign w:val="center"/>
          </w:tcPr>
          <w:p w:rsidR="004603F5" w:rsidRPr="003E5341" w:rsidRDefault="004603F5" w:rsidP="00321647">
            <w:pPr>
              <w:spacing w:after="120"/>
              <w:jc w:val="center"/>
              <w:rPr>
                <w:rFonts w:ascii="Times New Roman" w:hAnsi="Times New Roman" w:cs="Times New Roman"/>
                <w:sz w:val="20"/>
                <w:szCs w:val="24"/>
                <w:lang w:val="es-ES"/>
              </w:rPr>
            </w:pPr>
            <w:r w:rsidRPr="003E5341">
              <w:rPr>
                <w:rFonts w:ascii="Times New Roman" w:hAnsi="Times New Roman" w:cs="Times New Roman"/>
                <w:sz w:val="20"/>
                <w:szCs w:val="24"/>
                <w:lang w:val="es-ES"/>
              </w:rPr>
              <w:t>Forma de acceso a la vivienda</w:t>
            </w:r>
          </w:p>
        </w:tc>
        <w:tc>
          <w:tcPr>
            <w:tcW w:w="3686" w:type="dxa"/>
            <w:vAlign w:val="center"/>
          </w:tcPr>
          <w:p w:rsidR="004603F5" w:rsidRPr="003E5341" w:rsidRDefault="004603F5" w:rsidP="00FB0D2A">
            <w:pPr>
              <w:pStyle w:val="Prrafodelista"/>
              <w:numPr>
                <w:ilvl w:val="0"/>
                <w:numId w:val="7"/>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rPr>
              <w:t>Compra al contado</w:t>
            </w:r>
          </w:p>
          <w:p w:rsidR="004603F5" w:rsidRPr="003E5341" w:rsidRDefault="004603F5" w:rsidP="00FB0D2A">
            <w:pPr>
              <w:pStyle w:val="Prrafodelista"/>
              <w:numPr>
                <w:ilvl w:val="0"/>
                <w:numId w:val="7"/>
              </w:numPr>
              <w:ind w:left="357" w:hanging="357"/>
              <w:rPr>
                <w:rFonts w:ascii="Times New Roman" w:hAnsi="Times New Roman" w:cs="Times New Roman"/>
                <w:sz w:val="20"/>
                <w:szCs w:val="24"/>
                <w:lang w:val="es-ES"/>
              </w:rPr>
            </w:pPr>
            <w:r w:rsidRPr="003E5341">
              <w:rPr>
                <w:rFonts w:ascii="Times New Roman" w:hAnsi="Times New Roman" w:cs="Times New Roman"/>
                <w:sz w:val="20"/>
                <w:szCs w:val="24"/>
              </w:rPr>
              <w:t xml:space="preserve">Compra por hipoteca </w:t>
            </w:r>
          </w:p>
          <w:p w:rsidR="004603F5" w:rsidRPr="00C5233E" w:rsidRDefault="006B0407" w:rsidP="00FB0D2A">
            <w:pPr>
              <w:pStyle w:val="Prrafodelista"/>
              <w:numPr>
                <w:ilvl w:val="0"/>
                <w:numId w:val="7"/>
              </w:numPr>
              <w:ind w:left="357" w:hanging="357"/>
              <w:rPr>
                <w:rFonts w:ascii="Times New Roman" w:hAnsi="Times New Roman" w:cs="Times New Roman"/>
                <w:sz w:val="20"/>
                <w:szCs w:val="24"/>
                <w:lang w:val="es-ES"/>
              </w:rPr>
            </w:pPr>
            <w:r>
              <w:rPr>
                <w:rFonts w:ascii="Times New Roman" w:hAnsi="Times New Roman" w:cs="Times New Roman"/>
                <w:sz w:val="20"/>
                <w:szCs w:val="24"/>
              </w:rPr>
              <w:t>Herencia o c</w:t>
            </w:r>
            <w:r w:rsidR="004603F5">
              <w:rPr>
                <w:rFonts w:ascii="Times New Roman" w:hAnsi="Times New Roman" w:cs="Times New Roman"/>
                <w:sz w:val="20"/>
                <w:szCs w:val="24"/>
              </w:rPr>
              <w:t>ompra con ayuda familiar</w:t>
            </w:r>
          </w:p>
          <w:p w:rsidR="004603F5" w:rsidRPr="003E5341" w:rsidRDefault="004603F5" w:rsidP="00FB0D2A">
            <w:pPr>
              <w:pStyle w:val="Prrafodelista"/>
              <w:numPr>
                <w:ilvl w:val="0"/>
                <w:numId w:val="7"/>
              </w:numPr>
              <w:ind w:left="357" w:hanging="357"/>
              <w:rPr>
                <w:rFonts w:ascii="Times New Roman" w:hAnsi="Times New Roman" w:cs="Times New Roman"/>
                <w:sz w:val="20"/>
                <w:szCs w:val="24"/>
                <w:lang w:val="es-ES"/>
              </w:rPr>
            </w:pPr>
            <w:r>
              <w:rPr>
                <w:rFonts w:ascii="Times New Roman" w:hAnsi="Times New Roman" w:cs="Times New Roman"/>
                <w:sz w:val="20"/>
                <w:szCs w:val="24"/>
              </w:rPr>
              <w:t>No propietario</w:t>
            </w:r>
          </w:p>
        </w:tc>
      </w:tr>
      <w:tr w:rsidR="006B0407" w:rsidRPr="0091397B" w:rsidTr="000C6603">
        <w:tc>
          <w:tcPr>
            <w:tcW w:w="1838" w:type="dxa"/>
            <w:vMerge w:val="restart"/>
            <w:vAlign w:val="center"/>
          </w:tcPr>
          <w:p w:rsidR="006B0407" w:rsidRPr="003E5341" w:rsidRDefault="006B0407" w:rsidP="006B0407">
            <w:pPr>
              <w:jc w:val="center"/>
              <w:rPr>
                <w:rFonts w:ascii="Times New Roman" w:hAnsi="Times New Roman" w:cs="Times New Roman"/>
                <w:sz w:val="20"/>
                <w:szCs w:val="24"/>
                <w:lang w:val="es-ES"/>
              </w:rPr>
            </w:pPr>
            <w:r>
              <w:rPr>
                <w:rFonts w:ascii="Times New Roman" w:hAnsi="Times New Roman" w:cs="Times New Roman"/>
                <w:sz w:val="20"/>
                <w:szCs w:val="24"/>
                <w:lang w:val="es-ES"/>
              </w:rPr>
              <w:t>Características de inserción laboral</w:t>
            </w:r>
          </w:p>
        </w:tc>
        <w:tc>
          <w:tcPr>
            <w:tcW w:w="2126" w:type="dxa"/>
            <w:vAlign w:val="center"/>
          </w:tcPr>
          <w:p w:rsidR="006B0407" w:rsidRPr="003E5341" w:rsidRDefault="006B0407" w:rsidP="006B0407">
            <w:pPr>
              <w:jc w:val="center"/>
              <w:rPr>
                <w:rFonts w:ascii="Times New Roman" w:hAnsi="Times New Roman" w:cs="Times New Roman"/>
                <w:sz w:val="20"/>
                <w:szCs w:val="24"/>
                <w:lang w:val="es-ES"/>
              </w:rPr>
            </w:pPr>
            <w:r>
              <w:rPr>
                <w:rFonts w:ascii="Times New Roman" w:hAnsi="Times New Roman" w:cs="Times New Roman"/>
                <w:sz w:val="20"/>
                <w:szCs w:val="24"/>
                <w:lang w:val="es-ES"/>
              </w:rPr>
              <w:t>Tamaño del establecimiento</w:t>
            </w:r>
          </w:p>
        </w:tc>
        <w:tc>
          <w:tcPr>
            <w:tcW w:w="3686" w:type="dxa"/>
            <w:vAlign w:val="center"/>
          </w:tcPr>
          <w:p w:rsidR="006B0407"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Pequeño (hasta 5 empleados)</w:t>
            </w:r>
          </w:p>
          <w:p w:rsidR="006B0407"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Mediano (de 6 a 50 empleados</w:t>
            </w:r>
          </w:p>
          <w:p w:rsidR="006B0407" w:rsidRPr="003E5341"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Grande (más de 50 empleados)</w:t>
            </w:r>
          </w:p>
        </w:tc>
      </w:tr>
      <w:tr w:rsidR="006B0407" w:rsidRPr="0091397B" w:rsidTr="000C6603">
        <w:tc>
          <w:tcPr>
            <w:tcW w:w="1838" w:type="dxa"/>
            <w:vMerge/>
            <w:vAlign w:val="center"/>
          </w:tcPr>
          <w:p w:rsidR="006B0407" w:rsidRDefault="006B0407" w:rsidP="006B0407">
            <w:pPr>
              <w:jc w:val="center"/>
              <w:rPr>
                <w:rFonts w:ascii="Times New Roman" w:hAnsi="Times New Roman" w:cs="Times New Roman"/>
                <w:sz w:val="20"/>
                <w:szCs w:val="24"/>
                <w:lang w:val="es-ES"/>
              </w:rPr>
            </w:pPr>
          </w:p>
        </w:tc>
        <w:tc>
          <w:tcPr>
            <w:tcW w:w="2126" w:type="dxa"/>
            <w:vAlign w:val="center"/>
          </w:tcPr>
          <w:p w:rsidR="006B0407" w:rsidRDefault="006B0407" w:rsidP="006B0407">
            <w:pPr>
              <w:jc w:val="center"/>
              <w:rPr>
                <w:rFonts w:ascii="Times New Roman" w:hAnsi="Times New Roman" w:cs="Times New Roman"/>
                <w:sz w:val="20"/>
                <w:szCs w:val="24"/>
                <w:lang w:val="es-ES"/>
              </w:rPr>
            </w:pPr>
            <w:r>
              <w:rPr>
                <w:rFonts w:ascii="Times New Roman" w:hAnsi="Times New Roman" w:cs="Times New Roman"/>
                <w:sz w:val="20"/>
                <w:szCs w:val="24"/>
                <w:lang w:val="es-ES"/>
              </w:rPr>
              <w:t>Descuentos jubilatorios</w:t>
            </w:r>
          </w:p>
        </w:tc>
        <w:tc>
          <w:tcPr>
            <w:tcW w:w="3686" w:type="dxa"/>
            <w:vAlign w:val="center"/>
          </w:tcPr>
          <w:p w:rsidR="006B0407"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Con descuentos</w:t>
            </w:r>
          </w:p>
          <w:p w:rsidR="006B0407"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Sin descuentos</w:t>
            </w:r>
          </w:p>
        </w:tc>
      </w:tr>
      <w:tr w:rsidR="006B0407" w:rsidRPr="0091397B" w:rsidTr="000C6603">
        <w:tc>
          <w:tcPr>
            <w:tcW w:w="3964" w:type="dxa"/>
            <w:gridSpan w:val="2"/>
            <w:vAlign w:val="center"/>
          </w:tcPr>
          <w:p w:rsidR="006B0407" w:rsidRPr="003E5341" w:rsidRDefault="006B0407" w:rsidP="006B0407">
            <w:pPr>
              <w:jc w:val="center"/>
              <w:rPr>
                <w:rFonts w:ascii="Times New Roman" w:hAnsi="Times New Roman" w:cs="Times New Roman"/>
                <w:sz w:val="20"/>
                <w:szCs w:val="24"/>
                <w:lang w:val="es-ES"/>
              </w:rPr>
            </w:pPr>
            <w:r>
              <w:rPr>
                <w:rFonts w:ascii="Times New Roman" w:hAnsi="Times New Roman" w:cs="Times New Roman"/>
                <w:sz w:val="20"/>
                <w:szCs w:val="24"/>
                <w:lang w:val="es-ES"/>
              </w:rPr>
              <w:t>Nivel educativo del encuestado/a</w:t>
            </w:r>
          </w:p>
        </w:tc>
        <w:tc>
          <w:tcPr>
            <w:tcW w:w="3686" w:type="dxa"/>
            <w:vAlign w:val="center"/>
          </w:tcPr>
          <w:p w:rsidR="006B0407"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Hasta primario completo</w:t>
            </w:r>
          </w:p>
          <w:p w:rsidR="006B0407"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De secundario incompleto a completo</w:t>
            </w:r>
          </w:p>
          <w:p w:rsidR="006B0407" w:rsidRPr="003E5341" w:rsidRDefault="006B0407"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De universitario/terciario incompleto a completo</w:t>
            </w:r>
          </w:p>
        </w:tc>
      </w:tr>
      <w:tr w:rsidR="006B0407" w:rsidRPr="0091397B" w:rsidTr="000C6603">
        <w:tc>
          <w:tcPr>
            <w:tcW w:w="3964" w:type="dxa"/>
            <w:gridSpan w:val="2"/>
            <w:vAlign w:val="center"/>
          </w:tcPr>
          <w:p w:rsidR="006B0407" w:rsidRDefault="006B0407" w:rsidP="006B0407">
            <w:pPr>
              <w:jc w:val="center"/>
              <w:rPr>
                <w:rFonts w:ascii="Times New Roman" w:hAnsi="Times New Roman" w:cs="Times New Roman"/>
                <w:sz w:val="20"/>
                <w:szCs w:val="24"/>
                <w:lang w:val="es-ES"/>
              </w:rPr>
            </w:pPr>
            <w:r>
              <w:rPr>
                <w:rFonts w:ascii="Times New Roman" w:hAnsi="Times New Roman" w:cs="Times New Roman"/>
                <w:sz w:val="20"/>
                <w:szCs w:val="24"/>
                <w:lang w:val="es-ES"/>
              </w:rPr>
              <w:t>Clase social</w:t>
            </w:r>
          </w:p>
        </w:tc>
        <w:tc>
          <w:tcPr>
            <w:tcW w:w="3686" w:type="dxa"/>
            <w:vAlign w:val="center"/>
          </w:tcPr>
          <w:p w:rsidR="006B0407" w:rsidRDefault="00093795"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Clase directiva-profesional</w:t>
            </w:r>
          </w:p>
          <w:p w:rsidR="00093795" w:rsidRDefault="00093795"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Pequeña burguesía</w:t>
            </w:r>
          </w:p>
          <w:p w:rsidR="00093795" w:rsidRDefault="00093795"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Clase técnica-rutinaria</w:t>
            </w:r>
          </w:p>
          <w:p w:rsidR="00093795" w:rsidRDefault="00093795"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Clase trabajadora calificada</w:t>
            </w:r>
          </w:p>
          <w:p w:rsidR="00093795" w:rsidRDefault="00093795" w:rsidP="006B0407">
            <w:pPr>
              <w:pStyle w:val="Prrafodelista"/>
              <w:numPr>
                <w:ilvl w:val="0"/>
                <w:numId w:val="7"/>
              </w:numPr>
              <w:contextualSpacing w:val="0"/>
              <w:rPr>
                <w:rFonts w:ascii="Times New Roman" w:hAnsi="Times New Roman" w:cs="Times New Roman"/>
                <w:sz w:val="20"/>
                <w:szCs w:val="24"/>
              </w:rPr>
            </w:pPr>
            <w:r>
              <w:rPr>
                <w:rFonts w:ascii="Times New Roman" w:hAnsi="Times New Roman" w:cs="Times New Roman"/>
                <w:sz w:val="20"/>
                <w:szCs w:val="24"/>
              </w:rPr>
              <w:t>Clase trabajadora no calificada</w:t>
            </w:r>
          </w:p>
        </w:tc>
      </w:tr>
    </w:tbl>
    <w:p w:rsidR="00093795" w:rsidRPr="00E82034" w:rsidRDefault="00093795" w:rsidP="00B105D2">
      <w:pPr>
        <w:spacing w:after="0" w:line="360" w:lineRule="auto"/>
        <w:jc w:val="both"/>
        <w:rPr>
          <w:rFonts w:ascii="Times New Roman" w:hAnsi="Times New Roman" w:cs="Times New Roman"/>
          <w:sz w:val="18"/>
        </w:rPr>
      </w:pPr>
      <w:r w:rsidRPr="00E82034">
        <w:rPr>
          <w:rFonts w:ascii="Times New Roman" w:hAnsi="Times New Roman" w:cs="Times New Roman"/>
          <w:sz w:val="18"/>
        </w:rPr>
        <w:t>Fuente: elaboración propia.</w:t>
      </w:r>
    </w:p>
    <w:p w:rsidR="00093795" w:rsidRDefault="00093795" w:rsidP="00B105D2">
      <w:pPr>
        <w:spacing w:after="0" w:line="360" w:lineRule="auto"/>
        <w:jc w:val="both"/>
        <w:rPr>
          <w:rFonts w:ascii="Times New Roman" w:hAnsi="Times New Roman" w:cs="Times New Roman"/>
          <w:sz w:val="20"/>
        </w:rPr>
      </w:pPr>
    </w:p>
    <w:p w:rsidR="000C6603" w:rsidRDefault="000C6603" w:rsidP="000C6603">
      <w:pPr>
        <w:pStyle w:val="Epgrafe"/>
        <w:keepNext/>
      </w:pPr>
      <w:r>
        <w:t xml:space="preserve">Tabla </w:t>
      </w:r>
      <w:fldSimple w:instr=" SEQ Tabla \* ARABIC ">
        <w:r w:rsidR="009D14F2">
          <w:rPr>
            <w:noProof/>
          </w:rPr>
          <w:t>2</w:t>
        </w:r>
      </w:fldSimple>
      <w:r>
        <w:t>. Variables suplementarias</w:t>
      </w:r>
    </w:p>
    <w:tbl>
      <w:tblPr>
        <w:tblStyle w:val="Tablaconcuadrcula"/>
        <w:tblW w:w="0" w:type="auto"/>
        <w:tblLook w:val="04A0"/>
      </w:tblPr>
      <w:tblGrid>
        <w:gridCol w:w="2547"/>
        <w:gridCol w:w="4678"/>
      </w:tblGrid>
      <w:tr w:rsidR="00093795" w:rsidTr="000C6603">
        <w:tc>
          <w:tcPr>
            <w:tcW w:w="2547" w:type="dxa"/>
            <w:shd w:val="clear" w:color="auto" w:fill="AEAAAA" w:themeFill="background2" w:themeFillShade="BF"/>
            <w:vAlign w:val="center"/>
          </w:tcPr>
          <w:p w:rsidR="00093795" w:rsidRPr="00093795" w:rsidRDefault="00093795" w:rsidP="00093795">
            <w:pPr>
              <w:jc w:val="center"/>
              <w:rPr>
                <w:rFonts w:ascii="Times New Roman" w:hAnsi="Times New Roman" w:cs="Times New Roman"/>
                <w:b/>
                <w:sz w:val="20"/>
              </w:rPr>
            </w:pPr>
            <w:r w:rsidRPr="00093795">
              <w:rPr>
                <w:rFonts w:ascii="Times New Roman" w:hAnsi="Times New Roman" w:cs="Times New Roman"/>
                <w:b/>
                <w:sz w:val="20"/>
              </w:rPr>
              <w:t>Variables</w:t>
            </w:r>
          </w:p>
        </w:tc>
        <w:tc>
          <w:tcPr>
            <w:tcW w:w="4678" w:type="dxa"/>
            <w:shd w:val="clear" w:color="auto" w:fill="AEAAAA" w:themeFill="background2" w:themeFillShade="BF"/>
            <w:vAlign w:val="center"/>
          </w:tcPr>
          <w:p w:rsidR="00093795" w:rsidRPr="00093795" w:rsidRDefault="00093795" w:rsidP="00093795">
            <w:pPr>
              <w:jc w:val="center"/>
              <w:rPr>
                <w:rFonts w:ascii="Times New Roman" w:hAnsi="Times New Roman" w:cs="Times New Roman"/>
                <w:b/>
                <w:sz w:val="20"/>
              </w:rPr>
            </w:pPr>
            <w:r w:rsidRPr="00093795">
              <w:rPr>
                <w:rFonts w:ascii="Times New Roman" w:hAnsi="Times New Roman" w:cs="Times New Roman"/>
                <w:b/>
                <w:sz w:val="20"/>
              </w:rPr>
              <w:t>Categorías</w:t>
            </w:r>
          </w:p>
        </w:tc>
      </w:tr>
      <w:tr w:rsidR="00093795" w:rsidTr="000C6603">
        <w:tc>
          <w:tcPr>
            <w:tcW w:w="2547" w:type="dxa"/>
            <w:vAlign w:val="center"/>
          </w:tcPr>
          <w:p w:rsidR="00093795" w:rsidRDefault="00093795" w:rsidP="000C6603">
            <w:pPr>
              <w:jc w:val="center"/>
              <w:rPr>
                <w:rFonts w:ascii="Times New Roman" w:hAnsi="Times New Roman" w:cs="Times New Roman"/>
                <w:sz w:val="20"/>
              </w:rPr>
            </w:pPr>
            <w:r>
              <w:rPr>
                <w:rFonts w:ascii="Times New Roman" w:hAnsi="Times New Roman" w:cs="Times New Roman"/>
                <w:sz w:val="20"/>
              </w:rPr>
              <w:t>Clase social de origen</w:t>
            </w:r>
            <w:r w:rsidR="000C6603">
              <w:rPr>
                <w:rFonts w:ascii="Times New Roman" w:hAnsi="Times New Roman" w:cs="Times New Roman"/>
                <w:sz w:val="20"/>
              </w:rPr>
              <w:t xml:space="preserve"> (PSH)</w:t>
            </w:r>
          </w:p>
        </w:tc>
        <w:tc>
          <w:tcPr>
            <w:tcW w:w="4678" w:type="dxa"/>
          </w:tcPr>
          <w:p w:rsidR="00093795" w:rsidRPr="00FB0D2A" w:rsidRDefault="00FB0D2A" w:rsidP="00FB0D2A">
            <w:pPr>
              <w:jc w:val="both"/>
              <w:rPr>
                <w:rFonts w:ascii="Times New Roman" w:hAnsi="Times New Roman" w:cs="Times New Roman"/>
                <w:sz w:val="20"/>
              </w:rPr>
            </w:pPr>
            <w:r>
              <w:rPr>
                <w:rFonts w:ascii="Times New Roman" w:hAnsi="Times New Roman" w:cs="Times New Roman"/>
                <w:sz w:val="20"/>
              </w:rPr>
              <w:t xml:space="preserve"> Ídem clase social destino</w:t>
            </w:r>
          </w:p>
        </w:tc>
      </w:tr>
      <w:tr w:rsidR="00093795" w:rsidTr="000C6603">
        <w:tc>
          <w:tcPr>
            <w:tcW w:w="2547" w:type="dxa"/>
            <w:vAlign w:val="center"/>
          </w:tcPr>
          <w:p w:rsidR="00093795" w:rsidRDefault="00093795" w:rsidP="000C6603">
            <w:pPr>
              <w:jc w:val="center"/>
              <w:rPr>
                <w:rFonts w:ascii="Times New Roman" w:hAnsi="Times New Roman" w:cs="Times New Roman"/>
                <w:sz w:val="20"/>
              </w:rPr>
            </w:pPr>
            <w:r>
              <w:rPr>
                <w:rFonts w:ascii="Times New Roman" w:hAnsi="Times New Roman" w:cs="Times New Roman"/>
                <w:sz w:val="20"/>
              </w:rPr>
              <w:t>Trayectoria de clase</w:t>
            </w:r>
            <w:r>
              <w:rPr>
                <w:rStyle w:val="Refdenotaalpie"/>
                <w:rFonts w:ascii="Times New Roman" w:hAnsi="Times New Roman" w:cs="Times New Roman"/>
                <w:sz w:val="20"/>
              </w:rPr>
              <w:footnoteReference w:id="13"/>
            </w:r>
          </w:p>
        </w:tc>
        <w:tc>
          <w:tcPr>
            <w:tcW w:w="4678" w:type="dxa"/>
          </w:tcPr>
          <w:p w:rsidR="00093795" w:rsidRDefault="00093795" w:rsidP="00093795">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rPr>
              <w:t>Herencia clase directiva-profesional</w:t>
            </w:r>
          </w:p>
          <w:p w:rsidR="00093795" w:rsidRDefault="00093795" w:rsidP="00093795">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rPr>
              <w:t>Ascenso a clase directiva-profesional</w:t>
            </w:r>
          </w:p>
          <w:p w:rsidR="00093795" w:rsidRDefault="00093795" w:rsidP="00093795">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rPr>
              <w:t>Descenso a clase media</w:t>
            </w:r>
          </w:p>
          <w:p w:rsidR="00093795" w:rsidRDefault="00093795" w:rsidP="00093795">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rPr>
              <w:t>Herencia clase media</w:t>
            </w:r>
          </w:p>
          <w:p w:rsidR="00093795" w:rsidRDefault="00093795" w:rsidP="00093795">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rPr>
              <w:t>Ascenso a clase media</w:t>
            </w:r>
          </w:p>
          <w:p w:rsidR="00093795" w:rsidRDefault="00093795" w:rsidP="00093795">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rPr>
              <w:t>Descenso a clase trabajadora</w:t>
            </w:r>
          </w:p>
          <w:p w:rsidR="00093795" w:rsidRPr="00093795" w:rsidRDefault="00093795" w:rsidP="00093795">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rPr>
              <w:lastRenderedPageBreak/>
              <w:t>Herencia clase trabajadora</w:t>
            </w:r>
          </w:p>
        </w:tc>
      </w:tr>
      <w:tr w:rsidR="000C6603" w:rsidTr="000C6603">
        <w:tc>
          <w:tcPr>
            <w:tcW w:w="2547" w:type="dxa"/>
            <w:vAlign w:val="center"/>
          </w:tcPr>
          <w:p w:rsidR="000C6603" w:rsidRDefault="000C6603" w:rsidP="000C6603">
            <w:pPr>
              <w:jc w:val="center"/>
              <w:rPr>
                <w:rFonts w:ascii="Times New Roman" w:hAnsi="Times New Roman" w:cs="Times New Roman"/>
                <w:sz w:val="20"/>
              </w:rPr>
            </w:pPr>
            <w:r>
              <w:rPr>
                <w:rFonts w:ascii="Times New Roman" w:hAnsi="Times New Roman" w:cs="Times New Roman"/>
                <w:sz w:val="20"/>
              </w:rPr>
              <w:lastRenderedPageBreak/>
              <w:t>Nivel educativo de origen (PSH)</w:t>
            </w:r>
          </w:p>
        </w:tc>
        <w:tc>
          <w:tcPr>
            <w:tcW w:w="4678" w:type="dxa"/>
          </w:tcPr>
          <w:p w:rsidR="000C6603" w:rsidRDefault="000C6603" w:rsidP="000C6603">
            <w:pPr>
              <w:pStyle w:val="Prrafodelista"/>
              <w:numPr>
                <w:ilvl w:val="0"/>
                <w:numId w:val="8"/>
              </w:numPr>
              <w:contextualSpacing w:val="0"/>
              <w:rPr>
                <w:rFonts w:ascii="Times New Roman" w:hAnsi="Times New Roman" w:cs="Times New Roman"/>
                <w:sz w:val="20"/>
                <w:szCs w:val="24"/>
              </w:rPr>
            </w:pPr>
            <w:r>
              <w:rPr>
                <w:rFonts w:ascii="Times New Roman" w:hAnsi="Times New Roman" w:cs="Times New Roman"/>
                <w:sz w:val="20"/>
                <w:szCs w:val="24"/>
              </w:rPr>
              <w:t>Hasta primario completo</w:t>
            </w:r>
          </w:p>
          <w:p w:rsidR="000C6603" w:rsidRDefault="000C6603" w:rsidP="000C6603">
            <w:pPr>
              <w:pStyle w:val="Prrafodelista"/>
              <w:numPr>
                <w:ilvl w:val="0"/>
                <w:numId w:val="8"/>
              </w:numPr>
              <w:contextualSpacing w:val="0"/>
              <w:rPr>
                <w:rFonts w:ascii="Times New Roman" w:hAnsi="Times New Roman" w:cs="Times New Roman"/>
                <w:sz w:val="20"/>
                <w:szCs w:val="24"/>
              </w:rPr>
            </w:pPr>
            <w:r>
              <w:rPr>
                <w:rFonts w:ascii="Times New Roman" w:hAnsi="Times New Roman" w:cs="Times New Roman"/>
                <w:sz w:val="20"/>
                <w:szCs w:val="24"/>
              </w:rPr>
              <w:t>De secundario incompleto a completo</w:t>
            </w:r>
          </w:p>
          <w:p w:rsidR="000C6603" w:rsidRDefault="000C6603" w:rsidP="000C6603">
            <w:pPr>
              <w:pStyle w:val="Prrafodelista"/>
              <w:numPr>
                <w:ilvl w:val="0"/>
                <w:numId w:val="8"/>
              </w:numPr>
              <w:contextualSpacing w:val="0"/>
              <w:jc w:val="both"/>
              <w:rPr>
                <w:rFonts w:ascii="Times New Roman" w:hAnsi="Times New Roman" w:cs="Times New Roman"/>
                <w:sz w:val="20"/>
              </w:rPr>
            </w:pPr>
            <w:r>
              <w:rPr>
                <w:rFonts w:ascii="Times New Roman" w:hAnsi="Times New Roman" w:cs="Times New Roman"/>
                <w:sz w:val="20"/>
                <w:szCs w:val="24"/>
              </w:rPr>
              <w:t>De universitario/terciario incompleto a completo</w:t>
            </w:r>
          </w:p>
        </w:tc>
      </w:tr>
      <w:tr w:rsidR="00093795" w:rsidTr="000C6603">
        <w:tc>
          <w:tcPr>
            <w:tcW w:w="2547" w:type="dxa"/>
            <w:vAlign w:val="center"/>
          </w:tcPr>
          <w:p w:rsidR="00093795" w:rsidRDefault="00093795" w:rsidP="000C6603">
            <w:pPr>
              <w:jc w:val="center"/>
              <w:rPr>
                <w:rFonts w:ascii="Times New Roman" w:hAnsi="Times New Roman" w:cs="Times New Roman"/>
                <w:sz w:val="20"/>
              </w:rPr>
            </w:pPr>
            <w:r>
              <w:rPr>
                <w:rFonts w:ascii="Times New Roman" w:hAnsi="Times New Roman" w:cs="Times New Roman"/>
                <w:sz w:val="20"/>
              </w:rPr>
              <w:t>Edad</w:t>
            </w:r>
          </w:p>
        </w:tc>
        <w:tc>
          <w:tcPr>
            <w:tcW w:w="4678" w:type="dxa"/>
          </w:tcPr>
          <w:p w:rsidR="00093795" w:rsidRPr="00093795" w:rsidRDefault="00093795" w:rsidP="00093795">
            <w:pPr>
              <w:pStyle w:val="Prrafodelista"/>
              <w:numPr>
                <w:ilvl w:val="0"/>
                <w:numId w:val="9"/>
              </w:numPr>
              <w:jc w:val="both"/>
              <w:rPr>
                <w:rFonts w:ascii="Times New Roman" w:hAnsi="Times New Roman" w:cs="Times New Roman"/>
                <w:sz w:val="20"/>
              </w:rPr>
            </w:pPr>
            <w:r w:rsidRPr="00093795">
              <w:rPr>
                <w:rFonts w:ascii="Times New Roman" w:hAnsi="Times New Roman" w:cs="Times New Roman"/>
                <w:sz w:val="20"/>
              </w:rPr>
              <w:t>30-36</w:t>
            </w:r>
          </w:p>
          <w:p w:rsidR="00093795" w:rsidRPr="00093795" w:rsidRDefault="00093795" w:rsidP="00093795">
            <w:pPr>
              <w:pStyle w:val="Prrafodelista"/>
              <w:numPr>
                <w:ilvl w:val="0"/>
                <w:numId w:val="9"/>
              </w:numPr>
              <w:jc w:val="both"/>
              <w:rPr>
                <w:rFonts w:ascii="Times New Roman" w:hAnsi="Times New Roman" w:cs="Times New Roman"/>
                <w:sz w:val="20"/>
              </w:rPr>
            </w:pPr>
            <w:r w:rsidRPr="00093795">
              <w:rPr>
                <w:rFonts w:ascii="Times New Roman" w:hAnsi="Times New Roman" w:cs="Times New Roman"/>
                <w:sz w:val="20"/>
              </w:rPr>
              <w:t>37-45</w:t>
            </w:r>
          </w:p>
          <w:p w:rsidR="00093795" w:rsidRPr="00093795" w:rsidRDefault="00093795" w:rsidP="00093795">
            <w:pPr>
              <w:pStyle w:val="Prrafodelista"/>
              <w:numPr>
                <w:ilvl w:val="0"/>
                <w:numId w:val="9"/>
              </w:numPr>
              <w:jc w:val="both"/>
              <w:rPr>
                <w:rFonts w:ascii="Times New Roman" w:hAnsi="Times New Roman" w:cs="Times New Roman"/>
                <w:sz w:val="20"/>
              </w:rPr>
            </w:pPr>
            <w:r w:rsidRPr="00093795">
              <w:rPr>
                <w:rFonts w:ascii="Times New Roman" w:hAnsi="Times New Roman" w:cs="Times New Roman"/>
                <w:sz w:val="20"/>
              </w:rPr>
              <w:t>46-53</w:t>
            </w:r>
          </w:p>
          <w:p w:rsidR="00093795" w:rsidRPr="00093795" w:rsidRDefault="00093795" w:rsidP="00093795">
            <w:pPr>
              <w:pStyle w:val="Prrafodelista"/>
              <w:numPr>
                <w:ilvl w:val="0"/>
                <w:numId w:val="9"/>
              </w:numPr>
              <w:jc w:val="both"/>
              <w:rPr>
                <w:rFonts w:ascii="Times New Roman" w:hAnsi="Times New Roman" w:cs="Times New Roman"/>
                <w:sz w:val="20"/>
              </w:rPr>
            </w:pPr>
            <w:r>
              <w:rPr>
                <w:rFonts w:ascii="Times New Roman" w:hAnsi="Times New Roman" w:cs="Times New Roman"/>
                <w:sz w:val="20"/>
              </w:rPr>
              <w:t xml:space="preserve">Más de 54 </w:t>
            </w:r>
          </w:p>
        </w:tc>
      </w:tr>
      <w:tr w:rsidR="00093795" w:rsidTr="000C6603">
        <w:tc>
          <w:tcPr>
            <w:tcW w:w="2547" w:type="dxa"/>
            <w:vAlign w:val="center"/>
          </w:tcPr>
          <w:p w:rsidR="00093795" w:rsidRDefault="000C6603" w:rsidP="000C6603">
            <w:pPr>
              <w:jc w:val="center"/>
              <w:rPr>
                <w:rFonts w:ascii="Times New Roman" w:hAnsi="Times New Roman" w:cs="Times New Roman"/>
                <w:sz w:val="20"/>
              </w:rPr>
            </w:pPr>
            <w:r>
              <w:rPr>
                <w:rFonts w:ascii="Times New Roman" w:hAnsi="Times New Roman" w:cs="Times New Roman"/>
                <w:sz w:val="20"/>
              </w:rPr>
              <w:t>Lugar de origen</w:t>
            </w:r>
          </w:p>
        </w:tc>
        <w:tc>
          <w:tcPr>
            <w:tcW w:w="4678" w:type="dxa"/>
          </w:tcPr>
          <w:p w:rsidR="00093795" w:rsidRDefault="000C6603" w:rsidP="000C6603">
            <w:pPr>
              <w:pStyle w:val="Prrafodelista"/>
              <w:numPr>
                <w:ilvl w:val="0"/>
                <w:numId w:val="10"/>
              </w:numPr>
              <w:jc w:val="both"/>
              <w:rPr>
                <w:rFonts w:ascii="Times New Roman" w:hAnsi="Times New Roman" w:cs="Times New Roman"/>
                <w:sz w:val="20"/>
              </w:rPr>
            </w:pPr>
            <w:r>
              <w:rPr>
                <w:rFonts w:ascii="Times New Roman" w:hAnsi="Times New Roman" w:cs="Times New Roman"/>
                <w:sz w:val="20"/>
              </w:rPr>
              <w:t>CABA</w:t>
            </w:r>
          </w:p>
          <w:p w:rsidR="000C6603" w:rsidRDefault="000C6603" w:rsidP="000C6603">
            <w:pPr>
              <w:pStyle w:val="Prrafodelista"/>
              <w:numPr>
                <w:ilvl w:val="0"/>
                <w:numId w:val="10"/>
              </w:numPr>
              <w:jc w:val="both"/>
              <w:rPr>
                <w:rFonts w:ascii="Times New Roman" w:hAnsi="Times New Roman" w:cs="Times New Roman"/>
                <w:sz w:val="20"/>
              </w:rPr>
            </w:pPr>
            <w:r>
              <w:rPr>
                <w:rFonts w:ascii="Times New Roman" w:hAnsi="Times New Roman" w:cs="Times New Roman"/>
                <w:sz w:val="20"/>
              </w:rPr>
              <w:t>Prov. de Buenos Aires</w:t>
            </w:r>
          </w:p>
          <w:p w:rsidR="000C6603" w:rsidRDefault="000C6603" w:rsidP="000C6603">
            <w:pPr>
              <w:pStyle w:val="Prrafodelista"/>
              <w:numPr>
                <w:ilvl w:val="0"/>
                <w:numId w:val="10"/>
              </w:numPr>
              <w:jc w:val="both"/>
              <w:rPr>
                <w:rFonts w:ascii="Times New Roman" w:hAnsi="Times New Roman" w:cs="Times New Roman"/>
                <w:sz w:val="20"/>
              </w:rPr>
            </w:pPr>
            <w:r>
              <w:rPr>
                <w:rFonts w:ascii="Times New Roman" w:hAnsi="Times New Roman" w:cs="Times New Roman"/>
                <w:sz w:val="20"/>
              </w:rPr>
              <w:t>Otra provincia</w:t>
            </w:r>
          </w:p>
          <w:p w:rsidR="000C6603" w:rsidRPr="000C6603" w:rsidRDefault="000C6603" w:rsidP="000C6603">
            <w:pPr>
              <w:pStyle w:val="Prrafodelista"/>
              <w:numPr>
                <w:ilvl w:val="0"/>
                <w:numId w:val="10"/>
              </w:numPr>
              <w:jc w:val="both"/>
              <w:rPr>
                <w:rFonts w:ascii="Times New Roman" w:hAnsi="Times New Roman" w:cs="Times New Roman"/>
                <w:sz w:val="20"/>
              </w:rPr>
            </w:pPr>
            <w:r>
              <w:rPr>
                <w:rFonts w:ascii="Times New Roman" w:hAnsi="Times New Roman" w:cs="Times New Roman"/>
                <w:sz w:val="20"/>
              </w:rPr>
              <w:t>Otro país</w:t>
            </w:r>
          </w:p>
        </w:tc>
      </w:tr>
      <w:tr w:rsidR="00093795" w:rsidTr="000C6603">
        <w:tc>
          <w:tcPr>
            <w:tcW w:w="2547" w:type="dxa"/>
            <w:vAlign w:val="center"/>
          </w:tcPr>
          <w:p w:rsidR="00093795" w:rsidRDefault="000C6603" w:rsidP="000C6603">
            <w:pPr>
              <w:jc w:val="center"/>
              <w:rPr>
                <w:rFonts w:ascii="Times New Roman" w:hAnsi="Times New Roman" w:cs="Times New Roman"/>
                <w:sz w:val="20"/>
              </w:rPr>
            </w:pPr>
            <w:r>
              <w:rPr>
                <w:rFonts w:ascii="Times New Roman" w:hAnsi="Times New Roman" w:cs="Times New Roman"/>
                <w:sz w:val="20"/>
              </w:rPr>
              <w:t>Sexo</w:t>
            </w:r>
          </w:p>
        </w:tc>
        <w:tc>
          <w:tcPr>
            <w:tcW w:w="4678" w:type="dxa"/>
          </w:tcPr>
          <w:p w:rsidR="00093795" w:rsidRDefault="000C6603" w:rsidP="000C6603">
            <w:pPr>
              <w:pStyle w:val="Prrafodelista"/>
              <w:numPr>
                <w:ilvl w:val="0"/>
                <w:numId w:val="11"/>
              </w:numPr>
              <w:jc w:val="both"/>
              <w:rPr>
                <w:rFonts w:ascii="Times New Roman" w:hAnsi="Times New Roman" w:cs="Times New Roman"/>
                <w:sz w:val="20"/>
              </w:rPr>
            </w:pPr>
            <w:r>
              <w:rPr>
                <w:rFonts w:ascii="Times New Roman" w:hAnsi="Times New Roman" w:cs="Times New Roman"/>
                <w:sz w:val="20"/>
              </w:rPr>
              <w:t>Varón</w:t>
            </w:r>
          </w:p>
          <w:p w:rsidR="000C6603" w:rsidRPr="000C6603" w:rsidRDefault="000C6603" w:rsidP="000C6603">
            <w:pPr>
              <w:pStyle w:val="Prrafodelista"/>
              <w:numPr>
                <w:ilvl w:val="0"/>
                <w:numId w:val="11"/>
              </w:numPr>
              <w:jc w:val="both"/>
              <w:rPr>
                <w:rFonts w:ascii="Times New Roman" w:hAnsi="Times New Roman" w:cs="Times New Roman"/>
                <w:sz w:val="20"/>
              </w:rPr>
            </w:pPr>
            <w:r>
              <w:rPr>
                <w:rFonts w:ascii="Times New Roman" w:hAnsi="Times New Roman" w:cs="Times New Roman"/>
                <w:sz w:val="20"/>
              </w:rPr>
              <w:t>Mujer</w:t>
            </w:r>
          </w:p>
        </w:tc>
      </w:tr>
    </w:tbl>
    <w:p w:rsidR="000C6603" w:rsidRPr="00E82034" w:rsidRDefault="000C6603" w:rsidP="000C6603">
      <w:pPr>
        <w:spacing w:after="0" w:line="360" w:lineRule="auto"/>
        <w:jc w:val="both"/>
        <w:rPr>
          <w:rFonts w:ascii="Times New Roman" w:hAnsi="Times New Roman" w:cs="Times New Roman"/>
          <w:sz w:val="18"/>
        </w:rPr>
      </w:pPr>
      <w:r w:rsidRPr="00E82034">
        <w:rPr>
          <w:rFonts w:ascii="Times New Roman" w:hAnsi="Times New Roman" w:cs="Times New Roman"/>
          <w:sz w:val="18"/>
        </w:rPr>
        <w:t>Fuente: elaboración propia.</w:t>
      </w:r>
    </w:p>
    <w:p w:rsidR="00093795" w:rsidRDefault="00093795" w:rsidP="00B105D2">
      <w:pPr>
        <w:spacing w:after="0" w:line="360" w:lineRule="auto"/>
        <w:jc w:val="both"/>
        <w:rPr>
          <w:rFonts w:ascii="Times New Roman" w:hAnsi="Times New Roman" w:cs="Times New Roman"/>
          <w:sz w:val="24"/>
        </w:rPr>
      </w:pPr>
    </w:p>
    <w:p w:rsidR="00321647" w:rsidRPr="00321647" w:rsidRDefault="00321647" w:rsidP="00B105D2">
      <w:pPr>
        <w:spacing w:after="0" w:line="360" w:lineRule="auto"/>
        <w:jc w:val="both"/>
        <w:rPr>
          <w:rFonts w:ascii="Times New Roman" w:hAnsi="Times New Roman" w:cs="Times New Roman"/>
          <w:sz w:val="24"/>
        </w:rPr>
      </w:pPr>
      <w:r>
        <w:rPr>
          <w:rFonts w:ascii="Times New Roman" w:hAnsi="Times New Roman" w:cs="Times New Roman"/>
          <w:b/>
          <w:sz w:val="24"/>
        </w:rPr>
        <w:t>Análisis de los resultados</w:t>
      </w:r>
    </w:p>
    <w:p w:rsidR="00DD25B5" w:rsidRDefault="00321647" w:rsidP="00B105D2">
      <w:pPr>
        <w:spacing w:after="0" w:line="360" w:lineRule="auto"/>
        <w:jc w:val="both"/>
        <w:rPr>
          <w:rFonts w:ascii="Times New Roman" w:hAnsi="Times New Roman" w:cs="Times New Roman"/>
          <w:sz w:val="24"/>
        </w:rPr>
      </w:pPr>
      <w:r>
        <w:rPr>
          <w:rFonts w:ascii="Times New Roman" w:hAnsi="Times New Roman" w:cs="Times New Roman"/>
          <w:i/>
          <w:sz w:val="24"/>
        </w:rPr>
        <w:t>De las variables originales a los factores</w:t>
      </w:r>
    </w:p>
    <w:p w:rsidR="00321647" w:rsidRDefault="00321647" w:rsidP="00B105D2">
      <w:pPr>
        <w:spacing w:after="0" w:line="360" w:lineRule="auto"/>
        <w:jc w:val="both"/>
        <w:rPr>
          <w:rFonts w:ascii="Times New Roman" w:hAnsi="Times New Roman" w:cs="Times New Roman"/>
          <w:sz w:val="24"/>
        </w:rPr>
      </w:pPr>
      <w:r>
        <w:rPr>
          <w:rFonts w:ascii="Times New Roman" w:hAnsi="Times New Roman" w:cs="Times New Roman"/>
          <w:sz w:val="24"/>
        </w:rPr>
        <w:t>Como bien se ha indicado en el apartado anterior 10 variables con 33 categorías, en total, se utilizarán para construir el espacio de “condiciones de vida” de los encuestado/as de la Ciudad de Buenos Aires. Luego de aplicar la técnica de ACM, el espacio de propiedades se redujo a tres factores que explican el 97%</w:t>
      </w:r>
      <w:r w:rsidR="0056325B">
        <w:rPr>
          <w:rStyle w:val="Refdenotaalpie"/>
          <w:rFonts w:ascii="Times New Roman" w:hAnsi="Times New Roman" w:cs="Times New Roman"/>
          <w:sz w:val="24"/>
        </w:rPr>
        <w:footnoteReference w:id="14"/>
      </w:r>
      <w:r>
        <w:rPr>
          <w:rFonts w:ascii="Times New Roman" w:hAnsi="Times New Roman" w:cs="Times New Roman"/>
          <w:sz w:val="24"/>
        </w:rPr>
        <w:t xml:space="preserve"> de la inercia o varianza</w:t>
      </w:r>
      <w:r w:rsidR="00E82034">
        <w:rPr>
          <w:rFonts w:ascii="Times New Roman" w:hAnsi="Times New Roman" w:cs="Times New Roman"/>
          <w:sz w:val="24"/>
        </w:rPr>
        <w:t xml:space="preserve"> (tabla 3)</w:t>
      </w:r>
      <w:r>
        <w:rPr>
          <w:rFonts w:ascii="Times New Roman" w:hAnsi="Times New Roman" w:cs="Times New Roman"/>
          <w:sz w:val="24"/>
        </w:rPr>
        <w:t>. Por su parte el primer factor</w:t>
      </w:r>
      <w:r w:rsidR="0056325B">
        <w:rPr>
          <w:rFonts w:ascii="Times New Roman" w:hAnsi="Times New Roman" w:cs="Times New Roman"/>
          <w:sz w:val="24"/>
        </w:rPr>
        <w:t xml:space="preserve"> explica la mayor parte de ésta (83,2%), el segundo factor un 10,4% y el tercero un 3,3%. Es necesario dar cuenta de cómo se descompone la varianza en los tres factores, ya que su peso indicará la importancia que se le adjudicará a cada uno de ellos. La elección de retener los tres primeros factores en lugar del primero (que por sí mismo explica una porción importante de la varianza total) ha surgido a partir de la interpretación de los mismos y del aporte que los dos restantes pueden hacer a la problemática estudiada. </w:t>
      </w:r>
    </w:p>
    <w:p w:rsidR="00E82034" w:rsidRDefault="00E82034" w:rsidP="00B105D2">
      <w:pPr>
        <w:spacing w:after="0" w:line="360" w:lineRule="auto"/>
        <w:jc w:val="both"/>
        <w:rPr>
          <w:rFonts w:ascii="Times New Roman" w:hAnsi="Times New Roman" w:cs="Times New Roman"/>
          <w:sz w:val="24"/>
        </w:rPr>
      </w:pPr>
    </w:p>
    <w:p w:rsidR="00E82034" w:rsidRDefault="00E82034" w:rsidP="00E82034">
      <w:pPr>
        <w:pStyle w:val="Epgrafe"/>
        <w:keepNext/>
      </w:pPr>
      <w:r>
        <w:t xml:space="preserve">Tabla </w:t>
      </w:r>
      <w:fldSimple w:instr=" SEQ Tabla \* ARABIC ">
        <w:r w:rsidR="009D14F2">
          <w:rPr>
            <w:noProof/>
          </w:rPr>
          <w:t>3</w:t>
        </w:r>
      </w:fldSimple>
      <w:r>
        <w:t>. Inercia (varianza) de los factores retenidos</w:t>
      </w:r>
    </w:p>
    <w:tbl>
      <w:tblPr>
        <w:tblW w:w="6430" w:type="dxa"/>
        <w:tblCellMar>
          <w:left w:w="70" w:type="dxa"/>
          <w:right w:w="70" w:type="dxa"/>
        </w:tblCellMar>
        <w:tblLook w:val="04A0"/>
      </w:tblPr>
      <w:tblGrid>
        <w:gridCol w:w="760"/>
        <w:gridCol w:w="1000"/>
        <w:gridCol w:w="860"/>
        <w:gridCol w:w="1540"/>
        <w:gridCol w:w="1140"/>
        <w:gridCol w:w="1130"/>
      </w:tblGrid>
      <w:tr w:rsidR="00E82034" w:rsidRPr="00E82034" w:rsidTr="00E82034">
        <w:trPr>
          <w:trHeight w:val="630"/>
        </w:trPr>
        <w:tc>
          <w:tcPr>
            <w:tcW w:w="76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E82034" w:rsidRPr="00E82034" w:rsidRDefault="00E82034" w:rsidP="00E82034">
            <w:pPr>
              <w:spacing w:after="0" w:line="240" w:lineRule="auto"/>
              <w:jc w:val="center"/>
              <w:rPr>
                <w:rFonts w:ascii="Times New Roman" w:eastAsia="Times New Roman" w:hAnsi="Times New Roman" w:cs="Times New Roman"/>
                <w:b/>
                <w:bCs/>
                <w:sz w:val="20"/>
                <w:lang w:eastAsia="es-AR"/>
              </w:rPr>
            </w:pPr>
            <w:r w:rsidRPr="00E82034">
              <w:rPr>
                <w:rFonts w:ascii="Times New Roman" w:eastAsia="Times New Roman" w:hAnsi="Times New Roman" w:cs="Times New Roman"/>
                <w:b/>
                <w:bCs/>
                <w:sz w:val="20"/>
                <w:lang w:eastAsia="es-AR"/>
              </w:rPr>
              <w:t>Factor</w:t>
            </w:r>
          </w:p>
        </w:tc>
        <w:tc>
          <w:tcPr>
            <w:tcW w:w="1000" w:type="dxa"/>
            <w:tcBorders>
              <w:top w:val="single" w:sz="4" w:space="0" w:color="auto"/>
              <w:left w:val="nil"/>
              <w:bottom w:val="single" w:sz="4" w:space="0" w:color="auto"/>
              <w:right w:val="single" w:sz="4" w:space="0" w:color="auto"/>
            </w:tcBorders>
            <w:shd w:val="clear" w:color="000000" w:fill="B8CCE4"/>
            <w:vAlign w:val="center"/>
            <w:hideMark/>
          </w:tcPr>
          <w:p w:rsidR="00E82034" w:rsidRPr="00E82034" w:rsidRDefault="00E82034" w:rsidP="00E82034">
            <w:pPr>
              <w:spacing w:after="0" w:line="240" w:lineRule="auto"/>
              <w:jc w:val="center"/>
              <w:rPr>
                <w:rFonts w:ascii="Times New Roman" w:eastAsia="Times New Roman" w:hAnsi="Times New Roman" w:cs="Times New Roman"/>
                <w:b/>
                <w:bCs/>
                <w:sz w:val="20"/>
                <w:lang w:eastAsia="es-AR"/>
              </w:rPr>
            </w:pPr>
            <w:r w:rsidRPr="00E82034">
              <w:rPr>
                <w:rFonts w:ascii="Times New Roman" w:eastAsia="Times New Roman" w:hAnsi="Times New Roman" w:cs="Times New Roman"/>
                <w:b/>
                <w:bCs/>
                <w:sz w:val="20"/>
                <w:lang w:eastAsia="es-AR"/>
              </w:rPr>
              <w:t>Valor propio</w:t>
            </w:r>
          </w:p>
        </w:tc>
        <w:tc>
          <w:tcPr>
            <w:tcW w:w="860" w:type="dxa"/>
            <w:tcBorders>
              <w:top w:val="single" w:sz="4" w:space="0" w:color="auto"/>
              <w:left w:val="nil"/>
              <w:bottom w:val="single" w:sz="4" w:space="0" w:color="auto"/>
              <w:right w:val="single" w:sz="4" w:space="0" w:color="auto"/>
            </w:tcBorders>
            <w:shd w:val="clear" w:color="000000" w:fill="B8CCE4"/>
            <w:vAlign w:val="center"/>
            <w:hideMark/>
          </w:tcPr>
          <w:p w:rsidR="00E82034" w:rsidRPr="00E82034" w:rsidRDefault="00E82034" w:rsidP="00E82034">
            <w:pPr>
              <w:spacing w:after="0" w:line="240" w:lineRule="auto"/>
              <w:jc w:val="center"/>
              <w:rPr>
                <w:rFonts w:ascii="Times New Roman" w:eastAsia="Times New Roman" w:hAnsi="Times New Roman" w:cs="Times New Roman"/>
                <w:b/>
                <w:bCs/>
                <w:sz w:val="20"/>
                <w:lang w:eastAsia="es-AR"/>
              </w:rPr>
            </w:pPr>
            <w:r w:rsidRPr="00E82034">
              <w:rPr>
                <w:rFonts w:ascii="Times New Roman" w:eastAsia="Times New Roman" w:hAnsi="Times New Roman" w:cs="Times New Roman"/>
                <w:b/>
                <w:bCs/>
                <w:sz w:val="20"/>
                <w:lang w:eastAsia="es-AR"/>
              </w:rPr>
              <w:t>% Inercia</w:t>
            </w:r>
          </w:p>
        </w:tc>
        <w:tc>
          <w:tcPr>
            <w:tcW w:w="1540" w:type="dxa"/>
            <w:tcBorders>
              <w:top w:val="single" w:sz="4" w:space="0" w:color="auto"/>
              <w:left w:val="nil"/>
              <w:bottom w:val="single" w:sz="4" w:space="0" w:color="auto"/>
              <w:right w:val="single" w:sz="4" w:space="0" w:color="auto"/>
            </w:tcBorders>
            <w:shd w:val="clear" w:color="000000" w:fill="B8CCE4"/>
            <w:vAlign w:val="center"/>
            <w:hideMark/>
          </w:tcPr>
          <w:p w:rsidR="00E82034" w:rsidRPr="00E82034" w:rsidRDefault="00E82034" w:rsidP="00E82034">
            <w:pPr>
              <w:spacing w:after="0" w:line="240" w:lineRule="auto"/>
              <w:jc w:val="center"/>
              <w:rPr>
                <w:rFonts w:ascii="Times New Roman" w:eastAsia="Times New Roman" w:hAnsi="Times New Roman" w:cs="Times New Roman"/>
                <w:b/>
                <w:bCs/>
                <w:sz w:val="20"/>
                <w:lang w:eastAsia="es-AR"/>
              </w:rPr>
            </w:pPr>
            <w:r w:rsidRPr="00E82034">
              <w:rPr>
                <w:rFonts w:ascii="Times New Roman" w:eastAsia="Times New Roman" w:hAnsi="Times New Roman" w:cs="Times New Roman"/>
                <w:b/>
                <w:bCs/>
                <w:sz w:val="20"/>
                <w:lang w:eastAsia="es-AR"/>
              </w:rPr>
              <w:t>Valor propio corregido</w:t>
            </w:r>
          </w:p>
        </w:tc>
        <w:tc>
          <w:tcPr>
            <w:tcW w:w="1140" w:type="dxa"/>
            <w:tcBorders>
              <w:top w:val="single" w:sz="4" w:space="0" w:color="auto"/>
              <w:left w:val="nil"/>
              <w:bottom w:val="single" w:sz="4" w:space="0" w:color="auto"/>
              <w:right w:val="single" w:sz="4" w:space="0" w:color="auto"/>
            </w:tcBorders>
            <w:shd w:val="clear" w:color="000000" w:fill="B8CCE4"/>
            <w:vAlign w:val="center"/>
            <w:hideMark/>
          </w:tcPr>
          <w:p w:rsidR="00E82034" w:rsidRPr="00E82034" w:rsidRDefault="00E82034" w:rsidP="00E82034">
            <w:pPr>
              <w:spacing w:after="0" w:line="240" w:lineRule="auto"/>
              <w:jc w:val="center"/>
              <w:rPr>
                <w:rFonts w:ascii="Times New Roman" w:eastAsia="Times New Roman" w:hAnsi="Times New Roman" w:cs="Times New Roman"/>
                <w:b/>
                <w:bCs/>
                <w:sz w:val="20"/>
                <w:lang w:eastAsia="es-AR"/>
              </w:rPr>
            </w:pPr>
            <w:r w:rsidRPr="00E82034">
              <w:rPr>
                <w:rFonts w:ascii="Times New Roman" w:eastAsia="Times New Roman" w:hAnsi="Times New Roman" w:cs="Times New Roman"/>
                <w:b/>
                <w:bCs/>
                <w:sz w:val="20"/>
                <w:lang w:eastAsia="es-AR"/>
              </w:rPr>
              <w:t>% Inercia</w:t>
            </w:r>
          </w:p>
        </w:tc>
        <w:tc>
          <w:tcPr>
            <w:tcW w:w="1130" w:type="dxa"/>
            <w:tcBorders>
              <w:top w:val="single" w:sz="4" w:space="0" w:color="auto"/>
              <w:left w:val="nil"/>
              <w:bottom w:val="single" w:sz="4" w:space="0" w:color="auto"/>
              <w:right w:val="single" w:sz="4" w:space="0" w:color="auto"/>
            </w:tcBorders>
            <w:shd w:val="clear" w:color="000000" w:fill="B8CCE4"/>
            <w:vAlign w:val="center"/>
            <w:hideMark/>
          </w:tcPr>
          <w:p w:rsidR="00E82034" w:rsidRPr="00E82034" w:rsidRDefault="00E82034" w:rsidP="00E82034">
            <w:pPr>
              <w:spacing w:after="0" w:line="240" w:lineRule="auto"/>
              <w:jc w:val="center"/>
              <w:rPr>
                <w:rFonts w:ascii="Times New Roman" w:eastAsia="Times New Roman" w:hAnsi="Times New Roman" w:cs="Times New Roman"/>
                <w:b/>
                <w:bCs/>
                <w:sz w:val="20"/>
                <w:lang w:eastAsia="es-AR"/>
              </w:rPr>
            </w:pPr>
            <w:r>
              <w:rPr>
                <w:rFonts w:ascii="Times New Roman" w:eastAsia="Times New Roman" w:hAnsi="Times New Roman" w:cs="Times New Roman"/>
                <w:b/>
                <w:bCs/>
                <w:sz w:val="20"/>
                <w:lang w:eastAsia="es-AR"/>
              </w:rPr>
              <w:t>% Acumu</w:t>
            </w:r>
            <w:r w:rsidRPr="00E82034">
              <w:rPr>
                <w:rFonts w:ascii="Times New Roman" w:eastAsia="Times New Roman" w:hAnsi="Times New Roman" w:cs="Times New Roman"/>
                <w:b/>
                <w:bCs/>
                <w:sz w:val="20"/>
                <w:lang w:eastAsia="es-AR"/>
              </w:rPr>
              <w:t>lado</w:t>
            </w:r>
          </w:p>
        </w:tc>
      </w:tr>
      <w:tr w:rsidR="00E82034" w:rsidRPr="00E82034" w:rsidTr="00E8203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1</w:t>
            </w:r>
          </w:p>
        </w:tc>
        <w:tc>
          <w:tcPr>
            <w:tcW w:w="100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0,334468</w:t>
            </w:r>
          </w:p>
        </w:tc>
        <w:tc>
          <w:tcPr>
            <w:tcW w:w="86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14,27%</w:t>
            </w:r>
          </w:p>
        </w:tc>
        <w:tc>
          <w:tcPr>
            <w:tcW w:w="154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0,067871</w:t>
            </w:r>
          </w:p>
        </w:tc>
        <w:tc>
          <w:tcPr>
            <w:tcW w:w="114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83,26%</w:t>
            </w:r>
          </w:p>
        </w:tc>
        <w:tc>
          <w:tcPr>
            <w:tcW w:w="113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83,26%</w:t>
            </w:r>
          </w:p>
        </w:tc>
      </w:tr>
      <w:tr w:rsidR="00E82034" w:rsidRPr="00E82034" w:rsidTr="00E8203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2</w:t>
            </w:r>
          </w:p>
        </w:tc>
        <w:tc>
          <w:tcPr>
            <w:tcW w:w="100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0,183027</w:t>
            </w:r>
          </w:p>
        </w:tc>
        <w:tc>
          <w:tcPr>
            <w:tcW w:w="86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7,81%</w:t>
            </w:r>
          </w:p>
        </w:tc>
        <w:tc>
          <w:tcPr>
            <w:tcW w:w="154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0,008510</w:t>
            </w:r>
          </w:p>
        </w:tc>
        <w:tc>
          <w:tcPr>
            <w:tcW w:w="114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10,44%</w:t>
            </w:r>
          </w:p>
        </w:tc>
        <w:tc>
          <w:tcPr>
            <w:tcW w:w="113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Pr>
                <w:rFonts w:ascii="Times New Roman" w:eastAsia="Times New Roman" w:hAnsi="Times New Roman" w:cs="Times New Roman"/>
                <w:sz w:val="20"/>
                <w:lang w:eastAsia="es-AR"/>
              </w:rPr>
              <w:t>93,7%</w:t>
            </w:r>
          </w:p>
        </w:tc>
      </w:tr>
      <w:tr w:rsidR="00E82034" w:rsidRPr="00E82034" w:rsidTr="00E82034">
        <w:trPr>
          <w:trHeight w:val="31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3</w:t>
            </w:r>
          </w:p>
        </w:tc>
        <w:tc>
          <w:tcPr>
            <w:tcW w:w="100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0,146954</w:t>
            </w:r>
          </w:p>
        </w:tc>
        <w:tc>
          <w:tcPr>
            <w:tcW w:w="86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6,27%</w:t>
            </w:r>
          </w:p>
        </w:tc>
        <w:tc>
          <w:tcPr>
            <w:tcW w:w="154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0,002722</w:t>
            </w:r>
          </w:p>
        </w:tc>
        <w:tc>
          <w:tcPr>
            <w:tcW w:w="114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sidRPr="00E82034">
              <w:rPr>
                <w:rFonts w:ascii="Times New Roman" w:eastAsia="Times New Roman" w:hAnsi="Times New Roman" w:cs="Times New Roman"/>
                <w:sz w:val="20"/>
                <w:lang w:eastAsia="es-AR"/>
              </w:rPr>
              <w:t>3,34%</w:t>
            </w:r>
          </w:p>
        </w:tc>
        <w:tc>
          <w:tcPr>
            <w:tcW w:w="1130" w:type="dxa"/>
            <w:tcBorders>
              <w:top w:val="nil"/>
              <w:left w:val="nil"/>
              <w:bottom w:val="single" w:sz="4" w:space="0" w:color="auto"/>
              <w:right w:val="single" w:sz="4" w:space="0" w:color="auto"/>
            </w:tcBorders>
            <w:shd w:val="clear" w:color="auto" w:fill="auto"/>
            <w:noWrap/>
            <w:vAlign w:val="center"/>
            <w:hideMark/>
          </w:tcPr>
          <w:p w:rsidR="00E82034" w:rsidRPr="00E82034" w:rsidRDefault="00E82034" w:rsidP="00E82034">
            <w:pPr>
              <w:spacing w:after="0" w:line="240" w:lineRule="auto"/>
              <w:jc w:val="center"/>
              <w:rPr>
                <w:rFonts w:ascii="Times New Roman" w:eastAsia="Times New Roman" w:hAnsi="Times New Roman" w:cs="Times New Roman"/>
                <w:sz w:val="20"/>
                <w:lang w:eastAsia="es-AR"/>
              </w:rPr>
            </w:pPr>
            <w:r>
              <w:rPr>
                <w:rFonts w:ascii="Times New Roman" w:eastAsia="Times New Roman" w:hAnsi="Times New Roman" w:cs="Times New Roman"/>
                <w:sz w:val="20"/>
                <w:lang w:eastAsia="es-AR"/>
              </w:rPr>
              <w:t>97,04%</w:t>
            </w:r>
          </w:p>
        </w:tc>
      </w:tr>
    </w:tbl>
    <w:p w:rsidR="00E82034" w:rsidRPr="00E82034" w:rsidRDefault="00E82034" w:rsidP="00B105D2">
      <w:pPr>
        <w:spacing w:after="0" w:line="360" w:lineRule="auto"/>
        <w:jc w:val="both"/>
        <w:rPr>
          <w:rFonts w:ascii="Times New Roman" w:hAnsi="Times New Roman" w:cs="Times New Roman"/>
          <w:sz w:val="18"/>
        </w:rPr>
      </w:pPr>
      <w:r>
        <w:rPr>
          <w:rFonts w:ascii="Times New Roman" w:hAnsi="Times New Roman" w:cs="Times New Roman"/>
          <w:sz w:val="18"/>
        </w:rPr>
        <w:t>Fuente: elaboración propia en base a Encuesta FONCYT 2012-2013.</w:t>
      </w:r>
    </w:p>
    <w:p w:rsidR="00044253" w:rsidRDefault="00044253" w:rsidP="00B105D2">
      <w:pPr>
        <w:spacing w:after="0" w:line="360" w:lineRule="auto"/>
        <w:jc w:val="both"/>
        <w:rPr>
          <w:rFonts w:ascii="Times New Roman" w:hAnsi="Times New Roman" w:cs="Times New Roman"/>
          <w:sz w:val="24"/>
        </w:rPr>
      </w:pPr>
      <w:r>
        <w:rPr>
          <w:rFonts w:ascii="Times New Roman" w:hAnsi="Times New Roman" w:cs="Times New Roman"/>
          <w:sz w:val="24"/>
        </w:rPr>
        <w:t>Posteriormente a conocer cuántos factores serán interpretados</w:t>
      </w:r>
      <w:r w:rsidR="00A93B60">
        <w:rPr>
          <w:rFonts w:ascii="Times New Roman" w:hAnsi="Times New Roman" w:cs="Times New Roman"/>
          <w:sz w:val="24"/>
        </w:rPr>
        <w:t xml:space="preserve">, pueden ser presentadas las contribuciones de cada modalidad a la varianza </w:t>
      </w:r>
      <w:r w:rsidR="003A3511">
        <w:rPr>
          <w:rFonts w:ascii="Times New Roman" w:hAnsi="Times New Roman" w:cs="Times New Roman"/>
          <w:sz w:val="24"/>
        </w:rPr>
        <w:t xml:space="preserve">total </w:t>
      </w:r>
      <w:r w:rsidR="00A93B60">
        <w:rPr>
          <w:rFonts w:ascii="Times New Roman" w:hAnsi="Times New Roman" w:cs="Times New Roman"/>
          <w:sz w:val="24"/>
        </w:rPr>
        <w:t xml:space="preserve">de cada factor (Ctr) y </w:t>
      </w:r>
      <w:r w:rsidR="003A3511">
        <w:rPr>
          <w:rFonts w:ascii="Times New Roman" w:hAnsi="Times New Roman" w:cs="Times New Roman"/>
          <w:sz w:val="24"/>
        </w:rPr>
        <w:t xml:space="preserve">las calidades de la representación, que representan la contribución de cada modalidad a la </w:t>
      </w:r>
      <w:r w:rsidR="003A3511">
        <w:rPr>
          <w:rFonts w:ascii="Times New Roman" w:hAnsi="Times New Roman" w:cs="Times New Roman"/>
          <w:sz w:val="24"/>
        </w:rPr>
        <w:lastRenderedPageBreak/>
        <w:t xml:space="preserve">varianza total </w:t>
      </w:r>
      <w:r w:rsidR="00FF16B8">
        <w:rPr>
          <w:rFonts w:ascii="Times New Roman" w:hAnsi="Times New Roman" w:cs="Times New Roman"/>
          <w:sz w:val="24"/>
        </w:rPr>
        <w:t>captada por</w:t>
      </w:r>
      <w:r w:rsidR="003A3511">
        <w:rPr>
          <w:rFonts w:ascii="Times New Roman" w:hAnsi="Times New Roman" w:cs="Times New Roman"/>
          <w:sz w:val="24"/>
        </w:rPr>
        <w:t xml:space="preserve"> todos los factores (cos</w:t>
      </w:r>
      <w:r w:rsidR="003A3511" w:rsidRPr="003A3511">
        <w:rPr>
          <w:rFonts w:ascii="Times New Roman" w:hAnsi="Times New Roman" w:cs="Times New Roman"/>
          <w:sz w:val="24"/>
          <w:vertAlign w:val="superscript"/>
        </w:rPr>
        <w:t>2</w:t>
      </w:r>
      <w:r w:rsidR="003A3511">
        <w:rPr>
          <w:rFonts w:ascii="Times New Roman" w:hAnsi="Times New Roman" w:cs="Times New Roman"/>
          <w:sz w:val="24"/>
        </w:rPr>
        <w:t xml:space="preserve">) </w:t>
      </w:r>
      <w:r w:rsidR="00B87759">
        <w:rPr>
          <w:rFonts w:ascii="Times New Roman" w:hAnsi="Times New Roman" w:cs="Times New Roman"/>
          <w:sz w:val="24"/>
        </w:rPr>
        <w:t xml:space="preserve">(ver tabla </w:t>
      </w:r>
      <w:r w:rsidR="00FF16B8">
        <w:rPr>
          <w:rFonts w:ascii="Times New Roman" w:hAnsi="Times New Roman" w:cs="Times New Roman"/>
          <w:sz w:val="24"/>
        </w:rPr>
        <w:t>7</w:t>
      </w:r>
      <w:r w:rsidR="00B87759">
        <w:rPr>
          <w:rFonts w:ascii="Times New Roman" w:hAnsi="Times New Roman" w:cs="Times New Roman"/>
          <w:sz w:val="24"/>
        </w:rPr>
        <w:t xml:space="preserve"> en anexo</w:t>
      </w:r>
      <w:r w:rsidR="00FE0911">
        <w:rPr>
          <w:rFonts w:ascii="Times New Roman" w:hAnsi="Times New Roman" w:cs="Times New Roman"/>
          <w:sz w:val="24"/>
        </w:rPr>
        <w:t>).</w:t>
      </w:r>
      <w:r w:rsidR="003A3511">
        <w:rPr>
          <w:rFonts w:ascii="Times New Roman" w:hAnsi="Times New Roman" w:cs="Times New Roman"/>
          <w:sz w:val="24"/>
        </w:rPr>
        <w:t xml:space="preserve"> A partir de estos datos </w:t>
      </w:r>
      <w:r w:rsidR="00FF16B8">
        <w:rPr>
          <w:rFonts w:ascii="Times New Roman" w:hAnsi="Times New Roman" w:cs="Times New Roman"/>
          <w:sz w:val="24"/>
        </w:rPr>
        <w:t>se establecen</w:t>
      </w:r>
      <w:r w:rsidR="003A3511">
        <w:rPr>
          <w:rFonts w:ascii="Times New Roman" w:hAnsi="Times New Roman" w:cs="Times New Roman"/>
          <w:sz w:val="24"/>
        </w:rPr>
        <w:t xml:space="preserve"> qu</w:t>
      </w:r>
      <w:r w:rsidR="00D466F4">
        <w:rPr>
          <w:rFonts w:ascii="Times New Roman" w:hAnsi="Times New Roman" w:cs="Times New Roman"/>
          <w:sz w:val="24"/>
        </w:rPr>
        <w:t>é</w:t>
      </w:r>
      <w:r w:rsidR="003A3511">
        <w:rPr>
          <w:rFonts w:ascii="Times New Roman" w:hAnsi="Times New Roman" w:cs="Times New Roman"/>
          <w:sz w:val="24"/>
        </w:rPr>
        <w:t xml:space="preserve"> contribuciones son </w:t>
      </w:r>
      <w:r w:rsidR="00FF16B8">
        <w:rPr>
          <w:rFonts w:ascii="Times New Roman" w:hAnsi="Times New Roman" w:cs="Times New Roman"/>
          <w:sz w:val="24"/>
        </w:rPr>
        <w:t>aquellas</w:t>
      </w:r>
      <w:r w:rsidR="003A3511">
        <w:rPr>
          <w:rFonts w:ascii="Times New Roman" w:hAnsi="Times New Roman" w:cs="Times New Roman"/>
          <w:sz w:val="24"/>
        </w:rPr>
        <w:t xml:space="preserve"> que aportan en mayor medida a la variabilidad hallada en cada factor</w:t>
      </w:r>
      <w:r w:rsidR="00FF16B8">
        <w:rPr>
          <w:rFonts w:ascii="Times New Roman" w:hAnsi="Times New Roman" w:cs="Times New Roman"/>
          <w:sz w:val="24"/>
        </w:rPr>
        <w:t>, identificando las</w:t>
      </w:r>
      <w:r w:rsidR="003A3511">
        <w:rPr>
          <w:rFonts w:ascii="Times New Roman" w:hAnsi="Times New Roman" w:cs="Times New Roman"/>
          <w:sz w:val="24"/>
        </w:rPr>
        <w:t xml:space="preserve"> que exceden la contribución media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{"citationID":"1egbqhhpo8","properties":{"formattedCitation":"(Le Roux y Rouanet, 2010, p 52)","plainCitation":"(Le Roux y Rouanet, 2010, p 52)"},"citationItems":[{"id":1231,"uris":["http://zotero.org/users/2248776/items/N9BIURJD"],"uri":["http://zotero.org/users/2248776/items/N9BIURJD"],"itemData":{"id":1231,"type":"book","title":"Multiple correspondence analysis","collection-title":"Quantitative applications in the social sciences","collection-number":"163","publisher":"Sage Publications","publisher-place":"Thousand Oaks, Calif","number-of-pages":"115","source":"Library of Congress ISBN","event-place":"Thousand Oaks, Calif","ISBN":"978-1-4129-6897-3","call-number":"QA278.5 .L4 2010","author":[{"family":"Le Roux","given":"Brigitte"},{"family":"Rouanet","given":"Henry"}],"issued":{"date-parts":[["2010"]]}},"locator":"52"}],"schema":"https://github.com/citation-style-language/schema/raw/master/csl-citation.json"} </w:instrText>
      </w:r>
      <w:r w:rsidR="003C4235">
        <w:rPr>
          <w:rFonts w:ascii="Times New Roman" w:hAnsi="Times New Roman" w:cs="Times New Roman"/>
          <w:sz w:val="24"/>
        </w:rPr>
        <w:fldChar w:fldCharType="separate"/>
      </w:r>
      <w:r w:rsidR="003A3511" w:rsidRPr="003A3511">
        <w:rPr>
          <w:rFonts w:ascii="Times New Roman" w:hAnsi="Times New Roman" w:cs="Times New Roman"/>
          <w:sz w:val="24"/>
        </w:rPr>
        <w:t>(Le Roux y Rouanet, 2010, p 52)</w:t>
      </w:r>
      <w:r w:rsidR="003C4235">
        <w:rPr>
          <w:rFonts w:ascii="Times New Roman" w:hAnsi="Times New Roman" w:cs="Times New Roman"/>
          <w:sz w:val="24"/>
        </w:rPr>
        <w:fldChar w:fldCharType="end"/>
      </w:r>
      <w:r w:rsidR="003A3511">
        <w:rPr>
          <w:rFonts w:ascii="Times New Roman" w:hAnsi="Times New Roman" w:cs="Times New Roman"/>
          <w:sz w:val="24"/>
        </w:rPr>
        <w:t>, en este caso las que superan el valor de 3 (100/33)</w:t>
      </w:r>
      <w:r w:rsidR="006F369F">
        <w:rPr>
          <w:rStyle w:val="Refdenotaalpie"/>
          <w:rFonts w:ascii="Times New Roman" w:hAnsi="Times New Roman" w:cs="Times New Roman"/>
          <w:sz w:val="24"/>
        </w:rPr>
        <w:footnoteReference w:id="15"/>
      </w:r>
      <w:r w:rsidR="006F369F">
        <w:rPr>
          <w:rFonts w:ascii="Times New Roman" w:hAnsi="Times New Roman" w:cs="Times New Roman"/>
          <w:sz w:val="24"/>
        </w:rPr>
        <w:t xml:space="preserve">. </w:t>
      </w:r>
      <w:r w:rsidR="00B87759">
        <w:rPr>
          <w:rFonts w:ascii="Times New Roman" w:hAnsi="Times New Roman" w:cs="Times New Roman"/>
          <w:sz w:val="24"/>
        </w:rPr>
        <w:t>A continuación presentamos</w:t>
      </w:r>
      <w:r w:rsidR="008171C0">
        <w:rPr>
          <w:rFonts w:ascii="Times New Roman" w:hAnsi="Times New Roman" w:cs="Times New Roman"/>
          <w:sz w:val="24"/>
        </w:rPr>
        <w:t xml:space="preserve"> </w:t>
      </w:r>
      <w:r w:rsidR="00D95E17">
        <w:rPr>
          <w:rFonts w:ascii="Times New Roman" w:hAnsi="Times New Roman" w:cs="Times New Roman"/>
          <w:sz w:val="24"/>
        </w:rPr>
        <w:t>el gráfico</w:t>
      </w:r>
      <w:r w:rsidR="008171C0">
        <w:rPr>
          <w:rFonts w:ascii="Times New Roman" w:hAnsi="Times New Roman" w:cs="Times New Roman"/>
          <w:sz w:val="24"/>
        </w:rPr>
        <w:t xml:space="preserve"> 1, en el que se muestran </w:t>
      </w:r>
      <w:r w:rsidR="0097280C">
        <w:rPr>
          <w:rFonts w:ascii="Times New Roman" w:hAnsi="Times New Roman" w:cs="Times New Roman"/>
          <w:sz w:val="24"/>
        </w:rPr>
        <w:t>representadas las modalidades activa</w:t>
      </w:r>
      <w:r w:rsidR="00D95E17">
        <w:rPr>
          <w:rFonts w:ascii="Times New Roman" w:hAnsi="Times New Roman" w:cs="Times New Roman"/>
          <w:sz w:val="24"/>
        </w:rPr>
        <w:t>s</w:t>
      </w:r>
      <w:r w:rsidR="008171C0">
        <w:rPr>
          <w:rFonts w:ascii="Times New Roman" w:hAnsi="Times New Roman" w:cs="Times New Roman"/>
          <w:sz w:val="24"/>
        </w:rPr>
        <w:t xml:space="preserve">, </w:t>
      </w:r>
      <w:r w:rsidR="00B87759">
        <w:rPr>
          <w:rFonts w:ascii="Times New Roman" w:hAnsi="Times New Roman" w:cs="Times New Roman"/>
          <w:sz w:val="24"/>
        </w:rPr>
        <w:t>desde donde puede hacerse una interpretación más intuitiva</w:t>
      </w:r>
      <w:r w:rsidR="008171C0">
        <w:rPr>
          <w:rFonts w:ascii="Times New Roman" w:hAnsi="Times New Roman" w:cs="Times New Roman"/>
          <w:sz w:val="24"/>
        </w:rPr>
        <w:t xml:space="preserve"> de los factores</w:t>
      </w:r>
      <w:r w:rsidR="00B87759">
        <w:rPr>
          <w:rFonts w:ascii="Times New Roman" w:hAnsi="Times New Roman" w:cs="Times New Roman"/>
          <w:sz w:val="24"/>
        </w:rPr>
        <w:t xml:space="preserve"> emergentes</w:t>
      </w:r>
      <w:r w:rsidR="006016A2">
        <w:rPr>
          <w:rFonts w:ascii="Times New Roman" w:hAnsi="Times New Roman" w:cs="Times New Roman"/>
          <w:sz w:val="24"/>
        </w:rPr>
        <w:t xml:space="preserve"> 1 (eje de las abscisas) y 2 (eje de las ordenadas)</w:t>
      </w:r>
      <w:r w:rsidR="006016A2">
        <w:rPr>
          <w:rStyle w:val="Refdenotaalpie"/>
          <w:rFonts w:ascii="Times New Roman" w:hAnsi="Times New Roman" w:cs="Times New Roman"/>
          <w:sz w:val="24"/>
        </w:rPr>
        <w:footnoteReference w:id="16"/>
      </w:r>
      <w:r w:rsidR="008171C0">
        <w:rPr>
          <w:rFonts w:ascii="Times New Roman" w:hAnsi="Times New Roman" w:cs="Times New Roman"/>
          <w:sz w:val="24"/>
        </w:rPr>
        <w:t>.</w:t>
      </w:r>
    </w:p>
    <w:p w:rsidR="00D95E17" w:rsidRDefault="00D95E17" w:rsidP="00B105D2">
      <w:pPr>
        <w:spacing w:after="0" w:line="360" w:lineRule="auto"/>
        <w:jc w:val="both"/>
        <w:rPr>
          <w:rFonts w:ascii="Times New Roman" w:hAnsi="Times New Roman" w:cs="Times New Roman"/>
          <w:sz w:val="24"/>
        </w:rPr>
      </w:pPr>
    </w:p>
    <w:p w:rsidR="00D95E17" w:rsidRDefault="00D95E17" w:rsidP="00D95E17">
      <w:pPr>
        <w:pStyle w:val="Epgrafe"/>
        <w:keepNext/>
        <w:jc w:val="both"/>
      </w:pPr>
      <w:r>
        <w:t xml:space="preserve">Gráfico </w:t>
      </w:r>
      <w:fldSimple w:instr=" SEQ Gráfico \* ARABIC ">
        <w:r w:rsidR="00D71F2A">
          <w:rPr>
            <w:noProof/>
          </w:rPr>
          <w:t>1</w:t>
        </w:r>
      </w:fldSimple>
      <w:r>
        <w:t>. Gráfico factorial de modalidades activas</w:t>
      </w:r>
    </w:p>
    <w:p w:rsidR="006F369F" w:rsidRDefault="0097280C" w:rsidP="00B105D2">
      <w:pPr>
        <w:spacing w:after="0" w:line="360" w:lineRule="auto"/>
        <w:jc w:val="both"/>
        <w:rPr>
          <w:rFonts w:ascii="Times New Roman" w:hAnsi="Times New Roman" w:cs="Times New Roman"/>
          <w:sz w:val="24"/>
        </w:rPr>
      </w:pPr>
      <w:r w:rsidRPr="0097280C">
        <w:rPr>
          <w:rFonts w:ascii="Times New Roman" w:hAnsi="Times New Roman" w:cs="Times New Roman"/>
          <w:noProof/>
          <w:sz w:val="24"/>
          <w:lang w:eastAsia="es-AR"/>
        </w:rPr>
        <w:drawing>
          <wp:inline distT="0" distB="0" distL="0" distR="0">
            <wp:extent cx="5400040" cy="3834198"/>
            <wp:effectExtent l="1905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400040" cy="3834198"/>
                    </a:xfrm>
                    <a:prstGeom prst="rect">
                      <a:avLst/>
                    </a:prstGeom>
                    <a:noFill/>
                    <a:ln w="9525">
                      <a:noFill/>
                      <a:miter lim="800000"/>
                      <a:headEnd/>
                      <a:tailEnd/>
                    </a:ln>
                  </pic:spPr>
                </pic:pic>
              </a:graphicData>
            </a:graphic>
          </wp:inline>
        </w:drawing>
      </w:r>
    </w:p>
    <w:p w:rsidR="00D95E17" w:rsidRPr="00D95E17" w:rsidRDefault="00D95E17" w:rsidP="00B105D2">
      <w:pPr>
        <w:spacing w:after="0" w:line="360" w:lineRule="auto"/>
        <w:jc w:val="both"/>
        <w:rPr>
          <w:rFonts w:ascii="Times New Roman" w:hAnsi="Times New Roman" w:cs="Times New Roman"/>
          <w:sz w:val="20"/>
        </w:rPr>
      </w:pPr>
      <w:r>
        <w:rPr>
          <w:rFonts w:ascii="Times New Roman" w:hAnsi="Times New Roman" w:cs="Times New Roman"/>
          <w:sz w:val="20"/>
        </w:rPr>
        <w:t>Fuente: elaboración propia en base a Encuesta FONCYT 2012-2013.</w:t>
      </w:r>
    </w:p>
    <w:p w:rsidR="003F43E5" w:rsidRDefault="00B81DA3" w:rsidP="00B105D2">
      <w:pPr>
        <w:spacing w:after="0" w:line="360" w:lineRule="auto"/>
        <w:jc w:val="both"/>
        <w:rPr>
          <w:rFonts w:ascii="Times New Roman" w:hAnsi="Times New Roman" w:cs="Times New Roman"/>
          <w:sz w:val="24"/>
        </w:rPr>
      </w:pPr>
      <w:r>
        <w:rPr>
          <w:rFonts w:ascii="Times New Roman" w:hAnsi="Times New Roman" w:cs="Times New Roman"/>
          <w:sz w:val="24"/>
        </w:rPr>
        <w:t>El primer factor, como bien ya se dijo, es el que da cuenta de la mayor parte de las diferenciaciones que se despliegan en el espacio social constituido</w:t>
      </w:r>
      <w:r w:rsidR="00D466F4">
        <w:rPr>
          <w:rFonts w:ascii="Times New Roman" w:hAnsi="Times New Roman" w:cs="Times New Roman"/>
          <w:sz w:val="24"/>
        </w:rPr>
        <w:t>. En este sentido, polariza a la población en función de las diferencias socio-económicas y de clase.</w:t>
      </w:r>
      <w:r w:rsidR="00F27865">
        <w:rPr>
          <w:rFonts w:ascii="Times New Roman" w:hAnsi="Times New Roman" w:cs="Times New Roman"/>
          <w:sz w:val="24"/>
        </w:rPr>
        <w:t xml:space="preserve"> A mayor acumulación capital económico, capital escolar y oportunidades, los individuos se posicionan en el extremo izquierdo del cuadro, mientras que la privación de dichos </w:t>
      </w:r>
      <w:r w:rsidR="00F27865">
        <w:rPr>
          <w:rFonts w:ascii="Times New Roman" w:hAnsi="Times New Roman" w:cs="Times New Roman"/>
          <w:sz w:val="24"/>
        </w:rPr>
        <w:lastRenderedPageBreak/>
        <w:t>activos posiciona a los mismos en el extremo derecho. Por su parte</w:t>
      </w:r>
      <w:r w:rsidR="006C6EFD">
        <w:rPr>
          <w:rFonts w:ascii="Times New Roman" w:hAnsi="Times New Roman" w:cs="Times New Roman"/>
          <w:sz w:val="24"/>
        </w:rPr>
        <w:t xml:space="preserve"> la clase también interviene fuertemente en la explicación de la inercia del factor, en un modo casi ordenado, emergiendo la clase trabajadora no calificada como aquella que presenta mayores privaciones</w:t>
      </w:r>
      <w:r w:rsidR="00EE4E69">
        <w:rPr>
          <w:rStyle w:val="Refdenotaalpie"/>
          <w:rFonts w:ascii="Times New Roman" w:hAnsi="Times New Roman" w:cs="Times New Roman"/>
          <w:sz w:val="24"/>
        </w:rPr>
        <w:footnoteReference w:id="17"/>
      </w:r>
      <w:r w:rsidR="006C6EFD">
        <w:rPr>
          <w:rFonts w:ascii="Times New Roman" w:hAnsi="Times New Roman" w:cs="Times New Roman"/>
          <w:sz w:val="24"/>
        </w:rPr>
        <w:t xml:space="preserve"> y la clase directiva-profesional como la que acapara mayores oportunidades de vida. Esta interpretación puede </w:t>
      </w:r>
      <w:r w:rsidR="00B4759A">
        <w:rPr>
          <w:rFonts w:ascii="Times New Roman" w:hAnsi="Times New Roman" w:cs="Times New Roman"/>
          <w:sz w:val="24"/>
        </w:rPr>
        <w:t xml:space="preserve">hacerse </w:t>
      </w:r>
      <w:r w:rsidR="006C6EFD">
        <w:rPr>
          <w:rFonts w:ascii="Times New Roman" w:hAnsi="Times New Roman" w:cs="Times New Roman"/>
          <w:sz w:val="24"/>
        </w:rPr>
        <w:t>fundamentarse observando las contribuciones de las distintas modalidades al factor 1 (tabla anexo), siendo las catego</w:t>
      </w:r>
      <w:r w:rsidR="005F4285">
        <w:rPr>
          <w:rFonts w:ascii="Times New Roman" w:hAnsi="Times New Roman" w:cs="Times New Roman"/>
          <w:sz w:val="24"/>
        </w:rPr>
        <w:t xml:space="preserve">rías extremas de las variables que intervienen en la construcción del mismo, las que explican la mayor parte de la inercia del factor (82%). Un comportamiento similar se observa en el análisis que Bourdieu realiza en su clásico estudio de </w:t>
      </w:r>
      <w:r w:rsidR="005F4285" w:rsidRPr="005F4285">
        <w:rPr>
          <w:rFonts w:ascii="Times New Roman" w:hAnsi="Times New Roman" w:cs="Times New Roman"/>
          <w:i/>
          <w:sz w:val="24"/>
        </w:rPr>
        <w:t>La Distinción</w:t>
      </w:r>
      <w:r w:rsidR="005F4285">
        <w:rPr>
          <w:rFonts w:ascii="Times New Roman" w:hAnsi="Times New Roman" w:cs="Times New Roman"/>
          <w:sz w:val="24"/>
        </w:rPr>
        <w:t xml:space="preserv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gtugvtjrb","properties":{"formattedCitation":"(2012a)","plainCitation":"(2012a)"},"citationItems":[{"id":135,"uris":["http://zotero.org/users/2248776/items/7IUI2E94"],"uri":["http://zotero.org/users/2248776/items/7IUI2E94"],"itemData":{"id":135,"type":"book","title":"La Distinción: criterios y bases sociales del gusto","publisher":"Taurus","publisher-place":"Buenos Aires","source":"Open WorldCat","event-place":"Buenos Aires","ISBN":"84-306-1259-9","shortTitle":"La Distinción","language":"Trad. de: La distinction. [París]: Minuit, 1979.","author":[{"family":"Bourdieu","given":"Pierre"}],"issued":{"date-parts":[["2012"]]}},"suppress-author":true}],"schema":"https://github.com/citation-style-language/schema/raw/master/csl-citation.json"} </w:instrText>
      </w:r>
      <w:r w:rsidR="003C4235">
        <w:rPr>
          <w:rFonts w:ascii="Times New Roman" w:hAnsi="Times New Roman" w:cs="Times New Roman"/>
          <w:sz w:val="24"/>
        </w:rPr>
        <w:fldChar w:fldCharType="separate"/>
      </w:r>
      <w:r w:rsidR="005F4285" w:rsidRPr="005F4285">
        <w:rPr>
          <w:rFonts w:ascii="Times New Roman" w:hAnsi="Times New Roman" w:cs="Times New Roman"/>
          <w:sz w:val="24"/>
        </w:rPr>
        <w:t>(2012a)</w:t>
      </w:r>
      <w:r w:rsidR="003C4235">
        <w:rPr>
          <w:rFonts w:ascii="Times New Roman" w:hAnsi="Times New Roman" w:cs="Times New Roman"/>
          <w:sz w:val="24"/>
        </w:rPr>
        <w:fldChar w:fldCharType="end"/>
      </w:r>
      <w:r w:rsidR="005F4285">
        <w:rPr>
          <w:rFonts w:ascii="Times New Roman" w:hAnsi="Times New Roman" w:cs="Times New Roman"/>
          <w:sz w:val="24"/>
        </w:rPr>
        <w:t xml:space="preserve">, en donde el primer factor mide las diferencias en cuanto a la acumulación de capital, o en un estudio más próximo al aquí presentado, en el que Fachelli </w:t>
      </w:r>
      <w:r w:rsidR="00AE299B">
        <w:rPr>
          <w:rFonts w:ascii="Times New Roman" w:hAnsi="Times New Roman" w:cs="Times New Roman"/>
          <w:sz w:val="24"/>
        </w:rPr>
        <w:t xml:space="preserve">et al.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{"citationID":"XWi20clJ","properties":{"formattedCitation":"(2012, p 56)","plainCitation":"(2012, p 56)"},"citationItems":[{"id":571,"uris":["http://zotero.org/users/2248776/items/UKE48HAJ"],"uri":["http://zotero.org/users/2248776/items/UKE48HAJ"],"itemData":{"id":571,"type":"article-journal","title":"DESIGUALDAD Y DIVERSIDAD EN AMÉRICA LATINA","container-title":"siteal.org","URL":"http://www.siteal.org/sites/default/files/siteal_libro_digital_desigualdad_y_diversidad.pdf","author":[{"family":"Fachelli","given":"S"},{"family":"López-Roldán","given":"P"},{"family":"López","given":"Néstor"},{"family":"Sourrouille","given":"Florencia"}],"issued":{"date-parts":[["2012"]]}},"locator":"56","suppress-author":true}],"schema":"https://github.com/citation-style-language/schema/raw/master/csl-citation.json"} </w:instrText>
      </w:r>
      <w:r w:rsidR="003C4235">
        <w:rPr>
          <w:rFonts w:ascii="Times New Roman" w:hAnsi="Times New Roman" w:cs="Times New Roman"/>
          <w:sz w:val="24"/>
        </w:rPr>
        <w:fldChar w:fldCharType="separate"/>
      </w:r>
      <w:r w:rsidR="005F4285" w:rsidRPr="005F4285">
        <w:rPr>
          <w:rFonts w:ascii="Times New Roman" w:hAnsi="Times New Roman" w:cs="Times New Roman"/>
          <w:sz w:val="24"/>
        </w:rPr>
        <w:t>(2012, p 56)</w:t>
      </w:r>
      <w:r w:rsidR="003C4235">
        <w:rPr>
          <w:rFonts w:ascii="Times New Roman" w:hAnsi="Times New Roman" w:cs="Times New Roman"/>
          <w:sz w:val="24"/>
        </w:rPr>
        <w:fldChar w:fldCharType="end"/>
      </w:r>
      <w:r w:rsidR="005F4285">
        <w:rPr>
          <w:rFonts w:ascii="Times New Roman" w:hAnsi="Times New Roman" w:cs="Times New Roman"/>
          <w:sz w:val="24"/>
        </w:rPr>
        <w:t xml:space="preserve"> al analizar la estratificación social argentina, encuentra que el principal factor explica </w:t>
      </w:r>
      <w:r w:rsidR="005F4285" w:rsidRPr="005F4285">
        <w:rPr>
          <w:rFonts w:ascii="Times New Roman" w:hAnsi="Times New Roman" w:cs="Times New Roman"/>
          <w:sz w:val="24"/>
        </w:rPr>
        <w:t>la distribución de oportunidades de acceso a bienes primarios</w:t>
      </w:r>
      <w:r w:rsidR="005F4285">
        <w:rPr>
          <w:rFonts w:ascii="Times New Roman" w:hAnsi="Times New Roman" w:cs="Times New Roman"/>
          <w:sz w:val="24"/>
        </w:rPr>
        <w:t>.</w:t>
      </w:r>
    </w:p>
    <w:p w:rsidR="005F4285" w:rsidRDefault="00D23E54" w:rsidP="00B105D2">
      <w:pPr>
        <w:spacing w:after="0" w:line="360" w:lineRule="auto"/>
        <w:jc w:val="both"/>
        <w:rPr>
          <w:rFonts w:ascii="Times New Roman" w:hAnsi="Times New Roman" w:cs="Times New Roman"/>
          <w:sz w:val="24"/>
        </w:rPr>
      </w:pPr>
      <w:r>
        <w:rPr>
          <w:rFonts w:ascii="Times New Roman" w:hAnsi="Times New Roman" w:cs="Times New Roman"/>
          <w:sz w:val="24"/>
        </w:rPr>
        <w:t>El segundo factor es más complejo de interpretar, ya que puede decirse que explica dos aspectos diferenciados. Por un lado, polariza claramente dos situaciones de la estructura de clase y ocupacional: las situaciones de autonomía y las relaciones de dependencia</w:t>
      </w:r>
      <w:r w:rsidR="00AE299B">
        <w:rPr>
          <w:rStyle w:val="Refdenotaalpie"/>
          <w:rFonts w:ascii="Times New Roman" w:hAnsi="Times New Roman" w:cs="Times New Roman"/>
          <w:sz w:val="24"/>
        </w:rPr>
        <w:footnoteReference w:id="18"/>
      </w:r>
      <w:r>
        <w:rPr>
          <w:rFonts w:ascii="Times New Roman" w:hAnsi="Times New Roman" w:cs="Times New Roman"/>
          <w:sz w:val="24"/>
        </w:rPr>
        <w:t>. El hemisferio norte del gráfico factorial muestra a las dos clases típicamente asalariadas, la clase media técnica-rutinaria, que engloba</w:t>
      </w:r>
      <w:r w:rsidR="00B4759A">
        <w:rPr>
          <w:rFonts w:ascii="Times New Roman" w:hAnsi="Times New Roman" w:cs="Times New Roman"/>
          <w:sz w:val="24"/>
        </w:rPr>
        <w:t>n</w:t>
      </w:r>
      <w:r>
        <w:rPr>
          <w:rFonts w:ascii="Times New Roman" w:hAnsi="Times New Roman" w:cs="Times New Roman"/>
          <w:sz w:val="24"/>
        </w:rPr>
        <w:t xml:space="preserve"> a aquellas ocupaciones con cierto nivel de calificación y administrativas, y la clase trabajadora calificada, en donde interviene el trabajo manual, siendo </w:t>
      </w:r>
      <w:r w:rsidR="00AE299B">
        <w:rPr>
          <w:rFonts w:ascii="Times New Roman" w:hAnsi="Times New Roman" w:cs="Times New Roman"/>
          <w:sz w:val="24"/>
        </w:rPr>
        <w:t>mayormente</w:t>
      </w:r>
      <w:r>
        <w:rPr>
          <w:rFonts w:ascii="Times New Roman" w:hAnsi="Times New Roman" w:cs="Times New Roman"/>
          <w:sz w:val="24"/>
        </w:rPr>
        <w:t xml:space="preserve"> asalariado.</w:t>
      </w:r>
      <w:r w:rsidR="00AE299B">
        <w:rPr>
          <w:rFonts w:ascii="Times New Roman" w:hAnsi="Times New Roman" w:cs="Times New Roman"/>
          <w:sz w:val="24"/>
        </w:rPr>
        <w:t xml:space="preserve"> A su vez, dicho hemisferio concentra a aquellos individuos con ingresos medios ($3001</w:t>
      </w:r>
      <w:r>
        <w:rPr>
          <w:rFonts w:ascii="Times New Roman" w:hAnsi="Times New Roman" w:cs="Times New Roman"/>
          <w:sz w:val="24"/>
        </w:rPr>
        <w:t xml:space="preserve"> </w:t>
      </w:r>
      <w:r w:rsidR="00AE299B">
        <w:rPr>
          <w:rFonts w:ascii="Times New Roman" w:hAnsi="Times New Roman" w:cs="Times New Roman"/>
          <w:sz w:val="24"/>
        </w:rPr>
        <w:t>- $6000) y que se em</w:t>
      </w:r>
      <w:r w:rsidR="00B4759A">
        <w:rPr>
          <w:rFonts w:ascii="Times New Roman" w:hAnsi="Times New Roman" w:cs="Times New Roman"/>
          <w:sz w:val="24"/>
        </w:rPr>
        <w:t>plean en establecimientos medianos</w:t>
      </w:r>
      <w:r w:rsidR="00AE299B">
        <w:rPr>
          <w:rFonts w:ascii="Times New Roman" w:hAnsi="Times New Roman" w:cs="Times New Roman"/>
          <w:sz w:val="24"/>
        </w:rPr>
        <w:t xml:space="preserve">. Por el contrario, el hemisferio sur se configura como el espacio de las clases en las que priman las relaciones autónomas de empleo, los cargos directivos o, directamente, los propietarios. De este modo, del lado izquierdo se posiciona la clase directiva-profesional (que también cuenta con una porción considerable de asalariados), la pequeña burguesía (compuesta por pequeños empleadores y trabajadores cuenta propia calificados) y la clase trabajadora no calificada (caracterizada por representar a ocupaciones marginales y de subsistencia). </w:t>
      </w:r>
      <w:r w:rsidR="00AE299B">
        <w:rPr>
          <w:rFonts w:ascii="Times New Roman" w:hAnsi="Times New Roman" w:cs="Times New Roman"/>
          <w:sz w:val="24"/>
        </w:rPr>
        <w:lastRenderedPageBreak/>
        <w:t>Las contribuciones de las modalidad “pequeño establecimiento” (5,11) y “mediano establecimiento” (</w:t>
      </w:r>
      <w:r w:rsidR="00564510">
        <w:rPr>
          <w:rFonts w:ascii="Times New Roman" w:hAnsi="Times New Roman" w:cs="Times New Roman"/>
          <w:sz w:val="24"/>
        </w:rPr>
        <w:t xml:space="preserve">7,89) </w:t>
      </w:r>
      <w:r w:rsidR="00AE299B">
        <w:rPr>
          <w:rFonts w:ascii="Times New Roman" w:hAnsi="Times New Roman" w:cs="Times New Roman"/>
          <w:sz w:val="24"/>
        </w:rPr>
        <w:t xml:space="preserve">son relevantes para comprender que este factor también puede </w:t>
      </w:r>
      <w:r w:rsidR="00564510">
        <w:rPr>
          <w:rFonts w:ascii="Times New Roman" w:hAnsi="Times New Roman" w:cs="Times New Roman"/>
          <w:sz w:val="24"/>
        </w:rPr>
        <w:t>ser</w:t>
      </w:r>
      <w:r w:rsidR="00AE299B">
        <w:rPr>
          <w:rFonts w:ascii="Times New Roman" w:hAnsi="Times New Roman" w:cs="Times New Roman"/>
          <w:sz w:val="24"/>
        </w:rPr>
        <w:t xml:space="preserve"> </w:t>
      </w:r>
      <w:r w:rsidR="00564510">
        <w:rPr>
          <w:rFonts w:ascii="Times New Roman" w:hAnsi="Times New Roman" w:cs="Times New Roman"/>
          <w:sz w:val="24"/>
        </w:rPr>
        <w:t xml:space="preserve">leído </w:t>
      </w:r>
      <w:r w:rsidR="00AE299B">
        <w:rPr>
          <w:rFonts w:ascii="Times New Roman" w:hAnsi="Times New Roman" w:cs="Times New Roman"/>
          <w:sz w:val="24"/>
        </w:rPr>
        <w:t>desde la</w:t>
      </w:r>
      <w:r w:rsidR="00564510">
        <w:rPr>
          <w:rFonts w:ascii="Times New Roman" w:hAnsi="Times New Roman" w:cs="Times New Roman"/>
          <w:sz w:val="24"/>
        </w:rPr>
        <w:t xml:space="preserve"> hipótesis de la “heterogeneidad estructural”, dando cuenta de las diferenciaciones que se producen a partir de los saltos en el nivel de productividad hallados entre unidades productivas pequeñas y aquellas medianas y grandes. </w:t>
      </w:r>
    </w:p>
    <w:p w:rsidR="00FF2213" w:rsidRPr="005F4285" w:rsidRDefault="00FF2213" w:rsidP="00B105D2">
      <w:pPr>
        <w:spacing w:after="0" w:line="360" w:lineRule="auto"/>
        <w:jc w:val="both"/>
        <w:rPr>
          <w:rFonts w:ascii="Times New Roman" w:hAnsi="Times New Roman" w:cs="Times New Roman"/>
          <w:sz w:val="24"/>
        </w:rPr>
      </w:pPr>
      <w:r>
        <w:rPr>
          <w:rFonts w:ascii="Times New Roman" w:hAnsi="Times New Roman" w:cs="Times New Roman"/>
          <w:sz w:val="24"/>
        </w:rPr>
        <w:t>En segundo lugar, el factor 2 también deja entrever ciertas diferenciaciones con respecto a las diferenciaciones con respecto a la tenencia y características del acceso a la vivienda, si bien es el factor 3, en donde más se explican dichas cuestiones. Como bien puede observarse</w:t>
      </w:r>
      <w:r w:rsidR="00141C22">
        <w:rPr>
          <w:rFonts w:ascii="Times New Roman" w:hAnsi="Times New Roman" w:cs="Times New Roman"/>
          <w:sz w:val="24"/>
        </w:rPr>
        <w:t xml:space="preserve"> la forma gráfica que adquiere la distribución de las modalidades es la de una herradura o parábola (también llamado efecto Guttman) y se trata de una configuración típica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{"citationID":"1jrmgi4cqs","properties":{"formattedCitation":"(Baranger, 2009, p 110)","plainCitation":"(Baranger, 2009, p 110)"},"citationItems":[{"id":1716,"uris":["http://zotero.org/users/2248776/items/FGCTVZTS"],"uri":["http://zotero.org/users/2248776/items/FGCTVZTS"],"itemData":{"id":1716,"type":"article","title":"Construcción y análisis de datos. Introducción al uso de técnicas cuantitativas en la investigación social","source":"Google Scholar","URL":"http://www.academia.edu/download/33093559/LibroDBconanda0a7.v2.pdf","author":[{"family":"Baranger","given":"Denis"}],"issued":{"date-parts":[["2009"]]},"accessed":{"date-parts":[["2016",8,23]]}},"locator":"110"}],"schema":"https://github.com/citation-style-language/schema/raw/master/csl-citation.json"} </w:instrText>
      </w:r>
      <w:r w:rsidR="003C4235">
        <w:rPr>
          <w:rFonts w:ascii="Times New Roman" w:hAnsi="Times New Roman" w:cs="Times New Roman"/>
          <w:sz w:val="24"/>
        </w:rPr>
        <w:fldChar w:fldCharType="separate"/>
      </w:r>
      <w:r w:rsidR="00141C22" w:rsidRPr="00141C22">
        <w:rPr>
          <w:rFonts w:ascii="Times New Roman" w:hAnsi="Times New Roman" w:cs="Times New Roman"/>
          <w:sz w:val="24"/>
        </w:rPr>
        <w:t>(Baranger, 2009, p 110)</w:t>
      </w:r>
      <w:r w:rsidR="003C4235">
        <w:rPr>
          <w:rFonts w:ascii="Times New Roman" w:hAnsi="Times New Roman" w:cs="Times New Roman"/>
          <w:sz w:val="24"/>
        </w:rPr>
        <w:fldChar w:fldCharType="end"/>
      </w:r>
      <w:r w:rsidR="00141C22">
        <w:rPr>
          <w:rFonts w:ascii="Times New Roman" w:hAnsi="Times New Roman" w:cs="Times New Roman"/>
          <w:sz w:val="24"/>
        </w:rPr>
        <w:t>.</w:t>
      </w:r>
    </w:p>
    <w:p w:rsidR="006F369F" w:rsidRDefault="00141C22" w:rsidP="00B105D2">
      <w:pPr>
        <w:spacing w:after="0" w:line="360" w:lineRule="auto"/>
        <w:jc w:val="both"/>
        <w:rPr>
          <w:rFonts w:ascii="Times New Roman" w:hAnsi="Times New Roman" w:cs="Times New Roman"/>
          <w:sz w:val="24"/>
        </w:rPr>
      </w:pPr>
      <w:r>
        <w:rPr>
          <w:rFonts w:ascii="Times New Roman" w:hAnsi="Times New Roman" w:cs="Times New Roman"/>
          <w:sz w:val="24"/>
        </w:rPr>
        <w:t>El tercer factor e</w:t>
      </w:r>
      <w:r w:rsidR="00B4759A">
        <w:rPr>
          <w:rFonts w:ascii="Times New Roman" w:hAnsi="Times New Roman" w:cs="Times New Roman"/>
          <w:sz w:val="24"/>
        </w:rPr>
        <w:t>xplica un porcentaje pequeño de</w:t>
      </w:r>
      <w:r>
        <w:rPr>
          <w:rFonts w:ascii="Times New Roman" w:hAnsi="Times New Roman" w:cs="Times New Roman"/>
          <w:sz w:val="24"/>
        </w:rPr>
        <w:t xml:space="preserve"> la varianza total (3,3%), pero resultó relevante su retención en el análisis porque ilustra </w:t>
      </w:r>
      <w:r w:rsidR="00ED08D8">
        <w:rPr>
          <w:rFonts w:ascii="Times New Roman" w:hAnsi="Times New Roman" w:cs="Times New Roman"/>
          <w:sz w:val="24"/>
        </w:rPr>
        <w:t xml:space="preserve">lo que Fachelli, Goicoechea y López Roldán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rgs4m13lb","properties":{"formattedCitation":"(2014)","plainCitation":"(2014)"},"citationItems":[{"id":1767,"uris":["http://zotero.org/users/2248776/items/8CAE4KMB"],"uri":["http://zotero.org/users/2248776/items/8CAE4KMB"],"itemData":{"id":1767,"type":"article-journal","title":"Trazando el mapa social de Buenos Aires: dos décadas de cambios en la Ciudad","container-title":"Población de Buenos Aires","volume":"12","issue":"21","author":[{"family":"Fachelli","given":"Sandra"},{"family":"Goicoechea","given":"María Eugenia"},{"family":"López Roldán","given":"Pedro"}],"issued":{"date-parts":[["2014"]]}},"suppress-author":true}],"schema":"https://github.com/citation-style-language/schema/raw/master/csl-citation.json"} </w:instrText>
      </w:r>
      <w:r w:rsidR="003C4235">
        <w:rPr>
          <w:rFonts w:ascii="Times New Roman" w:hAnsi="Times New Roman" w:cs="Times New Roman"/>
          <w:sz w:val="24"/>
        </w:rPr>
        <w:fldChar w:fldCharType="separate"/>
      </w:r>
      <w:r w:rsidR="00ED08D8" w:rsidRPr="00ED08D8">
        <w:rPr>
          <w:rFonts w:ascii="Times New Roman" w:hAnsi="Times New Roman" w:cs="Times New Roman"/>
          <w:sz w:val="24"/>
        </w:rPr>
        <w:t>(2014)</w:t>
      </w:r>
      <w:r w:rsidR="003C4235">
        <w:rPr>
          <w:rFonts w:ascii="Times New Roman" w:hAnsi="Times New Roman" w:cs="Times New Roman"/>
          <w:sz w:val="24"/>
        </w:rPr>
        <w:fldChar w:fldCharType="end"/>
      </w:r>
      <w:r w:rsidR="00B4759A">
        <w:rPr>
          <w:rFonts w:ascii="Times New Roman" w:hAnsi="Times New Roman" w:cs="Times New Roman"/>
          <w:sz w:val="24"/>
        </w:rPr>
        <w:t xml:space="preserve"> denominan como</w:t>
      </w:r>
      <w:r w:rsidR="00ED08D8">
        <w:rPr>
          <w:rFonts w:ascii="Times New Roman" w:hAnsi="Times New Roman" w:cs="Times New Roman"/>
          <w:sz w:val="24"/>
        </w:rPr>
        <w:t xml:space="preserve"> “estabilidad residencial” ya que opone a los inquilinos de los propietarios, específicamente a aquellos que han accedido a la vivienda a partir de la herencia intergeneracional y ayudas similares. De esta forma, la diferenciación residencial, en cuanto a la situación de tenencia, resulta un aspecto estructurante del espacio social que se construye. </w:t>
      </w:r>
    </w:p>
    <w:p w:rsidR="00671D32" w:rsidRDefault="006B410D" w:rsidP="00B105D2">
      <w:pPr>
        <w:spacing w:after="0" w:line="360" w:lineRule="auto"/>
        <w:jc w:val="both"/>
        <w:rPr>
          <w:rFonts w:ascii="Times New Roman" w:hAnsi="Times New Roman" w:cs="Times New Roman"/>
          <w:sz w:val="24"/>
        </w:rPr>
      </w:pPr>
      <w:r>
        <w:rPr>
          <w:rFonts w:ascii="Times New Roman" w:hAnsi="Times New Roman" w:cs="Times New Roman"/>
          <w:sz w:val="24"/>
        </w:rPr>
        <w:t xml:space="preserve">Finalmente en este sub-apartado queda por analizar el modo en que la introducción de las variables suplementarias permite estudiar las relaciones con los factores emergentes. Como ya se ha señalado, la inserción de variables ilustrativas se realizó con la intención de </w:t>
      </w:r>
      <w:r w:rsidR="00080B09">
        <w:rPr>
          <w:rFonts w:ascii="Times New Roman" w:hAnsi="Times New Roman" w:cs="Times New Roman"/>
          <w:sz w:val="24"/>
        </w:rPr>
        <w:t>indagar</w:t>
      </w:r>
      <w:r>
        <w:rPr>
          <w:rFonts w:ascii="Times New Roman" w:hAnsi="Times New Roman" w:cs="Times New Roman"/>
          <w:sz w:val="24"/>
        </w:rPr>
        <w:t xml:space="preserve"> cómo los factores adscriptivos se vinculan con aquellos asociados al “logro individual”, pero no desde una lógica explicativa, como sucede a partir de un análisis de regresión o de varianza, en el que los aportes de las variables independiente sobre la dependiente pueden ser cuantificados, </w:t>
      </w:r>
      <w:r w:rsidR="00247A15">
        <w:rPr>
          <w:rFonts w:ascii="Times New Roman" w:hAnsi="Times New Roman" w:cs="Times New Roman"/>
          <w:sz w:val="24"/>
        </w:rPr>
        <w:t xml:space="preserve">sino bajo el “espíritu descriptivo” de la técnica empleada. </w:t>
      </w:r>
    </w:p>
    <w:p w:rsidR="008171C0" w:rsidRDefault="00671D32" w:rsidP="00B105D2">
      <w:pPr>
        <w:spacing w:after="0" w:line="360" w:lineRule="auto"/>
        <w:jc w:val="both"/>
        <w:rPr>
          <w:rFonts w:ascii="Times New Roman" w:hAnsi="Times New Roman" w:cs="Times New Roman"/>
          <w:sz w:val="24"/>
        </w:rPr>
      </w:pPr>
      <w:r>
        <w:rPr>
          <w:rFonts w:ascii="Times New Roman" w:hAnsi="Times New Roman" w:cs="Times New Roman"/>
          <w:sz w:val="24"/>
        </w:rPr>
        <w:t>Para analizar el desempeño de las variables suplementarias se utilizaran tres herramientas: el gráfico factorial con las variables suplementarias superpuestas sobre los ejes 1 y 2</w:t>
      </w:r>
      <w:r w:rsidR="0097280C">
        <w:rPr>
          <w:rFonts w:ascii="Times New Roman" w:hAnsi="Times New Roman" w:cs="Times New Roman"/>
          <w:sz w:val="24"/>
        </w:rPr>
        <w:t xml:space="preserve"> (gráfico 2)</w:t>
      </w:r>
      <w:r>
        <w:rPr>
          <w:rFonts w:ascii="Times New Roman" w:hAnsi="Times New Roman" w:cs="Times New Roman"/>
          <w:sz w:val="24"/>
        </w:rPr>
        <w:t>; los test-values</w:t>
      </w:r>
      <w:r>
        <w:rPr>
          <w:rStyle w:val="Refdenotaalpie"/>
          <w:rFonts w:ascii="Times New Roman" w:hAnsi="Times New Roman" w:cs="Times New Roman"/>
          <w:sz w:val="24"/>
        </w:rPr>
        <w:footnoteReference w:id="19"/>
      </w:r>
      <w:r>
        <w:rPr>
          <w:rFonts w:ascii="Times New Roman" w:hAnsi="Times New Roman" w:cs="Times New Roman"/>
          <w:sz w:val="24"/>
        </w:rPr>
        <w:t xml:space="preserve"> calculados para cada modalidad (tabla</w:t>
      </w:r>
      <w:r w:rsidR="00080B09">
        <w:rPr>
          <w:rFonts w:ascii="Times New Roman" w:hAnsi="Times New Roman" w:cs="Times New Roman"/>
          <w:sz w:val="24"/>
        </w:rPr>
        <w:t xml:space="preserve"> 8 del</w:t>
      </w:r>
      <w:r>
        <w:rPr>
          <w:rFonts w:ascii="Times New Roman" w:hAnsi="Times New Roman" w:cs="Times New Roman"/>
          <w:sz w:val="24"/>
        </w:rPr>
        <w:t xml:space="preserve"> </w:t>
      </w:r>
      <w:r>
        <w:rPr>
          <w:rFonts w:ascii="Times New Roman" w:hAnsi="Times New Roman" w:cs="Times New Roman"/>
          <w:sz w:val="24"/>
        </w:rPr>
        <w:lastRenderedPageBreak/>
        <w:t>anexo) y l</w:t>
      </w:r>
      <w:r w:rsidR="0076361F">
        <w:rPr>
          <w:rFonts w:ascii="Times New Roman" w:hAnsi="Times New Roman" w:cs="Times New Roman"/>
          <w:sz w:val="24"/>
        </w:rPr>
        <w:t>as desviaciones producidas entre las coordenadas extremas de cada varia</w:t>
      </w:r>
      <w:r w:rsidR="00032E6E">
        <w:rPr>
          <w:rFonts w:ascii="Times New Roman" w:hAnsi="Times New Roman" w:cs="Times New Roman"/>
          <w:sz w:val="24"/>
        </w:rPr>
        <w:t xml:space="preserve">bles para cada factor (tabla 4), considerando que las desviaciones mayores a 0,5 pueden ser consideradas como “notables”, mientras que las superiores a la unidad pueden ser definidas como “importantes” </w:t>
      </w:r>
      <w:r w:rsidR="003C4235">
        <w:rPr>
          <w:rFonts w:ascii="Times New Roman" w:hAnsi="Times New Roman" w:cs="Times New Roman"/>
          <w:sz w:val="24"/>
        </w:rPr>
        <w:fldChar w:fldCharType="begin"/>
      </w:r>
      <w:r w:rsidR="00032E6E">
        <w:rPr>
          <w:rFonts w:ascii="Times New Roman" w:hAnsi="Times New Roman" w:cs="Times New Roman"/>
          <w:sz w:val="24"/>
        </w:rPr>
        <w:instrText xml:space="preserve"> ADDIN ZOTERO_ITEM CSL_CITATION {"citationID":"2d9p49vhm4","properties":{"formattedCitation":"(Le Roux y Rouanet, 2010, p 59)","plainCitation":"(Le Roux y Rouanet, 2010, p 59)"},"citationItems":[{"id":1231,"uris":["http://zotero.org/users/2248776/items/N9BIURJD"],"uri":["http://zotero.org/users/2248776/items/N9BIURJD"],"itemData":{"id":1231,"type":"book","title":"Multiple correspondence analysis","collection-title":"Quantitative applications in the social sciences","collection-number":"163","publisher":"Sage Publications","publisher-place":"Thousand Oaks, Calif","number-of-pages":"115","source":"Library of Congress ISBN","event-place":"Thousand Oaks, Calif","ISBN":"978-1-4129-6897-3","call-number":"QA278.5 .L4 2010","author":[{"family":"Le Roux","given":"Brigitte"},{"family":"Rouanet","given":"Henry"}],"issued":{"date-parts":[["2010"]]}},"locator":"59"}],"schema":"https://github.com/citation-style-language/schema/raw/master/csl-citation.json"} </w:instrText>
      </w:r>
      <w:r w:rsidR="003C4235">
        <w:rPr>
          <w:rFonts w:ascii="Times New Roman" w:hAnsi="Times New Roman" w:cs="Times New Roman"/>
          <w:sz w:val="24"/>
        </w:rPr>
        <w:fldChar w:fldCharType="separate"/>
      </w:r>
      <w:r w:rsidR="00032E6E" w:rsidRPr="00814839">
        <w:rPr>
          <w:rFonts w:ascii="Times New Roman" w:hAnsi="Times New Roman" w:cs="Times New Roman"/>
          <w:sz w:val="24"/>
        </w:rPr>
        <w:t>(Le Roux y Rouanet, 2010, p 59)</w:t>
      </w:r>
      <w:r w:rsidR="003C4235">
        <w:rPr>
          <w:rFonts w:ascii="Times New Roman" w:hAnsi="Times New Roman" w:cs="Times New Roman"/>
          <w:sz w:val="24"/>
        </w:rPr>
        <w:fldChar w:fldCharType="end"/>
      </w:r>
      <w:r w:rsidR="00032E6E">
        <w:rPr>
          <w:rFonts w:ascii="Times New Roman" w:hAnsi="Times New Roman" w:cs="Times New Roman"/>
          <w:sz w:val="24"/>
        </w:rPr>
        <w:t>.</w:t>
      </w:r>
    </w:p>
    <w:p w:rsidR="0076361F" w:rsidRDefault="0076361F" w:rsidP="00B105D2">
      <w:pPr>
        <w:spacing w:after="0" w:line="360" w:lineRule="auto"/>
        <w:jc w:val="both"/>
        <w:rPr>
          <w:rFonts w:ascii="Times New Roman" w:hAnsi="Times New Roman" w:cs="Times New Roman"/>
          <w:sz w:val="24"/>
        </w:rPr>
      </w:pPr>
    </w:p>
    <w:p w:rsidR="0076361F" w:rsidRDefault="0076361F" w:rsidP="0076361F">
      <w:pPr>
        <w:pStyle w:val="Epgrafe"/>
        <w:keepNext/>
      </w:pPr>
      <w:r>
        <w:t xml:space="preserve">Tabla </w:t>
      </w:r>
      <w:fldSimple w:instr=" SEQ Tabla \* ARABIC ">
        <w:r w:rsidR="009D14F2">
          <w:rPr>
            <w:noProof/>
          </w:rPr>
          <w:t>4</w:t>
        </w:r>
      </w:fldSimple>
      <w:r>
        <w:t>. Desviaciones de las coordenadas de las variables suplementarias</w:t>
      </w:r>
    </w:p>
    <w:tbl>
      <w:tblPr>
        <w:tblStyle w:val="Tablaconcuadrcula"/>
        <w:tblW w:w="7880" w:type="dxa"/>
        <w:tblLook w:val="04A0"/>
      </w:tblPr>
      <w:tblGrid>
        <w:gridCol w:w="2741"/>
        <w:gridCol w:w="1713"/>
        <w:gridCol w:w="1713"/>
        <w:gridCol w:w="1713"/>
      </w:tblGrid>
      <w:tr w:rsidR="0076361F" w:rsidRPr="0076361F" w:rsidTr="0076361F">
        <w:trPr>
          <w:trHeight w:val="338"/>
        </w:trPr>
        <w:tc>
          <w:tcPr>
            <w:tcW w:w="2741" w:type="dxa"/>
            <w:shd w:val="clear" w:color="auto" w:fill="B4C6E7" w:themeFill="accent5" w:themeFillTint="66"/>
            <w:noWrap/>
            <w:vAlign w:val="center"/>
            <w:hideMark/>
          </w:tcPr>
          <w:p w:rsidR="0076361F" w:rsidRPr="0076361F" w:rsidRDefault="0076361F" w:rsidP="0076361F">
            <w:pPr>
              <w:jc w:val="center"/>
              <w:rPr>
                <w:rFonts w:ascii="Times New Roman" w:eastAsia="Times New Roman" w:hAnsi="Times New Roman" w:cs="Times New Roman"/>
                <w:b/>
                <w:sz w:val="20"/>
                <w:lang w:eastAsia="es-AR"/>
              </w:rPr>
            </w:pPr>
            <w:r w:rsidRPr="0076361F">
              <w:rPr>
                <w:rFonts w:ascii="Times New Roman" w:eastAsia="Times New Roman" w:hAnsi="Times New Roman" w:cs="Times New Roman"/>
                <w:b/>
                <w:sz w:val="20"/>
                <w:lang w:eastAsia="es-AR"/>
              </w:rPr>
              <w:t>Variables suplementarias</w:t>
            </w:r>
          </w:p>
        </w:tc>
        <w:tc>
          <w:tcPr>
            <w:tcW w:w="1713" w:type="dxa"/>
            <w:shd w:val="clear" w:color="auto" w:fill="B4C6E7" w:themeFill="accent5" w:themeFillTint="66"/>
            <w:noWrap/>
            <w:vAlign w:val="center"/>
            <w:hideMark/>
          </w:tcPr>
          <w:p w:rsidR="0076361F" w:rsidRPr="0076361F" w:rsidRDefault="0076361F" w:rsidP="0076361F">
            <w:pPr>
              <w:jc w:val="center"/>
              <w:rPr>
                <w:rFonts w:ascii="Times New Roman" w:eastAsia="Times New Roman" w:hAnsi="Times New Roman" w:cs="Times New Roman"/>
                <w:b/>
                <w:sz w:val="20"/>
                <w:lang w:eastAsia="es-AR"/>
              </w:rPr>
            </w:pPr>
            <w:r w:rsidRPr="0076361F">
              <w:rPr>
                <w:rFonts w:ascii="Times New Roman" w:eastAsia="Times New Roman" w:hAnsi="Times New Roman" w:cs="Times New Roman"/>
                <w:b/>
                <w:sz w:val="20"/>
                <w:lang w:eastAsia="es-AR"/>
              </w:rPr>
              <w:t>Factor 1</w:t>
            </w:r>
          </w:p>
        </w:tc>
        <w:tc>
          <w:tcPr>
            <w:tcW w:w="1713" w:type="dxa"/>
            <w:shd w:val="clear" w:color="auto" w:fill="B4C6E7" w:themeFill="accent5" w:themeFillTint="66"/>
            <w:noWrap/>
            <w:vAlign w:val="center"/>
            <w:hideMark/>
          </w:tcPr>
          <w:p w:rsidR="0076361F" w:rsidRPr="0076361F" w:rsidRDefault="0076361F" w:rsidP="0076361F">
            <w:pPr>
              <w:jc w:val="center"/>
              <w:rPr>
                <w:rFonts w:ascii="Times New Roman" w:eastAsia="Times New Roman" w:hAnsi="Times New Roman" w:cs="Times New Roman"/>
                <w:b/>
                <w:sz w:val="20"/>
                <w:lang w:eastAsia="es-AR"/>
              </w:rPr>
            </w:pPr>
            <w:r w:rsidRPr="0076361F">
              <w:rPr>
                <w:rFonts w:ascii="Times New Roman" w:eastAsia="Times New Roman" w:hAnsi="Times New Roman" w:cs="Times New Roman"/>
                <w:b/>
                <w:sz w:val="20"/>
                <w:lang w:eastAsia="es-AR"/>
              </w:rPr>
              <w:t>Factor 2</w:t>
            </w:r>
          </w:p>
        </w:tc>
        <w:tc>
          <w:tcPr>
            <w:tcW w:w="1713" w:type="dxa"/>
            <w:shd w:val="clear" w:color="auto" w:fill="B4C6E7" w:themeFill="accent5" w:themeFillTint="66"/>
            <w:noWrap/>
            <w:vAlign w:val="center"/>
            <w:hideMark/>
          </w:tcPr>
          <w:p w:rsidR="0076361F" w:rsidRPr="0076361F" w:rsidRDefault="0076361F" w:rsidP="0076361F">
            <w:pPr>
              <w:jc w:val="center"/>
              <w:rPr>
                <w:rFonts w:ascii="Times New Roman" w:eastAsia="Times New Roman" w:hAnsi="Times New Roman" w:cs="Times New Roman"/>
                <w:b/>
                <w:sz w:val="20"/>
                <w:lang w:eastAsia="es-AR"/>
              </w:rPr>
            </w:pPr>
            <w:r w:rsidRPr="0076361F">
              <w:rPr>
                <w:rFonts w:ascii="Times New Roman" w:eastAsia="Times New Roman" w:hAnsi="Times New Roman" w:cs="Times New Roman"/>
                <w:b/>
                <w:sz w:val="20"/>
                <w:lang w:eastAsia="es-AR"/>
              </w:rPr>
              <w:t>Factor 3</w:t>
            </w:r>
          </w:p>
        </w:tc>
      </w:tr>
      <w:tr w:rsidR="0076361F" w:rsidRPr="0076361F" w:rsidTr="0076361F">
        <w:trPr>
          <w:trHeight w:val="279"/>
        </w:trPr>
        <w:tc>
          <w:tcPr>
            <w:tcW w:w="2741" w:type="dxa"/>
            <w:noWrap/>
            <w:vAlign w:val="center"/>
            <w:hideMark/>
          </w:tcPr>
          <w:p w:rsidR="0076361F" w:rsidRPr="0076361F" w:rsidRDefault="0076361F" w:rsidP="0076361F">
            <w:pPr>
              <w:rPr>
                <w:rFonts w:ascii="Times New Roman" w:eastAsia="Times New Roman" w:hAnsi="Times New Roman" w:cs="Times New Roman"/>
                <w:i/>
                <w:sz w:val="20"/>
                <w:lang w:eastAsia="es-AR"/>
              </w:rPr>
            </w:pPr>
            <w:r w:rsidRPr="0076361F">
              <w:rPr>
                <w:rFonts w:ascii="Times New Roman" w:eastAsia="Times New Roman" w:hAnsi="Times New Roman" w:cs="Times New Roman"/>
                <w:i/>
                <w:sz w:val="20"/>
                <w:lang w:eastAsia="es-AR"/>
              </w:rPr>
              <w:t>Sexo</w:t>
            </w:r>
          </w:p>
        </w:tc>
        <w:tc>
          <w:tcPr>
            <w:tcW w:w="1713" w:type="dxa"/>
            <w:noWrap/>
            <w:vAlign w:val="center"/>
            <w:hideMark/>
          </w:tcPr>
          <w:p w:rsidR="0076361F" w:rsidRPr="0076361F" w:rsidRDefault="0076361F" w:rsidP="0076361F">
            <w:pPr>
              <w:jc w:val="center"/>
              <w:rPr>
                <w:rFonts w:ascii="Times New Roman" w:eastAsia="Times New Roman" w:hAnsi="Times New Roman" w:cs="Times New Roman"/>
                <w:sz w:val="20"/>
                <w:lang w:eastAsia="es-AR"/>
              </w:rPr>
            </w:pPr>
            <w:r w:rsidRPr="0076361F">
              <w:rPr>
                <w:rFonts w:ascii="Times New Roman" w:eastAsia="Times New Roman" w:hAnsi="Times New Roman" w:cs="Times New Roman"/>
                <w:sz w:val="20"/>
                <w:lang w:eastAsia="es-AR"/>
              </w:rPr>
              <w:t>0,16</w:t>
            </w:r>
          </w:p>
        </w:tc>
        <w:tc>
          <w:tcPr>
            <w:tcW w:w="1713" w:type="dxa"/>
            <w:noWrap/>
            <w:vAlign w:val="center"/>
            <w:hideMark/>
          </w:tcPr>
          <w:p w:rsidR="0076361F" w:rsidRPr="0076361F" w:rsidRDefault="0076361F" w:rsidP="0076361F">
            <w:pPr>
              <w:jc w:val="center"/>
              <w:rPr>
                <w:rFonts w:ascii="Times New Roman" w:eastAsia="Times New Roman" w:hAnsi="Times New Roman" w:cs="Times New Roman"/>
                <w:sz w:val="20"/>
                <w:lang w:eastAsia="es-AR"/>
              </w:rPr>
            </w:pPr>
            <w:r w:rsidRPr="0076361F">
              <w:rPr>
                <w:rFonts w:ascii="Times New Roman" w:eastAsia="Times New Roman" w:hAnsi="Times New Roman" w:cs="Times New Roman"/>
                <w:sz w:val="20"/>
                <w:lang w:eastAsia="es-AR"/>
              </w:rPr>
              <w:t>0,22</w:t>
            </w:r>
          </w:p>
        </w:tc>
        <w:tc>
          <w:tcPr>
            <w:tcW w:w="1713" w:type="dxa"/>
            <w:noWrap/>
            <w:vAlign w:val="center"/>
            <w:hideMark/>
          </w:tcPr>
          <w:p w:rsidR="0076361F" w:rsidRPr="0076361F" w:rsidRDefault="0076361F" w:rsidP="0076361F">
            <w:pPr>
              <w:jc w:val="center"/>
              <w:rPr>
                <w:rFonts w:ascii="Times New Roman" w:eastAsia="Times New Roman" w:hAnsi="Times New Roman" w:cs="Times New Roman"/>
                <w:sz w:val="20"/>
                <w:lang w:eastAsia="es-AR"/>
              </w:rPr>
            </w:pPr>
            <w:r w:rsidRPr="0076361F">
              <w:rPr>
                <w:rFonts w:ascii="Times New Roman" w:eastAsia="Times New Roman" w:hAnsi="Times New Roman" w:cs="Times New Roman"/>
                <w:sz w:val="20"/>
                <w:lang w:eastAsia="es-AR"/>
              </w:rPr>
              <w:t>0,29</w:t>
            </w:r>
          </w:p>
        </w:tc>
      </w:tr>
      <w:tr w:rsidR="0076361F" w:rsidRPr="0076361F" w:rsidTr="0076361F">
        <w:trPr>
          <w:trHeight w:val="338"/>
        </w:trPr>
        <w:tc>
          <w:tcPr>
            <w:tcW w:w="2741" w:type="dxa"/>
            <w:noWrap/>
            <w:vAlign w:val="center"/>
            <w:hideMark/>
          </w:tcPr>
          <w:p w:rsidR="0076361F" w:rsidRPr="0076361F" w:rsidRDefault="0076361F" w:rsidP="0076361F">
            <w:pPr>
              <w:rPr>
                <w:rFonts w:ascii="Times New Roman" w:eastAsia="Times New Roman" w:hAnsi="Times New Roman" w:cs="Times New Roman"/>
                <w:i/>
                <w:sz w:val="20"/>
                <w:lang w:eastAsia="es-AR"/>
              </w:rPr>
            </w:pPr>
            <w:r w:rsidRPr="0076361F">
              <w:rPr>
                <w:rFonts w:ascii="Times New Roman" w:eastAsia="Times New Roman" w:hAnsi="Times New Roman" w:cs="Times New Roman"/>
                <w:i/>
                <w:sz w:val="20"/>
                <w:lang w:eastAsia="es-AR"/>
              </w:rPr>
              <w:t>Edad</w:t>
            </w:r>
          </w:p>
        </w:tc>
        <w:tc>
          <w:tcPr>
            <w:tcW w:w="1713" w:type="dxa"/>
            <w:noWrap/>
            <w:vAlign w:val="center"/>
            <w:hideMark/>
          </w:tcPr>
          <w:p w:rsidR="0076361F" w:rsidRPr="0076361F" w:rsidRDefault="0076361F" w:rsidP="0076361F">
            <w:pPr>
              <w:jc w:val="center"/>
              <w:rPr>
                <w:rFonts w:ascii="Times New Roman" w:eastAsia="Times New Roman" w:hAnsi="Times New Roman" w:cs="Times New Roman"/>
                <w:sz w:val="20"/>
                <w:lang w:eastAsia="es-AR"/>
              </w:rPr>
            </w:pPr>
            <w:r w:rsidRPr="0076361F">
              <w:rPr>
                <w:rFonts w:ascii="Times New Roman" w:eastAsia="Times New Roman" w:hAnsi="Times New Roman" w:cs="Times New Roman"/>
                <w:sz w:val="20"/>
                <w:lang w:eastAsia="es-AR"/>
              </w:rPr>
              <w:t>0,12</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0,54</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0,45</w:t>
            </w:r>
          </w:p>
        </w:tc>
      </w:tr>
      <w:tr w:rsidR="0076361F" w:rsidRPr="0076361F" w:rsidTr="0076361F">
        <w:trPr>
          <w:trHeight w:val="338"/>
        </w:trPr>
        <w:tc>
          <w:tcPr>
            <w:tcW w:w="2741" w:type="dxa"/>
            <w:noWrap/>
            <w:vAlign w:val="center"/>
            <w:hideMark/>
          </w:tcPr>
          <w:p w:rsidR="0076361F" w:rsidRPr="0076361F" w:rsidRDefault="0076361F" w:rsidP="0076361F">
            <w:pPr>
              <w:rPr>
                <w:rFonts w:ascii="Times New Roman" w:eastAsia="Times New Roman" w:hAnsi="Times New Roman" w:cs="Times New Roman"/>
                <w:i/>
                <w:sz w:val="20"/>
                <w:lang w:eastAsia="es-AR"/>
              </w:rPr>
            </w:pPr>
            <w:r w:rsidRPr="0076361F">
              <w:rPr>
                <w:rFonts w:ascii="Times New Roman" w:eastAsia="Times New Roman" w:hAnsi="Times New Roman" w:cs="Times New Roman"/>
                <w:i/>
                <w:sz w:val="20"/>
                <w:lang w:eastAsia="es-AR"/>
              </w:rPr>
              <w:t>Lugar de nacimiento</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1,14</w:t>
            </w:r>
          </w:p>
        </w:tc>
        <w:tc>
          <w:tcPr>
            <w:tcW w:w="1713" w:type="dxa"/>
            <w:noWrap/>
            <w:vAlign w:val="center"/>
            <w:hideMark/>
          </w:tcPr>
          <w:p w:rsidR="0076361F" w:rsidRPr="0076361F" w:rsidRDefault="0076361F" w:rsidP="0076361F">
            <w:pPr>
              <w:jc w:val="center"/>
              <w:rPr>
                <w:rFonts w:ascii="Times New Roman" w:eastAsia="Times New Roman" w:hAnsi="Times New Roman" w:cs="Times New Roman"/>
                <w:sz w:val="20"/>
                <w:lang w:eastAsia="es-AR"/>
              </w:rPr>
            </w:pPr>
            <w:r w:rsidRPr="0076361F">
              <w:rPr>
                <w:rFonts w:ascii="Times New Roman" w:eastAsia="Times New Roman" w:hAnsi="Times New Roman" w:cs="Times New Roman"/>
                <w:sz w:val="20"/>
                <w:lang w:eastAsia="es-AR"/>
              </w:rPr>
              <w:t>0,19</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0,53</w:t>
            </w:r>
          </w:p>
        </w:tc>
      </w:tr>
      <w:tr w:rsidR="0076361F" w:rsidRPr="0076361F" w:rsidTr="0076361F">
        <w:trPr>
          <w:trHeight w:val="338"/>
        </w:trPr>
        <w:tc>
          <w:tcPr>
            <w:tcW w:w="2741" w:type="dxa"/>
            <w:noWrap/>
            <w:vAlign w:val="center"/>
            <w:hideMark/>
          </w:tcPr>
          <w:p w:rsidR="0076361F" w:rsidRPr="0076361F" w:rsidRDefault="0076361F" w:rsidP="0076361F">
            <w:pPr>
              <w:rPr>
                <w:rFonts w:ascii="Times New Roman" w:eastAsia="Times New Roman" w:hAnsi="Times New Roman" w:cs="Times New Roman"/>
                <w:i/>
                <w:sz w:val="20"/>
                <w:lang w:eastAsia="es-AR"/>
              </w:rPr>
            </w:pPr>
            <w:r w:rsidRPr="0076361F">
              <w:rPr>
                <w:rFonts w:ascii="Times New Roman" w:eastAsia="Times New Roman" w:hAnsi="Times New Roman" w:cs="Times New Roman"/>
                <w:i/>
                <w:sz w:val="20"/>
                <w:lang w:eastAsia="es-AR"/>
              </w:rPr>
              <w:t>Clase social origen</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1,16</w:t>
            </w:r>
          </w:p>
        </w:tc>
        <w:tc>
          <w:tcPr>
            <w:tcW w:w="1713" w:type="dxa"/>
            <w:noWrap/>
            <w:vAlign w:val="center"/>
            <w:hideMark/>
          </w:tcPr>
          <w:p w:rsidR="0076361F" w:rsidRPr="0076361F" w:rsidRDefault="0076361F" w:rsidP="0076361F">
            <w:pPr>
              <w:jc w:val="center"/>
              <w:rPr>
                <w:rFonts w:ascii="Times New Roman" w:eastAsia="Times New Roman" w:hAnsi="Times New Roman" w:cs="Times New Roman"/>
                <w:sz w:val="20"/>
                <w:lang w:eastAsia="es-AR"/>
              </w:rPr>
            </w:pPr>
            <w:r w:rsidRPr="0076361F">
              <w:rPr>
                <w:rFonts w:ascii="Times New Roman" w:eastAsia="Times New Roman" w:hAnsi="Times New Roman" w:cs="Times New Roman"/>
                <w:sz w:val="20"/>
                <w:lang w:eastAsia="es-AR"/>
              </w:rPr>
              <w:t>0,24</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0,48</w:t>
            </w:r>
          </w:p>
        </w:tc>
      </w:tr>
      <w:tr w:rsidR="0076361F" w:rsidRPr="0076361F" w:rsidTr="0076361F">
        <w:trPr>
          <w:trHeight w:val="338"/>
        </w:trPr>
        <w:tc>
          <w:tcPr>
            <w:tcW w:w="2741" w:type="dxa"/>
            <w:noWrap/>
            <w:vAlign w:val="center"/>
            <w:hideMark/>
          </w:tcPr>
          <w:p w:rsidR="0076361F" w:rsidRPr="0076361F" w:rsidRDefault="0076361F" w:rsidP="0076361F">
            <w:pPr>
              <w:rPr>
                <w:rFonts w:ascii="Times New Roman" w:eastAsia="Times New Roman" w:hAnsi="Times New Roman" w:cs="Times New Roman"/>
                <w:i/>
                <w:sz w:val="20"/>
                <w:lang w:eastAsia="es-AR"/>
              </w:rPr>
            </w:pPr>
            <w:r w:rsidRPr="0076361F">
              <w:rPr>
                <w:rFonts w:ascii="Times New Roman" w:eastAsia="Times New Roman" w:hAnsi="Times New Roman" w:cs="Times New Roman"/>
                <w:i/>
                <w:sz w:val="20"/>
                <w:lang w:eastAsia="es-AR"/>
              </w:rPr>
              <w:t>Nivel educativo origen</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0,86</w:t>
            </w:r>
          </w:p>
        </w:tc>
        <w:tc>
          <w:tcPr>
            <w:tcW w:w="1713" w:type="dxa"/>
            <w:noWrap/>
            <w:vAlign w:val="center"/>
            <w:hideMark/>
          </w:tcPr>
          <w:p w:rsidR="0076361F" w:rsidRPr="0076361F" w:rsidRDefault="0076361F" w:rsidP="0076361F">
            <w:pPr>
              <w:jc w:val="center"/>
              <w:rPr>
                <w:rFonts w:ascii="Times New Roman" w:eastAsia="Times New Roman" w:hAnsi="Times New Roman" w:cs="Times New Roman"/>
                <w:sz w:val="20"/>
                <w:lang w:eastAsia="es-AR"/>
              </w:rPr>
            </w:pPr>
            <w:r w:rsidRPr="0076361F">
              <w:rPr>
                <w:rFonts w:ascii="Times New Roman" w:eastAsia="Times New Roman" w:hAnsi="Times New Roman" w:cs="Times New Roman"/>
                <w:sz w:val="20"/>
                <w:lang w:eastAsia="es-AR"/>
              </w:rPr>
              <w:t>0,05</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0,48</w:t>
            </w:r>
          </w:p>
        </w:tc>
      </w:tr>
      <w:tr w:rsidR="0076361F" w:rsidRPr="0076361F" w:rsidTr="0076361F">
        <w:trPr>
          <w:trHeight w:val="338"/>
        </w:trPr>
        <w:tc>
          <w:tcPr>
            <w:tcW w:w="2741" w:type="dxa"/>
            <w:noWrap/>
            <w:vAlign w:val="center"/>
            <w:hideMark/>
          </w:tcPr>
          <w:p w:rsidR="0076361F" w:rsidRPr="0076361F" w:rsidRDefault="0076361F" w:rsidP="0076361F">
            <w:pPr>
              <w:rPr>
                <w:rFonts w:ascii="Times New Roman" w:eastAsia="Times New Roman" w:hAnsi="Times New Roman" w:cs="Times New Roman"/>
                <w:i/>
                <w:sz w:val="20"/>
                <w:lang w:eastAsia="es-AR"/>
              </w:rPr>
            </w:pPr>
            <w:r w:rsidRPr="0076361F">
              <w:rPr>
                <w:rFonts w:ascii="Times New Roman" w:eastAsia="Times New Roman" w:hAnsi="Times New Roman" w:cs="Times New Roman"/>
                <w:i/>
                <w:sz w:val="20"/>
                <w:lang w:eastAsia="es-AR"/>
              </w:rPr>
              <w:t>Trayecto de clase</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2,27</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0,75</w:t>
            </w:r>
          </w:p>
        </w:tc>
        <w:tc>
          <w:tcPr>
            <w:tcW w:w="1713" w:type="dxa"/>
            <w:noWrap/>
            <w:vAlign w:val="center"/>
            <w:hideMark/>
          </w:tcPr>
          <w:p w:rsidR="0076361F" w:rsidRPr="001260CD" w:rsidRDefault="0076361F" w:rsidP="0076361F">
            <w:pPr>
              <w:jc w:val="center"/>
              <w:rPr>
                <w:rFonts w:ascii="Times New Roman" w:eastAsia="Times New Roman" w:hAnsi="Times New Roman" w:cs="Times New Roman"/>
                <w:b/>
                <w:sz w:val="20"/>
                <w:lang w:eastAsia="es-AR"/>
              </w:rPr>
            </w:pPr>
            <w:r w:rsidRPr="001260CD">
              <w:rPr>
                <w:rFonts w:ascii="Times New Roman" w:eastAsia="Times New Roman" w:hAnsi="Times New Roman" w:cs="Times New Roman"/>
                <w:b/>
                <w:sz w:val="20"/>
                <w:lang w:eastAsia="es-AR"/>
              </w:rPr>
              <w:t>0,95</w:t>
            </w:r>
          </w:p>
        </w:tc>
      </w:tr>
    </w:tbl>
    <w:p w:rsidR="0076361F" w:rsidRPr="00E82034" w:rsidRDefault="0076361F" w:rsidP="0076361F">
      <w:pPr>
        <w:spacing w:after="0" w:line="360" w:lineRule="auto"/>
        <w:jc w:val="both"/>
        <w:rPr>
          <w:rFonts w:ascii="Times New Roman" w:hAnsi="Times New Roman" w:cs="Times New Roman"/>
          <w:sz w:val="18"/>
        </w:rPr>
      </w:pPr>
      <w:r>
        <w:rPr>
          <w:rFonts w:ascii="Times New Roman" w:hAnsi="Times New Roman" w:cs="Times New Roman"/>
          <w:sz w:val="18"/>
        </w:rPr>
        <w:t>Fuente: elaboración propia en base a Encuesta FONCYT 2012-2013.</w:t>
      </w:r>
    </w:p>
    <w:p w:rsidR="0076361F" w:rsidRDefault="0076361F" w:rsidP="00B105D2">
      <w:pPr>
        <w:spacing w:after="0" w:line="360" w:lineRule="auto"/>
        <w:jc w:val="both"/>
        <w:rPr>
          <w:rFonts w:ascii="Times New Roman" w:hAnsi="Times New Roman" w:cs="Times New Roman"/>
          <w:sz w:val="24"/>
        </w:rPr>
      </w:pPr>
    </w:p>
    <w:p w:rsidR="00032E6E" w:rsidRDefault="00032E6E" w:rsidP="00032E6E">
      <w:pPr>
        <w:pStyle w:val="Epgrafe"/>
        <w:keepNext/>
        <w:jc w:val="both"/>
      </w:pPr>
      <w:r>
        <w:t xml:space="preserve">Gráfico </w:t>
      </w:r>
      <w:fldSimple w:instr=" SEQ Gráfico \* ARABIC ">
        <w:r w:rsidR="00D71F2A">
          <w:rPr>
            <w:noProof/>
          </w:rPr>
          <w:t>2</w:t>
        </w:r>
      </w:fldSimple>
      <w:r>
        <w:t>. Gráfico factorial categorías suplementarias</w:t>
      </w:r>
    </w:p>
    <w:p w:rsidR="0097280C" w:rsidRDefault="0097280C" w:rsidP="00B105D2">
      <w:pPr>
        <w:spacing w:after="0" w:line="360" w:lineRule="auto"/>
        <w:jc w:val="both"/>
        <w:rPr>
          <w:rFonts w:ascii="Times New Roman" w:hAnsi="Times New Roman" w:cs="Times New Roman"/>
          <w:sz w:val="24"/>
        </w:rPr>
      </w:pPr>
      <w:r>
        <w:rPr>
          <w:rFonts w:ascii="Times New Roman" w:hAnsi="Times New Roman" w:cs="Times New Roman"/>
          <w:noProof/>
          <w:sz w:val="24"/>
          <w:lang w:eastAsia="es-AR"/>
        </w:rPr>
        <w:drawing>
          <wp:inline distT="0" distB="0" distL="0" distR="0">
            <wp:extent cx="6014388" cy="4200525"/>
            <wp:effectExtent l="19050" t="0" r="5412"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16473" cy="4201981"/>
                    </a:xfrm>
                    <a:prstGeom prst="rect">
                      <a:avLst/>
                    </a:prstGeom>
                    <a:noFill/>
                    <a:ln w="9525">
                      <a:noFill/>
                      <a:miter lim="800000"/>
                      <a:headEnd/>
                      <a:tailEnd/>
                    </a:ln>
                  </pic:spPr>
                </pic:pic>
              </a:graphicData>
            </a:graphic>
          </wp:inline>
        </w:drawing>
      </w:r>
    </w:p>
    <w:p w:rsidR="00032E6E" w:rsidRPr="00E82034" w:rsidRDefault="00032E6E" w:rsidP="00032E6E">
      <w:pPr>
        <w:spacing w:after="0" w:line="360" w:lineRule="auto"/>
        <w:jc w:val="both"/>
        <w:rPr>
          <w:rFonts w:ascii="Times New Roman" w:hAnsi="Times New Roman" w:cs="Times New Roman"/>
          <w:sz w:val="18"/>
        </w:rPr>
      </w:pPr>
      <w:r>
        <w:rPr>
          <w:rFonts w:ascii="Times New Roman" w:hAnsi="Times New Roman" w:cs="Times New Roman"/>
          <w:sz w:val="18"/>
        </w:rPr>
        <w:t>Fuente: elaboración propia en base a Encuesta FONCYT 2012-2013.</w:t>
      </w:r>
    </w:p>
    <w:p w:rsidR="0020019F" w:rsidRDefault="0076361F" w:rsidP="00B105D2">
      <w:pPr>
        <w:spacing w:after="0" w:line="360" w:lineRule="auto"/>
        <w:jc w:val="both"/>
        <w:rPr>
          <w:rFonts w:ascii="Times New Roman" w:hAnsi="Times New Roman" w:cs="Times New Roman"/>
          <w:sz w:val="24"/>
        </w:rPr>
      </w:pPr>
      <w:r>
        <w:rPr>
          <w:rFonts w:ascii="Times New Roman" w:hAnsi="Times New Roman" w:cs="Times New Roman"/>
          <w:sz w:val="24"/>
        </w:rPr>
        <w:lastRenderedPageBreak/>
        <w:t>En este sentido pued</w:t>
      </w:r>
      <w:r w:rsidR="00814839">
        <w:rPr>
          <w:rFonts w:ascii="Times New Roman" w:hAnsi="Times New Roman" w:cs="Times New Roman"/>
          <w:sz w:val="24"/>
        </w:rPr>
        <w:t xml:space="preserve">e observarse que la variable sexo no presenta grandes desviaciones en ninguno de los factores, aunque sus </w:t>
      </w:r>
      <w:r w:rsidR="00814839" w:rsidRPr="0097280C">
        <w:rPr>
          <w:rFonts w:ascii="Times New Roman" w:hAnsi="Times New Roman" w:cs="Times New Roman"/>
          <w:i/>
          <w:sz w:val="24"/>
        </w:rPr>
        <w:t>test-values</w:t>
      </w:r>
      <w:r w:rsidR="00814839">
        <w:rPr>
          <w:rFonts w:ascii="Times New Roman" w:hAnsi="Times New Roman" w:cs="Times New Roman"/>
          <w:sz w:val="24"/>
        </w:rPr>
        <w:t xml:space="preserve"> sean significativos para el segundo y el tercer factor. Como puede notarse en el gráfico 2, las categorías de “varón” y “mujer” se mantienen cercanas al centro del mismo</w:t>
      </w:r>
      <w:r w:rsidR="00691565">
        <w:rPr>
          <w:rFonts w:ascii="Times New Roman" w:hAnsi="Times New Roman" w:cs="Times New Roman"/>
          <w:sz w:val="24"/>
        </w:rPr>
        <w:t>, evidenciando una débil relación con las diferenciaciones propuestas por los factores. La edad permite especificar principalmente a los factores 2 y 3</w:t>
      </w:r>
      <w:r w:rsidR="00773438">
        <w:rPr>
          <w:rFonts w:ascii="Times New Roman" w:hAnsi="Times New Roman" w:cs="Times New Roman"/>
          <w:sz w:val="24"/>
        </w:rPr>
        <w:t>: a mayor edad, mayor correspondencia con posiciones de clase media directivas y profesionales, ya que la carrera laboral se encuentra ya consolidada, y con</w:t>
      </w:r>
      <w:r w:rsidR="001260CD">
        <w:rPr>
          <w:rFonts w:ascii="Times New Roman" w:hAnsi="Times New Roman" w:cs="Times New Roman"/>
          <w:sz w:val="24"/>
        </w:rPr>
        <w:t xml:space="preserve"> posibilidades de ser propietario de una vivienda. </w:t>
      </w:r>
      <w:r w:rsidR="00773438">
        <w:rPr>
          <w:rFonts w:ascii="Times New Roman" w:hAnsi="Times New Roman" w:cs="Times New Roman"/>
          <w:sz w:val="24"/>
        </w:rPr>
        <w:t xml:space="preserve"> </w:t>
      </w:r>
      <w:r w:rsidR="00B85BA7">
        <w:rPr>
          <w:rFonts w:ascii="Times New Roman" w:hAnsi="Times New Roman" w:cs="Times New Roman"/>
          <w:sz w:val="24"/>
        </w:rPr>
        <w:t>El lugar de nacimiento ayuda a lograr una mejor interpretación del factor 1, fundamentalmente, ya que posiciona del lado derecho (mayor acumulación de capitales) a aquellos nacidos en CABA y en Buenos Aires y del lado izquierdo (mayor privación) a los migrantes internos y externos. La clase y el nivel educativo de origen, también presentan una fuerte correspondencia con el factor 1, principalmente la primer</w:t>
      </w:r>
      <w:r w:rsidR="0081036C">
        <w:rPr>
          <w:rFonts w:ascii="Times New Roman" w:hAnsi="Times New Roman" w:cs="Times New Roman"/>
          <w:sz w:val="24"/>
        </w:rPr>
        <w:t>a</w:t>
      </w:r>
      <w:r w:rsidR="00EE5486">
        <w:rPr>
          <w:rFonts w:ascii="Times New Roman" w:hAnsi="Times New Roman" w:cs="Times New Roman"/>
          <w:sz w:val="24"/>
        </w:rPr>
        <w:t xml:space="preserve"> variable</w:t>
      </w:r>
      <w:r w:rsidR="0020019F">
        <w:rPr>
          <w:rFonts w:ascii="Times New Roman" w:hAnsi="Times New Roman" w:cs="Times New Roman"/>
          <w:sz w:val="24"/>
        </w:rPr>
        <w:t>. En este sentido, la superposición de las variables de origen sobre el espacio social de las condiciones de vida, indica que existiría una vinculación entre ambos aspectos, aunque no tan determinantes como la posición de clase del encuestado/a: mientras que las modalidades de la clase social de destino tienden a ubicarse en los extremos del mapa social trazado, explicando gran parte de la inercia de los factores, la clase de origen (que no interviene en la construcción de los mismos) se despliega de un modo más conservador sobre el centro del gráfico.</w:t>
      </w:r>
    </w:p>
    <w:p w:rsidR="0076361F" w:rsidRDefault="0020019F" w:rsidP="00B105D2">
      <w:pPr>
        <w:spacing w:after="0" w:line="360" w:lineRule="auto"/>
        <w:jc w:val="both"/>
        <w:rPr>
          <w:rFonts w:ascii="Times New Roman" w:hAnsi="Times New Roman" w:cs="Times New Roman"/>
          <w:sz w:val="24"/>
        </w:rPr>
      </w:pPr>
      <w:r>
        <w:rPr>
          <w:rFonts w:ascii="Times New Roman" w:hAnsi="Times New Roman" w:cs="Times New Roman"/>
          <w:sz w:val="24"/>
        </w:rPr>
        <w:t>Finalmente la variable trayecto se elaboró para intentar tener una mejor medida de la “movilidad social” de los individuos</w:t>
      </w:r>
      <w:r w:rsidR="0014422A">
        <w:rPr>
          <w:rFonts w:ascii="Times New Roman" w:hAnsi="Times New Roman" w:cs="Times New Roman"/>
          <w:sz w:val="24"/>
        </w:rPr>
        <w:t xml:space="preserve">. Es debido a que en la misma se conjuga la posición de origen y de destino, que se genera un mayor desvío (considerables en el factor 1 pero también en el segundo y tercero) entre las categorías extremas y </w:t>
      </w:r>
      <w:r w:rsidR="0014422A">
        <w:rPr>
          <w:rFonts w:ascii="Times New Roman" w:hAnsi="Times New Roman" w:cs="Times New Roman"/>
          <w:i/>
          <w:sz w:val="24"/>
        </w:rPr>
        <w:t>test-values</w:t>
      </w:r>
      <w:r w:rsidR="0014422A">
        <w:rPr>
          <w:rFonts w:ascii="Times New Roman" w:hAnsi="Times New Roman" w:cs="Times New Roman"/>
          <w:sz w:val="24"/>
        </w:rPr>
        <w:t xml:space="preserve"> </w:t>
      </w:r>
      <w:r w:rsidR="00EE5486">
        <w:rPr>
          <w:rFonts w:ascii="Times New Roman" w:hAnsi="Times New Roman" w:cs="Times New Roman"/>
          <w:sz w:val="24"/>
        </w:rPr>
        <w:t>más altos</w:t>
      </w:r>
      <w:r w:rsidR="0014422A">
        <w:rPr>
          <w:rFonts w:ascii="Times New Roman" w:hAnsi="Times New Roman" w:cs="Times New Roman"/>
          <w:sz w:val="24"/>
        </w:rPr>
        <w:t xml:space="preserve"> (con un rango que va desde -11,35 a 13,92). </w:t>
      </w:r>
      <w:r w:rsidR="0097280C">
        <w:rPr>
          <w:rFonts w:ascii="Times New Roman" w:hAnsi="Times New Roman" w:cs="Times New Roman"/>
          <w:sz w:val="24"/>
        </w:rPr>
        <w:t xml:space="preserve">Centrándose en el primer factor, el análisis de trayectorias permite distinguir tres espacios de movilidad típicos: al interior de la clase trabajadora, al interior de la clase media (pequeña burguesía + clase media técnica-rutinaria) y </w:t>
      </w:r>
      <w:r w:rsidR="00331BC3">
        <w:rPr>
          <w:rFonts w:ascii="Times New Roman" w:hAnsi="Times New Roman" w:cs="Times New Roman"/>
          <w:sz w:val="24"/>
        </w:rPr>
        <w:t xml:space="preserve">al interior de la clase directiva-profesional. Sin embargo, en estos tres espacios hay diferencias en función si las trayectorias son de ascenso, descenso o de herencia. </w:t>
      </w:r>
      <w:r w:rsidR="0099353F">
        <w:rPr>
          <w:rFonts w:ascii="Times New Roman" w:hAnsi="Times New Roman" w:cs="Times New Roman"/>
          <w:sz w:val="24"/>
        </w:rPr>
        <w:t>Estas apreciaciones se retomarán a continuación al construir la tipología.</w:t>
      </w:r>
      <w:r>
        <w:rPr>
          <w:rFonts w:ascii="Times New Roman" w:hAnsi="Times New Roman" w:cs="Times New Roman"/>
          <w:sz w:val="24"/>
        </w:rPr>
        <w:t xml:space="preserve">  </w:t>
      </w:r>
    </w:p>
    <w:p w:rsidR="008171C0" w:rsidRDefault="008171C0" w:rsidP="00B105D2">
      <w:pPr>
        <w:spacing w:after="0" w:line="360" w:lineRule="auto"/>
        <w:jc w:val="both"/>
        <w:rPr>
          <w:rFonts w:ascii="Times New Roman" w:hAnsi="Times New Roman" w:cs="Times New Roman"/>
          <w:sz w:val="24"/>
        </w:rPr>
      </w:pPr>
    </w:p>
    <w:p w:rsidR="001F0ED8" w:rsidRDefault="001F0ED8" w:rsidP="00B105D2">
      <w:pPr>
        <w:spacing w:after="0" w:line="360" w:lineRule="auto"/>
        <w:jc w:val="both"/>
        <w:rPr>
          <w:rFonts w:ascii="Times New Roman" w:hAnsi="Times New Roman" w:cs="Times New Roman"/>
          <w:sz w:val="24"/>
        </w:rPr>
      </w:pPr>
      <w:r>
        <w:rPr>
          <w:rFonts w:ascii="Times New Roman" w:hAnsi="Times New Roman" w:cs="Times New Roman"/>
          <w:i/>
          <w:sz w:val="24"/>
        </w:rPr>
        <w:t>De los factores a la tipología</w:t>
      </w:r>
    </w:p>
    <w:p w:rsidR="000B7984" w:rsidRDefault="001F0ED8" w:rsidP="000B7984">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Hasta aquí el ACM permitió describir algunas características sobre aquellos factores relevantes que estructuran el espacio de las clases y las condiciones de vida, mientras que la superposición de las variables suplementarias permitió la especificación del análisis </w:t>
      </w:r>
      <w:r w:rsidR="00C157F6">
        <w:rPr>
          <w:rFonts w:ascii="Times New Roman" w:hAnsi="Times New Roman" w:cs="Times New Roman"/>
          <w:sz w:val="24"/>
        </w:rPr>
        <w:t xml:space="preserve">utilizando variables que dan cuenta de las diferencias de origen. En este paso final, de lo que se trata es de, a partir de la información factorial, constituir mediante un procedimiento jerárquico ascendente </w:t>
      </w:r>
      <w:r w:rsidR="003D03E2">
        <w:rPr>
          <w:rFonts w:ascii="Times New Roman" w:hAnsi="Times New Roman" w:cs="Times New Roman"/>
          <w:sz w:val="24"/>
        </w:rPr>
        <w:t xml:space="preserve">(WARD) </w:t>
      </w:r>
      <w:r w:rsidR="00C157F6">
        <w:rPr>
          <w:rFonts w:ascii="Times New Roman" w:hAnsi="Times New Roman" w:cs="Times New Roman"/>
          <w:sz w:val="24"/>
        </w:rPr>
        <w:t xml:space="preserve">un número determinado de conglomerados que contengan individuos que sean lo más similares al interior del mismo y lo más diferenciados entre los distintos grupos. </w:t>
      </w:r>
      <w:r w:rsidR="00EE5486">
        <w:rPr>
          <w:rFonts w:ascii="Times New Roman" w:hAnsi="Times New Roman" w:cs="Times New Roman"/>
          <w:sz w:val="24"/>
        </w:rPr>
        <w:t xml:space="preserve">El </w:t>
      </w:r>
      <w:r w:rsidR="00C157F6">
        <w:rPr>
          <w:rFonts w:ascii="Times New Roman" w:hAnsi="Times New Roman" w:cs="Times New Roman"/>
          <w:sz w:val="24"/>
        </w:rPr>
        <w:t xml:space="preserve">análisis de conglomerados nos permite dar cuenta de cuáles son los “saltos” más importantes que se dan en cada agregación de individuos, </w:t>
      </w:r>
      <w:r w:rsidR="003D03E2">
        <w:rPr>
          <w:rFonts w:ascii="Times New Roman" w:hAnsi="Times New Roman" w:cs="Times New Roman"/>
          <w:sz w:val="24"/>
        </w:rPr>
        <w:t>es decir, cual agrupamiento garantiza la menor perdida de varianza interna. Sin embargo el criterio del investigador también interviene en la determinación del número de grupos finales que se retendrá, debido a que puede existir la intención de mantener alguno en particular por su relevancia descriptiva a la temática de estudio. En este caso se decidió trabajar con una partición de cinco conglomerados</w:t>
      </w:r>
      <w:r w:rsidR="000B7984">
        <w:rPr>
          <w:rFonts w:ascii="Times New Roman" w:hAnsi="Times New Roman" w:cs="Times New Roman"/>
          <w:sz w:val="24"/>
        </w:rPr>
        <w:t>, que será descrita a conti</w:t>
      </w:r>
      <w:r w:rsidR="009930D1">
        <w:rPr>
          <w:rFonts w:ascii="Times New Roman" w:hAnsi="Times New Roman" w:cs="Times New Roman"/>
          <w:sz w:val="24"/>
        </w:rPr>
        <w:t>nuación</w:t>
      </w:r>
      <w:r w:rsidR="00F43491">
        <w:rPr>
          <w:rFonts w:ascii="Times New Roman" w:hAnsi="Times New Roman" w:cs="Times New Roman"/>
          <w:sz w:val="24"/>
        </w:rPr>
        <w:t xml:space="preserve"> en sus características más sobresalientes</w:t>
      </w:r>
      <w:r w:rsidR="00F43491">
        <w:rPr>
          <w:rStyle w:val="Refdenotaalpie"/>
          <w:rFonts w:ascii="Times New Roman" w:hAnsi="Times New Roman" w:cs="Times New Roman"/>
          <w:sz w:val="24"/>
        </w:rPr>
        <w:footnoteReference w:id="20"/>
      </w:r>
      <w:r w:rsidR="009930D1">
        <w:rPr>
          <w:rFonts w:ascii="Times New Roman" w:hAnsi="Times New Roman" w:cs="Times New Roman"/>
          <w:sz w:val="24"/>
        </w:rPr>
        <w:t>:</w:t>
      </w:r>
    </w:p>
    <w:p w:rsidR="009930D1" w:rsidRDefault="00014B08" w:rsidP="009930D1">
      <w:pPr>
        <w:pStyle w:val="Prrafodelista"/>
        <w:numPr>
          <w:ilvl w:val="0"/>
          <w:numId w:val="15"/>
        </w:numPr>
        <w:spacing w:after="0" w:line="360" w:lineRule="auto"/>
        <w:jc w:val="both"/>
        <w:rPr>
          <w:rFonts w:ascii="Times New Roman" w:hAnsi="Times New Roman" w:cs="Times New Roman"/>
          <w:sz w:val="24"/>
        </w:rPr>
      </w:pPr>
      <w:r>
        <w:rPr>
          <w:rFonts w:ascii="Times New Roman" w:hAnsi="Times New Roman" w:cs="Times New Roman"/>
          <w:i/>
          <w:sz w:val="24"/>
        </w:rPr>
        <w:t>Trayectorias de c</w:t>
      </w:r>
      <w:r w:rsidR="009930D1">
        <w:rPr>
          <w:rFonts w:ascii="Times New Roman" w:hAnsi="Times New Roman" w:cs="Times New Roman"/>
          <w:i/>
          <w:sz w:val="24"/>
        </w:rPr>
        <w:t>lase trabajadora consolidada (24%):</w:t>
      </w:r>
      <w:r w:rsidR="009930D1">
        <w:rPr>
          <w:rFonts w:ascii="Times New Roman" w:hAnsi="Times New Roman" w:cs="Times New Roman"/>
          <w:sz w:val="24"/>
        </w:rPr>
        <w:t xml:space="preserve"> </w:t>
      </w:r>
      <w:r w:rsidR="005E26F6">
        <w:rPr>
          <w:rFonts w:ascii="Times New Roman" w:hAnsi="Times New Roman" w:cs="Times New Roman"/>
          <w:sz w:val="24"/>
        </w:rPr>
        <w:t>representa al 71</w:t>
      </w:r>
      <w:r w:rsidR="009930D1">
        <w:rPr>
          <w:rFonts w:ascii="Times New Roman" w:hAnsi="Times New Roman" w:cs="Times New Roman"/>
          <w:sz w:val="24"/>
        </w:rPr>
        <w:t>% de la clase trabajadora calificada;</w:t>
      </w:r>
      <w:r w:rsidR="00F43491">
        <w:rPr>
          <w:rFonts w:ascii="Times New Roman" w:hAnsi="Times New Roman" w:cs="Times New Roman"/>
          <w:sz w:val="24"/>
        </w:rPr>
        <w:t xml:space="preserve"> niveles de estudios </w:t>
      </w:r>
      <w:r w:rsidR="00D71F2A">
        <w:rPr>
          <w:rFonts w:ascii="Times New Roman" w:hAnsi="Times New Roman" w:cs="Times New Roman"/>
          <w:sz w:val="24"/>
        </w:rPr>
        <w:t xml:space="preserve">mayormente </w:t>
      </w:r>
      <w:r w:rsidR="00F43491">
        <w:rPr>
          <w:rFonts w:ascii="Times New Roman" w:hAnsi="Times New Roman" w:cs="Times New Roman"/>
          <w:sz w:val="24"/>
        </w:rPr>
        <w:t>secundarios;</w:t>
      </w:r>
      <w:r w:rsidR="009930D1">
        <w:rPr>
          <w:rFonts w:ascii="Times New Roman" w:hAnsi="Times New Roman" w:cs="Times New Roman"/>
          <w:sz w:val="24"/>
        </w:rPr>
        <w:t xml:space="preserve"> niveles de ingresos medios ($3001-$6000); </w:t>
      </w:r>
      <w:r w:rsidR="00F43491">
        <w:rPr>
          <w:rFonts w:ascii="Times New Roman" w:hAnsi="Times New Roman" w:cs="Times New Roman"/>
          <w:sz w:val="24"/>
        </w:rPr>
        <w:t>nivel de bienes medio-bajo; residencia en la zona sur; no propiedad de la vivienda; trabajo en establecimientos medianos; orígenes en la clase trabajadora calificada</w:t>
      </w:r>
      <w:r w:rsidR="007214AB">
        <w:rPr>
          <w:rFonts w:ascii="Times New Roman" w:hAnsi="Times New Roman" w:cs="Times New Roman"/>
          <w:sz w:val="24"/>
        </w:rPr>
        <w:t xml:space="preserve"> (46%) y en menor medida en la clase media (25%)</w:t>
      </w:r>
      <w:r w:rsidR="00C91E7E">
        <w:rPr>
          <w:rFonts w:ascii="Times New Roman" w:hAnsi="Times New Roman" w:cs="Times New Roman"/>
          <w:sz w:val="24"/>
        </w:rPr>
        <w:t>; 70% de los integrantes del grupo son varones</w:t>
      </w:r>
      <w:r w:rsidR="007214AB">
        <w:rPr>
          <w:rFonts w:ascii="Times New Roman" w:hAnsi="Times New Roman" w:cs="Times New Roman"/>
          <w:sz w:val="24"/>
        </w:rPr>
        <w:t xml:space="preserve">. </w:t>
      </w:r>
      <w:r w:rsidR="00F43491">
        <w:rPr>
          <w:rFonts w:ascii="Times New Roman" w:hAnsi="Times New Roman" w:cs="Times New Roman"/>
          <w:sz w:val="24"/>
        </w:rPr>
        <w:t xml:space="preserve"> </w:t>
      </w:r>
    </w:p>
    <w:p w:rsidR="00C91E7E" w:rsidRDefault="00014B08" w:rsidP="009930D1">
      <w:pPr>
        <w:pStyle w:val="Prrafodelista"/>
        <w:numPr>
          <w:ilvl w:val="0"/>
          <w:numId w:val="15"/>
        </w:numPr>
        <w:spacing w:after="0" w:line="360" w:lineRule="auto"/>
        <w:jc w:val="both"/>
        <w:rPr>
          <w:rFonts w:ascii="Times New Roman" w:hAnsi="Times New Roman" w:cs="Times New Roman"/>
          <w:sz w:val="24"/>
        </w:rPr>
      </w:pPr>
      <w:r>
        <w:rPr>
          <w:rFonts w:ascii="Times New Roman" w:hAnsi="Times New Roman" w:cs="Times New Roman"/>
          <w:i/>
          <w:sz w:val="24"/>
        </w:rPr>
        <w:t>Trayectorias de pequeños propietarios</w:t>
      </w:r>
      <w:r w:rsidR="007214AB">
        <w:rPr>
          <w:rFonts w:ascii="Times New Roman" w:hAnsi="Times New Roman" w:cs="Times New Roman"/>
          <w:i/>
          <w:sz w:val="24"/>
        </w:rPr>
        <w:t xml:space="preserve"> (19%):</w:t>
      </w:r>
      <w:r w:rsidR="007214AB">
        <w:rPr>
          <w:rFonts w:ascii="Times New Roman" w:hAnsi="Times New Roman" w:cs="Times New Roman"/>
          <w:sz w:val="24"/>
        </w:rPr>
        <w:t xml:space="preserve"> </w:t>
      </w:r>
      <w:r w:rsidR="005E26F6">
        <w:rPr>
          <w:rFonts w:ascii="Times New Roman" w:hAnsi="Times New Roman" w:cs="Times New Roman"/>
          <w:sz w:val="24"/>
        </w:rPr>
        <w:t>representa al</w:t>
      </w:r>
      <w:r w:rsidR="007214AB">
        <w:rPr>
          <w:rFonts w:ascii="Times New Roman" w:hAnsi="Times New Roman" w:cs="Times New Roman"/>
          <w:sz w:val="24"/>
        </w:rPr>
        <w:t xml:space="preserve"> </w:t>
      </w:r>
      <w:r w:rsidR="005E26F6">
        <w:rPr>
          <w:rFonts w:ascii="Times New Roman" w:hAnsi="Times New Roman" w:cs="Times New Roman"/>
          <w:sz w:val="24"/>
        </w:rPr>
        <w:t>82%</w:t>
      </w:r>
      <w:r w:rsidR="007214AB">
        <w:rPr>
          <w:rFonts w:ascii="Times New Roman" w:hAnsi="Times New Roman" w:cs="Times New Roman"/>
          <w:sz w:val="24"/>
        </w:rPr>
        <w:t xml:space="preserve"> de la pequeña burguesía</w:t>
      </w:r>
      <w:r w:rsidR="00D71F2A">
        <w:rPr>
          <w:rFonts w:ascii="Times New Roman" w:hAnsi="Times New Roman" w:cs="Times New Roman"/>
          <w:sz w:val="24"/>
        </w:rPr>
        <w:t>,</w:t>
      </w:r>
      <w:r w:rsidR="007214AB">
        <w:rPr>
          <w:rFonts w:ascii="Times New Roman" w:hAnsi="Times New Roman" w:cs="Times New Roman"/>
          <w:sz w:val="24"/>
        </w:rPr>
        <w:t xml:space="preserve"> que en su mayor parte tiene un nivel de estudios secundarios; niveles de ingresos medios; nivel de bienes medio-alto; propiedad de la vivienda en mayor medida a través de la herencia; mayormente nacidos en la ciudad de Buenos Aires; herederos de la clase media y ascendentes de la clase trabajadora.</w:t>
      </w:r>
    </w:p>
    <w:p w:rsidR="007214AB" w:rsidRDefault="00014B08" w:rsidP="009930D1">
      <w:pPr>
        <w:pStyle w:val="Prrafodelista"/>
        <w:numPr>
          <w:ilvl w:val="0"/>
          <w:numId w:val="15"/>
        </w:numPr>
        <w:spacing w:after="0" w:line="360" w:lineRule="auto"/>
        <w:jc w:val="both"/>
        <w:rPr>
          <w:rFonts w:ascii="Times New Roman" w:hAnsi="Times New Roman" w:cs="Times New Roman"/>
          <w:sz w:val="24"/>
        </w:rPr>
      </w:pPr>
      <w:r>
        <w:rPr>
          <w:rFonts w:ascii="Times New Roman" w:hAnsi="Times New Roman" w:cs="Times New Roman"/>
          <w:i/>
          <w:sz w:val="24"/>
        </w:rPr>
        <w:t>Trayectorias de marginalidad</w:t>
      </w:r>
      <w:r w:rsidR="00C91E7E">
        <w:rPr>
          <w:rFonts w:ascii="Times New Roman" w:hAnsi="Times New Roman" w:cs="Times New Roman"/>
          <w:i/>
          <w:sz w:val="24"/>
        </w:rPr>
        <w:t xml:space="preserve"> (16%):</w:t>
      </w:r>
      <w:r w:rsidR="005E26F6">
        <w:rPr>
          <w:rFonts w:ascii="Times New Roman" w:hAnsi="Times New Roman" w:cs="Times New Roman"/>
          <w:sz w:val="24"/>
        </w:rPr>
        <w:t xml:space="preserve"> representa al 93% </w:t>
      </w:r>
      <w:r w:rsidR="00C91E7E">
        <w:rPr>
          <w:rFonts w:ascii="Times New Roman" w:hAnsi="Times New Roman" w:cs="Times New Roman"/>
          <w:sz w:val="24"/>
        </w:rPr>
        <w:t>de la clase trabajadora no calificada; niveles de estudios primarios; niveles de ingresos bajos (hasta $1400); niveles de bienes bajos; residentes en el sur de la ciudad; trabajadores de pequ</w:t>
      </w:r>
      <w:r w:rsidR="00D71F2A">
        <w:rPr>
          <w:rFonts w:ascii="Times New Roman" w:hAnsi="Times New Roman" w:cs="Times New Roman"/>
          <w:sz w:val="24"/>
        </w:rPr>
        <w:t>eños establecimientos y sin prot</w:t>
      </w:r>
      <w:r w:rsidR="00C91E7E">
        <w:rPr>
          <w:rFonts w:ascii="Times New Roman" w:hAnsi="Times New Roman" w:cs="Times New Roman"/>
          <w:sz w:val="24"/>
        </w:rPr>
        <w:t xml:space="preserve">ección laboral; un 74% del grupo está conformado por </w:t>
      </w:r>
      <w:r w:rsidR="00C91E7E">
        <w:rPr>
          <w:rFonts w:ascii="Times New Roman" w:hAnsi="Times New Roman" w:cs="Times New Roman"/>
          <w:sz w:val="24"/>
        </w:rPr>
        <w:lastRenderedPageBreak/>
        <w:t xml:space="preserve">mujeres; herederos de la clase trabajadora específicamente con orígenes en la clase trabajadora calificada (45%). </w:t>
      </w:r>
    </w:p>
    <w:p w:rsidR="008645BA" w:rsidRDefault="00014B08" w:rsidP="009930D1">
      <w:pPr>
        <w:pStyle w:val="Prrafodelista"/>
        <w:numPr>
          <w:ilvl w:val="0"/>
          <w:numId w:val="15"/>
        </w:numPr>
        <w:spacing w:after="0" w:line="360" w:lineRule="auto"/>
        <w:jc w:val="both"/>
        <w:rPr>
          <w:rFonts w:ascii="Times New Roman" w:hAnsi="Times New Roman" w:cs="Times New Roman"/>
          <w:sz w:val="24"/>
        </w:rPr>
      </w:pPr>
      <w:r>
        <w:rPr>
          <w:rFonts w:ascii="Times New Roman" w:hAnsi="Times New Roman" w:cs="Times New Roman"/>
          <w:i/>
          <w:sz w:val="24"/>
        </w:rPr>
        <w:t>Trayectorias de clase media asalariada</w:t>
      </w:r>
      <w:r w:rsidR="008645BA">
        <w:rPr>
          <w:rFonts w:ascii="Times New Roman" w:hAnsi="Times New Roman" w:cs="Times New Roman"/>
          <w:i/>
          <w:sz w:val="24"/>
        </w:rPr>
        <w:t xml:space="preserve"> (31%):</w:t>
      </w:r>
      <w:r w:rsidR="008645BA">
        <w:rPr>
          <w:rFonts w:ascii="Times New Roman" w:hAnsi="Times New Roman" w:cs="Times New Roman"/>
          <w:sz w:val="24"/>
        </w:rPr>
        <w:t xml:space="preserve"> </w:t>
      </w:r>
      <w:r w:rsidR="005E26F6">
        <w:rPr>
          <w:rFonts w:ascii="Times New Roman" w:hAnsi="Times New Roman" w:cs="Times New Roman"/>
          <w:sz w:val="24"/>
        </w:rPr>
        <w:t>representa al 66%</w:t>
      </w:r>
      <w:r w:rsidR="008645BA">
        <w:rPr>
          <w:rFonts w:ascii="Times New Roman" w:hAnsi="Times New Roman" w:cs="Times New Roman"/>
          <w:sz w:val="24"/>
        </w:rPr>
        <w:t xml:space="preserve"> de la clase media t</w:t>
      </w:r>
      <w:r w:rsidR="005E26F6">
        <w:rPr>
          <w:rFonts w:ascii="Times New Roman" w:hAnsi="Times New Roman" w:cs="Times New Roman"/>
          <w:sz w:val="24"/>
        </w:rPr>
        <w:t>écnica-rutinaria</w:t>
      </w:r>
      <w:r>
        <w:rPr>
          <w:rFonts w:ascii="Times New Roman" w:hAnsi="Times New Roman" w:cs="Times New Roman"/>
          <w:sz w:val="24"/>
        </w:rPr>
        <w:t xml:space="preserve"> y en menor medida a la clase directiva-profesional</w:t>
      </w:r>
      <w:r w:rsidR="005E26F6">
        <w:rPr>
          <w:rFonts w:ascii="Times New Roman" w:hAnsi="Times New Roman" w:cs="Times New Roman"/>
          <w:sz w:val="24"/>
        </w:rPr>
        <w:t>;</w:t>
      </w:r>
      <w:r w:rsidR="008645BA">
        <w:rPr>
          <w:rFonts w:ascii="Times New Roman" w:hAnsi="Times New Roman" w:cs="Times New Roman"/>
          <w:sz w:val="24"/>
        </w:rPr>
        <w:t xml:space="preserve"> disponen </w:t>
      </w:r>
      <w:r w:rsidR="005E26F6">
        <w:rPr>
          <w:rFonts w:ascii="Times New Roman" w:hAnsi="Times New Roman" w:cs="Times New Roman"/>
          <w:sz w:val="24"/>
        </w:rPr>
        <w:t xml:space="preserve">en su mayor parte </w:t>
      </w:r>
      <w:r w:rsidR="008645BA">
        <w:rPr>
          <w:rFonts w:ascii="Times New Roman" w:hAnsi="Times New Roman" w:cs="Times New Roman"/>
          <w:sz w:val="24"/>
        </w:rPr>
        <w:t>de estudios universitarios completos / incompletos; nivel de ingreso</w:t>
      </w:r>
      <w:r w:rsidR="00245BEC">
        <w:rPr>
          <w:rFonts w:ascii="Times New Roman" w:hAnsi="Times New Roman" w:cs="Times New Roman"/>
          <w:sz w:val="24"/>
        </w:rPr>
        <w:t xml:space="preserve">s medios-altos ($6000 a $12000); </w:t>
      </w:r>
      <w:r w:rsidR="005E26F6">
        <w:rPr>
          <w:rFonts w:ascii="Times New Roman" w:hAnsi="Times New Roman" w:cs="Times New Roman"/>
          <w:sz w:val="24"/>
        </w:rPr>
        <w:t>nivel de bienes alto; en su mayor parte son propietarios de la vivienda destacándose el acceso mediante créditos hipotecarios; tienen condiciones laborales protegidas y trabajan en grandes establecimientos; en su mayor parte son nacidos en CABA</w:t>
      </w:r>
      <w:r>
        <w:rPr>
          <w:rFonts w:ascii="Times New Roman" w:hAnsi="Times New Roman" w:cs="Times New Roman"/>
          <w:sz w:val="24"/>
        </w:rPr>
        <w:t xml:space="preserve"> y mujeres</w:t>
      </w:r>
      <w:r w:rsidR="005E26F6">
        <w:rPr>
          <w:rFonts w:ascii="Times New Roman" w:hAnsi="Times New Roman" w:cs="Times New Roman"/>
          <w:sz w:val="24"/>
        </w:rPr>
        <w:t xml:space="preserve">; </w:t>
      </w:r>
      <w:r>
        <w:rPr>
          <w:rFonts w:ascii="Times New Roman" w:hAnsi="Times New Roman" w:cs="Times New Roman"/>
          <w:sz w:val="24"/>
        </w:rPr>
        <w:t>las trayectorias típicas encontradas aquí son de herencia de clase media (33%) hay también procesos de ascensos a la clase directiva-profesional (20%) y de descenso de dicha clase (12%), lo que podría estar indicando indicios de estrategias intergeneracionales de reproducción.</w:t>
      </w:r>
    </w:p>
    <w:p w:rsidR="00014B08" w:rsidRPr="009930D1" w:rsidRDefault="00E64632" w:rsidP="009930D1">
      <w:pPr>
        <w:pStyle w:val="Prrafodelista"/>
        <w:numPr>
          <w:ilvl w:val="0"/>
          <w:numId w:val="15"/>
        </w:numPr>
        <w:spacing w:after="0" w:line="360" w:lineRule="auto"/>
        <w:jc w:val="both"/>
        <w:rPr>
          <w:rFonts w:ascii="Times New Roman" w:hAnsi="Times New Roman" w:cs="Times New Roman"/>
          <w:sz w:val="24"/>
        </w:rPr>
      </w:pPr>
      <w:r>
        <w:rPr>
          <w:rFonts w:ascii="Times New Roman" w:hAnsi="Times New Roman" w:cs="Times New Roman"/>
          <w:i/>
          <w:sz w:val="24"/>
        </w:rPr>
        <w:t xml:space="preserve">Trayectorias de elite (10%): </w:t>
      </w:r>
      <w:r>
        <w:rPr>
          <w:rFonts w:ascii="Times New Roman" w:hAnsi="Times New Roman" w:cs="Times New Roman"/>
          <w:sz w:val="24"/>
        </w:rPr>
        <w:t>Si bien representa a un 42% de la clase directiva-profesional, un 78% de la población agrupada en este grupo es miembro de dicha clase; en su mayoría tienen niveles educativos altos; nivel de ingresos y de bienes altos; en su mayor parte son propietarios y que han accedido a la vivienda sin uso de créditos o herencias; tienen un alto nivel de protección laboral; son residentes en el norte de la ciudad</w:t>
      </w:r>
      <w:r w:rsidR="00CB65E1">
        <w:rPr>
          <w:rFonts w:ascii="Times New Roman" w:hAnsi="Times New Roman" w:cs="Times New Roman"/>
          <w:sz w:val="24"/>
        </w:rPr>
        <w:t xml:space="preserve">; el orígenes se reparten mayormente entre la clase directiva-profesional y resto de la clase media, marcando el importante porcentaje de ascendentes de dicha clase (46%).  </w:t>
      </w:r>
    </w:p>
    <w:p w:rsidR="00D71F2A" w:rsidRDefault="00D71F2A" w:rsidP="00D71F2A">
      <w:pPr>
        <w:pStyle w:val="Epgrafe"/>
        <w:keepNext/>
        <w:ind w:right="1841"/>
        <w:jc w:val="both"/>
      </w:pPr>
      <w:r>
        <w:lastRenderedPageBreak/>
        <w:t xml:space="preserve">Gráfico </w:t>
      </w:r>
      <w:fldSimple w:instr=" SEQ Gráfico \* ARABIC ">
        <w:r>
          <w:rPr>
            <w:noProof/>
          </w:rPr>
          <w:t>3</w:t>
        </w:r>
      </w:fldSimple>
      <w:r>
        <w:t>. Tipología de trayectorias de clase e individuos representados en el gráfico factorial construido</w:t>
      </w:r>
    </w:p>
    <w:p w:rsidR="000B7984" w:rsidRDefault="000B7984" w:rsidP="00B105D2">
      <w:pPr>
        <w:spacing w:after="0" w:line="360" w:lineRule="auto"/>
        <w:jc w:val="both"/>
        <w:rPr>
          <w:rFonts w:ascii="Times New Roman" w:hAnsi="Times New Roman" w:cs="Times New Roman"/>
          <w:sz w:val="24"/>
        </w:rPr>
      </w:pPr>
      <w:r>
        <w:rPr>
          <w:rFonts w:ascii="Times New Roman" w:hAnsi="Times New Roman" w:cs="Times New Roman"/>
          <w:noProof/>
          <w:sz w:val="24"/>
          <w:lang w:eastAsia="es-AR"/>
        </w:rPr>
        <w:drawing>
          <wp:inline distT="0" distB="0" distL="0" distR="0">
            <wp:extent cx="4449249" cy="3419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9913" cy="3435356"/>
                    </a:xfrm>
                    <a:prstGeom prst="rect">
                      <a:avLst/>
                    </a:prstGeom>
                    <a:noFill/>
                    <a:ln>
                      <a:noFill/>
                    </a:ln>
                  </pic:spPr>
                </pic:pic>
              </a:graphicData>
            </a:graphic>
          </wp:inline>
        </w:drawing>
      </w:r>
      <w:r w:rsidR="003D03E2">
        <w:rPr>
          <w:rFonts w:ascii="Times New Roman" w:hAnsi="Times New Roman" w:cs="Times New Roman"/>
          <w:sz w:val="24"/>
        </w:rPr>
        <w:t xml:space="preserve"> </w:t>
      </w:r>
    </w:p>
    <w:p w:rsidR="00D71F2A" w:rsidRPr="00E82034" w:rsidRDefault="00D71F2A" w:rsidP="00D71F2A">
      <w:pPr>
        <w:spacing w:after="0" w:line="360" w:lineRule="auto"/>
        <w:jc w:val="both"/>
        <w:rPr>
          <w:rFonts w:ascii="Times New Roman" w:hAnsi="Times New Roman" w:cs="Times New Roman"/>
          <w:sz w:val="18"/>
        </w:rPr>
      </w:pPr>
      <w:r>
        <w:rPr>
          <w:rFonts w:ascii="Times New Roman" w:hAnsi="Times New Roman" w:cs="Times New Roman"/>
          <w:sz w:val="18"/>
        </w:rPr>
        <w:t>Fuente: elaboración propia en base a Encuesta FONCYT 2012-2013.</w:t>
      </w:r>
    </w:p>
    <w:p w:rsidR="000B7984" w:rsidRDefault="000B7984" w:rsidP="00B105D2">
      <w:pPr>
        <w:spacing w:after="0" w:line="360" w:lineRule="auto"/>
        <w:jc w:val="both"/>
        <w:rPr>
          <w:rFonts w:ascii="Times New Roman" w:hAnsi="Times New Roman" w:cs="Times New Roman"/>
          <w:sz w:val="24"/>
        </w:rPr>
      </w:pPr>
    </w:p>
    <w:p w:rsidR="001F0ED8" w:rsidRDefault="00B53E38" w:rsidP="00B105D2">
      <w:pPr>
        <w:spacing w:after="0" w:line="360" w:lineRule="auto"/>
        <w:jc w:val="both"/>
        <w:rPr>
          <w:rFonts w:ascii="Times New Roman" w:hAnsi="Times New Roman" w:cs="Times New Roman"/>
          <w:b/>
          <w:sz w:val="24"/>
        </w:rPr>
      </w:pPr>
      <w:r>
        <w:rPr>
          <w:rFonts w:ascii="Times New Roman" w:hAnsi="Times New Roman" w:cs="Times New Roman"/>
          <w:b/>
          <w:sz w:val="24"/>
        </w:rPr>
        <w:t>Reflexiones finales</w:t>
      </w:r>
    </w:p>
    <w:p w:rsidR="000939A5" w:rsidRDefault="005232E6" w:rsidP="00B105D2">
      <w:pPr>
        <w:spacing w:after="0" w:line="360" w:lineRule="auto"/>
        <w:jc w:val="both"/>
        <w:rPr>
          <w:rFonts w:ascii="Times New Roman" w:hAnsi="Times New Roman" w:cs="Times New Roman"/>
          <w:sz w:val="24"/>
        </w:rPr>
      </w:pPr>
      <w:r>
        <w:rPr>
          <w:rFonts w:ascii="Times New Roman" w:hAnsi="Times New Roman" w:cs="Times New Roman"/>
          <w:sz w:val="24"/>
        </w:rPr>
        <w:t>Esta ponencia se enmarcó dentro del campo de estudios de la estructura de clases y la movilidad social. Dentro de esta tradición, se intentó dar cuenta de una problemática pertinente a través de técnicas poco utilizadas en la literatura sobre la temática. En e</w:t>
      </w:r>
      <w:r w:rsidR="00D71F2A">
        <w:rPr>
          <w:rFonts w:ascii="Times New Roman" w:hAnsi="Times New Roman" w:cs="Times New Roman"/>
          <w:sz w:val="24"/>
        </w:rPr>
        <w:t>ste sentido, lo que se presenta</w:t>
      </w:r>
      <w:r>
        <w:rPr>
          <w:rFonts w:ascii="Times New Roman" w:hAnsi="Times New Roman" w:cs="Times New Roman"/>
          <w:sz w:val="24"/>
        </w:rPr>
        <w:t xml:space="preserve"> </w:t>
      </w:r>
      <w:r w:rsidR="00D71F2A">
        <w:rPr>
          <w:rFonts w:ascii="Times New Roman" w:hAnsi="Times New Roman" w:cs="Times New Roman"/>
          <w:sz w:val="24"/>
        </w:rPr>
        <w:t>es el abordaje</w:t>
      </w:r>
      <w:r>
        <w:rPr>
          <w:rFonts w:ascii="Times New Roman" w:hAnsi="Times New Roman" w:cs="Times New Roman"/>
          <w:sz w:val="24"/>
        </w:rPr>
        <w:t xml:space="preserve"> de la movilidad social a partir de</w:t>
      </w:r>
      <w:r w:rsidR="00366C43">
        <w:rPr>
          <w:rFonts w:ascii="Times New Roman" w:hAnsi="Times New Roman" w:cs="Times New Roman"/>
          <w:sz w:val="24"/>
        </w:rPr>
        <w:t>l análisis factorial, que puede</w:t>
      </w:r>
      <w:r>
        <w:rPr>
          <w:rFonts w:ascii="Times New Roman" w:hAnsi="Times New Roman" w:cs="Times New Roman"/>
          <w:sz w:val="24"/>
        </w:rPr>
        <w:t xml:space="preserve"> ser utilizado en modo complementario con los estudios de movilidad absoluta, a partir de tablas de movilidad, y los de movilidad relativa, a partir de análi</w:t>
      </w:r>
      <w:r w:rsidR="000939A5">
        <w:rPr>
          <w:rFonts w:ascii="Times New Roman" w:hAnsi="Times New Roman" w:cs="Times New Roman"/>
          <w:sz w:val="24"/>
        </w:rPr>
        <w:t>sis log-lineal. En futuros trabajos resultaría fructífero comparar dichas técnicas dando cuenta de las fortalezas y limitaciones que cada una</w:t>
      </w:r>
      <w:r w:rsidR="00F1039F">
        <w:rPr>
          <w:rFonts w:ascii="Times New Roman" w:hAnsi="Times New Roman" w:cs="Times New Roman"/>
          <w:sz w:val="24"/>
        </w:rPr>
        <w:t xml:space="preserve"> presenta. </w:t>
      </w:r>
    </w:p>
    <w:p w:rsidR="00F1039F" w:rsidRDefault="00F1039F" w:rsidP="00B105D2">
      <w:pPr>
        <w:spacing w:after="0" w:line="360" w:lineRule="auto"/>
        <w:jc w:val="both"/>
        <w:rPr>
          <w:rFonts w:ascii="Times New Roman" w:hAnsi="Times New Roman" w:cs="Times New Roman"/>
          <w:sz w:val="24"/>
        </w:rPr>
      </w:pPr>
      <w:r>
        <w:rPr>
          <w:rFonts w:ascii="Times New Roman" w:hAnsi="Times New Roman" w:cs="Times New Roman"/>
          <w:sz w:val="24"/>
        </w:rPr>
        <w:t>El proceso de factorización de las variables originales consideradas, permitió identificar tres factores estructurantes en la relación clase sociales – condiciones de vida. En primer lugar que la acumulación de capitales (económico y escolar) y activos se distribuye desigualmente según la pertenencia de clase</w:t>
      </w:r>
      <w:r w:rsidR="00B670E2">
        <w:rPr>
          <w:rFonts w:ascii="Times New Roman" w:hAnsi="Times New Roman" w:cs="Times New Roman"/>
          <w:sz w:val="24"/>
        </w:rPr>
        <w:t xml:space="preserve">. En segundo lugar pareciera existir también una situación de diferenciación entre aquellas clases sociales caracterizadas a partir de su definición a través de la asalarización o el cuentapropismo: mientras que en el primer caso se vincula a condiciones de vida de tipo “medio”, las clases con mayores niveles de empleadores o trabajadores independientes son también las más extremas en las </w:t>
      </w:r>
      <w:r w:rsidR="00B670E2">
        <w:rPr>
          <w:rFonts w:ascii="Times New Roman" w:hAnsi="Times New Roman" w:cs="Times New Roman"/>
          <w:sz w:val="24"/>
        </w:rPr>
        <w:lastRenderedPageBreak/>
        <w:t>situaciones de bienestar. Un análisis futuro de incorporando en el estudio a las fracciones o a los estratos que componen cada clase, puede hacer foco y especificar dichos resultados. En tercer lugar, pero no por ello de menor importancia, la “estabilidad residencial” resulta un eje a indagar, siendo la propiedad una característica típica mayormente en las clases mejor posicionada.</w:t>
      </w:r>
      <w:r w:rsidR="00D71F2A">
        <w:rPr>
          <w:rFonts w:ascii="Times New Roman" w:hAnsi="Times New Roman" w:cs="Times New Roman"/>
          <w:sz w:val="24"/>
        </w:rPr>
        <w:t xml:space="preserve"> La incorporación de ciertas variables que dan cuenta de aspectos adscriptivos como la clase social de origen, entre otras, ha permitido </w:t>
      </w:r>
      <w:r w:rsidR="00414D6A">
        <w:rPr>
          <w:rFonts w:ascii="Times New Roman" w:hAnsi="Times New Roman" w:cs="Times New Roman"/>
          <w:sz w:val="24"/>
        </w:rPr>
        <w:t>responder positivamente acerca de la asociación entre dichos aspectos y aquellos ligados al posicionamiento de clase y las condiciones de vida. Sin embargo es necesario aclarar, que la inserción de clase de los sujetos (posición de destino)</w:t>
      </w:r>
      <w:r w:rsidR="00364C64">
        <w:rPr>
          <w:rFonts w:ascii="Times New Roman" w:hAnsi="Times New Roman" w:cs="Times New Roman"/>
          <w:sz w:val="24"/>
        </w:rPr>
        <w:t>, así como el nivel de educación,</w:t>
      </w:r>
      <w:r w:rsidR="00414D6A">
        <w:rPr>
          <w:rFonts w:ascii="Times New Roman" w:hAnsi="Times New Roman" w:cs="Times New Roman"/>
          <w:sz w:val="24"/>
        </w:rPr>
        <w:t xml:space="preserve"> contin</w:t>
      </w:r>
      <w:r w:rsidR="00364C64">
        <w:rPr>
          <w:rFonts w:ascii="Times New Roman" w:hAnsi="Times New Roman" w:cs="Times New Roman"/>
          <w:sz w:val="24"/>
        </w:rPr>
        <w:t>úa</w:t>
      </w:r>
      <w:r w:rsidR="00366C43">
        <w:rPr>
          <w:rFonts w:ascii="Times New Roman" w:hAnsi="Times New Roman" w:cs="Times New Roman"/>
          <w:sz w:val="24"/>
        </w:rPr>
        <w:t>n</w:t>
      </w:r>
      <w:r w:rsidR="00364C64">
        <w:rPr>
          <w:rFonts w:ascii="Times New Roman" w:hAnsi="Times New Roman" w:cs="Times New Roman"/>
          <w:sz w:val="24"/>
        </w:rPr>
        <w:t xml:space="preserve"> actuando como </w:t>
      </w:r>
      <w:r w:rsidR="00366C43">
        <w:rPr>
          <w:rFonts w:ascii="Times New Roman" w:hAnsi="Times New Roman" w:cs="Times New Roman"/>
          <w:sz w:val="24"/>
        </w:rPr>
        <w:t>los factores de mayor condicionamiento</w:t>
      </w:r>
      <w:r w:rsidR="00364C64">
        <w:rPr>
          <w:rFonts w:ascii="Times New Roman" w:hAnsi="Times New Roman" w:cs="Times New Roman"/>
          <w:sz w:val="24"/>
        </w:rPr>
        <w:t xml:space="preserve"> sobre el bienestar material de los hogares.</w:t>
      </w:r>
    </w:p>
    <w:p w:rsidR="000939A5" w:rsidRDefault="00B670E2" w:rsidP="00B105D2">
      <w:pPr>
        <w:spacing w:after="0" w:line="360" w:lineRule="auto"/>
        <w:jc w:val="both"/>
        <w:rPr>
          <w:rFonts w:ascii="Times New Roman" w:hAnsi="Times New Roman" w:cs="Times New Roman"/>
          <w:sz w:val="24"/>
        </w:rPr>
      </w:pPr>
      <w:r>
        <w:rPr>
          <w:rFonts w:ascii="Times New Roman" w:hAnsi="Times New Roman" w:cs="Times New Roman"/>
          <w:sz w:val="24"/>
        </w:rPr>
        <w:t>Por último el análisis de conglomerados arrojó una tipología que permite el estudio de las trayect</w:t>
      </w:r>
      <w:bookmarkStart w:id="0" w:name="_GoBack"/>
      <w:bookmarkEnd w:id="0"/>
      <w:r>
        <w:rPr>
          <w:rFonts w:ascii="Times New Roman" w:hAnsi="Times New Roman" w:cs="Times New Roman"/>
          <w:sz w:val="24"/>
        </w:rPr>
        <w:t xml:space="preserve">orias construyendo cinco grupos a partir de sus características más destacables y diferenciadoras. Si bien la tipología puede ser utilizada para contrastarla con otras variables que se tenga interés, también puede ser empleada como forma de muestreo, al </w:t>
      </w:r>
      <w:r w:rsidR="00EB79A6">
        <w:rPr>
          <w:rFonts w:ascii="Times New Roman" w:hAnsi="Times New Roman" w:cs="Times New Roman"/>
          <w:sz w:val="24"/>
        </w:rPr>
        <w:t>identificar individuos típicos o “parangones”</w:t>
      </w:r>
      <w:r w:rsidR="001F57ED">
        <w:rPr>
          <w:rFonts w:ascii="Times New Roman" w:hAnsi="Times New Roman" w:cs="Times New Roman"/>
          <w:sz w:val="24"/>
        </w:rPr>
        <w:t xml:space="preserve"> </w:t>
      </w:r>
      <w:r w:rsidR="003C4235">
        <w:rPr>
          <w:rFonts w:ascii="Times New Roman" w:hAnsi="Times New Roman" w:cs="Times New Roman"/>
          <w:sz w:val="24"/>
        </w:rPr>
        <w:fldChar w:fldCharType="begin"/>
      </w:r>
      <w:r w:rsidR="001F57ED">
        <w:rPr>
          <w:rFonts w:ascii="Times New Roman" w:hAnsi="Times New Roman" w:cs="Times New Roman"/>
          <w:sz w:val="24"/>
        </w:rPr>
        <w:instrText xml:space="preserve"> ADDIN ZOTERO_ITEM CSL_CITATION {"citationID":"2fop1okirt","properties":{"formattedCitation":"{\\rtf (Alcaide Lozano, Fachelli, y L\\uc0\\u243{}pez Rold\\uc0\\u225{}n, 2016)}","plainCitation":"(Alcaide Lozano, Fachelli, y López Roldán, 2016)"},"citationItems":[{"id":1418,"uris":["http://zotero.org/users/2248776/items/99387IV3"],"uri":["http://zotero.org/users/2248776/items/99387IV3"],"itemData":{"id":1418,"type":"paper-conference","title":"El parangón tipológico: las bondades de su uso en los diseños mixtos","publisher-place":"Gijón","event":"XII Congreso Español de Sociología","event-place":"Gijón","author":[{"family":"Alcaide Lozano","given":"Vanessa"},{"family":"Fachelli","given":"Sandra"},{"family":"López Roldán","given":""}],"issued":{"date-parts":[["2016",1,7]]}}}],"schema":"https://github.com/citation-style-language/schema/raw/master/csl-citation.json"} </w:instrText>
      </w:r>
      <w:r w:rsidR="003C4235">
        <w:rPr>
          <w:rFonts w:ascii="Times New Roman" w:hAnsi="Times New Roman" w:cs="Times New Roman"/>
          <w:sz w:val="24"/>
        </w:rPr>
        <w:fldChar w:fldCharType="separate"/>
      </w:r>
      <w:r w:rsidR="001F57ED" w:rsidRPr="001F57ED">
        <w:rPr>
          <w:rFonts w:ascii="Times New Roman" w:hAnsi="Times New Roman" w:cs="Times New Roman"/>
          <w:sz w:val="24"/>
          <w:szCs w:val="24"/>
        </w:rPr>
        <w:t>(Alcaide Lozano, Fachelli, y López Roldán, 2016)</w:t>
      </w:r>
      <w:r w:rsidR="003C4235">
        <w:rPr>
          <w:rFonts w:ascii="Times New Roman" w:hAnsi="Times New Roman" w:cs="Times New Roman"/>
          <w:sz w:val="24"/>
        </w:rPr>
        <w:fldChar w:fldCharType="end"/>
      </w:r>
      <w:r w:rsidR="00EB79A6">
        <w:rPr>
          <w:rFonts w:ascii="Times New Roman" w:hAnsi="Times New Roman" w:cs="Times New Roman"/>
          <w:sz w:val="24"/>
        </w:rPr>
        <w:t xml:space="preserve"> que pueden ser </w:t>
      </w:r>
      <w:r w:rsidR="001F57ED">
        <w:rPr>
          <w:rFonts w:ascii="Times New Roman" w:hAnsi="Times New Roman" w:cs="Times New Roman"/>
          <w:sz w:val="24"/>
        </w:rPr>
        <w:t>localizados</w:t>
      </w:r>
      <w:r w:rsidR="00EB79A6">
        <w:rPr>
          <w:rFonts w:ascii="Times New Roman" w:hAnsi="Times New Roman" w:cs="Times New Roman"/>
          <w:sz w:val="24"/>
        </w:rPr>
        <w:t xml:space="preserve"> y abordados desd</w:t>
      </w:r>
      <w:r w:rsidR="00133660">
        <w:rPr>
          <w:rFonts w:ascii="Times New Roman" w:hAnsi="Times New Roman" w:cs="Times New Roman"/>
          <w:sz w:val="24"/>
        </w:rPr>
        <w:t>e otras técnicas o metodologías.</w:t>
      </w:r>
    </w:p>
    <w:p w:rsidR="00133660" w:rsidRDefault="00133660" w:rsidP="00B105D2">
      <w:pPr>
        <w:spacing w:after="0" w:line="360" w:lineRule="auto"/>
        <w:jc w:val="both"/>
        <w:rPr>
          <w:rFonts w:ascii="Times New Roman" w:hAnsi="Times New Roman" w:cs="Times New Roman"/>
          <w:sz w:val="24"/>
        </w:rPr>
      </w:pPr>
    </w:p>
    <w:p w:rsidR="00B44671" w:rsidRDefault="00B44671" w:rsidP="00B105D2">
      <w:pPr>
        <w:spacing w:after="0" w:line="360" w:lineRule="auto"/>
        <w:jc w:val="both"/>
        <w:rPr>
          <w:rFonts w:ascii="Times New Roman" w:hAnsi="Times New Roman" w:cs="Times New Roman"/>
          <w:b/>
          <w:sz w:val="24"/>
        </w:rPr>
      </w:pPr>
      <w:r>
        <w:rPr>
          <w:rFonts w:ascii="Times New Roman" w:hAnsi="Times New Roman" w:cs="Times New Roman"/>
          <w:b/>
          <w:sz w:val="24"/>
        </w:rPr>
        <w:t xml:space="preserve">Bibliografía </w:t>
      </w:r>
    </w:p>
    <w:p w:rsidR="00B44671" w:rsidRPr="00B44671" w:rsidRDefault="003C4235"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b/>
          <w:sz w:val="24"/>
          <w:szCs w:val="24"/>
        </w:rPr>
        <w:fldChar w:fldCharType="begin"/>
      </w:r>
      <w:r w:rsidR="00B44671" w:rsidRPr="00B44671">
        <w:rPr>
          <w:rFonts w:ascii="Times New Roman" w:hAnsi="Times New Roman" w:cs="Times New Roman"/>
          <w:b/>
          <w:sz w:val="24"/>
          <w:szCs w:val="24"/>
        </w:rPr>
        <w:instrText xml:space="preserve"> ADDIN ZOTERO_BIBL {"custom":[]} CSL_BIBLIOGRAPHY </w:instrText>
      </w:r>
      <w:r w:rsidRPr="00B44671">
        <w:rPr>
          <w:rFonts w:ascii="Times New Roman" w:hAnsi="Times New Roman" w:cs="Times New Roman"/>
          <w:b/>
          <w:sz w:val="24"/>
          <w:szCs w:val="24"/>
        </w:rPr>
        <w:fldChar w:fldCharType="separate"/>
      </w:r>
      <w:r w:rsidR="00B44671" w:rsidRPr="00B44671">
        <w:rPr>
          <w:rFonts w:ascii="Times New Roman" w:hAnsi="Times New Roman" w:cs="Times New Roman"/>
          <w:sz w:val="20"/>
          <w:szCs w:val="24"/>
        </w:rPr>
        <w:t xml:space="preserve">Adaszko, D. (2009). </w:t>
      </w:r>
      <w:r w:rsidR="00B44671" w:rsidRPr="00B44671">
        <w:rPr>
          <w:rFonts w:ascii="Times New Roman" w:hAnsi="Times New Roman" w:cs="Times New Roman"/>
          <w:i/>
          <w:iCs/>
          <w:sz w:val="20"/>
          <w:szCs w:val="24"/>
        </w:rPr>
        <w:t>El análisis de correspondencias desde adentro</w:t>
      </w:r>
      <w:r w:rsidR="00B44671" w:rsidRPr="00B44671">
        <w:rPr>
          <w:rFonts w:ascii="Times New Roman" w:hAnsi="Times New Roman" w:cs="Times New Roman"/>
          <w:sz w:val="20"/>
          <w:szCs w:val="24"/>
        </w:rPr>
        <w:t xml:space="preserve"> (Tesis de Maestría). Universidad Nacional de Tres de Febrero.</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Alcaide Lozano, V., Fachelli, S., y López Roldán. (2016). El parangón tipológico: las bondades de su uso en los diseños mixtos. Presentado en XII Congreso Español de Sociología, Gijón.</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Baranger, D. (2004). </w:t>
      </w:r>
      <w:r w:rsidRPr="00B44671">
        <w:rPr>
          <w:rFonts w:ascii="Times New Roman" w:hAnsi="Times New Roman" w:cs="Times New Roman"/>
          <w:i/>
          <w:iCs/>
          <w:sz w:val="20"/>
          <w:szCs w:val="24"/>
        </w:rPr>
        <w:t>Epistemología y metodología en la obra de Pierre Bourdieu</w:t>
      </w:r>
      <w:r w:rsidRPr="00B44671">
        <w:rPr>
          <w:rFonts w:ascii="Times New Roman" w:hAnsi="Times New Roman" w:cs="Times New Roman"/>
          <w:sz w:val="20"/>
          <w:szCs w:val="24"/>
        </w:rPr>
        <w:t xml:space="preserve">. Prometeo Libros Editorial. </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Baranger, D. (2009). Construcción y análisis de datos. Introducción al uso de técnicas cuantitativas en la investigación social. </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lang w:val="en-GB"/>
        </w:rPr>
        <w:t xml:space="preserve">Benzécri, J. P. (1992). </w:t>
      </w:r>
      <w:r w:rsidRPr="00B44671">
        <w:rPr>
          <w:rFonts w:ascii="Times New Roman" w:hAnsi="Times New Roman" w:cs="Times New Roman"/>
          <w:i/>
          <w:iCs/>
          <w:sz w:val="20"/>
          <w:szCs w:val="24"/>
          <w:lang w:val="en-GB"/>
        </w:rPr>
        <w:t>Correspondence analysis handbook</w:t>
      </w:r>
      <w:r w:rsidRPr="00B44671">
        <w:rPr>
          <w:rFonts w:ascii="Times New Roman" w:hAnsi="Times New Roman" w:cs="Times New Roman"/>
          <w:sz w:val="20"/>
          <w:szCs w:val="24"/>
          <w:lang w:val="en-GB"/>
        </w:rPr>
        <w:t xml:space="preserve">. </w:t>
      </w:r>
      <w:r w:rsidRPr="00B44671">
        <w:rPr>
          <w:rFonts w:ascii="Times New Roman" w:hAnsi="Times New Roman" w:cs="Times New Roman"/>
          <w:sz w:val="20"/>
          <w:szCs w:val="24"/>
        </w:rPr>
        <w:t xml:space="preserve">París: CRC Press. </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Blau, P. M., y Duncan, O. D. (1967). </w:t>
      </w:r>
      <w:r w:rsidRPr="00B44671">
        <w:rPr>
          <w:rFonts w:ascii="Times New Roman" w:hAnsi="Times New Roman" w:cs="Times New Roman"/>
          <w:i/>
          <w:iCs/>
          <w:sz w:val="20"/>
          <w:szCs w:val="24"/>
          <w:lang w:val="en-GB"/>
        </w:rPr>
        <w:t>The American occupational structure</w:t>
      </w:r>
      <w:r w:rsidRPr="00B44671">
        <w:rPr>
          <w:rFonts w:ascii="Times New Roman" w:hAnsi="Times New Roman" w:cs="Times New Roman"/>
          <w:sz w:val="20"/>
          <w:szCs w:val="24"/>
          <w:lang w:val="en-GB"/>
        </w:rPr>
        <w:t xml:space="preserve">. New York: John Wiley &amp; Sons. </w:t>
      </w:r>
      <w:r w:rsidRPr="00B44671">
        <w:rPr>
          <w:rFonts w:ascii="Times New Roman" w:hAnsi="Times New Roman" w:cs="Times New Roman"/>
          <w:sz w:val="20"/>
          <w:szCs w:val="24"/>
        </w:rPr>
        <w:t>Recuperado a partir de http://eric.ed.gov/?id=ED066526</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Bourdieu, P. (1990). Espacio social y génesis de las clases. </w:t>
      </w:r>
      <w:r w:rsidRPr="00B44671">
        <w:rPr>
          <w:rFonts w:ascii="Times New Roman" w:hAnsi="Times New Roman" w:cs="Times New Roman"/>
          <w:i/>
          <w:iCs/>
          <w:sz w:val="20"/>
          <w:szCs w:val="24"/>
        </w:rPr>
        <w:t>Sociología y cultura</w:t>
      </w:r>
      <w:r w:rsidRPr="00B44671">
        <w:rPr>
          <w:rFonts w:ascii="Times New Roman" w:hAnsi="Times New Roman" w:cs="Times New Roman"/>
          <w:sz w:val="20"/>
          <w:szCs w:val="24"/>
        </w:rPr>
        <w:t>, 281–309.</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Bourdieu, P. (2012a). </w:t>
      </w:r>
      <w:r w:rsidRPr="00B44671">
        <w:rPr>
          <w:rFonts w:ascii="Times New Roman" w:hAnsi="Times New Roman" w:cs="Times New Roman"/>
          <w:i/>
          <w:iCs/>
          <w:sz w:val="20"/>
          <w:szCs w:val="24"/>
        </w:rPr>
        <w:t>La Distinción: criterios y bases sociales del gusto</w:t>
      </w:r>
      <w:r w:rsidRPr="00B44671">
        <w:rPr>
          <w:rFonts w:ascii="Times New Roman" w:hAnsi="Times New Roman" w:cs="Times New Roman"/>
          <w:sz w:val="20"/>
          <w:szCs w:val="24"/>
        </w:rPr>
        <w:t>. Buenos Aires: Taurus.</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Bourdieu, P. (2012b). </w:t>
      </w:r>
      <w:r w:rsidRPr="00B44671">
        <w:rPr>
          <w:rFonts w:ascii="Times New Roman" w:hAnsi="Times New Roman" w:cs="Times New Roman"/>
          <w:i/>
          <w:iCs/>
          <w:sz w:val="20"/>
          <w:szCs w:val="24"/>
        </w:rPr>
        <w:t>Las estrategias de la reproducción social</w:t>
      </w:r>
      <w:r w:rsidRPr="00B44671">
        <w:rPr>
          <w:rFonts w:ascii="Times New Roman" w:hAnsi="Times New Roman" w:cs="Times New Roman"/>
          <w:sz w:val="20"/>
          <w:szCs w:val="24"/>
        </w:rPr>
        <w:t>. Siglo XXI.</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Cachón Rodríguez, L. (1989). </w:t>
      </w:r>
      <w:r w:rsidRPr="00B44671">
        <w:rPr>
          <w:rFonts w:ascii="Times New Roman" w:hAnsi="Times New Roman" w:cs="Times New Roman"/>
          <w:i/>
          <w:iCs/>
          <w:sz w:val="20"/>
          <w:szCs w:val="24"/>
        </w:rPr>
        <w:t>¿Movilidad social o trayectorias de clase?: elementos para una crítica de la sociología de la movilidad social</w:t>
      </w:r>
      <w:r w:rsidRPr="00B44671">
        <w:rPr>
          <w:rFonts w:ascii="Times New Roman" w:hAnsi="Times New Roman" w:cs="Times New Roman"/>
          <w:sz w:val="20"/>
          <w:szCs w:val="24"/>
        </w:rPr>
        <w:t xml:space="preserve">. Madrid: Centro de Investigaciones Sociológicas (CIS). </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Chávez Molina, E., y Gutiérrez Ageitos, P. (2009). Movilidad intergeneracional y marginalidad económica. Un estudio de caso en el Conurbano Bonaerense. </w:t>
      </w:r>
      <w:r w:rsidRPr="00B44671">
        <w:rPr>
          <w:rFonts w:ascii="Times New Roman" w:hAnsi="Times New Roman" w:cs="Times New Roman"/>
          <w:i/>
          <w:iCs/>
          <w:sz w:val="20"/>
          <w:szCs w:val="24"/>
        </w:rPr>
        <w:t>Población de Buenos Aires</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6</w:t>
      </w:r>
      <w:r w:rsidRPr="00B44671">
        <w:rPr>
          <w:rFonts w:ascii="Times New Roman" w:hAnsi="Times New Roman" w:cs="Times New Roman"/>
          <w:sz w:val="20"/>
          <w:szCs w:val="24"/>
        </w:rPr>
        <w:t>(10), 29-48.</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lang w:val="en-GB"/>
        </w:rPr>
      </w:pPr>
      <w:r w:rsidRPr="00B44671">
        <w:rPr>
          <w:rFonts w:ascii="Times New Roman" w:hAnsi="Times New Roman" w:cs="Times New Roman"/>
          <w:sz w:val="20"/>
          <w:szCs w:val="24"/>
        </w:rPr>
        <w:lastRenderedPageBreak/>
        <w:t xml:space="preserve">Dalle, P. (2016). </w:t>
      </w:r>
      <w:r w:rsidRPr="00B44671">
        <w:rPr>
          <w:rFonts w:ascii="Times New Roman" w:hAnsi="Times New Roman" w:cs="Times New Roman"/>
          <w:i/>
          <w:iCs/>
          <w:sz w:val="20"/>
          <w:szCs w:val="24"/>
        </w:rPr>
        <w:t>Movilidad social desde las clases populares: un estudio sociológico en el Área Metropolitana de Buenos Aires 1960-2013</w:t>
      </w:r>
      <w:r w:rsidRPr="00B44671">
        <w:rPr>
          <w:rFonts w:ascii="Times New Roman" w:hAnsi="Times New Roman" w:cs="Times New Roman"/>
          <w:sz w:val="20"/>
          <w:szCs w:val="24"/>
        </w:rPr>
        <w:t xml:space="preserve">. </w:t>
      </w:r>
      <w:r w:rsidRPr="00B44671">
        <w:rPr>
          <w:rFonts w:ascii="Times New Roman" w:hAnsi="Times New Roman" w:cs="Times New Roman"/>
          <w:sz w:val="20"/>
          <w:szCs w:val="24"/>
          <w:lang w:val="en-GB"/>
        </w:rPr>
        <w:t>IIGG-CLACSO.</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lang w:val="en-GB"/>
        </w:rPr>
        <w:t xml:space="preserve">Erikson, R., y Goldthorpe, J. H. (1992). </w:t>
      </w:r>
      <w:r w:rsidRPr="00B44671">
        <w:rPr>
          <w:rFonts w:ascii="Times New Roman" w:hAnsi="Times New Roman" w:cs="Times New Roman"/>
          <w:i/>
          <w:iCs/>
          <w:sz w:val="20"/>
          <w:szCs w:val="24"/>
          <w:lang w:val="en-GB"/>
        </w:rPr>
        <w:t>The constant flux: A study of class mobility in industrial societies</w:t>
      </w:r>
      <w:r w:rsidRPr="00B44671">
        <w:rPr>
          <w:rFonts w:ascii="Times New Roman" w:hAnsi="Times New Roman" w:cs="Times New Roman"/>
          <w:sz w:val="20"/>
          <w:szCs w:val="24"/>
          <w:lang w:val="en-GB"/>
        </w:rPr>
        <w:t xml:space="preserve">. </w:t>
      </w:r>
      <w:r w:rsidRPr="00B44671">
        <w:rPr>
          <w:rFonts w:ascii="Times New Roman" w:hAnsi="Times New Roman" w:cs="Times New Roman"/>
          <w:sz w:val="20"/>
          <w:szCs w:val="24"/>
        </w:rPr>
        <w:t>Oxford University Press, USA.</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Fachelli, S., Goicoechea, M. E., y López Roldán, P. (2014). Trazando el mapa social de Buenos Aires: dos décadas de cambios en la Ciudad. </w:t>
      </w:r>
      <w:r w:rsidRPr="00B44671">
        <w:rPr>
          <w:rFonts w:ascii="Times New Roman" w:hAnsi="Times New Roman" w:cs="Times New Roman"/>
          <w:i/>
          <w:iCs/>
          <w:sz w:val="20"/>
          <w:szCs w:val="24"/>
        </w:rPr>
        <w:t>Población de Buenos Aires</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12</w:t>
      </w:r>
      <w:r w:rsidRPr="00B44671">
        <w:rPr>
          <w:rFonts w:ascii="Times New Roman" w:hAnsi="Times New Roman" w:cs="Times New Roman"/>
          <w:sz w:val="20"/>
          <w:szCs w:val="24"/>
        </w:rPr>
        <w:t>(21).</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Fachelli, S., López-Roldán, P., López, N., y Sourrouille, F. (2012). DESIGUALDAD Y DIVERSIDAD EN AMÉRICA LATINA. </w:t>
      </w:r>
      <w:r w:rsidRPr="00B44671">
        <w:rPr>
          <w:rFonts w:ascii="Times New Roman" w:hAnsi="Times New Roman" w:cs="Times New Roman"/>
          <w:i/>
          <w:iCs/>
          <w:sz w:val="20"/>
          <w:szCs w:val="24"/>
        </w:rPr>
        <w:t>siteal.org</w:t>
      </w:r>
      <w:r w:rsidRPr="00B44671">
        <w:rPr>
          <w:rFonts w:ascii="Times New Roman" w:hAnsi="Times New Roman" w:cs="Times New Roman"/>
          <w:sz w:val="20"/>
          <w:szCs w:val="24"/>
        </w:rPr>
        <w:t xml:space="preserve">. </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lang w:val="en-GB"/>
        </w:rPr>
      </w:pPr>
      <w:r w:rsidRPr="00B44671">
        <w:rPr>
          <w:rFonts w:ascii="Times New Roman" w:hAnsi="Times New Roman" w:cs="Times New Roman"/>
          <w:sz w:val="20"/>
          <w:szCs w:val="24"/>
        </w:rPr>
        <w:t xml:space="preserve">Ganzeboom, H. B. G., Treiman, D. J., y Ultee, W. C. (1991). </w:t>
      </w:r>
      <w:r w:rsidRPr="00B44671">
        <w:rPr>
          <w:rFonts w:ascii="Times New Roman" w:hAnsi="Times New Roman" w:cs="Times New Roman"/>
          <w:sz w:val="20"/>
          <w:szCs w:val="24"/>
          <w:lang w:val="en-GB"/>
        </w:rPr>
        <w:t xml:space="preserve">Comparative intergenerational stratification research: Three generations and beyond. </w:t>
      </w:r>
      <w:r w:rsidRPr="00B44671">
        <w:rPr>
          <w:rFonts w:ascii="Times New Roman" w:hAnsi="Times New Roman" w:cs="Times New Roman"/>
          <w:i/>
          <w:iCs/>
          <w:sz w:val="20"/>
          <w:szCs w:val="24"/>
          <w:lang w:val="en-GB"/>
        </w:rPr>
        <w:t>Annual Review of sociology</w:t>
      </w:r>
      <w:r w:rsidRPr="00B44671">
        <w:rPr>
          <w:rFonts w:ascii="Times New Roman" w:hAnsi="Times New Roman" w:cs="Times New Roman"/>
          <w:sz w:val="20"/>
          <w:szCs w:val="24"/>
          <w:lang w:val="en-GB"/>
        </w:rPr>
        <w:t>, 277-302.</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lang w:val="en-GB"/>
        </w:rPr>
      </w:pPr>
      <w:r w:rsidRPr="00B44671">
        <w:rPr>
          <w:rFonts w:ascii="Times New Roman" w:hAnsi="Times New Roman" w:cs="Times New Roman"/>
          <w:sz w:val="20"/>
          <w:szCs w:val="24"/>
          <w:lang w:val="en-GB"/>
        </w:rPr>
        <w:t xml:space="preserve">Gómez-Rojas, G.-V., y Riveiro, M. (2014). </w:t>
      </w:r>
      <w:r w:rsidRPr="00B44671">
        <w:rPr>
          <w:rFonts w:ascii="Times New Roman" w:hAnsi="Times New Roman" w:cs="Times New Roman"/>
          <w:sz w:val="20"/>
          <w:szCs w:val="24"/>
        </w:rPr>
        <w:t xml:space="preserve">Hacia una mirada de género en los estudios de movilidad social: interrogantes teórico-metodológicos. </w:t>
      </w:r>
      <w:r w:rsidRPr="00B44671">
        <w:rPr>
          <w:rFonts w:ascii="Times New Roman" w:hAnsi="Times New Roman" w:cs="Times New Roman"/>
          <w:i/>
          <w:iCs/>
          <w:sz w:val="20"/>
          <w:szCs w:val="24"/>
          <w:lang w:val="en-GB"/>
        </w:rPr>
        <w:t>Boletin Cientifico Sapiens Research</w:t>
      </w:r>
      <w:r w:rsidRPr="00B44671">
        <w:rPr>
          <w:rFonts w:ascii="Times New Roman" w:hAnsi="Times New Roman" w:cs="Times New Roman"/>
          <w:sz w:val="20"/>
          <w:szCs w:val="24"/>
          <w:lang w:val="en-GB"/>
        </w:rPr>
        <w:t xml:space="preserve">, </w:t>
      </w:r>
      <w:r w:rsidRPr="00B44671">
        <w:rPr>
          <w:rFonts w:ascii="Times New Roman" w:hAnsi="Times New Roman" w:cs="Times New Roman"/>
          <w:i/>
          <w:iCs/>
          <w:sz w:val="20"/>
          <w:szCs w:val="24"/>
          <w:lang w:val="en-GB"/>
        </w:rPr>
        <w:t>4</w:t>
      </w:r>
      <w:r w:rsidRPr="00B44671">
        <w:rPr>
          <w:rFonts w:ascii="Times New Roman" w:hAnsi="Times New Roman" w:cs="Times New Roman"/>
          <w:sz w:val="20"/>
          <w:szCs w:val="24"/>
          <w:lang w:val="en-GB"/>
        </w:rPr>
        <w:t>(1), 26–32.</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lang w:val="en-GB"/>
        </w:rPr>
        <w:t xml:space="preserve">Hope, K. (1975). Models of status inconsistency and social mobility effects. </w:t>
      </w:r>
      <w:r w:rsidRPr="00B44671">
        <w:rPr>
          <w:rFonts w:ascii="Times New Roman" w:hAnsi="Times New Roman" w:cs="Times New Roman"/>
          <w:i/>
          <w:iCs/>
          <w:sz w:val="20"/>
          <w:szCs w:val="24"/>
        </w:rPr>
        <w:t>American Sociological Review</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40</w:t>
      </w:r>
      <w:r w:rsidRPr="00B44671">
        <w:rPr>
          <w:rFonts w:ascii="Times New Roman" w:hAnsi="Times New Roman" w:cs="Times New Roman"/>
          <w:sz w:val="20"/>
          <w:szCs w:val="24"/>
        </w:rPr>
        <w:t>(3), 322-343.</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Jorrat, J. R. (2014). «De tal padre, ¿tal hijo?». Estudios sobre movilidad soical y educacional en Argentina. </w:t>
      </w:r>
      <w:r w:rsidRPr="00B44671">
        <w:rPr>
          <w:rFonts w:ascii="Times New Roman" w:hAnsi="Times New Roman" w:cs="Times New Roman"/>
          <w:i/>
          <w:iCs/>
          <w:sz w:val="20"/>
          <w:szCs w:val="24"/>
        </w:rPr>
        <w:t>Documentos de Trabajo</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70</w:t>
      </w:r>
      <w:r w:rsidRPr="00B44671">
        <w:rPr>
          <w:rFonts w:ascii="Times New Roman" w:hAnsi="Times New Roman" w:cs="Times New Roman"/>
          <w:sz w:val="20"/>
          <w:szCs w:val="24"/>
        </w:rPr>
        <w:t>. Recuperado a partir de http://webiigg.sociales.uba.ar/iigg/textos/documentos/dt70.pdf</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lang w:val="en-GB"/>
        </w:rPr>
      </w:pPr>
      <w:r w:rsidRPr="00B44671">
        <w:rPr>
          <w:rFonts w:ascii="Times New Roman" w:hAnsi="Times New Roman" w:cs="Times New Roman"/>
          <w:sz w:val="20"/>
          <w:szCs w:val="24"/>
        </w:rPr>
        <w:t xml:space="preserve">Kessler, G., y Espinoza, V. (2007). Movilidad social y trayectorias ocupacionales en Argentina: rupturas y algunas paradojas del caso de Buenos Aires. </w:t>
      </w:r>
      <w:r w:rsidRPr="00B44671">
        <w:rPr>
          <w:rFonts w:ascii="Times New Roman" w:hAnsi="Times New Roman" w:cs="Times New Roman"/>
          <w:i/>
          <w:iCs/>
          <w:sz w:val="20"/>
          <w:szCs w:val="24"/>
        </w:rPr>
        <w:t>Estratificación y movilidad social en América Latina: transformaciones estructurales de un cuarto de siglo</w:t>
      </w:r>
      <w:r w:rsidRPr="00B44671">
        <w:rPr>
          <w:rFonts w:ascii="Times New Roman" w:hAnsi="Times New Roman" w:cs="Times New Roman"/>
          <w:sz w:val="20"/>
          <w:szCs w:val="24"/>
        </w:rPr>
        <w:t xml:space="preserve">. </w:t>
      </w:r>
      <w:r w:rsidRPr="00B44671">
        <w:rPr>
          <w:rFonts w:ascii="Times New Roman" w:hAnsi="Times New Roman" w:cs="Times New Roman"/>
          <w:sz w:val="20"/>
          <w:szCs w:val="24"/>
          <w:lang w:val="en-GB"/>
        </w:rPr>
        <w:t>CEPAL.</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lang w:val="en-GB"/>
        </w:rPr>
      </w:pPr>
      <w:r w:rsidRPr="00B44671">
        <w:rPr>
          <w:rFonts w:ascii="Times New Roman" w:hAnsi="Times New Roman" w:cs="Times New Roman"/>
          <w:sz w:val="20"/>
          <w:szCs w:val="24"/>
          <w:lang w:val="en-GB"/>
        </w:rPr>
        <w:t xml:space="preserve">Lenski, G. (1954). Status crystallization: a non-vertical dimension of social status. </w:t>
      </w:r>
      <w:r w:rsidRPr="00B44671">
        <w:rPr>
          <w:rFonts w:ascii="Times New Roman" w:hAnsi="Times New Roman" w:cs="Times New Roman"/>
          <w:i/>
          <w:iCs/>
          <w:sz w:val="20"/>
          <w:szCs w:val="24"/>
          <w:lang w:val="en-GB"/>
        </w:rPr>
        <w:t>American sociological review</w:t>
      </w:r>
      <w:r w:rsidRPr="00B44671">
        <w:rPr>
          <w:rFonts w:ascii="Times New Roman" w:hAnsi="Times New Roman" w:cs="Times New Roman"/>
          <w:sz w:val="20"/>
          <w:szCs w:val="24"/>
          <w:lang w:val="en-GB"/>
        </w:rPr>
        <w:t xml:space="preserve">, </w:t>
      </w:r>
      <w:r w:rsidRPr="00B44671">
        <w:rPr>
          <w:rFonts w:ascii="Times New Roman" w:hAnsi="Times New Roman" w:cs="Times New Roman"/>
          <w:i/>
          <w:iCs/>
          <w:sz w:val="20"/>
          <w:szCs w:val="24"/>
          <w:lang w:val="en-GB"/>
        </w:rPr>
        <w:t>19</w:t>
      </w:r>
      <w:r w:rsidRPr="00B44671">
        <w:rPr>
          <w:rFonts w:ascii="Times New Roman" w:hAnsi="Times New Roman" w:cs="Times New Roman"/>
          <w:sz w:val="20"/>
          <w:szCs w:val="24"/>
          <w:lang w:val="en-GB"/>
        </w:rPr>
        <w:t>(4), 405-413.</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lang w:val="en-GB"/>
        </w:rPr>
      </w:pPr>
      <w:r w:rsidRPr="00B44671">
        <w:rPr>
          <w:rFonts w:ascii="Times New Roman" w:hAnsi="Times New Roman" w:cs="Times New Roman"/>
          <w:sz w:val="20"/>
          <w:szCs w:val="24"/>
          <w:lang w:val="en-GB"/>
        </w:rPr>
        <w:t xml:space="preserve">Le Roux, B., y Rouanet, H. (2010). </w:t>
      </w:r>
      <w:r w:rsidRPr="00B44671">
        <w:rPr>
          <w:rFonts w:ascii="Times New Roman" w:hAnsi="Times New Roman" w:cs="Times New Roman"/>
          <w:i/>
          <w:iCs/>
          <w:sz w:val="20"/>
          <w:szCs w:val="24"/>
          <w:lang w:val="en-GB"/>
        </w:rPr>
        <w:t>Multiple correspondence analysis</w:t>
      </w:r>
      <w:r w:rsidRPr="00B44671">
        <w:rPr>
          <w:rFonts w:ascii="Times New Roman" w:hAnsi="Times New Roman" w:cs="Times New Roman"/>
          <w:sz w:val="20"/>
          <w:szCs w:val="24"/>
          <w:lang w:val="en-GB"/>
        </w:rPr>
        <w:t>. Quantitative applications in the social sciences. Thousand Oaks, Calif: Sage Publications.</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lang w:val="en-GB"/>
        </w:rPr>
        <w:t xml:space="preserve">Lipset, S. M., y Bendix, R. (1963). </w:t>
      </w:r>
      <w:r w:rsidRPr="00B44671">
        <w:rPr>
          <w:rFonts w:ascii="Times New Roman" w:hAnsi="Times New Roman" w:cs="Times New Roman"/>
          <w:i/>
          <w:iCs/>
          <w:sz w:val="20"/>
          <w:szCs w:val="24"/>
        </w:rPr>
        <w:t>La movilidad social en la sociedad industrial</w:t>
      </w:r>
      <w:r w:rsidRPr="00B44671">
        <w:rPr>
          <w:rFonts w:ascii="Times New Roman" w:hAnsi="Times New Roman" w:cs="Times New Roman"/>
          <w:sz w:val="20"/>
          <w:szCs w:val="24"/>
        </w:rPr>
        <w:t>. Buenos Aires: Eudeba.</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López Roldán, P. (1996). La construcción de tipologias: metodologia de análisis, 9-29.</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López-Roldán, P., y Fachelli, S. (2015a). Análisis de clasificación. </w:t>
      </w:r>
      <w:r w:rsidRPr="00B44671">
        <w:rPr>
          <w:rFonts w:ascii="Times New Roman" w:hAnsi="Times New Roman" w:cs="Times New Roman"/>
          <w:i/>
          <w:iCs/>
          <w:sz w:val="20"/>
          <w:szCs w:val="24"/>
        </w:rPr>
        <w:t>Metodología de la investigación social cuantitativa</w:t>
      </w:r>
      <w:r w:rsidRPr="00B44671">
        <w:rPr>
          <w:rFonts w:ascii="Times New Roman" w:hAnsi="Times New Roman" w:cs="Times New Roman"/>
          <w:sz w:val="20"/>
          <w:szCs w:val="24"/>
        </w:rPr>
        <w:t>, 5-101.</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López-Roldán, P., y Fachelli, S. (2015b). Análisis factorial. </w:t>
      </w:r>
      <w:r w:rsidRPr="00B44671">
        <w:rPr>
          <w:rFonts w:ascii="Times New Roman" w:hAnsi="Times New Roman" w:cs="Times New Roman"/>
          <w:i/>
          <w:iCs/>
          <w:sz w:val="20"/>
          <w:szCs w:val="24"/>
        </w:rPr>
        <w:t>Metodología de la investigación social cuantitativa</w:t>
      </w:r>
      <w:r w:rsidRPr="00B44671">
        <w:rPr>
          <w:rFonts w:ascii="Times New Roman" w:hAnsi="Times New Roman" w:cs="Times New Roman"/>
          <w:sz w:val="20"/>
          <w:szCs w:val="24"/>
        </w:rPr>
        <w:t>, 5-134.</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Mazzeo, V., y Roggi, M. C. (2012). Los habitantes de hoteles familiares, pensiones, inquilinatos y casas tomadas de la Ciudad de Buenos Aires: ¿dónde están?, ¿de dónde vienen?, ¿quiénes son? y ¿cómo viven? </w:t>
      </w:r>
      <w:r w:rsidRPr="00B44671">
        <w:rPr>
          <w:rFonts w:ascii="Times New Roman" w:hAnsi="Times New Roman" w:cs="Times New Roman"/>
          <w:i/>
          <w:iCs/>
          <w:sz w:val="20"/>
          <w:szCs w:val="24"/>
        </w:rPr>
        <w:t>Población de Buenos Aires</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9</w:t>
      </w:r>
      <w:r w:rsidRPr="00B44671">
        <w:rPr>
          <w:rFonts w:ascii="Times New Roman" w:hAnsi="Times New Roman" w:cs="Times New Roman"/>
          <w:sz w:val="20"/>
          <w:szCs w:val="24"/>
        </w:rPr>
        <w:t>(15), 7–28.</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Pla, J. (2012). </w:t>
      </w:r>
      <w:r w:rsidRPr="00B44671">
        <w:rPr>
          <w:rFonts w:ascii="Times New Roman" w:hAnsi="Times New Roman" w:cs="Times New Roman"/>
          <w:i/>
          <w:iCs/>
          <w:sz w:val="20"/>
          <w:szCs w:val="24"/>
        </w:rPr>
        <w:t>Trayectorias inter generacionales de clase y marcos de certidumbre social. La desigualdad social desde la perspectiva de la movilidad. Región Metropolitana de Buenos Aires. 2003–2011’</w:t>
      </w:r>
      <w:r w:rsidRPr="00B44671">
        <w:rPr>
          <w:rFonts w:ascii="Times New Roman" w:hAnsi="Times New Roman" w:cs="Times New Roman"/>
          <w:sz w:val="20"/>
          <w:szCs w:val="24"/>
        </w:rPr>
        <w:t>. Tesis para optar por el título de Doctora en Ciencias Sociales, Facultad de Ciencias Sociales, Universidad de Buenos Aires. Inédita.</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Quartulli, D., y Salvia, A. (2014). La movilidad y la estratificación socio-ocupacional en la Argentina. Un análisis de las desigualdades de origen. </w:t>
      </w:r>
      <w:r w:rsidRPr="00B44671">
        <w:rPr>
          <w:rFonts w:ascii="Times New Roman" w:hAnsi="Times New Roman" w:cs="Times New Roman"/>
          <w:i/>
          <w:iCs/>
          <w:sz w:val="20"/>
          <w:szCs w:val="24"/>
        </w:rPr>
        <w:t>Entramados y Perspectivas</w:t>
      </w:r>
      <w:r w:rsidRPr="00B44671">
        <w:rPr>
          <w:rFonts w:ascii="Times New Roman" w:hAnsi="Times New Roman" w:cs="Times New Roman"/>
          <w:sz w:val="20"/>
          <w:szCs w:val="24"/>
        </w:rPr>
        <w:t>, (2), 15–42.</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Riveiro, M. (2011). Los ángeles no tienen sexo. La movilidad social sí. Presentado en Seminario Internacional Movilidad y Cambio Social en América Latina., Mar del Plata.</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Rouanet, H., Ackermann, W., y Le Roux, B. (2011). El análisis geométrico de encuestas: la lección de La Distinción de Bourdieu. </w:t>
      </w:r>
      <w:r w:rsidRPr="00B44671">
        <w:rPr>
          <w:rFonts w:ascii="Times New Roman" w:hAnsi="Times New Roman" w:cs="Times New Roman"/>
          <w:i/>
          <w:iCs/>
          <w:sz w:val="20"/>
          <w:szCs w:val="24"/>
        </w:rPr>
        <w:t>Revista Colombiana de Sociología</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6</w:t>
      </w:r>
      <w:r w:rsidRPr="00B44671">
        <w:rPr>
          <w:rFonts w:ascii="Times New Roman" w:hAnsi="Times New Roman" w:cs="Times New Roman"/>
          <w:sz w:val="20"/>
          <w:szCs w:val="24"/>
        </w:rPr>
        <w:t>(1), 139–145.</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lang w:val="en-GB"/>
        </w:rPr>
      </w:pPr>
      <w:r w:rsidRPr="00B44671">
        <w:rPr>
          <w:rFonts w:ascii="Times New Roman" w:hAnsi="Times New Roman" w:cs="Times New Roman"/>
          <w:sz w:val="20"/>
          <w:szCs w:val="24"/>
        </w:rPr>
        <w:t xml:space="preserve">Savage, M., Devine, F., Cunningham, N., Taylor, M., Li, Y., Hjellbrekke, J., Le Roux, B., et al. </w:t>
      </w:r>
      <w:r w:rsidRPr="00B44671">
        <w:rPr>
          <w:rFonts w:ascii="Times New Roman" w:hAnsi="Times New Roman" w:cs="Times New Roman"/>
          <w:sz w:val="20"/>
          <w:szCs w:val="24"/>
          <w:lang w:val="en-GB"/>
        </w:rPr>
        <w:t xml:space="preserve">(2013). A new model of social class? Findings from the BBC’s Great British Class Survey Experiment. </w:t>
      </w:r>
      <w:r w:rsidRPr="00B44671">
        <w:rPr>
          <w:rFonts w:ascii="Times New Roman" w:hAnsi="Times New Roman" w:cs="Times New Roman"/>
          <w:i/>
          <w:iCs/>
          <w:sz w:val="20"/>
          <w:szCs w:val="24"/>
          <w:lang w:val="en-GB"/>
        </w:rPr>
        <w:t>Sociology</w:t>
      </w:r>
      <w:r w:rsidRPr="00B44671">
        <w:rPr>
          <w:rFonts w:ascii="Times New Roman" w:hAnsi="Times New Roman" w:cs="Times New Roman"/>
          <w:sz w:val="20"/>
          <w:szCs w:val="24"/>
          <w:lang w:val="en-GB"/>
        </w:rPr>
        <w:t xml:space="preserve">, </w:t>
      </w:r>
      <w:r w:rsidRPr="00B44671">
        <w:rPr>
          <w:rFonts w:ascii="Times New Roman" w:hAnsi="Times New Roman" w:cs="Times New Roman"/>
          <w:i/>
          <w:iCs/>
          <w:sz w:val="20"/>
          <w:szCs w:val="24"/>
          <w:lang w:val="en-GB"/>
        </w:rPr>
        <w:t>47</w:t>
      </w:r>
      <w:r w:rsidRPr="00B44671">
        <w:rPr>
          <w:rFonts w:ascii="Times New Roman" w:hAnsi="Times New Roman" w:cs="Times New Roman"/>
          <w:sz w:val="20"/>
          <w:szCs w:val="24"/>
          <w:lang w:val="en-GB"/>
        </w:rPr>
        <w:t>(2), 219-250.</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lang w:val="en-GB"/>
        </w:rPr>
        <w:t xml:space="preserve">Savage, M., Warde, A., y Devine, F. (2005). Capitals, assets, and resources: some critical issues. </w:t>
      </w:r>
      <w:r w:rsidRPr="00B44671">
        <w:rPr>
          <w:rFonts w:ascii="Times New Roman" w:hAnsi="Times New Roman" w:cs="Times New Roman"/>
          <w:i/>
          <w:iCs/>
          <w:sz w:val="20"/>
          <w:szCs w:val="24"/>
        </w:rPr>
        <w:t>The British journal of sociology</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56</w:t>
      </w:r>
      <w:r w:rsidRPr="00B44671">
        <w:rPr>
          <w:rFonts w:ascii="Times New Roman" w:hAnsi="Times New Roman" w:cs="Times New Roman"/>
          <w:sz w:val="20"/>
          <w:szCs w:val="24"/>
        </w:rPr>
        <w:t>(1), 31–47.</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lastRenderedPageBreak/>
        <w:t xml:space="preserve">Sorokin, P. A. (1953). Estratificación y Movilidad Social. </w:t>
      </w:r>
      <w:r w:rsidRPr="00B44671">
        <w:rPr>
          <w:rFonts w:ascii="Times New Roman" w:hAnsi="Times New Roman" w:cs="Times New Roman"/>
          <w:i/>
          <w:iCs/>
          <w:sz w:val="20"/>
          <w:szCs w:val="24"/>
        </w:rPr>
        <w:t>Revista Mexicana de Sociología</w:t>
      </w:r>
      <w:r w:rsidRPr="00B44671">
        <w:rPr>
          <w:rFonts w:ascii="Times New Roman" w:hAnsi="Times New Roman" w:cs="Times New Roman"/>
          <w:sz w:val="20"/>
          <w:szCs w:val="24"/>
        </w:rPr>
        <w:t xml:space="preserve">, </w:t>
      </w:r>
      <w:r w:rsidRPr="00B44671">
        <w:rPr>
          <w:rFonts w:ascii="Times New Roman" w:hAnsi="Times New Roman" w:cs="Times New Roman"/>
          <w:i/>
          <w:iCs/>
          <w:sz w:val="20"/>
          <w:szCs w:val="24"/>
        </w:rPr>
        <w:t>15</w:t>
      </w:r>
      <w:r w:rsidRPr="00B44671">
        <w:rPr>
          <w:rFonts w:ascii="Times New Roman" w:hAnsi="Times New Roman" w:cs="Times New Roman"/>
          <w:sz w:val="20"/>
          <w:szCs w:val="24"/>
        </w:rPr>
        <w:t>(1), 83. doi:10.2307/3537850</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Torrado, S. (1998). La medición empírica de las clases sociales. </w:t>
      </w:r>
      <w:r w:rsidRPr="00B44671">
        <w:rPr>
          <w:rFonts w:ascii="Times New Roman" w:hAnsi="Times New Roman" w:cs="Times New Roman"/>
          <w:i/>
          <w:iCs/>
          <w:sz w:val="20"/>
          <w:szCs w:val="24"/>
        </w:rPr>
        <w:t>Familia y diferenciación social</w:t>
      </w:r>
      <w:r w:rsidRPr="00B44671">
        <w:rPr>
          <w:rFonts w:ascii="Times New Roman" w:hAnsi="Times New Roman" w:cs="Times New Roman"/>
          <w:sz w:val="20"/>
          <w:szCs w:val="24"/>
        </w:rPr>
        <w:t>. Eudeba.</w:t>
      </w:r>
    </w:p>
    <w:p w:rsidR="00B44671" w:rsidRPr="00B44671" w:rsidRDefault="00B44671" w:rsidP="00B44671">
      <w:pPr>
        <w:pStyle w:val="Bibliografa"/>
        <w:spacing w:after="120" w:line="240" w:lineRule="auto"/>
        <w:ind w:left="0" w:firstLine="0"/>
        <w:jc w:val="both"/>
        <w:rPr>
          <w:rFonts w:ascii="Times New Roman" w:hAnsi="Times New Roman" w:cs="Times New Roman"/>
          <w:sz w:val="20"/>
          <w:szCs w:val="24"/>
        </w:rPr>
      </w:pPr>
      <w:r w:rsidRPr="00B44671">
        <w:rPr>
          <w:rFonts w:ascii="Times New Roman" w:hAnsi="Times New Roman" w:cs="Times New Roman"/>
          <w:sz w:val="20"/>
          <w:szCs w:val="24"/>
        </w:rPr>
        <w:t xml:space="preserve">Weber, M. (1964). </w:t>
      </w:r>
      <w:r w:rsidRPr="00B44671">
        <w:rPr>
          <w:rFonts w:ascii="Times New Roman" w:hAnsi="Times New Roman" w:cs="Times New Roman"/>
          <w:i/>
          <w:iCs/>
          <w:sz w:val="20"/>
          <w:szCs w:val="24"/>
        </w:rPr>
        <w:t>Economía y sociedad</w:t>
      </w:r>
      <w:r w:rsidRPr="00B44671">
        <w:rPr>
          <w:rFonts w:ascii="Times New Roman" w:hAnsi="Times New Roman" w:cs="Times New Roman"/>
          <w:sz w:val="20"/>
          <w:szCs w:val="24"/>
        </w:rPr>
        <w:t>. Madrid: Fondo de Cultura Económica.</w:t>
      </w:r>
    </w:p>
    <w:p w:rsidR="00B44671" w:rsidRPr="00CD1E75" w:rsidRDefault="00B44671" w:rsidP="00B44671">
      <w:pPr>
        <w:pStyle w:val="Bibliografa"/>
        <w:spacing w:after="120" w:line="240" w:lineRule="auto"/>
        <w:ind w:left="0" w:firstLine="0"/>
        <w:jc w:val="both"/>
        <w:rPr>
          <w:rFonts w:ascii="Times New Roman" w:hAnsi="Times New Roman" w:cs="Times New Roman"/>
          <w:sz w:val="24"/>
          <w:szCs w:val="24"/>
        </w:rPr>
      </w:pPr>
      <w:r w:rsidRPr="00B44671">
        <w:rPr>
          <w:rFonts w:ascii="Times New Roman" w:hAnsi="Times New Roman" w:cs="Times New Roman"/>
          <w:sz w:val="20"/>
          <w:szCs w:val="24"/>
          <w:lang w:val="en-GB"/>
        </w:rPr>
        <w:t xml:space="preserve">Weininger, E. B. (2005). Foundations of Pierre Bourdieu’s class analysis. </w:t>
      </w:r>
      <w:r w:rsidRPr="00CD1E75">
        <w:rPr>
          <w:rFonts w:ascii="Times New Roman" w:hAnsi="Times New Roman" w:cs="Times New Roman"/>
          <w:i/>
          <w:iCs/>
          <w:sz w:val="20"/>
          <w:szCs w:val="24"/>
        </w:rPr>
        <w:t>Approaches to class analysis</w:t>
      </w:r>
      <w:r w:rsidRPr="00CD1E75">
        <w:rPr>
          <w:rFonts w:ascii="Times New Roman" w:hAnsi="Times New Roman" w:cs="Times New Roman"/>
          <w:sz w:val="20"/>
          <w:szCs w:val="24"/>
        </w:rPr>
        <w:t xml:space="preserve"> (pp 82–118). </w:t>
      </w:r>
    </w:p>
    <w:p w:rsidR="00B44671" w:rsidRPr="00CD1E75" w:rsidRDefault="003C4235" w:rsidP="00B44671">
      <w:pPr>
        <w:spacing w:after="120" w:line="240" w:lineRule="auto"/>
        <w:jc w:val="both"/>
        <w:rPr>
          <w:rFonts w:ascii="Times New Roman" w:hAnsi="Times New Roman" w:cs="Times New Roman"/>
          <w:b/>
          <w:sz w:val="24"/>
        </w:rPr>
      </w:pPr>
      <w:r w:rsidRPr="00B44671">
        <w:rPr>
          <w:rFonts w:ascii="Times New Roman" w:hAnsi="Times New Roman" w:cs="Times New Roman"/>
          <w:b/>
          <w:sz w:val="24"/>
          <w:szCs w:val="24"/>
        </w:rPr>
        <w:fldChar w:fldCharType="end"/>
      </w:r>
    </w:p>
    <w:p w:rsidR="00133660" w:rsidRDefault="00133660" w:rsidP="00B105D2">
      <w:pPr>
        <w:spacing w:after="0" w:line="360" w:lineRule="auto"/>
        <w:jc w:val="both"/>
        <w:rPr>
          <w:rFonts w:ascii="Times New Roman" w:hAnsi="Times New Roman" w:cs="Times New Roman"/>
          <w:b/>
          <w:sz w:val="24"/>
        </w:rPr>
      </w:pPr>
      <w:r>
        <w:rPr>
          <w:rFonts w:ascii="Times New Roman" w:hAnsi="Times New Roman" w:cs="Times New Roman"/>
          <w:b/>
          <w:sz w:val="24"/>
        </w:rPr>
        <w:t>Anexo</w:t>
      </w:r>
    </w:p>
    <w:p w:rsidR="00133660" w:rsidRDefault="00133660" w:rsidP="00133660">
      <w:pPr>
        <w:pStyle w:val="Epgrafe"/>
        <w:keepNext/>
        <w:ind w:right="1841"/>
      </w:pPr>
      <w:r>
        <w:t xml:space="preserve">Tabla </w:t>
      </w:r>
      <w:fldSimple w:instr=" SEQ Tabla \* ARABIC ">
        <w:r w:rsidR="009D14F2">
          <w:rPr>
            <w:noProof/>
          </w:rPr>
          <w:t>5</w:t>
        </w:r>
      </w:fldSimple>
      <w:r>
        <w:t>. Esquema agregado y desagregado de clases sociales  basado en la propuesta de Torrado</w:t>
      </w:r>
    </w:p>
    <w:tbl>
      <w:tblPr>
        <w:tblW w:w="676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093"/>
        <w:gridCol w:w="2676"/>
      </w:tblGrid>
      <w:tr w:rsidR="00133660" w:rsidRPr="00565224" w:rsidTr="0072048B">
        <w:trPr>
          <w:trHeight w:val="257"/>
        </w:trPr>
        <w:tc>
          <w:tcPr>
            <w:tcW w:w="4093" w:type="dxa"/>
            <w:tcBorders>
              <w:bottom w:val="single" w:sz="12" w:space="0" w:color="auto"/>
              <w:right w:val="single" w:sz="12" w:space="0" w:color="auto"/>
            </w:tcBorders>
            <w:shd w:val="clear" w:color="auto" w:fill="B4C6E7" w:themeFill="accent5" w:themeFillTint="66"/>
            <w:vAlign w:val="center"/>
          </w:tcPr>
          <w:p w:rsidR="00133660" w:rsidRPr="008806F2" w:rsidRDefault="00133660" w:rsidP="0072048B">
            <w:pPr>
              <w:spacing w:after="0" w:line="240" w:lineRule="auto"/>
              <w:jc w:val="center"/>
              <w:rPr>
                <w:rFonts w:ascii="Times New Roman" w:eastAsia="Times New Roman" w:hAnsi="Times New Roman" w:cs="Times New Roman"/>
                <w:b/>
                <w:color w:val="000000"/>
                <w:sz w:val="20"/>
                <w:szCs w:val="20"/>
              </w:rPr>
            </w:pPr>
            <w:r w:rsidRPr="008806F2">
              <w:rPr>
                <w:rFonts w:ascii="Times New Roman" w:eastAsia="Times New Roman" w:hAnsi="Times New Roman" w:cs="Times New Roman"/>
                <w:b/>
                <w:color w:val="000000"/>
                <w:sz w:val="20"/>
                <w:szCs w:val="20"/>
              </w:rPr>
              <w:t>Estratos (CSO)</w:t>
            </w:r>
          </w:p>
        </w:tc>
        <w:tc>
          <w:tcPr>
            <w:tcW w:w="2676" w:type="dxa"/>
            <w:tcBorders>
              <w:left w:val="single" w:sz="12" w:space="0" w:color="auto"/>
              <w:bottom w:val="single" w:sz="12" w:space="0" w:color="auto"/>
            </w:tcBorders>
            <w:shd w:val="clear" w:color="auto" w:fill="B4C6E7" w:themeFill="accent5" w:themeFillTint="66"/>
            <w:noWrap/>
            <w:vAlign w:val="center"/>
          </w:tcPr>
          <w:p w:rsidR="00133660" w:rsidRPr="008806F2" w:rsidRDefault="00133660" w:rsidP="0072048B">
            <w:pPr>
              <w:spacing w:after="0" w:line="240" w:lineRule="auto"/>
              <w:jc w:val="center"/>
              <w:rPr>
                <w:rFonts w:ascii="Times New Roman" w:eastAsia="Times New Roman" w:hAnsi="Times New Roman" w:cs="Times New Roman"/>
                <w:b/>
                <w:color w:val="000000"/>
                <w:sz w:val="20"/>
                <w:szCs w:val="20"/>
              </w:rPr>
            </w:pPr>
            <w:r w:rsidRPr="008806F2">
              <w:rPr>
                <w:rFonts w:ascii="Times New Roman" w:eastAsia="Times New Roman" w:hAnsi="Times New Roman" w:cs="Times New Roman"/>
                <w:b/>
                <w:color w:val="000000"/>
                <w:sz w:val="20"/>
                <w:szCs w:val="20"/>
              </w:rPr>
              <w:t>Clases sociales</w:t>
            </w:r>
          </w:p>
        </w:tc>
      </w:tr>
      <w:tr w:rsidR="00133660" w:rsidRPr="00565224" w:rsidTr="0072048B">
        <w:trPr>
          <w:trHeight w:val="257"/>
        </w:trPr>
        <w:tc>
          <w:tcPr>
            <w:tcW w:w="4093" w:type="dxa"/>
            <w:tcBorders>
              <w:top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Directores de empresas</w:t>
            </w:r>
          </w:p>
        </w:tc>
        <w:tc>
          <w:tcPr>
            <w:tcW w:w="2676" w:type="dxa"/>
            <w:vMerge w:val="restart"/>
            <w:tcBorders>
              <w:top w:val="single" w:sz="12" w:space="0" w:color="auto"/>
              <w:left w:val="single" w:sz="12" w:space="0" w:color="auto"/>
            </w:tcBorders>
            <w:shd w:val="clear" w:color="auto" w:fill="auto"/>
            <w:noWrap/>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directiva - profesional</w:t>
            </w:r>
          </w:p>
        </w:tc>
      </w:tr>
      <w:tr w:rsidR="00133660" w:rsidRPr="00565224" w:rsidTr="0072048B">
        <w:trPr>
          <w:trHeight w:val="257"/>
        </w:trPr>
        <w:tc>
          <w:tcPr>
            <w:tcW w:w="4093" w:type="dxa"/>
            <w:tcBorders>
              <w:bottom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Profesionales en función específica</w:t>
            </w:r>
          </w:p>
        </w:tc>
        <w:tc>
          <w:tcPr>
            <w:tcW w:w="2676" w:type="dxa"/>
            <w:vMerge/>
            <w:tcBorders>
              <w:left w:val="single" w:sz="12" w:space="0" w:color="auto"/>
              <w:bottom w:val="single" w:sz="12" w:space="0" w:color="auto"/>
            </w:tcBorders>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p>
        </w:tc>
      </w:tr>
      <w:tr w:rsidR="00133660" w:rsidRPr="00565224" w:rsidTr="0072048B">
        <w:trPr>
          <w:trHeight w:val="257"/>
        </w:trPr>
        <w:tc>
          <w:tcPr>
            <w:tcW w:w="4093" w:type="dxa"/>
            <w:tcBorders>
              <w:top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Propietarios de pequeñas empresas</w:t>
            </w:r>
          </w:p>
        </w:tc>
        <w:tc>
          <w:tcPr>
            <w:tcW w:w="2676" w:type="dxa"/>
            <w:vMerge w:val="restart"/>
            <w:tcBorders>
              <w:top w:val="single" w:sz="12" w:space="0" w:color="auto"/>
              <w:left w:val="single" w:sz="12" w:space="0" w:color="auto"/>
            </w:tcBorders>
            <w:shd w:val="clear" w:color="auto" w:fill="auto"/>
            <w:noWrap/>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Pequeña burguesía</w:t>
            </w:r>
          </w:p>
        </w:tc>
      </w:tr>
      <w:tr w:rsidR="00133660" w:rsidRPr="00565224" w:rsidTr="0072048B">
        <w:trPr>
          <w:trHeight w:val="386"/>
        </w:trPr>
        <w:tc>
          <w:tcPr>
            <w:tcW w:w="4093" w:type="dxa"/>
            <w:tcBorders>
              <w:bottom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Pequeños productores autónomos</w:t>
            </w:r>
          </w:p>
        </w:tc>
        <w:tc>
          <w:tcPr>
            <w:tcW w:w="2676" w:type="dxa"/>
            <w:vMerge/>
            <w:tcBorders>
              <w:left w:val="single" w:sz="12" w:space="0" w:color="auto"/>
              <w:bottom w:val="single" w:sz="12" w:space="0" w:color="auto"/>
            </w:tcBorders>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p>
        </w:tc>
      </w:tr>
      <w:tr w:rsidR="00133660" w:rsidRPr="00565224" w:rsidTr="0072048B">
        <w:trPr>
          <w:trHeight w:val="257"/>
        </w:trPr>
        <w:tc>
          <w:tcPr>
            <w:tcW w:w="4093" w:type="dxa"/>
            <w:tcBorders>
              <w:top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Cuadros técnicos y asimilados</w:t>
            </w:r>
          </w:p>
        </w:tc>
        <w:tc>
          <w:tcPr>
            <w:tcW w:w="2676" w:type="dxa"/>
            <w:vMerge w:val="restart"/>
            <w:tcBorders>
              <w:top w:val="single" w:sz="12" w:space="0" w:color="auto"/>
              <w:left w:val="single" w:sz="12" w:space="0" w:color="auto"/>
            </w:tcBorders>
            <w:shd w:val="clear" w:color="auto" w:fill="auto"/>
            <w:noWrap/>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media rutinaria - técnica</w:t>
            </w:r>
          </w:p>
        </w:tc>
      </w:tr>
      <w:tr w:rsidR="00133660" w:rsidRPr="00565224" w:rsidTr="0072048B">
        <w:trPr>
          <w:trHeight w:val="386"/>
        </w:trPr>
        <w:tc>
          <w:tcPr>
            <w:tcW w:w="4093" w:type="dxa"/>
            <w:tcBorders>
              <w:bottom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Empleados administrativos y vendedores</w:t>
            </w:r>
          </w:p>
        </w:tc>
        <w:tc>
          <w:tcPr>
            <w:tcW w:w="2676" w:type="dxa"/>
            <w:vMerge/>
            <w:tcBorders>
              <w:left w:val="single" w:sz="12" w:space="0" w:color="auto"/>
            </w:tcBorders>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p>
        </w:tc>
      </w:tr>
      <w:tr w:rsidR="00133660" w:rsidRPr="00565224" w:rsidTr="0072048B">
        <w:trPr>
          <w:trHeight w:val="386"/>
        </w:trPr>
        <w:tc>
          <w:tcPr>
            <w:tcW w:w="4093" w:type="dxa"/>
            <w:tcBorders>
              <w:top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Trabajadores especializados autónomos</w:t>
            </w:r>
          </w:p>
        </w:tc>
        <w:tc>
          <w:tcPr>
            <w:tcW w:w="2676" w:type="dxa"/>
            <w:vMerge w:val="restart"/>
            <w:tcBorders>
              <w:top w:val="single" w:sz="12" w:space="0" w:color="auto"/>
              <w:left w:val="single" w:sz="12" w:space="0" w:color="auto"/>
            </w:tcBorders>
            <w:shd w:val="clear" w:color="auto" w:fill="auto"/>
            <w:noWrap/>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obrera calificada</w:t>
            </w:r>
          </w:p>
        </w:tc>
      </w:tr>
      <w:tr w:rsidR="00133660" w:rsidRPr="00565224" w:rsidTr="0072048B">
        <w:trPr>
          <w:trHeight w:val="171"/>
        </w:trPr>
        <w:tc>
          <w:tcPr>
            <w:tcW w:w="4093" w:type="dxa"/>
            <w:tcBorders>
              <w:bottom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Obreros calificados</w:t>
            </w:r>
          </w:p>
        </w:tc>
        <w:tc>
          <w:tcPr>
            <w:tcW w:w="2676" w:type="dxa"/>
            <w:vMerge/>
            <w:tcBorders>
              <w:left w:val="single" w:sz="12" w:space="0" w:color="auto"/>
              <w:bottom w:val="single" w:sz="12" w:space="0" w:color="auto"/>
            </w:tcBorders>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p>
        </w:tc>
      </w:tr>
      <w:tr w:rsidR="00133660" w:rsidRPr="00565224" w:rsidTr="0072048B">
        <w:trPr>
          <w:trHeight w:val="257"/>
        </w:trPr>
        <w:tc>
          <w:tcPr>
            <w:tcW w:w="4093" w:type="dxa"/>
            <w:tcBorders>
              <w:top w:val="single" w:sz="12" w:space="0" w:color="auto"/>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Obreros no calificados</w:t>
            </w:r>
          </w:p>
        </w:tc>
        <w:tc>
          <w:tcPr>
            <w:tcW w:w="2676" w:type="dxa"/>
            <w:vMerge w:val="restart"/>
            <w:tcBorders>
              <w:top w:val="single" w:sz="12" w:space="0" w:color="auto"/>
              <w:left w:val="single" w:sz="12" w:space="0" w:color="auto"/>
            </w:tcBorders>
            <w:shd w:val="clear" w:color="auto" w:fill="auto"/>
            <w:noWrap/>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8806F2">
              <w:rPr>
                <w:rFonts w:ascii="Times New Roman" w:eastAsia="Times New Roman" w:hAnsi="Times New Roman" w:cs="Times New Roman"/>
                <w:color w:val="000000"/>
                <w:sz w:val="20"/>
                <w:szCs w:val="20"/>
              </w:rPr>
              <w:t>Clase obrera no calificada</w:t>
            </w:r>
          </w:p>
        </w:tc>
      </w:tr>
      <w:tr w:rsidR="00133660" w:rsidRPr="00565224" w:rsidTr="0072048B">
        <w:trPr>
          <w:trHeight w:val="171"/>
        </w:trPr>
        <w:tc>
          <w:tcPr>
            <w:tcW w:w="4093" w:type="dxa"/>
            <w:tcBorders>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Peones autónomos</w:t>
            </w:r>
          </w:p>
        </w:tc>
        <w:tc>
          <w:tcPr>
            <w:tcW w:w="2676" w:type="dxa"/>
            <w:vMerge/>
            <w:tcBorders>
              <w:left w:val="single" w:sz="12" w:space="0" w:color="auto"/>
            </w:tcBorders>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p>
        </w:tc>
      </w:tr>
      <w:tr w:rsidR="00133660" w:rsidRPr="00565224" w:rsidTr="0072048B">
        <w:trPr>
          <w:trHeight w:val="257"/>
        </w:trPr>
        <w:tc>
          <w:tcPr>
            <w:tcW w:w="4093" w:type="dxa"/>
            <w:tcBorders>
              <w:right w:val="single" w:sz="12" w:space="0" w:color="auto"/>
            </w:tcBorders>
            <w:shd w:val="clear" w:color="auto" w:fill="auto"/>
            <w:vAlign w:val="center"/>
            <w:hideMark/>
          </w:tcPr>
          <w:p w:rsidR="00133660" w:rsidRPr="00565224" w:rsidRDefault="00133660" w:rsidP="0072048B">
            <w:pPr>
              <w:spacing w:after="0" w:line="240" w:lineRule="auto"/>
              <w:jc w:val="center"/>
              <w:rPr>
                <w:rFonts w:ascii="Times New Roman" w:eastAsia="Times New Roman" w:hAnsi="Times New Roman" w:cs="Times New Roman"/>
                <w:color w:val="000000"/>
                <w:sz w:val="20"/>
                <w:szCs w:val="20"/>
              </w:rPr>
            </w:pPr>
            <w:r w:rsidRPr="00565224">
              <w:rPr>
                <w:rFonts w:ascii="Times New Roman" w:eastAsia="Times New Roman" w:hAnsi="Times New Roman" w:cs="Times New Roman"/>
                <w:color w:val="000000"/>
                <w:sz w:val="20"/>
                <w:szCs w:val="20"/>
              </w:rPr>
              <w:t>Empleados domésticos</w:t>
            </w:r>
          </w:p>
        </w:tc>
        <w:tc>
          <w:tcPr>
            <w:tcW w:w="2676" w:type="dxa"/>
            <w:vMerge/>
            <w:tcBorders>
              <w:left w:val="single" w:sz="12" w:space="0" w:color="auto"/>
            </w:tcBorders>
            <w:vAlign w:val="center"/>
            <w:hideMark/>
          </w:tcPr>
          <w:p w:rsidR="00133660" w:rsidRPr="00565224" w:rsidRDefault="00133660" w:rsidP="0072048B">
            <w:pPr>
              <w:keepNext/>
              <w:spacing w:after="0" w:line="240" w:lineRule="auto"/>
              <w:jc w:val="center"/>
              <w:rPr>
                <w:rFonts w:ascii="Times New Roman" w:eastAsia="Times New Roman" w:hAnsi="Times New Roman" w:cs="Times New Roman"/>
                <w:color w:val="000000"/>
                <w:sz w:val="20"/>
                <w:szCs w:val="20"/>
              </w:rPr>
            </w:pPr>
          </w:p>
        </w:tc>
      </w:tr>
    </w:tbl>
    <w:p w:rsidR="00133660" w:rsidRPr="008E6510" w:rsidRDefault="00133660" w:rsidP="00133660">
      <w:pPr>
        <w:spacing w:after="0" w:line="360" w:lineRule="auto"/>
        <w:jc w:val="both"/>
        <w:rPr>
          <w:rFonts w:ascii="Times New Roman" w:hAnsi="Times New Roman" w:cs="Times New Roman"/>
          <w:sz w:val="20"/>
          <w:szCs w:val="24"/>
        </w:rPr>
      </w:pPr>
      <w:r w:rsidRPr="008E6510">
        <w:rPr>
          <w:rFonts w:ascii="Times New Roman" w:hAnsi="Times New Roman" w:cs="Times New Roman"/>
          <w:sz w:val="20"/>
          <w:szCs w:val="24"/>
        </w:rPr>
        <w:t>Fuente: elaboración propia en base a Torrado (1998).</w:t>
      </w:r>
    </w:p>
    <w:p w:rsidR="00133660" w:rsidRDefault="00133660" w:rsidP="00133660">
      <w:pPr>
        <w:spacing w:after="0" w:line="360" w:lineRule="auto"/>
        <w:jc w:val="both"/>
        <w:rPr>
          <w:rFonts w:ascii="Times New Roman" w:hAnsi="Times New Roman" w:cs="Times New Roman"/>
          <w:sz w:val="24"/>
        </w:rPr>
      </w:pPr>
    </w:p>
    <w:p w:rsidR="00FB0D2A" w:rsidRDefault="00FB0D2A" w:rsidP="00FB0D2A">
      <w:pPr>
        <w:pStyle w:val="Epgrafe"/>
        <w:keepNext/>
      </w:pPr>
      <w:r>
        <w:t xml:space="preserve">Tabla </w:t>
      </w:r>
      <w:fldSimple w:instr=" SEQ Tabla \* ARABIC ">
        <w:r w:rsidR="009D14F2">
          <w:rPr>
            <w:noProof/>
          </w:rPr>
          <w:t>6</w:t>
        </w:r>
      </w:fldSimple>
      <w:r>
        <w:t>. Tipos de trayectorias de movilidad</w:t>
      </w:r>
    </w:p>
    <w:tbl>
      <w:tblPr>
        <w:tblW w:w="84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45"/>
        <w:gridCol w:w="1800"/>
        <w:gridCol w:w="1183"/>
        <w:gridCol w:w="866"/>
        <w:gridCol w:w="1107"/>
        <w:gridCol w:w="1202"/>
      </w:tblGrid>
      <w:tr w:rsidR="00133660" w:rsidRPr="001F57ED" w:rsidTr="00FB0D2A">
        <w:trPr>
          <w:trHeight w:val="230"/>
        </w:trPr>
        <w:tc>
          <w:tcPr>
            <w:tcW w:w="2245" w:type="dxa"/>
            <w:vMerge w:val="restart"/>
            <w:tcBorders>
              <w:top w:val="single" w:sz="12" w:space="0" w:color="auto"/>
              <w:left w:val="single" w:sz="12" w:space="0" w:color="auto"/>
              <w:right w:val="single" w:sz="12" w:space="0" w:color="auto"/>
            </w:tcBorders>
            <w:shd w:val="clear" w:color="auto" w:fill="auto"/>
            <w:vAlign w:val="center"/>
            <w:hideMark/>
          </w:tcPr>
          <w:p w:rsidR="00133660" w:rsidRPr="00133660" w:rsidRDefault="00133660" w:rsidP="0072048B">
            <w:pPr>
              <w:spacing w:after="0" w:line="240" w:lineRule="auto"/>
              <w:jc w:val="center"/>
              <w:rPr>
                <w:rFonts w:ascii="Times New Roman" w:eastAsia="Times New Roman" w:hAnsi="Times New Roman" w:cs="Times New Roman"/>
                <w:b/>
                <w:color w:val="000000"/>
                <w:sz w:val="20"/>
                <w:szCs w:val="20"/>
                <w:lang w:eastAsia="es-AR"/>
              </w:rPr>
            </w:pPr>
            <w:r w:rsidRPr="001F57ED">
              <w:rPr>
                <w:rFonts w:ascii="Times New Roman" w:eastAsia="Times New Roman" w:hAnsi="Times New Roman" w:cs="Times New Roman"/>
                <w:color w:val="000000"/>
                <w:sz w:val="20"/>
                <w:szCs w:val="20"/>
                <w:lang w:eastAsia="es-AR"/>
              </w:rPr>
              <w:t> </w:t>
            </w:r>
            <w:r w:rsidRPr="00133660">
              <w:rPr>
                <w:rFonts w:ascii="Times New Roman" w:eastAsia="Times New Roman" w:hAnsi="Times New Roman" w:cs="Times New Roman"/>
                <w:b/>
                <w:color w:val="000000"/>
                <w:sz w:val="20"/>
                <w:szCs w:val="20"/>
                <w:lang w:eastAsia="es-AR"/>
              </w:rPr>
              <w:t>Clase de origen</w:t>
            </w:r>
          </w:p>
        </w:tc>
        <w:tc>
          <w:tcPr>
            <w:tcW w:w="6158" w:type="dxa"/>
            <w:gridSpan w:val="5"/>
            <w:vMerge w:val="restart"/>
            <w:tcBorders>
              <w:top w:val="single" w:sz="12" w:space="0" w:color="auto"/>
              <w:left w:val="single" w:sz="12" w:space="0" w:color="auto"/>
              <w:right w:val="single" w:sz="12" w:space="0" w:color="auto"/>
            </w:tcBorders>
            <w:shd w:val="clear" w:color="auto" w:fill="auto"/>
            <w:vAlign w:val="center"/>
            <w:hideMark/>
          </w:tcPr>
          <w:p w:rsidR="00133660" w:rsidRPr="001F57ED" w:rsidRDefault="00133660" w:rsidP="0072048B">
            <w:pPr>
              <w:spacing w:after="0" w:line="240" w:lineRule="auto"/>
              <w:jc w:val="center"/>
              <w:rPr>
                <w:rFonts w:ascii="Times New Roman" w:eastAsia="Times New Roman" w:hAnsi="Times New Roman" w:cs="Times New Roman"/>
                <w:b/>
                <w:bCs/>
                <w:color w:val="000000"/>
                <w:sz w:val="20"/>
                <w:szCs w:val="20"/>
                <w:lang w:eastAsia="es-AR"/>
              </w:rPr>
            </w:pPr>
            <w:r w:rsidRPr="001F57ED">
              <w:rPr>
                <w:rFonts w:ascii="Times New Roman" w:eastAsia="Times New Roman" w:hAnsi="Times New Roman" w:cs="Times New Roman"/>
                <w:b/>
                <w:bCs/>
                <w:color w:val="000000"/>
                <w:sz w:val="20"/>
                <w:szCs w:val="20"/>
                <w:lang w:eastAsia="es-AR"/>
              </w:rPr>
              <w:t>Clase del encuestado</w:t>
            </w:r>
          </w:p>
        </w:tc>
      </w:tr>
      <w:tr w:rsidR="00133660" w:rsidRPr="001F57ED" w:rsidTr="00FB0D2A">
        <w:trPr>
          <w:trHeight w:val="230"/>
        </w:trPr>
        <w:tc>
          <w:tcPr>
            <w:tcW w:w="2245" w:type="dxa"/>
            <w:vMerge/>
            <w:tcBorders>
              <w:left w:val="single" w:sz="12" w:space="0" w:color="auto"/>
              <w:right w:val="single" w:sz="12" w:space="0" w:color="auto"/>
            </w:tcBorders>
            <w:vAlign w:val="center"/>
            <w:hideMark/>
          </w:tcPr>
          <w:p w:rsidR="00133660" w:rsidRPr="001F57ED" w:rsidRDefault="00133660" w:rsidP="0072048B">
            <w:pPr>
              <w:spacing w:after="0" w:line="240" w:lineRule="auto"/>
              <w:rPr>
                <w:rFonts w:ascii="Times New Roman" w:eastAsia="Times New Roman" w:hAnsi="Times New Roman" w:cs="Times New Roman"/>
                <w:color w:val="000000"/>
                <w:sz w:val="20"/>
                <w:szCs w:val="20"/>
                <w:lang w:eastAsia="es-AR"/>
              </w:rPr>
            </w:pPr>
          </w:p>
        </w:tc>
        <w:tc>
          <w:tcPr>
            <w:tcW w:w="6158" w:type="dxa"/>
            <w:gridSpan w:val="5"/>
            <w:vMerge/>
            <w:tcBorders>
              <w:left w:val="single" w:sz="12" w:space="0" w:color="auto"/>
              <w:right w:val="single" w:sz="12" w:space="0" w:color="auto"/>
            </w:tcBorders>
            <w:vAlign w:val="center"/>
            <w:hideMark/>
          </w:tcPr>
          <w:p w:rsidR="00133660" w:rsidRPr="001F57ED" w:rsidRDefault="00133660" w:rsidP="0072048B">
            <w:pPr>
              <w:spacing w:after="0" w:line="240" w:lineRule="auto"/>
              <w:rPr>
                <w:rFonts w:ascii="Times New Roman" w:eastAsia="Times New Roman" w:hAnsi="Times New Roman" w:cs="Times New Roman"/>
                <w:b/>
                <w:bCs/>
                <w:color w:val="000000"/>
                <w:sz w:val="20"/>
                <w:szCs w:val="20"/>
                <w:lang w:eastAsia="es-AR"/>
              </w:rPr>
            </w:pPr>
          </w:p>
        </w:tc>
      </w:tr>
      <w:tr w:rsidR="00133660" w:rsidRPr="001F57ED" w:rsidTr="00FB0D2A">
        <w:trPr>
          <w:trHeight w:val="230"/>
        </w:trPr>
        <w:tc>
          <w:tcPr>
            <w:tcW w:w="2245" w:type="dxa"/>
            <w:vMerge/>
            <w:tcBorders>
              <w:left w:val="single" w:sz="12" w:space="0" w:color="auto"/>
              <w:right w:val="single" w:sz="12" w:space="0" w:color="auto"/>
            </w:tcBorders>
            <w:vAlign w:val="center"/>
            <w:hideMark/>
          </w:tcPr>
          <w:p w:rsidR="00133660" w:rsidRPr="001F57ED" w:rsidRDefault="00133660" w:rsidP="0072048B">
            <w:pPr>
              <w:spacing w:after="0" w:line="240" w:lineRule="auto"/>
              <w:rPr>
                <w:rFonts w:ascii="Times New Roman" w:eastAsia="Times New Roman" w:hAnsi="Times New Roman" w:cs="Times New Roman"/>
                <w:color w:val="000000"/>
                <w:sz w:val="20"/>
                <w:szCs w:val="20"/>
                <w:lang w:eastAsia="es-AR"/>
              </w:rPr>
            </w:pPr>
          </w:p>
        </w:tc>
        <w:tc>
          <w:tcPr>
            <w:tcW w:w="6158" w:type="dxa"/>
            <w:gridSpan w:val="5"/>
            <w:vMerge/>
            <w:tcBorders>
              <w:left w:val="single" w:sz="12" w:space="0" w:color="auto"/>
              <w:right w:val="single" w:sz="12" w:space="0" w:color="auto"/>
            </w:tcBorders>
            <w:vAlign w:val="center"/>
            <w:hideMark/>
          </w:tcPr>
          <w:p w:rsidR="00133660" w:rsidRPr="001F57ED" w:rsidRDefault="00133660" w:rsidP="0072048B">
            <w:pPr>
              <w:spacing w:after="0" w:line="240" w:lineRule="auto"/>
              <w:rPr>
                <w:rFonts w:ascii="Times New Roman" w:eastAsia="Times New Roman" w:hAnsi="Times New Roman" w:cs="Times New Roman"/>
                <w:b/>
                <w:bCs/>
                <w:color w:val="000000"/>
                <w:sz w:val="20"/>
                <w:szCs w:val="20"/>
                <w:lang w:eastAsia="es-AR"/>
              </w:rPr>
            </w:pPr>
          </w:p>
        </w:tc>
      </w:tr>
      <w:tr w:rsidR="00133660" w:rsidRPr="001F57ED" w:rsidTr="00FB0D2A">
        <w:trPr>
          <w:trHeight w:val="338"/>
        </w:trPr>
        <w:tc>
          <w:tcPr>
            <w:tcW w:w="2245" w:type="dxa"/>
            <w:vMerge/>
            <w:tcBorders>
              <w:left w:val="single" w:sz="12" w:space="0" w:color="auto"/>
              <w:bottom w:val="single" w:sz="12" w:space="0" w:color="auto"/>
              <w:right w:val="single" w:sz="12" w:space="0" w:color="auto"/>
            </w:tcBorders>
            <w:vAlign w:val="center"/>
            <w:hideMark/>
          </w:tcPr>
          <w:p w:rsidR="00133660" w:rsidRPr="001F57ED" w:rsidRDefault="00133660" w:rsidP="0072048B">
            <w:pPr>
              <w:spacing w:after="0" w:line="240" w:lineRule="auto"/>
              <w:rPr>
                <w:rFonts w:ascii="Times New Roman" w:eastAsia="Times New Roman" w:hAnsi="Times New Roman" w:cs="Times New Roman"/>
                <w:color w:val="000000"/>
                <w:sz w:val="20"/>
                <w:szCs w:val="20"/>
                <w:lang w:eastAsia="es-AR"/>
              </w:rPr>
            </w:pPr>
          </w:p>
        </w:tc>
        <w:tc>
          <w:tcPr>
            <w:tcW w:w="1800" w:type="dxa"/>
            <w:tcBorders>
              <w:left w:val="single" w:sz="12" w:space="0" w:color="auto"/>
              <w:bottom w:val="single" w:sz="12" w:space="0" w:color="auto"/>
            </w:tcBorders>
            <w:shd w:val="clear" w:color="auto" w:fill="auto"/>
            <w:vAlign w:val="center"/>
            <w:hideMark/>
          </w:tcPr>
          <w:p w:rsidR="00133660" w:rsidRPr="00133660" w:rsidRDefault="00133660" w:rsidP="0072048B">
            <w:pPr>
              <w:spacing w:after="0" w:line="240" w:lineRule="auto"/>
              <w:jc w:val="center"/>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media-alta</w:t>
            </w:r>
          </w:p>
        </w:tc>
        <w:tc>
          <w:tcPr>
            <w:tcW w:w="1183" w:type="dxa"/>
            <w:tcBorders>
              <w:bottom w:val="single" w:sz="12" w:space="0" w:color="auto"/>
            </w:tcBorders>
            <w:shd w:val="clear" w:color="auto" w:fill="auto"/>
            <w:vAlign w:val="center"/>
            <w:hideMark/>
          </w:tcPr>
          <w:p w:rsidR="00133660" w:rsidRPr="00133660" w:rsidRDefault="00133660" w:rsidP="0072048B">
            <w:pPr>
              <w:spacing w:after="0" w:line="240" w:lineRule="auto"/>
              <w:jc w:val="center"/>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media</w:t>
            </w:r>
          </w:p>
        </w:tc>
        <w:tc>
          <w:tcPr>
            <w:tcW w:w="866" w:type="dxa"/>
            <w:tcBorders>
              <w:bottom w:val="single" w:sz="12" w:space="0" w:color="auto"/>
            </w:tcBorders>
            <w:shd w:val="clear" w:color="auto" w:fill="auto"/>
            <w:vAlign w:val="center"/>
            <w:hideMark/>
          </w:tcPr>
          <w:p w:rsidR="00133660" w:rsidRPr="00133660" w:rsidRDefault="00133660" w:rsidP="0072048B">
            <w:pPr>
              <w:spacing w:after="0" w:line="240" w:lineRule="auto"/>
              <w:jc w:val="center"/>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media rutinaria</w:t>
            </w:r>
          </w:p>
        </w:tc>
        <w:tc>
          <w:tcPr>
            <w:tcW w:w="1107" w:type="dxa"/>
            <w:tcBorders>
              <w:bottom w:val="single" w:sz="12" w:space="0" w:color="auto"/>
            </w:tcBorders>
            <w:shd w:val="clear" w:color="auto" w:fill="auto"/>
            <w:vAlign w:val="center"/>
            <w:hideMark/>
          </w:tcPr>
          <w:p w:rsidR="00133660" w:rsidRPr="00133660" w:rsidRDefault="00133660" w:rsidP="0072048B">
            <w:pPr>
              <w:spacing w:after="0" w:line="240" w:lineRule="auto"/>
              <w:jc w:val="center"/>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trabajadora calificada</w:t>
            </w:r>
          </w:p>
        </w:tc>
        <w:tc>
          <w:tcPr>
            <w:tcW w:w="1202" w:type="dxa"/>
            <w:tcBorders>
              <w:bottom w:val="single" w:sz="12" w:space="0" w:color="auto"/>
              <w:right w:val="single" w:sz="12" w:space="0" w:color="auto"/>
            </w:tcBorders>
            <w:shd w:val="clear" w:color="auto" w:fill="auto"/>
            <w:vAlign w:val="center"/>
            <w:hideMark/>
          </w:tcPr>
          <w:p w:rsidR="00133660" w:rsidRPr="00133660" w:rsidRDefault="00133660" w:rsidP="0072048B">
            <w:pPr>
              <w:spacing w:after="0" w:line="240" w:lineRule="auto"/>
              <w:jc w:val="center"/>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trabajadora marginal</w:t>
            </w:r>
          </w:p>
        </w:tc>
      </w:tr>
      <w:tr w:rsidR="00133660" w:rsidRPr="001F57ED" w:rsidTr="00FB0D2A">
        <w:trPr>
          <w:trHeight w:val="234"/>
        </w:trPr>
        <w:tc>
          <w:tcPr>
            <w:tcW w:w="2245" w:type="dxa"/>
            <w:tcBorders>
              <w:top w:val="single" w:sz="12" w:space="0" w:color="auto"/>
              <w:left w:val="single" w:sz="12" w:space="0" w:color="auto"/>
              <w:right w:val="single" w:sz="12" w:space="0" w:color="auto"/>
            </w:tcBorders>
            <w:shd w:val="clear" w:color="auto" w:fill="auto"/>
            <w:vAlign w:val="center"/>
            <w:hideMark/>
          </w:tcPr>
          <w:p w:rsidR="00133660" w:rsidRPr="00133660" w:rsidRDefault="00133660" w:rsidP="0072048B">
            <w:pPr>
              <w:spacing w:after="0" w:line="240" w:lineRule="auto"/>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directiva- profesional</w:t>
            </w:r>
          </w:p>
        </w:tc>
        <w:tc>
          <w:tcPr>
            <w:tcW w:w="1800" w:type="dxa"/>
            <w:tcBorders>
              <w:top w:val="single" w:sz="12" w:space="0" w:color="auto"/>
              <w:left w:val="single" w:sz="12" w:space="0" w:color="auto"/>
            </w:tcBorders>
            <w:shd w:val="clear" w:color="auto" w:fill="auto"/>
            <w:noWrap/>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r w:rsidRPr="00133660">
              <w:rPr>
                <w:rFonts w:ascii="Times New Roman" w:eastAsia="Times New Roman" w:hAnsi="Times New Roman" w:cs="Times New Roman"/>
                <w:bCs/>
                <w:sz w:val="20"/>
                <w:szCs w:val="20"/>
                <w:lang w:eastAsia="es-AR"/>
              </w:rPr>
              <w:t>Herencia clase directiva-prof</w:t>
            </w:r>
          </w:p>
        </w:tc>
        <w:tc>
          <w:tcPr>
            <w:tcW w:w="2049" w:type="dxa"/>
            <w:gridSpan w:val="2"/>
            <w:tcBorders>
              <w:top w:val="single" w:sz="12" w:space="0" w:color="auto"/>
            </w:tcBorders>
            <w:shd w:val="clear" w:color="auto" w:fill="auto"/>
            <w:noWrap/>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r w:rsidRPr="00133660">
              <w:rPr>
                <w:rFonts w:ascii="Times New Roman" w:eastAsia="Times New Roman" w:hAnsi="Times New Roman" w:cs="Times New Roman"/>
                <w:bCs/>
                <w:sz w:val="20"/>
                <w:szCs w:val="20"/>
                <w:lang w:eastAsia="es-AR"/>
              </w:rPr>
              <w:t>Descenso a clase media</w:t>
            </w:r>
          </w:p>
        </w:tc>
        <w:tc>
          <w:tcPr>
            <w:tcW w:w="2309" w:type="dxa"/>
            <w:gridSpan w:val="2"/>
            <w:vMerge w:val="restart"/>
            <w:tcBorders>
              <w:top w:val="single" w:sz="12" w:space="0" w:color="auto"/>
              <w:right w:val="single" w:sz="12" w:space="0" w:color="auto"/>
            </w:tcBorders>
            <w:shd w:val="clear" w:color="auto" w:fill="auto"/>
            <w:noWrap/>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r w:rsidRPr="00133660">
              <w:rPr>
                <w:rFonts w:ascii="Times New Roman" w:eastAsia="Times New Roman" w:hAnsi="Times New Roman" w:cs="Times New Roman"/>
                <w:bCs/>
                <w:sz w:val="20"/>
                <w:szCs w:val="20"/>
                <w:lang w:eastAsia="es-AR"/>
              </w:rPr>
              <w:t>Descenso a clase trabajadora</w:t>
            </w:r>
          </w:p>
        </w:tc>
      </w:tr>
      <w:tr w:rsidR="00133660" w:rsidRPr="001F57ED" w:rsidTr="00FB0D2A">
        <w:trPr>
          <w:trHeight w:val="136"/>
        </w:trPr>
        <w:tc>
          <w:tcPr>
            <w:tcW w:w="2245" w:type="dxa"/>
            <w:tcBorders>
              <w:left w:val="single" w:sz="12" w:space="0" w:color="auto"/>
              <w:right w:val="single" w:sz="12" w:space="0" w:color="auto"/>
            </w:tcBorders>
            <w:shd w:val="clear" w:color="auto" w:fill="auto"/>
            <w:vAlign w:val="center"/>
            <w:hideMark/>
          </w:tcPr>
          <w:p w:rsidR="00133660" w:rsidRPr="00133660" w:rsidRDefault="00133660" w:rsidP="0072048B">
            <w:pPr>
              <w:spacing w:after="0" w:line="240" w:lineRule="auto"/>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Pequeña burguesía</w:t>
            </w:r>
          </w:p>
        </w:tc>
        <w:tc>
          <w:tcPr>
            <w:tcW w:w="1800" w:type="dxa"/>
            <w:vMerge w:val="restart"/>
            <w:tcBorders>
              <w:left w:val="single" w:sz="12" w:space="0" w:color="auto"/>
            </w:tcBorders>
            <w:shd w:val="clear" w:color="auto" w:fill="auto"/>
            <w:noWrap/>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r w:rsidRPr="00133660">
              <w:rPr>
                <w:rFonts w:ascii="Times New Roman" w:eastAsia="Times New Roman" w:hAnsi="Times New Roman" w:cs="Times New Roman"/>
                <w:bCs/>
                <w:sz w:val="20"/>
                <w:szCs w:val="20"/>
                <w:lang w:eastAsia="es-AR"/>
              </w:rPr>
              <w:t>Ascenso clase directiva-prof</w:t>
            </w:r>
          </w:p>
        </w:tc>
        <w:tc>
          <w:tcPr>
            <w:tcW w:w="2049" w:type="dxa"/>
            <w:gridSpan w:val="2"/>
            <w:vMerge w:val="restart"/>
            <w:shd w:val="clear" w:color="auto" w:fill="auto"/>
            <w:noWrap/>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r w:rsidRPr="00133660">
              <w:rPr>
                <w:rFonts w:ascii="Times New Roman" w:eastAsia="Times New Roman" w:hAnsi="Times New Roman" w:cs="Times New Roman"/>
                <w:bCs/>
                <w:sz w:val="20"/>
                <w:szCs w:val="20"/>
                <w:lang w:eastAsia="es-AR"/>
              </w:rPr>
              <w:t>Herencia clase media</w:t>
            </w:r>
          </w:p>
        </w:tc>
        <w:tc>
          <w:tcPr>
            <w:tcW w:w="2309" w:type="dxa"/>
            <w:gridSpan w:val="2"/>
            <w:vMerge/>
            <w:tcBorders>
              <w:right w:val="single" w:sz="12" w:space="0" w:color="auto"/>
            </w:tcBorders>
            <w:shd w:val="clear" w:color="auto" w:fill="auto"/>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p>
        </w:tc>
      </w:tr>
      <w:tr w:rsidR="00133660" w:rsidRPr="001F57ED" w:rsidTr="00FB0D2A">
        <w:trPr>
          <w:trHeight w:val="228"/>
        </w:trPr>
        <w:tc>
          <w:tcPr>
            <w:tcW w:w="2245" w:type="dxa"/>
            <w:tcBorders>
              <w:left w:val="single" w:sz="12" w:space="0" w:color="auto"/>
              <w:right w:val="single" w:sz="12" w:space="0" w:color="auto"/>
            </w:tcBorders>
            <w:shd w:val="clear" w:color="auto" w:fill="auto"/>
            <w:vAlign w:val="center"/>
            <w:hideMark/>
          </w:tcPr>
          <w:p w:rsidR="00133660" w:rsidRPr="00133660" w:rsidRDefault="00133660" w:rsidP="0072048B">
            <w:pPr>
              <w:spacing w:after="0" w:line="240" w:lineRule="auto"/>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media técnica rutinaria</w:t>
            </w:r>
          </w:p>
        </w:tc>
        <w:tc>
          <w:tcPr>
            <w:tcW w:w="1800" w:type="dxa"/>
            <w:vMerge/>
            <w:tcBorders>
              <w:left w:val="single" w:sz="12" w:space="0" w:color="auto"/>
            </w:tcBorders>
            <w:shd w:val="clear" w:color="auto" w:fill="auto"/>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p>
        </w:tc>
        <w:tc>
          <w:tcPr>
            <w:tcW w:w="2049" w:type="dxa"/>
            <w:gridSpan w:val="2"/>
            <w:vMerge/>
            <w:shd w:val="clear" w:color="auto" w:fill="auto"/>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p>
        </w:tc>
        <w:tc>
          <w:tcPr>
            <w:tcW w:w="2309" w:type="dxa"/>
            <w:gridSpan w:val="2"/>
            <w:vMerge/>
            <w:tcBorders>
              <w:right w:val="single" w:sz="12" w:space="0" w:color="auto"/>
            </w:tcBorders>
            <w:shd w:val="clear" w:color="auto" w:fill="auto"/>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p>
        </w:tc>
      </w:tr>
      <w:tr w:rsidR="00133660" w:rsidRPr="001F57ED" w:rsidTr="00FB0D2A">
        <w:trPr>
          <w:trHeight w:val="338"/>
        </w:trPr>
        <w:tc>
          <w:tcPr>
            <w:tcW w:w="2245" w:type="dxa"/>
            <w:tcBorders>
              <w:left w:val="single" w:sz="12" w:space="0" w:color="auto"/>
              <w:right w:val="single" w:sz="12" w:space="0" w:color="auto"/>
            </w:tcBorders>
            <w:shd w:val="clear" w:color="auto" w:fill="auto"/>
            <w:vAlign w:val="center"/>
            <w:hideMark/>
          </w:tcPr>
          <w:p w:rsidR="00133660" w:rsidRPr="00133660" w:rsidRDefault="00133660" w:rsidP="0072048B">
            <w:pPr>
              <w:spacing w:after="0" w:line="240" w:lineRule="auto"/>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trabajadora calificada</w:t>
            </w:r>
          </w:p>
        </w:tc>
        <w:tc>
          <w:tcPr>
            <w:tcW w:w="1800" w:type="dxa"/>
            <w:vMerge/>
            <w:tcBorders>
              <w:left w:val="single" w:sz="12" w:space="0" w:color="auto"/>
            </w:tcBorders>
            <w:shd w:val="clear" w:color="auto" w:fill="auto"/>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p>
        </w:tc>
        <w:tc>
          <w:tcPr>
            <w:tcW w:w="2049" w:type="dxa"/>
            <w:gridSpan w:val="2"/>
            <w:vMerge w:val="restart"/>
            <w:shd w:val="clear" w:color="auto" w:fill="auto"/>
            <w:noWrap/>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r w:rsidRPr="00133660">
              <w:rPr>
                <w:rFonts w:ascii="Times New Roman" w:eastAsia="Times New Roman" w:hAnsi="Times New Roman" w:cs="Times New Roman"/>
                <w:bCs/>
                <w:sz w:val="20"/>
                <w:szCs w:val="20"/>
                <w:lang w:eastAsia="es-AR"/>
              </w:rPr>
              <w:t>Ascenso a clase media</w:t>
            </w:r>
          </w:p>
        </w:tc>
        <w:tc>
          <w:tcPr>
            <w:tcW w:w="2309" w:type="dxa"/>
            <w:gridSpan w:val="2"/>
            <w:vMerge w:val="restart"/>
            <w:tcBorders>
              <w:right w:val="single" w:sz="12" w:space="0" w:color="auto"/>
            </w:tcBorders>
            <w:shd w:val="clear" w:color="auto" w:fill="auto"/>
            <w:noWrap/>
            <w:vAlign w:val="center"/>
            <w:hideMark/>
          </w:tcPr>
          <w:p w:rsidR="00133660" w:rsidRPr="00133660" w:rsidRDefault="00133660" w:rsidP="00FB0D2A">
            <w:pPr>
              <w:spacing w:after="0" w:line="240" w:lineRule="auto"/>
              <w:jc w:val="center"/>
              <w:rPr>
                <w:rFonts w:ascii="Times New Roman" w:eastAsia="Times New Roman" w:hAnsi="Times New Roman" w:cs="Times New Roman"/>
                <w:bCs/>
                <w:sz w:val="20"/>
                <w:szCs w:val="20"/>
                <w:lang w:eastAsia="es-AR"/>
              </w:rPr>
            </w:pPr>
            <w:r w:rsidRPr="00133660">
              <w:rPr>
                <w:rFonts w:ascii="Times New Roman" w:eastAsia="Times New Roman" w:hAnsi="Times New Roman" w:cs="Times New Roman"/>
                <w:bCs/>
                <w:sz w:val="20"/>
                <w:szCs w:val="20"/>
                <w:lang w:eastAsia="es-AR"/>
              </w:rPr>
              <w:t>Herencia clase trabajadora</w:t>
            </w:r>
          </w:p>
        </w:tc>
      </w:tr>
      <w:tr w:rsidR="00133660" w:rsidRPr="001F57ED" w:rsidTr="00366C43">
        <w:trPr>
          <w:trHeight w:val="338"/>
        </w:trPr>
        <w:tc>
          <w:tcPr>
            <w:tcW w:w="2245" w:type="dxa"/>
            <w:tcBorders>
              <w:left w:val="single" w:sz="12" w:space="0" w:color="auto"/>
              <w:bottom w:val="single" w:sz="12" w:space="0" w:color="auto"/>
              <w:right w:val="single" w:sz="12" w:space="0" w:color="auto"/>
            </w:tcBorders>
            <w:shd w:val="clear" w:color="auto" w:fill="auto"/>
            <w:vAlign w:val="center"/>
            <w:hideMark/>
          </w:tcPr>
          <w:p w:rsidR="00133660" w:rsidRPr="00133660" w:rsidRDefault="00133660" w:rsidP="0072048B">
            <w:pPr>
              <w:spacing w:after="0" w:line="240" w:lineRule="auto"/>
              <w:rPr>
                <w:rFonts w:ascii="Times New Roman" w:eastAsia="Times New Roman" w:hAnsi="Times New Roman" w:cs="Times New Roman"/>
                <w:i/>
                <w:color w:val="000000"/>
                <w:sz w:val="20"/>
                <w:szCs w:val="20"/>
                <w:lang w:eastAsia="es-AR"/>
              </w:rPr>
            </w:pPr>
            <w:r w:rsidRPr="00133660">
              <w:rPr>
                <w:rFonts w:ascii="Times New Roman" w:eastAsia="Times New Roman" w:hAnsi="Times New Roman" w:cs="Times New Roman"/>
                <w:i/>
                <w:color w:val="000000"/>
                <w:sz w:val="20"/>
                <w:szCs w:val="20"/>
                <w:lang w:eastAsia="es-AR"/>
              </w:rPr>
              <w:t>Clase trabajadora no calificada</w:t>
            </w:r>
          </w:p>
        </w:tc>
        <w:tc>
          <w:tcPr>
            <w:tcW w:w="1800" w:type="dxa"/>
            <w:vMerge/>
            <w:tcBorders>
              <w:left w:val="single" w:sz="12" w:space="0" w:color="auto"/>
              <w:bottom w:val="single" w:sz="12" w:space="0" w:color="auto"/>
            </w:tcBorders>
            <w:shd w:val="clear" w:color="auto" w:fill="auto"/>
            <w:vAlign w:val="center"/>
            <w:hideMark/>
          </w:tcPr>
          <w:p w:rsidR="00133660" w:rsidRPr="001F57ED" w:rsidRDefault="00133660" w:rsidP="0072048B">
            <w:pPr>
              <w:spacing w:after="0" w:line="240" w:lineRule="auto"/>
              <w:rPr>
                <w:rFonts w:ascii="Times New Roman" w:eastAsia="Times New Roman" w:hAnsi="Times New Roman" w:cs="Times New Roman"/>
                <w:b/>
                <w:bCs/>
                <w:color w:val="FFFFFF"/>
                <w:sz w:val="20"/>
                <w:szCs w:val="20"/>
                <w:lang w:eastAsia="es-AR"/>
              </w:rPr>
            </w:pPr>
          </w:p>
        </w:tc>
        <w:tc>
          <w:tcPr>
            <w:tcW w:w="2049" w:type="dxa"/>
            <w:gridSpan w:val="2"/>
            <w:vMerge/>
            <w:tcBorders>
              <w:bottom w:val="single" w:sz="12" w:space="0" w:color="auto"/>
            </w:tcBorders>
            <w:shd w:val="clear" w:color="auto" w:fill="auto"/>
            <w:vAlign w:val="center"/>
            <w:hideMark/>
          </w:tcPr>
          <w:p w:rsidR="00133660" w:rsidRPr="001F57ED" w:rsidRDefault="00133660" w:rsidP="0072048B">
            <w:pPr>
              <w:spacing w:after="0" w:line="240" w:lineRule="auto"/>
              <w:rPr>
                <w:rFonts w:ascii="Times New Roman" w:eastAsia="Times New Roman" w:hAnsi="Times New Roman" w:cs="Times New Roman"/>
                <w:b/>
                <w:bCs/>
                <w:color w:val="FFFFFF"/>
                <w:sz w:val="20"/>
                <w:szCs w:val="20"/>
                <w:lang w:eastAsia="es-AR"/>
              </w:rPr>
            </w:pPr>
          </w:p>
        </w:tc>
        <w:tc>
          <w:tcPr>
            <w:tcW w:w="2309" w:type="dxa"/>
            <w:gridSpan w:val="2"/>
            <w:vMerge/>
            <w:tcBorders>
              <w:bottom w:val="single" w:sz="12" w:space="0" w:color="auto"/>
              <w:right w:val="single" w:sz="12" w:space="0" w:color="auto"/>
            </w:tcBorders>
            <w:shd w:val="clear" w:color="auto" w:fill="auto"/>
            <w:vAlign w:val="center"/>
            <w:hideMark/>
          </w:tcPr>
          <w:p w:rsidR="00133660" w:rsidRPr="001F57ED" w:rsidRDefault="00133660" w:rsidP="0072048B">
            <w:pPr>
              <w:spacing w:after="0" w:line="240" w:lineRule="auto"/>
              <w:rPr>
                <w:rFonts w:ascii="Times New Roman" w:eastAsia="Times New Roman" w:hAnsi="Times New Roman" w:cs="Times New Roman"/>
                <w:b/>
                <w:bCs/>
                <w:color w:val="FFFFFF"/>
                <w:sz w:val="20"/>
                <w:szCs w:val="20"/>
                <w:lang w:eastAsia="es-AR"/>
              </w:rPr>
            </w:pPr>
          </w:p>
        </w:tc>
      </w:tr>
    </w:tbl>
    <w:p w:rsidR="00FB0D2A" w:rsidRPr="008E6510" w:rsidRDefault="00FB0D2A" w:rsidP="00FB0D2A">
      <w:pPr>
        <w:spacing w:after="0" w:line="360" w:lineRule="auto"/>
        <w:jc w:val="both"/>
        <w:rPr>
          <w:rFonts w:ascii="Times New Roman" w:hAnsi="Times New Roman" w:cs="Times New Roman"/>
          <w:sz w:val="20"/>
          <w:szCs w:val="24"/>
        </w:rPr>
      </w:pPr>
      <w:r>
        <w:rPr>
          <w:rFonts w:ascii="Times New Roman" w:hAnsi="Times New Roman" w:cs="Times New Roman"/>
          <w:sz w:val="20"/>
          <w:szCs w:val="24"/>
        </w:rPr>
        <w:t>Fuente: elaboración propia.</w:t>
      </w:r>
    </w:p>
    <w:p w:rsidR="00155FD4" w:rsidRDefault="005232E6" w:rsidP="00B105D2">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B87759" w:rsidRDefault="00B87759" w:rsidP="00FF16B8">
      <w:pPr>
        <w:pStyle w:val="Epgrafe"/>
        <w:keepNext/>
      </w:pPr>
      <w:r>
        <w:t xml:space="preserve">Tabla </w:t>
      </w:r>
      <w:fldSimple w:instr=" SEQ Tabla \* ARABIC ">
        <w:r w:rsidR="009D14F2">
          <w:rPr>
            <w:noProof/>
          </w:rPr>
          <w:t>7</w:t>
        </w:r>
      </w:fldSimple>
      <w:r>
        <w:t>. Peso relativo, contribuciones, calidades de la representación de las modalidades</w:t>
      </w:r>
    </w:p>
    <w:tbl>
      <w:tblPr>
        <w:tblStyle w:val="Tablaconcuadrcula"/>
        <w:tblW w:w="8349"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2264"/>
        <w:gridCol w:w="989"/>
        <w:gridCol w:w="847"/>
        <w:gridCol w:w="849"/>
        <w:gridCol w:w="853"/>
        <w:gridCol w:w="849"/>
        <w:gridCol w:w="848"/>
        <w:gridCol w:w="850"/>
      </w:tblGrid>
      <w:tr w:rsidR="00B87759" w:rsidRPr="003F43E5" w:rsidTr="00B87759">
        <w:trPr>
          <w:trHeight w:val="183"/>
        </w:trPr>
        <w:tc>
          <w:tcPr>
            <w:tcW w:w="2264" w:type="dxa"/>
            <w:vMerge w:val="restart"/>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Modalidades</w:t>
            </w:r>
          </w:p>
        </w:tc>
        <w:tc>
          <w:tcPr>
            <w:tcW w:w="989" w:type="dxa"/>
            <w:vMerge w:val="restart"/>
            <w:tcBorders>
              <w:left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Peso relativo</w:t>
            </w:r>
          </w:p>
        </w:tc>
        <w:tc>
          <w:tcPr>
            <w:tcW w:w="2549" w:type="dxa"/>
            <w:gridSpan w:val="3"/>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Ctr</w:t>
            </w:r>
          </w:p>
        </w:tc>
        <w:tc>
          <w:tcPr>
            <w:tcW w:w="2547" w:type="dxa"/>
            <w:gridSpan w:val="3"/>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cos</w:t>
            </w:r>
            <w:r w:rsidRPr="00EE4E69">
              <w:rPr>
                <w:rFonts w:ascii="Times New Roman" w:eastAsia="Times New Roman" w:hAnsi="Times New Roman" w:cs="Times New Roman"/>
                <w:color w:val="000000"/>
                <w:sz w:val="20"/>
                <w:szCs w:val="20"/>
                <w:vertAlign w:val="superscript"/>
                <w:lang w:eastAsia="es-AR"/>
              </w:rPr>
              <w:t>2</w:t>
            </w:r>
          </w:p>
        </w:tc>
      </w:tr>
      <w:tr w:rsidR="00B87759" w:rsidRPr="003F43E5" w:rsidTr="00B87759">
        <w:trPr>
          <w:trHeight w:val="174"/>
        </w:trPr>
        <w:tc>
          <w:tcPr>
            <w:tcW w:w="2264" w:type="dxa"/>
            <w:vMerge/>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p>
        </w:tc>
        <w:tc>
          <w:tcPr>
            <w:tcW w:w="989" w:type="dxa"/>
            <w:vMerge/>
            <w:tcBorders>
              <w:left w:val="single" w:sz="12" w:space="0" w:color="auto"/>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p>
        </w:tc>
        <w:tc>
          <w:tcPr>
            <w:tcW w:w="847" w:type="dxa"/>
            <w:tcBorders>
              <w:top w:val="single" w:sz="12" w:space="0" w:color="auto"/>
              <w:left w:val="single" w:sz="12" w:space="0" w:color="auto"/>
              <w:bottom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1</w:t>
            </w:r>
          </w:p>
        </w:tc>
        <w:tc>
          <w:tcPr>
            <w:tcW w:w="849" w:type="dxa"/>
            <w:tcBorders>
              <w:top w:val="single" w:sz="12" w:space="0" w:color="auto"/>
              <w:bottom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2</w:t>
            </w:r>
          </w:p>
        </w:tc>
        <w:tc>
          <w:tcPr>
            <w:tcW w:w="853" w:type="dxa"/>
            <w:tcBorders>
              <w:top w:val="single" w:sz="12" w:space="0" w:color="auto"/>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3</w:t>
            </w:r>
          </w:p>
        </w:tc>
        <w:tc>
          <w:tcPr>
            <w:tcW w:w="849" w:type="dxa"/>
            <w:tcBorders>
              <w:top w:val="single" w:sz="12" w:space="0" w:color="auto"/>
              <w:left w:val="single" w:sz="12" w:space="0" w:color="auto"/>
              <w:bottom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1</w:t>
            </w:r>
          </w:p>
        </w:tc>
        <w:tc>
          <w:tcPr>
            <w:tcW w:w="848" w:type="dxa"/>
            <w:tcBorders>
              <w:top w:val="single" w:sz="12" w:space="0" w:color="auto"/>
              <w:bottom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2</w:t>
            </w:r>
          </w:p>
        </w:tc>
        <w:tc>
          <w:tcPr>
            <w:tcW w:w="850" w:type="dxa"/>
            <w:tcBorders>
              <w:top w:val="single" w:sz="12" w:space="0" w:color="auto"/>
              <w:bottom w:val="single" w:sz="12" w:space="0" w:color="auto"/>
            </w:tcBorders>
            <w:vAlign w:val="center"/>
            <w:hideMark/>
          </w:tcPr>
          <w:p w:rsidR="00B87759" w:rsidRPr="003F43E5" w:rsidRDefault="00B87759" w:rsidP="00B87759">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3</w:t>
            </w:r>
          </w:p>
        </w:tc>
      </w:tr>
      <w:tr w:rsidR="00B87759" w:rsidRPr="003F43E5" w:rsidTr="00B87759">
        <w:trPr>
          <w:trHeight w:val="285"/>
        </w:trPr>
        <w:tc>
          <w:tcPr>
            <w:tcW w:w="2264" w:type="dxa"/>
            <w:tcBorders>
              <w:top w:val="single" w:sz="12" w:space="0" w:color="auto"/>
              <w:right w:val="single" w:sz="12" w:space="0" w:color="auto"/>
            </w:tcBorders>
            <w:shd w:val="clear" w:color="auto" w:fill="F4B083" w:themeFill="accent2" w:themeFillTint="99"/>
            <w:vAlign w:val="center"/>
            <w:hideMark/>
          </w:tcPr>
          <w:p w:rsidR="00B87759" w:rsidRPr="00DB6A38" w:rsidRDefault="00B87759" w:rsidP="00B87759">
            <w:pPr>
              <w:jc w:val="center"/>
              <w:rPr>
                <w:rFonts w:ascii="Times New Roman" w:eastAsia="Times New Roman" w:hAnsi="Times New Roman" w:cs="Times New Roman"/>
                <w:b/>
                <w:sz w:val="20"/>
                <w:szCs w:val="20"/>
                <w:lang w:eastAsia="es-AR"/>
              </w:rPr>
            </w:pPr>
            <w:r w:rsidRPr="00DB6A38">
              <w:rPr>
                <w:rFonts w:ascii="Times New Roman" w:eastAsia="Times New Roman" w:hAnsi="Times New Roman" w:cs="Times New Roman"/>
                <w:b/>
                <w:sz w:val="20"/>
                <w:szCs w:val="20"/>
                <w:lang w:eastAsia="es-AR"/>
              </w:rPr>
              <w:lastRenderedPageBreak/>
              <w:t>Clase social</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color w:val="0061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color w:val="0061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color w:val="006100"/>
                <w:sz w:val="20"/>
                <w:szCs w:val="20"/>
                <w:lang w:eastAsia="es-AR"/>
              </w:rPr>
            </w:pPr>
          </w:p>
        </w:tc>
      </w:tr>
      <w:tr w:rsidR="00B87759" w:rsidRPr="003F43E5" w:rsidTr="00B87759">
        <w:trPr>
          <w:trHeight w:val="521"/>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Clase directiva-prof</w:t>
            </w:r>
            <w:r>
              <w:rPr>
                <w:rFonts w:ascii="Times New Roman" w:eastAsia="Times New Roman" w:hAnsi="Times New Roman" w:cs="Times New Roman"/>
                <w:color w:val="000000"/>
                <w:sz w:val="20"/>
                <w:szCs w:val="20"/>
                <w:lang w:eastAsia="es-AR"/>
              </w:rPr>
              <w:t>esional</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1,938</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7,27</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5,08</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5,23</w:t>
            </w:r>
          </w:p>
        </w:tc>
        <w:tc>
          <w:tcPr>
            <w:tcW w:w="849" w:type="dxa"/>
            <w:tcBorders>
              <w:left w:val="single" w:sz="12" w:space="0" w:color="auto"/>
            </w:tcBorders>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0,30</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0,12</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0,10</w:t>
            </w:r>
          </w:p>
        </w:tc>
      </w:tr>
      <w:tr w:rsidR="00B87759" w:rsidRPr="003F43E5" w:rsidTr="00B87759">
        <w:trPr>
          <w:trHeight w:val="348"/>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Pequeña burguesí</w:t>
            </w:r>
            <w:r w:rsidRPr="003F43E5">
              <w:rPr>
                <w:rFonts w:ascii="Times New Roman" w:eastAsia="Times New Roman" w:hAnsi="Times New Roman" w:cs="Times New Roman"/>
                <w:color w:val="000000"/>
                <w:sz w:val="20"/>
                <w:szCs w:val="20"/>
                <w:lang w:eastAsia="es-AR"/>
              </w:rPr>
              <w:t>a</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1,742</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0,20</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2,59</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12,55</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c>
          <w:tcPr>
            <w:tcW w:w="850" w:type="dxa"/>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0,22</w:t>
            </w:r>
          </w:p>
        </w:tc>
      </w:tr>
      <w:tr w:rsidR="00B87759" w:rsidRPr="003F43E5" w:rsidTr="00B87759">
        <w:trPr>
          <w:trHeight w:val="348"/>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Clase media té</w:t>
            </w:r>
            <w:r w:rsidRPr="003F43E5">
              <w:rPr>
                <w:rFonts w:ascii="Times New Roman" w:eastAsia="Times New Roman" w:hAnsi="Times New Roman" w:cs="Times New Roman"/>
                <w:color w:val="000000"/>
                <w:sz w:val="20"/>
                <w:szCs w:val="20"/>
                <w:lang w:eastAsia="es-AR"/>
              </w:rPr>
              <w:t>cnica</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3,308</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1,25</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8,90</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0,91</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c>
          <w:tcPr>
            <w:tcW w:w="848" w:type="dxa"/>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0,24</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r>
      <w:tr w:rsidR="00B87759" w:rsidRPr="003F43E5" w:rsidTr="00B87759">
        <w:trPr>
          <w:trHeight w:val="521"/>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Clase trabajadora ca</w:t>
            </w:r>
            <w:r>
              <w:rPr>
                <w:rFonts w:ascii="Times New Roman" w:eastAsia="Times New Roman" w:hAnsi="Times New Roman" w:cs="Times New Roman"/>
                <w:color w:val="000000"/>
                <w:sz w:val="20"/>
                <w:szCs w:val="20"/>
                <w:lang w:eastAsia="es-AR"/>
              </w:rPr>
              <w:t>lificada</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2,441</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3,17</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3,84</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2,67</w:t>
            </w:r>
          </w:p>
        </w:tc>
        <w:tc>
          <w:tcPr>
            <w:tcW w:w="849" w:type="dxa"/>
            <w:tcBorders>
              <w:left w:val="single" w:sz="12" w:space="0" w:color="auto"/>
            </w:tcBorders>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0,14</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0,09</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0,05</w:t>
            </w:r>
          </w:p>
        </w:tc>
      </w:tr>
      <w:tr w:rsidR="00B87759" w:rsidRPr="003F43E5" w:rsidTr="00B87759">
        <w:trPr>
          <w:trHeight w:val="403"/>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Clase trabajadora no</w:t>
            </w:r>
            <w:r>
              <w:rPr>
                <w:rFonts w:ascii="Times New Roman" w:eastAsia="Times New Roman" w:hAnsi="Times New Roman" w:cs="Times New Roman"/>
                <w:color w:val="000000"/>
                <w:sz w:val="20"/>
                <w:szCs w:val="20"/>
                <w:lang w:eastAsia="es-AR"/>
              </w:rPr>
              <w:t xml:space="preserve"> calificada</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1,066</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6,75</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6,09</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8,29</w:t>
            </w:r>
          </w:p>
        </w:tc>
        <w:tc>
          <w:tcPr>
            <w:tcW w:w="849" w:type="dxa"/>
            <w:tcBorders>
              <w:left w:val="single" w:sz="12" w:space="0" w:color="auto"/>
              <w:bottom w:val="single" w:sz="12" w:space="0" w:color="auto"/>
            </w:tcBorders>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0,25</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0,12</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0,14</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Ingresos</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sz w:val="20"/>
                <w:szCs w:val="20"/>
                <w:lang w:eastAsia="es-AR"/>
              </w:rPr>
            </w:pPr>
          </w:p>
        </w:tc>
      </w:tr>
      <w:tr w:rsidR="00B87759" w:rsidRPr="003F43E5" w:rsidTr="00B81DA3">
        <w:trPr>
          <w:trHeight w:val="238"/>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Hasta $1400</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0,616</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2,97</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5,43</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0,67</w:t>
            </w:r>
          </w:p>
        </w:tc>
        <w:tc>
          <w:tcPr>
            <w:tcW w:w="849" w:type="dxa"/>
            <w:tcBorders>
              <w:left w:val="single" w:sz="12" w:space="0" w:color="auto"/>
            </w:tcBorders>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0,11</w:t>
            </w:r>
          </w:p>
        </w:tc>
        <w:tc>
          <w:tcPr>
            <w:tcW w:w="848" w:type="dxa"/>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0,11</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r>
      <w:tr w:rsidR="00B87759" w:rsidRPr="003F43E5" w:rsidTr="00B87759">
        <w:trPr>
          <w:trHeight w:val="348"/>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$1401 a $3000</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1,671</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4,96</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2,53</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3,01</w:t>
            </w:r>
          </w:p>
        </w:tc>
        <w:tc>
          <w:tcPr>
            <w:tcW w:w="849" w:type="dxa"/>
            <w:tcBorders>
              <w:left w:val="single" w:sz="12" w:space="0" w:color="auto"/>
            </w:tcBorders>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0,20</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0,05</w:t>
            </w:r>
          </w:p>
        </w:tc>
      </w:tr>
      <w:tr w:rsidR="00B87759" w:rsidRPr="003F43E5" w:rsidTr="00B81DA3">
        <w:trPr>
          <w:trHeight w:val="80"/>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$3001 a $6000</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5,074</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0,28</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11,46</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4,22</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c>
          <w:tcPr>
            <w:tcW w:w="848" w:type="dxa"/>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0,43</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0,13</w:t>
            </w:r>
          </w:p>
        </w:tc>
      </w:tr>
      <w:tr w:rsidR="00B87759" w:rsidRPr="003F43E5" w:rsidTr="00B87759">
        <w:trPr>
          <w:trHeight w:val="348"/>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$6001 a $12000</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2,453</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5,22</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0,75</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1,72</w:t>
            </w:r>
          </w:p>
        </w:tc>
        <w:tc>
          <w:tcPr>
            <w:tcW w:w="849" w:type="dxa"/>
            <w:tcBorders>
              <w:left w:val="single" w:sz="12" w:space="0" w:color="auto"/>
            </w:tcBorders>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0,23</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0,03</w:t>
            </w:r>
          </w:p>
        </w:tc>
      </w:tr>
      <w:tr w:rsidR="00B87759" w:rsidRPr="003F43E5" w:rsidTr="00B81DA3">
        <w:trPr>
          <w:trHeight w:val="80"/>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Má</w:t>
            </w:r>
            <w:r w:rsidRPr="003F43E5">
              <w:rPr>
                <w:rFonts w:ascii="Times New Roman" w:eastAsia="Times New Roman" w:hAnsi="Times New Roman" w:cs="Times New Roman"/>
                <w:color w:val="000000"/>
                <w:sz w:val="20"/>
                <w:szCs w:val="20"/>
                <w:lang w:eastAsia="es-AR"/>
              </w:rPr>
              <w:t>s de $12001</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0,680</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3,58</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4,48</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0,25</w:t>
            </w:r>
          </w:p>
        </w:tc>
        <w:tc>
          <w:tcPr>
            <w:tcW w:w="849" w:type="dxa"/>
            <w:tcBorders>
              <w:left w:val="single" w:sz="12" w:space="0" w:color="auto"/>
              <w:bottom w:val="single" w:sz="12" w:space="0" w:color="auto"/>
            </w:tcBorders>
            <w:noWrap/>
            <w:vAlign w:val="center"/>
            <w:hideMark/>
          </w:tcPr>
          <w:p w:rsidR="00B87759" w:rsidRPr="005F4285" w:rsidRDefault="00B87759" w:rsidP="00B87759">
            <w:pPr>
              <w:jc w:val="center"/>
              <w:rPr>
                <w:rFonts w:ascii="Times New Roman" w:eastAsia="Times New Roman" w:hAnsi="Times New Roman" w:cs="Times New Roman"/>
                <w:b/>
                <w:sz w:val="20"/>
                <w:szCs w:val="20"/>
                <w:lang w:eastAsia="es-AR"/>
              </w:rPr>
            </w:pPr>
            <w:r w:rsidRPr="005F4285">
              <w:rPr>
                <w:rFonts w:ascii="Times New Roman" w:eastAsia="Times New Roman" w:hAnsi="Times New Roman" w:cs="Times New Roman"/>
                <w:b/>
                <w:sz w:val="20"/>
                <w:szCs w:val="20"/>
                <w:lang w:eastAsia="es-AR"/>
              </w:rPr>
              <w:t>0,13</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0,09</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Automóvil</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sz w:val="20"/>
                <w:szCs w:val="20"/>
                <w:lang w:eastAsia="es-AR"/>
              </w:rPr>
            </w:pP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si</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3,673</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4,64</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1,54</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0,94</w:t>
            </w:r>
          </w:p>
        </w:tc>
        <w:tc>
          <w:tcPr>
            <w:tcW w:w="849" w:type="dxa"/>
            <w:tcBorders>
              <w:left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0,25</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0,04</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r>
      <w:tr w:rsidR="00B87759" w:rsidRPr="003F43E5" w:rsidTr="00B87759">
        <w:trPr>
          <w:trHeight w:val="183"/>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no</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6,297</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3,03</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1,00</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1,83</w:t>
            </w:r>
          </w:p>
        </w:tc>
        <w:tc>
          <w:tcPr>
            <w:tcW w:w="849" w:type="dxa"/>
            <w:tcBorders>
              <w:left w:val="single" w:sz="12" w:space="0" w:color="auto"/>
              <w:bottom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0,27</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0,05</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0,07</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Zona de residencia</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sz w:val="20"/>
                <w:szCs w:val="20"/>
                <w:lang w:eastAsia="es-AR"/>
              </w:rPr>
            </w:pP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Norte</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2,215</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1,13</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0,02</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0,00</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0,05</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Centro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5,697</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0,12</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0,21</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0,03</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83"/>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Sur</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2,582</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sz w:val="20"/>
                <w:szCs w:val="20"/>
                <w:lang w:eastAsia="es-AR"/>
              </w:rPr>
            </w:pPr>
            <w:r w:rsidRPr="003F43E5">
              <w:rPr>
                <w:rFonts w:ascii="Times New Roman" w:eastAsia="Times New Roman" w:hAnsi="Times New Roman" w:cs="Times New Roman"/>
                <w:b/>
                <w:sz w:val="20"/>
                <w:szCs w:val="20"/>
                <w:lang w:eastAsia="es-AR"/>
              </w:rPr>
              <w:t>2,86</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0,12</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0,54</w:t>
            </w:r>
          </w:p>
        </w:tc>
        <w:tc>
          <w:tcPr>
            <w:tcW w:w="849" w:type="dxa"/>
            <w:tcBorders>
              <w:left w:val="single" w:sz="12" w:space="0" w:color="auto"/>
              <w:bottom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0,13</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Tenencia de la vivienda</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b/>
                <w:sz w:val="20"/>
                <w:szCs w:val="20"/>
                <w:lang w:eastAsia="es-AR"/>
              </w:rPr>
            </w:pP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Propietario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6,186</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1,09</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5,15</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6,33</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0,10</w:t>
            </w:r>
          </w:p>
        </w:tc>
        <w:tc>
          <w:tcPr>
            <w:tcW w:w="848" w:type="dxa"/>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0,25</w:t>
            </w:r>
          </w:p>
        </w:tc>
        <w:tc>
          <w:tcPr>
            <w:tcW w:w="850" w:type="dxa"/>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0,24</w:t>
            </w: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Inquilino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3,357</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1,47</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5,71</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11,56</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0,07</w:t>
            </w:r>
          </w:p>
        </w:tc>
        <w:tc>
          <w:tcPr>
            <w:tcW w:w="848" w:type="dxa"/>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0,16</w:t>
            </w:r>
          </w:p>
        </w:tc>
        <w:tc>
          <w:tcPr>
            <w:tcW w:w="850" w:type="dxa"/>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0,26</w:t>
            </w:r>
          </w:p>
        </w:tc>
      </w:tr>
      <w:tr w:rsidR="00B87759" w:rsidRPr="003F43E5" w:rsidTr="00B87759">
        <w:trPr>
          <w:trHeight w:val="183"/>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Otra situación</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0,951</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0,37</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2,82</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0,04</w:t>
            </w:r>
          </w:p>
        </w:tc>
        <w:tc>
          <w:tcPr>
            <w:tcW w:w="849"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Forma de acceso a la vivienda</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b/>
                <w:sz w:val="20"/>
                <w:szCs w:val="20"/>
                <w:lang w:eastAsia="es-AR"/>
              </w:rPr>
            </w:pP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Pago al contado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2,420</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0,47</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6,06</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0,00</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c>
          <w:tcPr>
            <w:tcW w:w="848" w:type="dxa"/>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0,15</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Créd. hipotecario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1,133</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1,56</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0,78</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0,30</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357"/>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Herencia y otras</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2,520</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0,00</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0,16</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13,49</w:t>
            </w:r>
          </w:p>
        </w:tc>
        <w:tc>
          <w:tcPr>
            <w:tcW w:w="849"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c>
          <w:tcPr>
            <w:tcW w:w="850" w:type="dxa"/>
            <w:tcBorders>
              <w:bottom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0,27</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Nivel de bienes</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b/>
                <w:sz w:val="20"/>
                <w:szCs w:val="20"/>
                <w:lang w:eastAsia="es-AR"/>
              </w:rPr>
            </w:pP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Alto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3,295</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5,58</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2,11</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0,05</w:t>
            </w:r>
          </w:p>
        </w:tc>
        <w:tc>
          <w:tcPr>
            <w:tcW w:w="849" w:type="dxa"/>
            <w:tcBorders>
              <w:left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0,28</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Medio-alto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4,158</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0,03</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1,45</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2,32</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0,05</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Medio-bajo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1,380</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1,48</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0,03</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2,71</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0,06</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0,05</w:t>
            </w:r>
          </w:p>
        </w:tc>
      </w:tr>
      <w:tr w:rsidR="00B87759" w:rsidRPr="003F43E5" w:rsidTr="00B87759">
        <w:trPr>
          <w:trHeight w:val="183"/>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Bajo</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1,661</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4,70</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0,26</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1,19</w:t>
            </w:r>
          </w:p>
        </w:tc>
        <w:tc>
          <w:tcPr>
            <w:tcW w:w="849" w:type="dxa"/>
            <w:tcBorders>
              <w:left w:val="single" w:sz="12" w:space="0" w:color="auto"/>
              <w:bottom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0,19</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Tamaño del establecimiento</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sz w:val="20"/>
                <w:szCs w:val="20"/>
                <w:lang w:eastAsia="es-AR"/>
              </w:rPr>
            </w:pP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Pequeño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5,427</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3,69</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5,11</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2,25</w:t>
            </w:r>
          </w:p>
        </w:tc>
        <w:tc>
          <w:tcPr>
            <w:tcW w:w="849" w:type="dxa"/>
            <w:tcBorders>
              <w:left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0,27</w:t>
            </w:r>
          </w:p>
        </w:tc>
        <w:tc>
          <w:tcPr>
            <w:tcW w:w="848" w:type="dxa"/>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0,20</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0,07</w:t>
            </w: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Medio</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2,273</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0,30</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7,89</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0,28</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c>
          <w:tcPr>
            <w:tcW w:w="848" w:type="dxa"/>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0,19</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r>
      <w:tr w:rsidR="00B87759" w:rsidRPr="003F43E5" w:rsidTr="00B87759">
        <w:trPr>
          <w:trHeight w:val="183"/>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Grande</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2,794</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4,01</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1,09</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4,07</w:t>
            </w:r>
          </w:p>
        </w:tc>
        <w:tc>
          <w:tcPr>
            <w:tcW w:w="849" w:type="dxa"/>
            <w:tcBorders>
              <w:left w:val="single" w:sz="12" w:space="0" w:color="auto"/>
              <w:bottom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0,19</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0,03</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0,08</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Descuentos jubilatorios</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b/>
                <w:sz w:val="20"/>
                <w:szCs w:val="20"/>
                <w:lang w:eastAsia="es-AR"/>
              </w:rPr>
            </w:pPr>
          </w:p>
        </w:tc>
      </w:tr>
      <w:tr w:rsidR="00B87759" w:rsidRPr="003F43E5" w:rsidTr="00B87759">
        <w:trPr>
          <w:trHeight w:val="174"/>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Si</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7,281</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3,69</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2,41</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0,03</w:t>
            </w:r>
          </w:p>
        </w:tc>
        <w:tc>
          <w:tcPr>
            <w:tcW w:w="849" w:type="dxa"/>
            <w:tcBorders>
              <w:left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0,45</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0,16</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83"/>
        </w:trPr>
        <w:tc>
          <w:tcPr>
            <w:tcW w:w="2264" w:type="dxa"/>
            <w:tcBorders>
              <w:bottom w:val="single" w:sz="12" w:space="0" w:color="auto"/>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No</w:t>
            </w:r>
          </w:p>
        </w:tc>
        <w:tc>
          <w:tcPr>
            <w:tcW w:w="989" w:type="dxa"/>
            <w:tcBorders>
              <w:left w:val="single" w:sz="12" w:space="0" w:color="auto"/>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3,214</w:t>
            </w:r>
          </w:p>
        </w:tc>
        <w:tc>
          <w:tcPr>
            <w:tcW w:w="847" w:type="dxa"/>
            <w:tcBorders>
              <w:left w:val="single" w:sz="12" w:space="0" w:color="auto"/>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9,35</w:t>
            </w:r>
          </w:p>
        </w:tc>
        <w:tc>
          <w:tcPr>
            <w:tcW w:w="849"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3,71</w:t>
            </w:r>
          </w:p>
        </w:tc>
        <w:tc>
          <w:tcPr>
            <w:tcW w:w="853" w:type="dxa"/>
            <w:tcBorders>
              <w:bottom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0,01</w:t>
            </w:r>
          </w:p>
        </w:tc>
        <w:tc>
          <w:tcPr>
            <w:tcW w:w="849" w:type="dxa"/>
            <w:tcBorders>
              <w:left w:val="single" w:sz="12" w:space="0" w:color="auto"/>
              <w:bottom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0,46</w:t>
            </w:r>
          </w:p>
        </w:tc>
        <w:tc>
          <w:tcPr>
            <w:tcW w:w="848"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0,10</w:t>
            </w:r>
          </w:p>
        </w:tc>
        <w:tc>
          <w:tcPr>
            <w:tcW w:w="850" w:type="dxa"/>
            <w:tcBorders>
              <w:bottom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r>
      <w:tr w:rsidR="00B87759" w:rsidRPr="003F43E5" w:rsidTr="00B87759">
        <w:trPr>
          <w:trHeight w:val="174"/>
        </w:trPr>
        <w:tc>
          <w:tcPr>
            <w:tcW w:w="2264" w:type="dxa"/>
            <w:tcBorders>
              <w:top w:val="single" w:sz="12" w:space="0" w:color="auto"/>
              <w:righ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Nivel educativo</w:t>
            </w:r>
          </w:p>
        </w:tc>
        <w:tc>
          <w:tcPr>
            <w:tcW w:w="989" w:type="dxa"/>
            <w:tcBorders>
              <w:top w:val="single" w:sz="12" w:space="0" w:color="auto"/>
              <w:left w:val="single" w:sz="12" w:space="0" w:color="auto"/>
            </w:tcBorders>
            <w:shd w:val="clear" w:color="auto" w:fill="F4B083" w:themeFill="accent2" w:themeFillTint="99"/>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9" w:type="dxa"/>
            <w:gridSpan w:val="3"/>
            <w:tcBorders>
              <w:top w:val="single" w:sz="12" w:space="0" w:color="auto"/>
              <w:left w:val="single" w:sz="12" w:space="0" w:color="auto"/>
            </w:tcBorders>
            <w:shd w:val="clear" w:color="auto" w:fill="F4B083" w:themeFill="accent2" w:themeFillTint="99"/>
            <w:vAlign w:val="center"/>
          </w:tcPr>
          <w:p w:rsidR="00B87759" w:rsidRPr="003F43E5" w:rsidRDefault="00B87759" w:rsidP="00B87759">
            <w:pPr>
              <w:jc w:val="center"/>
              <w:rPr>
                <w:rFonts w:ascii="Times New Roman" w:eastAsia="Times New Roman" w:hAnsi="Times New Roman" w:cs="Times New Roman"/>
                <w:b/>
                <w:color w:val="000000"/>
                <w:sz w:val="20"/>
                <w:szCs w:val="20"/>
                <w:lang w:eastAsia="es-AR"/>
              </w:rPr>
            </w:pPr>
          </w:p>
        </w:tc>
        <w:tc>
          <w:tcPr>
            <w:tcW w:w="2547" w:type="dxa"/>
            <w:gridSpan w:val="3"/>
            <w:tcBorders>
              <w:top w:val="single" w:sz="12" w:space="0" w:color="auto"/>
              <w:left w:val="single" w:sz="12" w:space="0" w:color="auto"/>
            </w:tcBorders>
            <w:shd w:val="clear" w:color="auto" w:fill="F4B083" w:themeFill="accent2" w:themeFillTint="99"/>
            <w:vAlign w:val="center"/>
          </w:tcPr>
          <w:p w:rsidR="00B87759" w:rsidRPr="008171C0" w:rsidRDefault="00B87759" w:rsidP="00B87759">
            <w:pPr>
              <w:jc w:val="center"/>
              <w:rPr>
                <w:rFonts w:ascii="Times New Roman" w:eastAsia="Times New Roman" w:hAnsi="Times New Roman" w:cs="Times New Roman"/>
                <w:b/>
                <w:sz w:val="20"/>
                <w:szCs w:val="20"/>
                <w:lang w:eastAsia="es-AR"/>
              </w:rPr>
            </w:pPr>
          </w:p>
        </w:tc>
      </w:tr>
      <w:tr w:rsidR="00B87759" w:rsidRPr="003F43E5" w:rsidTr="00B87759">
        <w:trPr>
          <w:trHeight w:val="348"/>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Hasta prim. comp.</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1,451</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5,74</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0,47</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1,76</w:t>
            </w:r>
          </w:p>
        </w:tc>
        <w:tc>
          <w:tcPr>
            <w:tcW w:w="849" w:type="dxa"/>
            <w:tcBorders>
              <w:left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0,22</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0,01</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0,03</w:t>
            </w:r>
          </w:p>
        </w:tc>
      </w:tr>
      <w:tr w:rsidR="00B87759" w:rsidRPr="003F43E5" w:rsidTr="00B87759">
        <w:trPr>
          <w:trHeight w:val="348"/>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Hasta secun. comp.</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3,821</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2,63</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0,76</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7,16</w:t>
            </w:r>
          </w:p>
        </w:tc>
        <w:tc>
          <w:tcPr>
            <w:tcW w:w="849"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0,14</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0,02</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0,17</w:t>
            </w:r>
          </w:p>
        </w:tc>
      </w:tr>
      <w:tr w:rsidR="00B87759" w:rsidRPr="003F43E5" w:rsidTr="00B81DA3">
        <w:trPr>
          <w:trHeight w:val="80"/>
        </w:trPr>
        <w:tc>
          <w:tcPr>
            <w:tcW w:w="2264" w:type="dxa"/>
            <w:tcBorders>
              <w:right w:val="single" w:sz="12" w:space="0" w:color="auto"/>
            </w:tcBorders>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Hasta univ. comp</w:t>
            </w:r>
          </w:p>
        </w:tc>
        <w:tc>
          <w:tcPr>
            <w:tcW w:w="989" w:type="dxa"/>
            <w:tcBorders>
              <w:left w:val="single" w:sz="12" w:space="0" w:color="auto"/>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5,223</w:t>
            </w:r>
          </w:p>
        </w:tc>
        <w:tc>
          <w:tcPr>
            <w:tcW w:w="847" w:type="dxa"/>
            <w:tcBorders>
              <w:lef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6,40</w:t>
            </w:r>
          </w:p>
        </w:tc>
        <w:tc>
          <w:tcPr>
            <w:tcW w:w="849" w:type="dxa"/>
            <w:noWrap/>
            <w:vAlign w:val="center"/>
            <w:hideMark/>
          </w:tcPr>
          <w:p w:rsidR="00B87759" w:rsidRPr="003F43E5" w:rsidRDefault="00B87759" w:rsidP="00B87759">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0,00</w:t>
            </w:r>
          </w:p>
        </w:tc>
        <w:tc>
          <w:tcPr>
            <w:tcW w:w="853" w:type="dxa"/>
            <w:tcBorders>
              <w:right w:val="single" w:sz="12" w:space="0" w:color="auto"/>
            </w:tcBorders>
            <w:noWrap/>
            <w:vAlign w:val="center"/>
            <w:hideMark/>
          </w:tcPr>
          <w:p w:rsidR="00B87759" w:rsidRPr="003F43E5" w:rsidRDefault="00B87759" w:rsidP="00B87759">
            <w:pPr>
              <w:jc w:val="center"/>
              <w:rPr>
                <w:rFonts w:ascii="Times New Roman" w:eastAsia="Times New Roman" w:hAnsi="Times New Roman" w:cs="Times New Roman"/>
                <w:b/>
                <w:color w:val="000000"/>
                <w:sz w:val="20"/>
                <w:szCs w:val="20"/>
                <w:lang w:eastAsia="es-AR"/>
              </w:rPr>
            </w:pPr>
            <w:r w:rsidRPr="003F43E5">
              <w:rPr>
                <w:rFonts w:ascii="Times New Roman" w:eastAsia="Times New Roman" w:hAnsi="Times New Roman" w:cs="Times New Roman"/>
                <w:b/>
                <w:color w:val="000000"/>
                <w:sz w:val="20"/>
                <w:szCs w:val="20"/>
                <w:lang w:eastAsia="es-AR"/>
              </w:rPr>
              <w:t>3,57</w:t>
            </w:r>
          </w:p>
        </w:tc>
        <w:tc>
          <w:tcPr>
            <w:tcW w:w="849" w:type="dxa"/>
            <w:tcBorders>
              <w:left w:val="single" w:sz="12" w:space="0" w:color="auto"/>
            </w:tcBorders>
            <w:noWrap/>
            <w:vAlign w:val="center"/>
            <w:hideMark/>
          </w:tcPr>
          <w:p w:rsidR="00B87759" w:rsidRPr="00EE4E69" w:rsidRDefault="00B87759" w:rsidP="00B87759">
            <w:pPr>
              <w:jc w:val="center"/>
              <w:rPr>
                <w:rFonts w:ascii="Times New Roman" w:eastAsia="Times New Roman" w:hAnsi="Times New Roman" w:cs="Times New Roman"/>
                <w:b/>
                <w:sz w:val="20"/>
                <w:szCs w:val="20"/>
                <w:lang w:eastAsia="es-AR"/>
              </w:rPr>
            </w:pPr>
            <w:r w:rsidRPr="00EE4E69">
              <w:rPr>
                <w:rFonts w:ascii="Times New Roman" w:eastAsia="Times New Roman" w:hAnsi="Times New Roman" w:cs="Times New Roman"/>
                <w:b/>
                <w:sz w:val="20"/>
                <w:szCs w:val="20"/>
                <w:lang w:eastAsia="es-AR"/>
              </w:rPr>
              <w:t>0,45</w:t>
            </w:r>
          </w:p>
        </w:tc>
        <w:tc>
          <w:tcPr>
            <w:tcW w:w="848"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0,00</w:t>
            </w:r>
          </w:p>
        </w:tc>
        <w:tc>
          <w:tcPr>
            <w:tcW w:w="850" w:type="dxa"/>
            <w:noWrap/>
            <w:vAlign w:val="center"/>
            <w:hideMark/>
          </w:tcPr>
          <w:p w:rsidR="00B87759" w:rsidRPr="003F43E5" w:rsidRDefault="00B87759" w:rsidP="00B87759">
            <w:pPr>
              <w:jc w:val="center"/>
              <w:rPr>
                <w:rFonts w:ascii="Times New Roman" w:eastAsia="Times New Roman" w:hAnsi="Times New Roman" w:cs="Times New Roman"/>
                <w:sz w:val="20"/>
                <w:szCs w:val="20"/>
                <w:lang w:eastAsia="es-AR"/>
              </w:rPr>
            </w:pPr>
            <w:r w:rsidRPr="003F43E5">
              <w:rPr>
                <w:rFonts w:ascii="Times New Roman" w:eastAsia="Times New Roman" w:hAnsi="Times New Roman" w:cs="Times New Roman"/>
                <w:sz w:val="20"/>
                <w:szCs w:val="20"/>
                <w:lang w:eastAsia="es-AR"/>
              </w:rPr>
              <w:t>0,11</w:t>
            </w:r>
          </w:p>
        </w:tc>
      </w:tr>
    </w:tbl>
    <w:p w:rsidR="00B87759" w:rsidRDefault="00B87759" w:rsidP="00FF16B8">
      <w:pPr>
        <w:pStyle w:val="Prrafodelista"/>
        <w:spacing w:after="0" w:line="360" w:lineRule="auto"/>
        <w:ind w:left="0"/>
        <w:jc w:val="both"/>
        <w:rPr>
          <w:rFonts w:ascii="Times New Roman" w:hAnsi="Times New Roman" w:cs="Times New Roman"/>
          <w:sz w:val="18"/>
        </w:rPr>
      </w:pPr>
      <w:r w:rsidRPr="00B87759">
        <w:rPr>
          <w:rFonts w:ascii="Times New Roman" w:hAnsi="Times New Roman" w:cs="Times New Roman"/>
          <w:sz w:val="18"/>
        </w:rPr>
        <w:t>Fuente: elaboración propia en base a Encuesta FONCYT 2012-2013.</w:t>
      </w:r>
    </w:p>
    <w:p w:rsidR="008E6510" w:rsidRDefault="008E6510" w:rsidP="00B87759">
      <w:pPr>
        <w:spacing w:after="0" w:line="360" w:lineRule="auto"/>
        <w:jc w:val="both"/>
        <w:rPr>
          <w:rFonts w:ascii="Times New Roman" w:hAnsi="Times New Roman" w:cs="Times New Roman"/>
          <w:sz w:val="24"/>
        </w:rPr>
      </w:pPr>
    </w:p>
    <w:p w:rsidR="009D14F2" w:rsidRDefault="009D14F2" w:rsidP="009D14F2">
      <w:pPr>
        <w:pStyle w:val="Epgrafe"/>
        <w:keepNext/>
      </w:pPr>
      <w:r>
        <w:t xml:space="preserve">Tabla </w:t>
      </w:r>
      <w:fldSimple w:instr=" SEQ Tabla \* ARABIC ">
        <w:r>
          <w:rPr>
            <w:noProof/>
          </w:rPr>
          <w:t>8</w:t>
        </w:r>
      </w:fldSimple>
      <w:r>
        <w:t>. Coordenadas y Test-values para categorías suplementarias</w:t>
      </w:r>
    </w:p>
    <w:tbl>
      <w:tblPr>
        <w:tblStyle w:val="Tablaconcuadrcula"/>
        <w:tblW w:w="8551"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2630"/>
        <w:gridCol w:w="984"/>
        <w:gridCol w:w="986"/>
        <w:gridCol w:w="992"/>
        <w:gridCol w:w="986"/>
        <w:gridCol w:w="985"/>
        <w:gridCol w:w="988"/>
      </w:tblGrid>
      <w:tr w:rsidR="002F37FB" w:rsidRPr="003F43E5" w:rsidTr="009D14F2">
        <w:trPr>
          <w:trHeight w:val="153"/>
        </w:trPr>
        <w:tc>
          <w:tcPr>
            <w:tcW w:w="2630" w:type="dxa"/>
            <w:vMerge w:val="restart"/>
            <w:tcBorders>
              <w:right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Categorías</w:t>
            </w:r>
          </w:p>
        </w:tc>
        <w:tc>
          <w:tcPr>
            <w:tcW w:w="2962" w:type="dxa"/>
            <w:gridSpan w:val="3"/>
            <w:tcBorders>
              <w:left w:val="single" w:sz="12" w:space="0" w:color="auto"/>
              <w:bottom w:val="single" w:sz="12" w:space="0" w:color="auto"/>
              <w:right w:val="single" w:sz="12" w:space="0" w:color="auto"/>
            </w:tcBorders>
            <w:noWrap/>
            <w:vAlign w:val="center"/>
            <w:hideMark/>
          </w:tcPr>
          <w:p w:rsidR="002F37FB" w:rsidRPr="003F43E5" w:rsidRDefault="002F37FB" w:rsidP="0072048B">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Coordenadas</w:t>
            </w:r>
          </w:p>
        </w:tc>
        <w:tc>
          <w:tcPr>
            <w:tcW w:w="2959" w:type="dxa"/>
            <w:gridSpan w:val="3"/>
            <w:tcBorders>
              <w:left w:val="single" w:sz="12" w:space="0" w:color="auto"/>
              <w:bottom w:val="single" w:sz="12" w:space="0" w:color="auto"/>
            </w:tcBorders>
            <w:noWrap/>
            <w:vAlign w:val="center"/>
            <w:hideMark/>
          </w:tcPr>
          <w:p w:rsidR="002F37FB" w:rsidRPr="002F37FB" w:rsidRDefault="002F37FB" w:rsidP="0072048B">
            <w:pPr>
              <w:jc w:val="center"/>
              <w:rPr>
                <w:rFonts w:ascii="Times New Roman" w:eastAsia="Times New Roman" w:hAnsi="Times New Roman" w:cs="Times New Roman"/>
                <w:i/>
                <w:color w:val="000000"/>
                <w:sz w:val="20"/>
                <w:szCs w:val="20"/>
                <w:lang w:eastAsia="es-AR"/>
              </w:rPr>
            </w:pPr>
            <w:r>
              <w:rPr>
                <w:rFonts w:ascii="Times New Roman" w:eastAsia="Times New Roman" w:hAnsi="Times New Roman" w:cs="Times New Roman"/>
                <w:i/>
                <w:color w:val="000000"/>
                <w:sz w:val="20"/>
                <w:szCs w:val="20"/>
                <w:lang w:eastAsia="es-AR"/>
              </w:rPr>
              <w:t>Test-values</w:t>
            </w:r>
          </w:p>
        </w:tc>
      </w:tr>
      <w:tr w:rsidR="002F37FB" w:rsidRPr="003F43E5" w:rsidTr="009D14F2">
        <w:trPr>
          <w:trHeight w:val="146"/>
        </w:trPr>
        <w:tc>
          <w:tcPr>
            <w:tcW w:w="2630" w:type="dxa"/>
            <w:vMerge/>
            <w:tcBorders>
              <w:bottom w:val="single" w:sz="12" w:space="0" w:color="auto"/>
              <w:right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p>
        </w:tc>
        <w:tc>
          <w:tcPr>
            <w:tcW w:w="984" w:type="dxa"/>
            <w:tcBorders>
              <w:top w:val="single" w:sz="12" w:space="0" w:color="auto"/>
              <w:left w:val="single" w:sz="12" w:space="0" w:color="auto"/>
              <w:bottom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1</w:t>
            </w:r>
          </w:p>
        </w:tc>
        <w:tc>
          <w:tcPr>
            <w:tcW w:w="986" w:type="dxa"/>
            <w:tcBorders>
              <w:top w:val="single" w:sz="12" w:space="0" w:color="auto"/>
              <w:bottom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2</w:t>
            </w:r>
          </w:p>
        </w:tc>
        <w:tc>
          <w:tcPr>
            <w:tcW w:w="992" w:type="dxa"/>
            <w:tcBorders>
              <w:top w:val="single" w:sz="12" w:space="0" w:color="auto"/>
              <w:bottom w:val="single" w:sz="12" w:space="0" w:color="auto"/>
              <w:right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3</w:t>
            </w:r>
          </w:p>
        </w:tc>
        <w:tc>
          <w:tcPr>
            <w:tcW w:w="986" w:type="dxa"/>
            <w:tcBorders>
              <w:top w:val="single" w:sz="12" w:space="0" w:color="auto"/>
              <w:left w:val="single" w:sz="12" w:space="0" w:color="auto"/>
              <w:bottom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1</w:t>
            </w:r>
          </w:p>
        </w:tc>
        <w:tc>
          <w:tcPr>
            <w:tcW w:w="985" w:type="dxa"/>
            <w:tcBorders>
              <w:top w:val="single" w:sz="12" w:space="0" w:color="auto"/>
              <w:bottom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2</w:t>
            </w:r>
          </w:p>
        </w:tc>
        <w:tc>
          <w:tcPr>
            <w:tcW w:w="988" w:type="dxa"/>
            <w:tcBorders>
              <w:top w:val="single" w:sz="12" w:space="0" w:color="auto"/>
              <w:bottom w:val="single" w:sz="12" w:space="0" w:color="auto"/>
            </w:tcBorders>
            <w:vAlign w:val="center"/>
            <w:hideMark/>
          </w:tcPr>
          <w:p w:rsidR="002F37FB" w:rsidRPr="003F43E5" w:rsidRDefault="002F37FB" w:rsidP="0072048B">
            <w:pPr>
              <w:jc w:val="center"/>
              <w:rPr>
                <w:rFonts w:ascii="Times New Roman" w:eastAsia="Times New Roman" w:hAnsi="Times New Roman" w:cs="Times New Roman"/>
                <w:b/>
                <w:bCs/>
                <w:color w:val="000000"/>
                <w:sz w:val="20"/>
                <w:szCs w:val="20"/>
                <w:lang w:eastAsia="es-AR"/>
              </w:rPr>
            </w:pPr>
            <w:r>
              <w:rPr>
                <w:rFonts w:ascii="Times New Roman" w:eastAsia="Times New Roman" w:hAnsi="Times New Roman" w:cs="Times New Roman"/>
                <w:b/>
                <w:bCs/>
                <w:color w:val="000000"/>
                <w:sz w:val="20"/>
                <w:szCs w:val="20"/>
                <w:lang w:eastAsia="es-AR"/>
              </w:rPr>
              <w:t>Factor</w:t>
            </w:r>
            <w:r w:rsidRPr="003F43E5">
              <w:rPr>
                <w:rFonts w:ascii="Times New Roman" w:eastAsia="Times New Roman" w:hAnsi="Times New Roman" w:cs="Times New Roman"/>
                <w:b/>
                <w:bCs/>
                <w:color w:val="000000"/>
                <w:sz w:val="20"/>
                <w:szCs w:val="20"/>
                <w:lang w:eastAsia="es-AR"/>
              </w:rPr>
              <w:t xml:space="preserve">  3</w:t>
            </w:r>
          </w:p>
        </w:tc>
      </w:tr>
      <w:tr w:rsidR="002F37FB" w:rsidRPr="003F43E5" w:rsidTr="009D14F2">
        <w:trPr>
          <w:trHeight w:val="239"/>
        </w:trPr>
        <w:tc>
          <w:tcPr>
            <w:tcW w:w="2630" w:type="dxa"/>
            <w:tcBorders>
              <w:top w:val="single" w:sz="12" w:space="0" w:color="auto"/>
              <w:right w:val="single" w:sz="12" w:space="0" w:color="auto"/>
            </w:tcBorders>
            <w:shd w:val="clear" w:color="auto" w:fill="F4B083" w:themeFill="accent2" w:themeFillTint="99"/>
            <w:vAlign w:val="center"/>
            <w:hideMark/>
          </w:tcPr>
          <w:p w:rsidR="002F37FB" w:rsidRPr="00DB6A38" w:rsidRDefault="002F37FB" w:rsidP="0072048B">
            <w:pPr>
              <w:jc w:val="center"/>
              <w:rPr>
                <w:rFonts w:ascii="Times New Roman" w:eastAsia="Times New Roman" w:hAnsi="Times New Roman" w:cs="Times New Roman"/>
                <w:b/>
                <w:sz w:val="20"/>
                <w:szCs w:val="20"/>
                <w:lang w:eastAsia="es-AR"/>
              </w:rPr>
            </w:pPr>
            <w:r w:rsidRPr="00DB6A38">
              <w:rPr>
                <w:rFonts w:ascii="Times New Roman" w:eastAsia="Times New Roman" w:hAnsi="Times New Roman" w:cs="Times New Roman"/>
                <w:b/>
                <w:sz w:val="20"/>
                <w:szCs w:val="20"/>
                <w:lang w:eastAsia="es-AR"/>
              </w:rPr>
              <w:t>Clase social</w:t>
            </w:r>
            <w:r>
              <w:rPr>
                <w:rFonts w:ascii="Times New Roman" w:eastAsia="Times New Roman" w:hAnsi="Times New Roman" w:cs="Times New Roman"/>
                <w:b/>
                <w:sz w:val="20"/>
                <w:szCs w:val="20"/>
                <w:lang w:eastAsia="es-AR"/>
              </w:rPr>
              <w:t xml:space="preserve"> origen</w:t>
            </w:r>
          </w:p>
        </w:tc>
        <w:tc>
          <w:tcPr>
            <w:tcW w:w="2962" w:type="dxa"/>
            <w:gridSpan w:val="3"/>
            <w:tcBorders>
              <w:top w:val="single" w:sz="12" w:space="0" w:color="auto"/>
              <w:left w:val="single" w:sz="12" w:space="0" w:color="auto"/>
            </w:tcBorders>
            <w:shd w:val="clear" w:color="auto" w:fill="F4B083" w:themeFill="accent2" w:themeFillTint="99"/>
            <w:vAlign w:val="center"/>
          </w:tcPr>
          <w:p w:rsidR="002F37FB" w:rsidRPr="003F43E5" w:rsidRDefault="002F37FB" w:rsidP="0072048B">
            <w:pPr>
              <w:jc w:val="center"/>
              <w:rPr>
                <w:rFonts w:ascii="Times New Roman" w:eastAsia="Times New Roman" w:hAnsi="Times New Roman" w:cs="Times New Roman"/>
                <w:color w:val="006100"/>
                <w:sz w:val="20"/>
                <w:szCs w:val="20"/>
                <w:lang w:eastAsia="es-AR"/>
              </w:rPr>
            </w:pPr>
          </w:p>
        </w:tc>
        <w:tc>
          <w:tcPr>
            <w:tcW w:w="2959" w:type="dxa"/>
            <w:gridSpan w:val="3"/>
            <w:tcBorders>
              <w:top w:val="single" w:sz="12" w:space="0" w:color="auto"/>
              <w:left w:val="single" w:sz="12" w:space="0" w:color="auto"/>
            </w:tcBorders>
            <w:shd w:val="clear" w:color="auto" w:fill="F4B083" w:themeFill="accent2" w:themeFillTint="99"/>
            <w:vAlign w:val="center"/>
          </w:tcPr>
          <w:p w:rsidR="002F37FB" w:rsidRPr="003F43E5" w:rsidRDefault="002F37FB" w:rsidP="0072048B">
            <w:pPr>
              <w:jc w:val="center"/>
              <w:rPr>
                <w:rFonts w:ascii="Times New Roman" w:eastAsia="Times New Roman" w:hAnsi="Times New Roman" w:cs="Times New Roman"/>
                <w:color w:val="006100"/>
                <w:sz w:val="20"/>
                <w:szCs w:val="20"/>
                <w:lang w:eastAsia="es-AR"/>
              </w:rPr>
            </w:pPr>
          </w:p>
        </w:tc>
      </w:tr>
      <w:tr w:rsidR="009D14F2" w:rsidRPr="003F43E5" w:rsidTr="009D14F2">
        <w:trPr>
          <w:trHeight w:val="439"/>
        </w:trPr>
        <w:tc>
          <w:tcPr>
            <w:tcW w:w="2630" w:type="dxa"/>
            <w:tcBorders>
              <w:right w:val="single" w:sz="12" w:space="0" w:color="auto"/>
            </w:tcBorders>
            <w:vAlign w:val="center"/>
          </w:tcPr>
          <w:p w:rsidR="009D14F2" w:rsidRPr="003F43E5" w:rsidRDefault="009D14F2" w:rsidP="009D14F2">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Clase directiva-prof</w:t>
            </w:r>
            <w:r>
              <w:rPr>
                <w:rFonts w:ascii="Times New Roman" w:eastAsia="Times New Roman" w:hAnsi="Times New Roman" w:cs="Times New Roman"/>
                <w:color w:val="000000"/>
                <w:sz w:val="20"/>
                <w:szCs w:val="20"/>
                <w:lang w:eastAsia="es-AR"/>
              </w:rPr>
              <w:t>esional</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-0,59</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-0,01</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-0,21</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-6,42</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-0,11</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-2,31</w:t>
            </w:r>
          </w:p>
        </w:tc>
      </w:tr>
      <w:tr w:rsidR="009D14F2" w:rsidRPr="003F43E5" w:rsidTr="009D14F2">
        <w:trPr>
          <w:trHeight w:val="294"/>
        </w:trPr>
        <w:tc>
          <w:tcPr>
            <w:tcW w:w="2630" w:type="dxa"/>
            <w:tcBorders>
              <w:right w:val="single" w:sz="12" w:space="0" w:color="auto"/>
            </w:tcBorders>
            <w:vAlign w:val="center"/>
          </w:tcPr>
          <w:p w:rsidR="009D14F2" w:rsidRPr="003F43E5"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Pequeña burguesí</w:t>
            </w:r>
            <w:r w:rsidRPr="003F43E5">
              <w:rPr>
                <w:rFonts w:ascii="Times New Roman" w:eastAsia="Times New Roman" w:hAnsi="Times New Roman" w:cs="Times New Roman"/>
                <w:color w:val="000000"/>
                <w:sz w:val="20"/>
                <w:szCs w:val="20"/>
                <w:lang w:eastAsia="es-AR"/>
              </w:rPr>
              <w:t>a</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-0,26</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-0,10</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0,10</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-3,52</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-1,37</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1,31</w:t>
            </w:r>
          </w:p>
        </w:tc>
      </w:tr>
      <w:tr w:rsidR="009D14F2" w:rsidRPr="003F43E5" w:rsidTr="009D14F2">
        <w:trPr>
          <w:trHeight w:val="294"/>
        </w:trPr>
        <w:tc>
          <w:tcPr>
            <w:tcW w:w="2630" w:type="dxa"/>
            <w:tcBorders>
              <w:right w:val="single" w:sz="12" w:space="0" w:color="auto"/>
            </w:tcBorders>
            <w:vAlign w:val="center"/>
          </w:tcPr>
          <w:p w:rsidR="009D14F2" w:rsidRPr="003F43E5"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Clase media té</w:t>
            </w:r>
            <w:r w:rsidRPr="003F43E5">
              <w:rPr>
                <w:rFonts w:ascii="Times New Roman" w:eastAsia="Times New Roman" w:hAnsi="Times New Roman" w:cs="Times New Roman"/>
                <w:color w:val="000000"/>
                <w:sz w:val="20"/>
                <w:szCs w:val="20"/>
                <w:lang w:eastAsia="es-AR"/>
              </w:rPr>
              <w:t>cnica</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-0,18</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0,02</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-0,18</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-2,55</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0,32</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-2,54</w:t>
            </w:r>
          </w:p>
        </w:tc>
      </w:tr>
      <w:tr w:rsidR="009D14F2" w:rsidRPr="003F43E5" w:rsidTr="009D14F2">
        <w:trPr>
          <w:trHeight w:val="439"/>
        </w:trPr>
        <w:tc>
          <w:tcPr>
            <w:tcW w:w="2630" w:type="dxa"/>
            <w:tcBorders>
              <w:right w:val="single" w:sz="12" w:space="0" w:color="auto"/>
            </w:tcBorders>
            <w:vAlign w:val="center"/>
          </w:tcPr>
          <w:p w:rsidR="009D14F2" w:rsidRPr="003F43E5" w:rsidRDefault="009D14F2" w:rsidP="009D14F2">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Clase trabajadora ca</w:t>
            </w:r>
            <w:r>
              <w:rPr>
                <w:rFonts w:ascii="Times New Roman" w:eastAsia="Times New Roman" w:hAnsi="Times New Roman" w:cs="Times New Roman"/>
                <w:color w:val="000000"/>
                <w:sz w:val="20"/>
                <w:szCs w:val="20"/>
                <w:lang w:eastAsia="es-AR"/>
              </w:rPr>
              <w:t>lificada</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0,41</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0,21</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0,12</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7,74</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3,92</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2,34</w:t>
            </w:r>
          </w:p>
        </w:tc>
      </w:tr>
      <w:tr w:rsidR="009D14F2" w:rsidRPr="003F43E5" w:rsidTr="009D14F2">
        <w:trPr>
          <w:trHeight w:val="339"/>
        </w:trPr>
        <w:tc>
          <w:tcPr>
            <w:tcW w:w="2630" w:type="dxa"/>
            <w:tcBorders>
              <w:bottom w:val="single" w:sz="12" w:space="0" w:color="auto"/>
              <w:right w:val="single" w:sz="12" w:space="0" w:color="auto"/>
            </w:tcBorders>
            <w:vAlign w:val="center"/>
          </w:tcPr>
          <w:p w:rsidR="009D14F2" w:rsidRPr="003F43E5" w:rsidRDefault="009D14F2" w:rsidP="009D14F2">
            <w:pPr>
              <w:jc w:val="center"/>
              <w:rPr>
                <w:rFonts w:ascii="Times New Roman" w:eastAsia="Times New Roman" w:hAnsi="Times New Roman" w:cs="Times New Roman"/>
                <w:color w:val="000000"/>
                <w:sz w:val="20"/>
                <w:szCs w:val="20"/>
                <w:lang w:eastAsia="es-AR"/>
              </w:rPr>
            </w:pPr>
            <w:r w:rsidRPr="003F43E5">
              <w:rPr>
                <w:rFonts w:ascii="Times New Roman" w:eastAsia="Times New Roman" w:hAnsi="Times New Roman" w:cs="Times New Roman"/>
                <w:color w:val="000000"/>
                <w:sz w:val="20"/>
                <w:szCs w:val="20"/>
                <w:lang w:eastAsia="es-AR"/>
              </w:rPr>
              <w:t>Clase trabajadora no</w:t>
            </w:r>
            <w:r>
              <w:rPr>
                <w:rFonts w:ascii="Times New Roman" w:eastAsia="Times New Roman" w:hAnsi="Times New Roman" w:cs="Times New Roman"/>
                <w:color w:val="000000"/>
                <w:sz w:val="20"/>
                <w:szCs w:val="20"/>
                <w:lang w:eastAsia="es-AR"/>
              </w:rPr>
              <w:t xml:space="preserve"> calificada</w:t>
            </w:r>
          </w:p>
        </w:tc>
        <w:tc>
          <w:tcPr>
            <w:tcW w:w="984" w:type="dxa"/>
            <w:tcBorders>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0,57</w:t>
            </w:r>
          </w:p>
        </w:tc>
        <w:tc>
          <w:tcPr>
            <w:tcW w:w="986" w:type="dxa"/>
            <w:tcBorders>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-0,23</w:t>
            </w:r>
          </w:p>
        </w:tc>
        <w:tc>
          <w:tcPr>
            <w:tcW w:w="992" w:type="dxa"/>
            <w:tcBorders>
              <w:bottom w:val="single" w:sz="12" w:space="0" w:color="auto"/>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-0,27</w:t>
            </w:r>
          </w:p>
        </w:tc>
        <w:tc>
          <w:tcPr>
            <w:tcW w:w="986" w:type="dxa"/>
            <w:tcBorders>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4,86</w:t>
            </w:r>
          </w:p>
        </w:tc>
        <w:tc>
          <w:tcPr>
            <w:tcW w:w="985" w:type="dxa"/>
            <w:tcBorders>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-1,99</w:t>
            </w:r>
          </w:p>
        </w:tc>
        <w:tc>
          <w:tcPr>
            <w:tcW w:w="988" w:type="dxa"/>
            <w:tcBorders>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-2,29</w:t>
            </w:r>
          </w:p>
        </w:tc>
      </w:tr>
      <w:tr w:rsidR="002F37FB" w:rsidRPr="003F43E5" w:rsidTr="009D14F2">
        <w:trPr>
          <w:trHeight w:val="146"/>
        </w:trPr>
        <w:tc>
          <w:tcPr>
            <w:tcW w:w="2630" w:type="dxa"/>
            <w:tcBorders>
              <w:top w:val="single" w:sz="12" w:space="0" w:color="auto"/>
              <w:right w:val="single" w:sz="12" w:space="0" w:color="auto"/>
            </w:tcBorders>
            <w:shd w:val="clear" w:color="auto" w:fill="F4B083" w:themeFill="accent2" w:themeFillTint="99"/>
            <w:noWrap/>
            <w:vAlign w:val="center"/>
            <w:hideMark/>
          </w:tcPr>
          <w:p w:rsidR="002F37FB" w:rsidRPr="003F43E5" w:rsidRDefault="002F37FB" w:rsidP="002F37FB">
            <w:pPr>
              <w:jc w:val="center"/>
              <w:rPr>
                <w:rFonts w:ascii="Times New Roman" w:eastAsia="Times New Roman" w:hAnsi="Times New Roman" w:cs="Times New Roman"/>
                <w:b/>
                <w:color w:val="000000"/>
                <w:sz w:val="20"/>
                <w:szCs w:val="20"/>
                <w:lang w:eastAsia="es-AR"/>
              </w:rPr>
            </w:pPr>
            <w:r>
              <w:rPr>
                <w:rFonts w:ascii="Times New Roman" w:eastAsia="Times New Roman" w:hAnsi="Times New Roman" w:cs="Times New Roman"/>
                <w:b/>
                <w:color w:val="000000"/>
                <w:sz w:val="20"/>
                <w:szCs w:val="20"/>
                <w:lang w:eastAsia="es-AR"/>
              </w:rPr>
              <w:t>Trayectoria de clase</w:t>
            </w:r>
          </w:p>
        </w:tc>
        <w:tc>
          <w:tcPr>
            <w:tcW w:w="2962"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sz w:val="20"/>
                <w:szCs w:val="20"/>
                <w:lang w:eastAsia="es-AR"/>
              </w:rPr>
            </w:pPr>
          </w:p>
        </w:tc>
        <w:tc>
          <w:tcPr>
            <w:tcW w:w="2959"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sz w:val="20"/>
                <w:szCs w:val="20"/>
                <w:lang w:eastAsia="es-AR"/>
              </w:rPr>
            </w:pPr>
          </w:p>
        </w:tc>
      </w:tr>
      <w:tr w:rsidR="009D14F2" w:rsidRPr="003F43E5" w:rsidTr="009D14F2">
        <w:trPr>
          <w:trHeight w:val="199"/>
        </w:trPr>
        <w:tc>
          <w:tcPr>
            <w:tcW w:w="2630" w:type="dxa"/>
            <w:tcBorders>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He</w:t>
            </w:r>
            <w:r w:rsidRPr="002F37FB">
              <w:rPr>
                <w:rFonts w:ascii="Times New Roman" w:eastAsia="Times New Roman" w:hAnsi="Times New Roman" w:cs="Times New Roman"/>
                <w:color w:val="000000"/>
                <w:sz w:val="20"/>
                <w:szCs w:val="20"/>
                <w:lang w:eastAsia="es-AR"/>
              </w:rPr>
              <w:t>rencia directiva-prof</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-1,39</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-0,74</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-0,85</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-8,85</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-4,72</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-5,43</w:t>
            </w:r>
          </w:p>
        </w:tc>
      </w:tr>
      <w:tr w:rsidR="009D14F2" w:rsidRPr="003F43E5" w:rsidTr="009D14F2">
        <w:trPr>
          <w:trHeight w:val="405"/>
        </w:trPr>
        <w:tc>
          <w:tcPr>
            <w:tcW w:w="2630" w:type="dxa"/>
            <w:tcBorders>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 xml:space="preserve">Ascenso </w:t>
            </w:r>
            <w:r w:rsidRPr="002F37FB">
              <w:rPr>
                <w:rFonts w:ascii="Times New Roman" w:eastAsia="Times New Roman" w:hAnsi="Times New Roman" w:cs="Times New Roman"/>
                <w:color w:val="000000"/>
                <w:sz w:val="20"/>
                <w:szCs w:val="20"/>
                <w:lang w:eastAsia="es-AR"/>
              </w:rPr>
              <w:t>directiva-prof</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-1,14</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-0,76</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-0,65</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-11,35</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-7,57</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-6,48</w:t>
            </w:r>
          </w:p>
        </w:tc>
      </w:tr>
      <w:tr w:rsidR="009D14F2" w:rsidRPr="003F43E5" w:rsidTr="009D14F2">
        <w:trPr>
          <w:trHeight w:val="66"/>
        </w:trPr>
        <w:tc>
          <w:tcPr>
            <w:tcW w:w="2630" w:type="dxa"/>
            <w:tcBorders>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 xml:space="preserve">Descenso </w:t>
            </w:r>
            <w:r w:rsidRPr="002F37FB">
              <w:rPr>
                <w:rFonts w:ascii="Times New Roman" w:eastAsia="Times New Roman" w:hAnsi="Times New Roman" w:cs="Times New Roman"/>
                <w:color w:val="000000"/>
                <w:sz w:val="20"/>
                <w:szCs w:val="20"/>
                <w:lang w:eastAsia="es-AR"/>
              </w:rPr>
              <w:t>clase media</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-0,24</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0,41</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0,23</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-1,76</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2,99</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1,68</w:t>
            </w:r>
          </w:p>
        </w:tc>
      </w:tr>
      <w:tr w:rsidR="009D14F2" w:rsidRPr="003F43E5" w:rsidTr="009D14F2">
        <w:trPr>
          <w:trHeight w:val="294"/>
        </w:trPr>
        <w:tc>
          <w:tcPr>
            <w:tcW w:w="2630" w:type="dxa"/>
            <w:tcBorders>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 xml:space="preserve">Herencia </w:t>
            </w:r>
            <w:r w:rsidRPr="002F37FB">
              <w:rPr>
                <w:rFonts w:ascii="Times New Roman" w:eastAsia="Times New Roman" w:hAnsi="Times New Roman" w:cs="Times New Roman"/>
                <w:color w:val="000000"/>
                <w:sz w:val="20"/>
                <w:szCs w:val="20"/>
                <w:lang w:eastAsia="es-AR"/>
              </w:rPr>
              <w:t>clase media</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-0,32</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0,29</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0,22</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-4,62</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4,22</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3,15</w:t>
            </w:r>
          </w:p>
        </w:tc>
      </w:tr>
      <w:tr w:rsidR="009D14F2" w:rsidRPr="003F43E5" w:rsidTr="009D14F2">
        <w:trPr>
          <w:trHeight w:val="66"/>
        </w:trPr>
        <w:tc>
          <w:tcPr>
            <w:tcW w:w="2630" w:type="dxa"/>
            <w:tcBorders>
              <w:bottom w:val="nil"/>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 xml:space="preserve">Ascenso </w:t>
            </w:r>
            <w:r w:rsidRPr="002F37FB">
              <w:rPr>
                <w:rFonts w:ascii="Times New Roman" w:eastAsia="Times New Roman" w:hAnsi="Times New Roman" w:cs="Times New Roman"/>
                <w:color w:val="000000"/>
                <w:sz w:val="20"/>
                <w:szCs w:val="20"/>
                <w:lang w:eastAsia="es-AR"/>
              </w:rPr>
              <w:t>clase media</w:t>
            </w:r>
          </w:p>
        </w:tc>
        <w:tc>
          <w:tcPr>
            <w:tcW w:w="984" w:type="dxa"/>
            <w:tcBorders>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0,02</w:t>
            </w:r>
          </w:p>
        </w:tc>
        <w:tc>
          <w:tcPr>
            <w:tcW w:w="986"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0,26</w:t>
            </w:r>
          </w:p>
        </w:tc>
        <w:tc>
          <w:tcPr>
            <w:tcW w:w="992" w:type="dxa"/>
            <w:tcBorders>
              <w:bottom w:val="nil"/>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0,29</w:t>
            </w:r>
          </w:p>
        </w:tc>
        <w:tc>
          <w:tcPr>
            <w:tcW w:w="986" w:type="dxa"/>
            <w:tcBorders>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0,27</w:t>
            </w:r>
          </w:p>
        </w:tc>
        <w:tc>
          <w:tcPr>
            <w:tcW w:w="985"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3,28</w:t>
            </w:r>
          </w:p>
        </w:tc>
        <w:tc>
          <w:tcPr>
            <w:tcW w:w="988"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3,68</w:t>
            </w:r>
          </w:p>
        </w:tc>
      </w:tr>
      <w:tr w:rsidR="009D14F2" w:rsidRPr="003F43E5" w:rsidTr="009D14F2">
        <w:trPr>
          <w:trHeight w:val="66"/>
        </w:trPr>
        <w:tc>
          <w:tcPr>
            <w:tcW w:w="2630" w:type="dxa"/>
            <w:tcBorders>
              <w:top w:val="nil"/>
              <w:bottom w:val="nil"/>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 xml:space="preserve">Herencia </w:t>
            </w:r>
            <w:r w:rsidRPr="002F37FB">
              <w:rPr>
                <w:rFonts w:ascii="Times New Roman" w:eastAsia="Times New Roman" w:hAnsi="Times New Roman" w:cs="Times New Roman"/>
                <w:color w:val="000000"/>
                <w:sz w:val="20"/>
                <w:szCs w:val="20"/>
                <w:lang w:eastAsia="es-AR"/>
              </w:rPr>
              <w:t>clase trab</w:t>
            </w:r>
          </w:p>
        </w:tc>
        <w:tc>
          <w:tcPr>
            <w:tcW w:w="984" w:type="dxa"/>
            <w:tcBorders>
              <w:top w:val="nil"/>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1,01</w:t>
            </w:r>
          </w:p>
        </w:tc>
        <w:tc>
          <w:tcPr>
            <w:tcW w:w="986" w:type="dxa"/>
            <w:tcBorders>
              <w:top w:val="nil"/>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0,10</w:t>
            </w:r>
          </w:p>
        </w:tc>
        <w:tc>
          <w:tcPr>
            <w:tcW w:w="992" w:type="dxa"/>
            <w:tcBorders>
              <w:top w:val="nil"/>
              <w:bottom w:val="nil"/>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-0,07</w:t>
            </w:r>
          </w:p>
        </w:tc>
        <w:tc>
          <w:tcPr>
            <w:tcW w:w="986" w:type="dxa"/>
            <w:tcBorders>
              <w:top w:val="nil"/>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13,92</w:t>
            </w:r>
          </w:p>
        </w:tc>
        <w:tc>
          <w:tcPr>
            <w:tcW w:w="985" w:type="dxa"/>
            <w:tcBorders>
              <w:top w:val="nil"/>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1,38</w:t>
            </w:r>
          </w:p>
        </w:tc>
        <w:tc>
          <w:tcPr>
            <w:tcW w:w="988" w:type="dxa"/>
            <w:tcBorders>
              <w:top w:val="nil"/>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-0,99</w:t>
            </w:r>
          </w:p>
        </w:tc>
      </w:tr>
      <w:tr w:rsidR="009D14F2" w:rsidRPr="003F43E5" w:rsidTr="009D14F2">
        <w:trPr>
          <w:trHeight w:val="66"/>
        </w:trPr>
        <w:tc>
          <w:tcPr>
            <w:tcW w:w="2630" w:type="dxa"/>
            <w:tcBorders>
              <w:top w:val="nil"/>
              <w:bottom w:val="single" w:sz="12" w:space="0" w:color="auto"/>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 xml:space="preserve">Descenso </w:t>
            </w:r>
            <w:r w:rsidRPr="002F37FB">
              <w:rPr>
                <w:rFonts w:ascii="Times New Roman" w:eastAsia="Times New Roman" w:hAnsi="Times New Roman" w:cs="Times New Roman"/>
                <w:color w:val="000000"/>
                <w:sz w:val="20"/>
                <w:szCs w:val="20"/>
                <w:lang w:eastAsia="es-AR"/>
              </w:rPr>
              <w:t>clase trab</w:t>
            </w:r>
          </w:p>
        </w:tc>
        <w:tc>
          <w:tcPr>
            <w:tcW w:w="984" w:type="dxa"/>
            <w:tcBorders>
              <w:top w:val="nil"/>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0,88</w:t>
            </w:r>
          </w:p>
        </w:tc>
        <w:tc>
          <w:tcPr>
            <w:tcW w:w="986"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0,00</w:t>
            </w:r>
          </w:p>
        </w:tc>
        <w:tc>
          <w:tcPr>
            <w:tcW w:w="992" w:type="dxa"/>
            <w:tcBorders>
              <w:top w:val="nil"/>
              <w:bottom w:val="single" w:sz="12" w:space="0" w:color="auto"/>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-0,09</w:t>
            </w:r>
          </w:p>
        </w:tc>
        <w:tc>
          <w:tcPr>
            <w:tcW w:w="986" w:type="dxa"/>
            <w:tcBorders>
              <w:top w:val="nil"/>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8,42</w:t>
            </w:r>
          </w:p>
        </w:tc>
        <w:tc>
          <w:tcPr>
            <w:tcW w:w="985"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-0,03</w:t>
            </w:r>
          </w:p>
        </w:tc>
        <w:tc>
          <w:tcPr>
            <w:tcW w:w="988"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-0,88</w:t>
            </w:r>
          </w:p>
        </w:tc>
      </w:tr>
      <w:tr w:rsidR="002F37FB" w:rsidRPr="003F43E5" w:rsidTr="009D14F2">
        <w:trPr>
          <w:trHeight w:val="146"/>
        </w:trPr>
        <w:tc>
          <w:tcPr>
            <w:tcW w:w="2630" w:type="dxa"/>
            <w:tcBorders>
              <w:top w:val="single" w:sz="12" w:space="0" w:color="auto"/>
              <w:right w:val="single" w:sz="12" w:space="0" w:color="auto"/>
            </w:tcBorders>
            <w:shd w:val="clear" w:color="auto" w:fill="F4B083" w:themeFill="accent2" w:themeFillTint="99"/>
            <w:noWrap/>
            <w:vAlign w:val="center"/>
            <w:hideMark/>
          </w:tcPr>
          <w:p w:rsidR="002F37FB" w:rsidRPr="003F43E5" w:rsidRDefault="002F37FB" w:rsidP="002F37FB">
            <w:pPr>
              <w:jc w:val="center"/>
              <w:rPr>
                <w:rFonts w:ascii="Times New Roman" w:eastAsia="Times New Roman" w:hAnsi="Times New Roman" w:cs="Times New Roman"/>
                <w:b/>
                <w:color w:val="000000"/>
                <w:sz w:val="20"/>
                <w:szCs w:val="20"/>
                <w:lang w:eastAsia="es-AR"/>
              </w:rPr>
            </w:pPr>
            <w:r>
              <w:rPr>
                <w:rFonts w:ascii="Times New Roman" w:eastAsia="Times New Roman" w:hAnsi="Times New Roman" w:cs="Times New Roman"/>
                <w:b/>
                <w:color w:val="000000"/>
                <w:sz w:val="20"/>
                <w:szCs w:val="20"/>
                <w:lang w:eastAsia="es-AR"/>
              </w:rPr>
              <w:t>Sexo</w:t>
            </w:r>
          </w:p>
        </w:tc>
        <w:tc>
          <w:tcPr>
            <w:tcW w:w="2962"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sz w:val="20"/>
                <w:szCs w:val="20"/>
                <w:lang w:eastAsia="es-AR"/>
              </w:rPr>
            </w:pPr>
          </w:p>
        </w:tc>
        <w:tc>
          <w:tcPr>
            <w:tcW w:w="2959"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sz w:val="20"/>
                <w:szCs w:val="20"/>
                <w:lang w:eastAsia="es-AR"/>
              </w:rPr>
            </w:pPr>
          </w:p>
        </w:tc>
      </w:tr>
      <w:tr w:rsidR="009D14F2" w:rsidRPr="003F43E5" w:rsidTr="009D14F2">
        <w:trPr>
          <w:trHeight w:val="84"/>
        </w:trPr>
        <w:tc>
          <w:tcPr>
            <w:tcW w:w="2630" w:type="dxa"/>
            <w:tcBorders>
              <w:right w:val="single" w:sz="12" w:space="0" w:color="auto"/>
            </w:tcBorders>
            <w:vAlign w:val="center"/>
            <w:hideMark/>
          </w:tcPr>
          <w:p w:rsidR="009D14F2" w:rsidRPr="003F43E5"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Varón</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-0,06</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0,15</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0,12</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-1,73</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4,03</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3,36</w:t>
            </w:r>
          </w:p>
        </w:tc>
      </w:tr>
      <w:tr w:rsidR="009D14F2" w:rsidRPr="003F43E5" w:rsidTr="009D14F2">
        <w:trPr>
          <w:trHeight w:val="153"/>
        </w:trPr>
        <w:tc>
          <w:tcPr>
            <w:tcW w:w="2630" w:type="dxa"/>
            <w:tcBorders>
              <w:bottom w:val="single" w:sz="12" w:space="0" w:color="auto"/>
              <w:right w:val="single" w:sz="12" w:space="0" w:color="auto"/>
            </w:tcBorders>
            <w:vAlign w:val="center"/>
            <w:hideMark/>
          </w:tcPr>
          <w:p w:rsidR="009D14F2" w:rsidRPr="003F43E5"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Mujer</w:t>
            </w:r>
          </w:p>
        </w:tc>
        <w:tc>
          <w:tcPr>
            <w:tcW w:w="984" w:type="dxa"/>
            <w:tcBorders>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0,10</w:t>
            </w:r>
          </w:p>
        </w:tc>
        <w:tc>
          <w:tcPr>
            <w:tcW w:w="986" w:type="dxa"/>
            <w:tcBorders>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-0,08</w:t>
            </w:r>
          </w:p>
        </w:tc>
        <w:tc>
          <w:tcPr>
            <w:tcW w:w="992" w:type="dxa"/>
            <w:tcBorders>
              <w:bottom w:val="single" w:sz="12" w:space="0" w:color="auto"/>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-0,17</w:t>
            </w:r>
          </w:p>
        </w:tc>
        <w:tc>
          <w:tcPr>
            <w:tcW w:w="986" w:type="dxa"/>
            <w:tcBorders>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2,75</w:t>
            </w:r>
          </w:p>
        </w:tc>
        <w:tc>
          <w:tcPr>
            <w:tcW w:w="985" w:type="dxa"/>
            <w:tcBorders>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-2,24</w:t>
            </w:r>
          </w:p>
        </w:tc>
        <w:tc>
          <w:tcPr>
            <w:tcW w:w="988" w:type="dxa"/>
            <w:tcBorders>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-4,86</w:t>
            </w:r>
          </w:p>
        </w:tc>
      </w:tr>
      <w:tr w:rsidR="002F37FB" w:rsidRPr="003F43E5" w:rsidTr="009D14F2">
        <w:trPr>
          <w:trHeight w:val="146"/>
        </w:trPr>
        <w:tc>
          <w:tcPr>
            <w:tcW w:w="2630" w:type="dxa"/>
            <w:tcBorders>
              <w:top w:val="single" w:sz="12" w:space="0" w:color="auto"/>
              <w:right w:val="single" w:sz="12" w:space="0" w:color="auto"/>
            </w:tcBorders>
            <w:shd w:val="clear" w:color="auto" w:fill="F4B083" w:themeFill="accent2" w:themeFillTint="99"/>
            <w:noWrap/>
            <w:vAlign w:val="center"/>
            <w:hideMark/>
          </w:tcPr>
          <w:p w:rsidR="002F37FB" w:rsidRPr="003F43E5" w:rsidRDefault="002F37FB" w:rsidP="002F37FB">
            <w:pPr>
              <w:jc w:val="center"/>
              <w:rPr>
                <w:rFonts w:ascii="Times New Roman" w:eastAsia="Times New Roman" w:hAnsi="Times New Roman" w:cs="Times New Roman"/>
                <w:b/>
                <w:color w:val="000000"/>
                <w:sz w:val="20"/>
                <w:szCs w:val="20"/>
                <w:lang w:eastAsia="es-AR"/>
              </w:rPr>
            </w:pPr>
            <w:r>
              <w:rPr>
                <w:rFonts w:ascii="Times New Roman" w:eastAsia="Times New Roman" w:hAnsi="Times New Roman" w:cs="Times New Roman"/>
                <w:b/>
                <w:color w:val="000000"/>
                <w:sz w:val="20"/>
                <w:szCs w:val="20"/>
                <w:lang w:eastAsia="es-AR"/>
              </w:rPr>
              <w:t>Lugar de nacimiento</w:t>
            </w:r>
          </w:p>
        </w:tc>
        <w:tc>
          <w:tcPr>
            <w:tcW w:w="2962"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sz w:val="20"/>
                <w:szCs w:val="20"/>
                <w:lang w:eastAsia="es-AR"/>
              </w:rPr>
            </w:pPr>
          </w:p>
        </w:tc>
        <w:tc>
          <w:tcPr>
            <w:tcW w:w="2959"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sz w:val="20"/>
                <w:szCs w:val="20"/>
                <w:lang w:eastAsia="es-AR"/>
              </w:rPr>
            </w:pPr>
          </w:p>
        </w:tc>
      </w:tr>
      <w:tr w:rsidR="009D14F2" w:rsidRPr="003F43E5" w:rsidTr="009D14F2">
        <w:trPr>
          <w:trHeight w:val="146"/>
        </w:trPr>
        <w:tc>
          <w:tcPr>
            <w:tcW w:w="2630" w:type="dxa"/>
            <w:tcBorders>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CABA</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-0,20</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0,03</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0,09</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-7,55</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1,30</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3,65</w:t>
            </w:r>
          </w:p>
        </w:tc>
      </w:tr>
      <w:tr w:rsidR="009D14F2" w:rsidRPr="003F43E5" w:rsidTr="009D14F2">
        <w:trPr>
          <w:trHeight w:val="146"/>
        </w:trPr>
        <w:tc>
          <w:tcPr>
            <w:tcW w:w="2630" w:type="dxa"/>
            <w:tcBorders>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Buenos Aires</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-0,34</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0,17</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-0,13</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-3,31</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1,68</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-1,25</w:t>
            </w:r>
          </w:p>
        </w:tc>
      </w:tr>
      <w:tr w:rsidR="009D14F2" w:rsidRPr="003F43E5" w:rsidTr="009D14F2">
        <w:trPr>
          <w:trHeight w:val="153"/>
        </w:trPr>
        <w:tc>
          <w:tcPr>
            <w:tcW w:w="2630" w:type="dxa"/>
            <w:tcBorders>
              <w:bottom w:val="nil"/>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Otra provincia</w:t>
            </w:r>
          </w:p>
        </w:tc>
        <w:tc>
          <w:tcPr>
            <w:tcW w:w="984" w:type="dxa"/>
            <w:tcBorders>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0,48</w:t>
            </w:r>
          </w:p>
        </w:tc>
        <w:tc>
          <w:tcPr>
            <w:tcW w:w="986"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0,10</w:t>
            </w:r>
          </w:p>
        </w:tc>
        <w:tc>
          <w:tcPr>
            <w:tcW w:w="992" w:type="dxa"/>
            <w:tcBorders>
              <w:bottom w:val="nil"/>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-0,11</w:t>
            </w:r>
          </w:p>
        </w:tc>
        <w:tc>
          <w:tcPr>
            <w:tcW w:w="986" w:type="dxa"/>
            <w:tcBorders>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4,62</w:t>
            </w:r>
          </w:p>
        </w:tc>
        <w:tc>
          <w:tcPr>
            <w:tcW w:w="985"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0,95</w:t>
            </w:r>
          </w:p>
        </w:tc>
        <w:tc>
          <w:tcPr>
            <w:tcW w:w="988"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-1,09</w:t>
            </w:r>
          </w:p>
        </w:tc>
      </w:tr>
      <w:tr w:rsidR="009D14F2" w:rsidRPr="003F43E5" w:rsidTr="009D14F2">
        <w:trPr>
          <w:trHeight w:val="153"/>
        </w:trPr>
        <w:tc>
          <w:tcPr>
            <w:tcW w:w="2630" w:type="dxa"/>
            <w:tcBorders>
              <w:top w:val="nil"/>
              <w:bottom w:val="single" w:sz="12" w:space="0" w:color="auto"/>
              <w:right w:val="single" w:sz="12" w:space="0" w:color="auto"/>
            </w:tcBorders>
            <w:vAlign w:val="center"/>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Otro país</w:t>
            </w:r>
          </w:p>
        </w:tc>
        <w:tc>
          <w:tcPr>
            <w:tcW w:w="984" w:type="dxa"/>
            <w:tcBorders>
              <w:top w:val="nil"/>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0,94</w:t>
            </w:r>
          </w:p>
        </w:tc>
        <w:tc>
          <w:tcPr>
            <w:tcW w:w="986"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-0,15</w:t>
            </w:r>
          </w:p>
        </w:tc>
        <w:tc>
          <w:tcPr>
            <w:tcW w:w="992" w:type="dxa"/>
            <w:tcBorders>
              <w:top w:val="nil"/>
              <w:bottom w:val="single" w:sz="12" w:space="0" w:color="auto"/>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-0,43</w:t>
            </w:r>
          </w:p>
        </w:tc>
        <w:tc>
          <w:tcPr>
            <w:tcW w:w="986" w:type="dxa"/>
            <w:tcBorders>
              <w:top w:val="nil"/>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9,88</w:t>
            </w:r>
          </w:p>
        </w:tc>
        <w:tc>
          <w:tcPr>
            <w:tcW w:w="985"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-1,63</w:t>
            </w:r>
          </w:p>
        </w:tc>
        <w:tc>
          <w:tcPr>
            <w:tcW w:w="988"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-4,55</w:t>
            </w:r>
          </w:p>
        </w:tc>
      </w:tr>
      <w:tr w:rsidR="002F37FB" w:rsidRPr="003F43E5" w:rsidTr="009D14F2">
        <w:trPr>
          <w:trHeight w:val="146"/>
        </w:trPr>
        <w:tc>
          <w:tcPr>
            <w:tcW w:w="2630" w:type="dxa"/>
            <w:tcBorders>
              <w:top w:val="single" w:sz="12" w:space="0" w:color="auto"/>
              <w:right w:val="single" w:sz="12" w:space="0" w:color="auto"/>
            </w:tcBorders>
            <w:shd w:val="clear" w:color="auto" w:fill="F4B083" w:themeFill="accent2" w:themeFillTint="99"/>
            <w:noWrap/>
            <w:vAlign w:val="center"/>
            <w:hideMark/>
          </w:tcPr>
          <w:p w:rsidR="002F37FB" w:rsidRPr="003F43E5" w:rsidRDefault="002F37FB" w:rsidP="002F37FB">
            <w:pPr>
              <w:jc w:val="center"/>
              <w:rPr>
                <w:rFonts w:ascii="Times New Roman" w:eastAsia="Times New Roman" w:hAnsi="Times New Roman" w:cs="Times New Roman"/>
                <w:b/>
                <w:color w:val="000000"/>
                <w:sz w:val="20"/>
                <w:szCs w:val="20"/>
                <w:lang w:eastAsia="es-AR"/>
              </w:rPr>
            </w:pPr>
            <w:r>
              <w:rPr>
                <w:rFonts w:ascii="Times New Roman" w:eastAsia="Times New Roman" w:hAnsi="Times New Roman" w:cs="Times New Roman"/>
                <w:b/>
                <w:color w:val="000000"/>
                <w:sz w:val="20"/>
                <w:szCs w:val="20"/>
                <w:lang w:eastAsia="es-AR"/>
              </w:rPr>
              <w:t>Edad</w:t>
            </w:r>
          </w:p>
        </w:tc>
        <w:tc>
          <w:tcPr>
            <w:tcW w:w="2962"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b/>
                <w:sz w:val="20"/>
                <w:szCs w:val="20"/>
                <w:lang w:eastAsia="es-AR"/>
              </w:rPr>
            </w:pPr>
          </w:p>
        </w:tc>
        <w:tc>
          <w:tcPr>
            <w:tcW w:w="2959"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b/>
                <w:sz w:val="20"/>
                <w:szCs w:val="20"/>
                <w:lang w:eastAsia="es-AR"/>
              </w:rPr>
            </w:pPr>
          </w:p>
        </w:tc>
      </w:tr>
      <w:tr w:rsidR="009D14F2" w:rsidRPr="003F43E5" w:rsidTr="009D14F2">
        <w:trPr>
          <w:trHeight w:val="146"/>
        </w:trPr>
        <w:tc>
          <w:tcPr>
            <w:tcW w:w="2630" w:type="dxa"/>
            <w:tcBorders>
              <w:right w:val="single" w:sz="12" w:space="0" w:color="auto"/>
            </w:tcBorders>
            <w:hideMark/>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30-36</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0,11</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0,37</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-0,24</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1,70</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5,94</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-3,80</w:t>
            </w:r>
          </w:p>
        </w:tc>
      </w:tr>
      <w:tr w:rsidR="009D14F2" w:rsidRPr="003F43E5" w:rsidTr="009D14F2">
        <w:trPr>
          <w:trHeight w:val="146"/>
        </w:trPr>
        <w:tc>
          <w:tcPr>
            <w:tcW w:w="2630" w:type="dxa"/>
            <w:tcBorders>
              <w:right w:val="single" w:sz="12" w:space="0" w:color="auto"/>
            </w:tcBorders>
            <w:hideMark/>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37-45</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-0,02</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0,07</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-0,15</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-0,27</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1,05</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-2,35</w:t>
            </w:r>
          </w:p>
        </w:tc>
      </w:tr>
      <w:tr w:rsidR="009D14F2" w:rsidRPr="003F43E5" w:rsidTr="009D14F2">
        <w:trPr>
          <w:trHeight w:val="153"/>
        </w:trPr>
        <w:tc>
          <w:tcPr>
            <w:tcW w:w="2630" w:type="dxa"/>
            <w:tcBorders>
              <w:bottom w:val="nil"/>
              <w:right w:val="single" w:sz="12" w:space="0" w:color="auto"/>
            </w:tcBorders>
            <w:hideMark/>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46-53</w:t>
            </w:r>
          </w:p>
        </w:tc>
        <w:tc>
          <w:tcPr>
            <w:tcW w:w="984" w:type="dxa"/>
            <w:tcBorders>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-0,04</w:t>
            </w:r>
          </w:p>
        </w:tc>
        <w:tc>
          <w:tcPr>
            <w:tcW w:w="986"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-0,18</w:t>
            </w:r>
          </w:p>
        </w:tc>
        <w:tc>
          <w:tcPr>
            <w:tcW w:w="992" w:type="dxa"/>
            <w:tcBorders>
              <w:bottom w:val="nil"/>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0,09</w:t>
            </w:r>
          </w:p>
        </w:tc>
        <w:tc>
          <w:tcPr>
            <w:tcW w:w="986" w:type="dxa"/>
            <w:tcBorders>
              <w:left w:val="single" w:sz="12" w:space="0" w:color="auto"/>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-0,58</w:t>
            </w:r>
          </w:p>
        </w:tc>
        <w:tc>
          <w:tcPr>
            <w:tcW w:w="985"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-2,57</w:t>
            </w:r>
          </w:p>
        </w:tc>
        <w:tc>
          <w:tcPr>
            <w:tcW w:w="988" w:type="dxa"/>
            <w:tcBorders>
              <w:bottom w:val="nil"/>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1,38</w:t>
            </w:r>
          </w:p>
        </w:tc>
      </w:tr>
      <w:tr w:rsidR="009D14F2" w:rsidRPr="003F43E5" w:rsidTr="009D14F2">
        <w:trPr>
          <w:trHeight w:val="153"/>
        </w:trPr>
        <w:tc>
          <w:tcPr>
            <w:tcW w:w="2630" w:type="dxa"/>
            <w:tcBorders>
              <w:top w:val="nil"/>
              <w:bottom w:val="single" w:sz="12" w:space="0" w:color="auto"/>
              <w:right w:val="single" w:sz="12" w:space="0" w:color="auto"/>
            </w:tcBorders>
          </w:tcPr>
          <w:p w:rsidR="009D14F2" w:rsidRPr="002F37FB" w:rsidRDefault="009D14F2" w:rsidP="009D14F2">
            <w:pPr>
              <w:jc w:val="center"/>
              <w:rPr>
                <w:rFonts w:ascii="Times New Roman" w:eastAsia="Times New Roman" w:hAnsi="Times New Roman" w:cs="Times New Roman"/>
                <w:color w:val="000000"/>
                <w:sz w:val="20"/>
                <w:szCs w:val="20"/>
                <w:lang w:eastAsia="es-AR"/>
              </w:rPr>
            </w:pPr>
            <w:r w:rsidRPr="002F37FB">
              <w:rPr>
                <w:rFonts w:ascii="Times New Roman" w:eastAsia="Times New Roman" w:hAnsi="Times New Roman" w:cs="Times New Roman"/>
                <w:color w:val="000000"/>
                <w:sz w:val="20"/>
                <w:szCs w:val="20"/>
                <w:lang w:eastAsia="es-AR"/>
              </w:rPr>
              <w:t>54+</w:t>
            </w:r>
          </w:p>
        </w:tc>
        <w:tc>
          <w:tcPr>
            <w:tcW w:w="984" w:type="dxa"/>
            <w:tcBorders>
              <w:top w:val="nil"/>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0,02</w:t>
            </w:r>
          </w:p>
        </w:tc>
        <w:tc>
          <w:tcPr>
            <w:tcW w:w="986"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-0,17</w:t>
            </w:r>
          </w:p>
        </w:tc>
        <w:tc>
          <w:tcPr>
            <w:tcW w:w="992" w:type="dxa"/>
            <w:tcBorders>
              <w:top w:val="nil"/>
              <w:bottom w:val="single" w:sz="12" w:space="0" w:color="auto"/>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0,21</w:t>
            </w:r>
          </w:p>
        </w:tc>
        <w:tc>
          <w:tcPr>
            <w:tcW w:w="986" w:type="dxa"/>
            <w:tcBorders>
              <w:top w:val="nil"/>
              <w:left w:val="single" w:sz="12" w:space="0" w:color="auto"/>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0,24</w:t>
            </w:r>
          </w:p>
        </w:tc>
        <w:tc>
          <w:tcPr>
            <w:tcW w:w="985"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-2,57</w:t>
            </w:r>
          </w:p>
        </w:tc>
        <w:tc>
          <w:tcPr>
            <w:tcW w:w="988" w:type="dxa"/>
            <w:tcBorders>
              <w:top w:val="nil"/>
              <w:bottom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3,25</w:t>
            </w:r>
          </w:p>
        </w:tc>
      </w:tr>
      <w:tr w:rsidR="002F37FB" w:rsidRPr="003F43E5" w:rsidTr="009D14F2">
        <w:trPr>
          <w:trHeight w:val="146"/>
        </w:trPr>
        <w:tc>
          <w:tcPr>
            <w:tcW w:w="2630" w:type="dxa"/>
            <w:tcBorders>
              <w:top w:val="single" w:sz="12" w:space="0" w:color="auto"/>
              <w:right w:val="single" w:sz="12" w:space="0" w:color="auto"/>
            </w:tcBorders>
            <w:shd w:val="clear" w:color="auto" w:fill="F4B083" w:themeFill="accent2" w:themeFillTint="99"/>
            <w:noWrap/>
            <w:vAlign w:val="center"/>
            <w:hideMark/>
          </w:tcPr>
          <w:p w:rsidR="002F37FB" w:rsidRPr="003F43E5" w:rsidRDefault="002F37FB" w:rsidP="002F37FB">
            <w:pPr>
              <w:jc w:val="center"/>
              <w:rPr>
                <w:rFonts w:ascii="Times New Roman" w:eastAsia="Times New Roman" w:hAnsi="Times New Roman" w:cs="Times New Roman"/>
                <w:b/>
                <w:color w:val="000000"/>
                <w:sz w:val="20"/>
                <w:szCs w:val="20"/>
                <w:lang w:eastAsia="es-AR"/>
              </w:rPr>
            </w:pPr>
            <w:r w:rsidRPr="00DB6A38">
              <w:rPr>
                <w:rFonts w:ascii="Times New Roman" w:eastAsia="Times New Roman" w:hAnsi="Times New Roman" w:cs="Times New Roman"/>
                <w:b/>
                <w:color w:val="000000"/>
                <w:sz w:val="20"/>
                <w:szCs w:val="20"/>
                <w:lang w:eastAsia="es-AR"/>
              </w:rPr>
              <w:t>Nivel educativo</w:t>
            </w:r>
            <w:r w:rsidR="009D14F2">
              <w:rPr>
                <w:rFonts w:ascii="Times New Roman" w:eastAsia="Times New Roman" w:hAnsi="Times New Roman" w:cs="Times New Roman"/>
                <w:b/>
                <w:color w:val="000000"/>
                <w:sz w:val="20"/>
                <w:szCs w:val="20"/>
                <w:lang w:eastAsia="es-AR"/>
              </w:rPr>
              <w:t xml:space="preserve"> origen</w:t>
            </w:r>
          </w:p>
        </w:tc>
        <w:tc>
          <w:tcPr>
            <w:tcW w:w="2962"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b/>
                <w:sz w:val="20"/>
                <w:szCs w:val="20"/>
                <w:lang w:eastAsia="es-AR"/>
              </w:rPr>
            </w:pPr>
          </w:p>
        </w:tc>
        <w:tc>
          <w:tcPr>
            <w:tcW w:w="2959" w:type="dxa"/>
            <w:gridSpan w:val="3"/>
            <w:tcBorders>
              <w:top w:val="single" w:sz="12" w:space="0" w:color="auto"/>
              <w:left w:val="single" w:sz="12" w:space="0" w:color="auto"/>
            </w:tcBorders>
            <w:shd w:val="clear" w:color="auto" w:fill="F4B083" w:themeFill="accent2" w:themeFillTint="99"/>
            <w:vAlign w:val="center"/>
          </w:tcPr>
          <w:p w:rsidR="002F37FB" w:rsidRPr="009D14F2" w:rsidRDefault="002F37FB" w:rsidP="009D14F2">
            <w:pPr>
              <w:jc w:val="center"/>
              <w:rPr>
                <w:rFonts w:ascii="Times New Roman" w:eastAsia="Times New Roman" w:hAnsi="Times New Roman" w:cs="Times New Roman"/>
                <w:b/>
                <w:sz w:val="20"/>
                <w:szCs w:val="20"/>
                <w:lang w:eastAsia="es-AR"/>
              </w:rPr>
            </w:pPr>
          </w:p>
        </w:tc>
      </w:tr>
      <w:tr w:rsidR="009D14F2" w:rsidRPr="003F43E5" w:rsidTr="009D14F2">
        <w:trPr>
          <w:trHeight w:val="294"/>
        </w:trPr>
        <w:tc>
          <w:tcPr>
            <w:tcW w:w="2630" w:type="dxa"/>
            <w:tcBorders>
              <w:right w:val="single" w:sz="12" w:space="0" w:color="auto"/>
            </w:tcBorders>
            <w:vAlign w:val="center"/>
            <w:hideMark/>
          </w:tcPr>
          <w:p w:rsidR="009D14F2" w:rsidRPr="003F43E5"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Hasta prim. comp.</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0,17</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0,01</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0,08</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10,45</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0,90</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4,58</w:t>
            </w:r>
          </w:p>
        </w:tc>
      </w:tr>
      <w:tr w:rsidR="009D14F2" w:rsidRPr="003F43E5" w:rsidTr="009D14F2">
        <w:trPr>
          <w:trHeight w:val="294"/>
        </w:trPr>
        <w:tc>
          <w:tcPr>
            <w:tcW w:w="2630" w:type="dxa"/>
            <w:tcBorders>
              <w:right w:val="single" w:sz="12" w:space="0" w:color="auto"/>
            </w:tcBorders>
            <w:vAlign w:val="center"/>
            <w:hideMark/>
          </w:tcPr>
          <w:p w:rsidR="009D14F2" w:rsidRPr="003F43E5"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Hasta secun. comp.</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-0,19</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0,17</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-0,30</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-1,64</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1,46</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-2,57</w:t>
            </w:r>
          </w:p>
        </w:tc>
      </w:tr>
      <w:tr w:rsidR="009D14F2" w:rsidRPr="003F43E5" w:rsidTr="009D14F2">
        <w:trPr>
          <w:trHeight w:val="66"/>
        </w:trPr>
        <w:tc>
          <w:tcPr>
            <w:tcW w:w="2630" w:type="dxa"/>
            <w:tcBorders>
              <w:right w:val="single" w:sz="12" w:space="0" w:color="auto"/>
            </w:tcBorders>
            <w:vAlign w:val="center"/>
            <w:hideMark/>
          </w:tcPr>
          <w:p w:rsidR="009D14F2" w:rsidRPr="003F43E5" w:rsidRDefault="009D14F2" w:rsidP="009D14F2">
            <w:pPr>
              <w:jc w:val="center"/>
              <w:rPr>
                <w:rFonts w:ascii="Times New Roman" w:eastAsia="Times New Roman" w:hAnsi="Times New Roman" w:cs="Times New Roman"/>
                <w:color w:val="000000"/>
                <w:sz w:val="20"/>
                <w:szCs w:val="20"/>
                <w:lang w:eastAsia="es-AR"/>
              </w:rPr>
            </w:pPr>
            <w:r>
              <w:rPr>
                <w:rFonts w:ascii="Times New Roman" w:eastAsia="Times New Roman" w:hAnsi="Times New Roman" w:cs="Times New Roman"/>
                <w:color w:val="000000"/>
                <w:sz w:val="20"/>
                <w:szCs w:val="20"/>
                <w:lang w:eastAsia="es-AR"/>
              </w:rPr>
              <w:t>Hasta univ. comp</w:t>
            </w:r>
          </w:p>
        </w:tc>
        <w:tc>
          <w:tcPr>
            <w:tcW w:w="984"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-0,69</w:t>
            </w:r>
          </w:p>
        </w:tc>
        <w:tc>
          <w:tcPr>
            <w:tcW w:w="986"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0,03</w:t>
            </w:r>
          </w:p>
        </w:tc>
        <w:tc>
          <w:tcPr>
            <w:tcW w:w="992" w:type="dxa"/>
            <w:tcBorders>
              <w:righ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-0,40</w:t>
            </w:r>
          </w:p>
        </w:tc>
        <w:tc>
          <w:tcPr>
            <w:tcW w:w="986" w:type="dxa"/>
            <w:tcBorders>
              <w:left w:val="single" w:sz="12" w:space="0" w:color="auto"/>
            </w:tcBorders>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-7,42</w:t>
            </w:r>
          </w:p>
        </w:tc>
        <w:tc>
          <w:tcPr>
            <w:tcW w:w="985"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0,37</w:t>
            </w:r>
          </w:p>
        </w:tc>
        <w:tc>
          <w:tcPr>
            <w:tcW w:w="988" w:type="dxa"/>
            <w:noWrap/>
            <w:vAlign w:val="center"/>
          </w:tcPr>
          <w:p w:rsidR="009D14F2" w:rsidRPr="009D14F2" w:rsidRDefault="009D14F2" w:rsidP="009D14F2">
            <w:pPr>
              <w:jc w:val="center"/>
              <w:rPr>
                <w:rFonts w:ascii="Times New Roman" w:hAnsi="Times New Roman" w:cs="Times New Roman"/>
                <w:sz w:val="20"/>
                <w:szCs w:val="20"/>
              </w:rPr>
            </w:pPr>
            <w:r w:rsidRPr="009D14F2">
              <w:rPr>
                <w:rFonts w:ascii="Times New Roman" w:hAnsi="Times New Roman" w:cs="Times New Roman"/>
                <w:sz w:val="20"/>
                <w:szCs w:val="20"/>
              </w:rPr>
              <w:t>-4,35</w:t>
            </w:r>
          </w:p>
        </w:tc>
      </w:tr>
    </w:tbl>
    <w:p w:rsidR="00080B09" w:rsidRPr="00B87759" w:rsidRDefault="009D14F2" w:rsidP="00B87759">
      <w:pPr>
        <w:spacing w:after="0" w:line="360" w:lineRule="auto"/>
        <w:jc w:val="both"/>
        <w:rPr>
          <w:rFonts w:ascii="Times New Roman" w:hAnsi="Times New Roman" w:cs="Times New Roman"/>
          <w:sz w:val="24"/>
        </w:rPr>
      </w:pPr>
      <w:r w:rsidRPr="00B87759">
        <w:rPr>
          <w:rFonts w:ascii="Times New Roman" w:hAnsi="Times New Roman" w:cs="Times New Roman"/>
          <w:sz w:val="18"/>
        </w:rPr>
        <w:t>Fuente: elaboración propia en base a Encuesta FONCYT 2012-2013.</w:t>
      </w:r>
    </w:p>
    <w:sectPr w:rsidR="00080B09" w:rsidRPr="00B87759" w:rsidSect="007B021A">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1A6" w:rsidRDefault="006771A6" w:rsidP="00AD3B15">
      <w:pPr>
        <w:spacing w:after="0" w:line="240" w:lineRule="auto"/>
      </w:pPr>
      <w:r>
        <w:separator/>
      </w:r>
    </w:p>
  </w:endnote>
  <w:endnote w:type="continuationSeparator" w:id="0">
    <w:p w:rsidR="006771A6" w:rsidRDefault="006771A6" w:rsidP="00AD3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842094"/>
      <w:docPartObj>
        <w:docPartGallery w:val="Page Numbers (Bottom of Page)"/>
        <w:docPartUnique/>
      </w:docPartObj>
    </w:sdtPr>
    <w:sdtContent>
      <w:p w:rsidR="0042121F" w:rsidRDefault="003C4235">
        <w:pPr>
          <w:pStyle w:val="Piedepgina"/>
          <w:jc w:val="right"/>
        </w:pPr>
        <w:r w:rsidRPr="003C4235">
          <w:fldChar w:fldCharType="begin"/>
        </w:r>
        <w:r w:rsidR="0042121F">
          <w:instrText>PAGE   \* MERGEFORMAT</w:instrText>
        </w:r>
        <w:r w:rsidRPr="003C4235">
          <w:fldChar w:fldCharType="separate"/>
        </w:r>
        <w:r w:rsidR="004D4293" w:rsidRPr="004D4293">
          <w:rPr>
            <w:noProof/>
            <w:lang w:val="es-ES"/>
          </w:rPr>
          <w:t>1</w:t>
        </w:r>
        <w:r>
          <w:rPr>
            <w:noProof/>
            <w:lang w:val="es-ES"/>
          </w:rPr>
          <w:fldChar w:fldCharType="end"/>
        </w:r>
      </w:p>
    </w:sdtContent>
  </w:sdt>
  <w:p w:rsidR="0042121F" w:rsidRDefault="004212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1A6" w:rsidRDefault="006771A6" w:rsidP="00AD3B15">
      <w:pPr>
        <w:spacing w:after="0" w:line="240" w:lineRule="auto"/>
      </w:pPr>
      <w:r>
        <w:separator/>
      </w:r>
    </w:p>
  </w:footnote>
  <w:footnote w:type="continuationSeparator" w:id="0">
    <w:p w:rsidR="006771A6" w:rsidRDefault="006771A6" w:rsidP="00AD3B15">
      <w:pPr>
        <w:spacing w:after="0" w:line="240" w:lineRule="auto"/>
      </w:pPr>
      <w:r>
        <w:continuationSeparator/>
      </w:r>
    </w:p>
  </w:footnote>
  <w:footnote w:id="1">
    <w:p w:rsidR="0042121F" w:rsidRPr="00AD3B15" w:rsidRDefault="0042121F">
      <w:pPr>
        <w:pStyle w:val="Textonotapie"/>
        <w:rPr>
          <w:i/>
        </w:rPr>
      </w:pPr>
      <w:r>
        <w:rPr>
          <w:rStyle w:val="Refdenotaalpie"/>
        </w:rPr>
        <w:footnoteRef/>
      </w:r>
      <w:r>
        <w:t xml:space="preserve"> En inglés </w:t>
      </w:r>
      <w:r>
        <w:rPr>
          <w:i/>
        </w:rPr>
        <w:t>cluster analysis.</w:t>
      </w:r>
    </w:p>
  </w:footnote>
  <w:footnote w:id="2">
    <w:p w:rsidR="0042121F" w:rsidRDefault="0042121F" w:rsidP="00FB2D82">
      <w:pPr>
        <w:pStyle w:val="Textonotapie"/>
        <w:jc w:val="both"/>
      </w:pPr>
      <w:r>
        <w:rPr>
          <w:rStyle w:val="Refdenotaalpie"/>
        </w:rPr>
        <w:footnoteRef/>
      </w:r>
      <w:r>
        <w:t xml:space="preserve"> Si bien Sorokin, plantea la idea de “sistema de coordenadas” a modo ilustrativo, tomando está noción de la geografía, en el apartado metodológico, cuando se describa la técnica del Análisis de Correspondencias Múltiples, se comprenderá que esta idea puede ser traducida a una representación gráfica a través de la técnica. </w:t>
      </w:r>
    </w:p>
  </w:footnote>
  <w:footnote w:id="3">
    <w:p w:rsidR="0042121F" w:rsidRDefault="0042121F" w:rsidP="00C53F2F">
      <w:pPr>
        <w:pStyle w:val="Textonotapie"/>
        <w:jc w:val="both"/>
      </w:pPr>
      <w:r>
        <w:rPr>
          <w:rStyle w:val="Refdenotaalpie"/>
        </w:rPr>
        <w:footnoteRef/>
      </w:r>
      <w:r>
        <w:t xml:space="preserve"> Los llamados estudios de “inconsistencia de estatus”, generados dentro del seno del funcionalismo, cuestionaron la idea acerca de que cada una de las dimensiones de la estratificación se presentan de manera consiste, pudiéndose generar procesos de movilidad social en una dimensión pero no en otra </w:t>
      </w:r>
      <w:r w:rsidR="003C4235">
        <w:fldChar w:fldCharType="begin"/>
      </w:r>
      <w:r>
        <w:instrText xml:space="preserve"> ADDIN ZOTERO_ITEM CSL_CITATION {"citationID":"23spakh9t0","properties":{"formattedCitation":"(Hope, 1975; Lenski, 1954; Lipset y Bendix, 1963, p 289)","plainCitation":"(Hope, 1975; Lenski, 1954; Lipset y Bendix, 1963, p 289)"},"citationItems":[{"id":212,"uris":["http://zotero.org/users/2248776/items/BA3JD7R5"],"uri":["http://zotero.org/users/2248776/items/BA3JD7R5"],"itemData":{"id":212,"type":"article-journal","title":"Models of status inconsistency and social mobility effects","container-title":"American Sociological Review","page":"322-343","volume":"40","issue":"3","author":[{"family":"Hope","given":"K"}],"issued":{"date-parts":[["1975"]]}}},{"id":598,"uris":["http://zotero.org/users/2248776/items/VZ6SCDIU"],"uri":["http://zotero.org/users/2248776/items/VZ6SCDIU"],"itemData":{"id":598,"type":"article-journal","title":"Status crystallization: a non-vertical dimension of social status","container-title":"American sociological review","page":"405-413","volume":"19","issue":"4","author":[{"family":"Lenski","given":"GE"}],"issued":{"date-parts":[["1954"]]}}},{"id":85,"uris":["http://zotero.org/users/2248776/items/5PG5UWFD"],"uri":["http://zotero.org/users/2248776/items/5PG5UWFD"],"itemData":{"id":85,"type":"book","title":"La movilidad social en la sociedad industrial","publisher":"Eudeba","publisher-place":"Buenos Aires","event-place":"Buenos Aires","author":[{"family":"Lipset","given":"Seymour Martin"},{"family":"Bendix","given":"Reinhard"}],"issued":{"date-parts":[["1963"]]}},"locator":"289"}],"schema":"https://github.com/citation-style-language/schema/raw/master/csl-citation.json"} </w:instrText>
      </w:r>
      <w:r w:rsidR="003C4235">
        <w:fldChar w:fldCharType="separate"/>
      </w:r>
      <w:r w:rsidRPr="00C53F2F">
        <w:rPr>
          <w:rFonts w:ascii="Calibri" w:hAnsi="Calibri"/>
        </w:rPr>
        <w:t>(Hope, 1975; Lenski, 1954; Lipset y Bendix, 1963, p 289)</w:t>
      </w:r>
      <w:r w:rsidR="003C4235">
        <w:fldChar w:fldCharType="end"/>
      </w:r>
      <w:r>
        <w:t>.</w:t>
      </w:r>
    </w:p>
  </w:footnote>
  <w:footnote w:id="4">
    <w:p w:rsidR="0042121F" w:rsidRDefault="0042121F" w:rsidP="00943701">
      <w:pPr>
        <w:pStyle w:val="Textonotapie"/>
        <w:jc w:val="both"/>
      </w:pPr>
      <w:r>
        <w:rPr>
          <w:rStyle w:val="Refdenotaalpie"/>
        </w:rPr>
        <w:footnoteRef/>
      </w:r>
      <w:r>
        <w:t xml:space="preserve"> Por otro lado, más allá del modelo base, el estudio analizó otras variables intervinientes en el modelo: la migración, el contexto geográfico, el tamaño de las familias, el matrimonio y la fertilidad.</w:t>
      </w:r>
    </w:p>
  </w:footnote>
  <w:footnote w:id="5">
    <w:p w:rsidR="0042121F" w:rsidRDefault="0042121F" w:rsidP="00487308">
      <w:pPr>
        <w:pStyle w:val="Textonotapie"/>
        <w:jc w:val="both"/>
      </w:pPr>
      <w:r>
        <w:rPr>
          <w:rStyle w:val="Refdenotaalpie"/>
        </w:rPr>
        <w:footnoteRef/>
      </w:r>
      <w:r>
        <w:t xml:space="preserve"> Si bien esta tendencia es más propiamente latinoamericana que argentina, en esta breve reseña sólo daremos cuenta del contexto nacional. </w:t>
      </w:r>
    </w:p>
  </w:footnote>
  <w:footnote w:id="6">
    <w:p w:rsidR="0042121F" w:rsidRDefault="0042121F" w:rsidP="00BB7275">
      <w:pPr>
        <w:pStyle w:val="Textonotapie"/>
        <w:jc w:val="both"/>
      </w:pPr>
      <w:r>
        <w:rPr>
          <w:rStyle w:val="Refdenotaalpie"/>
        </w:rPr>
        <w:footnoteRef/>
      </w:r>
      <w:r>
        <w:t xml:space="preserve"> Utilizamos la noción de movilidad social más allá de la reticencia del autor al referirse a dicha idea y los análisis que la misma conlleva. En términos del autor, sería más preferible referirse con el concepto de trayectoria. Su principal crítica es sobre las miradas funcionalistas de la movilidad social, que representan las posiciones en la estructura y los movimientos a partir de escalas unidimensionales que “destruyen” la idea de espacio social </w:t>
      </w:r>
      <w:r w:rsidR="003C4235">
        <w:fldChar w:fldCharType="begin"/>
      </w:r>
      <w:r>
        <w:instrText xml:space="preserve"> ADDIN ZOTERO_ITEM CSL_CITATION {"citationID":"2f1f0qd1k2","properties":{"formattedCitation":"(Bourdieu, 2012a, pp 138-139)","plainCitation":"(Bourdieu, 2012a, pp 138-139)"},"citationItems":[{"id":135,"uris":["http://zotero.org/users/2248776/items/7IUI2E94"],"uri":["http://zotero.org/users/2248776/items/7IUI2E94"],"itemData":{"id":135,"type":"book","title":"La Distinción: criterios y bases sociales del gusto","publisher":"Taurus","publisher-place":"Buenos Aires","source":"Open WorldCat","event-place":"Buenos Aires","ISBN":"84-306-1259-9","shortTitle":"La Distinción","language":"Trad. de: La distinction. [París]: Minuit, 1979.","author":[{"family":"Bourdieu","given":"Pierre"}],"issued":{"date-parts":[["2012"]]}},"locator":"138-139"}],"schema":"https://github.com/citation-style-language/schema/raw/master/csl-citation.json"} </w:instrText>
      </w:r>
      <w:r w:rsidR="003C4235">
        <w:fldChar w:fldCharType="separate"/>
      </w:r>
      <w:r w:rsidRPr="00FC4E57">
        <w:rPr>
          <w:rFonts w:ascii="Calibri" w:hAnsi="Calibri"/>
        </w:rPr>
        <w:t>(Bourdieu, 2012a, pp 138-139)</w:t>
      </w:r>
      <w:r w:rsidR="003C4235">
        <w:fldChar w:fldCharType="end"/>
      </w:r>
      <w:r>
        <w:t xml:space="preserve">  </w:t>
      </w:r>
    </w:p>
  </w:footnote>
  <w:footnote w:id="7">
    <w:p w:rsidR="0042121F" w:rsidRDefault="0042121F" w:rsidP="00DF261F">
      <w:pPr>
        <w:pStyle w:val="Textonotapie"/>
        <w:jc w:val="both"/>
      </w:pPr>
      <w:r>
        <w:rPr>
          <w:rStyle w:val="Refdenotaalpie"/>
        </w:rPr>
        <w:footnoteRef/>
      </w:r>
      <w:r>
        <w:t xml:space="preserve"> También denominada por el autor como “clase en el papel” </w:t>
      </w:r>
      <w:r w:rsidR="003C4235">
        <w:fldChar w:fldCharType="begin"/>
      </w:r>
      <w:r>
        <w:instrText xml:space="preserve"> ADDIN ZOTERO_ITEM CSL_CITATION {"citationID":"2eme2alvtl","properties":{"formattedCitation":"(Bourdieu, 1990)","plainCitation":"(Bourdieu, 1990)"},"citationItems":[{"id":51,"uris":["http://zotero.org/users/2248776/items/45TNICF9"],"uri":["http://zotero.org/users/2248776/items/45TNICF9"],"itemData":{"id":51,"type":"article-journal","title":"Espacio social y génesis de las clases","container-title":"Sociología y cultura","page":"281–309","source":"Google Scholar","author":[{"family":"Bourdieu","given":"Pierre"}],"issued":{"date-parts":[["1990"]]}}}],"schema":"https://github.com/citation-style-language/schema/raw/master/csl-citation.json"} </w:instrText>
      </w:r>
      <w:r w:rsidR="003C4235">
        <w:fldChar w:fldCharType="separate"/>
      </w:r>
      <w:r w:rsidRPr="0085229D">
        <w:rPr>
          <w:rFonts w:ascii="Calibri" w:hAnsi="Calibri"/>
        </w:rPr>
        <w:t>(Bourdieu, 1990)</w:t>
      </w:r>
      <w:r w:rsidR="003C4235">
        <w:fldChar w:fldCharType="end"/>
      </w:r>
      <w:r>
        <w:t xml:space="preserve">. </w:t>
      </w:r>
    </w:p>
  </w:footnote>
  <w:footnote w:id="8">
    <w:p w:rsidR="0042121F" w:rsidRDefault="0042121F" w:rsidP="001733EE">
      <w:pPr>
        <w:pStyle w:val="Textonotapie"/>
        <w:jc w:val="both"/>
      </w:pPr>
      <w:r>
        <w:rPr>
          <w:rStyle w:val="Refdenotaalpie"/>
        </w:rPr>
        <w:footnoteRef/>
      </w:r>
      <w:r>
        <w:t xml:space="preserve"> R</w:t>
      </w:r>
      <w:r w:rsidRPr="001733EE">
        <w:t>ealizada a través del proyecto FONCyT “Tendencias y transformaciones en la estructura social: El impacto de los procesos de movilidad social en los horizontes de consumo y la participación política. Un análisis de la Región Metropolitana de Buenos Aires. 2003 – 2011” coordinado por el Dr. Eduardo Chávez Molina del Instituto de Investigaciones Gino Germani, UBA.</w:t>
      </w:r>
    </w:p>
  </w:footnote>
  <w:footnote w:id="9">
    <w:p w:rsidR="0042121F" w:rsidRDefault="0042121F" w:rsidP="001733EE">
      <w:pPr>
        <w:pStyle w:val="Textonotapie"/>
      </w:pPr>
      <w:r>
        <w:rPr>
          <w:rStyle w:val="Refdenotaalpie"/>
        </w:rPr>
        <w:footnoteRef/>
      </w:r>
      <w:r>
        <w:t xml:space="preserve"> El percentil 95 se corresponde con la edad de 63 años. Es decir que la población considerada, en mayor medida, ha nacido entre los años 1950 y 1983.</w:t>
      </w:r>
    </w:p>
  </w:footnote>
  <w:footnote w:id="10">
    <w:p w:rsidR="0042121F" w:rsidRPr="004603F5" w:rsidRDefault="0042121F" w:rsidP="004603F5">
      <w:pPr>
        <w:pStyle w:val="Textonotapie"/>
        <w:rPr>
          <w:rFonts w:cs="Times New Roman"/>
          <w:sz w:val="18"/>
        </w:rPr>
      </w:pPr>
      <w:r w:rsidRPr="004603F5">
        <w:rPr>
          <w:rStyle w:val="Refdenotaalpie"/>
          <w:rFonts w:cs="Times New Roman"/>
          <w:sz w:val="18"/>
        </w:rPr>
        <w:footnoteRef/>
      </w:r>
      <w:r w:rsidRPr="004603F5">
        <w:rPr>
          <w:rFonts w:cs="Times New Roman"/>
          <w:sz w:val="18"/>
        </w:rPr>
        <w:t xml:space="preserve"> En pesos argentinos.</w:t>
      </w:r>
    </w:p>
  </w:footnote>
  <w:footnote w:id="11">
    <w:p w:rsidR="0042121F" w:rsidRPr="004603F5" w:rsidRDefault="0042121F" w:rsidP="004603F5">
      <w:pPr>
        <w:pStyle w:val="Textonotapie"/>
        <w:jc w:val="both"/>
      </w:pPr>
      <w:r w:rsidRPr="004603F5">
        <w:rPr>
          <w:rStyle w:val="Refdenotaalpie"/>
          <w:rFonts w:cs="Times New Roman"/>
          <w:sz w:val="18"/>
        </w:rPr>
        <w:footnoteRef/>
      </w:r>
      <w:r w:rsidRPr="004603F5">
        <w:rPr>
          <w:rFonts w:cs="Times New Roman"/>
          <w:sz w:val="18"/>
        </w:rPr>
        <w:t xml:space="preserve"> Dicha variable se construyó a partir de una batería de preguntas que se realizaron en la encuesta en donde se indagaba acerca de la tenencia de determinados bienes en el hogar. El </w:t>
      </w:r>
      <w:r>
        <w:rPr>
          <w:rFonts w:cs="Times New Roman"/>
          <w:sz w:val="18"/>
        </w:rPr>
        <w:t>índice mide la cantidad de bienes que poseen los individuos.</w:t>
      </w:r>
      <w:r w:rsidRPr="004603F5">
        <w:rPr>
          <w:sz w:val="18"/>
        </w:rPr>
        <w:t xml:space="preserve"> </w:t>
      </w:r>
    </w:p>
  </w:footnote>
  <w:footnote w:id="12">
    <w:p w:rsidR="0042121F" w:rsidRPr="00633058" w:rsidRDefault="0042121F" w:rsidP="006B0407">
      <w:pPr>
        <w:pStyle w:val="Textonotapie"/>
        <w:jc w:val="both"/>
        <w:rPr>
          <w:rFonts w:ascii="Times New Roman" w:hAnsi="Times New Roman" w:cs="Times New Roman"/>
        </w:rPr>
      </w:pPr>
      <w:r w:rsidRPr="004603F5">
        <w:rPr>
          <w:rStyle w:val="Refdenotaalpie"/>
          <w:rFonts w:cs="Times New Roman"/>
          <w:sz w:val="18"/>
        </w:rPr>
        <w:footnoteRef/>
      </w:r>
      <w:r w:rsidRPr="004603F5">
        <w:rPr>
          <w:rFonts w:cs="Times New Roman"/>
          <w:sz w:val="18"/>
        </w:rPr>
        <w:t xml:space="preserve"> Se ha utilizado la clasificación elaborada por la Dirección General de Estadísticas y Censos de la CABA</w:t>
      </w:r>
      <w:r>
        <w:rPr>
          <w:rFonts w:cs="Times New Roman"/>
          <w:sz w:val="18"/>
        </w:rPr>
        <w:t xml:space="preserve"> </w:t>
      </w:r>
      <w:r w:rsidR="003C4235">
        <w:rPr>
          <w:rFonts w:cs="Times New Roman"/>
          <w:sz w:val="18"/>
        </w:rPr>
        <w:fldChar w:fldCharType="begin"/>
      </w:r>
      <w:r>
        <w:rPr>
          <w:rFonts w:cs="Times New Roman"/>
          <w:sz w:val="18"/>
        </w:rPr>
        <w:instrText xml:space="preserve"> ADDIN ZOTERO_ITEM CSL_CITATION {"citationID":"r7od3i3qs","properties":{"formattedCitation":"(Mazzeo y Roggi, 2012)","plainCitation":"(Mazzeo y Roggi, 2012)"},"citationItems":[{"id":1732,"uris":["http://zotero.org/users/2248776/items/WHBNKMVG"],"uri":["http://zotero.org/users/2248776/items/WHBNKMVG"],"itemData":{"id":1732,"type":"article-journal","title":"Los habitantes de hoteles familiares, pensiones, inquilinatos y casas tomadas de la Ciudad de Buenos Aires:?` dónde están?,?` de dónde vienen?,?` quiénes son? y?` cómo viven?","container-title":"Población de Buenos Aires","page":"7–28","volume":"9","issue":"15","source":"Google Scholar","shortTitle":"Los habitantes de hoteles familiares, pensiones, inquilinatos y casas tomadas de la Ciudad de Buenos Aires","author":[{"family":"Mazzeo","given":"Victoria"},{"family":"Roggi","given":"María Cecilia"}],"issued":{"date-parts":[["2012"]]}}}],"schema":"https://github.com/citation-style-language/schema/raw/master/csl-citation.json"} </w:instrText>
      </w:r>
      <w:r w:rsidR="003C4235">
        <w:rPr>
          <w:rFonts w:cs="Times New Roman"/>
          <w:sz w:val="18"/>
        </w:rPr>
        <w:fldChar w:fldCharType="separate"/>
      </w:r>
      <w:r w:rsidRPr="006B0407">
        <w:rPr>
          <w:rFonts w:ascii="Calibri" w:hAnsi="Calibri"/>
          <w:sz w:val="18"/>
        </w:rPr>
        <w:t>(Mazzeo y Roggi, 2012)</w:t>
      </w:r>
      <w:r w:rsidR="003C4235">
        <w:rPr>
          <w:rFonts w:cs="Times New Roman"/>
          <w:sz w:val="18"/>
        </w:rPr>
        <w:fldChar w:fldCharType="end"/>
      </w:r>
      <w:r w:rsidRPr="004603F5">
        <w:rPr>
          <w:rFonts w:cs="Times New Roman"/>
          <w:sz w:val="18"/>
        </w:rPr>
        <w:t>, que zonifica a la ciudad de la siguiente forma: Zona Norte: Comunas 2, 13 y 14; Zona Centro: Comunas 1, 3, 5, 6, 7, 11, 12 y 15 y Zona Sur: Comunas 4, 8, 9 y 10.</w:t>
      </w:r>
    </w:p>
  </w:footnote>
  <w:footnote w:id="13">
    <w:p w:rsidR="0042121F" w:rsidRDefault="0042121F" w:rsidP="00093795">
      <w:pPr>
        <w:pStyle w:val="Textonotapie"/>
        <w:jc w:val="both"/>
      </w:pPr>
      <w:r>
        <w:rPr>
          <w:rStyle w:val="Refdenotaalpie"/>
        </w:rPr>
        <w:footnoteRef/>
      </w:r>
      <w:r>
        <w:t xml:space="preserve"> En anexo se especifica cómo se construye la siguiente variable a partir de una tipología surgida de la tabla de movilidad.</w:t>
      </w:r>
    </w:p>
  </w:footnote>
  <w:footnote w:id="14">
    <w:p w:rsidR="0042121F" w:rsidRDefault="0042121F">
      <w:pPr>
        <w:pStyle w:val="Textonotapie"/>
      </w:pPr>
      <w:r>
        <w:rPr>
          <w:rStyle w:val="Refdenotaalpie"/>
        </w:rPr>
        <w:footnoteRef/>
      </w:r>
      <w:r>
        <w:t xml:space="preserve"> Según la corrección de los valores propios propuesta por Benzécri </w:t>
      </w:r>
      <w:r w:rsidR="003C4235">
        <w:fldChar w:fldCharType="begin"/>
      </w:r>
      <w:r>
        <w:instrText xml:space="preserve"> ADDIN ZOTERO_ITEM CSL_CITATION {"citationID":"1osevrutp9","properties":{"formattedCitation":"(1992)","plainCitation":"(1992)"},"citationItems":[{"id":1774,"uris":["http://zotero.org/users/2248776/items/3NJTNAKN"],"uri":["http://zotero.org/users/2248776/items/3NJTNAKN"],"itemData":{"id":1774,"type":"book","title":"Correspondence analysis handbook","publisher":"CRC Press","publisher-place":"París","event-place":"París","URL":"https://scholar.google.es/scholar?hl=es&amp;q=Correspondence+analysis+handbook&amp;btnG=&amp;lr=","author":[{"family":"Benzécri","given":"Jean Paul"}],"issued":{"date-parts":[["1992"]]},"accessed":{"date-parts":[["2016",9,29]]}},"suppress-author":true}],"schema":"https://github.com/citation-style-language/schema/raw/master/csl-citation.json"} </w:instrText>
      </w:r>
      <w:r w:rsidR="003C4235">
        <w:fldChar w:fldCharType="separate"/>
      </w:r>
      <w:r w:rsidRPr="00E82034">
        <w:rPr>
          <w:rFonts w:ascii="Calibri" w:hAnsi="Calibri" w:cs="Calibri"/>
        </w:rPr>
        <w:t>(1992)</w:t>
      </w:r>
      <w:r w:rsidR="003C4235">
        <w:fldChar w:fldCharType="end"/>
      </w:r>
      <w:r>
        <w:t>.</w:t>
      </w:r>
    </w:p>
  </w:footnote>
  <w:footnote w:id="15">
    <w:p w:rsidR="0042121F" w:rsidRDefault="0042121F">
      <w:pPr>
        <w:pStyle w:val="Textonotapie"/>
      </w:pPr>
      <w:r>
        <w:rPr>
          <w:rStyle w:val="Refdenotaalpie"/>
        </w:rPr>
        <w:footnoteRef/>
      </w:r>
      <w:r>
        <w:t xml:space="preserve"> Siendo 33 el número de modalidades activas.</w:t>
      </w:r>
    </w:p>
  </w:footnote>
  <w:footnote w:id="16">
    <w:p w:rsidR="0042121F" w:rsidRDefault="0042121F" w:rsidP="006016A2">
      <w:pPr>
        <w:pStyle w:val="Textonotapie"/>
        <w:jc w:val="both"/>
      </w:pPr>
      <w:r>
        <w:rPr>
          <w:rStyle w:val="Refdenotaalpie"/>
        </w:rPr>
        <w:footnoteRef/>
      </w:r>
      <w:r>
        <w:t xml:space="preserve"> Debido a la extensión de la presente comunicación no se proyectará gráficamente el tercer factor, aunque si será interpretado</w:t>
      </w:r>
    </w:p>
  </w:footnote>
  <w:footnote w:id="17">
    <w:p w:rsidR="0042121F" w:rsidRPr="00EE4E69" w:rsidRDefault="0042121F" w:rsidP="00EE4E69">
      <w:pPr>
        <w:pStyle w:val="Textonotapie"/>
        <w:jc w:val="both"/>
      </w:pPr>
      <w:r>
        <w:rPr>
          <w:rStyle w:val="Refdenotaalpie"/>
        </w:rPr>
        <w:footnoteRef/>
      </w:r>
      <w:r>
        <w:t xml:space="preserve"> A esto hay que sumar el relativo peso que muestra el hecho de vivir en la zona sur, ligado a la “zona de privaciones” del espacio social, siendo que dicha zona de la ciudad es donde se concentran las situaciones más críticas en las condiciones de vida medidas por ingresos y NBI </w:t>
      </w:r>
      <w:r w:rsidR="003C4235">
        <w:fldChar w:fldCharType="begin"/>
      </w:r>
      <w:r>
        <w:instrText xml:space="preserve"> ADDIN ZOTERO_ITEM CSL_CITATION {"citationID":"vm22316m6","properties":{"formattedCitation":"(Mazzeo y Roggi, 2012, p 63)","plainCitation":"(Mazzeo y Roggi, 2012, p 63)"},"citationItems":[{"id":1732,"uris":["http://zotero.org/users/2248776/items/WHBNKMVG"],"uri":["http://zotero.org/users/2248776/items/WHBNKMVG"],"itemData":{"id":1732,"type":"article-journal","title":"Los habitantes de hoteles familiares, pensiones, inquilinatos y casas tomadas de la Ciudad de Buenos Aires:?` dónde están?,?` de dónde vienen?,?` quiénes son? y?` cómo viven?","container-title":"Población de Buenos Aires","page":"7–28","volume":"9","issue":"15","source":"Google Scholar","shortTitle":"Los habitantes de hoteles familiares, pensiones, inquilinatos y casas tomadas de la Ciudad de Buenos Aires","author":[{"family":"Mazzeo","given":"Victoria"},{"family":"Roggi","given":"María Cecilia"}],"issued":{"date-parts":[["2012"]]}},"locator":"63"}],"schema":"https://github.com/citation-style-language/schema/raw/master/csl-citation.json"} </w:instrText>
      </w:r>
      <w:r w:rsidR="003C4235">
        <w:fldChar w:fldCharType="separate"/>
      </w:r>
      <w:r w:rsidRPr="00D23E54">
        <w:rPr>
          <w:rFonts w:ascii="Calibri" w:hAnsi="Calibri" w:cs="Calibri"/>
        </w:rPr>
        <w:t>(Mazzeo y Roggi, 2012, p 63)</w:t>
      </w:r>
      <w:r w:rsidR="003C4235">
        <w:fldChar w:fldCharType="end"/>
      </w:r>
      <w:r>
        <w:t>. Si bien las contribuciones de dicha modalidad están al límite para ser consideradas (2,86), la calidad de la representación (cos</w:t>
      </w:r>
      <w:r w:rsidRPr="00EE4E69">
        <w:rPr>
          <w:vertAlign w:val="superscript"/>
        </w:rPr>
        <w:t>2</w:t>
      </w:r>
      <w:r>
        <w:t>) muestra una importante contribución relativa al factor 1 del 13%. Sin embargo, es necesario aclarar, que prescindiendo de esta modalidad (sur), la zona de residencia, como variable, tiene una pobre contribución en la varianza de los factores retenidos y, por ende, en la varianza total.</w:t>
      </w:r>
    </w:p>
  </w:footnote>
  <w:footnote w:id="18">
    <w:p w:rsidR="0042121F" w:rsidRDefault="0042121F">
      <w:pPr>
        <w:pStyle w:val="Textonotapie"/>
      </w:pPr>
      <w:r>
        <w:rPr>
          <w:rStyle w:val="Refdenotaalpie"/>
        </w:rPr>
        <w:footnoteRef/>
      </w:r>
      <w:r>
        <w:t xml:space="preserve"> Una interpretación similar puede hallarse en Fachelli et al. </w:t>
      </w:r>
      <w:r w:rsidR="003C4235">
        <w:fldChar w:fldCharType="begin"/>
      </w:r>
      <w:r>
        <w:instrText xml:space="preserve"> ADDIN ZOTERO_ITEM CSL_CITATION {"citationID":"cg1DBaBK","properties":{"formattedCitation":"(2012, p 59)","plainCitation":"(2012, p 59)"},"citationItems":[{"id":571,"uris":["http://zotero.org/users/2248776/items/UKE48HAJ"],"uri":["http://zotero.org/users/2248776/items/UKE48HAJ"],"itemData":{"id":571,"type":"article-journal","title":"DESIGUALDAD Y DIVERSIDAD EN AMÉRICA LATINA","container-title":"siteal.org","URL":"http://www.siteal.org/sites/default/files/siteal_libro_digital_desigualdad_y_diversidad.pdf","author":[{"family":"Fachelli","given":"S"},{"family":"López-Roldán","given":"P"},{"family":"López","given":"Néstor"},{"family":"Sourrouille","given":"Florencia"}],"issued":{"date-parts":[["2012"]]}},"locator":"59","suppress-author":true}],"schema":"https://github.com/citation-style-language/schema/raw/master/csl-citation.json"} </w:instrText>
      </w:r>
      <w:r w:rsidR="003C4235">
        <w:fldChar w:fldCharType="separate"/>
      </w:r>
      <w:r w:rsidRPr="00AE299B">
        <w:rPr>
          <w:rFonts w:ascii="Calibri" w:hAnsi="Calibri" w:cs="Calibri"/>
        </w:rPr>
        <w:t>(2012, p 59)</w:t>
      </w:r>
      <w:r w:rsidR="003C4235">
        <w:fldChar w:fldCharType="end"/>
      </w:r>
    </w:p>
  </w:footnote>
  <w:footnote w:id="19">
    <w:p w:rsidR="0042121F" w:rsidRDefault="0042121F" w:rsidP="00671D32">
      <w:pPr>
        <w:pStyle w:val="Default"/>
        <w:jc w:val="both"/>
      </w:pPr>
      <w:r>
        <w:rPr>
          <w:rStyle w:val="Refdenotaalpie"/>
        </w:rPr>
        <w:footnoteRef/>
      </w:r>
      <w:r>
        <w:t xml:space="preserve"> “L</w:t>
      </w:r>
      <w:r w:rsidRPr="00671D32">
        <w:rPr>
          <w:rFonts w:asciiTheme="minorHAnsi" w:hAnsiTheme="minorHAnsi" w:cstheme="minorHAnsi"/>
          <w:sz w:val="20"/>
          <w:szCs w:val="23"/>
        </w:rPr>
        <w:t xml:space="preserve">os valores-test equivalen a las coordenadas transformadas en puntuaciones típicas </w:t>
      </w:r>
      <w:r w:rsidRPr="00671D32">
        <w:rPr>
          <w:rFonts w:asciiTheme="minorHAnsi" w:hAnsiTheme="minorHAnsi" w:cstheme="minorHAnsi"/>
          <w:i/>
          <w:iCs/>
          <w:sz w:val="20"/>
          <w:szCs w:val="23"/>
        </w:rPr>
        <w:t>z</w:t>
      </w:r>
      <w:r w:rsidRPr="00671D32">
        <w:rPr>
          <w:rFonts w:asciiTheme="minorHAnsi" w:hAnsiTheme="minorHAnsi" w:cstheme="minorHAnsi"/>
          <w:sz w:val="20"/>
          <w:szCs w:val="23"/>
        </w:rPr>
        <w:t xml:space="preserve">. Por lo tanto, todo valor que no se encuentre dentro del intervalo </w:t>
      </w:r>
      <w:r>
        <w:rPr>
          <w:rFonts w:asciiTheme="minorHAnsi" w:hAnsiTheme="minorHAnsi" w:cstheme="minorHAnsi"/>
          <w:i/>
          <w:iCs/>
          <w:sz w:val="20"/>
          <w:szCs w:val="23"/>
        </w:rPr>
        <w:t>(−1,96</w:t>
      </w:r>
      <w:r w:rsidRPr="00671D32">
        <w:rPr>
          <w:rFonts w:asciiTheme="minorHAnsi" w:hAnsiTheme="minorHAnsi" w:cstheme="minorHAnsi"/>
          <w:i/>
          <w:iCs/>
          <w:sz w:val="20"/>
          <w:szCs w:val="23"/>
        </w:rPr>
        <w:t>, 1,96</w:t>
      </w:r>
      <w:r w:rsidRPr="00671D32">
        <w:rPr>
          <w:rFonts w:asciiTheme="minorHAnsi" w:hAnsiTheme="minorHAnsi" w:cstheme="minorHAnsi"/>
          <w:sz w:val="20"/>
          <w:szCs w:val="23"/>
        </w:rPr>
        <w:t>) será significativo, es decir, la categoría en cuestión para el eje factorial c</w:t>
      </w:r>
      <w:r>
        <w:rPr>
          <w:rFonts w:asciiTheme="minorHAnsi" w:hAnsiTheme="minorHAnsi" w:cstheme="minorHAnsi"/>
          <w:sz w:val="20"/>
          <w:szCs w:val="23"/>
        </w:rPr>
        <w:t>onsiderado será importante en ma</w:t>
      </w:r>
      <w:r w:rsidRPr="00671D32">
        <w:rPr>
          <w:rFonts w:asciiTheme="minorHAnsi" w:hAnsiTheme="minorHAnsi" w:cstheme="minorHAnsi"/>
          <w:sz w:val="20"/>
          <w:szCs w:val="23"/>
        </w:rPr>
        <w:t>yor o menor grado en la interpretación o caracterización del eje, siendo su contribución absoluta y relativa de mayor o menor intensidad según se aleje más o menos de este intervalo. Este valor-test es especialmente útil para valorar los individuos y las variables adicionales o suplementarias</w:t>
      </w:r>
      <w:r>
        <w:rPr>
          <w:rFonts w:asciiTheme="minorHAnsi" w:hAnsiTheme="minorHAnsi" w:cstheme="minorHAnsi"/>
          <w:sz w:val="20"/>
          <w:szCs w:val="23"/>
        </w:rPr>
        <w:t xml:space="preserve">” </w:t>
      </w:r>
      <w:r w:rsidR="003C4235">
        <w:rPr>
          <w:rFonts w:asciiTheme="minorHAnsi" w:hAnsiTheme="minorHAnsi" w:cstheme="minorHAnsi"/>
          <w:sz w:val="20"/>
          <w:szCs w:val="23"/>
        </w:rPr>
        <w:fldChar w:fldCharType="begin"/>
      </w:r>
      <w:r>
        <w:rPr>
          <w:rFonts w:asciiTheme="minorHAnsi" w:hAnsiTheme="minorHAnsi" w:cstheme="minorHAnsi"/>
          <w:sz w:val="20"/>
          <w:szCs w:val="23"/>
        </w:rPr>
        <w:instrText xml:space="preserve"> ADDIN ZOTERO_ITEM CSL_CITATION {"citationID":"jvffc46ph","properties":{"formattedCitation":"{\\rtf (L\\uc0\\u243{}pez-Rold\\uc0\\u225{}n y Fachelli, 2015b, p 104)}","plainCitation":"(López-Roldán y Fachelli, 2015b, p 104)"},"citationItems":[{"id":1755,"uris":["http://zotero.org/users/2248776/items/WN5ZVWP9"],"uri":["http://zotero.org/users/2248776/items/WN5ZVWP9"],"itemData":{"id":1755,"type":"article-journal","title":"Análisis factorial","container-title":"Metodología de la investigación social cuantitativa","page":"5-134","source":"ddd.uab.cat","abstract":"Capítulo destinado al análisis de interdependencia con las técnicas de análisis factorial. Se presenta una primera panorámica de las diferentes técnicas que recoge esta denominación genérica y profundiza en dos de ellas: el análisis de componentes principales, que relaciona variables cuantitativas, y el análisis de correspondencias (simples y múltiples) para relacionar variables cualitativas. El capítulo concluye dando cuenta de la utilización del software estadístico para trabajar con estas técnicas en SPSS, SPAD y R.","language":"spa","author":[{"family":"López-Roldán","given":"Pedro"},{"family":"Fachelli","given":"Sandra"}],"issued":{"date-parts":[["2015"]]}},"locator":"104"}],"schema":"https://github.com/citation-style-language/schema/raw/master/csl-citation.json"} </w:instrText>
      </w:r>
      <w:r w:rsidR="003C4235">
        <w:rPr>
          <w:rFonts w:asciiTheme="minorHAnsi" w:hAnsiTheme="minorHAnsi" w:cstheme="minorHAnsi"/>
          <w:sz w:val="20"/>
          <w:szCs w:val="23"/>
        </w:rPr>
        <w:fldChar w:fldCharType="separate"/>
      </w:r>
      <w:r w:rsidRPr="00F71923">
        <w:rPr>
          <w:rFonts w:ascii="Calibri" w:hAnsi="Calibri" w:cs="Calibri"/>
          <w:sz w:val="20"/>
        </w:rPr>
        <w:t>(López-Roldán y Fachelli, 2015b, p 104)</w:t>
      </w:r>
      <w:r w:rsidR="003C4235">
        <w:rPr>
          <w:rFonts w:asciiTheme="minorHAnsi" w:hAnsiTheme="minorHAnsi" w:cstheme="minorHAnsi"/>
          <w:sz w:val="20"/>
          <w:szCs w:val="23"/>
        </w:rPr>
        <w:fldChar w:fldCharType="end"/>
      </w:r>
      <w:r>
        <w:rPr>
          <w:rFonts w:asciiTheme="minorHAnsi" w:hAnsiTheme="minorHAnsi" w:cstheme="minorHAnsi"/>
          <w:sz w:val="20"/>
          <w:szCs w:val="23"/>
        </w:rPr>
        <w:t>.</w:t>
      </w:r>
    </w:p>
  </w:footnote>
  <w:footnote w:id="20">
    <w:p w:rsidR="0042121F" w:rsidRPr="00F43491" w:rsidRDefault="0042121F" w:rsidP="00F43491">
      <w:pPr>
        <w:pStyle w:val="Textonotapie"/>
        <w:jc w:val="both"/>
      </w:pPr>
      <w:r>
        <w:rPr>
          <w:rStyle w:val="Refdenotaalpie"/>
        </w:rPr>
        <w:footnoteRef/>
      </w:r>
      <w:r>
        <w:t xml:space="preserve"> </w:t>
      </w:r>
      <w:r w:rsidRPr="005E26F6">
        <w:t xml:space="preserve">La caracterización se realiza a partir de un análisis de las modalidades activas y categorías suplementarias con mayores </w:t>
      </w:r>
      <w:r w:rsidRPr="005E26F6">
        <w:rPr>
          <w:i/>
        </w:rPr>
        <w:t>test-values</w:t>
      </w:r>
      <w:r w:rsidRPr="005E26F6">
        <w:t xml:space="preserve"> y la participación porcentual de las mismas en cada grupo y del grupo en las categorías</w:t>
      </w:r>
      <w:r w:rsidR="00EE5486">
        <w:t xml:space="preserve"> (ver tabla 9 en anexo)</w:t>
      </w:r>
      <w:r w:rsidRPr="005E26F6">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6004"/>
    <w:multiLevelType w:val="hybridMultilevel"/>
    <w:tmpl w:val="6E342646"/>
    <w:lvl w:ilvl="0" w:tplc="2C0A000F">
      <w:start w:val="1"/>
      <w:numFmt w:val="decimal"/>
      <w:lvlText w:val="%1."/>
      <w:lvlJc w:val="left"/>
      <w:pPr>
        <w:ind w:left="360" w:hanging="360"/>
      </w:pPr>
    </w:lvl>
    <w:lvl w:ilvl="1" w:tplc="2C0A0001">
      <w:start w:val="1"/>
      <w:numFmt w:val="bullet"/>
      <w:lvlText w:val=""/>
      <w:lvlJc w:val="left"/>
      <w:pPr>
        <w:ind w:left="1080" w:hanging="360"/>
      </w:pPr>
      <w:rPr>
        <w:rFonts w:ascii="Symbol" w:hAnsi="Symbol" w:hint="default"/>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1044287E"/>
    <w:multiLevelType w:val="hybridMultilevel"/>
    <w:tmpl w:val="590CA2B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5436E52"/>
    <w:multiLevelType w:val="hybridMultilevel"/>
    <w:tmpl w:val="1940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9D4289"/>
    <w:multiLevelType w:val="hybridMultilevel"/>
    <w:tmpl w:val="68E6C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6A517C"/>
    <w:multiLevelType w:val="hybridMultilevel"/>
    <w:tmpl w:val="B000A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A714F9"/>
    <w:multiLevelType w:val="hybridMultilevel"/>
    <w:tmpl w:val="F15033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7806C7C"/>
    <w:multiLevelType w:val="hybridMultilevel"/>
    <w:tmpl w:val="48AAF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4A223E"/>
    <w:multiLevelType w:val="hybridMultilevel"/>
    <w:tmpl w:val="B74A4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B1222F"/>
    <w:multiLevelType w:val="hybridMultilevel"/>
    <w:tmpl w:val="4D228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E95381"/>
    <w:multiLevelType w:val="hybridMultilevel"/>
    <w:tmpl w:val="67D0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9516E1"/>
    <w:multiLevelType w:val="hybridMultilevel"/>
    <w:tmpl w:val="CE9A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5AC52B7"/>
    <w:multiLevelType w:val="hybridMultilevel"/>
    <w:tmpl w:val="09FA273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B782CB4"/>
    <w:multiLevelType w:val="hybridMultilevel"/>
    <w:tmpl w:val="57942D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844095B"/>
    <w:multiLevelType w:val="hybridMultilevel"/>
    <w:tmpl w:val="62B0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FA5519"/>
    <w:multiLevelType w:val="hybridMultilevel"/>
    <w:tmpl w:val="C11CE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6"/>
  </w:num>
  <w:num w:numId="4">
    <w:abstractNumId w:val="8"/>
  </w:num>
  <w:num w:numId="5">
    <w:abstractNumId w:val="9"/>
  </w:num>
  <w:num w:numId="6">
    <w:abstractNumId w:val="4"/>
  </w:num>
  <w:num w:numId="7">
    <w:abstractNumId w:val="13"/>
  </w:num>
  <w:num w:numId="8">
    <w:abstractNumId w:val="3"/>
  </w:num>
  <w:num w:numId="9">
    <w:abstractNumId w:val="10"/>
  </w:num>
  <w:num w:numId="10">
    <w:abstractNumId w:val="14"/>
  </w:num>
  <w:num w:numId="11">
    <w:abstractNumId w:val="2"/>
  </w:num>
  <w:num w:numId="12">
    <w:abstractNumId w:val="5"/>
  </w:num>
  <w:num w:numId="13">
    <w:abstractNumId w:val="1"/>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571E2"/>
    <w:rsid w:val="000007E1"/>
    <w:rsid w:val="00007868"/>
    <w:rsid w:val="00014B08"/>
    <w:rsid w:val="00032E6E"/>
    <w:rsid w:val="00044253"/>
    <w:rsid w:val="00050F46"/>
    <w:rsid w:val="00062EBA"/>
    <w:rsid w:val="00066403"/>
    <w:rsid w:val="00080B09"/>
    <w:rsid w:val="0008502A"/>
    <w:rsid w:val="00093795"/>
    <w:rsid w:val="000939A5"/>
    <w:rsid w:val="000B7984"/>
    <w:rsid w:val="000C4439"/>
    <w:rsid w:val="000C6603"/>
    <w:rsid w:val="000D7054"/>
    <w:rsid w:val="001260CD"/>
    <w:rsid w:val="00133660"/>
    <w:rsid w:val="00134203"/>
    <w:rsid w:val="00141C22"/>
    <w:rsid w:val="0014422A"/>
    <w:rsid w:val="0015271F"/>
    <w:rsid w:val="00155FD4"/>
    <w:rsid w:val="001733EE"/>
    <w:rsid w:val="001E6C2A"/>
    <w:rsid w:val="001F0ED8"/>
    <w:rsid w:val="001F57ED"/>
    <w:rsid w:val="0020019F"/>
    <w:rsid w:val="00234B24"/>
    <w:rsid w:val="00245BEC"/>
    <w:rsid w:val="00247A15"/>
    <w:rsid w:val="002772BC"/>
    <w:rsid w:val="0029303E"/>
    <w:rsid w:val="002A17E5"/>
    <w:rsid w:val="002A4F2A"/>
    <w:rsid w:val="002D1B11"/>
    <w:rsid w:val="002E612A"/>
    <w:rsid w:val="002F37FB"/>
    <w:rsid w:val="00321647"/>
    <w:rsid w:val="00330B63"/>
    <w:rsid w:val="00331BC3"/>
    <w:rsid w:val="0033451B"/>
    <w:rsid w:val="0035031D"/>
    <w:rsid w:val="00364C64"/>
    <w:rsid w:val="00366C43"/>
    <w:rsid w:val="003A3511"/>
    <w:rsid w:val="003C161F"/>
    <w:rsid w:val="003C4235"/>
    <w:rsid w:val="003D03E2"/>
    <w:rsid w:val="003F43E5"/>
    <w:rsid w:val="004124EA"/>
    <w:rsid w:val="00414D6A"/>
    <w:rsid w:val="0042121F"/>
    <w:rsid w:val="00445C8A"/>
    <w:rsid w:val="00447F01"/>
    <w:rsid w:val="004603F5"/>
    <w:rsid w:val="00484FAF"/>
    <w:rsid w:val="00487308"/>
    <w:rsid w:val="004D1800"/>
    <w:rsid w:val="004D4293"/>
    <w:rsid w:val="004F5979"/>
    <w:rsid w:val="00520737"/>
    <w:rsid w:val="005232E6"/>
    <w:rsid w:val="0056325B"/>
    <w:rsid w:val="00564510"/>
    <w:rsid w:val="005C317C"/>
    <w:rsid w:val="005C529F"/>
    <w:rsid w:val="005C5B80"/>
    <w:rsid w:val="005E26F6"/>
    <w:rsid w:val="005E4457"/>
    <w:rsid w:val="005E50D0"/>
    <w:rsid w:val="005F4285"/>
    <w:rsid w:val="006016A2"/>
    <w:rsid w:val="00671D32"/>
    <w:rsid w:val="006771A6"/>
    <w:rsid w:val="00684891"/>
    <w:rsid w:val="00691565"/>
    <w:rsid w:val="006A0362"/>
    <w:rsid w:val="006B0407"/>
    <w:rsid w:val="006B1F2C"/>
    <w:rsid w:val="006B410D"/>
    <w:rsid w:val="006C0BF5"/>
    <w:rsid w:val="006C6EFD"/>
    <w:rsid w:val="006D763E"/>
    <w:rsid w:val="006F369F"/>
    <w:rsid w:val="006F77BE"/>
    <w:rsid w:val="0071132B"/>
    <w:rsid w:val="007137D9"/>
    <w:rsid w:val="007214AB"/>
    <w:rsid w:val="00747983"/>
    <w:rsid w:val="0076361F"/>
    <w:rsid w:val="00773438"/>
    <w:rsid w:val="007870CA"/>
    <w:rsid w:val="007A0E05"/>
    <w:rsid w:val="007B021A"/>
    <w:rsid w:val="007F4654"/>
    <w:rsid w:val="007F71A4"/>
    <w:rsid w:val="0081036C"/>
    <w:rsid w:val="00814839"/>
    <w:rsid w:val="008171C0"/>
    <w:rsid w:val="008313FE"/>
    <w:rsid w:val="00835772"/>
    <w:rsid w:val="0085229D"/>
    <w:rsid w:val="008552DE"/>
    <w:rsid w:val="008645BA"/>
    <w:rsid w:val="00892A18"/>
    <w:rsid w:val="00894DCF"/>
    <w:rsid w:val="008967AB"/>
    <w:rsid w:val="008979B1"/>
    <w:rsid w:val="008A77F8"/>
    <w:rsid w:val="008D7574"/>
    <w:rsid w:val="008E631D"/>
    <w:rsid w:val="008E6510"/>
    <w:rsid w:val="008F40D8"/>
    <w:rsid w:val="00930511"/>
    <w:rsid w:val="00943701"/>
    <w:rsid w:val="0097280C"/>
    <w:rsid w:val="00972FAB"/>
    <w:rsid w:val="00973313"/>
    <w:rsid w:val="00974DFC"/>
    <w:rsid w:val="00975BBC"/>
    <w:rsid w:val="009930D1"/>
    <w:rsid w:val="0099353F"/>
    <w:rsid w:val="009C5BE2"/>
    <w:rsid w:val="009D14F2"/>
    <w:rsid w:val="00A062C5"/>
    <w:rsid w:val="00A3671A"/>
    <w:rsid w:val="00A664A3"/>
    <w:rsid w:val="00A72409"/>
    <w:rsid w:val="00A93B60"/>
    <w:rsid w:val="00A965EE"/>
    <w:rsid w:val="00AD3B15"/>
    <w:rsid w:val="00AE299B"/>
    <w:rsid w:val="00B105D2"/>
    <w:rsid w:val="00B44671"/>
    <w:rsid w:val="00B4759A"/>
    <w:rsid w:val="00B518FF"/>
    <w:rsid w:val="00B53E38"/>
    <w:rsid w:val="00B670E2"/>
    <w:rsid w:val="00B81DA3"/>
    <w:rsid w:val="00B85BA7"/>
    <w:rsid w:val="00B87199"/>
    <w:rsid w:val="00B87759"/>
    <w:rsid w:val="00BB7275"/>
    <w:rsid w:val="00BB741F"/>
    <w:rsid w:val="00BC4C24"/>
    <w:rsid w:val="00BD72BD"/>
    <w:rsid w:val="00C157F6"/>
    <w:rsid w:val="00C53F2F"/>
    <w:rsid w:val="00C571E2"/>
    <w:rsid w:val="00C61C21"/>
    <w:rsid w:val="00C73B78"/>
    <w:rsid w:val="00C91E7E"/>
    <w:rsid w:val="00CA6E70"/>
    <w:rsid w:val="00CB65E1"/>
    <w:rsid w:val="00CD1E75"/>
    <w:rsid w:val="00CD6095"/>
    <w:rsid w:val="00D1105E"/>
    <w:rsid w:val="00D23E54"/>
    <w:rsid w:val="00D466F4"/>
    <w:rsid w:val="00D71F2A"/>
    <w:rsid w:val="00D95E17"/>
    <w:rsid w:val="00DB6A38"/>
    <w:rsid w:val="00DC7E01"/>
    <w:rsid w:val="00DD178C"/>
    <w:rsid w:val="00DD25B5"/>
    <w:rsid w:val="00DF261F"/>
    <w:rsid w:val="00E07EB3"/>
    <w:rsid w:val="00E64632"/>
    <w:rsid w:val="00E7245B"/>
    <w:rsid w:val="00E728FD"/>
    <w:rsid w:val="00E75648"/>
    <w:rsid w:val="00E82034"/>
    <w:rsid w:val="00EB79A6"/>
    <w:rsid w:val="00EC772A"/>
    <w:rsid w:val="00ED0134"/>
    <w:rsid w:val="00ED08D8"/>
    <w:rsid w:val="00EE4E69"/>
    <w:rsid w:val="00EE5486"/>
    <w:rsid w:val="00F1039F"/>
    <w:rsid w:val="00F13C12"/>
    <w:rsid w:val="00F27865"/>
    <w:rsid w:val="00F43491"/>
    <w:rsid w:val="00F537F3"/>
    <w:rsid w:val="00F71923"/>
    <w:rsid w:val="00FB0D2A"/>
    <w:rsid w:val="00FB2D82"/>
    <w:rsid w:val="00FB71E3"/>
    <w:rsid w:val="00FC4E57"/>
    <w:rsid w:val="00FE0911"/>
    <w:rsid w:val="00FE3C74"/>
    <w:rsid w:val="00FF16B8"/>
    <w:rsid w:val="00FF221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71E2"/>
    <w:pPr>
      <w:ind w:left="720"/>
      <w:contextualSpacing/>
    </w:pPr>
  </w:style>
  <w:style w:type="paragraph" w:styleId="Textonotapie">
    <w:name w:val="footnote text"/>
    <w:aliases w:val="Car3 Car,Car2,Car3, Car3, Car2, Car3 Car,Footnote Text Char Char Char Char Char,Footnote Text Char Char Char Char"/>
    <w:basedOn w:val="Normal"/>
    <w:link w:val="TextonotapieCar"/>
    <w:uiPriority w:val="99"/>
    <w:unhideWhenUsed/>
    <w:rsid w:val="00AD3B15"/>
    <w:pPr>
      <w:spacing w:after="0" w:line="240" w:lineRule="auto"/>
    </w:pPr>
    <w:rPr>
      <w:sz w:val="20"/>
      <w:szCs w:val="20"/>
    </w:rPr>
  </w:style>
  <w:style w:type="character" w:customStyle="1" w:styleId="TextonotapieCar">
    <w:name w:val="Texto nota pie Car"/>
    <w:aliases w:val="Car3 Car Car,Car2 Car,Car3 Car1, Car3 Car1, Car2 Car, Car3 Car Car,Footnote Text Char Char Char Char Char Car,Footnote Text Char Char Char Char Car"/>
    <w:basedOn w:val="Fuentedeprrafopredeter"/>
    <w:link w:val="Textonotapie"/>
    <w:uiPriority w:val="99"/>
    <w:rsid w:val="00AD3B15"/>
    <w:rPr>
      <w:sz w:val="20"/>
      <w:szCs w:val="20"/>
    </w:rPr>
  </w:style>
  <w:style w:type="character" w:styleId="Refdenotaalpie">
    <w:name w:val="footnote reference"/>
    <w:basedOn w:val="Fuentedeprrafopredeter"/>
    <w:uiPriority w:val="99"/>
    <w:unhideWhenUsed/>
    <w:rsid w:val="00AD3B15"/>
    <w:rPr>
      <w:vertAlign w:val="superscript"/>
    </w:rPr>
  </w:style>
  <w:style w:type="paragraph" w:styleId="Encabezado">
    <w:name w:val="header"/>
    <w:basedOn w:val="Normal"/>
    <w:link w:val="EncabezadoCar"/>
    <w:uiPriority w:val="99"/>
    <w:unhideWhenUsed/>
    <w:rsid w:val="00DD25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25B5"/>
  </w:style>
  <w:style w:type="paragraph" w:styleId="Piedepgina">
    <w:name w:val="footer"/>
    <w:basedOn w:val="Normal"/>
    <w:link w:val="PiedepginaCar"/>
    <w:uiPriority w:val="99"/>
    <w:unhideWhenUsed/>
    <w:rsid w:val="00DD25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25B5"/>
  </w:style>
  <w:style w:type="table" w:styleId="Tablaconcuadrcula">
    <w:name w:val="Table Grid"/>
    <w:basedOn w:val="Tablanormal"/>
    <w:uiPriority w:val="39"/>
    <w:rsid w:val="0046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093795"/>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B87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759"/>
    <w:rPr>
      <w:rFonts w:ascii="Tahoma" w:hAnsi="Tahoma" w:cs="Tahoma"/>
      <w:sz w:val="16"/>
      <w:szCs w:val="16"/>
    </w:rPr>
  </w:style>
  <w:style w:type="paragraph" w:customStyle="1" w:styleId="Default">
    <w:name w:val="Default"/>
    <w:rsid w:val="00671D32"/>
    <w:pPr>
      <w:autoSpaceDE w:val="0"/>
      <w:autoSpaceDN w:val="0"/>
      <w:adjustRightInd w:val="0"/>
      <w:spacing w:after="0" w:line="240" w:lineRule="auto"/>
    </w:pPr>
    <w:rPr>
      <w:rFonts w:ascii="Garamond" w:hAnsi="Garamond" w:cs="Garamond"/>
      <w:color w:val="000000"/>
      <w:sz w:val="24"/>
      <w:szCs w:val="24"/>
    </w:rPr>
  </w:style>
  <w:style w:type="paragraph" w:styleId="Bibliografa">
    <w:name w:val="Bibliography"/>
    <w:basedOn w:val="Normal"/>
    <w:next w:val="Normal"/>
    <w:uiPriority w:val="37"/>
    <w:unhideWhenUsed/>
    <w:rsid w:val="00B44671"/>
    <w:pPr>
      <w:spacing w:after="0" w:line="480" w:lineRule="auto"/>
      <w:ind w:left="720" w:hanging="720"/>
    </w:pPr>
  </w:style>
</w:styles>
</file>

<file path=word/webSettings.xml><?xml version="1.0" encoding="utf-8"?>
<w:webSettings xmlns:r="http://schemas.openxmlformats.org/officeDocument/2006/relationships" xmlns:w="http://schemas.openxmlformats.org/wordprocessingml/2006/main">
  <w:divs>
    <w:div w:id="24409212">
      <w:bodyDiv w:val="1"/>
      <w:marLeft w:val="0"/>
      <w:marRight w:val="0"/>
      <w:marTop w:val="0"/>
      <w:marBottom w:val="0"/>
      <w:divBdr>
        <w:top w:val="none" w:sz="0" w:space="0" w:color="auto"/>
        <w:left w:val="none" w:sz="0" w:space="0" w:color="auto"/>
        <w:bottom w:val="none" w:sz="0" w:space="0" w:color="auto"/>
        <w:right w:val="none" w:sz="0" w:space="0" w:color="auto"/>
      </w:divBdr>
    </w:div>
    <w:div w:id="101263973">
      <w:bodyDiv w:val="1"/>
      <w:marLeft w:val="0"/>
      <w:marRight w:val="0"/>
      <w:marTop w:val="0"/>
      <w:marBottom w:val="0"/>
      <w:divBdr>
        <w:top w:val="none" w:sz="0" w:space="0" w:color="auto"/>
        <w:left w:val="none" w:sz="0" w:space="0" w:color="auto"/>
        <w:bottom w:val="none" w:sz="0" w:space="0" w:color="auto"/>
        <w:right w:val="none" w:sz="0" w:space="0" w:color="auto"/>
      </w:divBdr>
    </w:div>
    <w:div w:id="243728680">
      <w:bodyDiv w:val="1"/>
      <w:marLeft w:val="0"/>
      <w:marRight w:val="0"/>
      <w:marTop w:val="0"/>
      <w:marBottom w:val="0"/>
      <w:divBdr>
        <w:top w:val="none" w:sz="0" w:space="0" w:color="auto"/>
        <w:left w:val="none" w:sz="0" w:space="0" w:color="auto"/>
        <w:bottom w:val="none" w:sz="0" w:space="0" w:color="auto"/>
        <w:right w:val="none" w:sz="0" w:space="0" w:color="auto"/>
      </w:divBdr>
    </w:div>
    <w:div w:id="331418913">
      <w:bodyDiv w:val="1"/>
      <w:marLeft w:val="0"/>
      <w:marRight w:val="0"/>
      <w:marTop w:val="0"/>
      <w:marBottom w:val="0"/>
      <w:divBdr>
        <w:top w:val="none" w:sz="0" w:space="0" w:color="auto"/>
        <w:left w:val="none" w:sz="0" w:space="0" w:color="auto"/>
        <w:bottom w:val="none" w:sz="0" w:space="0" w:color="auto"/>
        <w:right w:val="none" w:sz="0" w:space="0" w:color="auto"/>
      </w:divBdr>
    </w:div>
    <w:div w:id="2038658434">
      <w:bodyDiv w:val="1"/>
      <w:marLeft w:val="0"/>
      <w:marRight w:val="0"/>
      <w:marTop w:val="0"/>
      <w:marBottom w:val="0"/>
      <w:divBdr>
        <w:top w:val="none" w:sz="0" w:space="0" w:color="auto"/>
        <w:left w:val="none" w:sz="0" w:space="0" w:color="auto"/>
        <w:bottom w:val="none" w:sz="0" w:space="0" w:color="auto"/>
        <w:right w:val="none" w:sz="0" w:space="0" w:color="auto"/>
      </w:divBdr>
    </w:div>
    <w:div w:id="2039115995">
      <w:bodyDiv w:val="1"/>
      <w:marLeft w:val="0"/>
      <w:marRight w:val="0"/>
      <w:marTop w:val="0"/>
      <w:marBottom w:val="0"/>
      <w:divBdr>
        <w:top w:val="none" w:sz="0" w:space="0" w:color="auto"/>
        <w:left w:val="none" w:sz="0" w:space="0" w:color="auto"/>
        <w:bottom w:val="none" w:sz="0" w:space="0" w:color="auto"/>
        <w:right w:val="none" w:sz="0" w:space="0" w:color="auto"/>
      </w:divBdr>
    </w:div>
    <w:div w:id="21289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90716-4FBD-4AE4-936F-23F48323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14682</Words>
  <Characters>80757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Rodriguez de la Fuente</dc:creator>
  <cp:lastModifiedBy>José</cp:lastModifiedBy>
  <cp:revision>6</cp:revision>
  <dcterms:created xsi:type="dcterms:W3CDTF">2016-10-03T19:19:00Z</dcterms:created>
  <dcterms:modified xsi:type="dcterms:W3CDTF">2016-10-03T19:42:00Z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id="4A3JftN3"/&gt;&lt;style id="http://www.zotero.org/styles/apa_Omar" locale="es-ES"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 name="noteType" value=""/&gt;&lt;/prefs&gt;&lt;/data&gt;</vt:lpwstr>
  </property>
</Properties>
</file>