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TÍTULO (TIMES NEW ROMAN,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TAMAÑO 12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Negrita Espacio 1,5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en Castellano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Autor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Institución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Autor 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-mail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Autor 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-mail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10101"/>
          <w:sz w:val="24"/>
          <w:szCs w:val="24"/>
          <w:vertAlign w:val="baseline"/>
          <w:rtl w:val="0"/>
        </w:rPr>
        <w:t xml:space="preserve">Subtítulos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1010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deben ir en fuente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Times New Roman,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tamaño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 12,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en negrita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interlineado 1,5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, justificado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y sin número de secciones o subsecciones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. Solamente la le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tra inicial del subtítulo debe estar escrita en mayúscula.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El resumen ampliado debe contener: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Contexto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Procedimientos metodológicos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Fundamentación teórica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Resultados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Consideraciones finales (o parciales)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Referencias bibliográficas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La cantidad de páginas del resumen ampliado debe variar entre 3 y 6, comprendido el título y las referencias bibliográficas. Los autores deben estar identificados.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426"/>
        <w:jc w:val="both"/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color w:val="01010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El cuerpo del texto debe iniciar en la segunda línea después del subtítulo de cada sección. La fuente del cuerpo del artículo debe ser 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  <w:rtl w:val="0"/>
        </w:rPr>
        <w:t xml:space="preserve">Times New Roman, tamaño 12. Los párrafos deben presentar una sangría de 1,25 cm en la primera línea. Las notas al pie deberán ir al final de la página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, numeradas en secuencia, en fuente Times New Roman, tamaño 10. </w:t>
      </w:r>
    </w:p>
    <w:p w:rsidR="00000000" w:rsidDel="00000000" w:rsidP="00000000" w:rsidRDefault="00000000" w:rsidRPr="00000000" w14:paraId="00000021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Las citas deben seguir las normas APA, séptima edición.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Las tablas, gráficos y figuras deberán tener número, título y fuente, respetando las normas APA.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1010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10101"/>
          <w:sz w:val="24"/>
          <w:szCs w:val="24"/>
          <w:rtl w:val="0"/>
        </w:rPr>
        <w:t xml:space="preserve">Referencias. Espacio simple entre líneas y espacio doble entre referencias diferentes.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1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51" w:top="958" w:left="1701" w:right="1133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bottom w:color="2f5496" w:space="1" w:sz="12" w:val="single"/>
      </w:pBdr>
      <w:spacing w:after="0" w:line="240" w:lineRule="auto"/>
      <w:jc w:val="center"/>
      <w:rPr>
        <w:rFonts w:ascii="Georgia" w:cs="Georgia" w:eastAsia="Georgia" w:hAnsi="Georgia"/>
        <w:b w:val="0"/>
        <w:bCs w:val="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bottom w:color="2f5496" w:space="1" w:sz="12" w:val="single"/>
      </w:pBdr>
      <w:spacing w:after="0" w:line="240" w:lineRule="auto"/>
      <w:jc w:val="center"/>
      <w:rPr>
        <w:rFonts w:ascii="Georgia" w:cs="Georgia" w:eastAsia="Georgia" w:hAnsi="Georgia"/>
        <w:b w:val="0"/>
        <w:bCs w:val="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bottom w:color="2f5496" w:space="1" w:sz="12" w:val="single"/>
      </w:pBdr>
      <w:spacing w:after="0" w:line="240" w:lineRule="auto"/>
      <w:jc w:val="center"/>
      <w:rPr>
        <w:rFonts w:ascii="Georgia" w:cs="Georgia" w:eastAsia="Georgia" w:hAnsi="Georgia"/>
        <w:b w:val="0"/>
        <w:bCs w:val="0"/>
        <w:sz w:val="20"/>
        <w:szCs w:val="20"/>
        <w:vertAlign w:val="baseline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0"/>
        <w:szCs w:val="20"/>
        <w:rtl w:val="0"/>
      </w:rPr>
      <w:t xml:space="preserve">IV Simposio </w:t>
    </w:r>
    <w:r w:rsidDel="00000000" w:rsidR="00000000" w:rsidRPr="00000000">
      <w:rPr>
        <w:rFonts w:ascii="Georgia" w:cs="Georgia" w:eastAsia="Georgia" w:hAnsi="Georgia"/>
        <w:b w:val="1"/>
        <w:bCs w:val="1"/>
        <w:sz w:val="20"/>
        <w:szCs w:val="20"/>
        <w:vertAlign w:val="baseline"/>
        <w:rtl w:val="0"/>
      </w:rPr>
      <w:t xml:space="preserve">Latino-Americano de Didá</w:t>
    </w:r>
    <w:r w:rsidDel="00000000" w:rsidR="00000000" w:rsidRPr="00000000">
      <w:rPr>
        <w:rFonts w:ascii="Georgia" w:cs="Georgia" w:eastAsia="Georgia" w:hAnsi="Georgia"/>
        <w:b w:val="1"/>
        <w:bCs w:val="1"/>
        <w:sz w:val="20"/>
        <w:szCs w:val="20"/>
        <w:rtl w:val="0"/>
      </w:rPr>
      <w:t xml:space="preserve">ctica de la </w:t>
    </w:r>
    <w:r w:rsidDel="00000000" w:rsidR="00000000" w:rsidRPr="00000000">
      <w:rPr>
        <w:rFonts w:ascii="Georgia" w:cs="Georgia" w:eastAsia="Georgia" w:hAnsi="Georgia"/>
        <w:b w:val="1"/>
        <w:bCs w:val="1"/>
        <w:sz w:val="20"/>
        <w:szCs w:val="20"/>
        <w:vertAlign w:val="baseline"/>
        <w:rtl w:val="0"/>
      </w:rPr>
      <w:t xml:space="preserve">Matemática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bottom w:color="2f5496" w:space="1" w:sz="12" w:val="single"/>
      </w:pBdr>
      <w:spacing w:after="0" w:line="240" w:lineRule="auto"/>
      <w:jc w:val="center"/>
      <w:rPr>
        <w:rFonts w:ascii="Georgia" w:cs="Georgia" w:eastAsia="Georgia" w:hAnsi="Georgia"/>
        <w:i w:val="1"/>
        <w:iCs w:val="1"/>
        <w:sz w:val="20"/>
        <w:szCs w:val="20"/>
      </w:rPr>
    </w:pPr>
    <w:r w:rsidDel="00000000" w:rsidR="00000000" w:rsidRPr="00000000">
      <w:rPr>
        <w:rFonts w:ascii="Georgia" w:cs="Georgia" w:eastAsia="Georgia" w:hAnsi="Georgia"/>
        <w:i w:val="1"/>
        <w:iCs w:val="1"/>
        <w:sz w:val="20"/>
        <w:szCs w:val="20"/>
        <w:rtl w:val="0"/>
      </w:rPr>
      <w:t xml:space="preserve">8 al 11 de septiembre de 2026- Modalidad virtual</w:t>
    </w:r>
  </w:p>
  <w:p w:rsidR="00000000" w:rsidDel="00000000" w:rsidP="00000000" w:rsidRDefault="00000000" w:rsidRPr="00000000" w14:paraId="0000002B">
    <w:pPr>
      <w:pBdr>
        <w:bottom w:color="2f5496" w:space="1" w:sz="12" w:val="single"/>
      </w:pBdr>
      <w:spacing w:after="0" w:line="240" w:lineRule="auto"/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Argentina - Brasil - México - Perú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6-ReferenciasBibliográficas">
    <w:name w:val="6- Referencias Bibliográficas"/>
    <w:basedOn w:val="Normal"/>
    <w:next w:val="6-ReferenciasBibliográficas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xSNKZYpL91kIm6DSlcYbQ5WiQ==">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2020-10-28T18:50:00Z</dcterms:created>
  <dc:creator>WILIAN</dc:creator>
</cp:coreProperties>
</file>