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10" w:rsidRDefault="00157E10" w:rsidP="00157E10">
      <w:pPr>
        <w:spacing w:line="360" w:lineRule="auto"/>
        <w:rPr>
          <w:rFonts w:ascii="Times New Roman" w:hAnsi="Times New Roman" w:cs="Times New Roman"/>
        </w:rPr>
      </w:pPr>
      <w:r w:rsidRPr="002A7CC4">
        <w:rPr>
          <w:rFonts w:ascii="Times New Roman" w:hAnsi="Times New Roman" w:cs="Times New Roman"/>
          <w:b/>
        </w:rPr>
        <w:t>Título</w:t>
      </w:r>
      <w:r>
        <w:rPr>
          <w:rFonts w:ascii="Times New Roman" w:hAnsi="Times New Roman" w:cs="Times New Roman"/>
        </w:rPr>
        <w:t xml:space="preserve">: </w:t>
      </w:r>
      <w:r w:rsidRPr="00157E10">
        <w:rPr>
          <w:rFonts w:ascii="Times New Roman" w:hAnsi="Times New Roman" w:cs="Times New Roman"/>
          <w:b/>
        </w:rPr>
        <w:t>Comportamiento de la rentabilidad en empresas argentinas: años 2018-2019</w:t>
      </w:r>
    </w:p>
    <w:p w:rsidR="00157E10" w:rsidRDefault="00157E10" w:rsidP="00157E10">
      <w:pPr>
        <w:spacing w:line="360" w:lineRule="auto"/>
        <w:rPr>
          <w:rFonts w:ascii="Times New Roman" w:hAnsi="Times New Roman" w:cs="Times New Roman"/>
        </w:rPr>
      </w:pPr>
      <w:r w:rsidRPr="002A7CC4">
        <w:rPr>
          <w:rFonts w:ascii="Times New Roman" w:hAnsi="Times New Roman" w:cs="Times New Roman"/>
          <w:b/>
        </w:rPr>
        <w:t>Línea temática</w:t>
      </w:r>
      <w:r>
        <w:rPr>
          <w:rFonts w:ascii="Times New Roman" w:hAnsi="Times New Roman" w:cs="Times New Roman"/>
        </w:rPr>
        <w:t>: 12. Otros temas del ámbito de las Ciencias Económicas</w:t>
      </w:r>
    </w:p>
    <w:p w:rsidR="00157E10" w:rsidRPr="002A7CC4" w:rsidRDefault="00157E10" w:rsidP="00157E10">
      <w:pPr>
        <w:spacing w:line="360" w:lineRule="auto"/>
        <w:rPr>
          <w:rFonts w:ascii="Times New Roman" w:hAnsi="Times New Roman" w:cs="Times New Roman"/>
          <w:b/>
        </w:rPr>
      </w:pPr>
      <w:r w:rsidRPr="002A7CC4">
        <w:rPr>
          <w:rFonts w:ascii="Times New Roman" w:hAnsi="Times New Roman" w:cs="Times New Roman"/>
          <w:b/>
        </w:rPr>
        <w:t>Autores</w:t>
      </w:r>
    </w:p>
    <w:p w:rsidR="00157E10" w:rsidRDefault="00157E10" w:rsidP="00157E10">
      <w:pPr>
        <w:pStyle w:val="Prrafodelista"/>
        <w:numPr>
          <w:ilvl w:val="0"/>
          <w:numId w:val="1"/>
        </w:numPr>
        <w:spacing w:line="360" w:lineRule="auto"/>
        <w:rPr>
          <w:rFonts w:ascii="Times New Roman" w:hAnsi="Times New Roman" w:cs="Times New Roman"/>
        </w:rPr>
      </w:pPr>
      <w:r>
        <w:rPr>
          <w:rFonts w:ascii="Times New Roman" w:hAnsi="Times New Roman" w:cs="Times New Roman"/>
        </w:rPr>
        <w:t>Pérez, Jorge Orlando</w:t>
      </w:r>
    </w:p>
    <w:p w:rsidR="00157E10" w:rsidRDefault="00157E10" w:rsidP="00157E10">
      <w:pPr>
        <w:pStyle w:val="Prrafodelista"/>
        <w:spacing w:line="360" w:lineRule="auto"/>
        <w:rPr>
          <w:rFonts w:ascii="Times New Roman" w:hAnsi="Times New Roman" w:cs="Times New Roman"/>
        </w:rPr>
      </w:pPr>
      <w:r>
        <w:rPr>
          <w:rFonts w:ascii="Times New Roman" w:hAnsi="Times New Roman" w:cs="Times New Roman"/>
        </w:rPr>
        <w:t>Dirección: Tránsito Cáceres de Allende N° 450, depto. 12 B – (X5000HVF) Córdoba</w:t>
      </w:r>
    </w:p>
    <w:p w:rsidR="00157E10" w:rsidRDefault="00157E10" w:rsidP="00157E10">
      <w:pPr>
        <w:pStyle w:val="Prrafodelista"/>
        <w:spacing w:line="360" w:lineRule="auto"/>
        <w:rPr>
          <w:rFonts w:ascii="Times New Roman" w:hAnsi="Times New Roman" w:cs="Times New Roman"/>
        </w:rPr>
      </w:pPr>
      <w:r>
        <w:rPr>
          <w:rFonts w:ascii="Times New Roman" w:hAnsi="Times New Roman" w:cs="Times New Roman"/>
        </w:rPr>
        <w:t>Institución: Universidad Nacional de Villa María – Universidad Católica de Córdoba</w:t>
      </w:r>
    </w:p>
    <w:p w:rsidR="00157E10" w:rsidRDefault="00157E10" w:rsidP="00157E10">
      <w:pPr>
        <w:pStyle w:val="Prrafodelista"/>
        <w:spacing w:line="360" w:lineRule="auto"/>
        <w:rPr>
          <w:rFonts w:ascii="Times New Roman" w:hAnsi="Times New Roman" w:cs="Times New Roman"/>
        </w:rPr>
      </w:pPr>
      <w:r>
        <w:rPr>
          <w:rFonts w:ascii="Times New Roman" w:hAnsi="Times New Roman" w:cs="Times New Roman"/>
        </w:rPr>
        <w:t xml:space="preserve">E-mail: </w:t>
      </w:r>
      <w:hyperlink r:id="rId5" w:history="1">
        <w:r w:rsidRPr="00674B9D">
          <w:rPr>
            <w:rStyle w:val="Hipervnculo"/>
            <w:rFonts w:ascii="Times New Roman" w:hAnsi="Times New Roman" w:cs="Times New Roman"/>
          </w:rPr>
          <w:t>jorgeoperez53@gmail.com</w:t>
        </w:r>
      </w:hyperlink>
    </w:p>
    <w:p w:rsidR="00157E10" w:rsidRDefault="00157E10" w:rsidP="00157E10">
      <w:pPr>
        <w:pStyle w:val="Prrafodelista"/>
        <w:numPr>
          <w:ilvl w:val="0"/>
          <w:numId w:val="1"/>
        </w:numPr>
        <w:spacing w:line="360" w:lineRule="auto"/>
        <w:rPr>
          <w:rFonts w:ascii="Times New Roman" w:hAnsi="Times New Roman" w:cs="Times New Roman"/>
        </w:rPr>
      </w:pPr>
      <w:proofErr w:type="spellStart"/>
      <w:r>
        <w:rPr>
          <w:rFonts w:ascii="Times New Roman" w:hAnsi="Times New Roman" w:cs="Times New Roman"/>
        </w:rPr>
        <w:t>Conrero</w:t>
      </w:r>
      <w:proofErr w:type="spellEnd"/>
      <w:r>
        <w:rPr>
          <w:rFonts w:ascii="Times New Roman" w:hAnsi="Times New Roman" w:cs="Times New Roman"/>
        </w:rPr>
        <w:t>, Cristina Laura</w:t>
      </w:r>
    </w:p>
    <w:p w:rsidR="00157E10" w:rsidRDefault="00BB7949" w:rsidP="00157E10">
      <w:pPr>
        <w:pStyle w:val="Prrafodelista"/>
        <w:spacing w:line="360" w:lineRule="auto"/>
        <w:rPr>
          <w:rFonts w:ascii="Times New Roman" w:hAnsi="Times New Roman" w:cs="Times New Roman"/>
        </w:rPr>
      </w:pPr>
      <w:r>
        <w:rPr>
          <w:rFonts w:ascii="Times New Roman" w:hAnsi="Times New Roman" w:cs="Times New Roman"/>
        </w:rPr>
        <w:t>Dirección: Chile 817 (5900</w:t>
      </w:r>
      <w:r w:rsidR="00157E10">
        <w:rPr>
          <w:rFonts w:ascii="Times New Roman" w:hAnsi="Times New Roman" w:cs="Times New Roman"/>
        </w:rPr>
        <w:t>) Villa María</w:t>
      </w:r>
    </w:p>
    <w:p w:rsidR="00157E10" w:rsidRDefault="00157E10" w:rsidP="00157E10">
      <w:pPr>
        <w:pStyle w:val="Prrafodelista"/>
        <w:spacing w:line="360" w:lineRule="auto"/>
        <w:rPr>
          <w:rFonts w:ascii="Times New Roman" w:hAnsi="Times New Roman" w:cs="Times New Roman"/>
        </w:rPr>
      </w:pPr>
      <w:r>
        <w:rPr>
          <w:rFonts w:ascii="Times New Roman" w:hAnsi="Times New Roman" w:cs="Times New Roman"/>
        </w:rPr>
        <w:t>Institución: Universidad Nacional de Villa María</w:t>
      </w:r>
    </w:p>
    <w:p w:rsidR="00157E10" w:rsidRDefault="00157E10" w:rsidP="00157E10">
      <w:pPr>
        <w:pStyle w:val="Prrafodelista"/>
        <w:spacing w:line="360" w:lineRule="auto"/>
        <w:rPr>
          <w:rFonts w:ascii="Times New Roman" w:hAnsi="Times New Roman" w:cs="Times New Roman"/>
        </w:rPr>
      </w:pPr>
      <w:r>
        <w:rPr>
          <w:rFonts w:ascii="Times New Roman" w:hAnsi="Times New Roman" w:cs="Times New Roman"/>
        </w:rPr>
        <w:t xml:space="preserve">E-mail: </w:t>
      </w:r>
      <w:hyperlink r:id="rId6" w:history="1">
        <w:r w:rsidRPr="00C972A5">
          <w:rPr>
            <w:rStyle w:val="Hipervnculo"/>
            <w:rFonts w:ascii="Times New Roman" w:hAnsi="Times New Roman" w:cs="Times New Roman"/>
          </w:rPr>
          <w:t>crislconrero@yahoo.com.ar</w:t>
        </w:r>
      </w:hyperlink>
    </w:p>
    <w:p w:rsidR="00157E10" w:rsidRDefault="00157E10" w:rsidP="00157E10">
      <w:pPr>
        <w:pStyle w:val="Prrafodelista"/>
        <w:numPr>
          <w:ilvl w:val="0"/>
          <w:numId w:val="1"/>
        </w:numPr>
        <w:spacing w:line="360" w:lineRule="auto"/>
        <w:rPr>
          <w:rFonts w:ascii="Times New Roman" w:hAnsi="Times New Roman" w:cs="Times New Roman"/>
        </w:rPr>
      </w:pPr>
      <w:proofErr w:type="spellStart"/>
      <w:r>
        <w:rPr>
          <w:rFonts w:ascii="Times New Roman" w:hAnsi="Times New Roman" w:cs="Times New Roman"/>
        </w:rPr>
        <w:t>Vinanti</w:t>
      </w:r>
      <w:proofErr w:type="spellEnd"/>
      <w:r>
        <w:rPr>
          <w:rFonts w:ascii="Times New Roman" w:hAnsi="Times New Roman" w:cs="Times New Roman"/>
        </w:rPr>
        <w:t>, Mauricio</w:t>
      </w:r>
    </w:p>
    <w:p w:rsidR="00157E10" w:rsidRDefault="00157E10" w:rsidP="00157E10">
      <w:pPr>
        <w:pStyle w:val="Prrafodelista"/>
        <w:spacing w:line="360" w:lineRule="auto"/>
        <w:rPr>
          <w:rFonts w:ascii="Times New Roman" w:hAnsi="Times New Roman" w:cs="Times New Roman"/>
        </w:rPr>
      </w:pPr>
      <w:r>
        <w:rPr>
          <w:rFonts w:ascii="Times New Roman" w:hAnsi="Times New Roman" w:cs="Times New Roman"/>
        </w:rPr>
        <w:t>Dirección:</w:t>
      </w:r>
      <w:r w:rsidR="00BB7949">
        <w:rPr>
          <w:rFonts w:ascii="Times New Roman" w:hAnsi="Times New Roman" w:cs="Times New Roman"/>
        </w:rPr>
        <w:t xml:space="preserve"> César </w:t>
      </w:r>
      <w:proofErr w:type="spellStart"/>
      <w:r w:rsidR="00BB7949">
        <w:rPr>
          <w:rFonts w:ascii="Times New Roman" w:hAnsi="Times New Roman" w:cs="Times New Roman"/>
        </w:rPr>
        <w:t>Titina</w:t>
      </w:r>
      <w:proofErr w:type="spellEnd"/>
      <w:r w:rsidR="00BB7949">
        <w:rPr>
          <w:rFonts w:ascii="Times New Roman" w:hAnsi="Times New Roman" w:cs="Times New Roman"/>
        </w:rPr>
        <w:t xml:space="preserve"> </w:t>
      </w:r>
      <w:proofErr w:type="spellStart"/>
      <w:r w:rsidR="00BB7949">
        <w:rPr>
          <w:rFonts w:ascii="Times New Roman" w:hAnsi="Times New Roman" w:cs="Times New Roman"/>
        </w:rPr>
        <w:t>Bravin</w:t>
      </w:r>
      <w:proofErr w:type="spellEnd"/>
      <w:r w:rsidR="00BB7949">
        <w:rPr>
          <w:rFonts w:ascii="Times New Roman" w:hAnsi="Times New Roman" w:cs="Times New Roman"/>
        </w:rPr>
        <w:t xml:space="preserve"> 2.079 (5900</w:t>
      </w:r>
      <w:r>
        <w:rPr>
          <w:rFonts w:ascii="Times New Roman" w:hAnsi="Times New Roman" w:cs="Times New Roman"/>
        </w:rPr>
        <w:t>) Villa María</w:t>
      </w:r>
    </w:p>
    <w:p w:rsidR="00157E10" w:rsidRDefault="00157E10" w:rsidP="00157E10">
      <w:pPr>
        <w:pStyle w:val="Prrafodelista"/>
        <w:spacing w:line="360" w:lineRule="auto"/>
        <w:rPr>
          <w:rFonts w:ascii="Times New Roman" w:hAnsi="Times New Roman" w:cs="Times New Roman"/>
        </w:rPr>
      </w:pPr>
      <w:r>
        <w:rPr>
          <w:rFonts w:ascii="Times New Roman" w:hAnsi="Times New Roman" w:cs="Times New Roman"/>
        </w:rPr>
        <w:t xml:space="preserve">E-mail: </w:t>
      </w:r>
      <w:hyperlink r:id="rId7" w:history="1">
        <w:r w:rsidRPr="00C972A5">
          <w:rPr>
            <w:rStyle w:val="Hipervnculo"/>
            <w:rFonts w:ascii="Times New Roman" w:hAnsi="Times New Roman" w:cs="Times New Roman"/>
          </w:rPr>
          <w:t>mauriciovinanti@hotmail.com</w:t>
        </w:r>
      </w:hyperlink>
    </w:p>
    <w:p w:rsidR="00157E10" w:rsidRDefault="00157E10" w:rsidP="00157E10">
      <w:pPr>
        <w:pStyle w:val="Prrafodelista"/>
        <w:numPr>
          <w:ilvl w:val="0"/>
          <w:numId w:val="1"/>
        </w:numPr>
        <w:spacing w:line="360" w:lineRule="auto"/>
        <w:rPr>
          <w:rFonts w:ascii="Times New Roman" w:hAnsi="Times New Roman" w:cs="Times New Roman"/>
        </w:rPr>
      </w:pPr>
      <w:r>
        <w:rPr>
          <w:rFonts w:ascii="Times New Roman" w:hAnsi="Times New Roman" w:cs="Times New Roman"/>
        </w:rPr>
        <w:t>Luján, Luciano</w:t>
      </w:r>
    </w:p>
    <w:p w:rsidR="00157E10" w:rsidRDefault="00157E10" w:rsidP="00157E10">
      <w:pPr>
        <w:pStyle w:val="Prrafodelista"/>
        <w:spacing w:line="360" w:lineRule="auto"/>
        <w:rPr>
          <w:rFonts w:ascii="Times New Roman" w:hAnsi="Times New Roman" w:cs="Times New Roman"/>
        </w:rPr>
      </w:pPr>
      <w:r>
        <w:rPr>
          <w:rFonts w:ascii="Times New Roman" w:hAnsi="Times New Roman" w:cs="Times New Roman"/>
        </w:rPr>
        <w:t>Dirección: Julio Cortázar 227 (5903) Villa Nueva</w:t>
      </w:r>
    </w:p>
    <w:p w:rsidR="00157E10" w:rsidRDefault="00157E10" w:rsidP="00157E10">
      <w:pPr>
        <w:pStyle w:val="Prrafodelista"/>
        <w:spacing w:line="360" w:lineRule="auto"/>
        <w:rPr>
          <w:rStyle w:val="Hipervnculo"/>
          <w:rFonts w:ascii="Times New Roman" w:hAnsi="Times New Roman" w:cs="Times New Roman"/>
        </w:rPr>
      </w:pPr>
      <w:r>
        <w:rPr>
          <w:rFonts w:ascii="Times New Roman" w:hAnsi="Times New Roman" w:cs="Times New Roman"/>
        </w:rPr>
        <w:t xml:space="preserve">E-mail: </w:t>
      </w:r>
      <w:hyperlink r:id="rId8" w:history="1">
        <w:r w:rsidRPr="00C972A5">
          <w:rPr>
            <w:rStyle w:val="Hipervnculo"/>
            <w:rFonts w:ascii="Times New Roman" w:hAnsi="Times New Roman" w:cs="Times New Roman"/>
          </w:rPr>
          <w:t>lucianolujan@yahoo.com.ar</w:t>
        </w:r>
      </w:hyperlink>
    </w:p>
    <w:p w:rsidR="002C3D22" w:rsidRDefault="002C3D22" w:rsidP="002C3D22">
      <w:pPr>
        <w:pStyle w:val="Prrafodelista"/>
        <w:numPr>
          <w:ilvl w:val="0"/>
          <w:numId w:val="1"/>
        </w:numPr>
        <w:spacing w:line="360" w:lineRule="auto"/>
        <w:rPr>
          <w:rFonts w:ascii="Times New Roman" w:hAnsi="Times New Roman" w:cs="Times New Roman"/>
        </w:rPr>
      </w:pPr>
      <w:proofErr w:type="spellStart"/>
      <w:r>
        <w:rPr>
          <w:rFonts w:ascii="Times New Roman" w:hAnsi="Times New Roman" w:cs="Times New Roman"/>
        </w:rPr>
        <w:t>Caporalini</w:t>
      </w:r>
      <w:proofErr w:type="spellEnd"/>
      <w:r>
        <w:rPr>
          <w:rFonts w:ascii="Times New Roman" w:hAnsi="Times New Roman" w:cs="Times New Roman"/>
        </w:rPr>
        <w:t>, Nicolás Carlos</w:t>
      </w:r>
    </w:p>
    <w:p w:rsidR="002C3D22" w:rsidRDefault="00BB7949" w:rsidP="002C3D22">
      <w:pPr>
        <w:pStyle w:val="Prrafodelista"/>
        <w:spacing w:line="360" w:lineRule="auto"/>
        <w:rPr>
          <w:rFonts w:ascii="Times New Roman" w:hAnsi="Times New Roman" w:cs="Times New Roman"/>
        </w:rPr>
      </w:pPr>
      <w:r>
        <w:rPr>
          <w:rFonts w:ascii="Times New Roman" w:hAnsi="Times New Roman" w:cs="Times New Roman"/>
        </w:rPr>
        <w:t xml:space="preserve">Dirección: Norma </w:t>
      </w:r>
      <w:proofErr w:type="spellStart"/>
      <w:r>
        <w:rPr>
          <w:rFonts w:ascii="Times New Roman" w:hAnsi="Times New Roman" w:cs="Times New Roman"/>
        </w:rPr>
        <w:t>Tais</w:t>
      </w:r>
      <w:proofErr w:type="spellEnd"/>
      <w:r>
        <w:rPr>
          <w:rFonts w:ascii="Times New Roman" w:hAnsi="Times New Roman" w:cs="Times New Roman"/>
        </w:rPr>
        <w:t xml:space="preserve"> 2107 (5900</w:t>
      </w:r>
      <w:r w:rsidR="002C3D22">
        <w:rPr>
          <w:rFonts w:ascii="Times New Roman" w:hAnsi="Times New Roman" w:cs="Times New Roman"/>
        </w:rPr>
        <w:t>) Villa María</w:t>
      </w:r>
    </w:p>
    <w:p w:rsidR="002C3D22" w:rsidRDefault="002C3D22" w:rsidP="002C3D22">
      <w:pPr>
        <w:pStyle w:val="Prrafodelista"/>
        <w:spacing w:line="360" w:lineRule="auto"/>
        <w:rPr>
          <w:rFonts w:ascii="Times New Roman" w:hAnsi="Times New Roman" w:cs="Times New Roman"/>
        </w:rPr>
      </w:pPr>
      <w:r>
        <w:rPr>
          <w:rFonts w:ascii="Times New Roman" w:hAnsi="Times New Roman" w:cs="Times New Roman"/>
        </w:rPr>
        <w:t xml:space="preserve">E-mail: </w:t>
      </w:r>
      <w:hyperlink r:id="rId9" w:history="1">
        <w:r w:rsidRPr="00C64CA1">
          <w:rPr>
            <w:rStyle w:val="Hipervnculo"/>
            <w:rFonts w:ascii="Times New Roman" w:hAnsi="Times New Roman" w:cs="Times New Roman"/>
          </w:rPr>
          <w:t>nicolascaporalini@gmail.com</w:t>
        </w:r>
      </w:hyperlink>
    </w:p>
    <w:p w:rsidR="002C3D22" w:rsidRDefault="002C3D22" w:rsidP="002C3D22">
      <w:pPr>
        <w:pStyle w:val="Prrafodelista"/>
        <w:spacing w:line="360" w:lineRule="auto"/>
        <w:rPr>
          <w:rFonts w:ascii="Times New Roman" w:hAnsi="Times New Roman" w:cs="Times New Roman"/>
        </w:rPr>
      </w:pPr>
    </w:p>
    <w:p w:rsidR="002C3D22" w:rsidRDefault="002C3D22" w:rsidP="00157E10">
      <w:pPr>
        <w:pStyle w:val="Prrafodelista"/>
        <w:spacing w:line="360" w:lineRule="auto"/>
        <w:rPr>
          <w:rStyle w:val="Hipervnculo"/>
          <w:rFonts w:ascii="Times New Roman" w:hAnsi="Times New Roman" w:cs="Times New Roman"/>
        </w:rPr>
      </w:pPr>
    </w:p>
    <w:p w:rsidR="002C3D22" w:rsidRPr="002C3D22" w:rsidRDefault="002C3D22" w:rsidP="002C3D22">
      <w:pPr>
        <w:spacing w:line="360" w:lineRule="auto"/>
        <w:rPr>
          <w:rStyle w:val="Hipervnculo"/>
          <w:rFonts w:ascii="Times New Roman" w:hAnsi="Times New Roman" w:cs="Times New Roman"/>
        </w:rPr>
      </w:pPr>
    </w:p>
    <w:p w:rsidR="00157E10" w:rsidRPr="003B6398" w:rsidRDefault="00157E10" w:rsidP="00157E10">
      <w:pPr>
        <w:pStyle w:val="Prrafodelista"/>
        <w:spacing w:line="360" w:lineRule="auto"/>
        <w:rPr>
          <w:rFonts w:ascii="Times New Roman" w:hAnsi="Times New Roman" w:cs="Times New Roman"/>
        </w:rPr>
      </w:pPr>
    </w:p>
    <w:p w:rsidR="00157E10" w:rsidRPr="002A7CC4" w:rsidRDefault="00157E10" w:rsidP="00157E10">
      <w:pPr>
        <w:spacing w:line="360" w:lineRule="auto"/>
        <w:rPr>
          <w:rFonts w:ascii="Times New Roman" w:hAnsi="Times New Roman" w:cs="Times New Roman"/>
        </w:rPr>
      </w:pPr>
      <w:r w:rsidRPr="002A0A41">
        <w:rPr>
          <w:rFonts w:ascii="Times New Roman" w:hAnsi="Times New Roman" w:cs="Times New Roman"/>
          <w:b/>
        </w:rPr>
        <w:t>Palabras clave</w:t>
      </w:r>
      <w:r>
        <w:rPr>
          <w:rFonts w:ascii="Times New Roman" w:hAnsi="Times New Roman" w:cs="Times New Roman"/>
        </w:rPr>
        <w:t xml:space="preserve">: ROA -  ROE - </w:t>
      </w:r>
      <w:proofErr w:type="spellStart"/>
      <w:r w:rsidRPr="00F00990">
        <w:rPr>
          <w:rFonts w:ascii="Times New Roman" w:hAnsi="Times New Roman" w:cs="Times New Roman"/>
          <w:i/>
        </w:rPr>
        <w:t>leverage</w:t>
      </w:r>
      <w:proofErr w:type="spellEnd"/>
    </w:p>
    <w:p w:rsidR="00E63051" w:rsidRDefault="00E63051" w:rsidP="004618E7">
      <w:pPr>
        <w:spacing w:line="360" w:lineRule="auto"/>
        <w:rPr>
          <w:rFonts w:ascii="Times New Roman" w:hAnsi="Times New Roman" w:cs="Times New Roman"/>
          <w:b/>
          <w:sz w:val="24"/>
          <w:szCs w:val="24"/>
        </w:rPr>
      </w:pPr>
    </w:p>
    <w:p w:rsidR="00E63051" w:rsidRDefault="00E63051" w:rsidP="004618E7">
      <w:pPr>
        <w:spacing w:line="360" w:lineRule="auto"/>
        <w:rPr>
          <w:rFonts w:ascii="Times New Roman" w:hAnsi="Times New Roman" w:cs="Times New Roman"/>
          <w:b/>
          <w:sz w:val="24"/>
          <w:szCs w:val="24"/>
        </w:rPr>
      </w:pPr>
    </w:p>
    <w:p w:rsidR="00E63051" w:rsidRDefault="00E63051" w:rsidP="004618E7">
      <w:pPr>
        <w:spacing w:line="360" w:lineRule="auto"/>
        <w:rPr>
          <w:rFonts w:ascii="Times New Roman" w:hAnsi="Times New Roman" w:cs="Times New Roman"/>
          <w:b/>
          <w:sz w:val="24"/>
          <w:szCs w:val="24"/>
        </w:rPr>
      </w:pPr>
    </w:p>
    <w:p w:rsidR="00E63051" w:rsidRDefault="00E63051" w:rsidP="004618E7">
      <w:pPr>
        <w:spacing w:line="360" w:lineRule="auto"/>
        <w:rPr>
          <w:rFonts w:ascii="Times New Roman" w:hAnsi="Times New Roman" w:cs="Times New Roman"/>
          <w:b/>
          <w:sz w:val="24"/>
          <w:szCs w:val="24"/>
        </w:rPr>
      </w:pPr>
    </w:p>
    <w:p w:rsidR="00E63051" w:rsidRDefault="00E63051" w:rsidP="004618E7">
      <w:pPr>
        <w:spacing w:line="360" w:lineRule="auto"/>
        <w:rPr>
          <w:rFonts w:ascii="Times New Roman" w:hAnsi="Times New Roman" w:cs="Times New Roman"/>
          <w:b/>
          <w:sz w:val="24"/>
          <w:szCs w:val="24"/>
        </w:rPr>
      </w:pPr>
    </w:p>
    <w:p w:rsidR="00E63051" w:rsidRDefault="00E63051" w:rsidP="004618E7">
      <w:pPr>
        <w:spacing w:line="360" w:lineRule="auto"/>
        <w:rPr>
          <w:rFonts w:ascii="Times New Roman" w:hAnsi="Times New Roman" w:cs="Times New Roman"/>
          <w:b/>
          <w:sz w:val="24"/>
          <w:szCs w:val="24"/>
        </w:rPr>
      </w:pPr>
    </w:p>
    <w:p w:rsidR="007855BC" w:rsidRPr="004618E7" w:rsidRDefault="007855BC" w:rsidP="004618E7">
      <w:pPr>
        <w:spacing w:line="360" w:lineRule="auto"/>
        <w:rPr>
          <w:rFonts w:ascii="Times New Roman" w:hAnsi="Times New Roman" w:cs="Times New Roman"/>
          <w:b/>
          <w:sz w:val="24"/>
          <w:szCs w:val="24"/>
        </w:rPr>
      </w:pPr>
      <w:r w:rsidRPr="004618E7">
        <w:rPr>
          <w:rFonts w:ascii="Times New Roman" w:hAnsi="Times New Roman" w:cs="Times New Roman"/>
          <w:b/>
          <w:sz w:val="24"/>
          <w:szCs w:val="24"/>
        </w:rPr>
        <w:lastRenderedPageBreak/>
        <w:t>Introducción</w:t>
      </w:r>
    </w:p>
    <w:p w:rsidR="00236146" w:rsidRPr="004618E7" w:rsidRDefault="0081625A"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 xml:space="preserve">Desde el año 2011 la economía argentina está </w:t>
      </w:r>
      <w:r w:rsidR="00AF0953">
        <w:rPr>
          <w:rFonts w:ascii="Times New Roman" w:hAnsi="Times New Roman" w:cs="Times New Roman"/>
          <w:sz w:val="24"/>
          <w:szCs w:val="24"/>
        </w:rPr>
        <w:t>inmersa en un proceso de estancamiento</w:t>
      </w:r>
      <w:r w:rsidRPr="004618E7">
        <w:rPr>
          <w:rFonts w:ascii="Times New Roman" w:hAnsi="Times New Roman" w:cs="Times New Roman"/>
          <w:sz w:val="24"/>
          <w:szCs w:val="24"/>
        </w:rPr>
        <w:t>, con ascen</w:t>
      </w:r>
      <w:r w:rsidR="0058250F">
        <w:rPr>
          <w:rFonts w:ascii="Times New Roman" w:hAnsi="Times New Roman" w:cs="Times New Roman"/>
          <w:sz w:val="24"/>
          <w:szCs w:val="24"/>
        </w:rPr>
        <w:t>sos y descensos consecutivos de su</w:t>
      </w:r>
      <w:r w:rsidRPr="004618E7">
        <w:rPr>
          <w:rFonts w:ascii="Times New Roman" w:hAnsi="Times New Roman" w:cs="Times New Roman"/>
          <w:sz w:val="24"/>
          <w:szCs w:val="24"/>
        </w:rPr>
        <w:t xml:space="preserve"> PBI</w:t>
      </w:r>
      <w:r w:rsidR="00236146" w:rsidRPr="004618E7">
        <w:rPr>
          <w:rFonts w:ascii="Times New Roman" w:hAnsi="Times New Roman" w:cs="Times New Roman"/>
          <w:sz w:val="24"/>
          <w:szCs w:val="24"/>
        </w:rPr>
        <w:t xml:space="preserve">, </w:t>
      </w:r>
      <w:r w:rsidR="00A532F5">
        <w:rPr>
          <w:rFonts w:ascii="Times New Roman" w:hAnsi="Times New Roman" w:cs="Times New Roman"/>
          <w:sz w:val="24"/>
          <w:szCs w:val="24"/>
        </w:rPr>
        <w:t xml:space="preserve">enfrentando dificultades constantemente que la </w:t>
      </w:r>
      <w:r w:rsidR="00BB7949">
        <w:rPr>
          <w:rFonts w:ascii="Times New Roman" w:hAnsi="Times New Roman" w:cs="Times New Roman"/>
          <w:sz w:val="24"/>
          <w:szCs w:val="24"/>
        </w:rPr>
        <w:t>sitúan</w:t>
      </w:r>
      <w:r w:rsidR="00A532F5">
        <w:rPr>
          <w:rFonts w:ascii="Times New Roman" w:hAnsi="Times New Roman" w:cs="Times New Roman"/>
          <w:sz w:val="24"/>
          <w:szCs w:val="24"/>
        </w:rPr>
        <w:t xml:space="preserve"> en un círculo vicioso difícil de superar.</w:t>
      </w:r>
    </w:p>
    <w:p w:rsidR="00236146" w:rsidRPr="004618E7" w:rsidRDefault="00236146"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Las empresas</w:t>
      </w:r>
      <w:r w:rsidR="008F6870">
        <w:rPr>
          <w:rFonts w:ascii="Times New Roman" w:hAnsi="Times New Roman" w:cs="Times New Roman"/>
          <w:sz w:val="24"/>
          <w:szCs w:val="24"/>
        </w:rPr>
        <w:t>,</w:t>
      </w:r>
      <w:r w:rsidRPr="004618E7">
        <w:rPr>
          <w:rFonts w:ascii="Times New Roman" w:hAnsi="Times New Roman" w:cs="Times New Roman"/>
          <w:sz w:val="24"/>
          <w:szCs w:val="24"/>
        </w:rPr>
        <w:t xml:space="preserve"> como motores de la economía real reflejan esta realidad en sus resultados. </w:t>
      </w:r>
      <w:r w:rsidR="008C0756">
        <w:rPr>
          <w:rFonts w:ascii="Times New Roman" w:hAnsi="Times New Roman" w:cs="Times New Roman"/>
          <w:sz w:val="24"/>
          <w:szCs w:val="24"/>
        </w:rPr>
        <w:t>Resulta obvio</w:t>
      </w:r>
      <w:r w:rsidRPr="004618E7">
        <w:rPr>
          <w:rFonts w:ascii="Times New Roman" w:hAnsi="Times New Roman" w:cs="Times New Roman"/>
          <w:sz w:val="24"/>
          <w:szCs w:val="24"/>
        </w:rPr>
        <w:t xml:space="preserve"> que para generar riqueza es necesaria la inversión y para que ello ocurra tiene</w:t>
      </w:r>
      <w:r w:rsidR="0058250F">
        <w:rPr>
          <w:rFonts w:ascii="Times New Roman" w:hAnsi="Times New Roman" w:cs="Times New Roman"/>
          <w:sz w:val="24"/>
          <w:szCs w:val="24"/>
        </w:rPr>
        <w:t xml:space="preserve">n que existir </w:t>
      </w:r>
      <w:r w:rsidRPr="004618E7">
        <w:rPr>
          <w:rFonts w:ascii="Times New Roman" w:hAnsi="Times New Roman" w:cs="Times New Roman"/>
          <w:sz w:val="24"/>
          <w:szCs w:val="24"/>
        </w:rPr>
        <w:t>incentivos. Por otro lado, si se decide incorporar activos debe preverse que habitualmente una parte de los mismos son financiados con fondos autogenerados (</w:t>
      </w:r>
      <w:r w:rsidR="008C0756">
        <w:rPr>
          <w:rFonts w:ascii="Times New Roman" w:hAnsi="Times New Roman" w:cs="Times New Roman"/>
          <w:sz w:val="24"/>
          <w:szCs w:val="24"/>
        </w:rPr>
        <w:t>por lo que tiene</w:t>
      </w:r>
      <w:r w:rsidR="0058250F">
        <w:rPr>
          <w:rFonts w:ascii="Times New Roman" w:hAnsi="Times New Roman" w:cs="Times New Roman"/>
          <w:sz w:val="24"/>
          <w:szCs w:val="24"/>
        </w:rPr>
        <w:t xml:space="preserve"> que haber</w:t>
      </w:r>
      <w:r w:rsidRPr="004618E7">
        <w:rPr>
          <w:rFonts w:ascii="Times New Roman" w:hAnsi="Times New Roman" w:cs="Times New Roman"/>
          <w:sz w:val="24"/>
          <w:szCs w:val="24"/>
        </w:rPr>
        <w:t xml:space="preserve"> ganancias), si el costo </w:t>
      </w:r>
      <w:r w:rsidR="00AF0953">
        <w:rPr>
          <w:rFonts w:ascii="Times New Roman" w:hAnsi="Times New Roman" w:cs="Times New Roman"/>
          <w:sz w:val="24"/>
          <w:szCs w:val="24"/>
        </w:rPr>
        <w:t>del pasivo</w:t>
      </w:r>
      <w:r w:rsidRPr="004618E7">
        <w:rPr>
          <w:rFonts w:ascii="Times New Roman" w:hAnsi="Times New Roman" w:cs="Times New Roman"/>
          <w:sz w:val="24"/>
          <w:szCs w:val="24"/>
        </w:rPr>
        <w:t xml:space="preserve"> es elevado el endeudamiento financiero suele tornars</w:t>
      </w:r>
      <w:r w:rsidR="00E95D6F" w:rsidRPr="004618E7">
        <w:rPr>
          <w:rFonts w:ascii="Times New Roman" w:hAnsi="Times New Roman" w:cs="Times New Roman"/>
          <w:sz w:val="24"/>
          <w:szCs w:val="24"/>
        </w:rPr>
        <w:t>e prohibitivo, mientras que el ahorro no suele direccionarse a la compra de acciones cuando no se vislumbra un horizonte promisorio.</w:t>
      </w:r>
    </w:p>
    <w:p w:rsidR="00E95D6F" w:rsidRPr="004618E7" w:rsidRDefault="00E95D6F"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 xml:space="preserve">Tomando en cuenta la realidad </w:t>
      </w:r>
      <w:r w:rsidR="008F6870" w:rsidRPr="004618E7">
        <w:rPr>
          <w:rFonts w:ascii="Times New Roman" w:hAnsi="Times New Roman" w:cs="Times New Roman"/>
          <w:sz w:val="24"/>
          <w:szCs w:val="24"/>
        </w:rPr>
        <w:t xml:space="preserve">arriba </w:t>
      </w:r>
      <w:r w:rsidRPr="004618E7">
        <w:rPr>
          <w:rFonts w:ascii="Times New Roman" w:hAnsi="Times New Roman" w:cs="Times New Roman"/>
          <w:sz w:val="24"/>
          <w:szCs w:val="24"/>
        </w:rPr>
        <w:t xml:space="preserve">señalada, el objetivo de este trabajo consiste en verificar lo ocurrido en la rentabilidad de las empresas argentinas en el periodo 2018-2019. </w:t>
      </w:r>
      <w:r w:rsidR="00AF0953">
        <w:rPr>
          <w:rFonts w:ascii="Times New Roman" w:hAnsi="Times New Roman" w:cs="Times New Roman"/>
          <w:sz w:val="24"/>
          <w:szCs w:val="24"/>
        </w:rPr>
        <w:t>Fueron tomados</w:t>
      </w:r>
      <w:r w:rsidRPr="004618E7">
        <w:rPr>
          <w:rFonts w:ascii="Times New Roman" w:hAnsi="Times New Roman" w:cs="Times New Roman"/>
          <w:sz w:val="24"/>
          <w:szCs w:val="24"/>
        </w:rPr>
        <w:t xml:space="preserve"> dichos años, por ser los más actuales</w:t>
      </w:r>
      <w:r w:rsidR="008F6870">
        <w:rPr>
          <w:rFonts w:ascii="Times New Roman" w:hAnsi="Times New Roman" w:cs="Times New Roman"/>
          <w:sz w:val="24"/>
          <w:szCs w:val="24"/>
        </w:rPr>
        <w:t xml:space="preserve"> y a partir del periodo en que </w:t>
      </w:r>
      <w:r w:rsidRPr="004618E7">
        <w:rPr>
          <w:rFonts w:ascii="Times New Roman" w:hAnsi="Times New Roman" w:cs="Times New Roman"/>
          <w:sz w:val="24"/>
          <w:szCs w:val="24"/>
        </w:rPr>
        <w:t xml:space="preserve"> las empresas se vieron obligadas </w:t>
      </w:r>
      <w:r w:rsidR="00D9218D">
        <w:rPr>
          <w:rFonts w:ascii="Times New Roman" w:hAnsi="Times New Roman" w:cs="Times New Roman"/>
          <w:sz w:val="24"/>
          <w:szCs w:val="24"/>
        </w:rPr>
        <w:t>a realizar e</w:t>
      </w:r>
      <w:r w:rsidRPr="004618E7">
        <w:rPr>
          <w:rFonts w:ascii="Times New Roman" w:hAnsi="Times New Roman" w:cs="Times New Roman"/>
          <w:sz w:val="24"/>
          <w:szCs w:val="24"/>
        </w:rPr>
        <w:t>l ajuste de sus estados financieros para tomar en cuenta el fenómeno inflacionario,   lo cual genera mayor credibilidad en la información provista a sus usuarios.</w:t>
      </w:r>
    </w:p>
    <w:p w:rsidR="00E63051" w:rsidRDefault="00E63051"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En primer lugar analiza</w:t>
      </w:r>
      <w:r w:rsidR="00E95D6F" w:rsidRPr="004618E7">
        <w:rPr>
          <w:rFonts w:ascii="Times New Roman" w:hAnsi="Times New Roman" w:cs="Times New Roman"/>
          <w:sz w:val="24"/>
          <w:szCs w:val="24"/>
        </w:rPr>
        <w:t xml:space="preserve">mos </w:t>
      </w:r>
      <w:r w:rsidR="0039267C" w:rsidRPr="004618E7">
        <w:rPr>
          <w:rFonts w:ascii="Times New Roman" w:hAnsi="Times New Roman" w:cs="Times New Roman"/>
          <w:sz w:val="24"/>
          <w:szCs w:val="24"/>
        </w:rPr>
        <w:t>el marco teórico necesario para tomar en cuenta cómo se produce la rentabilidad de las emp</w:t>
      </w:r>
      <w:r>
        <w:rPr>
          <w:rFonts w:ascii="Times New Roman" w:hAnsi="Times New Roman" w:cs="Times New Roman"/>
          <w:sz w:val="24"/>
          <w:szCs w:val="24"/>
        </w:rPr>
        <w:t>resas</w:t>
      </w:r>
      <w:r w:rsidR="008F6870">
        <w:rPr>
          <w:rFonts w:ascii="Times New Roman" w:hAnsi="Times New Roman" w:cs="Times New Roman"/>
          <w:sz w:val="24"/>
          <w:szCs w:val="24"/>
        </w:rPr>
        <w:t>.</w:t>
      </w:r>
      <w:r>
        <w:rPr>
          <w:rFonts w:ascii="Times New Roman" w:hAnsi="Times New Roman" w:cs="Times New Roman"/>
          <w:sz w:val="24"/>
          <w:szCs w:val="24"/>
        </w:rPr>
        <w:t xml:space="preserve"> Posteriormente nos aboca</w:t>
      </w:r>
      <w:r w:rsidR="0039267C" w:rsidRPr="004618E7">
        <w:rPr>
          <w:rFonts w:ascii="Times New Roman" w:hAnsi="Times New Roman" w:cs="Times New Roman"/>
          <w:sz w:val="24"/>
          <w:szCs w:val="24"/>
        </w:rPr>
        <w:t xml:space="preserve">mos a estudiar un grupo de </w:t>
      </w:r>
      <w:r w:rsidR="008F6870">
        <w:rPr>
          <w:rFonts w:ascii="Times New Roman" w:hAnsi="Times New Roman" w:cs="Times New Roman"/>
          <w:sz w:val="24"/>
          <w:szCs w:val="24"/>
        </w:rPr>
        <w:t>compañías</w:t>
      </w:r>
      <w:r w:rsidR="0039267C" w:rsidRPr="004618E7">
        <w:rPr>
          <w:rFonts w:ascii="Times New Roman" w:hAnsi="Times New Roman" w:cs="Times New Roman"/>
          <w:sz w:val="24"/>
          <w:szCs w:val="24"/>
        </w:rPr>
        <w:t xml:space="preserve"> que presentan sus estados financieros ante la Comisión Nacional de Valores, para verificar có</w:t>
      </w:r>
      <w:r w:rsidR="0058250F">
        <w:rPr>
          <w:rFonts w:ascii="Times New Roman" w:hAnsi="Times New Roman" w:cs="Times New Roman"/>
          <w:sz w:val="24"/>
          <w:szCs w:val="24"/>
        </w:rPr>
        <w:t>mo ha sido el comportamiento de sus rentabilidades a través del ROE</w:t>
      </w:r>
      <w:r w:rsidR="0098569B">
        <w:rPr>
          <w:rFonts w:ascii="Times New Roman" w:hAnsi="Times New Roman" w:cs="Times New Roman"/>
          <w:sz w:val="24"/>
          <w:szCs w:val="24"/>
        </w:rPr>
        <w:t xml:space="preserve"> </w:t>
      </w:r>
      <w:r w:rsidR="0098569B" w:rsidRPr="004618E7">
        <w:rPr>
          <w:rFonts w:ascii="Times New Roman" w:hAnsi="Times New Roman" w:cs="Times New Roman"/>
          <w:sz w:val="24"/>
          <w:szCs w:val="24"/>
        </w:rPr>
        <w:t xml:space="preserve">(rentabilidad de los accionistas) </w:t>
      </w:r>
      <w:r w:rsidR="0058250F">
        <w:rPr>
          <w:rFonts w:ascii="Times New Roman" w:hAnsi="Times New Roman" w:cs="Times New Roman"/>
          <w:sz w:val="24"/>
          <w:szCs w:val="24"/>
        </w:rPr>
        <w:t xml:space="preserve">y </w:t>
      </w:r>
      <w:r w:rsidR="0039267C" w:rsidRPr="004618E7">
        <w:rPr>
          <w:rFonts w:ascii="Times New Roman" w:hAnsi="Times New Roman" w:cs="Times New Roman"/>
          <w:sz w:val="24"/>
          <w:szCs w:val="24"/>
        </w:rPr>
        <w:t>el ROA</w:t>
      </w:r>
      <w:r w:rsidR="0098569B">
        <w:rPr>
          <w:rFonts w:ascii="Times New Roman" w:hAnsi="Times New Roman" w:cs="Times New Roman"/>
          <w:sz w:val="24"/>
          <w:szCs w:val="24"/>
        </w:rPr>
        <w:t xml:space="preserve"> </w:t>
      </w:r>
      <w:r w:rsidR="0098569B" w:rsidRPr="004618E7">
        <w:rPr>
          <w:rFonts w:ascii="Times New Roman" w:hAnsi="Times New Roman" w:cs="Times New Roman"/>
          <w:sz w:val="24"/>
          <w:szCs w:val="24"/>
        </w:rPr>
        <w:t>(rentabilidad de la inversión)</w:t>
      </w:r>
      <w:r w:rsidR="0039267C" w:rsidRPr="004618E7">
        <w:rPr>
          <w:rFonts w:ascii="Times New Roman" w:hAnsi="Times New Roman" w:cs="Times New Roman"/>
          <w:sz w:val="24"/>
          <w:szCs w:val="24"/>
        </w:rPr>
        <w:t xml:space="preserve">, </w:t>
      </w:r>
      <w:r w:rsidR="008C0756">
        <w:rPr>
          <w:rFonts w:ascii="Times New Roman" w:hAnsi="Times New Roman" w:cs="Times New Roman"/>
          <w:sz w:val="24"/>
          <w:szCs w:val="24"/>
        </w:rPr>
        <w:t>surgiendo de la comparación entre ambas</w:t>
      </w:r>
      <w:r w:rsidR="008F6870">
        <w:rPr>
          <w:rFonts w:ascii="Times New Roman" w:hAnsi="Times New Roman" w:cs="Times New Roman"/>
          <w:sz w:val="24"/>
          <w:szCs w:val="24"/>
        </w:rPr>
        <w:t xml:space="preserve"> el efect</w:t>
      </w:r>
      <w:r w:rsidR="00DF167B">
        <w:rPr>
          <w:rFonts w:ascii="Times New Roman" w:hAnsi="Times New Roman" w:cs="Times New Roman"/>
          <w:sz w:val="24"/>
          <w:szCs w:val="24"/>
        </w:rPr>
        <w:t xml:space="preserve">o del apalancamiento financiero, </w:t>
      </w:r>
      <w:r w:rsidR="0039267C" w:rsidRPr="004618E7">
        <w:rPr>
          <w:rFonts w:ascii="Times New Roman" w:hAnsi="Times New Roman" w:cs="Times New Roman"/>
          <w:sz w:val="24"/>
          <w:szCs w:val="24"/>
        </w:rPr>
        <w:t>buscando obtener conclusiones al respecto.</w:t>
      </w:r>
    </w:p>
    <w:p w:rsidR="007855BC" w:rsidRPr="0032475E" w:rsidRDefault="00C246DA"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br/>
      </w:r>
      <w:r w:rsidR="007855BC" w:rsidRPr="004618E7">
        <w:rPr>
          <w:rFonts w:ascii="Times New Roman" w:hAnsi="Times New Roman" w:cs="Times New Roman"/>
          <w:b/>
          <w:sz w:val="24"/>
          <w:szCs w:val="24"/>
        </w:rPr>
        <w:t>Variables que afectan la rentabilidad</w:t>
      </w:r>
    </w:p>
    <w:p w:rsidR="00440E02" w:rsidRDefault="00534875" w:rsidP="00440E02">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Básicamente hay 2 maneras de analizar la rentabilidad</w:t>
      </w:r>
      <w:r w:rsidR="00440E02">
        <w:rPr>
          <w:rFonts w:ascii="Times New Roman" w:hAnsi="Times New Roman" w:cs="Times New Roman"/>
          <w:sz w:val="24"/>
          <w:szCs w:val="24"/>
        </w:rPr>
        <w:t xml:space="preserve">, una es a través del ROA comprobando el rendimiento de los recursos totales invertidos, independientemente de cómo estén financiados y otro es con el ROE, que muestra el resultado obtenido respecto al capital propio, el cual </w:t>
      </w:r>
      <w:r w:rsidR="00BB7949">
        <w:rPr>
          <w:rFonts w:ascii="Times New Roman" w:hAnsi="Times New Roman" w:cs="Times New Roman"/>
          <w:sz w:val="24"/>
          <w:szCs w:val="24"/>
        </w:rPr>
        <w:t>indica además</w:t>
      </w:r>
      <w:r w:rsidR="00440E02">
        <w:rPr>
          <w:rFonts w:ascii="Times New Roman" w:hAnsi="Times New Roman" w:cs="Times New Roman"/>
          <w:sz w:val="24"/>
          <w:szCs w:val="24"/>
        </w:rPr>
        <w:t xml:space="preserve"> cómo interactúan el resultado de la inversión con el costo del financiamiento de terceros.</w:t>
      </w:r>
    </w:p>
    <w:p w:rsidR="00440E02" w:rsidRDefault="00440E02" w:rsidP="00440E0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En cuanto a las variables que impulsan al ROA, en la fórmula desarrollada por Pérez (2014, p</w:t>
      </w:r>
      <w:r w:rsidR="008C0756">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 214-221)  se despejan las variables primarias que conforman el margen sobre ventas y la rotación del activo, lo que permite analizar distintos escenarios.</w:t>
      </w:r>
    </w:p>
    <w:p w:rsidR="00440E02" w:rsidRPr="00440E02" w:rsidRDefault="00440E02" w:rsidP="00440E0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lo que respecta al margen, se llega a la siguiente fórmula: </w:t>
      </w:r>
    </w:p>
    <w:p w:rsidR="00440E02" w:rsidRPr="00C55BD0" w:rsidRDefault="00440E02" w:rsidP="00440E02">
      <w:pPr>
        <w:spacing w:line="480" w:lineRule="auto"/>
        <w:ind w:firstLine="450"/>
        <w:jc w:val="both"/>
        <w:rPr>
          <w:rFonts w:ascii="Times New Roman" w:hAnsi="Times New Roman" w:cs="Times New Roman"/>
          <w:sz w:val="24"/>
          <w:szCs w:val="24"/>
        </w:rPr>
      </w:pPr>
      <w:r w:rsidRPr="00C55BD0">
        <w:rPr>
          <w:rFonts w:ascii="Times New Roman" w:hAnsi="Times New Roman" w:cs="Times New Roman"/>
          <w:position w:val="-32"/>
          <w:sz w:val="24"/>
          <w:szCs w:val="24"/>
        </w:rPr>
        <w:object w:dxaOrig="23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6.75pt" o:ole="">
            <v:imagedata r:id="rId10" o:title=""/>
          </v:shape>
          <o:OLEObject Type="Embed" ProgID="Equation.3" ShapeID="_x0000_i1025" DrawAspect="Content" ObjectID="_1663255479" r:id="rId11"/>
        </w:object>
      </w:r>
    </w:p>
    <w:p w:rsidR="00440E02" w:rsidRDefault="00440E02" w:rsidP="00440E02">
      <w:pPr>
        <w:pStyle w:val="Continuarlista"/>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Donde:</w:t>
      </w:r>
    </w:p>
    <w:p w:rsidR="00440E02" w:rsidRPr="00C55BD0" w:rsidRDefault="00440E02" w:rsidP="00440E02">
      <w:pPr>
        <w:pStyle w:val="Continuarlista"/>
        <w:spacing w:line="360" w:lineRule="auto"/>
        <w:ind w:left="0"/>
        <w:jc w:val="both"/>
        <w:rPr>
          <w:rFonts w:ascii="Times New Roman" w:hAnsi="Times New Roman" w:cs="Times New Roman"/>
          <w:sz w:val="24"/>
          <w:szCs w:val="24"/>
        </w:rPr>
      </w:pPr>
      <w:r w:rsidRPr="00C55BD0">
        <w:rPr>
          <w:rFonts w:ascii="Times New Roman" w:hAnsi="Times New Roman" w:cs="Times New Roman"/>
          <w:position w:val="-10"/>
          <w:sz w:val="24"/>
          <w:szCs w:val="24"/>
        </w:rPr>
        <w:object w:dxaOrig="440" w:dyaOrig="260">
          <v:shape id="_x0000_i1026" type="#_x0000_t75" style="width:21.75pt;height:12.75pt" o:ole="">
            <v:imagedata r:id="rId12" o:title=""/>
          </v:shape>
          <o:OLEObject Type="Embed" ProgID="Equation.3" ShapeID="_x0000_i1026" DrawAspect="Content" ObjectID="_1663255480" r:id="rId13"/>
        </w:object>
      </w:r>
      <w:r w:rsidRPr="00C55BD0">
        <w:rPr>
          <w:rFonts w:ascii="Times New Roman" w:hAnsi="Times New Roman" w:cs="Times New Roman"/>
          <w:sz w:val="24"/>
          <w:szCs w:val="24"/>
        </w:rPr>
        <w:t xml:space="preserve"> precio de venta</w:t>
      </w:r>
    </w:p>
    <w:p w:rsidR="00440E02" w:rsidRPr="00C55BD0" w:rsidRDefault="00440E02" w:rsidP="00440E02">
      <w:pPr>
        <w:pStyle w:val="Continuarlista"/>
        <w:spacing w:line="360" w:lineRule="auto"/>
        <w:ind w:left="0"/>
        <w:jc w:val="both"/>
        <w:rPr>
          <w:rFonts w:ascii="Times New Roman" w:hAnsi="Times New Roman" w:cs="Times New Roman"/>
          <w:sz w:val="24"/>
          <w:szCs w:val="24"/>
        </w:rPr>
      </w:pPr>
      <w:r w:rsidRPr="00C55BD0">
        <w:rPr>
          <w:rFonts w:ascii="Times New Roman" w:hAnsi="Times New Roman" w:cs="Times New Roman"/>
          <w:position w:val="-10"/>
          <w:sz w:val="24"/>
          <w:szCs w:val="24"/>
        </w:rPr>
        <w:object w:dxaOrig="300" w:dyaOrig="260">
          <v:shape id="_x0000_i1027" type="#_x0000_t75" style="width:15pt;height:12.75pt" o:ole="">
            <v:imagedata r:id="rId14" o:title=""/>
          </v:shape>
          <o:OLEObject Type="Embed" ProgID="Equation.3" ShapeID="_x0000_i1027" DrawAspect="Content" ObjectID="_1663255481" r:id="rId15"/>
        </w:object>
      </w:r>
      <w:r w:rsidRPr="00C55BD0">
        <w:rPr>
          <w:rFonts w:ascii="Times New Roman" w:hAnsi="Times New Roman" w:cs="Times New Roman"/>
          <w:sz w:val="24"/>
          <w:szCs w:val="24"/>
        </w:rPr>
        <w:t xml:space="preserve"> cantidades</w:t>
      </w:r>
    </w:p>
    <w:p w:rsidR="00440E02" w:rsidRPr="00C55BD0" w:rsidRDefault="00440E02" w:rsidP="00440E02">
      <w:pPr>
        <w:pStyle w:val="Continuarlista"/>
        <w:spacing w:line="360" w:lineRule="auto"/>
        <w:ind w:left="0"/>
        <w:jc w:val="both"/>
        <w:rPr>
          <w:rFonts w:ascii="Times New Roman" w:hAnsi="Times New Roman" w:cs="Times New Roman"/>
          <w:sz w:val="24"/>
          <w:szCs w:val="24"/>
        </w:rPr>
      </w:pPr>
      <w:r w:rsidRPr="00C55BD0">
        <w:rPr>
          <w:rFonts w:ascii="Times New Roman" w:hAnsi="Times New Roman" w:cs="Times New Roman"/>
          <w:position w:val="-10"/>
          <w:sz w:val="24"/>
          <w:szCs w:val="24"/>
        </w:rPr>
        <w:object w:dxaOrig="440" w:dyaOrig="260">
          <v:shape id="_x0000_i1028" type="#_x0000_t75" style="width:21.75pt;height:12.75pt" o:ole="">
            <v:imagedata r:id="rId16" o:title=""/>
          </v:shape>
          <o:OLEObject Type="Embed" ProgID="Equation.3" ShapeID="_x0000_i1028" DrawAspect="Content" ObjectID="_1663255482" r:id="rId17"/>
        </w:object>
      </w:r>
      <w:r w:rsidRPr="00C55BD0">
        <w:rPr>
          <w:rFonts w:ascii="Times New Roman" w:hAnsi="Times New Roman" w:cs="Times New Roman"/>
          <w:sz w:val="24"/>
          <w:szCs w:val="24"/>
        </w:rPr>
        <w:t xml:space="preserve"> costo de venta unitario variable</w:t>
      </w:r>
    </w:p>
    <w:p w:rsidR="00440E02" w:rsidRPr="00C55BD0" w:rsidRDefault="00440E02" w:rsidP="00440E02">
      <w:pPr>
        <w:pStyle w:val="Continuarlista"/>
        <w:spacing w:line="360" w:lineRule="auto"/>
        <w:ind w:left="0"/>
        <w:jc w:val="both"/>
        <w:rPr>
          <w:rFonts w:ascii="Times New Roman" w:hAnsi="Times New Roman" w:cs="Times New Roman"/>
          <w:sz w:val="24"/>
          <w:szCs w:val="24"/>
        </w:rPr>
      </w:pPr>
      <w:r w:rsidRPr="00C55BD0">
        <w:rPr>
          <w:rFonts w:ascii="Times New Roman" w:hAnsi="Times New Roman" w:cs="Times New Roman"/>
          <w:position w:val="-6"/>
          <w:sz w:val="24"/>
          <w:szCs w:val="24"/>
        </w:rPr>
        <w:object w:dxaOrig="400" w:dyaOrig="220">
          <v:shape id="_x0000_i1029" type="#_x0000_t75" style="width:20.25pt;height:11.25pt" o:ole="">
            <v:imagedata r:id="rId18" o:title=""/>
          </v:shape>
          <o:OLEObject Type="Embed" ProgID="Equation.3" ShapeID="_x0000_i1029" DrawAspect="Content" ObjectID="_1663255483" r:id="rId19"/>
        </w:object>
      </w:r>
      <w:r w:rsidRPr="00C55BD0">
        <w:rPr>
          <w:rFonts w:ascii="Times New Roman" w:hAnsi="Times New Roman" w:cs="Times New Roman"/>
          <w:sz w:val="24"/>
          <w:szCs w:val="24"/>
        </w:rPr>
        <w:t xml:space="preserve"> otros gastos unitarios variables</w:t>
      </w:r>
    </w:p>
    <w:p w:rsidR="00440E02" w:rsidRPr="00C55BD0" w:rsidRDefault="00440E02" w:rsidP="00440E02">
      <w:pPr>
        <w:pStyle w:val="Continuarlista"/>
        <w:spacing w:line="360" w:lineRule="auto"/>
        <w:ind w:left="0"/>
        <w:jc w:val="both"/>
        <w:rPr>
          <w:rFonts w:ascii="Times New Roman" w:hAnsi="Times New Roman" w:cs="Times New Roman"/>
          <w:sz w:val="24"/>
          <w:szCs w:val="24"/>
        </w:rPr>
      </w:pPr>
      <w:r w:rsidRPr="00C55BD0">
        <w:rPr>
          <w:rFonts w:ascii="Times New Roman" w:hAnsi="Times New Roman" w:cs="Times New Roman"/>
          <w:position w:val="-10"/>
          <w:sz w:val="24"/>
          <w:szCs w:val="24"/>
        </w:rPr>
        <w:object w:dxaOrig="400" w:dyaOrig="320">
          <v:shape id="_x0000_i1030" type="#_x0000_t75" style="width:20.25pt;height:15.75pt" o:ole="">
            <v:imagedata r:id="rId20" o:title=""/>
          </v:shape>
          <o:OLEObject Type="Embed" ProgID="Equation.3" ShapeID="_x0000_i1030" DrawAspect="Content" ObjectID="_1663255484" r:id="rId21"/>
        </w:object>
      </w:r>
      <w:r w:rsidRPr="00C55BD0">
        <w:rPr>
          <w:rFonts w:ascii="Times New Roman" w:hAnsi="Times New Roman" w:cs="Times New Roman"/>
          <w:sz w:val="24"/>
          <w:szCs w:val="24"/>
        </w:rPr>
        <w:t xml:space="preserve"> costo de venta fijo</w:t>
      </w:r>
    </w:p>
    <w:p w:rsidR="00440E02" w:rsidRDefault="00440E02" w:rsidP="00440E02">
      <w:pPr>
        <w:pStyle w:val="Continuarlista"/>
        <w:spacing w:line="360" w:lineRule="auto"/>
        <w:ind w:left="0"/>
        <w:jc w:val="both"/>
        <w:rPr>
          <w:rFonts w:ascii="Times New Roman" w:hAnsi="Times New Roman" w:cs="Times New Roman"/>
          <w:sz w:val="24"/>
          <w:szCs w:val="24"/>
        </w:rPr>
      </w:pPr>
      <w:r w:rsidRPr="00C55BD0">
        <w:rPr>
          <w:rFonts w:ascii="Times New Roman" w:hAnsi="Times New Roman" w:cs="Times New Roman"/>
          <w:position w:val="-10"/>
          <w:sz w:val="24"/>
          <w:szCs w:val="24"/>
        </w:rPr>
        <w:object w:dxaOrig="400" w:dyaOrig="320">
          <v:shape id="_x0000_i1031" type="#_x0000_t75" style="width:20.25pt;height:15.75pt" o:ole="">
            <v:imagedata r:id="rId22" o:title=""/>
          </v:shape>
          <o:OLEObject Type="Embed" ProgID="Equation.3" ShapeID="_x0000_i1031" DrawAspect="Content" ObjectID="_1663255485" r:id="rId23"/>
        </w:object>
      </w:r>
      <w:r w:rsidRPr="00C55BD0">
        <w:rPr>
          <w:rFonts w:ascii="Times New Roman" w:hAnsi="Times New Roman" w:cs="Times New Roman"/>
          <w:sz w:val="24"/>
          <w:szCs w:val="24"/>
        </w:rPr>
        <w:t xml:space="preserve"> otros gastos fijos</w:t>
      </w:r>
    </w:p>
    <w:p w:rsidR="00440E02" w:rsidRPr="00C55BD0" w:rsidRDefault="00440E02" w:rsidP="00440E02">
      <w:pPr>
        <w:pStyle w:val="Continuarlista"/>
        <w:spacing w:line="360" w:lineRule="auto"/>
        <w:ind w:left="0"/>
        <w:jc w:val="both"/>
        <w:rPr>
          <w:rFonts w:ascii="Times New Roman" w:hAnsi="Times New Roman" w:cs="Times New Roman"/>
          <w:sz w:val="24"/>
          <w:szCs w:val="24"/>
        </w:rPr>
      </w:pPr>
      <m:oMath>
        <m:r>
          <w:rPr>
            <w:rFonts w:ascii="Cambria Math" w:hAnsi="Cambria Math" w:cs="Times New Roman"/>
            <w:sz w:val="24"/>
            <w:szCs w:val="24"/>
          </w:rPr>
          <m:t>j</m:t>
        </m:r>
      </m:oMath>
      <w:r>
        <w:rPr>
          <w:rFonts w:ascii="Times New Roman" w:hAnsi="Times New Roman" w:cs="Times New Roman"/>
          <w:sz w:val="24"/>
          <w:szCs w:val="24"/>
        </w:rPr>
        <w:t>: periodo proyectado</w:t>
      </w:r>
    </w:p>
    <w:p w:rsidR="00440E02" w:rsidRPr="00C55BD0" w:rsidRDefault="00440E02" w:rsidP="00440E02">
      <w:pPr>
        <w:pStyle w:val="Sangra3detindependiente"/>
        <w:spacing w:line="360" w:lineRule="auto"/>
        <w:ind w:firstLine="0"/>
        <w:rPr>
          <w:rFonts w:ascii="Times New Roman" w:hAnsi="Times New Roman" w:cs="Times New Roman"/>
          <w:sz w:val="24"/>
          <w:szCs w:val="24"/>
        </w:rPr>
      </w:pPr>
      <w:r w:rsidRPr="00C55BD0">
        <w:rPr>
          <w:rFonts w:ascii="Times New Roman" w:hAnsi="Times New Roman" w:cs="Times New Roman"/>
          <w:sz w:val="24"/>
          <w:szCs w:val="24"/>
        </w:rPr>
        <w:t>Quiere decir, que el margen sobre ventas es igual a: la unidad, menos la relación del costo variable unitario sobre el precio de venta y menos la relación de costos fijos sobre la venta.</w:t>
      </w:r>
    </w:p>
    <w:p w:rsidR="00440E02" w:rsidRDefault="00440E02" w:rsidP="00440E02">
      <w:pPr>
        <w:spacing w:line="360" w:lineRule="auto"/>
        <w:jc w:val="both"/>
        <w:rPr>
          <w:rFonts w:ascii="Times New Roman" w:hAnsi="Times New Roman" w:cs="Times New Roman"/>
          <w:sz w:val="24"/>
          <w:szCs w:val="24"/>
        </w:rPr>
      </w:pPr>
      <w:r w:rsidRPr="00C55BD0">
        <w:rPr>
          <w:rFonts w:ascii="Times New Roman" w:hAnsi="Times New Roman" w:cs="Times New Roman"/>
          <w:sz w:val="24"/>
          <w:szCs w:val="24"/>
        </w:rPr>
        <w:t>Reflejado de esta forma,</w:t>
      </w:r>
      <w:r w:rsidRPr="00C55BD0">
        <w:rPr>
          <w:rFonts w:ascii="Times New Roman" w:hAnsi="Times New Roman" w:cs="Times New Roman"/>
          <w:b/>
          <w:sz w:val="24"/>
          <w:szCs w:val="24"/>
        </w:rPr>
        <w:t xml:space="preserve"> </w:t>
      </w:r>
      <w:r w:rsidRPr="00C55BD0">
        <w:rPr>
          <w:rFonts w:ascii="Times New Roman" w:hAnsi="Times New Roman" w:cs="Times New Roman"/>
          <w:sz w:val="24"/>
          <w:szCs w:val="24"/>
        </w:rPr>
        <w:t>ante un cambio en las condiciones,  permite observar  cómo se produce una variación en el margen sobre ventas por una modificación en precio de costo y/o en el precio de venta y por otra parte, cómo incide la mayor o menor proporción de los gastos fijos, respecto al nivel de actividad. Permitiéndonos explorar en las causas del resultado obtenido.</w:t>
      </w:r>
    </w:p>
    <w:p w:rsidR="00440E02" w:rsidRPr="00440E02" w:rsidRDefault="00440E02" w:rsidP="00440E02">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 la rotación del activo, se despliega en los distintos componentes:</w:t>
      </w:r>
    </w:p>
    <w:p w:rsidR="00440E02" w:rsidRDefault="00440E02" w:rsidP="00440E02">
      <w:pPr>
        <w:rPr>
          <w:rFonts w:ascii="Times New Roman" w:hAnsi="Times New Roman" w:cs="Times New Roman"/>
        </w:rPr>
      </w:pPr>
      <w:r w:rsidRPr="003E6E33">
        <w:rPr>
          <w:rFonts w:ascii="Times New Roman" w:hAnsi="Times New Roman" w:cs="Times New Roman"/>
          <w:position w:val="-68"/>
        </w:rPr>
        <w:object w:dxaOrig="6800" w:dyaOrig="1100">
          <v:shape id="_x0000_i1032" type="#_x0000_t75" style="width:320.25pt;height:51.75pt" o:ole="">
            <v:imagedata r:id="rId24" o:title=""/>
          </v:shape>
          <o:OLEObject Type="Embed" ProgID="Equation.3" ShapeID="_x0000_i1032" DrawAspect="Content" ObjectID="_1663255486" r:id="rId25"/>
        </w:object>
      </w:r>
    </w:p>
    <w:p w:rsidR="00440E02" w:rsidRDefault="00440E02" w:rsidP="00440E02">
      <w:pPr>
        <w:autoSpaceDE w:val="0"/>
        <w:autoSpaceDN w:val="0"/>
        <w:adjustRightInd w:val="0"/>
        <w:spacing w:after="0" w:line="240" w:lineRule="auto"/>
        <w:rPr>
          <w:rFonts w:ascii="Times New Roman" w:hAnsi="Times New Roman" w:cs="Times New Roman"/>
          <w:sz w:val="24"/>
          <w:szCs w:val="24"/>
        </w:rPr>
      </w:pPr>
    </w:p>
    <w:p w:rsidR="00440E02" w:rsidRPr="00AE26EB" w:rsidRDefault="00440E02" w:rsidP="00440E02">
      <w:pPr>
        <w:autoSpaceDE w:val="0"/>
        <w:autoSpaceDN w:val="0"/>
        <w:adjustRightInd w:val="0"/>
        <w:spacing w:after="0" w:line="360" w:lineRule="auto"/>
        <w:rPr>
          <w:rFonts w:ascii="Times New Roman" w:hAnsi="Times New Roman" w:cs="Times New Roman"/>
          <w:sz w:val="24"/>
          <w:szCs w:val="24"/>
        </w:rPr>
      </w:pPr>
      <w:r w:rsidRPr="00AE26EB">
        <w:rPr>
          <w:rFonts w:ascii="Times New Roman" w:hAnsi="Times New Roman" w:cs="Times New Roman"/>
          <w:sz w:val="24"/>
          <w:szCs w:val="24"/>
        </w:rPr>
        <w:t xml:space="preserve">Donde: </w:t>
      </w:r>
    </w:p>
    <w:p w:rsidR="00440E02" w:rsidRPr="00AE26EB" w:rsidRDefault="00440E02" w:rsidP="00440E02">
      <w:pPr>
        <w:autoSpaceDE w:val="0"/>
        <w:autoSpaceDN w:val="0"/>
        <w:adjustRightInd w:val="0"/>
        <w:spacing w:after="0" w:line="360" w:lineRule="auto"/>
        <w:rPr>
          <w:rFonts w:ascii="Times New Roman" w:hAnsi="Times New Roman" w:cs="Times New Roman"/>
          <w:sz w:val="24"/>
          <w:szCs w:val="24"/>
        </w:rPr>
      </w:pPr>
      <w:proofErr w:type="spellStart"/>
      <w:proofErr w:type="gramStart"/>
      <w:r w:rsidRPr="00AE26EB">
        <w:rPr>
          <w:rFonts w:ascii="Times New Roman" w:hAnsi="Times New Roman" w:cs="Times New Roman"/>
          <w:i/>
          <w:iCs/>
          <w:sz w:val="24"/>
          <w:szCs w:val="24"/>
        </w:rPr>
        <w:lastRenderedPageBreak/>
        <w:t>ac</w:t>
      </w:r>
      <w:proofErr w:type="spellEnd"/>
      <w:proofErr w:type="gramEnd"/>
      <w:r w:rsidRPr="00AE26EB">
        <w:rPr>
          <w:rFonts w:ascii="Times New Roman" w:hAnsi="Times New Roman" w:cs="Times New Roman"/>
          <w:sz w:val="24"/>
          <w:szCs w:val="24"/>
        </w:rPr>
        <w:t>: antigüedad de créditos</w:t>
      </w:r>
    </w:p>
    <w:p w:rsidR="00440E02" w:rsidRPr="00AE26EB" w:rsidRDefault="00440E02" w:rsidP="00440E02">
      <w:pPr>
        <w:autoSpaceDE w:val="0"/>
        <w:autoSpaceDN w:val="0"/>
        <w:adjustRightInd w:val="0"/>
        <w:spacing w:after="0" w:line="360" w:lineRule="auto"/>
        <w:rPr>
          <w:rFonts w:ascii="Times New Roman" w:hAnsi="Times New Roman" w:cs="Times New Roman"/>
          <w:sz w:val="24"/>
          <w:szCs w:val="24"/>
        </w:rPr>
      </w:pPr>
      <w:proofErr w:type="gramStart"/>
      <w:r w:rsidRPr="00AE26EB">
        <w:rPr>
          <w:rFonts w:ascii="Times New Roman" w:hAnsi="Times New Roman" w:cs="Times New Roman"/>
          <w:i/>
          <w:iCs/>
          <w:sz w:val="24"/>
          <w:szCs w:val="24"/>
        </w:rPr>
        <w:t>ci</w:t>
      </w:r>
      <w:proofErr w:type="gramEnd"/>
      <w:r w:rsidRPr="00AE26EB">
        <w:rPr>
          <w:rFonts w:ascii="Times New Roman" w:hAnsi="Times New Roman" w:cs="Times New Roman"/>
          <w:sz w:val="24"/>
          <w:szCs w:val="24"/>
        </w:rPr>
        <w:t>: coeficiente de I.V.A.</w:t>
      </w:r>
    </w:p>
    <w:p w:rsidR="00440E02" w:rsidRPr="00AE26EB" w:rsidRDefault="00440E02" w:rsidP="00440E02">
      <w:pPr>
        <w:autoSpaceDE w:val="0"/>
        <w:autoSpaceDN w:val="0"/>
        <w:adjustRightInd w:val="0"/>
        <w:spacing w:after="0" w:line="360" w:lineRule="auto"/>
        <w:rPr>
          <w:rFonts w:ascii="Times New Roman" w:hAnsi="Times New Roman" w:cs="Times New Roman"/>
          <w:sz w:val="24"/>
          <w:szCs w:val="24"/>
        </w:rPr>
      </w:pPr>
      <w:r w:rsidRPr="00AE26EB">
        <w:rPr>
          <w:rFonts w:ascii="Times New Roman" w:hAnsi="Times New Roman" w:cs="Times New Roman"/>
          <w:i/>
          <w:iCs/>
          <w:sz w:val="24"/>
          <w:szCs w:val="24"/>
        </w:rPr>
        <w:t>P</w:t>
      </w:r>
      <w:r w:rsidRPr="00AE26EB">
        <w:rPr>
          <w:rFonts w:ascii="Times New Roman" w:hAnsi="Times New Roman" w:cs="Times New Roman"/>
          <w:sz w:val="24"/>
          <w:szCs w:val="24"/>
        </w:rPr>
        <w:t>: período (ej.: 365 días, 12 meses, etc.)</w:t>
      </w:r>
    </w:p>
    <w:p w:rsidR="00440E02" w:rsidRPr="00AE26EB" w:rsidRDefault="00440E02" w:rsidP="00440E02">
      <w:pPr>
        <w:autoSpaceDE w:val="0"/>
        <w:autoSpaceDN w:val="0"/>
        <w:adjustRightInd w:val="0"/>
        <w:spacing w:after="0" w:line="360" w:lineRule="auto"/>
        <w:rPr>
          <w:rFonts w:ascii="Times New Roman" w:hAnsi="Times New Roman" w:cs="Times New Roman"/>
          <w:sz w:val="24"/>
          <w:szCs w:val="24"/>
        </w:rPr>
      </w:pPr>
      <w:proofErr w:type="spellStart"/>
      <w:proofErr w:type="gramStart"/>
      <w:r w:rsidRPr="00AE26EB">
        <w:rPr>
          <w:rFonts w:ascii="Times New Roman" w:hAnsi="Times New Roman" w:cs="Times New Roman"/>
          <w:i/>
          <w:iCs/>
          <w:sz w:val="24"/>
          <w:szCs w:val="24"/>
        </w:rPr>
        <w:t>cr</w:t>
      </w:r>
      <w:proofErr w:type="spellEnd"/>
      <w:proofErr w:type="gramEnd"/>
      <w:r w:rsidRPr="00AE26EB">
        <w:rPr>
          <w:rFonts w:ascii="Times New Roman" w:hAnsi="Times New Roman" w:cs="Times New Roman"/>
          <w:sz w:val="24"/>
          <w:szCs w:val="24"/>
        </w:rPr>
        <w:t>: saldo de créditos por ventas</w:t>
      </w:r>
    </w:p>
    <w:p w:rsidR="00440E02" w:rsidRPr="00AE26EB" w:rsidRDefault="00440E02" w:rsidP="00440E02">
      <w:pPr>
        <w:autoSpaceDE w:val="0"/>
        <w:autoSpaceDN w:val="0"/>
        <w:adjustRightInd w:val="0"/>
        <w:spacing w:after="0" w:line="360" w:lineRule="auto"/>
        <w:rPr>
          <w:rFonts w:ascii="Times New Roman" w:hAnsi="Times New Roman" w:cs="Times New Roman"/>
          <w:sz w:val="24"/>
          <w:szCs w:val="24"/>
        </w:rPr>
      </w:pPr>
      <w:proofErr w:type="gramStart"/>
      <w:r w:rsidRPr="00AE26EB">
        <w:rPr>
          <w:rFonts w:ascii="Times New Roman" w:hAnsi="Times New Roman" w:cs="Times New Roman"/>
          <w:i/>
          <w:iCs/>
          <w:sz w:val="24"/>
          <w:szCs w:val="24"/>
        </w:rPr>
        <w:t>as</w:t>
      </w:r>
      <w:proofErr w:type="gramEnd"/>
      <w:r w:rsidRPr="00AE26EB">
        <w:rPr>
          <w:rFonts w:ascii="Times New Roman" w:hAnsi="Times New Roman" w:cs="Times New Roman"/>
          <w:sz w:val="24"/>
          <w:szCs w:val="24"/>
        </w:rPr>
        <w:t>: antigüedad de stock</w:t>
      </w:r>
    </w:p>
    <w:p w:rsidR="00440E02" w:rsidRPr="00AE26EB" w:rsidRDefault="00440E02" w:rsidP="00440E02">
      <w:pPr>
        <w:autoSpaceDE w:val="0"/>
        <w:autoSpaceDN w:val="0"/>
        <w:adjustRightInd w:val="0"/>
        <w:spacing w:after="0" w:line="360" w:lineRule="auto"/>
        <w:rPr>
          <w:rFonts w:ascii="Times New Roman" w:hAnsi="Times New Roman" w:cs="Times New Roman"/>
          <w:sz w:val="24"/>
          <w:szCs w:val="24"/>
        </w:rPr>
      </w:pPr>
      <w:proofErr w:type="gramStart"/>
      <w:r w:rsidRPr="00AE26EB">
        <w:rPr>
          <w:rFonts w:ascii="Times New Roman" w:hAnsi="Times New Roman" w:cs="Times New Roman"/>
          <w:i/>
          <w:iCs/>
          <w:sz w:val="24"/>
          <w:szCs w:val="24"/>
        </w:rPr>
        <w:t>c</w:t>
      </w:r>
      <w:proofErr w:type="gramEnd"/>
      <w:r w:rsidRPr="00AE26EB">
        <w:rPr>
          <w:rFonts w:ascii="Times New Roman" w:hAnsi="Times New Roman" w:cs="Times New Roman"/>
          <w:sz w:val="24"/>
          <w:szCs w:val="24"/>
        </w:rPr>
        <w:t>: efectivo</w:t>
      </w:r>
    </w:p>
    <w:p w:rsidR="00440E02" w:rsidRDefault="00440E02" w:rsidP="00440E02">
      <w:pPr>
        <w:autoSpaceDE w:val="0"/>
        <w:autoSpaceDN w:val="0"/>
        <w:adjustRightInd w:val="0"/>
        <w:spacing w:after="0" w:line="360" w:lineRule="auto"/>
        <w:rPr>
          <w:rFonts w:ascii="Times New Roman" w:hAnsi="Times New Roman" w:cs="Times New Roman"/>
          <w:sz w:val="24"/>
          <w:szCs w:val="24"/>
        </w:rPr>
      </w:pPr>
      <w:proofErr w:type="gramStart"/>
      <w:r w:rsidRPr="00AE26EB">
        <w:rPr>
          <w:rFonts w:ascii="Times New Roman" w:hAnsi="Times New Roman" w:cs="Times New Roman"/>
          <w:i/>
          <w:iCs/>
          <w:sz w:val="24"/>
          <w:szCs w:val="24"/>
        </w:rPr>
        <w:t>j</w:t>
      </w:r>
      <w:r w:rsidRPr="00AE26EB">
        <w:rPr>
          <w:rFonts w:ascii="Times New Roman" w:hAnsi="Times New Roman" w:cs="Times New Roman"/>
          <w:sz w:val="24"/>
          <w:szCs w:val="24"/>
        </w:rPr>
        <w:t>–1</w:t>
      </w:r>
      <w:proofErr w:type="gramEnd"/>
      <w:r w:rsidRPr="00AE26EB">
        <w:rPr>
          <w:rFonts w:ascii="Times New Roman" w:hAnsi="Times New Roman" w:cs="Times New Roman"/>
          <w:sz w:val="24"/>
          <w:szCs w:val="24"/>
        </w:rPr>
        <w:t>: p</w:t>
      </w:r>
      <w:r>
        <w:rPr>
          <w:rFonts w:ascii="Times New Roman" w:hAnsi="Times New Roman" w:cs="Times New Roman"/>
          <w:sz w:val="24"/>
          <w:szCs w:val="24"/>
        </w:rPr>
        <w:t>eríodo anterior a la proyección</w:t>
      </w:r>
    </w:p>
    <w:p w:rsidR="00440E02" w:rsidRPr="00AE26EB" w:rsidRDefault="00440E02" w:rsidP="00440E02">
      <w:pPr>
        <w:autoSpaceDE w:val="0"/>
        <w:autoSpaceDN w:val="0"/>
        <w:adjustRightInd w:val="0"/>
        <w:spacing w:after="0" w:line="360" w:lineRule="auto"/>
        <w:rPr>
          <w:rFonts w:ascii="Times New Roman" w:hAnsi="Times New Roman" w:cs="Times New Roman"/>
          <w:sz w:val="24"/>
          <w:szCs w:val="24"/>
        </w:rPr>
      </w:pPr>
      <w:r w:rsidRPr="00AE26EB">
        <w:rPr>
          <w:rFonts w:ascii="Times New Roman" w:hAnsi="Times New Roman" w:cs="Times New Roman"/>
          <w:position w:val="-6"/>
          <w:sz w:val="24"/>
          <w:szCs w:val="24"/>
        </w:rPr>
        <w:object w:dxaOrig="520" w:dyaOrig="220">
          <v:shape id="_x0000_i1033" type="#_x0000_t75" style="width:26.25pt;height:11.25pt" o:ole="">
            <v:imagedata r:id="rId26" o:title=""/>
          </v:shape>
          <o:OLEObject Type="Embed" ProgID="Equation.3" ShapeID="_x0000_i1033" DrawAspect="Content" ObjectID="_1663255487" r:id="rId27"/>
        </w:object>
      </w:r>
      <w:r w:rsidRPr="00AE26EB">
        <w:rPr>
          <w:rFonts w:ascii="Times New Roman" w:hAnsi="Times New Roman" w:cs="Times New Roman"/>
          <w:sz w:val="24"/>
          <w:szCs w:val="24"/>
        </w:rPr>
        <w:t xml:space="preserve"> </w:t>
      </w:r>
      <w:proofErr w:type="gramStart"/>
      <w:r w:rsidRPr="00AE26EB">
        <w:rPr>
          <w:rFonts w:ascii="Times New Roman" w:hAnsi="Times New Roman" w:cs="Times New Roman"/>
          <w:sz w:val="24"/>
          <w:szCs w:val="24"/>
        </w:rPr>
        <w:t>activo</w:t>
      </w:r>
      <w:proofErr w:type="gramEnd"/>
      <w:r w:rsidRPr="00AE26EB">
        <w:rPr>
          <w:rFonts w:ascii="Times New Roman" w:hAnsi="Times New Roman" w:cs="Times New Roman"/>
          <w:sz w:val="24"/>
          <w:szCs w:val="24"/>
        </w:rPr>
        <w:t xml:space="preserve"> no corriente</w:t>
      </w:r>
    </w:p>
    <w:p w:rsidR="00BB7949" w:rsidRDefault="00BB7949" w:rsidP="00440E02">
      <w:pPr>
        <w:pStyle w:val="Textoindependiente2"/>
        <w:spacing w:line="360" w:lineRule="auto"/>
        <w:rPr>
          <w:rFonts w:ascii="Times New Roman" w:hAnsi="Times New Roman" w:cs="Times New Roman"/>
          <w:sz w:val="24"/>
          <w:szCs w:val="24"/>
        </w:rPr>
      </w:pPr>
    </w:p>
    <w:p w:rsidR="00440E02" w:rsidRPr="00C55BD0" w:rsidRDefault="00440E02" w:rsidP="00440E02">
      <w:pPr>
        <w:pStyle w:val="Textoindependiente2"/>
        <w:spacing w:line="360" w:lineRule="auto"/>
        <w:rPr>
          <w:rFonts w:ascii="Times New Roman" w:hAnsi="Times New Roman" w:cs="Times New Roman"/>
          <w:sz w:val="24"/>
          <w:szCs w:val="24"/>
        </w:rPr>
      </w:pPr>
      <w:r w:rsidRPr="00C55BD0">
        <w:rPr>
          <w:rFonts w:ascii="Times New Roman" w:hAnsi="Times New Roman" w:cs="Times New Roman"/>
          <w:sz w:val="24"/>
          <w:szCs w:val="24"/>
        </w:rPr>
        <w:t xml:space="preserve">De esta manera, podemos establecer el importe del nuevo activo como consecuencia de los cambios operados en las políticas e identificar las causas que provocaron la rotación del activo, analizando el impacto de las variaciones en el ciclo operativo bruto, el precio de venta, las cantidades vendidas y en los costos.   </w:t>
      </w:r>
    </w:p>
    <w:p w:rsidR="009A5044" w:rsidRPr="004618E7" w:rsidRDefault="009A5044"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Respecto</w:t>
      </w:r>
      <w:r w:rsidRPr="004618E7">
        <w:rPr>
          <w:rFonts w:ascii="Times New Roman" w:hAnsi="Times New Roman" w:cs="Times New Roman"/>
          <w:b/>
          <w:sz w:val="24"/>
          <w:szCs w:val="24"/>
        </w:rPr>
        <w:t xml:space="preserve"> </w:t>
      </w:r>
      <w:r w:rsidRPr="004618E7">
        <w:rPr>
          <w:rFonts w:ascii="Times New Roman" w:hAnsi="Times New Roman" w:cs="Times New Roman"/>
          <w:sz w:val="24"/>
          <w:szCs w:val="24"/>
        </w:rPr>
        <w:t xml:space="preserve">a los determinantes del ROE, </w:t>
      </w:r>
      <w:proofErr w:type="spellStart"/>
      <w:r w:rsidRPr="004618E7">
        <w:rPr>
          <w:rFonts w:ascii="Times New Roman" w:hAnsi="Times New Roman" w:cs="Times New Roman"/>
          <w:sz w:val="24"/>
          <w:szCs w:val="24"/>
        </w:rPr>
        <w:t>Higgins</w:t>
      </w:r>
      <w:proofErr w:type="spellEnd"/>
      <w:r w:rsidRPr="004618E7">
        <w:rPr>
          <w:rFonts w:ascii="Times New Roman" w:hAnsi="Times New Roman" w:cs="Times New Roman"/>
          <w:sz w:val="24"/>
          <w:szCs w:val="24"/>
        </w:rPr>
        <w:t xml:space="preserve"> (2004, p. 28) señala que dicho ratio puede observarse a través de sus 3 componentes principales, que son los siguientes:</w:t>
      </w:r>
    </w:p>
    <w:p w:rsidR="00912C28" w:rsidRPr="004618E7" w:rsidRDefault="009A5044" w:rsidP="00E63051">
      <w:pPr>
        <w:spacing w:line="360" w:lineRule="auto"/>
        <w:jc w:val="both"/>
        <w:rPr>
          <w:rFonts w:ascii="Times New Roman" w:hAnsi="Times New Roman" w:cs="Times New Roman"/>
          <w:sz w:val="24"/>
          <w:szCs w:val="24"/>
        </w:rPr>
      </w:pPr>
      <m:oMath>
        <m:r>
          <w:rPr>
            <w:rFonts w:ascii="Cambria Math" w:hAnsi="Cambria Math" w:cs="Times New Roman"/>
            <w:sz w:val="24"/>
            <w:szCs w:val="24"/>
          </w:rPr>
          <m:t>ROE=</m:t>
        </m:r>
        <m:f>
          <m:fPr>
            <m:ctrlPr>
              <w:rPr>
                <w:rFonts w:ascii="Cambria Math" w:hAnsi="Cambria Math" w:cs="Times New Roman"/>
                <w:i/>
                <w:sz w:val="24"/>
                <w:szCs w:val="24"/>
              </w:rPr>
            </m:ctrlPr>
          </m:fPr>
          <m:num>
            <m:r>
              <w:rPr>
                <w:rFonts w:ascii="Cambria Math" w:hAnsi="Cambria Math" w:cs="Times New Roman"/>
                <w:sz w:val="24"/>
                <w:szCs w:val="24"/>
              </w:rPr>
              <m:t>Beneficio neto</m:t>
            </m:r>
          </m:num>
          <m:den>
            <m:r>
              <w:rPr>
                <w:rFonts w:ascii="Cambria Math" w:hAnsi="Cambria Math" w:cs="Times New Roman"/>
                <w:sz w:val="24"/>
                <w:szCs w:val="24"/>
              </w:rPr>
              <m:t>Fondos propios</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Beneficio neto</m:t>
            </m:r>
          </m:num>
          <m:den>
            <m:r>
              <w:rPr>
                <w:rFonts w:ascii="Cambria Math" w:hAnsi="Cambria Math" w:cs="Times New Roman"/>
                <w:sz w:val="24"/>
                <w:szCs w:val="24"/>
              </w:rPr>
              <m:t>Ventas</m:t>
            </m:r>
          </m:den>
        </m:f>
      </m:oMath>
      <w:r w:rsidRPr="004618E7">
        <w:rPr>
          <w:rFonts w:ascii="Times New Roman" w:hAnsi="Times New Roman" w:cs="Times New Roman"/>
          <w:sz w:val="24"/>
          <w:szCs w:val="24"/>
        </w:rPr>
        <w:t xml:space="preserve"> </w:t>
      </w: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Ventas</m:t>
            </m:r>
          </m:num>
          <m:den>
            <m:r>
              <w:rPr>
                <w:rFonts w:ascii="Cambria Math" w:hAnsi="Cambria Math" w:cs="Times New Roman"/>
                <w:sz w:val="24"/>
                <w:szCs w:val="24"/>
              </w:rPr>
              <m:t>Activos</m:t>
            </m:r>
          </m:den>
        </m:f>
        <m:r>
          <w:rPr>
            <w:rFonts w:ascii="Cambria Math" w:hAnsi="Cambria Math" w:cs="Times New Roman"/>
            <w:sz w:val="24"/>
            <w:szCs w:val="24"/>
          </w:rPr>
          <m:t xml:space="preserve"> x</m:t>
        </m:r>
        <m:f>
          <m:fPr>
            <m:ctrlPr>
              <w:rPr>
                <w:rFonts w:ascii="Cambria Math" w:hAnsi="Cambria Math" w:cs="Times New Roman"/>
                <w:i/>
                <w:sz w:val="24"/>
                <w:szCs w:val="24"/>
              </w:rPr>
            </m:ctrlPr>
          </m:fPr>
          <m:num>
            <m:r>
              <w:rPr>
                <w:rFonts w:ascii="Cambria Math" w:hAnsi="Cambria Math" w:cs="Times New Roman"/>
                <w:sz w:val="24"/>
                <w:szCs w:val="24"/>
              </w:rPr>
              <m:t>Activos</m:t>
            </m:r>
          </m:num>
          <m:den>
            <m:r>
              <w:rPr>
                <w:rFonts w:ascii="Cambria Math" w:hAnsi="Cambria Math" w:cs="Times New Roman"/>
                <w:sz w:val="24"/>
                <w:szCs w:val="24"/>
              </w:rPr>
              <m:t>Fondos propios</m:t>
            </m:r>
          </m:den>
        </m:f>
      </m:oMath>
    </w:p>
    <w:p w:rsidR="002D2F63" w:rsidRPr="004618E7" w:rsidRDefault="009A5044"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 xml:space="preserve">Señalando a continuación el autor mencionado que: </w:t>
      </w:r>
    </w:p>
    <w:p w:rsidR="00912C28" w:rsidRPr="00157E10" w:rsidRDefault="009A5044" w:rsidP="00E63051">
      <w:pPr>
        <w:spacing w:line="360" w:lineRule="auto"/>
        <w:ind w:left="567"/>
        <w:jc w:val="both"/>
        <w:rPr>
          <w:rFonts w:ascii="Times New Roman" w:hAnsi="Times New Roman" w:cs="Times New Roman"/>
          <w:sz w:val="20"/>
          <w:szCs w:val="20"/>
        </w:rPr>
      </w:pPr>
      <w:r w:rsidRPr="00157E10">
        <w:rPr>
          <w:rFonts w:ascii="Times New Roman" w:hAnsi="Times New Roman" w:cs="Times New Roman"/>
          <w:sz w:val="20"/>
          <w:szCs w:val="20"/>
        </w:rPr>
        <w:t>el directivo solo dispone de 3 palancas para controlar el ROE: (1) el beneficio extraído de cada dólar de ventas, o el margen de beneficios, (2) las ventas generadas por cada dólar de activo</w:t>
      </w:r>
      <w:r w:rsidR="002D2F63" w:rsidRPr="00157E10">
        <w:rPr>
          <w:rFonts w:ascii="Times New Roman" w:hAnsi="Times New Roman" w:cs="Times New Roman"/>
          <w:sz w:val="20"/>
          <w:szCs w:val="20"/>
        </w:rPr>
        <w:t>s empleados, o la rotación del activo, y (3): la cantidad de fondos propios utilizados para financiar el activo, o el apalancamiento financiero</w:t>
      </w:r>
    </w:p>
    <w:p w:rsidR="002D2F63" w:rsidRPr="004618E7" w:rsidRDefault="002D2F63"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Por lo tanto, en una situación ideal se podría afirmar que la m</w:t>
      </w:r>
      <w:r w:rsidR="0058250F">
        <w:rPr>
          <w:rFonts w:ascii="Times New Roman" w:hAnsi="Times New Roman" w:cs="Times New Roman"/>
          <w:sz w:val="24"/>
          <w:szCs w:val="24"/>
        </w:rPr>
        <w:t>ejor</w:t>
      </w:r>
      <w:r w:rsidRPr="004618E7">
        <w:rPr>
          <w:rFonts w:ascii="Times New Roman" w:hAnsi="Times New Roman" w:cs="Times New Roman"/>
          <w:sz w:val="24"/>
          <w:szCs w:val="24"/>
        </w:rPr>
        <w:t xml:space="preserve"> rentabilidad de los accionistas se daría con el mayor resultado operativo posible, con el mínimo de activos utilizables, financiados estos con la </w:t>
      </w:r>
      <w:r w:rsidR="0058250F">
        <w:rPr>
          <w:rFonts w:ascii="Times New Roman" w:hAnsi="Times New Roman" w:cs="Times New Roman"/>
          <w:sz w:val="24"/>
          <w:szCs w:val="24"/>
        </w:rPr>
        <w:t>máxima</w:t>
      </w:r>
      <w:r w:rsidRPr="004618E7">
        <w:rPr>
          <w:rFonts w:ascii="Times New Roman" w:hAnsi="Times New Roman" w:cs="Times New Roman"/>
          <w:sz w:val="24"/>
          <w:szCs w:val="24"/>
        </w:rPr>
        <w:t xml:space="preserve"> cantidad de fondos de terceros</w:t>
      </w:r>
      <w:r w:rsidR="00210077" w:rsidRPr="004618E7">
        <w:rPr>
          <w:rFonts w:ascii="Times New Roman" w:hAnsi="Times New Roman" w:cs="Times New Roman"/>
          <w:sz w:val="24"/>
          <w:szCs w:val="24"/>
        </w:rPr>
        <w:t>,</w:t>
      </w:r>
      <w:r w:rsidRPr="004618E7">
        <w:rPr>
          <w:rFonts w:ascii="Times New Roman" w:hAnsi="Times New Roman" w:cs="Times New Roman"/>
          <w:sz w:val="24"/>
          <w:szCs w:val="24"/>
        </w:rPr>
        <w:t xml:space="preserve"> con un costo financiero lo más bajo posible en relación a la rentabilidad de la inversión.</w:t>
      </w:r>
    </w:p>
    <w:p w:rsidR="004045F7" w:rsidRPr="004618E7" w:rsidRDefault="004045F7"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 xml:space="preserve">En nuestra opinión, podríamos efectuar un desglose adicional a la fórmula presentada por </w:t>
      </w:r>
      <w:proofErr w:type="spellStart"/>
      <w:r w:rsidRPr="004618E7">
        <w:rPr>
          <w:rFonts w:ascii="Times New Roman" w:hAnsi="Times New Roman" w:cs="Times New Roman"/>
          <w:sz w:val="24"/>
          <w:szCs w:val="24"/>
        </w:rPr>
        <w:t>Higgins</w:t>
      </w:r>
      <w:proofErr w:type="spellEnd"/>
      <w:r w:rsidRPr="004618E7">
        <w:rPr>
          <w:rFonts w:ascii="Times New Roman" w:hAnsi="Times New Roman" w:cs="Times New Roman"/>
          <w:sz w:val="24"/>
          <w:szCs w:val="24"/>
        </w:rPr>
        <w:t>, de la siguiente manera:</w:t>
      </w:r>
    </w:p>
    <w:p w:rsidR="004045F7" w:rsidRPr="004618E7" w:rsidRDefault="004045F7" w:rsidP="00E63051">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ROE=</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Beneficio operativo</m:t>
                  </m:r>
                </m:num>
                <m:den>
                  <m:r>
                    <w:rPr>
                      <w:rFonts w:ascii="Cambria Math" w:hAnsi="Cambria Math" w:cs="Times New Roman"/>
                      <w:sz w:val="24"/>
                      <w:szCs w:val="24"/>
                    </w:rPr>
                    <m:t>Ventas</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Costos financieros</m:t>
                  </m:r>
                </m:num>
                <m:den>
                  <m:r>
                    <w:rPr>
                      <w:rFonts w:ascii="Cambria Math" w:hAnsi="Cambria Math" w:cs="Times New Roman"/>
                      <w:sz w:val="24"/>
                      <w:szCs w:val="24"/>
                    </w:rPr>
                    <m:t>Ventas</m:t>
                  </m:r>
                </m:den>
              </m:f>
            </m:e>
          </m:d>
          <m:f>
            <m:fPr>
              <m:ctrlPr>
                <w:rPr>
                  <w:rFonts w:ascii="Cambria Math" w:hAnsi="Cambria Math" w:cs="Times New Roman"/>
                  <w:i/>
                  <w:sz w:val="24"/>
                  <w:szCs w:val="24"/>
                </w:rPr>
              </m:ctrlPr>
            </m:fPr>
            <m:num>
              <m:r>
                <w:rPr>
                  <w:rFonts w:ascii="Cambria Math" w:hAnsi="Cambria Math" w:cs="Times New Roman"/>
                  <w:sz w:val="24"/>
                  <w:szCs w:val="24"/>
                </w:rPr>
                <m:t>Ventas</m:t>
              </m:r>
            </m:num>
            <m:den>
              <m:r>
                <w:rPr>
                  <w:rFonts w:ascii="Cambria Math" w:hAnsi="Cambria Math" w:cs="Times New Roman"/>
                  <w:sz w:val="24"/>
                  <w:szCs w:val="24"/>
                </w:rPr>
                <m:t>Activos</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Activos</m:t>
              </m:r>
            </m:num>
            <m:den>
              <m:r>
                <w:rPr>
                  <w:rFonts w:ascii="Cambria Math" w:hAnsi="Cambria Math" w:cs="Times New Roman"/>
                  <w:sz w:val="24"/>
                  <w:szCs w:val="24"/>
                </w:rPr>
                <m:t>Fondos propios</m:t>
              </m:r>
            </m:den>
          </m:f>
        </m:oMath>
      </m:oMathPara>
    </w:p>
    <w:p w:rsidR="002D2F63" w:rsidRPr="004618E7" w:rsidRDefault="002D2F63" w:rsidP="00E63051">
      <w:pPr>
        <w:spacing w:line="360" w:lineRule="auto"/>
        <w:jc w:val="both"/>
        <w:rPr>
          <w:rFonts w:ascii="Times New Roman" w:hAnsi="Times New Roman" w:cs="Times New Roman"/>
          <w:b/>
          <w:sz w:val="24"/>
          <w:szCs w:val="24"/>
        </w:rPr>
      </w:pPr>
    </w:p>
    <w:p w:rsidR="002D2F63" w:rsidRDefault="004045F7"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lastRenderedPageBreak/>
        <w:t xml:space="preserve">En la fórmula arriba presentada, se llega al mismo resultado anterior, pero permite </w:t>
      </w:r>
      <w:r w:rsidR="00311A78">
        <w:rPr>
          <w:rFonts w:ascii="Times New Roman" w:hAnsi="Times New Roman" w:cs="Times New Roman"/>
          <w:sz w:val="24"/>
          <w:szCs w:val="24"/>
        </w:rPr>
        <w:t>separar</w:t>
      </w:r>
      <w:r w:rsidRPr="004618E7">
        <w:rPr>
          <w:rFonts w:ascii="Times New Roman" w:hAnsi="Times New Roman" w:cs="Times New Roman"/>
          <w:sz w:val="24"/>
          <w:szCs w:val="24"/>
        </w:rPr>
        <w:t xml:space="preserve"> el impacto de los intereses</w:t>
      </w:r>
      <w:r w:rsidR="00311A78">
        <w:rPr>
          <w:rFonts w:ascii="Times New Roman" w:hAnsi="Times New Roman" w:cs="Times New Roman"/>
          <w:sz w:val="24"/>
          <w:szCs w:val="24"/>
        </w:rPr>
        <w:t>. Situación esta última que es muy importante controlar en países con fu</w:t>
      </w:r>
      <w:r w:rsidR="00AF0953">
        <w:rPr>
          <w:rFonts w:ascii="Times New Roman" w:hAnsi="Times New Roman" w:cs="Times New Roman"/>
          <w:sz w:val="24"/>
          <w:szCs w:val="24"/>
        </w:rPr>
        <w:t xml:space="preserve">ertes desajustes macroeconómicos, donde la tasa de interés en determinados momentos puede alcanzar niveles muy elevados, lo que limita a las empresas financiarse con apalancamiento, </w:t>
      </w:r>
      <w:r w:rsidR="009406A2">
        <w:rPr>
          <w:rFonts w:ascii="Times New Roman" w:hAnsi="Times New Roman" w:cs="Times New Roman"/>
          <w:sz w:val="24"/>
          <w:szCs w:val="24"/>
        </w:rPr>
        <w:t>debiendo optar por</w:t>
      </w:r>
      <w:r w:rsidR="00AF0953">
        <w:rPr>
          <w:rFonts w:ascii="Times New Roman" w:hAnsi="Times New Roman" w:cs="Times New Roman"/>
          <w:sz w:val="24"/>
          <w:szCs w:val="24"/>
        </w:rPr>
        <w:t xml:space="preserve"> la emisión de acciones (o al aporte de los socios en entidades no cotizantes)</w:t>
      </w:r>
      <w:r w:rsidR="009406A2">
        <w:rPr>
          <w:rFonts w:ascii="Times New Roman" w:hAnsi="Times New Roman" w:cs="Times New Roman"/>
          <w:sz w:val="24"/>
          <w:szCs w:val="24"/>
        </w:rPr>
        <w:t xml:space="preserve">, </w:t>
      </w:r>
      <w:r w:rsidR="008C0756">
        <w:rPr>
          <w:rFonts w:ascii="Times New Roman" w:hAnsi="Times New Roman" w:cs="Times New Roman"/>
          <w:sz w:val="24"/>
          <w:szCs w:val="24"/>
        </w:rPr>
        <w:t xml:space="preserve">siendo </w:t>
      </w:r>
      <w:r w:rsidR="00BB7949">
        <w:rPr>
          <w:rFonts w:ascii="Times New Roman" w:hAnsi="Times New Roman" w:cs="Times New Roman"/>
          <w:sz w:val="24"/>
          <w:szCs w:val="24"/>
        </w:rPr>
        <w:t xml:space="preserve">que </w:t>
      </w:r>
      <w:r w:rsidR="008C0756">
        <w:rPr>
          <w:rFonts w:ascii="Times New Roman" w:hAnsi="Times New Roman" w:cs="Times New Roman"/>
          <w:sz w:val="24"/>
          <w:szCs w:val="24"/>
        </w:rPr>
        <w:t xml:space="preserve">esto último no siempre </w:t>
      </w:r>
      <w:r w:rsidR="00BB7949">
        <w:rPr>
          <w:rFonts w:ascii="Times New Roman" w:hAnsi="Times New Roman" w:cs="Times New Roman"/>
          <w:sz w:val="24"/>
          <w:szCs w:val="24"/>
        </w:rPr>
        <w:t xml:space="preserve">es </w:t>
      </w:r>
      <w:r w:rsidR="008C0756">
        <w:rPr>
          <w:rFonts w:ascii="Times New Roman" w:hAnsi="Times New Roman" w:cs="Times New Roman"/>
          <w:sz w:val="24"/>
          <w:szCs w:val="24"/>
        </w:rPr>
        <w:t>factible cuando</w:t>
      </w:r>
      <w:r w:rsidR="009406A2">
        <w:rPr>
          <w:rFonts w:ascii="Times New Roman" w:hAnsi="Times New Roman" w:cs="Times New Roman"/>
          <w:sz w:val="24"/>
          <w:szCs w:val="24"/>
        </w:rPr>
        <w:t xml:space="preserve"> las expectativas de rentabilidad son bajas.</w:t>
      </w:r>
    </w:p>
    <w:p w:rsidR="00C95FC1" w:rsidRDefault="0058250F"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En</w:t>
      </w:r>
      <w:r w:rsidR="00C95FC1">
        <w:rPr>
          <w:rFonts w:ascii="Times New Roman" w:hAnsi="Times New Roman" w:cs="Times New Roman"/>
          <w:sz w:val="24"/>
          <w:szCs w:val="24"/>
        </w:rPr>
        <w:t xml:space="preserve"> la comparación del ROE con el ROA se verifica el efecto del </w:t>
      </w:r>
      <w:proofErr w:type="spellStart"/>
      <w:r w:rsidR="00C95FC1" w:rsidRPr="00C95FC1">
        <w:rPr>
          <w:rFonts w:ascii="Times New Roman" w:hAnsi="Times New Roman" w:cs="Times New Roman"/>
          <w:i/>
          <w:sz w:val="24"/>
          <w:szCs w:val="24"/>
        </w:rPr>
        <w:t>leverage</w:t>
      </w:r>
      <w:proofErr w:type="spellEnd"/>
      <w:r w:rsidR="00C95FC1">
        <w:rPr>
          <w:rFonts w:ascii="Times New Roman" w:hAnsi="Times New Roman" w:cs="Times New Roman"/>
          <w:sz w:val="24"/>
          <w:szCs w:val="24"/>
        </w:rPr>
        <w:t xml:space="preserve"> o apalancamiento financiero, dado que cuando ROE&gt;ROA, está indicando que la utilización de capital ajeno ha</w:t>
      </w:r>
      <w:r>
        <w:rPr>
          <w:rFonts w:ascii="Times New Roman" w:hAnsi="Times New Roman" w:cs="Times New Roman"/>
          <w:sz w:val="24"/>
          <w:szCs w:val="24"/>
        </w:rPr>
        <w:t xml:space="preserve"> </w:t>
      </w:r>
      <w:r w:rsidR="00C95FC1">
        <w:rPr>
          <w:rFonts w:ascii="Times New Roman" w:hAnsi="Times New Roman" w:cs="Times New Roman"/>
          <w:sz w:val="24"/>
          <w:szCs w:val="24"/>
        </w:rPr>
        <w:t xml:space="preserve">tenido un costo inferior al ROA, lo cual contribuyó a elevar el ROE. </w:t>
      </w:r>
    </w:p>
    <w:p w:rsidR="00973ACF" w:rsidRDefault="005E48E7" w:rsidP="00E6305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Ostengo</w:t>
      </w:r>
      <w:proofErr w:type="spellEnd"/>
      <w:r>
        <w:rPr>
          <w:rFonts w:ascii="Times New Roman" w:hAnsi="Times New Roman" w:cs="Times New Roman"/>
          <w:sz w:val="24"/>
          <w:szCs w:val="24"/>
        </w:rPr>
        <w:t xml:space="preserve"> (2006, pp. 380-384</w:t>
      </w:r>
      <w:r w:rsidR="00973ACF">
        <w:rPr>
          <w:rFonts w:ascii="Times New Roman" w:hAnsi="Times New Roman" w:cs="Times New Roman"/>
          <w:sz w:val="24"/>
          <w:szCs w:val="24"/>
        </w:rPr>
        <w:t>) señala otro camino para ver</w:t>
      </w:r>
      <w:r w:rsidR="0058250F">
        <w:rPr>
          <w:rFonts w:ascii="Times New Roman" w:hAnsi="Times New Roman" w:cs="Times New Roman"/>
          <w:sz w:val="24"/>
          <w:szCs w:val="24"/>
        </w:rPr>
        <w:t>ificar el efecto apalancamiento. E</w:t>
      </w:r>
      <w:r w:rsidR="00973ACF">
        <w:rPr>
          <w:rFonts w:ascii="Times New Roman" w:hAnsi="Times New Roman" w:cs="Times New Roman"/>
          <w:sz w:val="24"/>
          <w:szCs w:val="24"/>
        </w:rPr>
        <w:t xml:space="preserve">n realidad lo que busca es determinar el ROE a través del </w:t>
      </w:r>
      <w:proofErr w:type="spellStart"/>
      <w:r w:rsidR="00973ACF" w:rsidRPr="000144B1">
        <w:rPr>
          <w:rFonts w:ascii="Times New Roman" w:hAnsi="Times New Roman" w:cs="Times New Roman"/>
          <w:i/>
          <w:sz w:val="24"/>
          <w:szCs w:val="24"/>
        </w:rPr>
        <w:t>leverage</w:t>
      </w:r>
      <w:proofErr w:type="spellEnd"/>
      <w:r w:rsidR="00973ACF">
        <w:rPr>
          <w:rFonts w:ascii="Times New Roman" w:hAnsi="Times New Roman" w:cs="Times New Roman"/>
          <w:sz w:val="24"/>
          <w:szCs w:val="24"/>
        </w:rPr>
        <w:t xml:space="preserve">, </w:t>
      </w:r>
      <w:r w:rsidR="0058250F">
        <w:rPr>
          <w:rFonts w:ascii="Times New Roman" w:hAnsi="Times New Roman" w:cs="Times New Roman"/>
          <w:sz w:val="24"/>
          <w:szCs w:val="24"/>
        </w:rPr>
        <w:t>en</w:t>
      </w:r>
      <w:r w:rsidR="00973ACF">
        <w:rPr>
          <w:rFonts w:ascii="Times New Roman" w:hAnsi="Times New Roman" w:cs="Times New Roman"/>
          <w:sz w:val="24"/>
          <w:szCs w:val="24"/>
        </w:rPr>
        <w:t xml:space="preserve"> la siguiente fórmula:</w:t>
      </w:r>
    </w:p>
    <w:p w:rsidR="00973ACF" w:rsidRPr="00973ACF" w:rsidRDefault="00973ACF" w:rsidP="00E63051">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u=r+</m:t>
          </m:r>
          <m:d>
            <m:dPr>
              <m:ctrlPr>
                <w:rPr>
                  <w:rFonts w:ascii="Cambria Math" w:hAnsi="Cambria Math" w:cs="Times New Roman"/>
                  <w:i/>
                  <w:sz w:val="24"/>
                  <w:szCs w:val="24"/>
                </w:rPr>
              </m:ctrlPr>
            </m:dPr>
            <m:e>
              <m:r>
                <w:rPr>
                  <w:rFonts w:ascii="Cambria Math" w:hAnsi="Cambria Math" w:cs="Times New Roman"/>
                  <w:sz w:val="24"/>
                  <w:szCs w:val="24"/>
                </w:rPr>
                <m:t>r-i</m:t>
              </m:r>
            </m:e>
          </m:d>
          <m:r>
            <w:rPr>
              <w:rFonts w:ascii="Cambria Math" w:hAnsi="Cambria Math" w:cs="Times New Roman"/>
              <w:sz w:val="24"/>
              <w:szCs w:val="24"/>
            </w:rPr>
            <m:t>D/C</m:t>
          </m:r>
        </m:oMath>
      </m:oMathPara>
    </w:p>
    <w:p w:rsidR="00973ACF" w:rsidRDefault="00973ACF" w:rsidP="00E6305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Donde: </w:t>
      </w:r>
    </w:p>
    <w:p w:rsidR="00973ACF" w:rsidRDefault="00973ACF" w:rsidP="00E63051">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u</m:t>
        </m:r>
      </m:oMath>
      <w:r>
        <w:rPr>
          <w:rFonts w:ascii="Times New Roman" w:eastAsiaTheme="minorEastAsia" w:hAnsi="Times New Roman" w:cs="Times New Roman"/>
          <w:sz w:val="24"/>
          <w:szCs w:val="24"/>
        </w:rPr>
        <w:t>:</w:t>
      </w:r>
      <w:r w:rsidR="00E11E62">
        <w:rPr>
          <w:rFonts w:ascii="Times New Roman" w:eastAsiaTheme="minorEastAsia" w:hAnsi="Times New Roman" w:cs="Times New Roman"/>
          <w:sz w:val="24"/>
          <w:szCs w:val="24"/>
        </w:rPr>
        <w:t xml:space="preserve"> ROE</w:t>
      </w:r>
      <w:r w:rsidR="000144B1">
        <w:rPr>
          <w:rFonts w:ascii="Times New Roman" w:eastAsiaTheme="minorEastAsia" w:hAnsi="Times New Roman" w:cs="Times New Roman"/>
          <w:sz w:val="24"/>
          <w:szCs w:val="24"/>
        </w:rPr>
        <w:t>, tasa de rentabilidad del patrimonio neto</w:t>
      </w:r>
    </w:p>
    <w:p w:rsidR="00973ACF" w:rsidRDefault="00973ACF" w:rsidP="00E63051">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r</m:t>
        </m:r>
      </m:oMath>
      <w:r>
        <w:rPr>
          <w:rFonts w:ascii="Times New Roman" w:eastAsiaTheme="minorEastAsia" w:hAnsi="Times New Roman" w:cs="Times New Roman"/>
          <w:sz w:val="24"/>
          <w:szCs w:val="24"/>
        </w:rPr>
        <w:t>:</w:t>
      </w:r>
      <w:r w:rsidR="000144B1">
        <w:rPr>
          <w:rFonts w:ascii="Times New Roman" w:eastAsiaTheme="minorEastAsia" w:hAnsi="Times New Roman" w:cs="Times New Roman"/>
          <w:sz w:val="24"/>
          <w:szCs w:val="24"/>
        </w:rPr>
        <w:t xml:space="preserve"> ROA, tasa de rentabilidad del activo</w:t>
      </w:r>
    </w:p>
    <w:p w:rsidR="00973ACF" w:rsidRDefault="00973ACF" w:rsidP="00E63051">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i</m:t>
        </m:r>
      </m:oMath>
      <w:r>
        <w:rPr>
          <w:rFonts w:ascii="Times New Roman" w:eastAsiaTheme="minorEastAsia" w:hAnsi="Times New Roman" w:cs="Times New Roman"/>
          <w:sz w:val="24"/>
          <w:szCs w:val="24"/>
        </w:rPr>
        <w:t>:</w:t>
      </w:r>
      <w:r w:rsidR="000144B1">
        <w:rPr>
          <w:rFonts w:ascii="Times New Roman" w:eastAsiaTheme="minorEastAsia" w:hAnsi="Times New Roman" w:cs="Times New Roman"/>
          <w:sz w:val="24"/>
          <w:szCs w:val="24"/>
        </w:rPr>
        <w:t xml:space="preserve"> </w:t>
      </w:r>
      <w:proofErr w:type="gramStart"/>
      <w:r w:rsidR="000144B1">
        <w:rPr>
          <w:rFonts w:ascii="Times New Roman" w:eastAsiaTheme="minorEastAsia" w:hAnsi="Times New Roman" w:cs="Times New Roman"/>
          <w:sz w:val="24"/>
          <w:szCs w:val="24"/>
        </w:rPr>
        <w:t>tasa</w:t>
      </w:r>
      <w:proofErr w:type="gramEnd"/>
      <w:r w:rsidR="000144B1">
        <w:rPr>
          <w:rFonts w:ascii="Times New Roman" w:eastAsiaTheme="minorEastAsia" w:hAnsi="Times New Roman" w:cs="Times New Roman"/>
          <w:sz w:val="24"/>
          <w:szCs w:val="24"/>
        </w:rPr>
        <w:t xml:space="preserve"> de costo financiero, neta del efecto impositivo</w:t>
      </w:r>
    </w:p>
    <w:p w:rsidR="00973ACF" w:rsidRDefault="00973ACF" w:rsidP="00E63051">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D/C</m:t>
        </m:r>
      </m:oMath>
      <w:r>
        <w:rPr>
          <w:rFonts w:ascii="Times New Roman" w:eastAsiaTheme="minorEastAsia" w:hAnsi="Times New Roman" w:cs="Times New Roman"/>
          <w:sz w:val="24"/>
          <w:szCs w:val="24"/>
        </w:rPr>
        <w:t>:</w:t>
      </w:r>
      <w:r w:rsidR="000144B1">
        <w:rPr>
          <w:rFonts w:ascii="Times New Roman" w:eastAsiaTheme="minorEastAsia" w:hAnsi="Times New Roman" w:cs="Times New Roman"/>
          <w:sz w:val="24"/>
          <w:szCs w:val="24"/>
        </w:rPr>
        <w:t xml:space="preserve"> </w:t>
      </w:r>
      <w:proofErr w:type="gramStart"/>
      <w:r w:rsidR="000144B1">
        <w:rPr>
          <w:rFonts w:ascii="Times New Roman" w:eastAsiaTheme="minorEastAsia" w:hAnsi="Times New Roman" w:cs="Times New Roman"/>
          <w:sz w:val="24"/>
          <w:szCs w:val="24"/>
        </w:rPr>
        <w:t>relación</w:t>
      </w:r>
      <w:proofErr w:type="gramEnd"/>
      <w:r w:rsidR="000144B1">
        <w:rPr>
          <w:rFonts w:ascii="Times New Roman" w:eastAsiaTheme="minorEastAsia" w:hAnsi="Times New Roman" w:cs="Times New Roman"/>
          <w:sz w:val="24"/>
          <w:szCs w:val="24"/>
        </w:rPr>
        <w:t xml:space="preserve"> </w:t>
      </w:r>
      <w:r w:rsidR="0058250F">
        <w:rPr>
          <w:rFonts w:ascii="Times New Roman" w:eastAsiaTheme="minorEastAsia" w:hAnsi="Times New Roman" w:cs="Times New Roman"/>
          <w:sz w:val="24"/>
          <w:szCs w:val="24"/>
        </w:rPr>
        <w:t>pasivo</w:t>
      </w:r>
      <w:r w:rsidR="000144B1">
        <w:rPr>
          <w:rFonts w:ascii="Times New Roman" w:eastAsiaTheme="minorEastAsia" w:hAnsi="Times New Roman" w:cs="Times New Roman"/>
          <w:sz w:val="24"/>
          <w:szCs w:val="24"/>
        </w:rPr>
        <w:t>/patrimonio neto</w:t>
      </w:r>
    </w:p>
    <w:p w:rsidR="00973ACF" w:rsidRPr="00973ACF" w:rsidRDefault="00973ACF" w:rsidP="00E63051">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Hay </w:t>
      </w:r>
      <w:r w:rsidR="000144B1">
        <w:rPr>
          <w:rFonts w:ascii="Times New Roman" w:eastAsiaTheme="minorEastAsia" w:hAnsi="Times New Roman" w:cs="Times New Roman"/>
          <w:sz w:val="24"/>
          <w:szCs w:val="24"/>
        </w:rPr>
        <w:t>que tener en</w:t>
      </w:r>
      <w:r>
        <w:rPr>
          <w:rFonts w:ascii="Times New Roman" w:eastAsiaTheme="minorEastAsia" w:hAnsi="Times New Roman" w:cs="Times New Roman"/>
          <w:sz w:val="24"/>
          <w:szCs w:val="24"/>
        </w:rPr>
        <w:t xml:space="preserve"> cuenta que el ROA debe ser calculado </w:t>
      </w:r>
      <w:r w:rsidR="0058250F">
        <w:rPr>
          <w:rFonts w:ascii="Times New Roman" w:eastAsiaTheme="minorEastAsia" w:hAnsi="Times New Roman" w:cs="Times New Roman"/>
          <w:sz w:val="24"/>
          <w:szCs w:val="24"/>
        </w:rPr>
        <w:t xml:space="preserve">con </w:t>
      </w:r>
      <w:r>
        <w:rPr>
          <w:rFonts w:ascii="Times New Roman" w:eastAsiaTheme="minorEastAsia" w:hAnsi="Times New Roman" w:cs="Times New Roman"/>
          <w:sz w:val="24"/>
          <w:szCs w:val="24"/>
        </w:rPr>
        <w:t>e</w:t>
      </w:r>
      <w:r w:rsidR="000144B1">
        <w:rPr>
          <w:rFonts w:ascii="Times New Roman" w:eastAsiaTheme="minorEastAsia" w:hAnsi="Times New Roman" w:cs="Times New Roman"/>
          <w:sz w:val="24"/>
          <w:szCs w:val="24"/>
        </w:rPr>
        <w:t>l resultado operativo deduc</w:t>
      </w:r>
      <w:r>
        <w:rPr>
          <w:rFonts w:ascii="Times New Roman" w:eastAsiaTheme="minorEastAsia" w:hAnsi="Times New Roman" w:cs="Times New Roman"/>
          <w:sz w:val="24"/>
          <w:szCs w:val="24"/>
        </w:rPr>
        <w:t>ido el efecto</w:t>
      </w:r>
      <w:r w:rsidR="000144B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pleno del impuesto a las ganancias (sin considerar intereses) y el costo del pasivo es neto del </w:t>
      </w:r>
      <w:r w:rsidR="000144B1">
        <w:rPr>
          <w:rFonts w:ascii="Times New Roman" w:eastAsiaTheme="minorEastAsia" w:hAnsi="Times New Roman" w:cs="Times New Roman"/>
          <w:sz w:val="24"/>
          <w:szCs w:val="24"/>
        </w:rPr>
        <w:t>efecto imposi</w:t>
      </w:r>
      <w:r>
        <w:rPr>
          <w:rFonts w:ascii="Times New Roman" w:eastAsiaTheme="minorEastAsia" w:hAnsi="Times New Roman" w:cs="Times New Roman"/>
          <w:sz w:val="24"/>
          <w:szCs w:val="24"/>
        </w:rPr>
        <w:t>tivo</w:t>
      </w:r>
    </w:p>
    <w:p w:rsidR="00440E02" w:rsidRDefault="00440E02" w:rsidP="003B4C2F">
      <w:pPr>
        <w:spacing w:line="360" w:lineRule="auto"/>
        <w:jc w:val="both"/>
        <w:rPr>
          <w:rFonts w:ascii="Times New Roman" w:hAnsi="Times New Roman" w:cs="Times New Roman"/>
          <w:b/>
          <w:sz w:val="24"/>
          <w:szCs w:val="24"/>
        </w:rPr>
      </w:pPr>
    </w:p>
    <w:p w:rsidR="003B4C2F" w:rsidRPr="004618E7" w:rsidRDefault="003B4C2F" w:rsidP="003B4C2F">
      <w:pPr>
        <w:spacing w:line="360" w:lineRule="auto"/>
        <w:jc w:val="both"/>
        <w:rPr>
          <w:rFonts w:ascii="Times New Roman" w:hAnsi="Times New Roman" w:cs="Times New Roman"/>
          <w:b/>
          <w:sz w:val="24"/>
          <w:szCs w:val="24"/>
        </w:rPr>
      </w:pPr>
      <w:r w:rsidRPr="004618E7">
        <w:rPr>
          <w:rFonts w:ascii="Times New Roman" w:hAnsi="Times New Roman" w:cs="Times New Roman"/>
          <w:b/>
          <w:sz w:val="24"/>
          <w:szCs w:val="24"/>
        </w:rPr>
        <w:t>El contexto económico</w:t>
      </w:r>
    </w:p>
    <w:p w:rsidR="007855BC" w:rsidRPr="004618E7" w:rsidRDefault="007B45C9"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 xml:space="preserve">Durante los </w:t>
      </w:r>
      <w:r w:rsidR="0058250F">
        <w:rPr>
          <w:rFonts w:ascii="Times New Roman" w:hAnsi="Times New Roman" w:cs="Times New Roman"/>
          <w:sz w:val="24"/>
          <w:szCs w:val="24"/>
        </w:rPr>
        <w:t xml:space="preserve">2 </w:t>
      </w:r>
      <w:r w:rsidRPr="004618E7">
        <w:rPr>
          <w:rFonts w:ascii="Times New Roman" w:hAnsi="Times New Roman" w:cs="Times New Roman"/>
          <w:sz w:val="24"/>
          <w:szCs w:val="24"/>
        </w:rPr>
        <w:t>años analizados</w:t>
      </w:r>
      <w:r w:rsidR="008C0756">
        <w:rPr>
          <w:rFonts w:ascii="Times New Roman" w:hAnsi="Times New Roman" w:cs="Times New Roman"/>
          <w:sz w:val="24"/>
          <w:szCs w:val="24"/>
        </w:rPr>
        <w:t>,</w:t>
      </w:r>
      <w:r w:rsidR="0058250F">
        <w:rPr>
          <w:rFonts w:ascii="Times New Roman" w:hAnsi="Times New Roman" w:cs="Times New Roman"/>
          <w:sz w:val="24"/>
          <w:szCs w:val="24"/>
        </w:rPr>
        <w:t xml:space="preserve"> la economía argentina</w:t>
      </w:r>
      <w:r w:rsidRPr="004618E7">
        <w:rPr>
          <w:rFonts w:ascii="Times New Roman" w:hAnsi="Times New Roman" w:cs="Times New Roman"/>
          <w:sz w:val="24"/>
          <w:szCs w:val="24"/>
        </w:rPr>
        <w:t xml:space="preserve"> se caracterizó por </w:t>
      </w:r>
      <w:r w:rsidR="0058250F">
        <w:rPr>
          <w:rFonts w:ascii="Times New Roman" w:hAnsi="Times New Roman" w:cs="Times New Roman"/>
          <w:sz w:val="24"/>
          <w:szCs w:val="24"/>
        </w:rPr>
        <w:t xml:space="preserve">ser </w:t>
      </w:r>
      <w:r w:rsidRPr="004618E7">
        <w:rPr>
          <w:rFonts w:ascii="Times New Roman" w:hAnsi="Times New Roman" w:cs="Times New Roman"/>
          <w:sz w:val="24"/>
          <w:szCs w:val="24"/>
        </w:rPr>
        <w:t>un period</w:t>
      </w:r>
      <w:r w:rsidR="00D9218D">
        <w:rPr>
          <w:rFonts w:ascii="Times New Roman" w:hAnsi="Times New Roman" w:cs="Times New Roman"/>
          <w:sz w:val="24"/>
          <w:szCs w:val="24"/>
        </w:rPr>
        <w:t xml:space="preserve">o de </w:t>
      </w:r>
      <w:r w:rsidR="002F4087">
        <w:rPr>
          <w:rFonts w:ascii="Times New Roman" w:hAnsi="Times New Roman" w:cs="Times New Roman"/>
          <w:sz w:val="24"/>
          <w:szCs w:val="24"/>
        </w:rPr>
        <w:t>desequilibrios macroeconómicos que impactaron fuerte</w:t>
      </w:r>
      <w:r w:rsidR="00D9218D">
        <w:rPr>
          <w:rFonts w:ascii="Times New Roman" w:hAnsi="Times New Roman" w:cs="Times New Roman"/>
          <w:sz w:val="24"/>
          <w:szCs w:val="24"/>
        </w:rPr>
        <w:t xml:space="preserve">, con variaciones </w:t>
      </w:r>
      <w:r w:rsidR="00BB7949">
        <w:rPr>
          <w:rFonts w:ascii="Times New Roman" w:hAnsi="Times New Roman" w:cs="Times New Roman"/>
          <w:sz w:val="24"/>
          <w:szCs w:val="24"/>
        </w:rPr>
        <w:t>en el</w:t>
      </w:r>
      <w:r w:rsidR="00D9218D">
        <w:rPr>
          <w:rFonts w:ascii="Times New Roman" w:hAnsi="Times New Roman" w:cs="Times New Roman"/>
          <w:sz w:val="24"/>
          <w:szCs w:val="24"/>
        </w:rPr>
        <w:t xml:space="preserve"> tipo de c</w:t>
      </w:r>
      <w:r w:rsidRPr="004618E7">
        <w:rPr>
          <w:rFonts w:ascii="Times New Roman" w:hAnsi="Times New Roman" w:cs="Times New Roman"/>
          <w:sz w:val="24"/>
          <w:szCs w:val="24"/>
        </w:rPr>
        <w:t>ambio del 107% en 2018 y del 63% en 2</w:t>
      </w:r>
      <w:r w:rsidR="00D9218D">
        <w:rPr>
          <w:rFonts w:ascii="Times New Roman" w:hAnsi="Times New Roman" w:cs="Times New Roman"/>
          <w:sz w:val="24"/>
          <w:szCs w:val="24"/>
        </w:rPr>
        <w:t>019, mientras que el IPIM (índic</w:t>
      </w:r>
      <w:r w:rsidRPr="004618E7">
        <w:rPr>
          <w:rFonts w:ascii="Times New Roman" w:hAnsi="Times New Roman" w:cs="Times New Roman"/>
          <w:sz w:val="24"/>
          <w:szCs w:val="24"/>
        </w:rPr>
        <w:t>e de precios internos mayorista) tuvo un incremento del 73,5% en 2018 y 58,5% en 2019.</w:t>
      </w:r>
    </w:p>
    <w:p w:rsidR="00CE6312" w:rsidRDefault="00CE6312"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lastRenderedPageBreak/>
        <w:t xml:space="preserve">En el año 2018 </w:t>
      </w:r>
      <w:r w:rsidR="00AF0953">
        <w:rPr>
          <w:rFonts w:ascii="Times New Roman" w:hAnsi="Times New Roman" w:cs="Times New Roman"/>
          <w:sz w:val="24"/>
          <w:szCs w:val="24"/>
        </w:rPr>
        <w:t xml:space="preserve">el </w:t>
      </w:r>
      <w:r w:rsidR="00AF0953" w:rsidRPr="004618E7">
        <w:rPr>
          <w:rFonts w:ascii="Times New Roman" w:hAnsi="Times New Roman" w:cs="Times New Roman"/>
          <w:sz w:val="24"/>
          <w:szCs w:val="24"/>
        </w:rPr>
        <w:t xml:space="preserve">mercado financiero </w:t>
      </w:r>
      <w:r w:rsidR="002F4087">
        <w:rPr>
          <w:rFonts w:ascii="Times New Roman" w:hAnsi="Times New Roman" w:cs="Times New Roman"/>
          <w:sz w:val="24"/>
          <w:szCs w:val="24"/>
        </w:rPr>
        <w:t>enfrentó</w:t>
      </w:r>
      <w:r w:rsidRPr="004618E7">
        <w:rPr>
          <w:rFonts w:ascii="Times New Roman" w:hAnsi="Times New Roman" w:cs="Times New Roman"/>
          <w:sz w:val="24"/>
          <w:szCs w:val="24"/>
        </w:rPr>
        <w:t xml:space="preserve"> problemas de credibilidad, debido a que se </w:t>
      </w:r>
      <w:r w:rsidR="00AF0953">
        <w:rPr>
          <w:rFonts w:ascii="Times New Roman" w:hAnsi="Times New Roman" w:cs="Times New Roman"/>
          <w:sz w:val="24"/>
          <w:szCs w:val="24"/>
        </w:rPr>
        <w:t>avizora</w:t>
      </w:r>
      <w:r w:rsidR="00747B0E">
        <w:rPr>
          <w:rFonts w:ascii="Times New Roman" w:hAnsi="Times New Roman" w:cs="Times New Roman"/>
          <w:sz w:val="24"/>
          <w:szCs w:val="24"/>
        </w:rPr>
        <w:t>ba</w:t>
      </w:r>
      <w:r w:rsidRPr="004618E7">
        <w:rPr>
          <w:rFonts w:ascii="Times New Roman" w:hAnsi="Times New Roman" w:cs="Times New Roman"/>
          <w:sz w:val="24"/>
          <w:szCs w:val="24"/>
        </w:rPr>
        <w:t xml:space="preserve"> una elevada </w:t>
      </w:r>
      <w:r w:rsidR="00D9218D">
        <w:rPr>
          <w:rFonts w:ascii="Times New Roman" w:hAnsi="Times New Roman" w:cs="Times New Roman"/>
          <w:sz w:val="24"/>
          <w:szCs w:val="24"/>
        </w:rPr>
        <w:t>contingencia respecto a</w:t>
      </w:r>
      <w:r w:rsidR="00747B0E">
        <w:rPr>
          <w:rFonts w:ascii="Times New Roman" w:hAnsi="Times New Roman" w:cs="Times New Roman"/>
          <w:sz w:val="24"/>
          <w:szCs w:val="24"/>
        </w:rPr>
        <w:t xml:space="preserve"> que Argentina no pudiera</w:t>
      </w:r>
      <w:r w:rsidRPr="004618E7">
        <w:rPr>
          <w:rFonts w:ascii="Times New Roman" w:hAnsi="Times New Roman" w:cs="Times New Roman"/>
          <w:sz w:val="24"/>
          <w:szCs w:val="24"/>
        </w:rPr>
        <w:t xml:space="preserve"> hacer frente a los servicios de su deuda externa, lo q</w:t>
      </w:r>
      <w:r w:rsidR="00747B0E">
        <w:rPr>
          <w:rFonts w:ascii="Times New Roman" w:hAnsi="Times New Roman" w:cs="Times New Roman"/>
          <w:sz w:val="24"/>
          <w:szCs w:val="24"/>
        </w:rPr>
        <w:t>ue provocó</w:t>
      </w:r>
      <w:r w:rsidRPr="004618E7">
        <w:rPr>
          <w:rFonts w:ascii="Times New Roman" w:hAnsi="Times New Roman" w:cs="Times New Roman"/>
          <w:sz w:val="24"/>
          <w:szCs w:val="24"/>
        </w:rPr>
        <w:t xml:space="preserve"> una fuerte “corrida” hacia el dólar, </w:t>
      </w:r>
      <w:r w:rsidR="00747B0E">
        <w:rPr>
          <w:rFonts w:ascii="Times New Roman" w:hAnsi="Times New Roman" w:cs="Times New Roman"/>
          <w:sz w:val="24"/>
          <w:szCs w:val="24"/>
        </w:rPr>
        <w:t>generando</w:t>
      </w:r>
      <w:r w:rsidRPr="004618E7">
        <w:rPr>
          <w:rFonts w:ascii="Times New Roman" w:hAnsi="Times New Roman" w:cs="Times New Roman"/>
          <w:sz w:val="24"/>
          <w:szCs w:val="24"/>
        </w:rPr>
        <w:t xml:space="preserve"> una crisis cambiaria muy </w:t>
      </w:r>
      <w:r w:rsidR="00D9218D">
        <w:rPr>
          <w:rFonts w:ascii="Times New Roman" w:hAnsi="Times New Roman" w:cs="Times New Roman"/>
          <w:sz w:val="24"/>
          <w:szCs w:val="24"/>
        </w:rPr>
        <w:t xml:space="preserve">importante, que </w:t>
      </w:r>
      <w:r w:rsidR="00AF0953">
        <w:rPr>
          <w:rFonts w:ascii="Times New Roman" w:hAnsi="Times New Roman" w:cs="Times New Roman"/>
          <w:sz w:val="24"/>
          <w:szCs w:val="24"/>
        </w:rPr>
        <w:t>derivó</w:t>
      </w:r>
      <w:r w:rsidR="00D9218D">
        <w:rPr>
          <w:rFonts w:ascii="Times New Roman" w:hAnsi="Times New Roman" w:cs="Times New Roman"/>
          <w:sz w:val="24"/>
          <w:szCs w:val="24"/>
        </w:rPr>
        <w:t xml:space="preserve"> en un pe</w:t>
      </w:r>
      <w:r w:rsidRPr="004618E7">
        <w:rPr>
          <w:rFonts w:ascii="Times New Roman" w:hAnsi="Times New Roman" w:cs="Times New Roman"/>
          <w:sz w:val="24"/>
          <w:szCs w:val="24"/>
        </w:rPr>
        <w:t>d</w:t>
      </w:r>
      <w:r w:rsidR="00D9218D">
        <w:rPr>
          <w:rFonts w:ascii="Times New Roman" w:hAnsi="Times New Roman" w:cs="Times New Roman"/>
          <w:sz w:val="24"/>
          <w:szCs w:val="24"/>
        </w:rPr>
        <w:t>ido</w:t>
      </w:r>
      <w:r w:rsidRPr="004618E7">
        <w:rPr>
          <w:rFonts w:ascii="Times New Roman" w:hAnsi="Times New Roman" w:cs="Times New Roman"/>
          <w:sz w:val="24"/>
          <w:szCs w:val="24"/>
        </w:rPr>
        <w:t xml:space="preserve"> de auxilio financiero al Fondo Monetario Internacional</w:t>
      </w:r>
      <w:r w:rsidR="00AA53B2" w:rsidRPr="004618E7">
        <w:rPr>
          <w:rFonts w:ascii="Times New Roman" w:hAnsi="Times New Roman" w:cs="Times New Roman"/>
          <w:sz w:val="24"/>
          <w:szCs w:val="24"/>
        </w:rPr>
        <w:t>.</w:t>
      </w:r>
      <w:r w:rsidR="00F3687D">
        <w:rPr>
          <w:rFonts w:ascii="Times New Roman" w:hAnsi="Times New Roman" w:cs="Times New Roman"/>
          <w:sz w:val="24"/>
          <w:szCs w:val="24"/>
        </w:rPr>
        <w:t xml:space="preserve"> Mostrando las cuentas fisca</w:t>
      </w:r>
      <w:r w:rsidR="00A72AD0">
        <w:rPr>
          <w:rFonts w:ascii="Times New Roman" w:hAnsi="Times New Roman" w:cs="Times New Roman"/>
          <w:sz w:val="24"/>
          <w:szCs w:val="24"/>
        </w:rPr>
        <w:t>les un resultado financiero nega</w:t>
      </w:r>
      <w:r w:rsidR="00747B0E">
        <w:rPr>
          <w:rFonts w:ascii="Times New Roman" w:hAnsi="Times New Roman" w:cs="Times New Roman"/>
          <w:sz w:val="24"/>
          <w:szCs w:val="24"/>
        </w:rPr>
        <w:t>tivo de 5,2% sobre el PBI</w:t>
      </w:r>
      <w:r w:rsidR="00A72AD0">
        <w:rPr>
          <w:rFonts w:ascii="Times New Roman" w:hAnsi="Times New Roman" w:cs="Times New Roman"/>
          <w:sz w:val="24"/>
          <w:szCs w:val="24"/>
        </w:rPr>
        <w:t>.</w:t>
      </w:r>
    </w:p>
    <w:p w:rsidR="00A72AD0" w:rsidRDefault="00A72AD0"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00747B0E">
        <w:rPr>
          <w:rFonts w:ascii="Times New Roman" w:hAnsi="Times New Roman" w:cs="Times New Roman"/>
          <w:sz w:val="24"/>
          <w:szCs w:val="24"/>
        </w:rPr>
        <w:t xml:space="preserve">una columna </w:t>
      </w:r>
      <w:r w:rsidR="000144B1">
        <w:rPr>
          <w:rFonts w:ascii="Times New Roman" w:hAnsi="Times New Roman" w:cs="Times New Roman"/>
          <w:sz w:val="24"/>
          <w:szCs w:val="24"/>
        </w:rPr>
        <w:t xml:space="preserve">del 26/3/2019 </w:t>
      </w:r>
      <w:r w:rsidR="00747B0E">
        <w:rPr>
          <w:rFonts w:ascii="Times New Roman" w:hAnsi="Times New Roman" w:cs="Times New Roman"/>
          <w:sz w:val="24"/>
          <w:szCs w:val="24"/>
        </w:rPr>
        <w:t>para el diario económico El Cronista</w:t>
      </w:r>
      <w:r w:rsidR="000144B1">
        <w:rPr>
          <w:rFonts w:ascii="Times New Roman" w:hAnsi="Times New Roman" w:cs="Times New Roman"/>
          <w:sz w:val="24"/>
          <w:szCs w:val="24"/>
        </w:rPr>
        <w:t>,</w:t>
      </w:r>
      <w:r w:rsidR="00747B0E">
        <w:rPr>
          <w:rFonts w:ascii="Times New Roman" w:hAnsi="Times New Roman" w:cs="Times New Roman"/>
          <w:sz w:val="24"/>
          <w:szCs w:val="24"/>
        </w:rPr>
        <w:t xml:space="preserve"> </w:t>
      </w:r>
      <w:r>
        <w:rPr>
          <w:rFonts w:ascii="Times New Roman" w:hAnsi="Times New Roman" w:cs="Times New Roman"/>
          <w:sz w:val="24"/>
          <w:szCs w:val="24"/>
        </w:rPr>
        <w:t>Martín Guzmán</w:t>
      </w:r>
      <w:r w:rsidR="00747B0E">
        <w:rPr>
          <w:rFonts w:ascii="Times New Roman" w:hAnsi="Times New Roman" w:cs="Times New Roman"/>
          <w:sz w:val="24"/>
          <w:szCs w:val="24"/>
        </w:rPr>
        <w:t>,</w:t>
      </w:r>
      <w:r>
        <w:rPr>
          <w:rFonts w:ascii="Times New Roman" w:hAnsi="Times New Roman" w:cs="Times New Roman"/>
          <w:sz w:val="24"/>
          <w:szCs w:val="24"/>
        </w:rPr>
        <w:t xml:space="preserve"> señala</w:t>
      </w:r>
      <w:r w:rsidR="00747B0E">
        <w:rPr>
          <w:rFonts w:ascii="Times New Roman" w:hAnsi="Times New Roman" w:cs="Times New Roman"/>
          <w:sz w:val="24"/>
          <w:szCs w:val="24"/>
        </w:rPr>
        <w:t>ba</w:t>
      </w:r>
      <w:r w:rsidR="002F4087">
        <w:rPr>
          <w:rFonts w:ascii="Times New Roman" w:hAnsi="Times New Roman" w:cs="Times New Roman"/>
          <w:sz w:val="24"/>
          <w:szCs w:val="24"/>
        </w:rPr>
        <w:t>:</w:t>
      </w:r>
      <w:r>
        <w:rPr>
          <w:rFonts w:ascii="Times New Roman" w:hAnsi="Times New Roman" w:cs="Times New Roman"/>
          <w:sz w:val="24"/>
          <w:szCs w:val="24"/>
        </w:rPr>
        <w:t xml:space="preserve"> </w:t>
      </w:r>
    </w:p>
    <w:p w:rsidR="00A72AD0" w:rsidRDefault="00A72AD0" w:rsidP="00A72AD0">
      <w:pPr>
        <w:spacing w:line="360" w:lineRule="auto"/>
        <w:ind w:left="708"/>
        <w:jc w:val="both"/>
        <w:rPr>
          <w:rFonts w:ascii="Times New Roman" w:hAnsi="Times New Roman" w:cs="Times New Roman"/>
          <w:sz w:val="24"/>
          <w:szCs w:val="24"/>
        </w:rPr>
      </w:pPr>
      <w:r>
        <w:rPr>
          <w:rFonts w:ascii="Times New Roman" w:hAnsi="Times New Roman" w:cs="Times New Roman"/>
          <w:sz w:val="20"/>
          <w:szCs w:val="20"/>
        </w:rPr>
        <w:t>…</w:t>
      </w:r>
      <w:r w:rsidRPr="00A72AD0">
        <w:rPr>
          <w:rFonts w:ascii="Times New Roman" w:hAnsi="Times New Roman" w:cs="Times New Roman"/>
          <w:sz w:val="20"/>
          <w:szCs w:val="20"/>
        </w:rPr>
        <w:t>en el 2018 la economía argentina cayó su PBI 2,5% y la tasa de inflación anual ascendió al 47,6%. Tanto el desempleo como la pobreza continúan creciendo. La te</w:t>
      </w:r>
      <w:r>
        <w:rPr>
          <w:rFonts w:ascii="Times New Roman" w:hAnsi="Times New Roman" w:cs="Times New Roman"/>
          <w:sz w:val="20"/>
          <w:szCs w:val="20"/>
        </w:rPr>
        <w:t>n</w:t>
      </w:r>
      <w:r w:rsidRPr="00A72AD0">
        <w:rPr>
          <w:rFonts w:ascii="Times New Roman" w:hAnsi="Times New Roman" w:cs="Times New Roman"/>
          <w:sz w:val="20"/>
          <w:szCs w:val="20"/>
        </w:rPr>
        <w:t>dencia es</w:t>
      </w:r>
      <w:r>
        <w:rPr>
          <w:rFonts w:ascii="Times New Roman" w:hAnsi="Times New Roman" w:cs="Times New Roman"/>
          <w:sz w:val="20"/>
          <w:szCs w:val="20"/>
        </w:rPr>
        <w:t xml:space="preserve"> de estancamiento; en cuatro de</w:t>
      </w:r>
      <w:r w:rsidRPr="00A72AD0">
        <w:rPr>
          <w:rFonts w:ascii="Times New Roman" w:hAnsi="Times New Roman" w:cs="Times New Roman"/>
          <w:sz w:val="20"/>
          <w:szCs w:val="20"/>
        </w:rPr>
        <w:t xml:space="preserve"> los últimos siete años el país experimentó una caída del producto</w:t>
      </w:r>
      <w:r>
        <w:rPr>
          <w:rFonts w:ascii="Times New Roman" w:hAnsi="Times New Roman" w:cs="Times New Roman"/>
          <w:sz w:val="24"/>
          <w:szCs w:val="24"/>
        </w:rPr>
        <w:t>.</w:t>
      </w:r>
    </w:p>
    <w:p w:rsidR="00A72AD0" w:rsidRPr="00747B0E" w:rsidRDefault="00A72AD0" w:rsidP="00747B0E">
      <w:pPr>
        <w:spacing w:line="360" w:lineRule="auto"/>
        <w:ind w:left="708"/>
        <w:jc w:val="both"/>
        <w:rPr>
          <w:rFonts w:ascii="Times New Roman" w:hAnsi="Times New Roman" w:cs="Times New Roman"/>
          <w:sz w:val="20"/>
          <w:szCs w:val="20"/>
        </w:rPr>
      </w:pPr>
      <w:r>
        <w:rPr>
          <w:rFonts w:ascii="Times New Roman" w:hAnsi="Times New Roman" w:cs="Times New Roman"/>
          <w:sz w:val="24"/>
          <w:szCs w:val="24"/>
        </w:rPr>
        <w:t xml:space="preserve"> </w:t>
      </w:r>
      <w:r w:rsidR="00747B0E">
        <w:rPr>
          <w:rFonts w:ascii="Times New Roman" w:hAnsi="Times New Roman" w:cs="Times New Roman"/>
          <w:sz w:val="20"/>
          <w:szCs w:val="20"/>
        </w:rPr>
        <w:t>….</w:t>
      </w:r>
      <w:r w:rsidRPr="00747B0E">
        <w:rPr>
          <w:rFonts w:ascii="Times New Roman" w:hAnsi="Times New Roman" w:cs="Times New Roman"/>
          <w:sz w:val="20"/>
          <w:szCs w:val="20"/>
        </w:rPr>
        <w:t>El volumen de exportaciones en 2018 fue igual al del 2005, mientras que e</w:t>
      </w:r>
      <w:r w:rsidR="00747B0E" w:rsidRPr="00747B0E">
        <w:rPr>
          <w:rFonts w:ascii="Times New Roman" w:hAnsi="Times New Roman" w:cs="Times New Roman"/>
          <w:sz w:val="20"/>
          <w:szCs w:val="20"/>
        </w:rPr>
        <w:t>l de importaciones más que se d</w:t>
      </w:r>
      <w:r w:rsidRPr="00747B0E">
        <w:rPr>
          <w:rFonts w:ascii="Times New Roman" w:hAnsi="Times New Roman" w:cs="Times New Roman"/>
          <w:sz w:val="20"/>
          <w:szCs w:val="20"/>
        </w:rPr>
        <w:t>uplicó en ese mismo periodo</w:t>
      </w:r>
      <w:r w:rsidR="00747B0E">
        <w:rPr>
          <w:rFonts w:ascii="Times New Roman" w:hAnsi="Times New Roman" w:cs="Times New Roman"/>
          <w:sz w:val="20"/>
          <w:szCs w:val="20"/>
        </w:rPr>
        <w:t>.</w:t>
      </w:r>
    </w:p>
    <w:p w:rsidR="00AA53B2" w:rsidRDefault="00AA53B2"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En el año 2019</w:t>
      </w:r>
      <w:r w:rsidR="00D9218D">
        <w:rPr>
          <w:rFonts w:ascii="Times New Roman" w:hAnsi="Times New Roman" w:cs="Times New Roman"/>
          <w:sz w:val="24"/>
          <w:szCs w:val="24"/>
        </w:rPr>
        <w:t xml:space="preserve"> se restringió fuertemente la emisión monetaria</w:t>
      </w:r>
      <w:r w:rsidRPr="004618E7">
        <w:rPr>
          <w:rFonts w:ascii="Times New Roman" w:hAnsi="Times New Roman" w:cs="Times New Roman"/>
          <w:sz w:val="24"/>
          <w:szCs w:val="24"/>
        </w:rPr>
        <w:t xml:space="preserve"> </w:t>
      </w:r>
      <w:r w:rsidR="00D9218D">
        <w:rPr>
          <w:rFonts w:ascii="Times New Roman" w:hAnsi="Times New Roman" w:cs="Times New Roman"/>
          <w:sz w:val="24"/>
          <w:szCs w:val="24"/>
        </w:rPr>
        <w:t xml:space="preserve">en aras de bajar la inflación, objetivo que no se consiguió y </w:t>
      </w:r>
      <w:r w:rsidR="002F4087">
        <w:rPr>
          <w:rFonts w:ascii="Times New Roman" w:hAnsi="Times New Roman" w:cs="Times New Roman"/>
          <w:sz w:val="24"/>
          <w:szCs w:val="24"/>
        </w:rPr>
        <w:t xml:space="preserve">en cambio </w:t>
      </w:r>
      <w:r w:rsidR="00D9218D">
        <w:rPr>
          <w:rFonts w:ascii="Times New Roman" w:hAnsi="Times New Roman" w:cs="Times New Roman"/>
          <w:sz w:val="24"/>
          <w:szCs w:val="24"/>
        </w:rPr>
        <w:t>provocó una fuerte suba de las tasas de interés. A</w:t>
      </w:r>
      <w:r w:rsidRPr="004618E7">
        <w:rPr>
          <w:rFonts w:ascii="Times New Roman" w:hAnsi="Times New Roman" w:cs="Times New Roman"/>
          <w:sz w:val="24"/>
          <w:szCs w:val="24"/>
        </w:rPr>
        <w:t xml:space="preserve">parte de las endebles condiciones financieras </w:t>
      </w:r>
      <w:r w:rsidR="00D9218D">
        <w:rPr>
          <w:rFonts w:ascii="Times New Roman" w:hAnsi="Times New Roman" w:cs="Times New Roman"/>
          <w:sz w:val="24"/>
          <w:szCs w:val="24"/>
        </w:rPr>
        <w:t>en que se hallaba la economía se sumó el resultado ad</w:t>
      </w:r>
      <w:r w:rsidRPr="004618E7">
        <w:rPr>
          <w:rFonts w:ascii="Times New Roman" w:hAnsi="Times New Roman" w:cs="Times New Roman"/>
          <w:sz w:val="24"/>
          <w:szCs w:val="24"/>
        </w:rPr>
        <w:t xml:space="preserve">verso que sufrió el oficialismo en las elecciones primarias, </w:t>
      </w:r>
      <w:r w:rsidR="00AF0953">
        <w:rPr>
          <w:rFonts w:ascii="Times New Roman" w:hAnsi="Times New Roman" w:cs="Times New Roman"/>
          <w:sz w:val="24"/>
          <w:szCs w:val="24"/>
        </w:rPr>
        <w:t>generando</w:t>
      </w:r>
      <w:r w:rsidRPr="004618E7">
        <w:rPr>
          <w:rFonts w:ascii="Times New Roman" w:hAnsi="Times New Roman" w:cs="Times New Roman"/>
          <w:sz w:val="24"/>
          <w:szCs w:val="24"/>
        </w:rPr>
        <w:t xml:space="preserve"> presión sobre el tipo de cambio, </w:t>
      </w:r>
      <w:r w:rsidR="00F3687D">
        <w:rPr>
          <w:rFonts w:ascii="Times New Roman" w:hAnsi="Times New Roman" w:cs="Times New Roman"/>
          <w:sz w:val="24"/>
          <w:szCs w:val="24"/>
        </w:rPr>
        <w:t>lo que concluyó</w:t>
      </w:r>
      <w:r w:rsidRPr="004618E7">
        <w:rPr>
          <w:rFonts w:ascii="Times New Roman" w:hAnsi="Times New Roman" w:cs="Times New Roman"/>
          <w:sz w:val="24"/>
          <w:szCs w:val="24"/>
        </w:rPr>
        <w:t xml:space="preserve"> hacia el </w:t>
      </w:r>
      <w:r w:rsidR="00D9218D">
        <w:rPr>
          <w:rFonts w:ascii="Times New Roman" w:hAnsi="Times New Roman" w:cs="Times New Roman"/>
          <w:sz w:val="24"/>
          <w:szCs w:val="24"/>
        </w:rPr>
        <w:t>final del periodo en la constitució</w:t>
      </w:r>
      <w:r w:rsidRPr="004618E7">
        <w:rPr>
          <w:rFonts w:ascii="Times New Roman" w:hAnsi="Times New Roman" w:cs="Times New Roman"/>
          <w:sz w:val="24"/>
          <w:szCs w:val="24"/>
        </w:rPr>
        <w:t>n de un “cepo” cambiario para frenar el drenaje de divisas.</w:t>
      </w:r>
    </w:p>
    <w:p w:rsidR="00747B0E" w:rsidRDefault="00747B0E"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La agencia EFE señalaba</w:t>
      </w:r>
      <w:r w:rsidR="000144B1">
        <w:rPr>
          <w:rFonts w:ascii="Times New Roman" w:hAnsi="Times New Roman" w:cs="Times New Roman"/>
          <w:sz w:val="24"/>
          <w:szCs w:val="24"/>
        </w:rPr>
        <w:t xml:space="preserve"> el 21/2/2020</w:t>
      </w:r>
      <w:r>
        <w:rPr>
          <w:rFonts w:ascii="Times New Roman" w:hAnsi="Times New Roman" w:cs="Times New Roman"/>
          <w:sz w:val="24"/>
          <w:szCs w:val="24"/>
        </w:rPr>
        <w:t>:</w:t>
      </w:r>
    </w:p>
    <w:p w:rsidR="002476E3" w:rsidRPr="000144B1" w:rsidRDefault="002476E3" w:rsidP="000144B1">
      <w:pPr>
        <w:pStyle w:val="NormalWeb"/>
        <w:shd w:val="clear" w:color="auto" w:fill="FFFFFF"/>
        <w:spacing w:before="0" w:beforeAutospacing="0" w:after="150" w:afterAutospacing="0" w:line="330" w:lineRule="atLeast"/>
        <w:ind w:left="708"/>
        <w:rPr>
          <w:color w:val="4D4D4D"/>
          <w:sz w:val="20"/>
          <w:szCs w:val="20"/>
        </w:rPr>
      </w:pPr>
      <w:r w:rsidRPr="000144B1">
        <w:rPr>
          <w:color w:val="4D4D4D"/>
          <w:sz w:val="20"/>
          <w:szCs w:val="20"/>
        </w:rPr>
        <w:t>La actividad económica de Argentina cerró 2019 con una caída anual del 2,1 %, según el informe que difundió este viernes el Instituto Nacional de Estadística y Censos (</w:t>
      </w:r>
      <w:proofErr w:type="spellStart"/>
      <w:r w:rsidRPr="000144B1">
        <w:rPr>
          <w:color w:val="4D4D4D"/>
          <w:sz w:val="20"/>
          <w:szCs w:val="20"/>
        </w:rPr>
        <w:t>Indec</w:t>
      </w:r>
      <w:proofErr w:type="spellEnd"/>
      <w:r w:rsidRPr="000144B1">
        <w:rPr>
          <w:color w:val="4D4D4D"/>
          <w:sz w:val="20"/>
          <w:szCs w:val="20"/>
        </w:rPr>
        <w:t xml:space="preserve">), después de que la recesión se agravara en los últimos meses del Gobierno de Mauricio </w:t>
      </w:r>
      <w:proofErr w:type="spellStart"/>
      <w:r w:rsidRPr="000144B1">
        <w:rPr>
          <w:color w:val="4D4D4D"/>
          <w:sz w:val="20"/>
          <w:szCs w:val="20"/>
        </w:rPr>
        <w:t>Macri</w:t>
      </w:r>
      <w:proofErr w:type="spellEnd"/>
      <w:r w:rsidRPr="000144B1">
        <w:rPr>
          <w:color w:val="4D4D4D"/>
          <w:sz w:val="20"/>
          <w:szCs w:val="20"/>
        </w:rPr>
        <w:t>.</w:t>
      </w:r>
    </w:p>
    <w:p w:rsidR="002476E3" w:rsidRDefault="002476E3" w:rsidP="000144B1">
      <w:pPr>
        <w:pStyle w:val="NormalWeb"/>
        <w:shd w:val="clear" w:color="auto" w:fill="FFFFFF"/>
        <w:spacing w:before="0" w:beforeAutospacing="0" w:after="150" w:afterAutospacing="0" w:line="330" w:lineRule="atLeast"/>
        <w:ind w:left="708"/>
        <w:rPr>
          <w:rFonts w:ascii="Arial" w:hAnsi="Arial" w:cs="Arial"/>
          <w:color w:val="4D4D4D"/>
        </w:rPr>
      </w:pPr>
      <w:r w:rsidRPr="000144B1">
        <w:rPr>
          <w:color w:val="4D4D4D"/>
          <w:sz w:val="20"/>
          <w:szCs w:val="20"/>
        </w:rPr>
        <w:t>El descenso es uno de los peores resultados de los últimos diez años, aunque mejoró en cinco décimas respecto al cosechado en 2018, y el indicador sirve como anticipo para medir la variación del producto interior bruto (PIB), que es de carácter trimestral</w:t>
      </w:r>
      <w:r>
        <w:rPr>
          <w:rFonts w:ascii="Arial" w:hAnsi="Arial" w:cs="Arial"/>
          <w:color w:val="4D4D4D"/>
        </w:rPr>
        <w:t>.</w:t>
      </w:r>
    </w:p>
    <w:p w:rsidR="002476E3" w:rsidRPr="004618E7" w:rsidRDefault="00D410C6"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Además de todo lo comentado debe te</w:t>
      </w:r>
      <w:r w:rsidR="002F4087">
        <w:rPr>
          <w:rFonts w:ascii="Times New Roman" w:hAnsi="Times New Roman" w:cs="Times New Roman"/>
          <w:sz w:val="24"/>
          <w:szCs w:val="24"/>
        </w:rPr>
        <w:t>nerse en cuenta que el nivel</w:t>
      </w:r>
      <w:r>
        <w:rPr>
          <w:rFonts w:ascii="Times New Roman" w:hAnsi="Times New Roman" w:cs="Times New Roman"/>
          <w:sz w:val="24"/>
          <w:szCs w:val="24"/>
        </w:rPr>
        <w:t xml:space="preserve"> de pobreza </w:t>
      </w:r>
      <w:r w:rsidR="002F4087">
        <w:rPr>
          <w:rFonts w:ascii="Times New Roman" w:hAnsi="Times New Roman" w:cs="Times New Roman"/>
          <w:sz w:val="24"/>
          <w:szCs w:val="24"/>
        </w:rPr>
        <w:t>alcanzó niveles supe</w:t>
      </w:r>
      <w:r>
        <w:rPr>
          <w:rFonts w:ascii="Times New Roman" w:hAnsi="Times New Roman" w:cs="Times New Roman"/>
          <w:sz w:val="24"/>
          <w:szCs w:val="24"/>
        </w:rPr>
        <w:t>r</w:t>
      </w:r>
      <w:r w:rsidR="002F4087">
        <w:rPr>
          <w:rFonts w:ascii="Times New Roman" w:hAnsi="Times New Roman" w:cs="Times New Roman"/>
          <w:sz w:val="24"/>
          <w:szCs w:val="24"/>
        </w:rPr>
        <w:t>i</w:t>
      </w:r>
      <w:r>
        <w:rPr>
          <w:rFonts w:ascii="Times New Roman" w:hAnsi="Times New Roman" w:cs="Times New Roman"/>
          <w:sz w:val="24"/>
          <w:szCs w:val="24"/>
        </w:rPr>
        <w:t xml:space="preserve">ores al 30% y </w:t>
      </w:r>
      <w:r w:rsidR="002F4087">
        <w:rPr>
          <w:rFonts w:ascii="Times New Roman" w:hAnsi="Times New Roman" w:cs="Times New Roman"/>
          <w:sz w:val="24"/>
          <w:szCs w:val="24"/>
        </w:rPr>
        <w:t>la presión fiscal ubicada entre las más alta</w:t>
      </w:r>
      <w:r>
        <w:rPr>
          <w:rFonts w:ascii="Times New Roman" w:hAnsi="Times New Roman" w:cs="Times New Roman"/>
          <w:sz w:val="24"/>
          <w:szCs w:val="24"/>
        </w:rPr>
        <w:t>s del mundo</w:t>
      </w:r>
      <w:r w:rsidR="002F4087">
        <w:rPr>
          <w:rFonts w:ascii="Times New Roman" w:hAnsi="Times New Roman" w:cs="Times New Roman"/>
          <w:sz w:val="24"/>
          <w:szCs w:val="24"/>
        </w:rPr>
        <w:t>,</w:t>
      </w:r>
      <w:r>
        <w:rPr>
          <w:rFonts w:ascii="Times New Roman" w:hAnsi="Times New Roman" w:cs="Times New Roman"/>
          <w:sz w:val="24"/>
          <w:szCs w:val="24"/>
        </w:rPr>
        <w:t xml:space="preserve"> con impuestos distorsivos que interfieren en la actividad económica. Según un informe de  la OCDE, Argentina es el país con el costo laboral más alto de América Latina y el Caribe.</w:t>
      </w:r>
    </w:p>
    <w:p w:rsidR="005E48E7" w:rsidRDefault="005E48E7" w:rsidP="00E63051">
      <w:pPr>
        <w:spacing w:line="360" w:lineRule="auto"/>
        <w:jc w:val="both"/>
        <w:rPr>
          <w:rFonts w:ascii="Times New Roman" w:hAnsi="Times New Roman" w:cs="Times New Roman"/>
          <w:b/>
          <w:sz w:val="24"/>
          <w:szCs w:val="24"/>
        </w:rPr>
      </w:pPr>
    </w:p>
    <w:p w:rsidR="005E48E7" w:rsidRDefault="005E48E7" w:rsidP="00E63051">
      <w:pPr>
        <w:spacing w:line="360" w:lineRule="auto"/>
        <w:jc w:val="both"/>
        <w:rPr>
          <w:rFonts w:ascii="Times New Roman" w:hAnsi="Times New Roman" w:cs="Times New Roman"/>
          <w:b/>
          <w:sz w:val="24"/>
          <w:szCs w:val="24"/>
        </w:rPr>
      </w:pPr>
    </w:p>
    <w:p w:rsidR="003F461E" w:rsidRPr="004618E7" w:rsidRDefault="007855BC" w:rsidP="00E63051">
      <w:pPr>
        <w:spacing w:line="360" w:lineRule="auto"/>
        <w:jc w:val="both"/>
        <w:rPr>
          <w:rFonts w:ascii="Times New Roman" w:hAnsi="Times New Roman" w:cs="Times New Roman"/>
          <w:b/>
          <w:sz w:val="24"/>
          <w:szCs w:val="24"/>
        </w:rPr>
      </w:pPr>
      <w:r w:rsidRPr="004618E7">
        <w:rPr>
          <w:rFonts w:ascii="Times New Roman" w:hAnsi="Times New Roman" w:cs="Times New Roman"/>
          <w:b/>
          <w:sz w:val="24"/>
          <w:szCs w:val="24"/>
        </w:rPr>
        <w:lastRenderedPageBreak/>
        <w:t>Análisis de la información</w:t>
      </w:r>
    </w:p>
    <w:p w:rsidR="007855BC" w:rsidRPr="004618E7" w:rsidRDefault="005E48E7"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Para el análisis s</w:t>
      </w:r>
      <w:r w:rsidR="00E63051">
        <w:rPr>
          <w:rFonts w:ascii="Times New Roman" w:hAnsi="Times New Roman" w:cs="Times New Roman"/>
          <w:sz w:val="24"/>
          <w:szCs w:val="24"/>
        </w:rPr>
        <w:t>e tomaron 84 empresas no finan</w:t>
      </w:r>
      <w:r w:rsidR="007B45C9" w:rsidRPr="004618E7">
        <w:rPr>
          <w:rFonts w:ascii="Times New Roman" w:hAnsi="Times New Roman" w:cs="Times New Roman"/>
          <w:sz w:val="24"/>
          <w:szCs w:val="24"/>
        </w:rPr>
        <w:t>c</w:t>
      </w:r>
      <w:r w:rsidR="00E63051">
        <w:rPr>
          <w:rFonts w:ascii="Times New Roman" w:hAnsi="Times New Roman" w:cs="Times New Roman"/>
          <w:sz w:val="24"/>
          <w:szCs w:val="24"/>
        </w:rPr>
        <w:t>i</w:t>
      </w:r>
      <w:r w:rsidR="007B45C9" w:rsidRPr="004618E7">
        <w:rPr>
          <w:rFonts w:ascii="Times New Roman" w:hAnsi="Times New Roman" w:cs="Times New Roman"/>
          <w:sz w:val="24"/>
          <w:szCs w:val="24"/>
        </w:rPr>
        <w:t xml:space="preserve">eras </w:t>
      </w:r>
      <w:r w:rsidR="00AE358D">
        <w:rPr>
          <w:rFonts w:ascii="Times New Roman" w:hAnsi="Times New Roman" w:cs="Times New Roman"/>
          <w:sz w:val="24"/>
          <w:szCs w:val="24"/>
        </w:rPr>
        <w:t xml:space="preserve">de diversos ramos de actividad, </w:t>
      </w:r>
      <w:r w:rsidR="007B45C9" w:rsidRPr="004618E7">
        <w:rPr>
          <w:rFonts w:ascii="Times New Roman" w:hAnsi="Times New Roman" w:cs="Times New Roman"/>
          <w:sz w:val="24"/>
          <w:szCs w:val="24"/>
        </w:rPr>
        <w:t>que pre</w:t>
      </w:r>
      <w:r w:rsidR="00E63051">
        <w:rPr>
          <w:rFonts w:ascii="Times New Roman" w:hAnsi="Times New Roman" w:cs="Times New Roman"/>
          <w:sz w:val="24"/>
          <w:szCs w:val="24"/>
        </w:rPr>
        <w:t>se</w:t>
      </w:r>
      <w:r w:rsidR="007B45C9" w:rsidRPr="004618E7">
        <w:rPr>
          <w:rFonts w:ascii="Times New Roman" w:hAnsi="Times New Roman" w:cs="Times New Roman"/>
          <w:sz w:val="24"/>
          <w:szCs w:val="24"/>
        </w:rPr>
        <w:t>ntan sus esta</w:t>
      </w:r>
      <w:r w:rsidR="00E63051">
        <w:rPr>
          <w:rFonts w:ascii="Times New Roman" w:hAnsi="Times New Roman" w:cs="Times New Roman"/>
          <w:sz w:val="24"/>
          <w:szCs w:val="24"/>
        </w:rPr>
        <w:t>dos financieros ante la Comisión Nacio</w:t>
      </w:r>
      <w:r w:rsidR="007B45C9" w:rsidRPr="004618E7">
        <w:rPr>
          <w:rFonts w:ascii="Times New Roman" w:hAnsi="Times New Roman" w:cs="Times New Roman"/>
          <w:sz w:val="24"/>
          <w:szCs w:val="24"/>
        </w:rPr>
        <w:t>n</w:t>
      </w:r>
      <w:r w:rsidR="00E63051">
        <w:rPr>
          <w:rFonts w:ascii="Times New Roman" w:hAnsi="Times New Roman" w:cs="Times New Roman"/>
          <w:sz w:val="24"/>
          <w:szCs w:val="24"/>
        </w:rPr>
        <w:t>a</w:t>
      </w:r>
      <w:r w:rsidR="007B45C9" w:rsidRPr="004618E7">
        <w:rPr>
          <w:rFonts w:ascii="Times New Roman" w:hAnsi="Times New Roman" w:cs="Times New Roman"/>
          <w:sz w:val="24"/>
          <w:szCs w:val="24"/>
        </w:rPr>
        <w:t>l de Valores</w:t>
      </w:r>
      <w:r w:rsidR="000144B1">
        <w:rPr>
          <w:rFonts w:ascii="Times New Roman" w:hAnsi="Times New Roman" w:cs="Times New Roman"/>
          <w:sz w:val="24"/>
          <w:szCs w:val="24"/>
        </w:rPr>
        <w:t>, considerando</w:t>
      </w:r>
      <w:r w:rsidR="007B45C9" w:rsidRPr="004618E7">
        <w:rPr>
          <w:rFonts w:ascii="Times New Roman" w:hAnsi="Times New Roman" w:cs="Times New Roman"/>
          <w:sz w:val="24"/>
          <w:szCs w:val="24"/>
        </w:rPr>
        <w:t xml:space="preserve"> el año en que cierran sus ejercicios económicos, independiente</w:t>
      </w:r>
      <w:r w:rsidR="00E63051">
        <w:rPr>
          <w:rFonts w:ascii="Times New Roman" w:hAnsi="Times New Roman" w:cs="Times New Roman"/>
          <w:sz w:val="24"/>
          <w:szCs w:val="24"/>
        </w:rPr>
        <w:t>mente del mes en que se realizó el mismo.</w:t>
      </w:r>
    </w:p>
    <w:p w:rsidR="007B45C9" w:rsidRPr="004618E7" w:rsidRDefault="007B45C9"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Se ca</w:t>
      </w:r>
      <w:r w:rsidR="00E63051">
        <w:rPr>
          <w:rFonts w:ascii="Times New Roman" w:hAnsi="Times New Roman" w:cs="Times New Roman"/>
          <w:sz w:val="24"/>
          <w:szCs w:val="24"/>
        </w:rPr>
        <w:t>l</w:t>
      </w:r>
      <w:r w:rsidRPr="004618E7">
        <w:rPr>
          <w:rFonts w:ascii="Times New Roman" w:hAnsi="Times New Roman" w:cs="Times New Roman"/>
          <w:sz w:val="24"/>
          <w:szCs w:val="24"/>
        </w:rPr>
        <w:t xml:space="preserve">culó el ROE </w:t>
      </w:r>
      <w:r w:rsidR="00E63051">
        <w:rPr>
          <w:rFonts w:ascii="Times New Roman" w:hAnsi="Times New Roman" w:cs="Times New Roman"/>
          <w:sz w:val="24"/>
          <w:szCs w:val="24"/>
        </w:rPr>
        <w:t>de cada empresa</w:t>
      </w:r>
      <w:r w:rsidRPr="004618E7">
        <w:rPr>
          <w:rFonts w:ascii="Times New Roman" w:hAnsi="Times New Roman" w:cs="Times New Roman"/>
          <w:sz w:val="24"/>
          <w:szCs w:val="24"/>
        </w:rPr>
        <w:t xml:space="preserve"> para cada año, tomando el patri</w:t>
      </w:r>
      <w:r w:rsidR="00E63051">
        <w:rPr>
          <w:rFonts w:ascii="Times New Roman" w:hAnsi="Times New Roman" w:cs="Times New Roman"/>
          <w:sz w:val="24"/>
          <w:szCs w:val="24"/>
        </w:rPr>
        <w:t>m</w:t>
      </w:r>
      <w:r w:rsidRPr="004618E7">
        <w:rPr>
          <w:rFonts w:ascii="Times New Roman" w:hAnsi="Times New Roman" w:cs="Times New Roman"/>
          <w:sz w:val="24"/>
          <w:szCs w:val="24"/>
        </w:rPr>
        <w:t>onio promedio</w:t>
      </w:r>
      <w:r w:rsidR="005A5DBC" w:rsidRPr="004618E7">
        <w:rPr>
          <w:rFonts w:ascii="Times New Roman" w:hAnsi="Times New Roman" w:cs="Times New Roman"/>
          <w:sz w:val="24"/>
          <w:szCs w:val="24"/>
        </w:rPr>
        <w:t xml:space="preserve">. Para el cálculo del ROA se consideró el activo promedio y el efecto del impuesto a las ganancias (considerando el </w:t>
      </w:r>
      <w:r w:rsidR="00E63051">
        <w:rPr>
          <w:rFonts w:ascii="Times New Roman" w:hAnsi="Times New Roman" w:cs="Times New Roman"/>
          <w:sz w:val="24"/>
          <w:szCs w:val="24"/>
        </w:rPr>
        <w:t>impacto que tiene la eliminació</w:t>
      </w:r>
      <w:r w:rsidR="005A5DBC" w:rsidRPr="004618E7">
        <w:rPr>
          <w:rFonts w:ascii="Times New Roman" w:hAnsi="Times New Roman" w:cs="Times New Roman"/>
          <w:sz w:val="24"/>
          <w:szCs w:val="24"/>
        </w:rPr>
        <w:t>n de los intereses)</w:t>
      </w:r>
    </w:p>
    <w:p w:rsidR="007B45C9" w:rsidRPr="004618E7" w:rsidRDefault="007B45C9"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 xml:space="preserve">Para el periodo 2018, se observa que la media </w:t>
      </w:r>
      <w:r w:rsidR="00A444B3">
        <w:rPr>
          <w:rFonts w:ascii="Times New Roman" w:hAnsi="Times New Roman" w:cs="Times New Roman"/>
          <w:sz w:val="24"/>
          <w:szCs w:val="24"/>
        </w:rPr>
        <w:t>aritmética del ROE fue de -0,006 (-0,6</w:t>
      </w:r>
      <w:r w:rsidR="005A5DBC" w:rsidRPr="004618E7">
        <w:rPr>
          <w:rFonts w:ascii="Times New Roman" w:hAnsi="Times New Roman" w:cs="Times New Roman"/>
          <w:sz w:val="24"/>
          <w:szCs w:val="24"/>
        </w:rPr>
        <w:t>%), con una gran dispersión entre empresas, obteniéndose</w:t>
      </w:r>
      <w:r w:rsidR="00A444B3">
        <w:rPr>
          <w:rFonts w:ascii="Times New Roman" w:hAnsi="Times New Roman" w:cs="Times New Roman"/>
          <w:sz w:val="24"/>
          <w:szCs w:val="24"/>
        </w:rPr>
        <w:t xml:space="preserve"> una desviación estándar de 0,78</w:t>
      </w:r>
      <w:r w:rsidR="005A5DBC" w:rsidRPr="004618E7">
        <w:rPr>
          <w:rFonts w:ascii="Times New Roman" w:hAnsi="Times New Roman" w:cs="Times New Roman"/>
          <w:sz w:val="24"/>
          <w:szCs w:val="24"/>
        </w:rPr>
        <w:t xml:space="preserve">, mientras que el promedio del ROA </w:t>
      </w:r>
      <w:r w:rsidR="00183744" w:rsidRPr="004618E7">
        <w:rPr>
          <w:rFonts w:ascii="Times New Roman" w:hAnsi="Times New Roman" w:cs="Times New Roman"/>
          <w:sz w:val="24"/>
          <w:szCs w:val="24"/>
        </w:rPr>
        <w:t xml:space="preserve">fue de 0,09 </w:t>
      </w:r>
      <w:r w:rsidR="005E48E7">
        <w:rPr>
          <w:rFonts w:ascii="Times New Roman" w:hAnsi="Times New Roman" w:cs="Times New Roman"/>
          <w:sz w:val="24"/>
          <w:szCs w:val="24"/>
        </w:rPr>
        <w:t xml:space="preserve">(9%) </w:t>
      </w:r>
      <w:r w:rsidR="00183744" w:rsidRPr="004618E7">
        <w:rPr>
          <w:rFonts w:ascii="Times New Roman" w:hAnsi="Times New Roman" w:cs="Times New Roman"/>
          <w:sz w:val="24"/>
          <w:szCs w:val="24"/>
        </w:rPr>
        <w:t>con una</w:t>
      </w:r>
      <w:r w:rsidR="00E63051">
        <w:rPr>
          <w:rFonts w:ascii="Times New Roman" w:hAnsi="Times New Roman" w:cs="Times New Roman"/>
          <w:sz w:val="24"/>
          <w:szCs w:val="24"/>
        </w:rPr>
        <w:t xml:space="preserve"> desviació</w:t>
      </w:r>
      <w:r w:rsidR="008C0756">
        <w:rPr>
          <w:rFonts w:ascii="Times New Roman" w:hAnsi="Times New Roman" w:cs="Times New Roman"/>
          <w:sz w:val="24"/>
          <w:szCs w:val="24"/>
        </w:rPr>
        <w:t xml:space="preserve">n de </w:t>
      </w:r>
      <w:r w:rsidR="00A444B3">
        <w:rPr>
          <w:rFonts w:ascii="Times New Roman" w:hAnsi="Times New Roman" w:cs="Times New Roman"/>
          <w:sz w:val="24"/>
          <w:szCs w:val="24"/>
        </w:rPr>
        <w:t>0,19</w:t>
      </w:r>
      <w:r w:rsidR="005A5DBC" w:rsidRPr="004618E7">
        <w:rPr>
          <w:rFonts w:ascii="Times New Roman" w:hAnsi="Times New Roman" w:cs="Times New Roman"/>
          <w:sz w:val="24"/>
          <w:szCs w:val="24"/>
        </w:rPr>
        <w:t>.</w:t>
      </w:r>
    </w:p>
    <w:p w:rsidR="00183744" w:rsidRPr="004618E7" w:rsidRDefault="00183744"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 xml:space="preserve">Si bien la realidad </w:t>
      </w:r>
      <w:r w:rsidR="006D72BE">
        <w:rPr>
          <w:rFonts w:ascii="Times New Roman" w:hAnsi="Times New Roman" w:cs="Times New Roman"/>
          <w:sz w:val="24"/>
          <w:szCs w:val="24"/>
        </w:rPr>
        <w:t>deja en claro</w:t>
      </w:r>
      <w:r w:rsidRPr="004618E7">
        <w:rPr>
          <w:rFonts w:ascii="Times New Roman" w:hAnsi="Times New Roman" w:cs="Times New Roman"/>
          <w:sz w:val="24"/>
          <w:szCs w:val="24"/>
        </w:rPr>
        <w:t xml:space="preserve"> que </w:t>
      </w:r>
      <w:r w:rsidR="00E63051">
        <w:rPr>
          <w:rFonts w:ascii="Times New Roman" w:hAnsi="Times New Roman" w:cs="Times New Roman"/>
          <w:sz w:val="24"/>
          <w:szCs w:val="24"/>
        </w:rPr>
        <w:t>las situaciones son</w:t>
      </w:r>
      <w:r w:rsidRPr="004618E7">
        <w:rPr>
          <w:rFonts w:ascii="Times New Roman" w:hAnsi="Times New Roman" w:cs="Times New Roman"/>
          <w:sz w:val="24"/>
          <w:szCs w:val="24"/>
        </w:rPr>
        <w:t xml:space="preserve"> muy diversa</w:t>
      </w:r>
      <w:r w:rsidR="00E63051">
        <w:rPr>
          <w:rFonts w:ascii="Times New Roman" w:hAnsi="Times New Roman" w:cs="Times New Roman"/>
          <w:sz w:val="24"/>
          <w:szCs w:val="24"/>
        </w:rPr>
        <w:t>s</w:t>
      </w:r>
      <w:r w:rsidRPr="004618E7">
        <w:rPr>
          <w:rFonts w:ascii="Times New Roman" w:hAnsi="Times New Roman" w:cs="Times New Roman"/>
          <w:sz w:val="24"/>
          <w:szCs w:val="24"/>
        </w:rPr>
        <w:t xml:space="preserve"> para </w:t>
      </w:r>
      <w:r w:rsidR="00E63051">
        <w:rPr>
          <w:rFonts w:ascii="Times New Roman" w:hAnsi="Times New Roman" w:cs="Times New Roman"/>
          <w:sz w:val="24"/>
          <w:szCs w:val="24"/>
        </w:rPr>
        <w:t xml:space="preserve">cada una de </w:t>
      </w:r>
      <w:r w:rsidRPr="004618E7">
        <w:rPr>
          <w:rFonts w:ascii="Times New Roman" w:hAnsi="Times New Roman" w:cs="Times New Roman"/>
          <w:sz w:val="24"/>
          <w:szCs w:val="24"/>
        </w:rPr>
        <w:t>las empresas, las mis</w:t>
      </w:r>
      <w:r w:rsidR="00E63051">
        <w:rPr>
          <w:rFonts w:ascii="Times New Roman" w:hAnsi="Times New Roman" w:cs="Times New Roman"/>
          <w:sz w:val="24"/>
          <w:szCs w:val="24"/>
        </w:rPr>
        <w:t xml:space="preserve">mas muestran </w:t>
      </w:r>
      <w:r w:rsidR="005E48E7">
        <w:rPr>
          <w:rFonts w:ascii="Times New Roman" w:hAnsi="Times New Roman" w:cs="Times New Roman"/>
          <w:sz w:val="24"/>
          <w:szCs w:val="24"/>
        </w:rPr>
        <w:t xml:space="preserve">en promedio </w:t>
      </w:r>
      <w:r w:rsidR="00E63051">
        <w:rPr>
          <w:rFonts w:ascii="Times New Roman" w:hAnsi="Times New Roman" w:cs="Times New Roman"/>
          <w:sz w:val="24"/>
          <w:szCs w:val="24"/>
        </w:rPr>
        <w:t>una rentabilidad d</w:t>
      </w:r>
      <w:r w:rsidRPr="004618E7">
        <w:rPr>
          <w:rFonts w:ascii="Times New Roman" w:hAnsi="Times New Roman" w:cs="Times New Roman"/>
          <w:sz w:val="24"/>
          <w:szCs w:val="24"/>
        </w:rPr>
        <w:t>e</w:t>
      </w:r>
      <w:r w:rsidR="00E63051">
        <w:rPr>
          <w:rFonts w:ascii="Times New Roman" w:hAnsi="Times New Roman" w:cs="Times New Roman"/>
          <w:sz w:val="24"/>
          <w:szCs w:val="24"/>
        </w:rPr>
        <w:t xml:space="preserve"> sus activos positiva, con una relación</w:t>
      </w:r>
      <w:r w:rsidRPr="004618E7">
        <w:rPr>
          <w:rFonts w:ascii="Times New Roman" w:hAnsi="Times New Roman" w:cs="Times New Roman"/>
          <w:sz w:val="24"/>
          <w:szCs w:val="24"/>
        </w:rPr>
        <w:t xml:space="preserve"> </w:t>
      </w:r>
      <w:r w:rsidR="00F3687D">
        <w:rPr>
          <w:rFonts w:ascii="Times New Roman" w:hAnsi="Times New Roman" w:cs="Times New Roman"/>
          <w:sz w:val="24"/>
          <w:szCs w:val="24"/>
        </w:rPr>
        <w:t xml:space="preserve">que podría considerarse </w:t>
      </w:r>
      <w:r w:rsidR="005E48E7">
        <w:rPr>
          <w:rFonts w:ascii="Times New Roman" w:hAnsi="Times New Roman" w:cs="Times New Roman"/>
          <w:sz w:val="24"/>
          <w:szCs w:val="24"/>
        </w:rPr>
        <w:t>razonable</w:t>
      </w:r>
      <w:r w:rsidRPr="004618E7">
        <w:rPr>
          <w:rFonts w:ascii="Times New Roman" w:hAnsi="Times New Roman" w:cs="Times New Roman"/>
          <w:sz w:val="24"/>
          <w:szCs w:val="24"/>
        </w:rPr>
        <w:t>. No obstante, la misma se desvan</w:t>
      </w:r>
      <w:r w:rsidR="00E63051">
        <w:rPr>
          <w:rFonts w:ascii="Times New Roman" w:hAnsi="Times New Roman" w:cs="Times New Roman"/>
          <w:sz w:val="24"/>
          <w:szCs w:val="24"/>
        </w:rPr>
        <w:t>e</w:t>
      </w:r>
      <w:r w:rsidRPr="004618E7">
        <w:rPr>
          <w:rFonts w:ascii="Times New Roman" w:hAnsi="Times New Roman" w:cs="Times New Roman"/>
          <w:sz w:val="24"/>
          <w:szCs w:val="24"/>
        </w:rPr>
        <w:t>ce</w:t>
      </w:r>
      <w:r w:rsidR="00416062" w:rsidRPr="004618E7">
        <w:rPr>
          <w:rFonts w:ascii="Times New Roman" w:hAnsi="Times New Roman" w:cs="Times New Roman"/>
          <w:sz w:val="24"/>
          <w:szCs w:val="24"/>
        </w:rPr>
        <w:t xml:space="preserve"> </w:t>
      </w:r>
      <w:r w:rsidRPr="004618E7">
        <w:rPr>
          <w:rFonts w:ascii="Times New Roman" w:hAnsi="Times New Roman" w:cs="Times New Roman"/>
          <w:sz w:val="24"/>
          <w:szCs w:val="24"/>
        </w:rPr>
        <w:t xml:space="preserve">fuertemente </w:t>
      </w:r>
      <w:r w:rsidR="00F3687D">
        <w:rPr>
          <w:rFonts w:ascii="Times New Roman" w:hAnsi="Times New Roman" w:cs="Times New Roman"/>
          <w:sz w:val="24"/>
          <w:szCs w:val="24"/>
        </w:rPr>
        <w:t xml:space="preserve">en el ROE </w:t>
      </w:r>
      <w:r w:rsidRPr="004618E7">
        <w:rPr>
          <w:rFonts w:ascii="Times New Roman" w:hAnsi="Times New Roman" w:cs="Times New Roman"/>
          <w:sz w:val="24"/>
          <w:szCs w:val="24"/>
        </w:rPr>
        <w:t>por el efecto negativo de</w:t>
      </w:r>
      <w:r w:rsidR="00F3687D">
        <w:rPr>
          <w:rFonts w:ascii="Times New Roman" w:hAnsi="Times New Roman" w:cs="Times New Roman"/>
          <w:sz w:val="24"/>
          <w:szCs w:val="24"/>
        </w:rPr>
        <w:t>l costo f</w:t>
      </w:r>
      <w:r w:rsidR="00534875">
        <w:rPr>
          <w:rFonts w:ascii="Times New Roman" w:hAnsi="Times New Roman" w:cs="Times New Roman"/>
          <w:sz w:val="24"/>
          <w:szCs w:val="24"/>
        </w:rPr>
        <w:t>inanciero, pudiendo observarse en este caso</w:t>
      </w:r>
      <w:r w:rsidR="00E63051">
        <w:rPr>
          <w:rFonts w:ascii="Times New Roman" w:hAnsi="Times New Roman" w:cs="Times New Roman"/>
          <w:sz w:val="24"/>
          <w:szCs w:val="24"/>
        </w:rPr>
        <w:t xml:space="preserve"> </w:t>
      </w:r>
      <w:r w:rsidR="00416062" w:rsidRPr="004618E7">
        <w:rPr>
          <w:rFonts w:ascii="Times New Roman" w:hAnsi="Times New Roman" w:cs="Times New Roman"/>
          <w:sz w:val="24"/>
          <w:szCs w:val="24"/>
        </w:rPr>
        <w:t xml:space="preserve"> grandes diferencias</w:t>
      </w:r>
      <w:r w:rsidR="00E63051">
        <w:rPr>
          <w:rFonts w:ascii="Times New Roman" w:hAnsi="Times New Roman" w:cs="Times New Roman"/>
          <w:sz w:val="24"/>
          <w:szCs w:val="24"/>
        </w:rPr>
        <w:t xml:space="preserve"> por empresa, según sea su estr</w:t>
      </w:r>
      <w:r w:rsidR="00416062" w:rsidRPr="004618E7">
        <w:rPr>
          <w:rFonts w:ascii="Times New Roman" w:hAnsi="Times New Roman" w:cs="Times New Roman"/>
          <w:sz w:val="24"/>
          <w:szCs w:val="24"/>
        </w:rPr>
        <w:t>u</w:t>
      </w:r>
      <w:r w:rsidR="00E63051">
        <w:rPr>
          <w:rFonts w:ascii="Times New Roman" w:hAnsi="Times New Roman" w:cs="Times New Roman"/>
          <w:sz w:val="24"/>
          <w:szCs w:val="24"/>
        </w:rPr>
        <w:t>c</w:t>
      </w:r>
      <w:r w:rsidR="00416062" w:rsidRPr="004618E7">
        <w:rPr>
          <w:rFonts w:ascii="Times New Roman" w:hAnsi="Times New Roman" w:cs="Times New Roman"/>
          <w:sz w:val="24"/>
          <w:szCs w:val="24"/>
        </w:rPr>
        <w:t xml:space="preserve">tura de </w:t>
      </w:r>
      <w:r w:rsidR="00F3687D">
        <w:rPr>
          <w:rFonts w:ascii="Times New Roman" w:hAnsi="Times New Roman" w:cs="Times New Roman"/>
          <w:sz w:val="24"/>
          <w:szCs w:val="24"/>
        </w:rPr>
        <w:t>financiamiento.</w:t>
      </w:r>
    </w:p>
    <w:p w:rsidR="005A5DBC" w:rsidRPr="004618E7" w:rsidRDefault="005A5DBC"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En el año 2019, la med</w:t>
      </w:r>
      <w:r w:rsidR="00A444B3">
        <w:rPr>
          <w:rFonts w:ascii="Times New Roman" w:hAnsi="Times New Roman" w:cs="Times New Roman"/>
          <w:sz w:val="24"/>
          <w:szCs w:val="24"/>
        </w:rPr>
        <w:t>ia del ROE fue -0,03 (-3</w:t>
      </w:r>
      <w:r w:rsidRPr="004618E7">
        <w:rPr>
          <w:rFonts w:ascii="Times New Roman" w:hAnsi="Times New Roman" w:cs="Times New Roman"/>
          <w:sz w:val="24"/>
          <w:szCs w:val="24"/>
        </w:rPr>
        <w:t>%), con una desviación</w:t>
      </w:r>
      <w:r w:rsidR="00A444B3">
        <w:rPr>
          <w:rFonts w:ascii="Times New Roman" w:hAnsi="Times New Roman" w:cs="Times New Roman"/>
          <w:sz w:val="24"/>
          <w:szCs w:val="24"/>
        </w:rPr>
        <w:t xml:space="preserve"> estándar si bien amplia de 0,41</w:t>
      </w:r>
      <w:r w:rsidRPr="004618E7">
        <w:rPr>
          <w:rFonts w:ascii="Times New Roman" w:hAnsi="Times New Roman" w:cs="Times New Roman"/>
          <w:sz w:val="24"/>
          <w:szCs w:val="24"/>
        </w:rPr>
        <w:t xml:space="preserve"> fue menos que en el periodo anterior. En cuanto al ROA r</w:t>
      </w:r>
      <w:r w:rsidR="00E63051">
        <w:rPr>
          <w:rFonts w:ascii="Times New Roman" w:hAnsi="Times New Roman" w:cs="Times New Roman"/>
          <w:sz w:val="24"/>
          <w:szCs w:val="24"/>
        </w:rPr>
        <w:t>e</w:t>
      </w:r>
      <w:r w:rsidRPr="004618E7">
        <w:rPr>
          <w:rFonts w:ascii="Times New Roman" w:hAnsi="Times New Roman" w:cs="Times New Roman"/>
          <w:sz w:val="24"/>
          <w:szCs w:val="24"/>
        </w:rPr>
        <w:t xml:space="preserve">sultó </w:t>
      </w:r>
      <w:r w:rsidR="00A444B3">
        <w:rPr>
          <w:rFonts w:ascii="Times New Roman" w:hAnsi="Times New Roman" w:cs="Times New Roman"/>
          <w:sz w:val="24"/>
          <w:szCs w:val="24"/>
        </w:rPr>
        <w:t>0,02</w:t>
      </w:r>
      <w:r w:rsidR="0032475E">
        <w:rPr>
          <w:rFonts w:ascii="Times New Roman" w:hAnsi="Times New Roman" w:cs="Times New Roman"/>
          <w:sz w:val="24"/>
          <w:szCs w:val="24"/>
        </w:rPr>
        <w:t xml:space="preserve"> (2</w:t>
      </w:r>
      <w:r w:rsidR="00534875">
        <w:rPr>
          <w:rFonts w:ascii="Times New Roman" w:hAnsi="Times New Roman" w:cs="Times New Roman"/>
          <w:sz w:val="24"/>
          <w:szCs w:val="24"/>
        </w:rPr>
        <w:t xml:space="preserve">%), </w:t>
      </w:r>
      <w:r w:rsidR="00E63051">
        <w:rPr>
          <w:rFonts w:ascii="Times New Roman" w:hAnsi="Times New Roman" w:cs="Times New Roman"/>
          <w:sz w:val="24"/>
          <w:szCs w:val="24"/>
        </w:rPr>
        <w:t>con una desviació</w:t>
      </w:r>
      <w:r w:rsidR="00183744" w:rsidRPr="004618E7">
        <w:rPr>
          <w:rFonts w:ascii="Times New Roman" w:hAnsi="Times New Roman" w:cs="Times New Roman"/>
          <w:sz w:val="24"/>
          <w:szCs w:val="24"/>
        </w:rPr>
        <w:t xml:space="preserve">n estándar </w:t>
      </w:r>
      <w:r w:rsidR="00D820C1">
        <w:rPr>
          <w:rFonts w:ascii="Times New Roman" w:hAnsi="Times New Roman" w:cs="Times New Roman"/>
          <w:sz w:val="24"/>
          <w:szCs w:val="24"/>
        </w:rPr>
        <w:t>cercana</w:t>
      </w:r>
      <w:r w:rsidR="00183744" w:rsidRPr="004618E7">
        <w:rPr>
          <w:rFonts w:ascii="Times New Roman" w:hAnsi="Times New Roman" w:cs="Times New Roman"/>
          <w:sz w:val="24"/>
          <w:szCs w:val="24"/>
        </w:rPr>
        <w:t xml:space="preserve"> a la del periodo anterior</w:t>
      </w:r>
      <w:r w:rsidR="00E63051">
        <w:rPr>
          <w:rFonts w:ascii="Times New Roman" w:hAnsi="Times New Roman" w:cs="Times New Roman"/>
          <w:sz w:val="24"/>
          <w:szCs w:val="24"/>
        </w:rPr>
        <w:t>,</w:t>
      </w:r>
      <w:r w:rsidR="00183744" w:rsidRPr="004618E7">
        <w:rPr>
          <w:rFonts w:ascii="Times New Roman" w:hAnsi="Times New Roman" w:cs="Times New Roman"/>
          <w:sz w:val="24"/>
          <w:szCs w:val="24"/>
        </w:rPr>
        <w:t xml:space="preserve"> en </w:t>
      </w:r>
      <w:r w:rsidR="00E63051">
        <w:rPr>
          <w:rFonts w:ascii="Times New Roman" w:hAnsi="Times New Roman" w:cs="Times New Roman"/>
          <w:sz w:val="24"/>
          <w:szCs w:val="24"/>
        </w:rPr>
        <w:t xml:space="preserve">este caso </w:t>
      </w:r>
      <w:r w:rsidR="00183744" w:rsidRPr="004618E7">
        <w:rPr>
          <w:rFonts w:ascii="Times New Roman" w:hAnsi="Times New Roman" w:cs="Times New Roman"/>
          <w:sz w:val="24"/>
          <w:szCs w:val="24"/>
        </w:rPr>
        <w:t>0</w:t>
      </w:r>
      <w:r w:rsidR="00AA53B2" w:rsidRPr="004618E7">
        <w:rPr>
          <w:rFonts w:ascii="Times New Roman" w:hAnsi="Times New Roman" w:cs="Times New Roman"/>
          <w:sz w:val="24"/>
          <w:szCs w:val="24"/>
        </w:rPr>
        <w:t>,</w:t>
      </w:r>
      <w:r w:rsidR="00A444B3">
        <w:rPr>
          <w:rFonts w:ascii="Times New Roman" w:hAnsi="Times New Roman" w:cs="Times New Roman"/>
          <w:sz w:val="24"/>
          <w:szCs w:val="24"/>
        </w:rPr>
        <w:t>16</w:t>
      </w:r>
      <w:r w:rsidR="00183744" w:rsidRPr="004618E7">
        <w:rPr>
          <w:rFonts w:ascii="Times New Roman" w:hAnsi="Times New Roman" w:cs="Times New Roman"/>
          <w:sz w:val="24"/>
          <w:szCs w:val="24"/>
        </w:rPr>
        <w:t>.</w:t>
      </w:r>
    </w:p>
    <w:p w:rsidR="007B45C9" w:rsidRDefault="00AA53B2" w:rsidP="00E63051">
      <w:pPr>
        <w:spacing w:line="360" w:lineRule="auto"/>
        <w:jc w:val="both"/>
        <w:rPr>
          <w:rFonts w:ascii="Times New Roman" w:hAnsi="Times New Roman" w:cs="Times New Roman"/>
          <w:sz w:val="24"/>
          <w:szCs w:val="24"/>
        </w:rPr>
      </w:pPr>
      <w:r w:rsidRPr="004618E7">
        <w:rPr>
          <w:rFonts w:ascii="Times New Roman" w:hAnsi="Times New Roman" w:cs="Times New Roman"/>
          <w:sz w:val="24"/>
          <w:szCs w:val="24"/>
        </w:rPr>
        <w:t xml:space="preserve">Debe notarse que </w:t>
      </w:r>
      <w:r w:rsidR="002F4087">
        <w:rPr>
          <w:rFonts w:ascii="Times New Roman" w:hAnsi="Times New Roman" w:cs="Times New Roman"/>
          <w:sz w:val="24"/>
          <w:szCs w:val="24"/>
        </w:rPr>
        <w:t xml:space="preserve">en el último año </w:t>
      </w:r>
      <w:r w:rsidRPr="004618E7">
        <w:rPr>
          <w:rFonts w:ascii="Times New Roman" w:hAnsi="Times New Roman" w:cs="Times New Roman"/>
          <w:sz w:val="24"/>
          <w:szCs w:val="24"/>
        </w:rPr>
        <w:t xml:space="preserve">la rentabilidad media sobre </w:t>
      </w:r>
      <w:r w:rsidR="00E63051">
        <w:rPr>
          <w:rFonts w:ascii="Times New Roman" w:hAnsi="Times New Roman" w:cs="Times New Roman"/>
          <w:sz w:val="24"/>
          <w:szCs w:val="24"/>
        </w:rPr>
        <w:t>los</w:t>
      </w:r>
      <w:r w:rsidRPr="004618E7">
        <w:rPr>
          <w:rFonts w:ascii="Times New Roman" w:hAnsi="Times New Roman" w:cs="Times New Roman"/>
          <w:sz w:val="24"/>
          <w:szCs w:val="24"/>
        </w:rPr>
        <w:t xml:space="preserve"> activos de la</w:t>
      </w:r>
      <w:r w:rsidR="00E63051">
        <w:rPr>
          <w:rFonts w:ascii="Times New Roman" w:hAnsi="Times New Roman" w:cs="Times New Roman"/>
          <w:sz w:val="24"/>
          <w:szCs w:val="24"/>
        </w:rPr>
        <w:t>s</w:t>
      </w:r>
      <w:r w:rsidRPr="004618E7">
        <w:rPr>
          <w:rFonts w:ascii="Times New Roman" w:hAnsi="Times New Roman" w:cs="Times New Roman"/>
          <w:sz w:val="24"/>
          <w:szCs w:val="24"/>
        </w:rPr>
        <w:t xml:space="preserve"> empresa</w:t>
      </w:r>
      <w:r w:rsidR="00E63051">
        <w:rPr>
          <w:rFonts w:ascii="Times New Roman" w:hAnsi="Times New Roman" w:cs="Times New Roman"/>
          <w:sz w:val="24"/>
          <w:szCs w:val="24"/>
        </w:rPr>
        <w:t>s</w:t>
      </w:r>
      <w:r w:rsidRPr="004618E7">
        <w:rPr>
          <w:rFonts w:ascii="Times New Roman" w:hAnsi="Times New Roman" w:cs="Times New Roman"/>
          <w:sz w:val="24"/>
          <w:szCs w:val="24"/>
        </w:rPr>
        <w:t xml:space="preserve"> fue un </w:t>
      </w:r>
      <w:r w:rsidR="00534875">
        <w:rPr>
          <w:rFonts w:ascii="Times New Roman" w:hAnsi="Times New Roman" w:cs="Times New Roman"/>
          <w:sz w:val="24"/>
          <w:szCs w:val="24"/>
        </w:rPr>
        <w:t>cuarto</w:t>
      </w:r>
      <w:r w:rsidRPr="004618E7">
        <w:rPr>
          <w:rFonts w:ascii="Times New Roman" w:hAnsi="Times New Roman" w:cs="Times New Roman"/>
          <w:sz w:val="24"/>
          <w:szCs w:val="24"/>
        </w:rPr>
        <w:t xml:space="preserve"> respecto a la del año anterior y ade</w:t>
      </w:r>
      <w:r w:rsidR="00311A78">
        <w:rPr>
          <w:rFonts w:ascii="Times New Roman" w:hAnsi="Times New Roman" w:cs="Times New Roman"/>
          <w:sz w:val="24"/>
          <w:szCs w:val="24"/>
        </w:rPr>
        <w:t xml:space="preserve">más el efecto negativo del </w:t>
      </w:r>
      <w:proofErr w:type="spellStart"/>
      <w:r w:rsidR="00311A78" w:rsidRPr="00311A78">
        <w:rPr>
          <w:rFonts w:ascii="Times New Roman" w:hAnsi="Times New Roman" w:cs="Times New Roman"/>
          <w:i/>
          <w:sz w:val="24"/>
          <w:szCs w:val="24"/>
        </w:rPr>
        <w:t>leve</w:t>
      </w:r>
      <w:r w:rsidRPr="00311A78">
        <w:rPr>
          <w:rFonts w:ascii="Times New Roman" w:hAnsi="Times New Roman" w:cs="Times New Roman"/>
          <w:i/>
          <w:sz w:val="24"/>
          <w:szCs w:val="24"/>
        </w:rPr>
        <w:t>r</w:t>
      </w:r>
      <w:r w:rsidR="00311A78" w:rsidRPr="00311A78">
        <w:rPr>
          <w:rFonts w:ascii="Times New Roman" w:hAnsi="Times New Roman" w:cs="Times New Roman"/>
          <w:i/>
          <w:sz w:val="24"/>
          <w:szCs w:val="24"/>
        </w:rPr>
        <w:t>a</w:t>
      </w:r>
      <w:r w:rsidRPr="00311A78">
        <w:rPr>
          <w:rFonts w:ascii="Times New Roman" w:hAnsi="Times New Roman" w:cs="Times New Roman"/>
          <w:i/>
          <w:sz w:val="24"/>
          <w:szCs w:val="24"/>
        </w:rPr>
        <w:t>ge</w:t>
      </w:r>
      <w:proofErr w:type="spellEnd"/>
      <w:r w:rsidRPr="004618E7">
        <w:rPr>
          <w:rFonts w:ascii="Times New Roman" w:hAnsi="Times New Roman" w:cs="Times New Roman"/>
          <w:sz w:val="24"/>
          <w:szCs w:val="24"/>
        </w:rPr>
        <w:t xml:space="preserve"> fue </w:t>
      </w:r>
      <w:r w:rsidR="005E48E7">
        <w:rPr>
          <w:rFonts w:ascii="Times New Roman" w:hAnsi="Times New Roman" w:cs="Times New Roman"/>
          <w:sz w:val="24"/>
          <w:szCs w:val="24"/>
        </w:rPr>
        <w:t>significativo</w:t>
      </w:r>
      <w:r w:rsidRPr="004618E7">
        <w:rPr>
          <w:rFonts w:ascii="Times New Roman" w:hAnsi="Times New Roman" w:cs="Times New Roman"/>
          <w:sz w:val="24"/>
          <w:szCs w:val="24"/>
        </w:rPr>
        <w:t xml:space="preserve">, </w:t>
      </w:r>
      <w:r w:rsidR="00534875">
        <w:rPr>
          <w:rFonts w:ascii="Times New Roman" w:hAnsi="Times New Roman" w:cs="Times New Roman"/>
          <w:sz w:val="24"/>
          <w:szCs w:val="24"/>
        </w:rPr>
        <w:t>generando una</w:t>
      </w:r>
      <w:r w:rsidRPr="004618E7">
        <w:rPr>
          <w:rFonts w:ascii="Times New Roman" w:hAnsi="Times New Roman" w:cs="Times New Roman"/>
          <w:sz w:val="24"/>
          <w:szCs w:val="24"/>
        </w:rPr>
        <w:t xml:space="preserve"> rentabilidad sobre el</w:t>
      </w:r>
      <w:r w:rsidR="00534875">
        <w:rPr>
          <w:rFonts w:ascii="Times New Roman" w:hAnsi="Times New Roman" w:cs="Times New Roman"/>
          <w:sz w:val="24"/>
          <w:szCs w:val="24"/>
        </w:rPr>
        <w:t xml:space="preserve"> patrimonio</w:t>
      </w:r>
      <w:r w:rsidRPr="004618E7">
        <w:rPr>
          <w:rFonts w:ascii="Times New Roman" w:hAnsi="Times New Roman" w:cs="Times New Roman"/>
          <w:sz w:val="24"/>
          <w:szCs w:val="24"/>
        </w:rPr>
        <w:t xml:space="preserve"> negativa como el año a</w:t>
      </w:r>
      <w:r w:rsidR="005E48E7">
        <w:rPr>
          <w:rFonts w:ascii="Times New Roman" w:hAnsi="Times New Roman" w:cs="Times New Roman"/>
          <w:sz w:val="24"/>
          <w:szCs w:val="24"/>
        </w:rPr>
        <w:t>nterior, pero multiplicada por 5</w:t>
      </w:r>
      <w:r w:rsidRPr="004618E7">
        <w:rPr>
          <w:rFonts w:ascii="Times New Roman" w:hAnsi="Times New Roman" w:cs="Times New Roman"/>
          <w:sz w:val="24"/>
          <w:szCs w:val="24"/>
        </w:rPr>
        <w:t>.</w:t>
      </w:r>
      <w:r w:rsidR="00534875">
        <w:rPr>
          <w:rFonts w:ascii="Times New Roman" w:hAnsi="Times New Roman" w:cs="Times New Roman"/>
          <w:sz w:val="24"/>
          <w:szCs w:val="24"/>
        </w:rPr>
        <w:t xml:space="preserve"> </w:t>
      </w:r>
    </w:p>
    <w:p w:rsidR="005E48E7" w:rsidRDefault="00D820C1"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Mientras los altos costos financieros</w:t>
      </w:r>
      <w:r w:rsidR="00311A78">
        <w:rPr>
          <w:rFonts w:ascii="Times New Roman" w:hAnsi="Times New Roman" w:cs="Times New Roman"/>
          <w:sz w:val="24"/>
          <w:szCs w:val="24"/>
        </w:rPr>
        <w:t xml:space="preserve"> destruían la rentabilidad de los accionistas en el 2018, </w:t>
      </w:r>
      <w:r w:rsidR="005E48E7">
        <w:rPr>
          <w:rFonts w:ascii="Times New Roman" w:hAnsi="Times New Roman" w:cs="Times New Roman"/>
          <w:sz w:val="24"/>
          <w:szCs w:val="24"/>
        </w:rPr>
        <w:t>al año siguiente</w:t>
      </w:r>
      <w:r w:rsidR="00311A78">
        <w:rPr>
          <w:rFonts w:ascii="Times New Roman" w:hAnsi="Times New Roman" w:cs="Times New Roman"/>
          <w:sz w:val="24"/>
          <w:szCs w:val="24"/>
        </w:rPr>
        <w:t xml:space="preserve"> se desplomaron lo</w:t>
      </w:r>
      <w:r w:rsidR="005E48E7">
        <w:rPr>
          <w:rFonts w:ascii="Times New Roman" w:hAnsi="Times New Roman" w:cs="Times New Roman"/>
          <w:sz w:val="24"/>
          <w:szCs w:val="24"/>
        </w:rPr>
        <w:t>s</w:t>
      </w:r>
      <w:r w:rsidR="00311A78">
        <w:rPr>
          <w:rFonts w:ascii="Times New Roman" w:hAnsi="Times New Roman" w:cs="Times New Roman"/>
          <w:sz w:val="24"/>
          <w:szCs w:val="24"/>
        </w:rPr>
        <w:t xml:space="preserve"> resultados operativos</w:t>
      </w:r>
      <w:r w:rsidR="005E48E7">
        <w:rPr>
          <w:rFonts w:ascii="Times New Roman" w:hAnsi="Times New Roman" w:cs="Times New Roman"/>
          <w:sz w:val="24"/>
          <w:szCs w:val="24"/>
        </w:rPr>
        <w:t>, sumado esto</w:t>
      </w:r>
      <w:r w:rsidR="00311A78">
        <w:rPr>
          <w:rFonts w:ascii="Times New Roman" w:hAnsi="Times New Roman" w:cs="Times New Roman"/>
          <w:sz w:val="24"/>
          <w:szCs w:val="24"/>
        </w:rPr>
        <w:t xml:space="preserve"> a un fuerte impacto negativo</w:t>
      </w:r>
      <w:r w:rsidR="00F3687D">
        <w:rPr>
          <w:rFonts w:ascii="Times New Roman" w:hAnsi="Times New Roman" w:cs="Times New Roman"/>
          <w:sz w:val="24"/>
          <w:szCs w:val="24"/>
        </w:rPr>
        <w:t xml:space="preserve"> de los intereses, lo cual llevó</w:t>
      </w:r>
      <w:r w:rsidR="00311A78">
        <w:rPr>
          <w:rFonts w:ascii="Times New Roman" w:hAnsi="Times New Roman" w:cs="Times New Roman"/>
          <w:sz w:val="24"/>
          <w:szCs w:val="24"/>
        </w:rPr>
        <w:t xml:space="preserve"> al peor de los escenarios. </w:t>
      </w:r>
      <w:r w:rsidR="00534875">
        <w:rPr>
          <w:rFonts w:ascii="Times New Roman" w:hAnsi="Times New Roman" w:cs="Times New Roman"/>
          <w:sz w:val="24"/>
          <w:szCs w:val="24"/>
        </w:rPr>
        <w:t>De todas maneras, al estar prevenidas las empresas sobre lo que estaba ocurriendo en el mercado financiero no tomaron préstamos más allá de lo indispensable, evitando un desastre mayor, ya que ante un ROA muy bajo y costos financieros tan elevados el apalancamiento financiero habría generado resultados</w:t>
      </w:r>
      <w:r>
        <w:rPr>
          <w:rFonts w:ascii="Times New Roman" w:hAnsi="Times New Roman" w:cs="Times New Roman"/>
          <w:sz w:val="24"/>
          <w:szCs w:val="24"/>
        </w:rPr>
        <w:t xml:space="preserve"> aún más desfavorables que los presentados</w:t>
      </w:r>
      <w:r w:rsidR="00534875">
        <w:rPr>
          <w:rFonts w:ascii="Times New Roman" w:hAnsi="Times New Roman" w:cs="Times New Roman"/>
          <w:sz w:val="24"/>
          <w:szCs w:val="24"/>
        </w:rPr>
        <w:t>.</w:t>
      </w:r>
    </w:p>
    <w:p w:rsidR="005E48E7" w:rsidRDefault="005E48E7" w:rsidP="00E63051">
      <w:pPr>
        <w:spacing w:line="360" w:lineRule="auto"/>
        <w:jc w:val="both"/>
        <w:rPr>
          <w:rFonts w:ascii="Times New Roman" w:hAnsi="Times New Roman" w:cs="Times New Roman"/>
          <w:sz w:val="24"/>
          <w:szCs w:val="24"/>
        </w:rPr>
      </w:pPr>
    </w:p>
    <w:p w:rsidR="007855BC" w:rsidRPr="004618E7" w:rsidRDefault="007855BC" w:rsidP="00E63051">
      <w:pPr>
        <w:spacing w:line="360" w:lineRule="auto"/>
        <w:jc w:val="both"/>
        <w:rPr>
          <w:rFonts w:ascii="Times New Roman" w:hAnsi="Times New Roman" w:cs="Times New Roman"/>
          <w:b/>
          <w:sz w:val="24"/>
          <w:szCs w:val="24"/>
        </w:rPr>
      </w:pPr>
      <w:r w:rsidRPr="004618E7">
        <w:rPr>
          <w:rFonts w:ascii="Times New Roman" w:hAnsi="Times New Roman" w:cs="Times New Roman"/>
          <w:b/>
          <w:sz w:val="24"/>
          <w:szCs w:val="24"/>
        </w:rPr>
        <w:lastRenderedPageBreak/>
        <w:t>Conclusiones</w:t>
      </w:r>
    </w:p>
    <w:p w:rsidR="00157E10" w:rsidRDefault="002F4087"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A través del análisis de las rentabilidades en importantes empresas argentinas, intentamos  comprender el funcionamiento de una parte de la economía real. Queda claro que s</w:t>
      </w:r>
      <w:r w:rsidR="00480D97">
        <w:rPr>
          <w:rFonts w:ascii="Times New Roman" w:hAnsi="Times New Roman" w:cs="Times New Roman"/>
          <w:sz w:val="24"/>
          <w:szCs w:val="24"/>
        </w:rPr>
        <w:t xml:space="preserve">i las </w:t>
      </w:r>
      <w:r w:rsidR="006D72BE">
        <w:rPr>
          <w:rFonts w:ascii="Times New Roman" w:hAnsi="Times New Roman" w:cs="Times New Roman"/>
          <w:sz w:val="24"/>
          <w:szCs w:val="24"/>
        </w:rPr>
        <w:t>compañías</w:t>
      </w:r>
      <w:r w:rsidR="00480D97">
        <w:rPr>
          <w:rFonts w:ascii="Times New Roman" w:hAnsi="Times New Roman" w:cs="Times New Roman"/>
          <w:sz w:val="24"/>
          <w:szCs w:val="24"/>
        </w:rPr>
        <w:t xml:space="preserve"> no tienen resultados positivos no hay incentivos para la inversión y la economía permanece estancada. </w:t>
      </w:r>
      <w:r>
        <w:rPr>
          <w:rFonts w:ascii="Times New Roman" w:hAnsi="Times New Roman" w:cs="Times New Roman"/>
          <w:sz w:val="24"/>
          <w:szCs w:val="24"/>
        </w:rPr>
        <w:t>Elevados costos impositi</w:t>
      </w:r>
      <w:r w:rsidR="00D410C6">
        <w:rPr>
          <w:rFonts w:ascii="Times New Roman" w:hAnsi="Times New Roman" w:cs="Times New Roman"/>
          <w:sz w:val="24"/>
          <w:szCs w:val="24"/>
        </w:rPr>
        <w:t>vos y laborales</w:t>
      </w:r>
      <w:r w:rsidR="008A7885">
        <w:rPr>
          <w:rFonts w:ascii="Times New Roman" w:hAnsi="Times New Roman" w:cs="Times New Roman"/>
          <w:sz w:val="24"/>
          <w:szCs w:val="24"/>
        </w:rPr>
        <w:t xml:space="preserve">, </w:t>
      </w:r>
      <w:r>
        <w:rPr>
          <w:rFonts w:ascii="Times New Roman" w:hAnsi="Times New Roman" w:cs="Times New Roman"/>
          <w:sz w:val="24"/>
          <w:szCs w:val="24"/>
        </w:rPr>
        <w:t xml:space="preserve">fuertes variaciones en el tipo de cambio, </w:t>
      </w:r>
      <w:r w:rsidR="00263765">
        <w:rPr>
          <w:rFonts w:ascii="Times New Roman" w:hAnsi="Times New Roman" w:cs="Times New Roman"/>
          <w:sz w:val="24"/>
          <w:szCs w:val="24"/>
        </w:rPr>
        <w:t>inflación y tasas de interés desmesuradas, operan como fuertes desincentivos y el objetivo pasa a ser la mera su</w:t>
      </w:r>
      <w:r w:rsidR="003E69AA">
        <w:rPr>
          <w:rFonts w:ascii="Times New Roman" w:hAnsi="Times New Roman" w:cs="Times New Roman"/>
          <w:sz w:val="24"/>
          <w:szCs w:val="24"/>
        </w:rPr>
        <w:t>pervivencia</w:t>
      </w:r>
      <w:r w:rsidR="00263765">
        <w:rPr>
          <w:rFonts w:ascii="Times New Roman" w:hAnsi="Times New Roman" w:cs="Times New Roman"/>
          <w:sz w:val="24"/>
          <w:szCs w:val="24"/>
        </w:rPr>
        <w:t xml:space="preserve"> de las organizaciones.</w:t>
      </w:r>
    </w:p>
    <w:p w:rsidR="00263765" w:rsidRDefault="00263765"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Debemos tener en cuenta que en este trabajo hemos verificado el co</w:t>
      </w:r>
      <w:r w:rsidR="006D72BE">
        <w:rPr>
          <w:rFonts w:ascii="Times New Roman" w:hAnsi="Times New Roman" w:cs="Times New Roman"/>
          <w:sz w:val="24"/>
          <w:szCs w:val="24"/>
        </w:rPr>
        <w:t>mportamiento de grandes sociedades</w:t>
      </w:r>
      <w:r>
        <w:rPr>
          <w:rFonts w:ascii="Times New Roman" w:hAnsi="Times New Roman" w:cs="Times New Roman"/>
          <w:sz w:val="24"/>
          <w:szCs w:val="24"/>
        </w:rPr>
        <w:t xml:space="preserve">, las cuales </w:t>
      </w:r>
      <w:r w:rsidR="003E69AA">
        <w:rPr>
          <w:rFonts w:ascii="Times New Roman" w:hAnsi="Times New Roman" w:cs="Times New Roman"/>
          <w:sz w:val="24"/>
          <w:szCs w:val="24"/>
        </w:rPr>
        <w:t>cuentan con</w:t>
      </w:r>
      <w:r>
        <w:rPr>
          <w:rFonts w:ascii="Times New Roman" w:hAnsi="Times New Roman" w:cs="Times New Roman"/>
          <w:sz w:val="24"/>
          <w:szCs w:val="24"/>
        </w:rPr>
        <w:t xml:space="preserve"> mayores recursos de todo tipo respecto a las pymes. </w:t>
      </w:r>
      <w:r w:rsidR="003E69AA">
        <w:rPr>
          <w:rFonts w:ascii="Times New Roman" w:hAnsi="Times New Roman" w:cs="Times New Roman"/>
          <w:sz w:val="24"/>
          <w:szCs w:val="24"/>
        </w:rPr>
        <w:t xml:space="preserve">Si bien no se cuenta con un banco de datos como el de la CNV para este último tipo de empresas, no resulta difícil imaginar lo dramático que puede </w:t>
      </w:r>
      <w:r w:rsidR="00D820C1">
        <w:rPr>
          <w:rFonts w:ascii="Times New Roman" w:hAnsi="Times New Roman" w:cs="Times New Roman"/>
          <w:sz w:val="24"/>
          <w:szCs w:val="24"/>
        </w:rPr>
        <w:t>resultar</w:t>
      </w:r>
      <w:r w:rsidR="003E69AA">
        <w:rPr>
          <w:rFonts w:ascii="Times New Roman" w:hAnsi="Times New Roman" w:cs="Times New Roman"/>
          <w:sz w:val="24"/>
          <w:szCs w:val="24"/>
        </w:rPr>
        <w:t xml:space="preserve"> en muchos casos conducir una pyme en Argentina, </w:t>
      </w:r>
      <w:r w:rsidR="00D820C1">
        <w:rPr>
          <w:rFonts w:ascii="Times New Roman" w:hAnsi="Times New Roman" w:cs="Times New Roman"/>
          <w:sz w:val="24"/>
          <w:szCs w:val="24"/>
        </w:rPr>
        <w:t>donde</w:t>
      </w:r>
      <w:r w:rsidR="003E69AA">
        <w:rPr>
          <w:rFonts w:ascii="Times New Roman" w:hAnsi="Times New Roman" w:cs="Times New Roman"/>
          <w:sz w:val="24"/>
          <w:szCs w:val="24"/>
        </w:rPr>
        <w:t xml:space="preserve"> las dificultades que mencionamos se ven agravadas.</w:t>
      </w:r>
    </w:p>
    <w:p w:rsidR="00263765" w:rsidRDefault="00263765"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bien se tomaron los últimos 2 años, </w:t>
      </w:r>
      <w:r w:rsidR="006D72BE">
        <w:rPr>
          <w:rFonts w:ascii="Times New Roman" w:hAnsi="Times New Roman" w:cs="Times New Roman"/>
          <w:sz w:val="24"/>
          <w:szCs w:val="24"/>
        </w:rPr>
        <w:t xml:space="preserve">se puede inferir que </w:t>
      </w:r>
      <w:r>
        <w:rPr>
          <w:rFonts w:ascii="Times New Roman" w:hAnsi="Times New Roman" w:cs="Times New Roman"/>
          <w:sz w:val="24"/>
          <w:szCs w:val="24"/>
        </w:rPr>
        <w:t xml:space="preserve">el problema no se circunscribe a estos, sino que se viene arrastrando desde décadas con mayor o menor profundidad, dependiendo </w:t>
      </w:r>
      <w:r w:rsidR="003E69AA">
        <w:rPr>
          <w:rFonts w:ascii="Times New Roman" w:hAnsi="Times New Roman" w:cs="Times New Roman"/>
          <w:sz w:val="24"/>
          <w:szCs w:val="24"/>
        </w:rPr>
        <w:t xml:space="preserve">por lo general </w:t>
      </w:r>
      <w:r>
        <w:rPr>
          <w:rFonts w:ascii="Times New Roman" w:hAnsi="Times New Roman" w:cs="Times New Roman"/>
          <w:sz w:val="24"/>
          <w:szCs w:val="24"/>
        </w:rPr>
        <w:t>de las condiciones externas y del comportamiento del agro, generando cada</w:t>
      </w:r>
      <w:r w:rsidR="003E69AA">
        <w:rPr>
          <w:rFonts w:ascii="Times New Roman" w:hAnsi="Times New Roman" w:cs="Times New Roman"/>
          <w:sz w:val="24"/>
          <w:szCs w:val="24"/>
        </w:rPr>
        <w:t xml:space="preserve"> </w:t>
      </w:r>
      <w:r>
        <w:rPr>
          <w:rFonts w:ascii="Times New Roman" w:hAnsi="Times New Roman" w:cs="Times New Roman"/>
          <w:sz w:val="24"/>
          <w:szCs w:val="24"/>
        </w:rPr>
        <w:t xml:space="preserve"> tanto crisis recurrentes, de las cuales nunca se sale indemne, sino que por el contrario sumergiendo a una parte importante de la población en la pobreza. </w:t>
      </w:r>
    </w:p>
    <w:p w:rsidR="00263765" w:rsidRDefault="003E69AA" w:rsidP="00E630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es el propósito de este artículo encontrar soluciones </w:t>
      </w:r>
      <w:r w:rsidR="00D820C1">
        <w:rPr>
          <w:rFonts w:ascii="Times New Roman" w:hAnsi="Times New Roman" w:cs="Times New Roman"/>
          <w:sz w:val="24"/>
          <w:szCs w:val="24"/>
        </w:rPr>
        <w:t>par</w:t>
      </w:r>
      <w:r>
        <w:rPr>
          <w:rFonts w:ascii="Times New Roman" w:hAnsi="Times New Roman" w:cs="Times New Roman"/>
          <w:sz w:val="24"/>
          <w:szCs w:val="24"/>
        </w:rPr>
        <w:t>a la economía argentina</w:t>
      </w:r>
      <w:r w:rsidR="00A532F5">
        <w:rPr>
          <w:rFonts w:ascii="Times New Roman" w:hAnsi="Times New Roman" w:cs="Times New Roman"/>
          <w:sz w:val="24"/>
          <w:szCs w:val="24"/>
        </w:rPr>
        <w:t>,</w:t>
      </w:r>
      <w:r>
        <w:rPr>
          <w:rFonts w:ascii="Times New Roman" w:hAnsi="Times New Roman" w:cs="Times New Roman"/>
          <w:sz w:val="24"/>
          <w:szCs w:val="24"/>
        </w:rPr>
        <w:t xml:space="preserve"> tampoco sus autores son economistas. Pero un gasto público excesivo que no puede ser financiado en su totalidad, genera </w:t>
      </w:r>
      <w:r w:rsidR="00A532F5">
        <w:rPr>
          <w:rFonts w:ascii="Times New Roman" w:hAnsi="Times New Roman" w:cs="Times New Roman"/>
          <w:sz w:val="24"/>
          <w:szCs w:val="24"/>
        </w:rPr>
        <w:t>la mayoría</w:t>
      </w:r>
      <w:r>
        <w:rPr>
          <w:rFonts w:ascii="Times New Roman" w:hAnsi="Times New Roman" w:cs="Times New Roman"/>
          <w:sz w:val="24"/>
          <w:szCs w:val="24"/>
        </w:rPr>
        <w:t xml:space="preserve"> de las distorsiones antes comentadas. En oportunidades, se sostiene que el</w:t>
      </w:r>
      <w:r w:rsidR="004F7B57">
        <w:rPr>
          <w:rFonts w:ascii="Times New Roman" w:hAnsi="Times New Roman" w:cs="Times New Roman"/>
          <w:sz w:val="24"/>
          <w:szCs w:val="24"/>
        </w:rPr>
        <w:t xml:space="preserve"> déficit del sector público va</w:t>
      </w:r>
      <w:r>
        <w:rPr>
          <w:rFonts w:ascii="Times New Roman" w:hAnsi="Times New Roman" w:cs="Times New Roman"/>
          <w:sz w:val="24"/>
          <w:szCs w:val="24"/>
        </w:rPr>
        <w:t xml:space="preserve"> desaparecer cuando la economía crezca. Pero, de no ocurrir un milagro, </w:t>
      </w:r>
      <w:r w:rsidR="004F7B57">
        <w:rPr>
          <w:rFonts w:ascii="Times New Roman" w:hAnsi="Times New Roman" w:cs="Times New Roman"/>
          <w:sz w:val="24"/>
          <w:szCs w:val="24"/>
        </w:rPr>
        <w:t>¿</w:t>
      </w:r>
      <w:r>
        <w:rPr>
          <w:rFonts w:ascii="Times New Roman" w:hAnsi="Times New Roman" w:cs="Times New Roman"/>
          <w:sz w:val="24"/>
          <w:szCs w:val="24"/>
        </w:rPr>
        <w:t xml:space="preserve">cómo generar un círculo virtuoso </w:t>
      </w:r>
      <w:r w:rsidR="004F7B57">
        <w:rPr>
          <w:rFonts w:ascii="Times New Roman" w:hAnsi="Times New Roman" w:cs="Times New Roman"/>
          <w:sz w:val="24"/>
          <w:szCs w:val="24"/>
        </w:rPr>
        <w:t>si el sistema está plagado de trabas?</w:t>
      </w:r>
      <w:r>
        <w:rPr>
          <w:rFonts w:ascii="Times New Roman" w:hAnsi="Times New Roman" w:cs="Times New Roman"/>
          <w:sz w:val="24"/>
          <w:szCs w:val="24"/>
        </w:rPr>
        <w:t xml:space="preserve"> </w:t>
      </w:r>
      <w:r w:rsidR="00A532F5">
        <w:rPr>
          <w:rFonts w:ascii="Times New Roman" w:hAnsi="Times New Roman" w:cs="Times New Roman"/>
          <w:sz w:val="24"/>
          <w:szCs w:val="24"/>
        </w:rPr>
        <w:t>¿No será el momento de generar acuerdos básicos en la sociedad argentina, asumiendo con realismo los problemas y desatando los nudos que impiden la generación de riqueza para sacar de la pobreza a millones de argentinos?</w:t>
      </w:r>
    </w:p>
    <w:p w:rsidR="00AA53B2" w:rsidRDefault="00AA53B2" w:rsidP="00E63051">
      <w:pPr>
        <w:spacing w:line="360" w:lineRule="auto"/>
        <w:jc w:val="both"/>
        <w:rPr>
          <w:rFonts w:ascii="Times New Roman" w:hAnsi="Times New Roman" w:cs="Times New Roman"/>
          <w:sz w:val="24"/>
          <w:szCs w:val="24"/>
        </w:rPr>
      </w:pPr>
    </w:p>
    <w:p w:rsidR="00D820C1" w:rsidRDefault="00D820C1" w:rsidP="00E63051">
      <w:pPr>
        <w:spacing w:line="360" w:lineRule="auto"/>
        <w:jc w:val="both"/>
        <w:rPr>
          <w:rFonts w:ascii="Times New Roman" w:hAnsi="Times New Roman" w:cs="Times New Roman"/>
          <w:sz w:val="24"/>
          <w:szCs w:val="24"/>
        </w:rPr>
      </w:pPr>
    </w:p>
    <w:p w:rsidR="00D820C1" w:rsidRDefault="00D820C1" w:rsidP="00E63051">
      <w:pPr>
        <w:spacing w:line="360" w:lineRule="auto"/>
        <w:jc w:val="both"/>
        <w:rPr>
          <w:rFonts w:ascii="Times New Roman" w:hAnsi="Times New Roman" w:cs="Times New Roman"/>
          <w:sz w:val="24"/>
          <w:szCs w:val="24"/>
        </w:rPr>
      </w:pPr>
    </w:p>
    <w:p w:rsidR="00D820C1" w:rsidRPr="009F411F" w:rsidRDefault="00D820C1" w:rsidP="00E63051">
      <w:pPr>
        <w:spacing w:line="360" w:lineRule="auto"/>
        <w:jc w:val="both"/>
        <w:rPr>
          <w:rFonts w:ascii="Times New Roman" w:hAnsi="Times New Roman" w:cs="Times New Roman"/>
          <w:sz w:val="24"/>
          <w:szCs w:val="24"/>
        </w:rPr>
      </w:pPr>
    </w:p>
    <w:p w:rsidR="007855BC" w:rsidRPr="004618E7" w:rsidRDefault="007855BC" w:rsidP="00E63051">
      <w:pPr>
        <w:spacing w:line="360" w:lineRule="auto"/>
        <w:jc w:val="both"/>
        <w:rPr>
          <w:rFonts w:ascii="Times New Roman" w:hAnsi="Times New Roman" w:cs="Times New Roman"/>
          <w:b/>
          <w:sz w:val="24"/>
          <w:szCs w:val="24"/>
        </w:rPr>
      </w:pPr>
      <w:r w:rsidRPr="004618E7">
        <w:rPr>
          <w:rFonts w:ascii="Times New Roman" w:hAnsi="Times New Roman" w:cs="Times New Roman"/>
          <w:b/>
          <w:sz w:val="24"/>
          <w:szCs w:val="24"/>
        </w:rPr>
        <w:lastRenderedPageBreak/>
        <w:t>Referencias bibliográficas</w:t>
      </w:r>
      <w:r w:rsidR="007B45C9" w:rsidRPr="004618E7">
        <w:rPr>
          <w:rFonts w:ascii="Times New Roman" w:hAnsi="Times New Roman" w:cs="Times New Roman"/>
          <w:b/>
          <w:sz w:val="24"/>
          <w:szCs w:val="24"/>
        </w:rPr>
        <w:t xml:space="preserve"> </w:t>
      </w:r>
    </w:p>
    <w:p w:rsidR="00311A78" w:rsidRDefault="00CE34FC">
      <w:pPr>
        <w:spacing w:line="360" w:lineRule="auto"/>
        <w:jc w:val="both"/>
        <w:rPr>
          <w:rFonts w:ascii="Arial" w:hAnsi="Arial" w:cs="Arial"/>
          <w:color w:val="4D4D4D"/>
        </w:rPr>
      </w:pPr>
      <w:r w:rsidRPr="00CE34FC">
        <w:rPr>
          <w:rFonts w:ascii="Times New Roman" w:hAnsi="Times New Roman" w:cs="Times New Roman"/>
          <w:sz w:val="24"/>
          <w:szCs w:val="24"/>
        </w:rPr>
        <w:t>EFE</w:t>
      </w:r>
      <w:r>
        <w:rPr>
          <w:rFonts w:ascii="Times New Roman" w:hAnsi="Times New Roman" w:cs="Times New Roman"/>
          <w:sz w:val="24"/>
          <w:szCs w:val="24"/>
        </w:rPr>
        <w:t xml:space="preserve"> </w:t>
      </w:r>
      <w:hyperlink r:id="rId28" w:history="1">
        <w:r w:rsidR="00DF167B" w:rsidRPr="00F94571">
          <w:rPr>
            <w:rStyle w:val="Hipervnculo"/>
            <w:rFonts w:ascii="Arial" w:hAnsi="Arial" w:cs="Arial"/>
          </w:rPr>
          <w:t>https://www.efe.com/efe/america/economia/la-actividad-economica-argentina-cayo-2-1-en-2019-ultimo-ano-del-gobierno-macri/20000011-4179340</w:t>
        </w:r>
      </w:hyperlink>
    </w:p>
    <w:p w:rsidR="00DF167B" w:rsidRPr="006C5160" w:rsidRDefault="00D10573">
      <w:pPr>
        <w:spacing w:line="360" w:lineRule="auto"/>
        <w:jc w:val="both"/>
        <w:rPr>
          <w:rFonts w:ascii="Arial" w:hAnsi="Arial" w:cs="Arial"/>
          <w:color w:val="0563C1" w:themeColor="hyperlink"/>
          <w:u w:val="single"/>
        </w:rPr>
      </w:pPr>
      <w:r>
        <w:rPr>
          <w:rFonts w:ascii="Arial" w:hAnsi="Arial" w:cs="Arial"/>
          <w:color w:val="4D4D4D"/>
        </w:rPr>
        <w:t>Guzmán, M.</w:t>
      </w:r>
      <w:r w:rsidR="00DF167B">
        <w:rPr>
          <w:rFonts w:ascii="Arial" w:hAnsi="Arial" w:cs="Arial"/>
          <w:color w:val="4D4D4D"/>
        </w:rPr>
        <w:t xml:space="preserve">  </w:t>
      </w:r>
      <w:hyperlink r:id="rId29" w:history="1">
        <w:r w:rsidR="006C5160" w:rsidRPr="00F94571">
          <w:rPr>
            <w:rStyle w:val="Hipervnculo"/>
            <w:rFonts w:ascii="Arial" w:hAnsi="Arial" w:cs="Arial"/>
          </w:rPr>
          <w:t>https://www.cronista.com/columnistas/El-camino-inestable-de-la-economia-argentina-201903250069.html%20Copyright%20%C2%A9%20www.cronista.com</w:t>
        </w:r>
      </w:hyperlink>
    </w:p>
    <w:p w:rsidR="00D10573" w:rsidRDefault="00D10573">
      <w:pPr>
        <w:spacing w:line="360" w:lineRule="auto"/>
        <w:jc w:val="both"/>
        <w:rPr>
          <w:rFonts w:ascii="Arial" w:hAnsi="Arial" w:cs="Arial"/>
          <w:color w:val="4D4D4D"/>
        </w:rPr>
      </w:pPr>
      <w:proofErr w:type="spellStart"/>
      <w:r>
        <w:rPr>
          <w:rFonts w:ascii="Arial" w:hAnsi="Arial" w:cs="Arial"/>
          <w:color w:val="4D4D4D"/>
        </w:rPr>
        <w:t>Higgins</w:t>
      </w:r>
      <w:proofErr w:type="spellEnd"/>
      <w:r w:rsidR="004F7B57">
        <w:rPr>
          <w:rFonts w:ascii="Arial" w:hAnsi="Arial" w:cs="Arial"/>
          <w:color w:val="4D4D4D"/>
        </w:rPr>
        <w:t xml:space="preserve">, R.C. “Análisis para la dirección financiera”. </w:t>
      </w:r>
      <w:proofErr w:type="spellStart"/>
      <w:r w:rsidR="004F7B57">
        <w:rPr>
          <w:rFonts w:ascii="Arial" w:hAnsi="Arial" w:cs="Arial"/>
          <w:color w:val="4D4D4D"/>
        </w:rPr>
        <w:t>MCGraw</w:t>
      </w:r>
      <w:proofErr w:type="spellEnd"/>
      <w:r w:rsidR="004F7B57">
        <w:rPr>
          <w:rFonts w:ascii="Arial" w:hAnsi="Arial" w:cs="Arial"/>
          <w:color w:val="4D4D4D"/>
        </w:rPr>
        <w:t xml:space="preserve"> Hill. Madrid</w:t>
      </w:r>
    </w:p>
    <w:p w:rsidR="004F7B57" w:rsidRDefault="004F7B57" w:rsidP="004F7B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OCDE. </w:t>
      </w:r>
      <w:hyperlink r:id="rId30" w:history="1">
        <w:r w:rsidRPr="00175E60">
          <w:rPr>
            <w:rStyle w:val="Hipervnculo"/>
            <w:rFonts w:ascii="Times New Roman" w:hAnsi="Times New Roman" w:cs="Times New Roman"/>
            <w:sz w:val="24"/>
            <w:szCs w:val="24"/>
          </w:rPr>
          <w:t>https://www.oecd.org/dev/Impuestos-sobre-los-salarios-en-America-Latina-y-el-Caribe-RESUMEN.pdf</w:t>
        </w:r>
      </w:hyperlink>
    </w:p>
    <w:p w:rsidR="00D10573" w:rsidRDefault="00D10573">
      <w:pPr>
        <w:spacing w:line="360" w:lineRule="auto"/>
        <w:jc w:val="both"/>
        <w:rPr>
          <w:rFonts w:ascii="Arial" w:hAnsi="Arial" w:cs="Arial"/>
          <w:color w:val="4D4D4D"/>
        </w:rPr>
      </w:pPr>
      <w:proofErr w:type="spellStart"/>
      <w:r>
        <w:rPr>
          <w:rFonts w:ascii="Arial" w:hAnsi="Arial" w:cs="Arial"/>
          <w:color w:val="4D4D4D"/>
        </w:rPr>
        <w:t>Ostengo</w:t>
      </w:r>
      <w:proofErr w:type="spellEnd"/>
      <w:r w:rsidR="004F7B57">
        <w:rPr>
          <w:rFonts w:ascii="Arial" w:hAnsi="Arial" w:cs="Arial"/>
          <w:color w:val="4D4D4D"/>
        </w:rPr>
        <w:t xml:space="preserve">, H.C. (2006). “Control de Gestión”. </w:t>
      </w:r>
      <w:proofErr w:type="spellStart"/>
      <w:r w:rsidR="004F7B57">
        <w:rPr>
          <w:rFonts w:ascii="Arial" w:hAnsi="Arial" w:cs="Arial"/>
          <w:color w:val="4D4D4D"/>
        </w:rPr>
        <w:t>Buyatti</w:t>
      </w:r>
      <w:proofErr w:type="spellEnd"/>
      <w:r w:rsidR="004F7B57">
        <w:rPr>
          <w:rFonts w:ascii="Arial" w:hAnsi="Arial" w:cs="Arial"/>
          <w:color w:val="4D4D4D"/>
        </w:rPr>
        <w:t>. Buenos Aires</w:t>
      </w:r>
    </w:p>
    <w:p w:rsidR="00D10573" w:rsidRDefault="00D10573">
      <w:pPr>
        <w:spacing w:line="360" w:lineRule="auto"/>
        <w:jc w:val="both"/>
        <w:rPr>
          <w:rFonts w:ascii="Arial" w:hAnsi="Arial" w:cs="Arial"/>
          <w:color w:val="4D4D4D"/>
        </w:rPr>
      </w:pPr>
      <w:r>
        <w:rPr>
          <w:rFonts w:ascii="Arial" w:hAnsi="Arial" w:cs="Arial"/>
          <w:color w:val="4D4D4D"/>
        </w:rPr>
        <w:t>Pérez, J.O.</w:t>
      </w:r>
      <w:r w:rsidR="004F7B57">
        <w:rPr>
          <w:rFonts w:ascii="Arial" w:hAnsi="Arial" w:cs="Arial"/>
          <w:color w:val="4D4D4D"/>
        </w:rPr>
        <w:t xml:space="preserve"> (2014). “Análisis de estados financieros”. </w:t>
      </w:r>
      <w:proofErr w:type="spellStart"/>
      <w:r w:rsidR="004F7B57">
        <w:rPr>
          <w:rFonts w:ascii="Arial" w:hAnsi="Arial" w:cs="Arial"/>
          <w:color w:val="4D4D4D"/>
        </w:rPr>
        <w:t>Educc</w:t>
      </w:r>
      <w:proofErr w:type="spellEnd"/>
      <w:r w:rsidR="004F7B57">
        <w:rPr>
          <w:rFonts w:ascii="Arial" w:hAnsi="Arial" w:cs="Arial"/>
          <w:color w:val="4D4D4D"/>
        </w:rPr>
        <w:t>. Córdoba</w:t>
      </w:r>
    </w:p>
    <w:p w:rsidR="004F7B57" w:rsidRDefault="004F7B5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C7737" w:rsidRDefault="00DC7737">
      <w:pPr>
        <w:spacing w:line="360" w:lineRule="auto"/>
        <w:jc w:val="both"/>
        <w:rPr>
          <w:rFonts w:ascii="Times New Roman" w:hAnsi="Times New Roman" w:cs="Times New Roman"/>
          <w:sz w:val="24"/>
          <w:szCs w:val="24"/>
        </w:rPr>
      </w:pPr>
    </w:p>
    <w:p w:rsidR="00D820C1" w:rsidRDefault="00D820C1">
      <w:pPr>
        <w:spacing w:line="360" w:lineRule="auto"/>
        <w:jc w:val="both"/>
        <w:rPr>
          <w:rFonts w:ascii="Times New Roman" w:hAnsi="Times New Roman" w:cs="Times New Roman"/>
          <w:sz w:val="24"/>
          <w:szCs w:val="24"/>
        </w:rPr>
      </w:pPr>
    </w:p>
    <w:p w:rsidR="00BE757A" w:rsidRDefault="00BE757A">
      <w:pPr>
        <w:spacing w:line="360" w:lineRule="auto"/>
        <w:jc w:val="both"/>
        <w:rPr>
          <w:rFonts w:ascii="Times New Roman" w:hAnsi="Times New Roman" w:cs="Times New Roman"/>
          <w:b/>
          <w:sz w:val="24"/>
          <w:szCs w:val="24"/>
        </w:rPr>
      </w:pPr>
      <w:bookmarkStart w:id="0" w:name="_GoBack"/>
      <w:bookmarkEnd w:id="0"/>
      <w:r w:rsidRPr="00BE757A">
        <w:rPr>
          <w:rFonts w:ascii="Times New Roman" w:hAnsi="Times New Roman" w:cs="Times New Roman"/>
          <w:b/>
          <w:sz w:val="24"/>
          <w:szCs w:val="24"/>
        </w:rPr>
        <w:lastRenderedPageBreak/>
        <w:t>Anexo: empresas analizadas</w:t>
      </w:r>
    </w:p>
    <w:tbl>
      <w:tblPr>
        <w:tblW w:w="8828" w:type="dxa"/>
        <w:tblCellMar>
          <w:left w:w="70" w:type="dxa"/>
          <w:right w:w="70" w:type="dxa"/>
        </w:tblCellMar>
        <w:tblLook w:val="04A0" w:firstRow="1" w:lastRow="0" w:firstColumn="1" w:lastColumn="0" w:noHBand="0" w:noVBand="1"/>
      </w:tblPr>
      <w:tblGrid>
        <w:gridCol w:w="4312"/>
        <w:gridCol w:w="1160"/>
        <w:gridCol w:w="1160"/>
        <w:gridCol w:w="1160"/>
        <w:gridCol w:w="1160"/>
      </w:tblGrid>
      <w:tr w:rsidR="00BE757A" w:rsidRPr="00BE757A" w:rsidTr="00BE757A">
        <w:trPr>
          <w:trHeight w:val="315"/>
        </w:trPr>
        <w:tc>
          <w:tcPr>
            <w:tcW w:w="4312" w:type="dxa"/>
            <w:tcBorders>
              <w:top w:val="single" w:sz="4" w:space="0" w:color="auto"/>
              <w:left w:val="single" w:sz="4" w:space="0" w:color="auto"/>
              <w:bottom w:val="nil"/>
              <w:right w:val="single" w:sz="4" w:space="0" w:color="auto"/>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E</w:t>
            </w:r>
            <w:r w:rsidR="006C4177" w:rsidRPr="00BE757A">
              <w:rPr>
                <w:rFonts w:ascii="Times New Roman" w:eastAsia="Times New Roman" w:hAnsi="Times New Roman" w:cs="Times New Roman"/>
                <w:color w:val="000000"/>
                <w:sz w:val="24"/>
                <w:szCs w:val="24"/>
                <w:lang w:eastAsia="es-AR"/>
              </w:rPr>
              <w:t>mpresas</w:t>
            </w:r>
          </w:p>
        </w:tc>
        <w:tc>
          <w:tcPr>
            <w:tcW w:w="1129" w:type="dxa"/>
            <w:tcBorders>
              <w:top w:val="single" w:sz="4" w:space="0" w:color="auto"/>
              <w:left w:val="nil"/>
              <w:bottom w:val="single" w:sz="4" w:space="0" w:color="auto"/>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2018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 </w:t>
            </w:r>
          </w:p>
        </w:tc>
        <w:tc>
          <w:tcPr>
            <w:tcW w:w="1129" w:type="dxa"/>
            <w:tcBorders>
              <w:top w:val="single" w:sz="4" w:space="0" w:color="auto"/>
              <w:left w:val="nil"/>
              <w:bottom w:val="single" w:sz="4" w:space="0" w:color="auto"/>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2019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 </w:t>
            </w:r>
          </w:p>
        </w:tc>
      </w:tr>
      <w:tr w:rsidR="00BE757A" w:rsidRPr="00BE757A" w:rsidTr="00BE757A">
        <w:trPr>
          <w:trHeight w:val="315"/>
        </w:trPr>
        <w:tc>
          <w:tcPr>
            <w:tcW w:w="4312" w:type="dxa"/>
            <w:tcBorders>
              <w:top w:val="nil"/>
              <w:left w:val="single" w:sz="4" w:space="0" w:color="auto"/>
              <w:bottom w:val="single" w:sz="4" w:space="0" w:color="auto"/>
              <w:right w:val="single" w:sz="4" w:space="0" w:color="auto"/>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 </w:t>
            </w:r>
          </w:p>
        </w:tc>
        <w:tc>
          <w:tcPr>
            <w:tcW w:w="1129" w:type="dxa"/>
            <w:tcBorders>
              <w:top w:val="nil"/>
              <w:left w:val="nil"/>
              <w:bottom w:val="single" w:sz="4" w:space="0" w:color="auto"/>
              <w:right w:val="single" w:sz="4" w:space="0" w:color="auto"/>
            </w:tcBorders>
            <w:shd w:val="clear" w:color="auto" w:fill="auto"/>
            <w:noWrap/>
            <w:vAlign w:val="bottom"/>
            <w:hideMark/>
          </w:tcPr>
          <w:p w:rsidR="00BE757A" w:rsidRPr="00BE757A" w:rsidRDefault="00BE757A" w:rsidP="00BE757A">
            <w:pPr>
              <w:spacing w:after="0" w:line="240" w:lineRule="auto"/>
              <w:jc w:val="center"/>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ROE</w:t>
            </w:r>
          </w:p>
        </w:tc>
        <w:tc>
          <w:tcPr>
            <w:tcW w:w="1129" w:type="dxa"/>
            <w:tcBorders>
              <w:top w:val="nil"/>
              <w:left w:val="nil"/>
              <w:bottom w:val="single" w:sz="4" w:space="0" w:color="auto"/>
              <w:right w:val="single" w:sz="4" w:space="0" w:color="auto"/>
            </w:tcBorders>
            <w:shd w:val="clear" w:color="auto" w:fill="auto"/>
            <w:noWrap/>
            <w:vAlign w:val="bottom"/>
            <w:hideMark/>
          </w:tcPr>
          <w:p w:rsidR="00BE757A" w:rsidRPr="00BE757A" w:rsidRDefault="00BE757A" w:rsidP="00BE757A">
            <w:pPr>
              <w:spacing w:after="0" w:line="240" w:lineRule="auto"/>
              <w:jc w:val="center"/>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ROA</w:t>
            </w:r>
          </w:p>
        </w:tc>
        <w:tc>
          <w:tcPr>
            <w:tcW w:w="1129" w:type="dxa"/>
            <w:tcBorders>
              <w:top w:val="nil"/>
              <w:left w:val="nil"/>
              <w:bottom w:val="single" w:sz="4" w:space="0" w:color="auto"/>
              <w:right w:val="single" w:sz="4" w:space="0" w:color="auto"/>
            </w:tcBorders>
            <w:shd w:val="clear" w:color="auto" w:fill="auto"/>
            <w:noWrap/>
            <w:vAlign w:val="bottom"/>
            <w:hideMark/>
          </w:tcPr>
          <w:p w:rsidR="00BE757A" w:rsidRPr="00BE757A" w:rsidRDefault="00BE757A" w:rsidP="00BE757A">
            <w:pPr>
              <w:spacing w:after="0" w:line="240" w:lineRule="auto"/>
              <w:jc w:val="center"/>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ROE</w:t>
            </w:r>
          </w:p>
        </w:tc>
        <w:tc>
          <w:tcPr>
            <w:tcW w:w="1129" w:type="dxa"/>
            <w:tcBorders>
              <w:top w:val="nil"/>
              <w:left w:val="nil"/>
              <w:bottom w:val="single" w:sz="4" w:space="0" w:color="auto"/>
              <w:right w:val="single" w:sz="4" w:space="0" w:color="auto"/>
            </w:tcBorders>
            <w:shd w:val="clear" w:color="auto" w:fill="auto"/>
            <w:noWrap/>
            <w:vAlign w:val="bottom"/>
            <w:hideMark/>
          </w:tcPr>
          <w:p w:rsidR="00BE757A" w:rsidRPr="00BE757A" w:rsidRDefault="00BE757A" w:rsidP="00BE757A">
            <w:pPr>
              <w:spacing w:after="0" w:line="240" w:lineRule="auto"/>
              <w:jc w:val="center"/>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ROA</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G</w:t>
            </w:r>
            <w:r w:rsidRPr="00BE757A">
              <w:rPr>
                <w:rFonts w:ascii="Times New Roman" w:eastAsia="Times New Roman" w:hAnsi="Times New Roman" w:cs="Times New Roman"/>
                <w:color w:val="000000"/>
                <w:sz w:val="24"/>
                <w:szCs w:val="24"/>
                <w:lang w:eastAsia="es-AR"/>
              </w:rPr>
              <w:t>rimoldi</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G</w:t>
            </w:r>
            <w:r w:rsidRPr="00BE757A">
              <w:rPr>
                <w:rFonts w:ascii="Times New Roman" w:eastAsia="Times New Roman" w:hAnsi="Times New Roman" w:cs="Times New Roman"/>
                <w:color w:val="000000"/>
                <w:sz w:val="24"/>
                <w:szCs w:val="24"/>
                <w:lang w:eastAsia="es-AR"/>
              </w:rPr>
              <w:t>rupo clarín</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G</w:t>
            </w:r>
            <w:r w:rsidRPr="00BE757A">
              <w:rPr>
                <w:rFonts w:ascii="Times New Roman" w:eastAsia="Times New Roman" w:hAnsi="Times New Roman" w:cs="Times New Roman"/>
                <w:color w:val="000000"/>
                <w:sz w:val="24"/>
                <w:szCs w:val="24"/>
                <w:lang w:eastAsia="es-AR"/>
              </w:rPr>
              <w:t>rupo cohen</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Met</w:t>
            </w:r>
            <w:r w:rsidRPr="00BE757A">
              <w:rPr>
                <w:rFonts w:ascii="Times New Roman" w:eastAsia="Times New Roman" w:hAnsi="Times New Roman" w:cs="Times New Roman"/>
                <w:color w:val="000000"/>
                <w:sz w:val="24"/>
                <w:szCs w:val="24"/>
                <w:lang w:eastAsia="es-AR"/>
              </w:rPr>
              <w:t>rovías</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1,26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0,21</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M</w:t>
            </w:r>
            <w:r w:rsidRPr="00BE757A">
              <w:rPr>
                <w:rFonts w:ascii="Times New Roman" w:eastAsia="Times New Roman" w:hAnsi="Times New Roman" w:cs="Times New Roman"/>
                <w:color w:val="000000"/>
                <w:sz w:val="24"/>
                <w:szCs w:val="24"/>
                <w:lang w:eastAsia="es-AR"/>
              </w:rPr>
              <w:t>etrogas</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Loma N</w:t>
            </w:r>
            <w:r w:rsidRPr="00BE757A">
              <w:rPr>
                <w:rFonts w:ascii="Times New Roman" w:eastAsia="Times New Roman" w:hAnsi="Times New Roman" w:cs="Times New Roman"/>
                <w:color w:val="000000"/>
                <w:sz w:val="24"/>
                <w:szCs w:val="24"/>
                <w:lang w:eastAsia="es-AR"/>
              </w:rPr>
              <w:t xml:space="preserve">egra </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L</w:t>
            </w:r>
            <w:r w:rsidRPr="00BE757A">
              <w:rPr>
                <w:rFonts w:ascii="Times New Roman" w:eastAsia="Times New Roman" w:hAnsi="Times New Roman" w:cs="Times New Roman"/>
                <w:color w:val="000000"/>
                <w:sz w:val="24"/>
                <w:szCs w:val="24"/>
                <w:lang w:eastAsia="es-AR"/>
              </w:rPr>
              <w:t>ongvie</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1,11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Los </w:t>
            </w:r>
            <w:proofErr w:type="spellStart"/>
            <w:r>
              <w:rPr>
                <w:rFonts w:ascii="Times New Roman" w:eastAsia="Times New Roman" w:hAnsi="Times New Roman" w:cs="Times New Roman"/>
                <w:color w:val="000000"/>
                <w:sz w:val="24"/>
                <w:szCs w:val="24"/>
                <w:lang w:eastAsia="es-AR"/>
              </w:rPr>
              <w:t>G</w:t>
            </w:r>
            <w:r w:rsidRPr="00BE757A">
              <w:rPr>
                <w:rFonts w:ascii="Times New Roman" w:eastAsia="Times New Roman" w:hAnsi="Times New Roman" w:cs="Times New Roman"/>
                <w:color w:val="000000"/>
                <w:sz w:val="24"/>
                <w:szCs w:val="24"/>
                <w:lang w:eastAsia="es-AR"/>
              </w:rPr>
              <w:t>robo</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-4,12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-1,66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M</w:t>
            </w:r>
            <w:r w:rsidRPr="00BE757A">
              <w:rPr>
                <w:rFonts w:ascii="Times New Roman" w:eastAsia="Times New Roman" w:hAnsi="Times New Roman" w:cs="Times New Roman"/>
                <w:color w:val="000000"/>
                <w:sz w:val="24"/>
                <w:szCs w:val="24"/>
                <w:lang w:eastAsia="es-AR"/>
              </w:rPr>
              <w:t>astellone</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Pampa E</w:t>
            </w:r>
            <w:r w:rsidRPr="00BE757A">
              <w:rPr>
                <w:rFonts w:ascii="Times New Roman" w:eastAsia="Times New Roman" w:hAnsi="Times New Roman" w:cs="Times New Roman"/>
                <w:color w:val="000000"/>
                <w:sz w:val="24"/>
                <w:szCs w:val="24"/>
                <w:lang w:eastAsia="es-AR"/>
              </w:rPr>
              <w:t>nergía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0,19</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H</w:t>
            </w:r>
            <w:r w:rsidRPr="00BE757A">
              <w:rPr>
                <w:rFonts w:ascii="Times New Roman" w:eastAsia="Times New Roman" w:hAnsi="Times New Roman" w:cs="Times New Roman"/>
                <w:color w:val="000000"/>
                <w:sz w:val="24"/>
                <w:szCs w:val="24"/>
                <w:lang w:eastAsia="es-AR"/>
              </w:rPr>
              <w:t>ulytego</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H</w:t>
            </w:r>
            <w:r w:rsidRPr="00BE757A">
              <w:rPr>
                <w:rFonts w:ascii="Times New Roman" w:eastAsia="Times New Roman" w:hAnsi="Times New Roman" w:cs="Times New Roman"/>
                <w:color w:val="000000"/>
                <w:sz w:val="24"/>
                <w:szCs w:val="24"/>
                <w:lang w:eastAsia="es-AR"/>
              </w:rPr>
              <w:t>olcim</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Nuevo C</w:t>
            </w:r>
            <w:r w:rsidRPr="00BE757A">
              <w:rPr>
                <w:rFonts w:ascii="Times New Roman" w:eastAsia="Times New Roman" w:hAnsi="Times New Roman" w:cs="Times New Roman"/>
                <w:color w:val="000000"/>
                <w:sz w:val="24"/>
                <w:szCs w:val="24"/>
                <w:lang w:eastAsia="es-AR"/>
              </w:rPr>
              <w:t>ontinente</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N</w:t>
            </w:r>
            <w:r w:rsidRPr="00BE757A">
              <w:rPr>
                <w:rFonts w:ascii="Times New Roman" w:eastAsia="Times New Roman" w:hAnsi="Times New Roman" w:cs="Times New Roman"/>
                <w:color w:val="000000"/>
                <w:sz w:val="24"/>
                <w:szCs w:val="24"/>
                <w:lang w:eastAsia="es-AR"/>
              </w:rPr>
              <w:t>ewsan</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I</w:t>
            </w:r>
            <w:r w:rsidRPr="00BE757A">
              <w:rPr>
                <w:rFonts w:ascii="Times New Roman" w:eastAsia="Times New Roman" w:hAnsi="Times New Roman" w:cs="Times New Roman"/>
                <w:color w:val="000000"/>
                <w:sz w:val="24"/>
                <w:szCs w:val="24"/>
                <w:lang w:eastAsia="es-AR"/>
              </w:rPr>
              <w:t>mpsa</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0,81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M</w:t>
            </w:r>
            <w:r w:rsidRPr="00BE757A">
              <w:rPr>
                <w:rFonts w:ascii="Times New Roman" w:eastAsia="Times New Roman" w:hAnsi="Times New Roman" w:cs="Times New Roman"/>
                <w:color w:val="000000"/>
                <w:sz w:val="24"/>
                <w:szCs w:val="24"/>
                <w:lang w:eastAsia="es-AR"/>
              </w:rPr>
              <w:t>su</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M</w:t>
            </w:r>
            <w:r w:rsidRPr="00BE757A">
              <w:rPr>
                <w:rFonts w:ascii="Times New Roman" w:eastAsia="Times New Roman" w:hAnsi="Times New Roman" w:cs="Times New Roman"/>
                <w:color w:val="000000"/>
                <w:sz w:val="24"/>
                <w:szCs w:val="24"/>
                <w:lang w:eastAsia="es-AR"/>
              </w:rPr>
              <w:t>orixe</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-4,26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M</w:t>
            </w:r>
            <w:r w:rsidRPr="00BE757A">
              <w:rPr>
                <w:rFonts w:ascii="Times New Roman" w:eastAsia="Times New Roman" w:hAnsi="Times New Roman" w:cs="Times New Roman"/>
                <w:color w:val="000000"/>
                <w:sz w:val="24"/>
                <w:szCs w:val="24"/>
                <w:lang w:eastAsia="es-AR"/>
              </w:rPr>
              <w:t xml:space="preserve">olinos </w:t>
            </w:r>
            <w:proofErr w:type="spellStart"/>
            <w:r w:rsidRPr="00BE757A">
              <w:rPr>
                <w:rFonts w:ascii="Times New Roman" w:eastAsia="Times New Roman" w:hAnsi="Times New Roman" w:cs="Times New Roman"/>
                <w:color w:val="000000"/>
                <w:sz w:val="24"/>
                <w:szCs w:val="24"/>
                <w:lang w:eastAsia="es-AR"/>
              </w:rPr>
              <w:t>r.plata</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M</w:t>
            </w:r>
            <w:r w:rsidRPr="00BE757A">
              <w:rPr>
                <w:rFonts w:ascii="Times New Roman" w:eastAsia="Times New Roman" w:hAnsi="Times New Roman" w:cs="Times New Roman"/>
                <w:color w:val="000000"/>
                <w:sz w:val="24"/>
                <w:szCs w:val="24"/>
                <w:lang w:eastAsia="es-AR"/>
              </w:rPr>
              <w:t xml:space="preserve">olinos </w:t>
            </w:r>
            <w:proofErr w:type="spellStart"/>
            <w:r w:rsidRPr="00BE757A">
              <w:rPr>
                <w:rFonts w:ascii="Times New Roman" w:eastAsia="Times New Roman" w:hAnsi="Times New Roman" w:cs="Times New Roman"/>
                <w:color w:val="000000"/>
                <w:sz w:val="24"/>
                <w:szCs w:val="24"/>
                <w:lang w:eastAsia="es-AR"/>
              </w:rPr>
              <w:t>semino</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M</w:t>
            </w:r>
            <w:r w:rsidRPr="00BE757A">
              <w:rPr>
                <w:rFonts w:ascii="Times New Roman" w:eastAsia="Times New Roman" w:hAnsi="Times New Roman" w:cs="Times New Roman"/>
                <w:color w:val="000000"/>
                <w:sz w:val="24"/>
                <w:szCs w:val="24"/>
                <w:lang w:eastAsia="es-AR"/>
              </w:rPr>
              <w:t>olinos agro</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M</w:t>
            </w:r>
            <w:r w:rsidRPr="00BE757A">
              <w:rPr>
                <w:rFonts w:ascii="Times New Roman" w:eastAsia="Times New Roman" w:hAnsi="Times New Roman" w:cs="Times New Roman"/>
                <w:color w:val="000000"/>
                <w:sz w:val="24"/>
                <w:szCs w:val="24"/>
                <w:lang w:eastAsia="es-AR"/>
              </w:rPr>
              <w:t>irgor</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-0,005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0,17</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R</w:t>
            </w:r>
            <w:r w:rsidRPr="00BE757A">
              <w:rPr>
                <w:rFonts w:ascii="Times New Roman" w:eastAsia="Times New Roman" w:hAnsi="Times New Roman" w:cs="Times New Roman"/>
                <w:color w:val="000000"/>
                <w:sz w:val="24"/>
                <w:szCs w:val="24"/>
                <w:lang w:eastAsia="es-AR"/>
              </w:rPr>
              <w:t>osenbusch</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-0,59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I</w:t>
            </w:r>
            <w:r w:rsidRPr="00BE757A">
              <w:rPr>
                <w:rFonts w:ascii="Times New Roman" w:eastAsia="Times New Roman" w:hAnsi="Times New Roman" w:cs="Times New Roman"/>
                <w:color w:val="000000"/>
                <w:sz w:val="24"/>
                <w:szCs w:val="24"/>
                <w:lang w:eastAsia="es-AR"/>
              </w:rPr>
              <w:t>nversora</w:t>
            </w:r>
            <w:r>
              <w:rPr>
                <w:rFonts w:ascii="Times New Roman" w:eastAsia="Times New Roman" w:hAnsi="Times New Roman" w:cs="Times New Roman"/>
                <w:color w:val="000000"/>
                <w:sz w:val="24"/>
                <w:szCs w:val="24"/>
                <w:lang w:eastAsia="es-AR"/>
              </w:rPr>
              <w:t xml:space="preserve"> Eléctrica Bs.A</w:t>
            </w:r>
            <w:r w:rsidRPr="00BE757A">
              <w:rPr>
                <w:rFonts w:ascii="Times New Roman" w:eastAsia="Times New Roman" w:hAnsi="Times New Roman" w:cs="Times New Roman"/>
                <w:color w:val="000000"/>
                <w:sz w:val="24"/>
                <w:szCs w:val="24"/>
                <w:lang w:eastAsia="es-AR"/>
              </w:rPr>
              <w:t>s.</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Inversora J</w:t>
            </w:r>
            <w:r w:rsidRPr="00BE757A">
              <w:rPr>
                <w:rFonts w:ascii="Times New Roman" w:eastAsia="Times New Roman" w:hAnsi="Times New Roman" w:cs="Times New Roman"/>
                <w:color w:val="000000"/>
                <w:sz w:val="24"/>
                <w:szCs w:val="24"/>
                <w:lang w:eastAsia="es-AR"/>
              </w:rPr>
              <w:t>uramento</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I</w:t>
            </w:r>
            <w:r w:rsidRPr="00BE757A">
              <w:rPr>
                <w:rFonts w:ascii="Times New Roman" w:eastAsia="Times New Roman" w:hAnsi="Times New Roman" w:cs="Times New Roman"/>
                <w:color w:val="000000"/>
                <w:sz w:val="24"/>
                <w:szCs w:val="24"/>
                <w:lang w:eastAsia="es-AR"/>
              </w:rPr>
              <w:t>rsa</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-0,54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Laboratorios R</w:t>
            </w:r>
            <w:r w:rsidRPr="00BE757A">
              <w:rPr>
                <w:rFonts w:ascii="Times New Roman" w:eastAsia="Times New Roman" w:hAnsi="Times New Roman" w:cs="Times New Roman"/>
                <w:color w:val="000000"/>
                <w:sz w:val="24"/>
                <w:szCs w:val="24"/>
                <w:lang w:eastAsia="es-AR"/>
              </w:rPr>
              <w:t>ichmond</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L</w:t>
            </w:r>
            <w:r w:rsidRPr="00BE757A">
              <w:rPr>
                <w:rFonts w:ascii="Times New Roman" w:eastAsia="Times New Roman" w:hAnsi="Times New Roman" w:cs="Times New Roman"/>
                <w:color w:val="000000"/>
                <w:sz w:val="24"/>
                <w:szCs w:val="24"/>
                <w:lang w:eastAsia="es-AR"/>
              </w:rPr>
              <w:t>edesma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-0,82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L</w:t>
            </w:r>
            <w:r w:rsidRPr="00BE757A">
              <w:rPr>
                <w:rFonts w:ascii="Times New Roman" w:eastAsia="Times New Roman" w:hAnsi="Times New Roman" w:cs="Times New Roman"/>
                <w:color w:val="000000"/>
                <w:sz w:val="24"/>
                <w:szCs w:val="24"/>
                <w:lang w:eastAsia="es-AR"/>
              </w:rPr>
              <w:t>eyden</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Liag</w:t>
            </w:r>
            <w:proofErr w:type="spellEnd"/>
            <w:r>
              <w:rPr>
                <w:rFonts w:ascii="Times New Roman" w:eastAsia="Times New Roman" w:hAnsi="Times New Roman" w:cs="Times New Roman"/>
                <w:color w:val="000000"/>
                <w:sz w:val="24"/>
                <w:szCs w:val="24"/>
                <w:lang w:eastAsia="es-AR"/>
              </w:rPr>
              <w:t xml:space="preserve"> A</w:t>
            </w:r>
            <w:r w:rsidRPr="00BE757A">
              <w:rPr>
                <w:rFonts w:ascii="Times New Roman" w:eastAsia="Times New Roman" w:hAnsi="Times New Roman" w:cs="Times New Roman"/>
                <w:color w:val="000000"/>
                <w:sz w:val="24"/>
                <w:szCs w:val="24"/>
                <w:lang w:eastAsia="es-AR"/>
              </w:rPr>
              <w:t>rgentina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Papel P</w:t>
            </w:r>
            <w:r w:rsidRPr="00BE757A">
              <w:rPr>
                <w:rFonts w:ascii="Times New Roman" w:eastAsia="Times New Roman" w:hAnsi="Times New Roman" w:cs="Times New Roman"/>
                <w:color w:val="000000"/>
                <w:sz w:val="24"/>
                <w:szCs w:val="24"/>
                <w:lang w:eastAsia="es-AR"/>
              </w:rPr>
              <w:t>rensa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P</w:t>
            </w:r>
            <w:r w:rsidRPr="00BE757A">
              <w:rPr>
                <w:rFonts w:ascii="Times New Roman" w:eastAsia="Times New Roman" w:hAnsi="Times New Roman" w:cs="Times New Roman"/>
                <w:color w:val="000000"/>
                <w:sz w:val="24"/>
                <w:szCs w:val="24"/>
                <w:lang w:eastAsia="es-AR"/>
              </w:rPr>
              <w:t>atricios</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0,045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-0,69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-0,55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P</w:t>
            </w:r>
            <w:r w:rsidRPr="00BE757A">
              <w:rPr>
                <w:rFonts w:ascii="Times New Roman" w:eastAsia="Times New Roman" w:hAnsi="Times New Roman" w:cs="Times New Roman"/>
                <w:color w:val="000000"/>
                <w:sz w:val="24"/>
                <w:szCs w:val="24"/>
                <w:lang w:eastAsia="es-AR"/>
              </w:rPr>
              <w:t>etroagro</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color w:val="000000"/>
                <w:sz w:val="24"/>
                <w:szCs w:val="24"/>
                <w:lang w:eastAsia="es-AR"/>
              </w:rPr>
            </w:pP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sz w:val="20"/>
                <w:szCs w:val="20"/>
                <w:lang w:eastAsia="es-AR"/>
              </w:rPr>
            </w:pP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P</w:t>
            </w:r>
            <w:r w:rsidRPr="00BE757A">
              <w:rPr>
                <w:rFonts w:ascii="Times New Roman" w:eastAsia="Times New Roman" w:hAnsi="Times New Roman" w:cs="Times New Roman"/>
                <w:color w:val="000000"/>
                <w:sz w:val="24"/>
                <w:szCs w:val="24"/>
                <w:lang w:eastAsia="es-AR"/>
              </w:rPr>
              <w:t>etrobras</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color w:val="000000"/>
                <w:sz w:val="24"/>
                <w:szCs w:val="24"/>
                <w:lang w:eastAsia="es-AR"/>
              </w:rPr>
            </w:pP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sz w:val="20"/>
                <w:szCs w:val="20"/>
                <w:lang w:eastAsia="es-AR"/>
              </w:rPr>
            </w:pP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Petrolera del </w:t>
            </w:r>
            <w:proofErr w:type="spellStart"/>
            <w:r>
              <w:rPr>
                <w:rFonts w:ascii="Times New Roman" w:eastAsia="Times New Roman" w:hAnsi="Times New Roman" w:cs="Times New Roman"/>
                <w:color w:val="000000"/>
                <w:sz w:val="24"/>
                <w:szCs w:val="24"/>
                <w:lang w:eastAsia="es-AR"/>
              </w:rPr>
              <w:t>C</w:t>
            </w:r>
            <w:r w:rsidRPr="00BE757A">
              <w:rPr>
                <w:rFonts w:ascii="Times New Roman" w:eastAsia="Times New Roman" w:hAnsi="Times New Roman" w:cs="Times New Roman"/>
                <w:color w:val="000000"/>
                <w:sz w:val="24"/>
                <w:szCs w:val="24"/>
                <w:lang w:eastAsia="es-AR"/>
              </w:rPr>
              <w:t>onosur</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-1,59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-1,44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-0,51</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Petroq</w:t>
            </w:r>
            <w:proofErr w:type="spellEnd"/>
            <w:r>
              <w:rPr>
                <w:rFonts w:ascii="Times New Roman" w:eastAsia="Times New Roman" w:hAnsi="Times New Roman" w:cs="Times New Roman"/>
                <w:color w:val="000000"/>
                <w:sz w:val="24"/>
                <w:szCs w:val="24"/>
                <w:lang w:eastAsia="es-AR"/>
              </w:rPr>
              <w:t>. Com. R</w:t>
            </w:r>
            <w:r w:rsidRPr="00BE757A">
              <w:rPr>
                <w:rFonts w:ascii="Times New Roman" w:eastAsia="Times New Roman" w:hAnsi="Times New Roman" w:cs="Times New Roman"/>
                <w:color w:val="000000"/>
                <w:sz w:val="24"/>
                <w:szCs w:val="24"/>
                <w:lang w:eastAsia="es-AR"/>
              </w:rPr>
              <w:t>ivadavia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color w:val="000000"/>
                <w:sz w:val="24"/>
                <w:szCs w:val="24"/>
                <w:lang w:eastAsia="es-AR"/>
              </w:rPr>
            </w:pP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sz w:val="20"/>
                <w:szCs w:val="20"/>
                <w:lang w:eastAsia="es-AR"/>
              </w:rPr>
            </w:pP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Plaza L</w:t>
            </w:r>
            <w:r w:rsidRPr="00BE757A">
              <w:rPr>
                <w:rFonts w:ascii="Times New Roman" w:eastAsia="Times New Roman" w:hAnsi="Times New Roman" w:cs="Times New Roman"/>
                <w:color w:val="000000"/>
                <w:sz w:val="24"/>
                <w:szCs w:val="24"/>
                <w:lang w:eastAsia="es-AR"/>
              </w:rPr>
              <w:t>ogística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0,27</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Polledo</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1,11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0,04</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Prear</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Q</w:t>
            </w:r>
            <w:r w:rsidRPr="00BE757A">
              <w:rPr>
                <w:rFonts w:ascii="Times New Roman" w:eastAsia="Times New Roman" w:hAnsi="Times New Roman" w:cs="Times New Roman"/>
                <w:color w:val="000000"/>
                <w:sz w:val="24"/>
                <w:szCs w:val="24"/>
                <w:lang w:eastAsia="es-AR"/>
              </w:rPr>
              <w:t>uickfood</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Raghsa</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0,65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0,24</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lastRenderedPageBreak/>
              <w:t>Red S</w:t>
            </w:r>
            <w:r w:rsidRPr="00BE757A">
              <w:rPr>
                <w:rFonts w:ascii="Times New Roman" w:eastAsia="Times New Roman" w:hAnsi="Times New Roman" w:cs="Times New Roman"/>
                <w:color w:val="000000"/>
                <w:sz w:val="24"/>
                <w:szCs w:val="24"/>
                <w:lang w:eastAsia="es-AR"/>
              </w:rPr>
              <w:t>urcos</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0,11</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Ribeiro</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-1,16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R</w:t>
            </w:r>
            <w:r w:rsidRPr="00BE757A">
              <w:rPr>
                <w:rFonts w:ascii="Times New Roman" w:eastAsia="Times New Roman" w:hAnsi="Times New Roman" w:cs="Times New Roman"/>
                <w:color w:val="000000"/>
                <w:sz w:val="24"/>
                <w:szCs w:val="24"/>
                <w:lang w:eastAsia="es-AR"/>
              </w:rPr>
              <w:t>igolleau</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Rio </w:t>
            </w:r>
            <w:proofErr w:type="spellStart"/>
            <w:r>
              <w:rPr>
                <w:rFonts w:ascii="Times New Roman" w:eastAsia="Times New Roman" w:hAnsi="Times New Roman" w:cs="Times New Roman"/>
                <w:color w:val="000000"/>
                <w:sz w:val="24"/>
                <w:szCs w:val="24"/>
                <w:lang w:eastAsia="es-AR"/>
              </w:rPr>
              <w:t>E</w:t>
            </w:r>
            <w:r w:rsidRPr="00BE757A">
              <w:rPr>
                <w:rFonts w:ascii="Times New Roman" w:eastAsia="Times New Roman" w:hAnsi="Times New Roman" w:cs="Times New Roman"/>
                <w:color w:val="000000"/>
                <w:sz w:val="24"/>
                <w:szCs w:val="24"/>
                <w:lang w:eastAsia="es-AR"/>
              </w:rPr>
              <w:t>nergy</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R</w:t>
            </w:r>
            <w:r w:rsidRPr="00BE757A">
              <w:rPr>
                <w:rFonts w:ascii="Times New Roman" w:eastAsia="Times New Roman" w:hAnsi="Times New Roman" w:cs="Times New Roman"/>
                <w:color w:val="000000"/>
                <w:sz w:val="24"/>
                <w:szCs w:val="24"/>
                <w:lang w:eastAsia="es-AR"/>
              </w:rPr>
              <w:t>izobacter</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-0,65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R</w:t>
            </w:r>
            <w:r w:rsidRPr="00BE757A">
              <w:rPr>
                <w:rFonts w:ascii="Times New Roman" w:eastAsia="Times New Roman" w:hAnsi="Times New Roman" w:cs="Times New Roman"/>
                <w:color w:val="000000"/>
                <w:sz w:val="24"/>
                <w:szCs w:val="24"/>
                <w:lang w:eastAsia="es-AR"/>
              </w:rPr>
              <w:t>oth</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-0,52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Imp. </w:t>
            </w:r>
            <w:proofErr w:type="gramStart"/>
            <w:r>
              <w:rPr>
                <w:rFonts w:ascii="Times New Roman" w:eastAsia="Times New Roman" w:hAnsi="Times New Roman" w:cs="Times New Roman"/>
                <w:color w:val="000000"/>
                <w:sz w:val="24"/>
                <w:szCs w:val="24"/>
                <w:lang w:eastAsia="es-AR"/>
              </w:rPr>
              <w:t>y</w:t>
            </w:r>
            <w:proofErr w:type="gramEnd"/>
            <w:r>
              <w:rPr>
                <w:rFonts w:ascii="Times New Roman" w:eastAsia="Times New Roman" w:hAnsi="Times New Roman" w:cs="Times New Roman"/>
                <w:color w:val="000000"/>
                <w:sz w:val="24"/>
                <w:szCs w:val="24"/>
                <w:lang w:eastAsia="es-AR"/>
              </w:rPr>
              <w:t xml:space="preserve"> </w:t>
            </w:r>
            <w:proofErr w:type="spellStart"/>
            <w:r>
              <w:rPr>
                <w:rFonts w:ascii="Times New Roman" w:eastAsia="Times New Roman" w:hAnsi="Times New Roman" w:cs="Times New Roman"/>
                <w:color w:val="000000"/>
                <w:sz w:val="24"/>
                <w:szCs w:val="24"/>
                <w:lang w:eastAsia="es-AR"/>
              </w:rPr>
              <w:t>Exp</w:t>
            </w:r>
            <w:proofErr w:type="spellEnd"/>
            <w:r>
              <w:rPr>
                <w:rFonts w:ascii="Times New Roman" w:eastAsia="Times New Roman" w:hAnsi="Times New Roman" w:cs="Times New Roman"/>
                <w:color w:val="000000"/>
                <w:sz w:val="24"/>
                <w:szCs w:val="24"/>
                <w:lang w:eastAsia="es-AR"/>
              </w:rPr>
              <w:t>. d</w:t>
            </w:r>
            <w:r w:rsidRPr="00BE757A">
              <w:rPr>
                <w:rFonts w:ascii="Times New Roman" w:eastAsia="Times New Roman" w:hAnsi="Times New Roman" w:cs="Times New Roman"/>
                <w:color w:val="000000"/>
                <w:sz w:val="24"/>
                <w:szCs w:val="24"/>
                <w:lang w:eastAsia="es-AR"/>
              </w:rPr>
              <w:t>e</w:t>
            </w:r>
            <w:r>
              <w:rPr>
                <w:rFonts w:ascii="Times New Roman" w:eastAsia="Times New Roman" w:hAnsi="Times New Roman" w:cs="Times New Roman"/>
                <w:color w:val="000000"/>
                <w:sz w:val="24"/>
                <w:szCs w:val="24"/>
                <w:lang w:eastAsia="es-AR"/>
              </w:rPr>
              <w:t xml:space="preserve"> La P</w:t>
            </w:r>
            <w:r w:rsidRPr="00BE757A">
              <w:rPr>
                <w:rFonts w:ascii="Times New Roman" w:eastAsia="Times New Roman" w:hAnsi="Times New Roman" w:cs="Times New Roman"/>
                <w:color w:val="000000"/>
                <w:sz w:val="24"/>
                <w:szCs w:val="24"/>
                <w:lang w:eastAsia="es-AR"/>
              </w:rPr>
              <w:t>ampa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-0,04</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San M</w:t>
            </w:r>
            <w:r w:rsidRPr="00BE757A">
              <w:rPr>
                <w:rFonts w:ascii="Times New Roman" w:eastAsia="Times New Roman" w:hAnsi="Times New Roman" w:cs="Times New Roman"/>
                <w:color w:val="000000"/>
                <w:sz w:val="24"/>
                <w:szCs w:val="24"/>
                <w:lang w:eastAsia="es-AR"/>
              </w:rPr>
              <w:t>iguel</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Sadesa</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Santiago </w:t>
            </w:r>
            <w:proofErr w:type="spellStart"/>
            <w:r>
              <w:rPr>
                <w:rFonts w:ascii="Times New Roman" w:eastAsia="Times New Roman" w:hAnsi="Times New Roman" w:cs="Times New Roman"/>
                <w:color w:val="000000"/>
                <w:sz w:val="24"/>
                <w:szCs w:val="24"/>
                <w:lang w:eastAsia="es-AR"/>
              </w:rPr>
              <w:t>S</w:t>
            </w:r>
            <w:r w:rsidRPr="00BE757A">
              <w:rPr>
                <w:rFonts w:ascii="Times New Roman" w:eastAsia="Times New Roman" w:hAnsi="Times New Roman" w:cs="Times New Roman"/>
                <w:color w:val="000000"/>
                <w:sz w:val="24"/>
                <w:szCs w:val="24"/>
                <w:lang w:eastAsia="es-AR"/>
              </w:rPr>
              <w:t>aenz</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Savant</w:t>
            </w:r>
            <w:proofErr w:type="spellEnd"/>
            <w:r>
              <w:rPr>
                <w:rFonts w:ascii="Times New Roman" w:eastAsia="Times New Roman" w:hAnsi="Times New Roman" w:cs="Times New Roman"/>
                <w:color w:val="000000"/>
                <w:sz w:val="24"/>
                <w:szCs w:val="24"/>
                <w:lang w:eastAsia="es-AR"/>
              </w:rPr>
              <w:t xml:space="preserve"> </w:t>
            </w:r>
            <w:proofErr w:type="spellStart"/>
            <w:r>
              <w:rPr>
                <w:rFonts w:ascii="Times New Roman" w:eastAsia="Times New Roman" w:hAnsi="Times New Roman" w:cs="Times New Roman"/>
                <w:color w:val="000000"/>
                <w:sz w:val="24"/>
                <w:szCs w:val="24"/>
                <w:lang w:eastAsia="es-AR"/>
              </w:rPr>
              <w:t>P</w:t>
            </w:r>
            <w:r w:rsidRPr="00BE757A">
              <w:rPr>
                <w:rFonts w:ascii="Times New Roman" w:eastAsia="Times New Roman" w:hAnsi="Times New Roman" w:cs="Times New Roman"/>
                <w:color w:val="000000"/>
                <w:sz w:val="24"/>
                <w:szCs w:val="24"/>
                <w:lang w:eastAsia="es-AR"/>
              </w:rPr>
              <w:t>harm</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0,54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0,04</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Soc.Com. del P</w:t>
            </w:r>
            <w:r w:rsidRPr="00BE757A">
              <w:rPr>
                <w:rFonts w:ascii="Times New Roman" w:eastAsia="Times New Roman" w:hAnsi="Times New Roman" w:cs="Times New Roman"/>
                <w:color w:val="000000"/>
                <w:sz w:val="24"/>
                <w:szCs w:val="24"/>
                <w:lang w:eastAsia="es-AR"/>
              </w:rPr>
              <w:t>lata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0,54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T</w:t>
            </w:r>
            <w:r w:rsidRPr="00BE757A">
              <w:rPr>
                <w:rFonts w:ascii="Times New Roman" w:eastAsia="Times New Roman" w:hAnsi="Times New Roman" w:cs="Times New Roman"/>
                <w:color w:val="000000"/>
                <w:sz w:val="24"/>
                <w:szCs w:val="24"/>
                <w:lang w:eastAsia="es-AR"/>
              </w:rPr>
              <w:t>ecnoseeds</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Tecpetrol</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0,04</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Toyota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T</w:t>
            </w:r>
            <w:r w:rsidRPr="00BE757A">
              <w:rPr>
                <w:rFonts w:ascii="Times New Roman" w:eastAsia="Times New Roman" w:hAnsi="Times New Roman" w:cs="Times New Roman"/>
                <w:color w:val="000000"/>
                <w:sz w:val="24"/>
                <w:szCs w:val="24"/>
                <w:lang w:eastAsia="es-AR"/>
              </w:rPr>
              <w:t>enium</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T</w:t>
            </w:r>
            <w:r w:rsidRPr="00BE757A">
              <w:rPr>
                <w:rFonts w:ascii="Times New Roman" w:eastAsia="Times New Roman" w:hAnsi="Times New Roman" w:cs="Times New Roman"/>
                <w:color w:val="000000"/>
                <w:sz w:val="24"/>
                <w:szCs w:val="24"/>
                <w:lang w:eastAsia="es-AR"/>
              </w:rPr>
              <w:t>ransportadora de gas del norte</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T</w:t>
            </w:r>
            <w:r w:rsidRPr="00BE757A">
              <w:rPr>
                <w:rFonts w:ascii="Times New Roman" w:eastAsia="Times New Roman" w:hAnsi="Times New Roman" w:cs="Times New Roman"/>
                <w:color w:val="000000"/>
                <w:sz w:val="24"/>
                <w:szCs w:val="24"/>
                <w:lang w:eastAsia="es-AR"/>
              </w:rPr>
              <w:t>rasnportadora</w:t>
            </w:r>
            <w:proofErr w:type="spellEnd"/>
            <w:r w:rsidRPr="00BE757A">
              <w:rPr>
                <w:rFonts w:ascii="Times New Roman" w:eastAsia="Times New Roman" w:hAnsi="Times New Roman" w:cs="Times New Roman"/>
                <w:color w:val="000000"/>
                <w:sz w:val="24"/>
                <w:szCs w:val="24"/>
                <w:lang w:eastAsia="es-AR"/>
              </w:rPr>
              <w:t xml:space="preserve"> gas sur</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0,28</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Volks</w:t>
            </w:r>
            <w:r w:rsidRPr="00BE757A">
              <w:rPr>
                <w:rFonts w:ascii="Times New Roman" w:eastAsia="Times New Roman" w:hAnsi="Times New Roman" w:cs="Times New Roman"/>
                <w:color w:val="000000"/>
                <w:sz w:val="24"/>
                <w:szCs w:val="24"/>
                <w:lang w:eastAsia="es-AR"/>
              </w:rPr>
              <w:t>wagen</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Ypf</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Cgm</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-1,23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-0,006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Dist.Eléctrica</w:t>
            </w:r>
            <w:proofErr w:type="spellEnd"/>
            <w:r>
              <w:rPr>
                <w:rFonts w:ascii="Times New Roman" w:eastAsia="Times New Roman" w:hAnsi="Times New Roman" w:cs="Times New Roman"/>
                <w:color w:val="000000"/>
                <w:sz w:val="24"/>
                <w:szCs w:val="24"/>
                <w:lang w:eastAsia="es-AR"/>
              </w:rPr>
              <w:t xml:space="preserve"> S</w:t>
            </w:r>
            <w:r w:rsidRPr="00BE757A">
              <w:rPr>
                <w:rFonts w:ascii="Times New Roman" w:eastAsia="Times New Roman" w:hAnsi="Times New Roman" w:cs="Times New Roman"/>
                <w:color w:val="000000"/>
                <w:sz w:val="24"/>
                <w:szCs w:val="24"/>
                <w:lang w:eastAsia="es-AR"/>
              </w:rPr>
              <w:t>alta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E</w:t>
            </w:r>
            <w:r w:rsidRPr="00BE757A">
              <w:rPr>
                <w:rFonts w:ascii="Times New Roman" w:eastAsia="Times New Roman" w:hAnsi="Times New Roman" w:cs="Times New Roman"/>
                <w:color w:val="000000"/>
                <w:sz w:val="24"/>
                <w:szCs w:val="24"/>
                <w:lang w:eastAsia="es-AR"/>
              </w:rPr>
              <w:t>denor</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García R</w:t>
            </w:r>
            <w:r w:rsidRPr="00BE757A">
              <w:rPr>
                <w:rFonts w:ascii="Times New Roman" w:eastAsia="Times New Roman" w:hAnsi="Times New Roman" w:cs="Times New Roman"/>
                <w:color w:val="000000"/>
                <w:sz w:val="24"/>
                <w:szCs w:val="24"/>
                <w:lang w:eastAsia="es-AR"/>
              </w:rPr>
              <w:t>eguera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C</w:t>
            </w:r>
            <w:r w:rsidRPr="00BE757A">
              <w:rPr>
                <w:rFonts w:ascii="Times New Roman" w:eastAsia="Times New Roman" w:hAnsi="Times New Roman" w:cs="Times New Roman"/>
                <w:color w:val="000000"/>
                <w:sz w:val="24"/>
                <w:szCs w:val="24"/>
                <w:lang w:eastAsia="es-AR"/>
              </w:rPr>
              <w:t>onsultatio</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Dicasa</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-0,005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0,06</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Grupo </w:t>
            </w:r>
            <w:proofErr w:type="spellStart"/>
            <w:r>
              <w:rPr>
                <w:rFonts w:ascii="Times New Roman" w:eastAsia="Times New Roman" w:hAnsi="Times New Roman" w:cs="Times New Roman"/>
                <w:color w:val="000000"/>
                <w:sz w:val="24"/>
                <w:szCs w:val="24"/>
                <w:lang w:eastAsia="es-AR"/>
              </w:rPr>
              <w:t>C</w:t>
            </w:r>
            <w:r w:rsidRPr="00BE757A">
              <w:rPr>
                <w:rFonts w:ascii="Times New Roman" w:eastAsia="Times New Roman" w:hAnsi="Times New Roman" w:cs="Times New Roman"/>
                <w:color w:val="000000"/>
                <w:sz w:val="24"/>
                <w:szCs w:val="24"/>
                <w:lang w:eastAsia="es-AR"/>
              </w:rPr>
              <w:t>on</w:t>
            </w:r>
            <w:r>
              <w:rPr>
                <w:rFonts w:ascii="Times New Roman" w:eastAsia="Times New Roman" w:hAnsi="Times New Roman" w:cs="Times New Roman"/>
                <w:color w:val="000000"/>
                <w:sz w:val="24"/>
                <w:szCs w:val="24"/>
                <w:lang w:eastAsia="es-AR"/>
              </w:rPr>
              <w:t>ces</w:t>
            </w:r>
            <w:proofErr w:type="spellEnd"/>
            <w:r>
              <w:rPr>
                <w:rFonts w:ascii="Times New Roman" w:eastAsia="Times New Roman" w:hAnsi="Times New Roman" w:cs="Times New Roman"/>
                <w:color w:val="000000"/>
                <w:sz w:val="24"/>
                <w:szCs w:val="24"/>
                <w:lang w:eastAsia="es-AR"/>
              </w:rPr>
              <w:t>. del O</w:t>
            </w:r>
            <w:r w:rsidRPr="00BE757A">
              <w:rPr>
                <w:rFonts w:ascii="Times New Roman" w:eastAsia="Times New Roman" w:hAnsi="Times New Roman" w:cs="Times New Roman"/>
                <w:color w:val="000000"/>
                <w:sz w:val="24"/>
                <w:szCs w:val="24"/>
                <w:lang w:eastAsia="es-AR"/>
              </w:rPr>
              <w:t>este</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1,08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0,67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Cía. I</w:t>
            </w:r>
            <w:r w:rsidRPr="00BE757A">
              <w:rPr>
                <w:rFonts w:ascii="Times New Roman" w:eastAsia="Times New Roman" w:hAnsi="Times New Roman" w:cs="Times New Roman"/>
                <w:color w:val="000000"/>
                <w:sz w:val="24"/>
                <w:szCs w:val="24"/>
                <w:lang w:eastAsia="es-AR"/>
              </w:rPr>
              <w:t>ntroductora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D</w:t>
            </w:r>
            <w:r w:rsidRPr="00BE757A">
              <w:rPr>
                <w:rFonts w:ascii="Times New Roman" w:eastAsia="Times New Roman" w:hAnsi="Times New Roman" w:cs="Times New Roman"/>
                <w:color w:val="000000"/>
                <w:sz w:val="24"/>
                <w:szCs w:val="24"/>
                <w:lang w:eastAsia="es-AR"/>
              </w:rPr>
              <w:t>ulcor</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C</w:t>
            </w:r>
            <w:r w:rsidRPr="00BE757A">
              <w:rPr>
                <w:rFonts w:ascii="Times New Roman" w:eastAsia="Times New Roman" w:hAnsi="Times New Roman" w:cs="Times New Roman"/>
                <w:color w:val="000000"/>
                <w:sz w:val="24"/>
                <w:szCs w:val="24"/>
                <w:lang w:eastAsia="es-AR"/>
              </w:rPr>
              <w:t>elulosa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C</w:t>
            </w:r>
            <w:r w:rsidRPr="00BE757A">
              <w:rPr>
                <w:rFonts w:ascii="Times New Roman" w:eastAsia="Times New Roman" w:hAnsi="Times New Roman" w:cs="Times New Roman"/>
                <w:color w:val="000000"/>
                <w:sz w:val="24"/>
                <w:szCs w:val="24"/>
                <w:lang w:eastAsia="es-AR"/>
              </w:rPr>
              <w:t>entral puerto</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0,71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0,17</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C</w:t>
            </w:r>
            <w:r w:rsidRPr="00BE757A">
              <w:rPr>
                <w:rFonts w:ascii="Times New Roman" w:eastAsia="Times New Roman" w:hAnsi="Times New Roman" w:cs="Times New Roman"/>
                <w:color w:val="000000"/>
                <w:sz w:val="24"/>
                <w:szCs w:val="24"/>
                <w:lang w:eastAsia="es-AR"/>
              </w:rPr>
              <w:t>tral</w:t>
            </w:r>
            <w:proofErr w:type="spellEnd"/>
            <w:r w:rsidRPr="00BE757A">
              <w:rPr>
                <w:rFonts w:ascii="Times New Roman" w:eastAsia="Times New Roman" w:hAnsi="Times New Roman" w:cs="Times New Roman"/>
                <w:color w:val="000000"/>
                <w:sz w:val="24"/>
                <w:szCs w:val="24"/>
                <w:lang w:eastAsia="es-AR"/>
              </w:rPr>
              <w:t>. termina roca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C</w:t>
            </w:r>
            <w:r w:rsidRPr="00BE757A">
              <w:rPr>
                <w:rFonts w:ascii="Times New Roman" w:eastAsia="Times New Roman" w:hAnsi="Times New Roman" w:cs="Times New Roman"/>
                <w:color w:val="000000"/>
                <w:sz w:val="24"/>
                <w:szCs w:val="24"/>
                <w:lang w:eastAsia="es-AR"/>
              </w:rPr>
              <w:t>ía. general de combustibles</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0,57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D</w:t>
            </w:r>
            <w:r w:rsidRPr="00BE757A">
              <w:rPr>
                <w:rFonts w:ascii="Times New Roman" w:eastAsia="Times New Roman" w:hAnsi="Times New Roman" w:cs="Times New Roman"/>
                <w:color w:val="000000"/>
                <w:sz w:val="24"/>
                <w:szCs w:val="24"/>
                <w:lang w:eastAsia="es-AR"/>
              </w:rPr>
              <w:t>isal</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D</w:t>
            </w:r>
            <w:r w:rsidRPr="00BE757A">
              <w:rPr>
                <w:rFonts w:ascii="Times New Roman" w:eastAsia="Times New Roman" w:hAnsi="Times New Roman" w:cs="Times New Roman"/>
                <w:color w:val="000000"/>
                <w:sz w:val="24"/>
                <w:szCs w:val="24"/>
                <w:lang w:eastAsia="es-AR"/>
              </w:rPr>
              <w:t>omec</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Electromac</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Ferrum</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0,12</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Fiplasto</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C</w:t>
            </w:r>
            <w:r w:rsidRPr="00BE757A">
              <w:rPr>
                <w:rFonts w:ascii="Times New Roman" w:eastAsia="Times New Roman" w:hAnsi="Times New Roman" w:cs="Times New Roman"/>
                <w:color w:val="000000"/>
                <w:sz w:val="24"/>
                <w:szCs w:val="24"/>
                <w:lang w:eastAsia="es-AR"/>
              </w:rPr>
              <w:t>entral urbana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-0,6</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-0,52</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Conti</w:t>
            </w:r>
            <w:proofErr w:type="spellEnd"/>
            <w:r>
              <w:rPr>
                <w:rFonts w:ascii="Times New Roman" w:eastAsia="Times New Roman" w:hAnsi="Times New Roman" w:cs="Times New Roman"/>
                <w:color w:val="000000"/>
                <w:sz w:val="24"/>
                <w:szCs w:val="24"/>
                <w:lang w:eastAsia="es-AR"/>
              </w:rPr>
              <w:t xml:space="preserve"> U</w:t>
            </w:r>
            <w:r w:rsidRPr="00BE757A">
              <w:rPr>
                <w:rFonts w:ascii="Times New Roman" w:eastAsia="Times New Roman" w:hAnsi="Times New Roman" w:cs="Times New Roman"/>
                <w:color w:val="000000"/>
                <w:sz w:val="24"/>
                <w:szCs w:val="24"/>
                <w:lang w:eastAsia="es-AR"/>
              </w:rPr>
              <w:t>rbana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0,33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Edesal</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0,14</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0,14</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Garovaglio</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-0,68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-0,58</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Dist</w:t>
            </w:r>
            <w:proofErr w:type="spellEnd"/>
            <w:r>
              <w:rPr>
                <w:rFonts w:ascii="Times New Roman" w:eastAsia="Times New Roman" w:hAnsi="Times New Roman" w:cs="Times New Roman"/>
                <w:color w:val="000000"/>
                <w:sz w:val="24"/>
                <w:szCs w:val="24"/>
                <w:lang w:eastAsia="es-AR"/>
              </w:rPr>
              <w:t>. Gas C</w:t>
            </w:r>
            <w:r w:rsidRPr="00BE757A">
              <w:rPr>
                <w:rFonts w:ascii="Times New Roman" w:eastAsia="Times New Roman" w:hAnsi="Times New Roman" w:cs="Times New Roman"/>
                <w:color w:val="000000"/>
                <w:sz w:val="24"/>
                <w:szCs w:val="24"/>
                <w:lang w:eastAsia="es-AR"/>
              </w:rPr>
              <w:t>uyana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proofErr w:type="spellStart"/>
            <w:r w:rsidRPr="00BE757A">
              <w:rPr>
                <w:rFonts w:ascii="Times New Roman" w:eastAsia="Times New Roman" w:hAnsi="Times New Roman" w:cs="Times New Roman"/>
                <w:color w:val="000000"/>
                <w:sz w:val="24"/>
                <w:szCs w:val="24"/>
                <w:lang w:eastAsia="es-AR"/>
              </w:rPr>
              <w:t>Cfn</w:t>
            </w:r>
            <w:proofErr w:type="spellEnd"/>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0,29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sz w:val="20"/>
                <w:szCs w:val="20"/>
                <w:lang w:eastAsia="es-AR"/>
              </w:rPr>
            </w:pP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sz w:val="20"/>
                <w:szCs w:val="20"/>
                <w:lang w:eastAsia="es-AR"/>
              </w:rPr>
            </w:pP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sz w:val="20"/>
                <w:szCs w:val="20"/>
                <w:lang w:eastAsia="es-AR"/>
              </w:rPr>
            </w:pP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rPr>
                <w:rFonts w:ascii="Times New Roman" w:eastAsia="Times New Roman" w:hAnsi="Times New Roman" w:cs="Times New Roman"/>
                <w:sz w:val="20"/>
                <w:szCs w:val="20"/>
                <w:lang w:eastAsia="es-AR"/>
              </w:rPr>
            </w:pP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M</w:t>
            </w:r>
            <w:r w:rsidRPr="00BE757A">
              <w:rPr>
                <w:rFonts w:ascii="Times New Roman" w:eastAsia="Times New Roman" w:hAnsi="Times New Roman" w:cs="Times New Roman"/>
                <w:color w:val="000000"/>
                <w:sz w:val="24"/>
                <w:szCs w:val="24"/>
                <w:lang w:eastAsia="es-AR"/>
              </w:rPr>
              <w:t>edia aritmética</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-0,006173</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0,0917901</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-0,030655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0,0246905</w:t>
            </w:r>
          </w:p>
        </w:tc>
      </w:tr>
      <w:tr w:rsidR="00BE757A" w:rsidRPr="00BE757A" w:rsidTr="00BE757A">
        <w:trPr>
          <w:trHeight w:val="315"/>
        </w:trPr>
        <w:tc>
          <w:tcPr>
            <w:tcW w:w="4312" w:type="dxa"/>
            <w:tcBorders>
              <w:top w:val="nil"/>
              <w:left w:val="nil"/>
              <w:bottom w:val="nil"/>
              <w:right w:val="nil"/>
            </w:tcBorders>
            <w:shd w:val="clear" w:color="auto" w:fill="auto"/>
            <w:noWrap/>
            <w:vAlign w:val="bottom"/>
            <w:hideMark/>
          </w:tcPr>
          <w:p w:rsidR="00BE757A" w:rsidRPr="00BE757A" w:rsidRDefault="006C4177" w:rsidP="00BE757A">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D</w:t>
            </w:r>
            <w:r w:rsidRPr="00BE757A">
              <w:rPr>
                <w:rFonts w:ascii="Times New Roman" w:eastAsia="Times New Roman" w:hAnsi="Times New Roman" w:cs="Times New Roman"/>
                <w:color w:val="000000"/>
                <w:sz w:val="24"/>
                <w:szCs w:val="24"/>
                <w:lang w:eastAsia="es-AR"/>
              </w:rPr>
              <w:t>esviación estándar</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0,7762515</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0,1907818</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0,4143857</w:t>
            </w:r>
          </w:p>
        </w:tc>
        <w:tc>
          <w:tcPr>
            <w:tcW w:w="1129" w:type="dxa"/>
            <w:tcBorders>
              <w:top w:val="nil"/>
              <w:left w:val="nil"/>
              <w:bottom w:val="nil"/>
              <w:right w:val="nil"/>
            </w:tcBorders>
            <w:shd w:val="clear" w:color="auto" w:fill="auto"/>
            <w:noWrap/>
            <w:vAlign w:val="bottom"/>
            <w:hideMark/>
          </w:tcPr>
          <w:p w:rsidR="00BE757A" w:rsidRPr="00BE757A" w:rsidRDefault="00BE757A" w:rsidP="00BE757A">
            <w:pPr>
              <w:spacing w:after="0" w:line="240" w:lineRule="auto"/>
              <w:jc w:val="right"/>
              <w:rPr>
                <w:rFonts w:ascii="Times New Roman" w:eastAsia="Times New Roman" w:hAnsi="Times New Roman" w:cs="Times New Roman"/>
                <w:color w:val="000000"/>
                <w:sz w:val="24"/>
                <w:szCs w:val="24"/>
                <w:lang w:eastAsia="es-AR"/>
              </w:rPr>
            </w:pPr>
            <w:r w:rsidRPr="00BE757A">
              <w:rPr>
                <w:rFonts w:ascii="Times New Roman" w:eastAsia="Times New Roman" w:hAnsi="Times New Roman" w:cs="Times New Roman"/>
                <w:color w:val="000000"/>
                <w:sz w:val="24"/>
                <w:szCs w:val="24"/>
                <w:lang w:eastAsia="es-AR"/>
              </w:rPr>
              <w:t>0,1588372</w:t>
            </w:r>
          </w:p>
        </w:tc>
      </w:tr>
    </w:tbl>
    <w:p w:rsidR="00BE757A" w:rsidRPr="00BE757A" w:rsidRDefault="00BE757A">
      <w:pPr>
        <w:spacing w:line="360" w:lineRule="auto"/>
        <w:jc w:val="both"/>
        <w:rPr>
          <w:rFonts w:ascii="Times New Roman" w:hAnsi="Times New Roman" w:cs="Times New Roman"/>
          <w:b/>
          <w:sz w:val="24"/>
          <w:szCs w:val="24"/>
        </w:rPr>
      </w:pPr>
    </w:p>
    <w:sectPr w:rsidR="00BE757A" w:rsidRPr="00BE75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B5A9A"/>
    <w:multiLevelType w:val="singleLevel"/>
    <w:tmpl w:val="2662FD84"/>
    <w:lvl w:ilvl="0">
      <w:start w:val="1"/>
      <w:numFmt w:val="decimal"/>
      <w:lvlText w:val="%1-"/>
      <w:lvlJc w:val="left"/>
      <w:pPr>
        <w:tabs>
          <w:tab w:val="num" w:pos="480"/>
        </w:tabs>
        <w:ind w:left="480" w:hanging="360"/>
      </w:pPr>
      <w:rPr>
        <w:rFonts w:cs="Times New Roman" w:hint="default"/>
      </w:rPr>
    </w:lvl>
  </w:abstractNum>
  <w:abstractNum w:abstractNumId="1" w15:restartNumberingAfterBreak="0">
    <w:nsid w:val="1EE7489A"/>
    <w:multiLevelType w:val="singleLevel"/>
    <w:tmpl w:val="DB829152"/>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7E736905"/>
    <w:multiLevelType w:val="hybridMultilevel"/>
    <w:tmpl w:val="2F2649C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5BC"/>
    <w:rsid w:val="000144B1"/>
    <w:rsid w:val="00051D72"/>
    <w:rsid w:val="00157E10"/>
    <w:rsid w:val="00183744"/>
    <w:rsid w:val="00210077"/>
    <w:rsid w:val="00236146"/>
    <w:rsid w:val="002476E3"/>
    <w:rsid w:val="00263765"/>
    <w:rsid w:val="002A7257"/>
    <w:rsid w:val="002B6F7A"/>
    <w:rsid w:val="002C3D22"/>
    <w:rsid w:val="002D2F63"/>
    <w:rsid w:val="002F4087"/>
    <w:rsid w:val="00311A78"/>
    <w:rsid w:val="0032475E"/>
    <w:rsid w:val="0032693B"/>
    <w:rsid w:val="00353582"/>
    <w:rsid w:val="0039267C"/>
    <w:rsid w:val="003B4C2F"/>
    <w:rsid w:val="003E69AA"/>
    <w:rsid w:val="003F461E"/>
    <w:rsid w:val="004045F7"/>
    <w:rsid w:val="00416062"/>
    <w:rsid w:val="004269F6"/>
    <w:rsid w:val="00440E02"/>
    <w:rsid w:val="004618E7"/>
    <w:rsid w:val="00480D97"/>
    <w:rsid w:val="004F2B0E"/>
    <w:rsid w:val="004F7B57"/>
    <w:rsid w:val="00534875"/>
    <w:rsid w:val="0058250F"/>
    <w:rsid w:val="005A5DBC"/>
    <w:rsid w:val="005E48E7"/>
    <w:rsid w:val="00604043"/>
    <w:rsid w:val="006C4177"/>
    <w:rsid w:val="006C5160"/>
    <w:rsid w:val="006D72BE"/>
    <w:rsid w:val="00747B0E"/>
    <w:rsid w:val="007855BC"/>
    <w:rsid w:val="007B45C9"/>
    <w:rsid w:val="0081625A"/>
    <w:rsid w:val="008853B5"/>
    <w:rsid w:val="008A7885"/>
    <w:rsid w:val="008B7DE5"/>
    <w:rsid w:val="008C0756"/>
    <w:rsid w:val="008F6870"/>
    <w:rsid w:val="00912C28"/>
    <w:rsid w:val="009406A2"/>
    <w:rsid w:val="00973ACF"/>
    <w:rsid w:val="0098569B"/>
    <w:rsid w:val="009A5044"/>
    <w:rsid w:val="009F411F"/>
    <w:rsid w:val="00A444B3"/>
    <w:rsid w:val="00A532F5"/>
    <w:rsid w:val="00A72AD0"/>
    <w:rsid w:val="00AA53B2"/>
    <w:rsid w:val="00AE26EB"/>
    <w:rsid w:val="00AE358D"/>
    <w:rsid w:val="00AF0953"/>
    <w:rsid w:val="00B62D1D"/>
    <w:rsid w:val="00BB7949"/>
    <w:rsid w:val="00BE757A"/>
    <w:rsid w:val="00C246DA"/>
    <w:rsid w:val="00C55BD0"/>
    <w:rsid w:val="00C95FC1"/>
    <w:rsid w:val="00CB1E12"/>
    <w:rsid w:val="00CB6B25"/>
    <w:rsid w:val="00CD413D"/>
    <w:rsid w:val="00CE34FC"/>
    <w:rsid w:val="00CE6312"/>
    <w:rsid w:val="00D10573"/>
    <w:rsid w:val="00D410C6"/>
    <w:rsid w:val="00D820C1"/>
    <w:rsid w:val="00D9218D"/>
    <w:rsid w:val="00DC3A2B"/>
    <w:rsid w:val="00DC7737"/>
    <w:rsid w:val="00DF167B"/>
    <w:rsid w:val="00E11E62"/>
    <w:rsid w:val="00E63051"/>
    <w:rsid w:val="00E95D6F"/>
    <w:rsid w:val="00EB2FFC"/>
    <w:rsid w:val="00F00990"/>
    <w:rsid w:val="00F368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F8A3E-3A74-4E62-9DE4-A80750E2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nhideWhenUsed/>
    <w:qFormat/>
    <w:rsid w:val="0032475E"/>
    <w:pPr>
      <w:keepNext/>
      <w:keepLines/>
      <w:spacing w:before="200" w:after="0" w:line="276" w:lineRule="auto"/>
      <w:outlineLvl w:val="2"/>
    </w:pPr>
    <w:rPr>
      <w:rFonts w:asciiTheme="majorHAnsi" w:eastAsiaTheme="majorEastAsia" w:hAnsiTheme="majorHAnsi" w:cstheme="majorBidi"/>
      <w:b/>
      <w:bCs/>
      <w:color w:val="5B9BD5" w:themeColor="accent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5044"/>
    <w:rPr>
      <w:color w:val="808080"/>
    </w:rPr>
  </w:style>
  <w:style w:type="paragraph" w:styleId="Prrafodelista">
    <w:name w:val="List Paragraph"/>
    <w:basedOn w:val="Normal"/>
    <w:uiPriority w:val="34"/>
    <w:qFormat/>
    <w:rsid w:val="00157E10"/>
    <w:pPr>
      <w:ind w:left="720"/>
      <w:contextualSpacing/>
    </w:pPr>
  </w:style>
  <w:style w:type="character" w:styleId="Hipervnculo">
    <w:name w:val="Hyperlink"/>
    <w:basedOn w:val="Fuentedeprrafopredeter"/>
    <w:uiPriority w:val="99"/>
    <w:unhideWhenUsed/>
    <w:rsid w:val="00157E10"/>
    <w:rPr>
      <w:color w:val="0563C1" w:themeColor="hyperlink"/>
      <w:u w:val="single"/>
    </w:rPr>
  </w:style>
  <w:style w:type="paragraph" w:styleId="NormalWeb">
    <w:name w:val="Normal (Web)"/>
    <w:basedOn w:val="Normal"/>
    <w:uiPriority w:val="99"/>
    <w:semiHidden/>
    <w:unhideWhenUsed/>
    <w:rsid w:val="002476E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3Car">
    <w:name w:val="Título 3 Car"/>
    <w:basedOn w:val="Fuentedeprrafopredeter"/>
    <w:link w:val="Ttulo3"/>
    <w:rsid w:val="0032475E"/>
    <w:rPr>
      <w:rFonts w:asciiTheme="majorHAnsi" w:eastAsiaTheme="majorEastAsia" w:hAnsiTheme="majorHAnsi" w:cstheme="majorBidi"/>
      <w:b/>
      <w:bCs/>
      <w:color w:val="5B9BD5" w:themeColor="accent1"/>
      <w:lang w:val="es-ES" w:eastAsia="es-ES"/>
    </w:rPr>
  </w:style>
  <w:style w:type="paragraph" w:styleId="Sangra3detindependiente">
    <w:name w:val="Body Text Indent 3"/>
    <w:basedOn w:val="Normal"/>
    <w:link w:val="Sangra3detindependienteCar"/>
    <w:rsid w:val="0032475E"/>
    <w:pPr>
      <w:spacing w:after="200" w:line="276" w:lineRule="auto"/>
      <w:ind w:firstLine="450"/>
      <w:jc w:val="both"/>
    </w:pPr>
    <w:rPr>
      <w:rFonts w:eastAsiaTheme="minorEastAsia"/>
      <w:szCs w:val="20"/>
      <w:lang w:val="es-ES_tradnl" w:eastAsia="es-AR"/>
    </w:rPr>
  </w:style>
  <w:style w:type="character" w:customStyle="1" w:styleId="Sangra3detindependienteCar">
    <w:name w:val="Sangría 3 de t. independiente Car"/>
    <w:basedOn w:val="Fuentedeprrafopredeter"/>
    <w:link w:val="Sangra3detindependiente"/>
    <w:rsid w:val="0032475E"/>
    <w:rPr>
      <w:rFonts w:eastAsiaTheme="minorEastAsia"/>
      <w:szCs w:val="20"/>
      <w:lang w:val="es-ES_tradnl" w:eastAsia="es-AR"/>
    </w:rPr>
  </w:style>
  <w:style w:type="paragraph" w:styleId="Textoindependiente2">
    <w:name w:val="Body Text 2"/>
    <w:basedOn w:val="Normal"/>
    <w:link w:val="Textoindependiente2Car"/>
    <w:rsid w:val="0032475E"/>
    <w:pPr>
      <w:spacing w:after="200" w:line="276" w:lineRule="auto"/>
      <w:jc w:val="both"/>
    </w:pPr>
    <w:rPr>
      <w:rFonts w:ascii="Arial" w:eastAsiaTheme="minorEastAsia" w:hAnsi="Arial"/>
      <w:szCs w:val="20"/>
      <w:lang w:val="es-ES" w:eastAsia="es-AR"/>
    </w:rPr>
  </w:style>
  <w:style w:type="character" w:customStyle="1" w:styleId="Textoindependiente2Car">
    <w:name w:val="Texto independiente 2 Car"/>
    <w:basedOn w:val="Fuentedeprrafopredeter"/>
    <w:link w:val="Textoindependiente2"/>
    <w:rsid w:val="0032475E"/>
    <w:rPr>
      <w:rFonts w:ascii="Arial" w:eastAsiaTheme="minorEastAsia" w:hAnsi="Arial"/>
      <w:szCs w:val="20"/>
      <w:lang w:val="es-ES" w:eastAsia="es-AR"/>
    </w:rPr>
  </w:style>
  <w:style w:type="paragraph" w:styleId="Textoindependiente">
    <w:name w:val="Body Text"/>
    <w:basedOn w:val="Normal"/>
    <w:link w:val="TextoindependienteCar"/>
    <w:rsid w:val="0032475E"/>
    <w:pPr>
      <w:spacing w:after="200" w:line="276" w:lineRule="auto"/>
    </w:pPr>
    <w:rPr>
      <w:rFonts w:eastAsiaTheme="minorEastAsia"/>
      <w:szCs w:val="20"/>
      <w:lang w:val="es-ES" w:eastAsia="es-AR"/>
    </w:rPr>
  </w:style>
  <w:style w:type="character" w:customStyle="1" w:styleId="TextoindependienteCar">
    <w:name w:val="Texto independiente Car"/>
    <w:basedOn w:val="Fuentedeprrafopredeter"/>
    <w:link w:val="Textoindependiente"/>
    <w:uiPriority w:val="99"/>
    <w:rsid w:val="0032475E"/>
    <w:rPr>
      <w:rFonts w:eastAsiaTheme="minorEastAsia"/>
      <w:szCs w:val="20"/>
      <w:lang w:val="es-ES" w:eastAsia="es-AR"/>
    </w:rPr>
  </w:style>
  <w:style w:type="paragraph" w:styleId="Lista">
    <w:name w:val="List"/>
    <w:basedOn w:val="Normal"/>
    <w:rsid w:val="0032475E"/>
    <w:pPr>
      <w:spacing w:after="200" w:line="276" w:lineRule="auto"/>
      <w:ind w:left="283" w:hanging="283"/>
    </w:pPr>
    <w:rPr>
      <w:rFonts w:eastAsiaTheme="minorEastAsia"/>
      <w:sz w:val="20"/>
      <w:szCs w:val="20"/>
      <w:lang w:val="es-ES" w:eastAsia="es-AR"/>
    </w:rPr>
  </w:style>
  <w:style w:type="paragraph" w:styleId="Continuarlista">
    <w:name w:val="List Continue"/>
    <w:basedOn w:val="Normal"/>
    <w:rsid w:val="0032475E"/>
    <w:pPr>
      <w:spacing w:after="120" w:line="276" w:lineRule="auto"/>
      <w:ind w:left="283"/>
    </w:pPr>
    <w:rPr>
      <w:rFonts w:eastAsiaTheme="minorEastAsia"/>
      <w:sz w:val="20"/>
      <w:szCs w:val="20"/>
      <w:lang w:val="es-ES" w:eastAsia="es-AR"/>
    </w:rPr>
  </w:style>
  <w:style w:type="paragraph" w:styleId="Lista2">
    <w:name w:val="List 2"/>
    <w:basedOn w:val="Normal"/>
    <w:rsid w:val="0032475E"/>
    <w:pPr>
      <w:spacing w:after="200" w:line="276" w:lineRule="auto"/>
      <w:ind w:left="566" w:hanging="283"/>
    </w:pPr>
    <w:rPr>
      <w:rFonts w:eastAsiaTheme="minorEastAsia"/>
      <w:sz w:val="20"/>
      <w:szCs w:val="20"/>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60569">
      <w:bodyDiv w:val="1"/>
      <w:marLeft w:val="0"/>
      <w:marRight w:val="0"/>
      <w:marTop w:val="0"/>
      <w:marBottom w:val="0"/>
      <w:divBdr>
        <w:top w:val="none" w:sz="0" w:space="0" w:color="auto"/>
        <w:left w:val="none" w:sz="0" w:space="0" w:color="auto"/>
        <w:bottom w:val="none" w:sz="0" w:space="0" w:color="auto"/>
        <w:right w:val="none" w:sz="0" w:space="0" w:color="auto"/>
      </w:divBdr>
    </w:div>
    <w:div w:id="1036126415">
      <w:bodyDiv w:val="1"/>
      <w:marLeft w:val="0"/>
      <w:marRight w:val="0"/>
      <w:marTop w:val="0"/>
      <w:marBottom w:val="0"/>
      <w:divBdr>
        <w:top w:val="none" w:sz="0" w:space="0" w:color="auto"/>
        <w:left w:val="none" w:sz="0" w:space="0" w:color="auto"/>
        <w:bottom w:val="none" w:sz="0" w:space="0" w:color="auto"/>
        <w:right w:val="none" w:sz="0" w:space="0" w:color="auto"/>
      </w:divBdr>
    </w:div>
    <w:div w:id="12020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nolujan@yahoo.com.ar"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yperlink" Target="mailto:mauriciovinanti@hotmail.com"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www.cronista.com/columnistas/El-camino-inestable-de-la-economia-argentina-201903250069.html%20Copyright%20%C2%A9%20www.cronista.com" TargetMode="External"/><Relationship Id="rId1" Type="http://schemas.openxmlformats.org/officeDocument/2006/relationships/numbering" Target="numbering.xml"/><Relationship Id="rId6" Type="http://schemas.openxmlformats.org/officeDocument/2006/relationships/hyperlink" Target="mailto:crislconrero@yahoo.com.ar"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hyperlink" Target="mailto:jorgeoperez53@gmail.com" TargetMode="Externa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s://www.efe.com/efe/america/economia/la-actividad-economica-argentina-cayo-2-1-en-2019-ultimo-ano-del-gobierno-macri/20000011-4179340" TargetMode="Externa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olascaporalini@gmail.co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hyperlink" Target="https://www.oecd.org/dev/Impuestos-sobre-los-salarios-en-America-Latina-y-el-Caribe-RESUME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1434</TotalTime>
  <Pages>12</Pages>
  <Words>2990</Words>
  <Characters>16451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Perez</dc:creator>
  <cp:keywords/>
  <dc:description/>
  <cp:lastModifiedBy>Jorge Perez</cp:lastModifiedBy>
  <cp:revision>27</cp:revision>
  <dcterms:created xsi:type="dcterms:W3CDTF">2020-08-17T12:35:00Z</dcterms:created>
  <dcterms:modified xsi:type="dcterms:W3CDTF">2020-10-03T21:38:00Z</dcterms:modified>
</cp:coreProperties>
</file>