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76" w:rsidRPr="0001442F" w:rsidRDefault="00326D76" w:rsidP="0001442F">
      <w:pPr>
        <w:spacing w:after="0" w:line="360" w:lineRule="auto"/>
        <w:jc w:val="center"/>
        <w:rPr>
          <w:rFonts w:ascii="Times New Roman" w:hAnsi="Times New Roman" w:cs="Times New Roman"/>
          <w:b/>
          <w:sz w:val="24"/>
          <w:szCs w:val="24"/>
          <w:lang w:val="es-ES_tradnl"/>
        </w:rPr>
      </w:pPr>
      <w:r w:rsidRPr="0001442F">
        <w:rPr>
          <w:rFonts w:ascii="Times New Roman" w:hAnsi="Times New Roman" w:cs="Times New Roman"/>
          <w:b/>
          <w:sz w:val="24"/>
          <w:szCs w:val="24"/>
          <w:lang w:val="es-ES_tradnl"/>
        </w:rPr>
        <w:t>Divulgación de información sobre temas ambientales en empresas argentinas cotizadas de los sectores Energía y Financiero</w:t>
      </w:r>
    </w:p>
    <w:p w:rsidR="00326D76" w:rsidRPr="0001442F" w:rsidRDefault="00326D76" w:rsidP="0001442F">
      <w:pPr>
        <w:spacing w:after="0" w:line="360" w:lineRule="auto"/>
        <w:jc w:val="center"/>
        <w:rPr>
          <w:rFonts w:ascii="Times New Roman" w:hAnsi="Times New Roman" w:cs="Times New Roman"/>
          <w:b/>
          <w:sz w:val="24"/>
          <w:szCs w:val="24"/>
          <w:lang w:val="es-ES_tradnl"/>
        </w:rPr>
      </w:pPr>
    </w:p>
    <w:p w:rsidR="00326D76" w:rsidRPr="0001442F" w:rsidRDefault="00326D76" w:rsidP="0001442F">
      <w:pPr>
        <w:spacing w:after="0" w:line="360" w:lineRule="auto"/>
        <w:jc w:val="center"/>
        <w:rPr>
          <w:rFonts w:ascii="Times New Roman" w:hAnsi="Times New Roman" w:cs="Times New Roman"/>
          <w:b/>
          <w:sz w:val="24"/>
          <w:szCs w:val="24"/>
        </w:rPr>
      </w:pPr>
      <w:r w:rsidRPr="0001442F">
        <w:rPr>
          <w:rFonts w:ascii="Times New Roman" w:hAnsi="Times New Roman" w:cs="Times New Roman"/>
          <w:b/>
          <w:sz w:val="24"/>
          <w:szCs w:val="24"/>
        </w:rPr>
        <w:t>Autoras:</w:t>
      </w:r>
    </w:p>
    <w:p w:rsidR="00326D76" w:rsidRPr="0001442F" w:rsidRDefault="00326D76" w:rsidP="0001442F">
      <w:pPr>
        <w:spacing w:after="0" w:line="360" w:lineRule="auto"/>
        <w:jc w:val="center"/>
        <w:rPr>
          <w:rFonts w:ascii="Times New Roman" w:hAnsi="Times New Roman" w:cs="Times New Roman"/>
          <w:sz w:val="24"/>
          <w:szCs w:val="24"/>
        </w:rPr>
      </w:pPr>
      <w:r w:rsidRPr="0001442F">
        <w:rPr>
          <w:rFonts w:ascii="Times New Roman" w:hAnsi="Times New Roman" w:cs="Times New Roman"/>
          <w:sz w:val="24"/>
          <w:szCs w:val="24"/>
        </w:rPr>
        <w:t>Ficco, Cecilia</w:t>
      </w:r>
    </w:p>
    <w:p w:rsidR="0001442F" w:rsidRPr="0001442F" w:rsidRDefault="00326D76" w:rsidP="0001442F">
      <w:pPr>
        <w:spacing w:after="0" w:line="360" w:lineRule="auto"/>
        <w:jc w:val="center"/>
        <w:rPr>
          <w:rFonts w:ascii="Times New Roman" w:hAnsi="Times New Roman" w:cs="Times New Roman"/>
          <w:sz w:val="24"/>
          <w:szCs w:val="24"/>
        </w:rPr>
      </w:pPr>
      <w:r w:rsidRPr="0001442F">
        <w:rPr>
          <w:rFonts w:ascii="Times New Roman" w:hAnsi="Times New Roman" w:cs="Times New Roman"/>
          <w:sz w:val="24"/>
          <w:szCs w:val="24"/>
        </w:rPr>
        <w:t xml:space="preserve">Universidad Nacional de Río Cuarto y de Villa María </w:t>
      </w:r>
      <w:r w:rsidR="0001442F">
        <w:rPr>
          <w:rFonts w:ascii="Times New Roman" w:hAnsi="Times New Roman" w:cs="Times New Roman"/>
          <w:sz w:val="24"/>
          <w:szCs w:val="24"/>
        </w:rPr>
        <w:t xml:space="preserve">- </w:t>
      </w:r>
      <w:r w:rsidR="0001442F" w:rsidRPr="0001442F">
        <w:rPr>
          <w:rFonts w:ascii="Times New Roman" w:hAnsi="Times New Roman" w:cs="Times New Roman"/>
          <w:sz w:val="24"/>
          <w:szCs w:val="24"/>
        </w:rPr>
        <w:t>Universidad Siglo 21</w:t>
      </w:r>
      <w:r w:rsidR="0001442F" w:rsidRPr="0001442F">
        <w:rPr>
          <w:rStyle w:val="Refdenotaalpie"/>
          <w:rFonts w:ascii="Times New Roman" w:hAnsi="Times New Roman" w:cs="Times New Roman"/>
          <w:sz w:val="24"/>
          <w:szCs w:val="24"/>
        </w:rPr>
        <w:footnoteReference w:id="1"/>
      </w:r>
      <w:r w:rsidR="0001442F">
        <w:rPr>
          <w:rFonts w:ascii="Times New Roman" w:hAnsi="Times New Roman" w:cs="Times New Roman"/>
          <w:sz w:val="24"/>
          <w:szCs w:val="24"/>
        </w:rPr>
        <w:t xml:space="preserve"> - </w:t>
      </w:r>
      <w:r w:rsidR="00C73D65">
        <w:rPr>
          <w:rFonts w:ascii="Times New Roman" w:hAnsi="Times New Roman" w:cs="Times New Roman"/>
          <w:sz w:val="24"/>
          <w:szCs w:val="24"/>
        </w:rPr>
        <w:t xml:space="preserve">Río Cuarto, Córdoba, </w:t>
      </w:r>
      <w:r w:rsidR="0001442F">
        <w:rPr>
          <w:rFonts w:ascii="Times New Roman" w:hAnsi="Times New Roman" w:cs="Times New Roman"/>
          <w:sz w:val="24"/>
          <w:szCs w:val="24"/>
        </w:rPr>
        <w:t>Argentina</w:t>
      </w:r>
    </w:p>
    <w:p w:rsidR="00326D76" w:rsidRPr="0001442F" w:rsidRDefault="00DF1549" w:rsidP="0001442F">
      <w:pPr>
        <w:spacing w:after="0" w:line="360" w:lineRule="auto"/>
        <w:jc w:val="center"/>
        <w:rPr>
          <w:rFonts w:ascii="Times New Roman" w:hAnsi="Times New Roman" w:cs="Times New Roman"/>
          <w:sz w:val="24"/>
          <w:szCs w:val="24"/>
        </w:rPr>
      </w:pPr>
      <w:hyperlink r:id="rId8" w:history="1">
        <w:r w:rsidR="00326D76" w:rsidRPr="0001442F">
          <w:rPr>
            <w:rStyle w:val="Hipervnculo"/>
            <w:rFonts w:ascii="Times New Roman" w:hAnsi="Times New Roman" w:cs="Times New Roman"/>
            <w:sz w:val="24"/>
            <w:szCs w:val="24"/>
          </w:rPr>
          <w:t>cficco@fce.unrc.edu.ar</w:t>
        </w:r>
      </w:hyperlink>
    </w:p>
    <w:p w:rsidR="00326D76" w:rsidRPr="0001442F" w:rsidRDefault="00326D76" w:rsidP="0001442F">
      <w:pPr>
        <w:spacing w:after="0" w:line="360" w:lineRule="auto"/>
        <w:jc w:val="center"/>
        <w:rPr>
          <w:rFonts w:ascii="Times New Roman" w:hAnsi="Times New Roman" w:cs="Times New Roman"/>
          <w:sz w:val="24"/>
          <w:szCs w:val="24"/>
        </w:rPr>
      </w:pPr>
      <w:r w:rsidRPr="0001442F">
        <w:rPr>
          <w:rFonts w:ascii="Times New Roman" w:hAnsi="Times New Roman" w:cs="Times New Roman"/>
          <w:sz w:val="24"/>
          <w:szCs w:val="24"/>
        </w:rPr>
        <w:t>Danna, María Belén</w:t>
      </w:r>
    </w:p>
    <w:p w:rsidR="00326D76" w:rsidRPr="0001442F" w:rsidRDefault="00326D76" w:rsidP="0001442F">
      <w:pPr>
        <w:spacing w:after="0" w:line="360" w:lineRule="auto"/>
        <w:jc w:val="center"/>
        <w:rPr>
          <w:rFonts w:ascii="Times New Roman" w:hAnsi="Times New Roman" w:cs="Times New Roman"/>
          <w:sz w:val="24"/>
          <w:szCs w:val="24"/>
        </w:rPr>
      </w:pPr>
      <w:r w:rsidRPr="0001442F">
        <w:rPr>
          <w:rFonts w:ascii="Times New Roman" w:hAnsi="Times New Roman" w:cs="Times New Roman"/>
          <w:sz w:val="24"/>
          <w:szCs w:val="24"/>
        </w:rPr>
        <w:t xml:space="preserve">Universidad Nacional de Villa María </w:t>
      </w:r>
      <w:r w:rsidR="00C73D65">
        <w:rPr>
          <w:rFonts w:ascii="Times New Roman" w:hAnsi="Times New Roman" w:cs="Times New Roman"/>
          <w:sz w:val="24"/>
          <w:szCs w:val="24"/>
        </w:rPr>
        <w:t>- Villa María, Córdoba,</w:t>
      </w:r>
      <w:r w:rsidR="00C73D65" w:rsidRPr="0001442F">
        <w:rPr>
          <w:rFonts w:ascii="Times New Roman" w:hAnsi="Times New Roman" w:cs="Times New Roman"/>
          <w:sz w:val="24"/>
          <w:szCs w:val="24"/>
        </w:rPr>
        <w:t xml:space="preserve"> Argentina</w:t>
      </w:r>
    </w:p>
    <w:p w:rsidR="00326D76" w:rsidRPr="0001442F" w:rsidRDefault="00DF1549" w:rsidP="0001442F">
      <w:pPr>
        <w:spacing w:after="0" w:line="360" w:lineRule="auto"/>
        <w:jc w:val="center"/>
        <w:rPr>
          <w:rFonts w:ascii="Times New Roman" w:hAnsi="Times New Roman" w:cs="Times New Roman"/>
          <w:sz w:val="24"/>
          <w:szCs w:val="24"/>
        </w:rPr>
      </w:pPr>
      <w:hyperlink r:id="rId9" w:history="1">
        <w:r w:rsidR="00326D76" w:rsidRPr="0001442F">
          <w:rPr>
            <w:rStyle w:val="Hipervnculo"/>
            <w:rFonts w:ascii="Times New Roman" w:hAnsi="Times New Roman" w:cs="Times New Roman"/>
            <w:sz w:val="24"/>
            <w:szCs w:val="24"/>
          </w:rPr>
          <w:t>mbelendanna@gmail.com</w:t>
        </w:r>
      </w:hyperlink>
    </w:p>
    <w:p w:rsidR="00326D76" w:rsidRPr="0001442F" w:rsidRDefault="00326D76" w:rsidP="0001442F">
      <w:pPr>
        <w:spacing w:after="0" w:line="360" w:lineRule="auto"/>
        <w:jc w:val="center"/>
        <w:rPr>
          <w:rFonts w:ascii="Times New Roman" w:hAnsi="Times New Roman" w:cs="Times New Roman"/>
          <w:sz w:val="24"/>
          <w:szCs w:val="24"/>
        </w:rPr>
      </w:pPr>
      <w:r w:rsidRPr="0001442F">
        <w:rPr>
          <w:rFonts w:ascii="Times New Roman" w:hAnsi="Times New Roman" w:cs="Times New Roman"/>
          <w:sz w:val="24"/>
          <w:szCs w:val="24"/>
        </w:rPr>
        <w:t>Catalano, Ariana</w:t>
      </w:r>
    </w:p>
    <w:p w:rsidR="00326D76" w:rsidRPr="0001442F" w:rsidRDefault="00326D76" w:rsidP="0001442F">
      <w:pPr>
        <w:spacing w:after="0" w:line="360" w:lineRule="auto"/>
        <w:jc w:val="center"/>
        <w:rPr>
          <w:rFonts w:ascii="Times New Roman" w:hAnsi="Times New Roman" w:cs="Times New Roman"/>
          <w:sz w:val="24"/>
          <w:szCs w:val="24"/>
        </w:rPr>
      </w:pPr>
      <w:r w:rsidRPr="0001442F">
        <w:rPr>
          <w:rFonts w:ascii="Times New Roman" w:hAnsi="Times New Roman" w:cs="Times New Roman"/>
          <w:sz w:val="24"/>
          <w:szCs w:val="24"/>
        </w:rPr>
        <w:t xml:space="preserve">Universidad Nacional de Villa María </w:t>
      </w:r>
      <w:r w:rsidR="00C73D65">
        <w:rPr>
          <w:rFonts w:ascii="Times New Roman" w:hAnsi="Times New Roman" w:cs="Times New Roman"/>
          <w:sz w:val="24"/>
          <w:szCs w:val="24"/>
        </w:rPr>
        <w:t>- Villa María, Córdoba,</w:t>
      </w:r>
      <w:r w:rsidRPr="0001442F">
        <w:rPr>
          <w:rFonts w:ascii="Times New Roman" w:hAnsi="Times New Roman" w:cs="Times New Roman"/>
          <w:sz w:val="24"/>
          <w:szCs w:val="24"/>
        </w:rPr>
        <w:t xml:space="preserve"> Argentina</w:t>
      </w:r>
    </w:p>
    <w:p w:rsidR="00326D76" w:rsidRPr="0001442F" w:rsidRDefault="00DF1549" w:rsidP="0001442F">
      <w:pPr>
        <w:spacing w:after="0" w:line="360" w:lineRule="auto"/>
        <w:jc w:val="center"/>
        <w:rPr>
          <w:rStyle w:val="Hipervnculo"/>
          <w:rFonts w:ascii="Times New Roman" w:hAnsi="Times New Roman" w:cs="Times New Roman"/>
          <w:sz w:val="24"/>
          <w:szCs w:val="24"/>
        </w:rPr>
      </w:pPr>
      <w:hyperlink r:id="rId10" w:history="1">
        <w:r w:rsidR="00326D76" w:rsidRPr="0001442F">
          <w:rPr>
            <w:rStyle w:val="Hipervnculo"/>
            <w:rFonts w:ascii="Times New Roman" w:hAnsi="Times New Roman" w:cs="Times New Roman"/>
            <w:sz w:val="24"/>
            <w:szCs w:val="24"/>
          </w:rPr>
          <w:t>arianacatalanocecchel@gmail.com</w:t>
        </w:r>
      </w:hyperlink>
    </w:p>
    <w:p w:rsidR="00326D76" w:rsidRPr="0001442F" w:rsidRDefault="00326D76" w:rsidP="0001442F">
      <w:pPr>
        <w:spacing w:after="0" w:line="360" w:lineRule="auto"/>
        <w:jc w:val="center"/>
        <w:rPr>
          <w:rFonts w:ascii="Times New Roman" w:hAnsi="Times New Roman" w:cs="Times New Roman"/>
          <w:sz w:val="24"/>
          <w:szCs w:val="24"/>
        </w:rPr>
      </w:pPr>
      <w:proofErr w:type="spellStart"/>
      <w:r w:rsidRPr="0001442F">
        <w:rPr>
          <w:rFonts w:ascii="Times New Roman" w:hAnsi="Times New Roman" w:cs="Times New Roman"/>
          <w:sz w:val="24"/>
          <w:szCs w:val="24"/>
        </w:rPr>
        <w:t>Cardetti</w:t>
      </w:r>
      <w:proofErr w:type="spellEnd"/>
      <w:r w:rsidRPr="0001442F">
        <w:rPr>
          <w:rFonts w:ascii="Times New Roman" w:hAnsi="Times New Roman" w:cs="Times New Roman"/>
          <w:sz w:val="24"/>
          <w:szCs w:val="24"/>
        </w:rPr>
        <w:t>, Lucía</w:t>
      </w:r>
    </w:p>
    <w:p w:rsidR="00326D76" w:rsidRPr="0001442F" w:rsidRDefault="00C73D65" w:rsidP="0001442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Universidad Siglo 21 - Río Cuarto, Córdoba,</w:t>
      </w:r>
      <w:r w:rsidR="00326D76" w:rsidRPr="0001442F">
        <w:rPr>
          <w:rFonts w:ascii="Times New Roman" w:hAnsi="Times New Roman" w:cs="Times New Roman"/>
          <w:sz w:val="24"/>
          <w:szCs w:val="24"/>
        </w:rPr>
        <w:t xml:space="preserve"> Argentina</w:t>
      </w:r>
    </w:p>
    <w:p w:rsidR="0001442F" w:rsidRPr="0001442F" w:rsidRDefault="00DF1549" w:rsidP="0001442F">
      <w:pPr>
        <w:spacing w:after="0" w:line="360" w:lineRule="auto"/>
        <w:jc w:val="center"/>
        <w:rPr>
          <w:rStyle w:val="Hipervnculo"/>
          <w:rFonts w:ascii="Times New Roman" w:hAnsi="Times New Roman" w:cs="Times New Roman"/>
          <w:sz w:val="24"/>
          <w:szCs w:val="24"/>
        </w:rPr>
      </w:pPr>
      <w:hyperlink r:id="rId11" w:history="1">
        <w:r w:rsidR="0001442F" w:rsidRPr="0001442F">
          <w:rPr>
            <w:rStyle w:val="Hipervnculo"/>
            <w:rFonts w:ascii="Times New Roman" w:hAnsi="Times New Roman" w:cs="Times New Roman"/>
            <w:sz w:val="24"/>
            <w:szCs w:val="24"/>
          </w:rPr>
          <w:t>luciacardetti@gmail.com</w:t>
        </w:r>
      </w:hyperlink>
    </w:p>
    <w:p w:rsidR="00326D76" w:rsidRPr="0001442F" w:rsidRDefault="00326D76" w:rsidP="0001442F">
      <w:pPr>
        <w:spacing w:after="0" w:line="360" w:lineRule="auto"/>
        <w:rPr>
          <w:rFonts w:ascii="Times New Roman" w:hAnsi="Times New Roman" w:cs="Times New Roman"/>
          <w:b/>
          <w:sz w:val="24"/>
          <w:szCs w:val="24"/>
        </w:rPr>
      </w:pPr>
    </w:p>
    <w:p w:rsidR="00C73D65" w:rsidRPr="00C73D65" w:rsidRDefault="00C73D65" w:rsidP="00C73D65">
      <w:pPr>
        <w:spacing w:after="0" w:line="360" w:lineRule="auto"/>
        <w:rPr>
          <w:rFonts w:ascii="Times New Roman" w:hAnsi="Times New Roman" w:cs="Times New Roman"/>
          <w:sz w:val="24"/>
          <w:szCs w:val="24"/>
        </w:rPr>
      </w:pPr>
      <w:r>
        <w:rPr>
          <w:rFonts w:ascii="Times New Roman" w:hAnsi="Times New Roman" w:cs="Times New Roman"/>
          <w:b/>
          <w:sz w:val="24"/>
          <w:szCs w:val="24"/>
        </w:rPr>
        <w:t>Palabras clave</w:t>
      </w:r>
      <w:r w:rsidRPr="0001442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información ambiental – divulgación – empresas argentinas</w:t>
      </w:r>
    </w:p>
    <w:p w:rsidR="003D5D99" w:rsidRPr="0001442F" w:rsidRDefault="003D5D99" w:rsidP="0001442F">
      <w:pPr>
        <w:spacing w:after="0" w:line="360" w:lineRule="auto"/>
        <w:jc w:val="both"/>
        <w:rPr>
          <w:rFonts w:ascii="Times New Roman" w:hAnsi="Times New Roman" w:cs="Times New Roman"/>
          <w:sz w:val="24"/>
          <w:szCs w:val="24"/>
        </w:rPr>
      </w:pPr>
    </w:p>
    <w:p w:rsidR="001C0C47" w:rsidRPr="00C82C5D" w:rsidRDefault="00C82C5D" w:rsidP="00C82C5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C82C5D">
        <w:rPr>
          <w:rFonts w:ascii="Times New Roman" w:hAnsi="Times New Roman" w:cs="Times New Roman"/>
          <w:b/>
          <w:sz w:val="24"/>
          <w:szCs w:val="24"/>
        </w:rPr>
        <w:t>Introducción</w:t>
      </w:r>
    </w:p>
    <w:p w:rsidR="001C0C47" w:rsidRPr="00D64E09" w:rsidRDefault="001C0C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Bajo el nuevo paradigma de la sostenibilidad, las empresas tienen la presión para crea</w:t>
      </w:r>
      <w:r w:rsidR="0001442F">
        <w:rPr>
          <w:rFonts w:ascii="Times New Roman" w:hAnsi="Times New Roman" w:cs="Times New Roman"/>
          <w:sz w:val="24"/>
          <w:szCs w:val="24"/>
        </w:rPr>
        <w:t>r</w:t>
      </w:r>
      <w:r w:rsidRPr="0001442F">
        <w:rPr>
          <w:rFonts w:ascii="Times New Roman" w:hAnsi="Times New Roman" w:cs="Times New Roman"/>
          <w:sz w:val="24"/>
          <w:szCs w:val="24"/>
        </w:rPr>
        <w:t xml:space="preserve"> valor económico para los proveedores de capital y, asimismo, la de crear valor social y </w:t>
      </w:r>
      <w:r w:rsidRPr="00D64E09">
        <w:rPr>
          <w:rFonts w:ascii="Times New Roman" w:hAnsi="Times New Roman" w:cs="Times New Roman"/>
          <w:sz w:val="24"/>
          <w:szCs w:val="24"/>
        </w:rPr>
        <w:t xml:space="preserve">ambiental para diferentes </w:t>
      </w:r>
      <w:proofErr w:type="spellStart"/>
      <w:r w:rsidRPr="00D64E09">
        <w:rPr>
          <w:rFonts w:ascii="Times New Roman" w:hAnsi="Times New Roman" w:cs="Times New Roman"/>
          <w:i/>
          <w:sz w:val="24"/>
          <w:szCs w:val="24"/>
        </w:rPr>
        <w:t>stakeholders</w:t>
      </w:r>
      <w:proofErr w:type="spellEnd"/>
      <w:r w:rsidR="005D0744" w:rsidRPr="00D64E09">
        <w:rPr>
          <w:rFonts w:ascii="Times New Roman" w:hAnsi="Times New Roman" w:cs="Times New Roman"/>
          <w:i/>
          <w:sz w:val="24"/>
          <w:szCs w:val="24"/>
        </w:rPr>
        <w:t xml:space="preserve"> </w:t>
      </w:r>
      <w:r w:rsidR="00D64E09" w:rsidRPr="00D64E09">
        <w:rPr>
          <w:rFonts w:ascii="Times New Roman" w:hAnsi="Times New Roman" w:cs="Times New Roman"/>
          <w:sz w:val="24"/>
          <w:szCs w:val="24"/>
        </w:rPr>
        <w:t>(A</w:t>
      </w:r>
      <w:r w:rsidR="005D0744" w:rsidRPr="00D64E09">
        <w:rPr>
          <w:rFonts w:ascii="Times New Roman" w:hAnsi="Times New Roman" w:cs="Times New Roman"/>
          <w:sz w:val="24"/>
          <w:szCs w:val="24"/>
        </w:rPr>
        <w:t xml:space="preserve">pte y </w:t>
      </w:r>
      <w:proofErr w:type="spellStart"/>
      <w:r w:rsidR="005D0744" w:rsidRPr="00D64E09">
        <w:rPr>
          <w:rFonts w:ascii="Times New Roman" w:hAnsi="Times New Roman" w:cs="Times New Roman"/>
          <w:sz w:val="24"/>
          <w:szCs w:val="24"/>
        </w:rPr>
        <w:t>S</w:t>
      </w:r>
      <w:r w:rsidR="00D64E09" w:rsidRPr="00D64E09">
        <w:rPr>
          <w:rFonts w:ascii="Times New Roman" w:hAnsi="Times New Roman" w:cs="Times New Roman"/>
          <w:sz w:val="24"/>
          <w:szCs w:val="24"/>
        </w:rPr>
        <w:t>h</w:t>
      </w:r>
      <w:r w:rsidR="005D0744" w:rsidRPr="00D64E09">
        <w:rPr>
          <w:rFonts w:ascii="Times New Roman" w:hAnsi="Times New Roman" w:cs="Times New Roman"/>
          <w:sz w:val="24"/>
          <w:szCs w:val="24"/>
        </w:rPr>
        <w:t>eth</w:t>
      </w:r>
      <w:proofErr w:type="spellEnd"/>
      <w:r w:rsidR="005D0744" w:rsidRPr="00D64E09">
        <w:rPr>
          <w:rFonts w:ascii="Times New Roman" w:hAnsi="Times New Roman" w:cs="Times New Roman"/>
          <w:sz w:val="24"/>
          <w:szCs w:val="24"/>
        </w:rPr>
        <w:t>, 2017</w:t>
      </w:r>
      <w:r w:rsidR="005D0744" w:rsidRPr="00D64E09">
        <w:rPr>
          <w:rFonts w:ascii="Times New Roman" w:hAnsi="Times New Roman" w:cs="Times New Roman"/>
          <w:i/>
          <w:sz w:val="24"/>
          <w:szCs w:val="24"/>
        </w:rPr>
        <w:t>)</w:t>
      </w:r>
      <w:r w:rsidR="00D64E09" w:rsidRPr="00D64E09">
        <w:rPr>
          <w:rFonts w:ascii="Times New Roman" w:hAnsi="Times New Roman" w:cs="Times New Roman"/>
          <w:sz w:val="24"/>
          <w:szCs w:val="24"/>
        </w:rPr>
        <w:t>.</w:t>
      </w:r>
    </w:p>
    <w:p w:rsidR="001C0C47" w:rsidRPr="0001442F" w:rsidRDefault="001C0C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En este marco, las empresas han advertido la necesidad de desarrollar la transparencia medioambiental y la rendición de cuentas, por lo que ha cobrado auge la divulgación voluntaria de información sobre temas relacionados con el medio ambiente</w:t>
      </w:r>
      <w:r w:rsidR="005D0744" w:rsidRPr="0001442F">
        <w:rPr>
          <w:rFonts w:ascii="Times New Roman" w:hAnsi="Times New Roman" w:cs="Times New Roman"/>
          <w:sz w:val="24"/>
          <w:szCs w:val="24"/>
        </w:rPr>
        <w:t xml:space="preserve"> (Bai y Yao, 2023; Li et al., 2018; </w:t>
      </w:r>
      <w:proofErr w:type="spellStart"/>
      <w:r w:rsidR="005D0744" w:rsidRPr="0001442F">
        <w:rPr>
          <w:rFonts w:ascii="Times New Roman" w:hAnsi="Times New Roman" w:cs="Times New Roman"/>
          <w:sz w:val="24"/>
          <w:szCs w:val="24"/>
        </w:rPr>
        <w:t>Maama</w:t>
      </w:r>
      <w:proofErr w:type="spellEnd"/>
      <w:r w:rsidR="005D0744" w:rsidRPr="0001442F">
        <w:rPr>
          <w:rFonts w:ascii="Times New Roman" w:hAnsi="Times New Roman" w:cs="Times New Roman"/>
          <w:sz w:val="24"/>
          <w:szCs w:val="24"/>
        </w:rPr>
        <w:t xml:space="preserve"> et al., 2020; Wong et al., 2021)</w:t>
      </w:r>
      <w:r w:rsidRPr="0001442F">
        <w:rPr>
          <w:rFonts w:ascii="Times New Roman" w:hAnsi="Times New Roman" w:cs="Times New Roman"/>
          <w:sz w:val="24"/>
          <w:szCs w:val="24"/>
        </w:rPr>
        <w:t xml:space="preserve"> a través de diferentes medios, entre los que se destacan las memorias de sostenibilidad </w:t>
      </w:r>
      <w:r w:rsidR="005D0744" w:rsidRPr="0001442F">
        <w:rPr>
          <w:rFonts w:ascii="Times New Roman" w:hAnsi="Times New Roman" w:cs="Times New Roman"/>
          <w:sz w:val="24"/>
          <w:szCs w:val="24"/>
        </w:rPr>
        <w:t xml:space="preserve">(MS) </w:t>
      </w:r>
      <w:r w:rsidRPr="0001442F">
        <w:rPr>
          <w:rFonts w:ascii="Times New Roman" w:hAnsi="Times New Roman" w:cs="Times New Roman"/>
          <w:sz w:val="24"/>
          <w:szCs w:val="24"/>
        </w:rPr>
        <w:t xml:space="preserve">elaboradas bajo las guías de </w:t>
      </w:r>
      <w:r w:rsidRPr="0001442F">
        <w:rPr>
          <w:rFonts w:ascii="Times New Roman" w:hAnsi="Times New Roman" w:cs="Times New Roman"/>
          <w:i/>
          <w:sz w:val="24"/>
          <w:szCs w:val="24"/>
        </w:rPr>
        <w:t xml:space="preserve">Global </w:t>
      </w:r>
      <w:proofErr w:type="spellStart"/>
      <w:r w:rsidRPr="0001442F">
        <w:rPr>
          <w:rFonts w:ascii="Times New Roman" w:hAnsi="Times New Roman" w:cs="Times New Roman"/>
          <w:i/>
          <w:sz w:val="24"/>
          <w:szCs w:val="24"/>
        </w:rPr>
        <w:t>Reporting</w:t>
      </w:r>
      <w:proofErr w:type="spellEnd"/>
      <w:r w:rsidRPr="0001442F">
        <w:rPr>
          <w:rFonts w:ascii="Times New Roman" w:hAnsi="Times New Roman" w:cs="Times New Roman"/>
          <w:i/>
          <w:sz w:val="24"/>
          <w:szCs w:val="24"/>
        </w:rPr>
        <w:t xml:space="preserve"> </w:t>
      </w:r>
      <w:proofErr w:type="spellStart"/>
      <w:r w:rsidRPr="0001442F">
        <w:rPr>
          <w:rFonts w:ascii="Times New Roman" w:hAnsi="Times New Roman" w:cs="Times New Roman"/>
          <w:i/>
          <w:sz w:val="24"/>
          <w:szCs w:val="24"/>
        </w:rPr>
        <w:t>Initiatives</w:t>
      </w:r>
      <w:proofErr w:type="spellEnd"/>
      <w:r w:rsidRPr="0001442F">
        <w:rPr>
          <w:rFonts w:ascii="Times New Roman" w:hAnsi="Times New Roman" w:cs="Times New Roman"/>
          <w:sz w:val="24"/>
          <w:szCs w:val="24"/>
        </w:rPr>
        <w:t xml:space="preserve"> (GRI).</w:t>
      </w:r>
    </w:p>
    <w:p w:rsidR="0001442F" w:rsidRDefault="001C0C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 xml:space="preserve">La presente investigación se centra en el estudio de las prácticas de divulgación </w:t>
      </w:r>
      <w:r w:rsidR="0001442F">
        <w:rPr>
          <w:rFonts w:ascii="Times New Roman" w:hAnsi="Times New Roman" w:cs="Times New Roman"/>
          <w:sz w:val="24"/>
          <w:szCs w:val="24"/>
        </w:rPr>
        <w:t xml:space="preserve">de </w:t>
      </w:r>
      <w:r w:rsidRPr="0001442F">
        <w:rPr>
          <w:rFonts w:ascii="Times New Roman" w:hAnsi="Times New Roman" w:cs="Times New Roman"/>
          <w:sz w:val="24"/>
          <w:szCs w:val="24"/>
        </w:rPr>
        <w:t xml:space="preserve">este tipo de información por parte de las empresas argentinas cotizadas en </w:t>
      </w:r>
      <w:r w:rsidR="005D0744" w:rsidRPr="0001442F">
        <w:rPr>
          <w:rFonts w:ascii="Times New Roman" w:hAnsi="Times New Roman" w:cs="Times New Roman"/>
          <w:sz w:val="24"/>
          <w:szCs w:val="24"/>
        </w:rPr>
        <w:t xml:space="preserve">Bolsas y Mercados </w:t>
      </w:r>
      <w:r w:rsidR="005D0744" w:rsidRPr="0001442F">
        <w:rPr>
          <w:rFonts w:ascii="Times New Roman" w:hAnsi="Times New Roman" w:cs="Times New Roman"/>
          <w:sz w:val="24"/>
          <w:szCs w:val="24"/>
        </w:rPr>
        <w:lastRenderedPageBreak/>
        <w:t>Argentinos (</w:t>
      </w:r>
      <w:r w:rsidRPr="0001442F">
        <w:rPr>
          <w:rFonts w:ascii="Times New Roman" w:hAnsi="Times New Roman" w:cs="Times New Roman"/>
          <w:sz w:val="24"/>
          <w:szCs w:val="24"/>
        </w:rPr>
        <w:t>BYMA</w:t>
      </w:r>
      <w:r w:rsidR="005D0744" w:rsidRPr="0001442F">
        <w:rPr>
          <w:rFonts w:ascii="Times New Roman" w:hAnsi="Times New Roman" w:cs="Times New Roman"/>
          <w:sz w:val="24"/>
          <w:szCs w:val="24"/>
        </w:rPr>
        <w:t>)</w:t>
      </w:r>
      <w:r w:rsidRPr="0001442F">
        <w:rPr>
          <w:rFonts w:ascii="Times New Roman" w:hAnsi="Times New Roman" w:cs="Times New Roman"/>
          <w:sz w:val="24"/>
          <w:szCs w:val="24"/>
        </w:rPr>
        <w:t>, pertenecientes a dos sectores: “</w:t>
      </w:r>
      <w:r w:rsidRPr="0001442F">
        <w:rPr>
          <w:rFonts w:ascii="Times New Roman" w:eastAsia="Times New Roman" w:hAnsi="Times New Roman" w:cs="Times New Roman"/>
          <w:sz w:val="24"/>
          <w:szCs w:val="24"/>
        </w:rPr>
        <w:t>Energía, petróleo y gas” y “</w:t>
      </w:r>
      <w:r w:rsidRPr="0001442F">
        <w:rPr>
          <w:rFonts w:ascii="Times New Roman" w:hAnsi="Times New Roman" w:cs="Times New Roman"/>
          <w:bCs/>
          <w:color w:val="000000"/>
          <w:sz w:val="24"/>
          <w:szCs w:val="24"/>
        </w:rPr>
        <w:t>Financiero, bursátil y seguros</w:t>
      </w:r>
      <w:r w:rsidRPr="0001442F">
        <w:rPr>
          <w:rFonts w:ascii="Times New Roman" w:eastAsia="Times New Roman" w:hAnsi="Times New Roman" w:cs="Times New Roman"/>
          <w:sz w:val="24"/>
          <w:szCs w:val="24"/>
        </w:rPr>
        <w:t>”</w:t>
      </w:r>
      <w:r w:rsidRPr="0001442F">
        <w:rPr>
          <w:rFonts w:ascii="Times New Roman" w:hAnsi="Times New Roman" w:cs="Times New Roman"/>
          <w:sz w:val="24"/>
          <w:szCs w:val="24"/>
        </w:rPr>
        <w:t xml:space="preserve">. Específicamente, el objetivo de esta ponencia es analizar el alcance de la aplicación de los criterios planteados en GRI 302, 303, 305 y 306 </w:t>
      </w:r>
      <w:r w:rsidRPr="0001442F">
        <w:rPr>
          <w:rStyle w:val="cf01"/>
          <w:rFonts w:ascii="Times New Roman" w:hAnsi="Times New Roman" w:cs="Times New Roman"/>
          <w:sz w:val="24"/>
          <w:szCs w:val="24"/>
        </w:rPr>
        <w:t>(referidas a los temas: E</w:t>
      </w:r>
      <w:r w:rsidRPr="0001442F">
        <w:rPr>
          <w:rFonts w:ascii="Times New Roman" w:hAnsi="Times New Roman" w:cs="Times New Roman"/>
          <w:sz w:val="24"/>
          <w:szCs w:val="24"/>
        </w:rPr>
        <w:t xml:space="preserve">nergía; Agua; Emisiones y Efluentes y Residuos) en las </w:t>
      </w:r>
      <w:r w:rsidR="0001442F">
        <w:rPr>
          <w:rFonts w:ascii="Times New Roman" w:hAnsi="Times New Roman" w:cs="Times New Roman"/>
          <w:sz w:val="24"/>
          <w:szCs w:val="24"/>
        </w:rPr>
        <w:t>MS</w:t>
      </w:r>
      <w:r w:rsidRPr="0001442F">
        <w:rPr>
          <w:rFonts w:ascii="Times New Roman" w:hAnsi="Times New Roman" w:cs="Times New Roman"/>
          <w:sz w:val="24"/>
          <w:szCs w:val="24"/>
        </w:rPr>
        <w:t xml:space="preserve"> de las empresas de los dos sectores mencionados.</w:t>
      </w:r>
    </w:p>
    <w:p w:rsidR="0067508F" w:rsidRPr="0001442F" w:rsidRDefault="0067508F"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De esta manera, la pregunta central que orienta esta investigación es la siguiente:</w:t>
      </w:r>
    </w:p>
    <w:p w:rsidR="005D0744" w:rsidRPr="0001442F" w:rsidRDefault="005D0744" w:rsidP="0001442F">
      <w:pPr>
        <w:spacing w:after="0" w:line="360" w:lineRule="auto"/>
        <w:jc w:val="both"/>
        <w:rPr>
          <w:rFonts w:ascii="Times New Roman" w:hAnsi="Times New Roman" w:cs="Times New Roman"/>
          <w:sz w:val="24"/>
          <w:szCs w:val="24"/>
        </w:rPr>
      </w:pPr>
      <w:r w:rsidRPr="00D64E09">
        <w:rPr>
          <w:rFonts w:ascii="Times New Roman" w:hAnsi="Times New Roman" w:cs="Times New Roman"/>
          <w:sz w:val="24"/>
          <w:szCs w:val="24"/>
        </w:rPr>
        <w:t>¿Cuál es el alcance de la divulgación de información relacionada con temas ambientales que realizan las empresas de los sectores “</w:t>
      </w:r>
      <w:proofErr w:type="gramStart"/>
      <w:r w:rsidRPr="00D64E09">
        <w:rPr>
          <w:rFonts w:ascii="Times New Roman" w:eastAsia="Times New Roman" w:hAnsi="Times New Roman" w:cs="Times New Roman"/>
          <w:sz w:val="24"/>
          <w:szCs w:val="24"/>
        </w:rPr>
        <w:t>Energía, petróleo y gas” y “</w:t>
      </w:r>
      <w:r w:rsidRPr="00D64E09">
        <w:rPr>
          <w:rFonts w:ascii="Times New Roman" w:hAnsi="Times New Roman" w:cs="Times New Roman"/>
          <w:bCs/>
          <w:color w:val="000000"/>
          <w:sz w:val="24"/>
          <w:szCs w:val="24"/>
        </w:rPr>
        <w:t>Financiero, bursátil y seguros</w:t>
      </w:r>
      <w:r w:rsidRPr="00D64E09">
        <w:rPr>
          <w:rFonts w:ascii="Times New Roman" w:eastAsia="Times New Roman" w:hAnsi="Times New Roman" w:cs="Times New Roman"/>
          <w:sz w:val="24"/>
          <w:szCs w:val="24"/>
        </w:rPr>
        <w:t>” que cotizan en BYMA?</w:t>
      </w:r>
      <w:proofErr w:type="gramEnd"/>
    </w:p>
    <w:p w:rsidR="001C0C47" w:rsidRPr="0001442F" w:rsidRDefault="001C0C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 xml:space="preserve">Para dar cumplimiento a </w:t>
      </w:r>
      <w:r w:rsidR="005D0744" w:rsidRPr="0001442F">
        <w:rPr>
          <w:rFonts w:ascii="Times New Roman" w:hAnsi="Times New Roman" w:cs="Times New Roman"/>
          <w:sz w:val="24"/>
          <w:szCs w:val="24"/>
        </w:rPr>
        <w:t>dicho objetivo</w:t>
      </w:r>
      <w:r w:rsidRPr="0001442F">
        <w:rPr>
          <w:rFonts w:ascii="Times New Roman" w:hAnsi="Times New Roman" w:cs="Times New Roman"/>
          <w:sz w:val="24"/>
          <w:szCs w:val="24"/>
        </w:rPr>
        <w:t>, y responder a la pregunta planteada, se desarrolla una investigación de carácter descriptivo, sustentada en la técnica del análisis de contenido, el cual se aplica a las MS elaboradas por las empresas objeto del estudio durante el período temporal 2018-202</w:t>
      </w:r>
      <w:r w:rsidR="005D0744" w:rsidRPr="0001442F">
        <w:rPr>
          <w:rFonts w:ascii="Times New Roman" w:hAnsi="Times New Roman" w:cs="Times New Roman"/>
          <w:sz w:val="24"/>
          <w:szCs w:val="24"/>
        </w:rPr>
        <w:t>3</w:t>
      </w:r>
      <w:r w:rsidRPr="0001442F">
        <w:rPr>
          <w:rFonts w:ascii="Times New Roman" w:hAnsi="Times New Roman" w:cs="Times New Roman"/>
          <w:sz w:val="24"/>
          <w:szCs w:val="24"/>
        </w:rPr>
        <w:t>.</w:t>
      </w:r>
    </w:p>
    <w:p w:rsidR="001C0C47" w:rsidRPr="0001442F" w:rsidRDefault="001C0C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Tras esta introducción, el documento se presenta estructurado en tres grandes partes. En la primera se presenta el marco de referencia de la investigación. En la segunda parte se expone la metodología utilizada. Y, en la tercera, se presentan los resultados obtenidos. Finalmente se presentan las consideraciones finales del trabajo.</w:t>
      </w:r>
    </w:p>
    <w:p w:rsidR="001C0C47" w:rsidRPr="0001442F" w:rsidRDefault="001C0C47" w:rsidP="0001442F">
      <w:pPr>
        <w:spacing w:after="0" w:line="360" w:lineRule="auto"/>
        <w:jc w:val="both"/>
        <w:rPr>
          <w:rFonts w:ascii="Times New Roman" w:hAnsi="Times New Roman" w:cs="Times New Roman"/>
          <w:color w:val="FF0000"/>
          <w:sz w:val="24"/>
          <w:szCs w:val="24"/>
        </w:rPr>
      </w:pPr>
    </w:p>
    <w:p w:rsidR="00FA7947" w:rsidRPr="0001442F" w:rsidRDefault="00FA7947" w:rsidP="0001442F">
      <w:pPr>
        <w:spacing w:after="0" w:line="360" w:lineRule="auto"/>
        <w:jc w:val="both"/>
        <w:rPr>
          <w:rFonts w:ascii="Times New Roman" w:hAnsi="Times New Roman" w:cs="Times New Roman"/>
          <w:color w:val="FF0000"/>
          <w:sz w:val="24"/>
          <w:szCs w:val="24"/>
        </w:rPr>
      </w:pPr>
      <w:r w:rsidRPr="0001442F">
        <w:rPr>
          <w:rFonts w:ascii="Times New Roman" w:hAnsi="Times New Roman" w:cs="Times New Roman"/>
          <w:b/>
          <w:sz w:val="24"/>
          <w:szCs w:val="24"/>
        </w:rPr>
        <w:t>2. Marco de referencia</w:t>
      </w:r>
    </w:p>
    <w:p w:rsidR="00FA7947" w:rsidRPr="0001442F" w:rsidRDefault="00FA79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 xml:space="preserve">Esta investigación encuentra sus principales antecedentes teórico-empíricos en tres grandes líneas de trabajos: 1) los que aportan el marco teórico conceptual de la sostenibilidad; 2) los referidos al enfoque teórico desde el cual se puede abordar el problema planteado; 3) los que han analizado la divulgación de información sobre sostenibilidad y las características de las empresas que motivan la divulgación de criterios ambientales. </w:t>
      </w:r>
    </w:p>
    <w:p w:rsidR="006620B6" w:rsidRDefault="00FA79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En la línea de los trabajos preocupados por aclarar en qué consiste el contenido esencial del concepto de sostenibilidad, arrojando luz sobre sus distintas dimensiones, se destacan el Informe Brundtland del año 1987 (</w:t>
      </w:r>
      <w:r w:rsidR="00FE2DD1">
        <w:rPr>
          <w:rFonts w:ascii="Times New Roman" w:hAnsi="Times New Roman" w:cs="Times New Roman"/>
          <w:sz w:val="24"/>
          <w:szCs w:val="24"/>
        </w:rPr>
        <w:t>Naciones Unidas</w:t>
      </w:r>
      <w:r w:rsidRPr="0001442F">
        <w:rPr>
          <w:rFonts w:ascii="Times New Roman" w:hAnsi="Times New Roman" w:cs="Times New Roman"/>
          <w:sz w:val="24"/>
          <w:szCs w:val="24"/>
        </w:rPr>
        <w:t xml:space="preserve">, 1987) y el trabajo de </w:t>
      </w:r>
      <w:proofErr w:type="spellStart"/>
      <w:r w:rsidRPr="0001442F">
        <w:rPr>
          <w:rFonts w:ascii="Times New Roman" w:hAnsi="Times New Roman" w:cs="Times New Roman"/>
          <w:sz w:val="24"/>
          <w:szCs w:val="24"/>
        </w:rPr>
        <w:t>Elkington</w:t>
      </w:r>
      <w:proofErr w:type="spellEnd"/>
      <w:r w:rsidRPr="0001442F">
        <w:rPr>
          <w:rFonts w:ascii="Times New Roman" w:hAnsi="Times New Roman" w:cs="Times New Roman"/>
          <w:sz w:val="24"/>
          <w:szCs w:val="24"/>
        </w:rPr>
        <w:t xml:space="preserve"> (1997). El primero aporta la definición pionera de sostenibilidad, la que se entiende vinculada a la satisfacción de las necesidades del presente sin comprometer la capacidad de las generaciones futuras para satisfacer sus propias necesidades. </w:t>
      </w:r>
      <w:r w:rsidR="006620B6">
        <w:rPr>
          <w:rFonts w:ascii="Times New Roman" w:hAnsi="Times New Roman" w:cs="Times New Roman"/>
          <w:sz w:val="24"/>
          <w:szCs w:val="24"/>
        </w:rPr>
        <w:t xml:space="preserve">Esta concepción </w:t>
      </w:r>
      <w:r w:rsidRPr="0001442F">
        <w:rPr>
          <w:rFonts w:ascii="Times New Roman" w:hAnsi="Times New Roman" w:cs="Times New Roman"/>
          <w:sz w:val="24"/>
          <w:szCs w:val="24"/>
        </w:rPr>
        <w:t>requ</w:t>
      </w:r>
      <w:r w:rsidR="006620B6">
        <w:rPr>
          <w:rFonts w:ascii="Times New Roman" w:hAnsi="Times New Roman" w:cs="Times New Roman"/>
          <w:sz w:val="24"/>
          <w:szCs w:val="24"/>
        </w:rPr>
        <w:t>iere de</w:t>
      </w:r>
      <w:r w:rsidRPr="0001442F">
        <w:rPr>
          <w:rFonts w:ascii="Times New Roman" w:hAnsi="Times New Roman" w:cs="Times New Roman"/>
          <w:sz w:val="24"/>
          <w:szCs w:val="24"/>
        </w:rPr>
        <w:t xml:space="preserve"> la integración de políticas ambientales y de estrategias de desarrollo económico y social, situación que llevó a la consideración de tres dimensiones -o pilares- del desarrollo sostenible: la económica, la social y la ambiental.</w:t>
      </w:r>
    </w:p>
    <w:p w:rsidR="00FA7947" w:rsidRPr="0001442F" w:rsidRDefault="00FA79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lastRenderedPageBreak/>
        <w:t xml:space="preserve">En este marco, </w:t>
      </w:r>
      <w:proofErr w:type="spellStart"/>
      <w:r w:rsidRPr="0001442F">
        <w:rPr>
          <w:rFonts w:ascii="Times New Roman" w:hAnsi="Times New Roman" w:cs="Times New Roman"/>
          <w:sz w:val="24"/>
          <w:szCs w:val="24"/>
        </w:rPr>
        <w:t>Elkington</w:t>
      </w:r>
      <w:proofErr w:type="spellEnd"/>
      <w:r w:rsidRPr="0001442F">
        <w:rPr>
          <w:rFonts w:ascii="Times New Roman" w:hAnsi="Times New Roman" w:cs="Times New Roman"/>
          <w:sz w:val="24"/>
          <w:szCs w:val="24"/>
        </w:rPr>
        <w:t xml:space="preserve"> (1997) acuña la idea de empresa sostenible, planteando que es aquella que garantiza un triple objetivo: ser económicamente viable, socialmente beneficiosa y ambientalmente responsable, dando origen al concepto de triple impacto (</w:t>
      </w:r>
      <w:r w:rsidRPr="0001442F">
        <w:rPr>
          <w:rFonts w:ascii="Times New Roman" w:hAnsi="Times New Roman" w:cs="Times New Roman"/>
          <w:i/>
          <w:sz w:val="24"/>
          <w:szCs w:val="24"/>
        </w:rPr>
        <w:t xml:space="preserve">triple </w:t>
      </w:r>
      <w:proofErr w:type="spellStart"/>
      <w:r w:rsidRPr="0001442F">
        <w:rPr>
          <w:rFonts w:ascii="Times New Roman" w:hAnsi="Times New Roman" w:cs="Times New Roman"/>
          <w:i/>
          <w:sz w:val="24"/>
          <w:szCs w:val="24"/>
        </w:rPr>
        <w:t>bottom</w:t>
      </w:r>
      <w:proofErr w:type="spellEnd"/>
      <w:r w:rsidRPr="0001442F">
        <w:rPr>
          <w:rFonts w:ascii="Times New Roman" w:hAnsi="Times New Roman" w:cs="Times New Roman"/>
          <w:i/>
          <w:sz w:val="24"/>
          <w:szCs w:val="24"/>
        </w:rPr>
        <w:t xml:space="preserve"> line</w:t>
      </w:r>
      <w:r w:rsidR="00C73D65">
        <w:rPr>
          <w:rFonts w:ascii="Times New Roman" w:hAnsi="Times New Roman" w:cs="Times New Roman"/>
          <w:sz w:val="24"/>
          <w:szCs w:val="24"/>
        </w:rPr>
        <w:t>).</w:t>
      </w:r>
    </w:p>
    <w:p w:rsidR="00367B51" w:rsidRDefault="00FA7947" w:rsidP="0001442F">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Aunque existen distintas teorías que permiten explicar la decisión de revelar información por parte de las organizaciones, la que resulta más apropiada para brindar el soporte teórico de este estudio, en función al problema investigación planteado, es la teoría de la legitimidad (</w:t>
      </w:r>
      <w:proofErr w:type="spellStart"/>
      <w:r w:rsidRPr="0001442F">
        <w:rPr>
          <w:rFonts w:ascii="Times New Roman" w:hAnsi="Times New Roman" w:cs="Times New Roman"/>
          <w:sz w:val="24"/>
          <w:szCs w:val="24"/>
        </w:rPr>
        <w:t>Shocker</w:t>
      </w:r>
      <w:proofErr w:type="spellEnd"/>
      <w:r w:rsidRPr="0001442F">
        <w:rPr>
          <w:rFonts w:ascii="Times New Roman" w:hAnsi="Times New Roman" w:cs="Times New Roman"/>
          <w:sz w:val="24"/>
          <w:szCs w:val="24"/>
        </w:rPr>
        <w:t xml:space="preserve"> y </w:t>
      </w:r>
      <w:proofErr w:type="spellStart"/>
      <w:r w:rsidRPr="0001442F">
        <w:rPr>
          <w:rFonts w:ascii="Times New Roman" w:hAnsi="Times New Roman" w:cs="Times New Roman"/>
          <w:sz w:val="24"/>
          <w:szCs w:val="24"/>
        </w:rPr>
        <w:t>Sethi</w:t>
      </w:r>
      <w:proofErr w:type="spellEnd"/>
      <w:r w:rsidRPr="0001442F">
        <w:rPr>
          <w:rFonts w:ascii="Times New Roman" w:hAnsi="Times New Roman" w:cs="Times New Roman"/>
          <w:sz w:val="24"/>
          <w:szCs w:val="24"/>
        </w:rPr>
        <w:t xml:space="preserve">, 1973). </w:t>
      </w:r>
      <w:r w:rsidR="00367B51" w:rsidRPr="00367B51">
        <w:rPr>
          <w:rFonts w:ascii="Times New Roman" w:hAnsi="Times New Roman" w:cs="Times New Roman"/>
          <w:sz w:val="24"/>
          <w:szCs w:val="24"/>
        </w:rPr>
        <w:t xml:space="preserve">Esta teoría considera a las empresas como entidades sociales que desarrollan sus actividades dentro de una sociedad estructurada, </w:t>
      </w:r>
      <w:r w:rsidR="00367B51">
        <w:rPr>
          <w:rFonts w:ascii="Times New Roman" w:hAnsi="Times New Roman" w:cs="Times New Roman"/>
          <w:sz w:val="24"/>
          <w:szCs w:val="24"/>
        </w:rPr>
        <w:t>dentro de la cual la</w:t>
      </w:r>
      <w:r w:rsidR="00367B51" w:rsidRPr="00367B51">
        <w:rPr>
          <w:rFonts w:ascii="Times New Roman" w:hAnsi="Times New Roman" w:cs="Times New Roman"/>
          <w:sz w:val="24"/>
          <w:szCs w:val="24"/>
        </w:rPr>
        <w:t xml:space="preserve"> continuidad y </w:t>
      </w:r>
      <w:r w:rsidR="00367B51">
        <w:rPr>
          <w:rFonts w:ascii="Times New Roman" w:hAnsi="Times New Roman" w:cs="Times New Roman"/>
          <w:sz w:val="24"/>
          <w:szCs w:val="24"/>
        </w:rPr>
        <w:t xml:space="preserve">el </w:t>
      </w:r>
      <w:r w:rsidR="00367B51" w:rsidRPr="00367B51">
        <w:rPr>
          <w:rFonts w:ascii="Times New Roman" w:hAnsi="Times New Roman" w:cs="Times New Roman"/>
          <w:sz w:val="24"/>
          <w:szCs w:val="24"/>
        </w:rPr>
        <w:t xml:space="preserve">desarrollo </w:t>
      </w:r>
      <w:r w:rsidR="00367B51">
        <w:rPr>
          <w:rFonts w:ascii="Times New Roman" w:hAnsi="Times New Roman" w:cs="Times New Roman"/>
          <w:sz w:val="24"/>
          <w:szCs w:val="24"/>
        </w:rPr>
        <w:t xml:space="preserve">de la firma </w:t>
      </w:r>
      <w:r w:rsidR="00367B51" w:rsidRPr="00367B51">
        <w:rPr>
          <w:rFonts w:ascii="Times New Roman" w:hAnsi="Times New Roman" w:cs="Times New Roman"/>
          <w:sz w:val="24"/>
          <w:szCs w:val="24"/>
        </w:rPr>
        <w:t>está</w:t>
      </w:r>
      <w:r w:rsidR="00367B51">
        <w:rPr>
          <w:rFonts w:ascii="Times New Roman" w:hAnsi="Times New Roman" w:cs="Times New Roman"/>
          <w:sz w:val="24"/>
          <w:szCs w:val="24"/>
        </w:rPr>
        <w:t xml:space="preserve"> condicionado</w:t>
      </w:r>
      <w:r w:rsidR="00367B51" w:rsidRPr="00367B51">
        <w:rPr>
          <w:rFonts w:ascii="Times New Roman" w:hAnsi="Times New Roman" w:cs="Times New Roman"/>
          <w:sz w:val="24"/>
          <w:szCs w:val="24"/>
        </w:rPr>
        <w:t xml:space="preserve"> por su capacidad para satisfacer las expectativas de los diversos grupos que </w:t>
      </w:r>
      <w:r w:rsidR="00367B51">
        <w:rPr>
          <w:rFonts w:ascii="Times New Roman" w:hAnsi="Times New Roman" w:cs="Times New Roman"/>
          <w:sz w:val="24"/>
          <w:szCs w:val="24"/>
        </w:rPr>
        <w:t xml:space="preserve">la </w:t>
      </w:r>
      <w:r w:rsidR="00367B51" w:rsidRPr="00367B51">
        <w:rPr>
          <w:rFonts w:ascii="Times New Roman" w:hAnsi="Times New Roman" w:cs="Times New Roman"/>
          <w:sz w:val="24"/>
          <w:szCs w:val="24"/>
        </w:rPr>
        <w:t>conforman</w:t>
      </w:r>
      <w:r w:rsidRPr="0001442F">
        <w:rPr>
          <w:rFonts w:ascii="Times New Roman" w:hAnsi="Times New Roman" w:cs="Times New Roman"/>
          <w:sz w:val="24"/>
          <w:szCs w:val="24"/>
        </w:rPr>
        <w:t xml:space="preserve"> (</w:t>
      </w:r>
      <w:proofErr w:type="spellStart"/>
      <w:r w:rsidRPr="0001442F">
        <w:rPr>
          <w:rFonts w:ascii="Times New Roman" w:hAnsi="Times New Roman" w:cs="Times New Roman"/>
          <w:sz w:val="24"/>
          <w:szCs w:val="24"/>
        </w:rPr>
        <w:t>Shocker</w:t>
      </w:r>
      <w:proofErr w:type="spellEnd"/>
      <w:r w:rsidRPr="0001442F">
        <w:rPr>
          <w:rFonts w:ascii="Times New Roman" w:hAnsi="Times New Roman" w:cs="Times New Roman"/>
          <w:sz w:val="24"/>
          <w:szCs w:val="24"/>
        </w:rPr>
        <w:t xml:space="preserve"> y </w:t>
      </w:r>
      <w:proofErr w:type="spellStart"/>
      <w:r w:rsidRPr="0001442F">
        <w:rPr>
          <w:rFonts w:ascii="Times New Roman" w:hAnsi="Times New Roman" w:cs="Times New Roman"/>
          <w:sz w:val="24"/>
          <w:szCs w:val="24"/>
        </w:rPr>
        <w:t>Sethi</w:t>
      </w:r>
      <w:proofErr w:type="spellEnd"/>
      <w:r w:rsidRPr="0001442F">
        <w:rPr>
          <w:rFonts w:ascii="Times New Roman" w:hAnsi="Times New Roman" w:cs="Times New Roman"/>
          <w:sz w:val="24"/>
          <w:szCs w:val="24"/>
        </w:rPr>
        <w:t xml:space="preserve">, 1973). </w:t>
      </w:r>
      <w:r w:rsidR="00367B51">
        <w:rPr>
          <w:rFonts w:ascii="Times New Roman" w:hAnsi="Times New Roman" w:cs="Times New Roman"/>
          <w:sz w:val="24"/>
          <w:szCs w:val="24"/>
        </w:rPr>
        <w:t>Por ello</w:t>
      </w:r>
      <w:r w:rsidRPr="0001442F">
        <w:rPr>
          <w:rFonts w:ascii="Times New Roman" w:hAnsi="Times New Roman" w:cs="Times New Roman"/>
          <w:sz w:val="24"/>
          <w:szCs w:val="24"/>
        </w:rPr>
        <w:t xml:space="preserve">, </w:t>
      </w:r>
      <w:r w:rsidR="00367B51">
        <w:rPr>
          <w:rFonts w:ascii="Times New Roman" w:hAnsi="Times New Roman" w:cs="Times New Roman"/>
          <w:sz w:val="24"/>
          <w:szCs w:val="24"/>
        </w:rPr>
        <w:t xml:space="preserve">las empresas </w:t>
      </w:r>
      <w:r w:rsidR="00367B51" w:rsidRPr="00367B51">
        <w:rPr>
          <w:rFonts w:ascii="Times New Roman" w:hAnsi="Times New Roman" w:cs="Times New Roman"/>
          <w:sz w:val="24"/>
          <w:szCs w:val="24"/>
        </w:rPr>
        <w:t xml:space="preserve">deben demostrar que sus servicios son demandados por el mercado y valorados por diversos sectores de la sociedad, lo que implica legitimar sus acciones y ajustar sus operaciones a las expectativas sociales para asegurar su </w:t>
      </w:r>
      <w:r w:rsidR="00367B51">
        <w:rPr>
          <w:rFonts w:ascii="Times New Roman" w:hAnsi="Times New Roman" w:cs="Times New Roman"/>
          <w:sz w:val="24"/>
          <w:szCs w:val="24"/>
        </w:rPr>
        <w:t>superviv</w:t>
      </w:r>
      <w:r w:rsidR="00367B51" w:rsidRPr="00367B51">
        <w:rPr>
          <w:rFonts w:ascii="Times New Roman" w:hAnsi="Times New Roman" w:cs="Times New Roman"/>
          <w:sz w:val="24"/>
          <w:szCs w:val="24"/>
        </w:rPr>
        <w:t>encia</w:t>
      </w:r>
      <w:r w:rsidRPr="0001442F">
        <w:rPr>
          <w:rFonts w:ascii="Times New Roman" w:hAnsi="Times New Roman" w:cs="Times New Roman"/>
          <w:sz w:val="24"/>
          <w:szCs w:val="24"/>
        </w:rPr>
        <w:t xml:space="preserve"> (</w:t>
      </w:r>
      <w:proofErr w:type="spellStart"/>
      <w:r w:rsidRPr="0001442F">
        <w:rPr>
          <w:rFonts w:ascii="Times New Roman" w:hAnsi="Times New Roman" w:cs="Times New Roman"/>
          <w:sz w:val="24"/>
          <w:szCs w:val="24"/>
        </w:rPr>
        <w:t>An</w:t>
      </w:r>
      <w:proofErr w:type="spellEnd"/>
      <w:r w:rsidRPr="0001442F">
        <w:rPr>
          <w:rFonts w:ascii="Times New Roman" w:hAnsi="Times New Roman" w:cs="Times New Roman"/>
          <w:sz w:val="24"/>
          <w:szCs w:val="24"/>
        </w:rPr>
        <w:t xml:space="preserve"> et al., 2011). En este marco, la divulgación de información permite a las empresas dar cuenta de su accionar ante la sociedad (Ochoa et al., 2010), poniendo al público en conocimiento de los cambios en sus actividades y comportamientos, lo que les permite justificar sus acciones para lograr así cambiar la percepción de la sociedad sobre cualquier situación que pueda surgir (</w:t>
      </w:r>
      <w:proofErr w:type="spellStart"/>
      <w:r w:rsidRPr="0001442F">
        <w:rPr>
          <w:rFonts w:ascii="Times New Roman" w:hAnsi="Times New Roman" w:cs="Times New Roman"/>
          <w:sz w:val="24"/>
          <w:szCs w:val="24"/>
        </w:rPr>
        <w:t>Lindblom</w:t>
      </w:r>
      <w:proofErr w:type="spellEnd"/>
      <w:r w:rsidRPr="0001442F">
        <w:rPr>
          <w:rFonts w:ascii="Times New Roman" w:hAnsi="Times New Roman" w:cs="Times New Roman"/>
          <w:sz w:val="24"/>
          <w:szCs w:val="24"/>
        </w:rPr>
        <w:t xml:space="preserve">, 1994). En este sentido, </w:t>
      </w:r>
      <w:r w:rsidR="00C432F9" w:rsidRPr="0001442F">
        <w:rPr>
          <w:rFonts w:ascii="Times New Roman" w:hAnsi="Times New Roman" w:cs="Times New Roman"/>
          <w:sz w:val="24"/>
          <w:szCs w:val="24"/>
        </w:rPr>
        <w:t xml:space="preserve">el comportamiento </w:t>
      </w:r>
      <w:r w:rsidR="00C432F9">
        <w:rPr>
          <w:rFonts w:ascii="Times New Roman" w:hAnsi="Times New Roman" w:cs="Times New Roman"/>
          <w:sz w:val="24"/>
          <w:szCs w:val="24"/>
        </w:rPr>
        <w:t xml:space="preserve">responsable </w:t>
      </w:r>
      <w:r w:rsidR="00C432F9" w:rsidRPr="0001442F">
        <w:rPr>
          <w:rFonts w:ascii="Times New Roman" w:hAnsi="Times New Roman" w:cs="Times New Roman"/>
          <w:sz w:val="24"/>
          <w:szCs w:val="24"/>
        </w:rPr>
        <w:t xml:space="preserve">de la empresa con respecto a los problemas ambientales </w:t>
      </w:r>
      <w:r w:rsidR="00C432F9">
        <w:rPr>
          <w:rFonts w:ascii="Times New Roman" w:hAnsi="Times New Roman" w:cs="Times New Roman"/>
          <w:sz w:val="24"/>
          <w:szCs w:val="24"/>
        </w:rPr>
        <w:t xml:space="preserve">resulta fundamental para alcanzar </w:t>
      </w:r>
      <w:r w:rsidRPr="0001442F">
        <w:rPr>
          <w:rFonts w:ascii="Times New Roman" w:hAnsi="Times New Roman" w:cs="Times New Roman"/>
          <w:sz w:val="24"/>
          <w:szCs w:val="24"/>
        </w:rPr>
        <w:t xml:space="preserve">la confianza pública (Ordóñez-Castaño et al., 2021), por lo que la divulgación de información </w:t>
      </w:r>
      <w:r w:rsidR="00C432F9">
        <w:rPr>
          <w:rFonts w:ascii="Times New Roman" w:hAnsi="Times New Roman" w:cs="Times New Roman"/>
          <w:sz w:val="24"/>
          <w:szCs w:val="24"/>
        </w:rPr>
        <w:t xml:space="preserve">vinculada con temas ambientales </w:t>
      </w:r>
      <w:r w:rsidRPr="0001442F">
        <w:rPr>
          <w:rFonts w:ascii="Times New Roman" w:hAnsi="Times New Roman" w:cs="Times New Roman"/>
          <w:sz w:val="24"/>
          <w:szCs w:val="24"/>
        </w:rPr>
        <w:t xml:space="preserve">es </w:t>
      </w:r>
      <w:r w:rsidR="00C432F9">
        <w:rPr>
          <w:rFonts w:ascii="Times New Roman" w:hAnsi="Times New Roman" w:cs="Times New Roman"/>
          <w:sz w:val="24"/>
          <w:szCs w:val="24"/>
        </w:rPr>
        <w:t>clave</w:t>
      </w:r>
      <w:r w:rsidRPr="0001442F">
        <w:rPr>
          <w:rFonts w:ascii="Times New Roman" w:hAnsi="Times New Roman" w:cs="Times New Roman"/>
          <w:sz w:val="24"/>
          <w:szCs w:val="24"/>
        </w:rPr>
        <w:t xml:space="preserve"> par</w:t>
      </w:r>
      <w:r w:rsidR="00367B51">
        <w:rPr>
          <w:rFonts w:ascii="Times New Roman" w:hAnsi="Times New Roman" w:cs="Times New Roman"/>
          <w:sz w:val="24"/>
          <w:szCs w:val="24"/>
        </w:rPr>
        <w:t xml:space="preserve">a legitimar </w:t>
      </w:r>
      <w:r w:rsidR="00C432F9">
        <w:rPr>
          <w:rFonts w:ascii="Times New Roman" w:hAnsi="Times New Roman" w:cs="Times New Roman"/>
          <w:sz w:val="24"/>
          <w:szCs w:val="24"/>
        </w:rPr>
        <w:t>el</w:t>
      </w:r>
      <w:r w:rsidR="00367B51">
        <w:rPr>
          <w:rFonts w:ascii="Times New Roman" w:hAnsi="Times New Roman" w:cs="Times New Roman"/>
          <w:sz w:val="24"/>
          <w:szCs w:val="24"/>
        </w:rPr>
        <w:t xml:space="preserve"> accionar</w:t>
      </w:r>
      <w:r w:rsidR="00C432F9">
        <w:rPr>
          <w:rFonts w:ascii="Times New Roman" w:hAnsi="Times New Roman" w:cs="Times New Roman"/>
          <w:sz w:val="24"/>
          <w:szCs w:val="24"/>
        </w:rPr>
        <w:t xml:space="preserve"> de la firma</w:t>
      </w:r>
      <w:r w:rsidR="00367B51">
        <w:rPr>
          <w:rFonts w:ascii="Times New Roman" w:hAnsi="Times New Roman" w:cs="Times New Roman"/>
          <w:sz w:val="24"/>
          <w:szCs w:val="24"/>
        </w:rPr>
        <w:t>.</w:t>
      </w:r>
    </w:p>
    <w:p w:rsidR="00FA7947" w:rsidRPr="0001442F" w:rsidRDefault="00FA7947" w:rsidP="0001442F">
      <w:pPr>
        <w:spacing w:after="0" w:line="360" w:lineRule="auto"/>
        <w:jc w:val="both"/>
        <w:rPr>
          <w:rFonts w:ascii="Times New Roman" w:hAnsi="Times New Roman" w:cs="Times New Roman"/>
          <w:color w:val="FF0000"/>
          <w:sz w:val="24"/>
          <w:szCs w:val="24"/>
        </w:rPr>
      </w:pPr>
      <w:r w:rsidRPr="00655B58">
        <w:rPr>
          <w:rFonts w:ascii="Times New Roman" w:hAnsi="Times New Roman" w:cs="Times New Roman"/>
          <w:sz w:val="24"/>
          <w:szCs w:val="24"/>
        </w:rPr>
        <w:t xml:space="preserve">El estudio de las prácticas de divulgación de información de sostenibilidad, en las respectivas memorias, ha dado lugar a una importante línea de trabajos (Guevara et al., 2019; Castillo, 2021; Castillo et al., </w:t>
      </w:r>
      <w:r w:rsidR="00655B58" w:rsidRPr="00655B58">
        <w:rPr>
          <w:rFonts w:ascii="Times New Roman" w:hAnsi="Times New Roman" w:cs="Times New Roman"/>
          <w:sz w:val="24"/>
          <w:szCs w:val="24"/>
        </w:rPr>
        <w:t>2021; García-</w:t>
      </w:r>
      <w:proofErr w:type="spellStart"/>
      <w:r w:rsidR="00655B58" w:rsidRPr="00655B58">
        <w:rPr>
          <w:rFonts w:ascii="Times New Roman" w:hAnsi="Times New Roman" w:cs="Times New Roman"/>
          <w:sz w:val="24"/>
          <w:szCs w:val="24"/>
        </w:rPr>
        <w:t>Benau</w:t>
      </w:r>
      <w:proofErr w:type="spellEnd"/>
      <w:r w:rsidR="00655B58" w:rsidRPr="00655B58">
        <w:rPr>
          <w:rFonts w:ascii="Times New Roman" w:hAnsi="Times New Roman" w:cs="Times New Roman"/>
          <w:sz w:val="24"/>
          <w:szCs w:val="24"/>
        </w:rPr>
        <w:t xml:space="preserve"> et al., 2022, entre otros</w:t>
      </w:r>
      <w:r w:rsidRPr="00655B58">
        <w:rPr>
          <w:rFonts w:ascii="Times New Roman" w:hAnsi="Times New Roman" w:cs="Times New Roman"/>
          <w:sz w:val="24"/>
          <w:szCs w:val="24"/>
        </w:rPr>
        <w:t>), habiéndose considerado también a las webs corporativas como canal alternativo de divulgación de información de sostenibili</w:t>
      </w:r>
      <w:r w:rsidR="00655B58" w:rsidRPr="00655B58">
        <w:rPr>
          <w:rFonts w:ascii="Times New Roman" w:hAnsi="Times New Roman" w:cs="Times New Roman"/>
          <w:sz w:val="24"/>
          <w:szCs w:val="24"/>
        </w:rPr>
        <w:t>dad (Ponce et al., 2022).</w:t>
      </w:r>
    </w:p>
    <w:p w:rsidR="008611CC" w:rsidRDefault="00FA7947" w:rsidP="008611CC">
      <w:pPr>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 xml:space="preserve">En </w:t>
      </w:r>
      <w:r w:rsidR="00655B58">
        <w:rPr>
          <w:rFonts w:ascii="Times New Roman" w:hAnsi="Times New Roman" w:cs="Times New Roman"/>
          <w:sz w:val="24"/>
          <w:szCs w:val="24"/>
        </w:rPr>
        <w:t xml:space="preserve">que respecta, específicamente, </w:t>
      </w:r>
      <w:r w:rsidRPr="0001442F">
        <w:rPr>
          <w:rFonts w:ascii="Times New Roman" w:hAnsi="Times New Roman" w:cs="Times New Roman"/>
          <w:sz w:val="24"/>
          <w:szCs w:val="24"/>
        </w:rPr>
        <w:t xml:space="preserve">a las características </w:t>
      </w:r>
      <w:r w:rsidR="00655B58">
        <w:rPr>
          <w:rFonts w:ascii="Times New Roman" w:hAnsi="Times New Roman" w:cs="Times New Roman"/>
          <w:sz w:val="24"/>
          <w:szCs w:val="24"/>
        </w:rPr>
        <w:t xml:space="preserve">de las empresas que pueden </w:t>
      </w:r>
      <w:r w:rsidRPr="0001442F">
        <w:rPr>
          <w:rFonts w:ascii="Times New Roman" w:hAnsi="Times New Roman" w:cs="Times New Roman"/>
          <w:sz w:val="24"/>
          <w:szCs w:val="24"/>
        </w:rPr>
        <w:t>motiva</w:t>
      </w:r>
      <w:r w:rsidR="00655B58">
        <w:rPr>
          <w:rFonts w:ascii="Times New Roman" w:hAnsi="Times New Roman" w:cs="Times New Roman"/>
          <w:sz w:val="24"/>
          <w:szCs w:val="24"/>
        </w:rPr>
        <w:t>r</w:t>
      </w:r>
      <w:r w:rsidRPr="0001442F">
        <w:rPr>
          <w:rFonts w:ascii="Times New Roman" w:hAnsi="Times New Roman" w:cs="Times New Roman"/>
          <w:sz w:val="24"/>
          <w:szCs w:val="24"/>
        </w:rPr>
        <w:t xml:space="preserve"> la divulgación de </w:t>
      </w:r>
      <w:r w:rsidR="00655B58">
        <w:rPr>
          <w:rFonts w:ascii="Times New Roman" w:hAnsi="Times New Roman" w:cs="Times New Roman"/>
          <w:sz w:val="24"/>
          <w:szCs w:val="24"/>
        </w:rPr>
        <w:t xml:space="preserve">información </w:t>
      </w:r>
      <w:r w:rsidRPr="0001442F">
        <w:rPr>
          <w:rFonts w:ascii="Times New Roman" w:hAnsi="Times New Roman" w:cs="Times New Roman"/>
          <w:sz w:val="24"/>
          <w:szCs w:val="24"/>
        </w:rPr>
        <w:t>ambiental</w:t>
      </w:r>
      <w:r w:rsidR="00655B58">
        <w:rPr>
          <w:rFonts w:ascii="Times New Roman" w:hAnsi="Times New Roman" w:cs="Times New Roman"/>
          <w:sz w:val="24"/>
          <w:szCs w:val="24"/>
        </w:rPr>
        <w:t xml:space="preserve"> (IA)</w:t>
      </w:r>
      <w:r w:rsidRPr="0001442F">
        <w:rPr>
          <w:rFonts w:ascii="Times New Roman" w:hAnsi="Times New Roman" w:cs="Times New Roman"/>
          <w:sz w:val="24"/>
          <w:szCs w:val="24"/>
        </w:rPr>
        <w:t xml:space="preserve">, en sus informes de sostenibilidad, diversos estudios demuestran que las empresas de mayor tamaño divulgan una mayor cantidad de </w:t>
      </w:r>
      <w:r w:rsidR="00A26DD8">
        <w:rPr>
          <w:rFonts w:ascii="Times New Roman" w:hAnsi="Times New Roman" w:cs="Times New Roman"/>
          <w:sz w:val="24"/>
          <w:szCs w:val="24"/>
        </w:rPr>
        <w:t>IA</w:t>
      </w:r>
      <w:r w:rsidRPr="0001442F">
        <w:rPr>
          <w:rFonts w:ascii="Times New Roman" w:hAnsi="Times New Roman" w:cs="Times New Roman"/>
          <w:sz w:val="24"/>
          <w:szCs w:val="24"/>
        </w:rPr>
        <w:t xml:space="preserve"> (</w:t>
      </w:r>
      <w:proofErr w:type="spellStart"/>
      <w:r w:rsidRPr="0001442F">
        <w:rPr>
          <w:rFonts w:ascii="Times New Roman" w:hAnsi="Times New Roman" w:cs="Times New Roman"/>
          <w:sz w:val="24"/>
          <w:szCs w:val="24"/>
        </w:rPr>
        <w:t>Brammer</w:t>
      </w:r>
      <w:proofErr w:type="spellEnd"/>
      <w:r w:rsidRPr="0001442F">
        <w:rPr>
          <w:rFonts w:ascii="Times New Roman" w:hAnsi="Times New Roman" w:cs="Times New Roman"/>
          <w:sz w:val="24"/>
          <w:szCs w:val="24"/>
        </w:rPr>
        <w:t xml:space="preserve"> y </w:t>
      </w:r>
      <w:proofErr w:type="spellStart"/>
      <w:r w:rsidRPr="0001442F">
        <w:rPr>
          <w:rFonts w:ascii="Times New Roman" w:hAnsi="Times New Roman" w:cs="Times New Roman"/>
          <w:sz w:val="24"/>
          <w:szCs w:val="24"/>
        </w:rPr>
        <w:t>Pavelin</w:t>
      </w:r>
      <w:proofErr w:type="spellEnd"/>
      <w:r w:rsidRPr="0001442F">
        <w:rPr>
          <w:rFonts w:ascii="Times New Roman" w:hAnsi="Times New Roman" w:cs="Times New Roman"/>
          <w:sz w:val="24"/>
          <w:szCs w:val="24"/>
        </w:rPr>
        <w:t xml:space="preserve">, 2006; </w:t>
      </w:r>
      <w:proofErr w:type="spellStart"/>
      <w:r w:rsidRPr="0001442F">
        <w:rPr>
          <w:rFonts w:ascii="Times New Roman" w:hAnsi="Times New Roman" w:cs="Times New Roman"/>
          <w:sz w:val="24"/>
          <w:szCs w:val="24"/>
        </w:rPr>
        <w:t>Pahuja</w:t>
      </w:r>
      <w:proofErr w:type="spellEnd"/>
      <w:r w:rsidRPr="0001442F">
        <w:rPr>
          <w:rFonts w:ascii="Times New Roman" w:hAnsi="Times New Roman" w:cs="Times New Roman"/>
          <w:sz w:val="24"/>
          <w:szCs w:val="24"/>
        </w:rPr>
        <w:t xml:space="preserve">, 2009; </w:t>
      </w:r>
      <w:proofErr w:type="spellStart"/>
      <w:r w:rsidRPr="0001442F">
        <w:rPr>
          <w:rFonts w:ascii="Times New Roman" w:hAnsi="Times New Roman" w:cs="Times New Roman"/>
          <w:sz w:val="24"/>
          <w:szCs w:val="24"/>
        </w:rPr>
        <w:t>Andrikopoulos</w:t>
      </w:r>
      <w:proofErr w:type="spellEnd"/>
      <w:r w:rsidRPr="0001442F">
        <w:rPr>
          <w:rFonts w:ascii="Times New Roman" w:hAnsi="Times New Roman" w:cs="Times New Roman"/>
          <w:sz w:val="24"/>
          <w:szCs w:val="24"/>
        </w:rPr>
        <w:t xml:space="preserve"> y </w:t>
      </w:r>
      <w:proofErr w:type="spellStart"/>
      <w:r w:rsidRPr="0001442F">
        <w:rPr>
          <w:rFonts w:ascii="Times New Roman" w:hAnsi="Times New Roman" w:cs="Times New Roman"/>
          <w:sz w:val="24"/>
          <w:szCs w:val="24"/>
        </w:rPr>
        <w:t>Kriklani</w:t>
      </w:r>
      <w:proofErr w:type="spellEnd"/>
      <w:r w:rsidRPr="0001442F">
        <w:rPr>
          <w:rFonts w:ascii="Times New Roman" w:hAnsi="Times New Roman" w:cs="Times New Roman"/>
          <w:sz w:val="24"/>
          <w:szCs w:val="24"/>
        </w:rPr>
        <w:t>, 2013).</w:t>
      </w:r>
      <w:r w:rsidR="008611CC">
        <w:rPr>
          <w:rFonts w:ascii="Times New Roman" w:hAnsi="Times New Roman" w:cs="Times New Roman"/>
          <w:sz w:val="24"/>
          <w:szCs w:val="24"/>
        </w:rPr>
        <w:t xml:space="preserve"> </w:t>
      </w:r>
      <w:r w:rsidRPr="0001442F">
        <w:rPr>
          <w:rFonts w:ascii="Times New Roman" w:hAnsi="Times New Roman" w:cs="Times New Roman"/>
          <w:sz w:val="24"/>
          <w:szCs w:val="24"/>
        </w:rPr>
        <w:t xml:space="preserve">Otros trabajos han contrastado la relación entre la divulgación de criterios GRI y la rentabilidad de las empresas. En esta línea, la evidencia muestra que el cumplimiento </w:t>
      </w:r>
      <w:r w:rsidRPr="0001442F">
        <w:rPr>
          <w:rFonts w:ascii="Times New Roman" w:hAnsi="Times New Roman" w:cs="Times New Roman"/>
          <w:sz w:val="24"/>
          <w:szCs w:val="24"/>
        </w:rPr>
        <w:lastRenderedPageBreak/>
        <w:t xml:space="preserve">de los criterios GRI modera la relación entre la divulgación de la sostenibilidad y el valor de la empresa, de modo que el valor de la empresa aumenta cuando </w:t>
      </w:r>
      <w:r w:rsidR="00655B58">
        <w:rPr>
          <w:rFonts w:ascii="Times New Roman" w:hAnsi="Times New Roman" w:cs="Times New Roman"/>
          <w:sz w:val="24"/>
          <w:szCs w:val="24"/>
        </w:rPr>
        <w:t>se</w:t>
      </w:r>
      <w:r w:rsidRPr="0001442F">
        <w:rPr>
          <w:rFonts w:ascii="Times New Roman" w:hAnsi="Times New Roman" w:cs="Times New Roman"/>
          <w:sz w:val="24"/>
          <w:szCs w:val="24"/>
        </w:rPr>
        <w:t xml:space="preserve"> adopta</w:t>
      </w:r>
      <w:r w:rsidR="00655B58">
        <w:rPr>
          <w:rFonts w:ascii="Times New Roman" w:hAnsi="Times New Roman" w:cs="Times New Roman"/>
          <w:sz w:val="24"/>
          <w:szCs w:val="24"/>
        </w:rPr>
        <w:t>n</w:t>
      </w:r>
      <w:r w:rsidRPr="0001442F">
        <w:rPr>
          <w:rFonts w:ascii="Times New Roman" w:hAnsi="Times New Roman" w:cs="Times New Roman"/>
          <w:sz w:val="24"/>
          <w:szCs w:val="24"/>
        </w:rPr>
        <w:t xml:space="preserve"> los criterios GRI en la elaboración de informes de sostenibilidad (J. et al., 2023). En concordancia con estos resultados, </w:t>
      </w:r>
      <w:proofErr w:type="spellStart"/>
      <w:r w:rsidRPr="0001442F">
        <w:rPr>
          <w:rFonts w:ascii="Times New Roman" w:hAnsi="Times New Roman" w:cs="Times New Roman"/>
          <w:sz w:val="24"/>
          <w:szCs w:val="24"/>
        </w:rPr>
        <w:t>Farooque</w:t>
      </w:r>
      <w:proofErr w:type="spellEnd"/>
      <w:r w:rsidRPr="0001442F">
        <w:rPr>
          <w:rFonts w:ascii="Times New Roman" w:hAnsi="Times New Roman" w:cs="Times New Roman"/>
          <w:sz w:val="24"/>
          <w:szCs w:val="24"/>
        </w:rPr>
        <w:t xml:space="preserve"> y </w:t>
      </w:r>
      <w:proofErr w:type="spellStart"/>
      <w:r w:rsidRPr="0001442F">
        <w:rPr>
          <w:rFonts w:ascii="Times New Roman" w:hAnsi="Times New Roman" w:cs="Times New Roman"/>
          <w:sz w:val="24"/>
          <w:szCs w:val="24"/>
        </w:rPr>
        <w:t>Ahulu</w:t>
      </w:r>
      <w:proofErr w:type="spellEnd"/>
      <w:r w:rsidRPr="0001442F">
        <w:rPr>
          <w:rFonts w:ascii="Times New Roman" w:hAnsi="Times New Roman" w:cs="Times New Roman"/>
          <w:sz w:val="24"/>
          <w:szCs w:val="24"/>
        </w:rPr>
        <w:t xml:space="preserve"> (2015), </w:t>
      </w:r>
      <w:proofErr w:type="spellStart"/>
      <w:r w:rsidRPr="0001442F">
        <w:rPr>
          <w:rFonts w:ascii="Times New Roman" w:hAnsi="Times New Roman" w:cs="Times New Roman"/>
          <w:sz w:val="24"/>
          <w:szCs w:val="24"/>
        </w:rPr>
        <w:t>Jadhav</w:t>
      </w:r>
      <w:proofErr w:type="spellEnd"/>
      <w:r w:rsidRPr="0001442F">
        <w:rPr>
          <w:rFonts w:ascii="Times New Roman" w:hAnsi="Times New Roman" w:cs="Times New Roman"/>
          <w:sz w:val="24"/>
          <w:szCs w:val="24"/>
        </w:rPr>
        <w:t xml:space="preserve"> et al. (2022), </w:t>
      </w:r>
      <w:proofErr w:type="spellStart"/>
      <w:r w:rsidRPr="0001442F">
        <w:rPr>
          <w:rFonts w:ascii="Times New Roman" w:hAnsi="Times New Roman" w:cs="Times New Roman"/>
          <w:sz w:val="24"/>
          <w:szCs w:val="24"/>
        </w:rPr>
        <w:t>Pahuja</w:t>
      </w:r>
      <w:proofErr w:type="spellEnd"/>
      <w:r w:rsidRPr="0001442F">
        <w:rPr>
          <w:rFonts w:ascii="Times New Roman" w:hAnsi="Times New Roman" w:cs="Times New Roman"/>
          <w:sz w:val="24"/>
          <w:szCs w:val="24"/>
        </w:rPr>
        <w:t xml:space="preserve"> (2009) y Yang et al. (2021) encontraron que las empresas con mayores niveles de divulgación de la sostenibilidad lograron una mayor rentabilidad. Por su parte, </w:t>
      </w:r>
      <w:proofErr w:type="spellStart"/>
      <w:r w:rsidRPr="0001442F">
        <w:rPr>
          <w:rFonts w:ascii="Times New Roman" w:hAnsi="Times New Roman" w:cs="Times New Roman"/>
          <w:sz w:val="24"/>
          <w:szCs w:val="24"/>
        </w:rPr>
        <w:t>Maama</w:t>
      </w:r>
      <w:proofErr w:type="spellEnd"/>
      <w:r w:rsidRPr="0001442F">
        <w:rPr>
          <w:rFonts w:ascii="Times New Roman" w:hAnsi="Times New Roman" w:cs="Times New Roman"/>
          <w:sz w:val="24"/>
          <w:szCs w:val="24"/>
        </w:rPr>
        <w:t xml:space="preserve"> et al. (2020) demuestran que el endeudamiento se relaciona significativamente con las </w:t>
      </w:r>
      <w:r w:rsidRPr="00E0279A">
        <w:rPr>
          <w:rFonts w:ascii="Times New Roman" w:hAnsi="Times New Roman" w:cs="Times New Roman"/>
          <w:sz w:val="24"/>
          <w:szCs w:val="24"/>
        </w:rPr>
        <w:t xml:space="preserve">prácticas de divulgación de </w:t>
      </w:r>
      <w:r w:rsidR="00A26DD8" w:rsidRPr="00E0279A">
        <w:rPr>
          <w:rFonts w:ascii="Times New Roman" w:hAnsi="Times New Roman" w:cs="Times New Roman"/>
          <w:sz w:val="24"/>
          <w:szCs w:val="24"/>
        </w:rPr>
        <w:t xml:space="preserve">IA </w:t>
      </w:r>
      <w:r w:rsidRPr="00E0279A">
        <w:rPr>
          <w:rFonts w:ascii="Times New Roman" w:hAnsi="Times New Roman" w:cs="Times New Roman"/>
          <w:sz w:val="24"/>
          <w:szCs w:val="24"/>
        </w:rPr>
        <w:t xml:space="preserve">de las empresas; </w:t>
      </w:r>
      <w:r w:rsidR="00E0279A" w:rsidRPr="00E0279A">
        <w:rPr>
          <w:rFonts w:ascii="Times New Roman" w:hAnsi="Times New Roman" w:cs="Times New Roman"/>
          <w:sz w:val="24"/>
          <w:szCs w:val="24"/>
        </w:rPr>
        <w:t xml:space="preserve">y </w:t>
      </w:r>
      <w:proofErr w:type="spellStart"/>
      <w:r w:rsidR="00E0279A" w:rsidRPr="00E0279A">
        <w:rPr>
          <w:rFonts w:ascii="Times New Roman" w:hAnsi="Times New Roman" w:cs="Times New Roman"/>
          <w:sz w:val="24"/>
          <w:szCs w:val="24"/>
        </w:rPr>
        <w:t>Ahmadi</w:t>
      </w:r>
      <w:proofErr w:type="spellEnd"/>
      <w:r w:rsidR="00E0279A" w:rsidRPr="00E0279A">
        <w:rPr>
          <w:rFonts w:ascii="Times New Roman" w:hAnsi="Times New Roman" w:cs="Times New Roman"/>
          <w:sz w:val="24"/>
          <w:szCs w:val="24"/>
        </w:rPr>
        <w:t xml:space="preserve"> and </w:t>
      </w:r>
      <w:proofErr w:type="spellStart"/>
      <w:r w:rsidR="00E0279A" w:rsidRPr="00E0279A">
        <w:rPr>
          <w:rFonts w:ascii="Times New Roman" w:hAnsi="Times New Roman" w:cs="Times New Roman"/>
          <w:sz w:val="24"/>
          <w:szCs w:val="24"/>
        </w:rPr>
        <w:t>Bouri</w:t>
      </w:r>
      <w:proofErr w:type="spellEnd"/>
      <w:r w:rsidR="00E0279A" w:rsidRPr="00E0279A">
        <w:rPr>
          <w:rFonts w:ascii="Times New Roman" w:hAnsi="Times New Roman" w:cs="Times New Roman"/>
          <w:sz w:val="24"/>
          <w:szCs w:val="24"/>
        </w:rPr>
        <w:t xml:space="preserve"> (2017) y </w:t>
      </w:r>
      <w:proofErr w:type="spellStart"/>
      <w:r w:rsidR="00E0279A" w:rsidRPr="00E0279A">
        <w:rPr>
          <w:rFonts w:ascii="Times New Roman" w:hAnsi="Times New Roman" w:cs="Times New Roman"/>
          <w:sz w:val="24"/>
          <w:szCs w:val="24"/>
        </w:rPr>
        <w:t>Pahuja</w:t>
      </w:r>
      <w:proofErr w:type="spellEnd"/>
      <w:r w:rsidR="00E0279A" w:rsidRPr="00E0279A">
        <w:rPr>
          <w:rFonts w:ascii="Times New Roman" w:hAnsi="Times New Roman" w:cs="Times New Roman"/>
          <w:sz w:val="24"/>
          <w:szCs w:val="24"/>
        </w:rPr>
        <w:t xml:space="preserve"> (2009)</w:t>
      </w:r>
      <w:r w:rsidR="00E0279A" w:rsidRPr="001D16A3">
        <w:rPr>
          <w:szCs w:val="20"/>
        </w:rPr>
        <w:t xml:space="preserve"> </w:t>
      </w:r>
      <w:r w:rsidRPr="0001442F">
        <w:rPr>
          <w:rFonts w:ascii="Times New Roman" w:hAnsi="Times New Roman" w:cs="Times New Roman"/>
          <w:sz w:val="24"/>
          <w:szCs w:val="24"/>
        </w:rPr>
        <w:t>identifican al sector como una variable que influye significativamente en el nivel de divulgación medioambiental.</w:t>
      </w:r>
      <w:r w:rsidR="008611CC">
        <w:rPr>
          <w:rFonts w:ascii="Times New Roman" w:hAnsi="Times New Roman" w:cs="Times New Roman"/>
          <w:sz w:val="24"/>
          <w:szCs w:val="24"/>
        </w:rPr>
        <w:t xml:space="preserve"> Más específicamente, algunos trabajos aportan evidencia </w:t>
      </w:r>
      <w:r w:rsidR="008611CC" w:rsidRPr="008419D0">
        <w:rPr>
          <w:rFonts w:ascii="Times New Roman" w:eastAsia="Times New Roman" w:hAnsi="Times New Roman" w:cs="Times New Roman"/>
          <w:sz w:val="24"/>
          <w:szCs w:val="24"/>
        </w:rPr>
        <w:t>que muestra que l</w:t>
      </w:r>
      <w:r w:rsidR="008611CC" w:rsidRPr="008419D0">
        <w:rPr>
          <w:rFonts w:ascii="Times New Roman" w:hAnsi="Times New Roman" w:cs="Times New Roman"/>
          <w:sz w:val="24"/>
          <w:szCs w:val="24"/>
        </w:rPr>
        <w:t xml:space="preserve">as empresas que </w:t>
      </w:r>
      <w:r w:rsidR="008611CC">
        <w:rPr>
          <w:rFonts w:ascii="Times New Roman" w:hAnsi="Times New Roman" w:cs="Times New Roman"/>
          <w:sz w:val="24"/>
          <w:szCs w:val="24"/>
        </w:rPr>
        <w:t xml:space="preserve">pertenecen a sectores con mayores </w:t>
      </w:r>
      <w:r w:rsidR="008611CC" w:rsidRPr="008419D0">
        <w:rPr>
          <w:rFonts w:ascii="Times New Roman" w:hAnsi="Times New Roman" w:cs="Times New Roman"/>
          <w:sz w:val="24"/>
          <w:szCs w:val="24"/>
        </w:rPr>
        <w:t>riesgos de contaminación</w:t>
      </w:r>
      <w:r w:rsidR="00E07F8B">
        <w:rPr>
          <w:rFonts w:ascii="Times New Roman" w:hAnsi="Times New Roman" w:cs="Times New Roman"/>
          <w:sz w:val="24"/>
          <w:szCs w:val="24"/>
        </w:rPr>
        <w:t>,</w:t>
      </w:r>
      <w:r w:rsidR="008611CC">
        <w:rPr>
          <w:rFonts w:ascii="Times New Roman" w:hAnsi="Times New Roman" w:cs="Times New Roman"/>
          <w:sz w:val="24"/>
          <w:szCs w:val="24"/>
        </w:rPr>
        <w:t xml:space="preserve"> divulgan mayor cantidad de </w:t>
      </w:r>
      <w:r w:rsidR="008611CC" w:rsidRPr="008419D0">
        <w:rPr>
          <w:rFonts w:ascii="Times New Roman" w:hAnsi="Times New Roman" w:cs="Times New Roman"/>
          <w:sz w:val="24"/>
          <w:szCs w:val="24"/>
        </w:rPr>
        <w:t xml:space="preserve">IA </w:t>
      </w:r>
      <w:r w:rsidR="008611CC" w:rsidRPr="008419D0">
        <w:rPr>
          <w:rFonts w:ascii="Times New Roman" w:eastAsia="Times New Roman" w:hAnsi="Times New Roman" w:cs="Times New Roman"/>
          <w:sz w:val="24"/>
          <w:szCs w:val="24"/>
        </w:rPr>
        <w:t>(</w:t>
      </w:r>
      <w:proofErr w:type="spellStart"/>
      <w:r w:rsidR="008611CC" w:rsidRPr="008419D0">
        <w:rPr>
          <w:rFonts w:ascii="Times New Roman" w:eastAsia="Times New Roman" w:hAnsi="Times New Roman" w:cs="Times New Roman"/>
          <w:sz w:val="24"/>
          <w:szCs w:val="24"/>
        </w:rPr>
        <w:t>Ahmadi</w:t>
      </w:r>
      <w:proofErr w:type="spellEnd"/>
      <w:r w:rsidR="008611CC" w:rsidRPr="008419D0">
        <w:rPr>
          <w:rFonts w:ascii="Times New Roman" w:eastAsia="Times New Roman" w:hAnsi="Times New Roman" w:cs="Times New Roman"/>
          <w:sz w:val="24"/>
          <w:szCs w:val="24"/>
        </w:rPr>
        <w:t xml:space="preserve"> </w:t>
      </w:r>
      <w:r w:rsidR="00067C84">
        <w:rPr>
          <w:rFonts w:ascii="Times New Roman" w:eastAsia="Times New Roman" w:hAnsi="Times New Roman" w:cs="Times New Roman"/>
          <w:sz w:val="24"/>
          <w:szCs w:val="24"/>
        </w:rPr>
        <w:t>y</w:t>
      </w:r>
      <w:r w:rsidR="008611CC" w:rsidRPr="008419D0">
        <w:rPr>
          <w:rFonts w:ascii="Times New Roman" w:eastAsia="Times New Roman" w:hAnsi="Times New Roman" w:cs="Times New Roman"/>
          <w:sz w:val="24"/>
          <w:szCs w:val="24"/>
        </w:rPr>
        <w:t xml:space="preserve"> </w:t>
      </w:r>
      <w:proofErr w:type="spellStart"/>
      <w:r w:rsidR="008611CC" w:rsidRPr="008419D0">
        <w:rPr>
          <w:rFonts w:ascii="Times New Roman" w:eastAsia="Times New Roman" w:hAnsi="Times New Roman" w:cs="Times New Roman"/>
          <w:sz w:val="24"/>
          <w:szCs w:val="24"/>
        </w:rPr>
        <w:t>Bouri</w:t>
      </w:r>
      <w:proofErr w:type="spellEnd"/>
      <w:r w:rsidR="008611CC" w:rsidRPr="008419D0">
        <w:rPr>
          <w:rFonts w:ascii="Times New Roman" w:eastAsia="Times New Roman" w:hAnsi="Times New Roman" w:cs="Times New Roman"/>
          <w:sz w:val="24"/>
          <w:szCs w:val="24"/>
        </w:rPr>
        <w:t xml:space="preserve">, 2017; </w:t>
      </w:r>
      <w:proofErr w:type="spellStart"/>
      <w:r w:rsidR="008611CC" w:rsidRPr="008419D0">
        <w:rPr>
          <w:rFonts w:ascii="Times New Roman" w:eastAsia="Times New Roman" w:hAnsi="Times New Roman" w:cs="Times New Roman"/>
          <w:sz w:val="24"/>
          <w:szCs w:val="24"/>
        </w:rPr>
        <w:t>Dawkins</w:t>
      </w:r>
      <w:proofErr w:type="spellEnd"/>
      <w:r w:rsidR="008611CC" w:rsidRPr="008419D0">
        <w:rPr>
          <w:rFonts w:ascii="Times New Roman" w:eastAsia="Times New Roman" w:hAnsi="Times New Roman" w:cs="Times New Roman"/>
          <w:sz w:val="24"/>
          <w:szCs w:val="24"/>
        </w:rPr>
        <w:t xml:space="preserve"> </w:t>
      </w:r>
      <w:r w:rsidR="00067C84">
        <w:rPr>
          <w:rFonts w:ascii="Times New Roman" w:eastAsia="Times New Roman" w:hAnsi="Times New Roman" w:cs="Times New Roman"/>
          <w:sz w:val="24"/>
          <w:szCs w:val="24"/>
        </w:rPr>
        <w:t>y</w:t>
      </w:r>
      <w:r w:rsidR="008611CC" w:rsidRPr="008419D0">
        <w:rPr>
          <w:rFonts w:ascii="Times New Roman" w:eastAsia="Times New Roman" w:hAnsi="Times New Roman" w:cs="Times New Roman"/>
          <w:sz w:val="24"/>
          <w:szCs w:val="24"/>
        </w:rPr>
        <w:t xml:space="preserve"> </w:t>
      </w:r>
      <w:proofErr w:type="spellStart"/>
      <w:r w:rsidR="008611CC" w:rsidRPr="008419D0">
        <w:rPr>
          <w:rFonts w:ascii="Times New Roman" w:eastAsia="Times New Roman" w:hAnsi="Times New Roman" w:cs="Times New Roman"/>
          <w:sz w:val="24"/>
          <w:szCs w:val="24"/>
        </w:rPr>
        <w:t>Fraas</w:t>
      </w:r>
      <w:proofErr w:type="spellEnd"/>
      <w:r w:rsidR="008611CC" w:rsidRPr="008419D0">
        <w:rPr>
          <w:rFonts w:ascii="Times New Roman" w:eastAsia="Times New Roman" w:hAnsi="Times New Roman" w:cs="Times New Roman"/>
          <w:sz w:val="24"/>
          <w:szCs w:val="24"/>
        </w:rPr>
        <w:t>, 2011</w:t>
      </w:r>
      <w:r w:rsidR="008611CC" w:rsidRPr="008419D0">
        <w:rPr>
          <w:rFonts w:ascii="Times New Roman" w:hAnsi="Times New Roman" w:cs="Times New Roman"/>
          <w:sz w:val="24"/>
          <w:szCs w:val="24"/>
        </w:rPr>
        <w:t>).</w:t>
      </w:r>
    </w:p>
    <w:p w:rsidR="00FA7947" w:rsidRPr="0001442F" w:rsidRDefault="00FA7947" w:rsidP="0001442F">
      <w:pPr>
        <w:spacing w:after="0" w:line="360" w:lineRule="auto"/>
        <w:jc w:val="both"/>
        <w:rPr>
          <w:rFonts w:ascii="Times New Roman" w:hAnsi="Times New Roman" w:cs="Times New Roman"/>
          <w:sz w:val="24"/>
          <w:szCs w:val="24"/>
          <w:lang w:eastAsia="es-AR"/>
        </w:rPr>
      </w:pPr>
    </w:p>
    <w:p w:rsidR="00FA7947" w:rsidRPr="0001442F" w:rsidRDefault="00FA7947" w:rsidP="0001442F">
      <w:pPr>
        <w:spacing w:after="0" w:line="360" w:lineRule="auto"/>
        <w:jc w:val="both"/>
        <w:rPr>
          <w:rFonts w:ascii="Times New Roman" w:hAnsi="Times New Roman" w:cs="Times New Roman"/>
          <w:b/>
          <w:sz w:val="24"/>
          <w:szCs w:val="24"/>
        </w:rPr>
      </w:pPr>
      <w:r w:rsidRPr="0001442F">
        <w:rPr>
          <w:rFonts w:ascii="Times New Roman" w:hAnsi="Times New Roman" w:cs="Times New Roman"/>
          <w:b/>
          <w:sz w:val="24"/>
          <w:szCs w:val="24"/>
        </w:rPr>
        <w:t>3. Metodología</w:t>
      </w:r>
    </w:p>
    <w:p w:rsidR="00FA7947" w:rsidRDefault="00FA7947" w:rsidP="0001442F">
      <w:pPr>
        <w:autoSpaceDE w:val="0"/>
        <w:autoSpaceDN w:val="0"/>
        <w:adjustRightInd w:val="0"/>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t xml:space="preserve">Para dar cumplimiento al objetivo propuesto se realizó un estudio descriptivo (Hernández </w:t>
      </w:r>
      <w:r w:rsidRPr="00184800">
        <w:rPr>
          <w:rFonts w:ascii="Times New Roman" w:hAnsi="Times New Roman" w:cs="Times New Roman"/>
          <w:sz w:val="24"/>
          <w:szCs w:val="24"/>
        </w:rPr>
        <w:t xml:space="preserve">y Mendoza, 2018) que tuvo </w:t>
      </w:r>
      <w:r w:rsidRPr="00184800">
        <w:rPr>
          <w:rFonts w:ascii="Times New Roman" w:eastAsia="Times New Roman" w:hAnsi="Times New Roman" w:cs="Times New Roman"/>
          <w:sz w:val="24"/>
          <w:szCs w:val="24"/>
        </w:rPr>
        <w:t xml:space="preserve">por objeto fundamental diseñar y calcular índices de divulgación de información, apelando a la técnica del análisis de contenido sobre </w:t>
      </w:r>
      <w:r w:rsidRPr="00184800">
        <w:rPr>
          <w:rFonts w:ascii="Times New Roman" w:hAnsi="Times New Roman" w:cs="Times New Roman"/>
          <w:sz w:val="24"/>
          <w:szCs w:val="24"/>
        </w:rPr>
        <w:t>las MS</w:t>
      </w:r>
      <w:r w:rsidRPr="0001442F">
        <w:rPr>
          <w:rFonts w:ascii="Times New Roman" w:hAnsi="Times New Roman" w:cs="Times New Roman"/>
          <w:sz w:val="24"/>
          <w:szCs w:val="24"/>
        </w:rPr>
        <w:t xml:space="preserve"> de las empresas, como fuente fundamental de datos. El estudio sigue, además, un análisis longitudinal, por cuanto se ha identificado el alcance de las revelaciones medioambientales durante el período temporal 2018-2023. </w:t>
      </w:r>
    </w:p>
    <w:p w:rsidR="00FA7947" w:rsidRPr="00F83122" w:rsidRDefault="001B3FBC" w:rsidP="00F83122">
      <w:pPr>
        <w:autoSpaceDE w:val="0"/>
        <w:autoSpaceDN w:val="0"/>
        <w:adjustRightInd w:val="0"/>
        <w:spacing w:after="0" w:line="360" w:lineRule="auto"/>
        <w:jc w:val="both"/>
        <w:rPr>
          <w:rStyle w:val="cf01"/>
          <w:rFonts w:ascii="Times New Roman" w:hAnsi="Times New Roman" w:cs="Times New Roman"/>
          <w:color w:val="FF0000"/>
          <w:sz w:val="24"/>
          <w:szCs w:val="24"/>
        </w:rPr>
      </w:pPr>
      <w:r w:rsidRPr="00F83122">
        <w:rPr>
          <w:rFonts w:ascii="Times New Roman" w:hAnsi="Times New Roman" w:cs="Times New Roman"/>
          <w:sz w:val="24"/>
          <w:szCs w:val="24"/>
        </w:rPr>
        <w:t>El análisis de contenido facilita una descripción objetiva, estructurada y cuantificable del contenido textual presente en distintas formas de comunicación. Su característica distintiva es transformar información cualitativa en datos cuantitativos, lo que permite analizarlos de manera sistemática y objetiva (</w:t>
      </w:r>
      <w:proofErr w:type="spellStart"/>
      <w:r w:rsidRPr="00F83122">
        <w:rPr>
          <w:rFonts w:ascii="Times New Roman" w:hAnsi="Times New Roman" w:cs="Times New Roman"/>
          <w:sz w:val="24"/>
          <w:szCs w:val="24"/>
        </w:rPr>
        <w:t>Berelson</w:t>
      </w:r>
      <w:proofErr w:type="spellEnd"/>
      <w:r w:rsidRPr="00F83122">
        <w:rPr>
          <w:rFonts w:ascii="Times New Roman" w:hAnsi="Times New Roman" w:cs="Times New Roman"/>
          <w:sz w:val="24"/>
          <w:szCs w:val="24"/>
        </w:rPr>
        <w:t xml:space="preserve">, 1952). </w:t>
      </w:r>
    </w:p>
    <w:p w:rsidR="00793102" w:rsidRPr="00080DDF" w:rsidRDefault="00FA7947" w:rsidP="00793102">
      <w:pPr>
        <w:spacing w:after="0" w:line="360" w:lineRule="auto"/>
        <w:jc w:val="both"/>
        <w:rPr>
          <w:rFonts w:ascii="Times New Roman" w:hAnsi="Times New Roman" w:cs="Times New Roman"/>
          <w:color w:val="000000" w:themeColor="text1"/>
          <w:sz w:val="24"/>
          <w:szCs w:val="24"/>
        </w:rPr>
      </w:pPr>
      <w:r w:rsidRPr="0001442F">
        <w:rPr>
          <w:rStyle w:val="cf01"/>
          <w:rFonts w:ascii="Times New Roman" w:hAnsi="Times New Roman" w:cs="Times New Roman"/>
          <w:sz w:val="24"/>
          <w:szCs w:val="24"/>
        </w:rPr>
        <w:t xml:space="preserve">En esta línea, se analizó el contenido de las MS -que tienen una importante presencia de datos textuales- de </w:t>
      </w:r>
      <w:r w:rsidRPr="0001442F">
        <w:rPr>
          <w:rFonts w:ascii="Times New Roman" w:hAnsi="Times New Roman" w:cs="Times New Roman"/>
          <w:sz w:val="24"/>
          <w:szCs w:val="24"/>
        </w:rPr>
        <w:t xml:space="preserve">las empresas cotizadas </w:t>
      </w:r>
      <w:r w:rsidR="0013582F" w:rsidRPr="0001442F">
        <w:rPr>
          <w:rFonts w:ascii="Times New Roman" w:hAnsi="Times New Roman" w:cs="Times New Roman"/>
          <w:sz w:val="24"/>
          <w:szCs w:val="24"/>
        </w:rPr>
        <w:t>en BYMA que pertenecen a</w:t>
      </w:r>
      <w:r w:rsidRPr="0001442F">
        <w:rPr>
          <w:rFonts w:ascii="Times New Roman" w:hAnsi="Times New Roman" w:cs="Times New Roman"/>
          <w:sz w:val="24"/>
          <w:szCs w:val="24"/>
        </w:rPr>
        <w:t xml:space="preserve"> los </w:t>
      </w:r>
      <w:r w:rsidR="000D4A3D" w:rsidRPr="0001442F">
        <w:rPr>
          <w:rFonts w:ascii="Times New Roman" w:hAnsi="Times New Roman" w:cs="Times New Roman"/>
          <w:sz w:val="24"/>
          <w:szCs w:val="24"/>
        </w:rPr>
        <w:t xml:space="preserve">sectores: </w:t>
      </w:r>
      <w:r w:rsidR="000D4A3D" w:rsidRPr="00080DDF">
        <w:rPr>
          <w:rFonts w:ascii="Times New Roman" w:hAnsi="Times New Roman" w:cs="Times New Roman"/>
          <w:color w:val="000000" w:themeColor="text1"/>
          <w:sz w:val="24"/>
          <w:szCs w:val="24"/>
        </w:rPr>
        <w:t>“</w:t>
      </w:r>
      <w:r w:rsidR="000D4A3D" w:rsidRPr="00080DDF">
        <w:rPr>
          <w:rFonts w:ascii="Times New Roman" w:eastAsia="Times New Roman" w:hAnsi="Times New Roman" w:cs="Times New Roman"/>
          <w:color w:val="000000" w:themeColor="text1"/>
          <w:sz w:val="24"/>
          <w:szCs w:val="24"/>
        </w:rPr>
        <w:t>Energía, petróleo y gas” y “</w:t>
      </w:r>
      <w:r w:rsidR="000D4A3D" w:rsidRPr="00080DDF">
        <w:rPr>
          <w:rFonts w:ascii="Times New Roman" w:hAnsi="Times New Roman" w:cs="Times New Roman"/>
          <w:bCs/>
          <w:color w:val="000000" w:themeColor="text1"/>
          <w:sz w:val="24"/>
          <w:szCs w:val="24"/>
        </w:rPr>
        <w:t>Financiero, bursátil y seguros</w:t>
      </w:r>
      <w:r w:rsidR="000D4A3D" w:rsidRPr="00080DDF">
        <w:rPr>
          <w:rFonts w:ascii="Times New Roman" w:eastAsia="Times New Roman" w:hAnsi="Times New Roman" w:cs="Times New Roman"/>
          <w:color w:val="000000" w:themeColor="text1"/>
          <w:sz w:val="24"/>
          <w:szCs w:val="24"/>
        </w:rPr>
        <w:t>”</w:t>
      </w:r>
      <w:r w:rsidR="00710082" w:rsidRPr="00080DDF">
        <w:rPr>
          <w:rStyle w:val="Refdenotaalpie"/>
          <w:rFonts w:ascii="Times New Roman" w:eastAsia="Times New Roman" w:hAnsi="Times New Roman" w:cs="Times New Roman"/>
          <w:color w:val="000000" w:themeColor="text1"/>
          <w:sz w:val="24"/>
          <w:szCs w:val="24"/>
        </w:rPr>
        <w:footnoteReference w:id="2"/>
      </w:r>
      <w:r w:rsidRPr="00080DDF">
        <w:rPr>
          <w:rFonts w:ascii="Times New Roman" w:hAnsi="Times New Roman" w:cs="Times New Roman"/>
          <w:color w:val="000000" w:themeColor="text1"/>
          <w:sz w:val="24"/>
          <w:szCs w:val="24"/>
        </w:rPr>
        <w:t>.</w:t>
      </w:r>
      <w:r w:rsidR="00793102" w:rsidRPr="00080DDF">
        <w:rPr>
          <w:rFonts w:ascii="Times New Roman" w:hAnsi="Times New Roman" w:cs="Times New Roman"/>
          <w:color w:val="000000" w:themeColor="text1"/>
          <w:sz w:val="24"/>
          <w:szCs w:val="24"/>
        </w:rPr>
        <w:t xml:space="preserve"> </w:t>
      </w:r>
      <w:r w:rsidR="001B4531" w:rsidRPr="00080DDF">
        <w:rPr>
          <w:rFonts w:ascii="Times New Roman" w:hAnsi="Times New Roman" w:cs="Times New Roman"/>
          <w:color w:val="000000" w:themeColor="text1"/>
          <w:sz w:val="24"/>
          <w:szCs w:val="24"/>
        </w:rPr>
        <w:t xml:space="preserve">Estos sectores fueron elegidos por ser los que </w:t>
      </w:r>
      <w:r w:rsidR="00793102" w:rsidRPr="00080DDF">
        <w:rPr>
          <w:rFonts w:ascii="Times New Roman" w:hAnsi="Times New Roman" w:cs="Times New Roman"/>
          <w:color w:val="000000" w:themeColor="text1"/>
          <w:sz w:val="24"/>
          <w:szCs w:val="24"/>
        </w:rPr>
        <w:t>concentran la mayor cantidad de empresas (</w:t>
      </w:r>
      <w:r w:rsidR="00793102" w:rsidRPr="00080DDF">
        <w:rPr>
          <w:rFonts w:ascii="Times New Roman" w:hAnsi="Times New Roman" w:cs="Times New Roman"/>
          <w:bCs/>
          <w:color w:val="000000" w:themeColor="text1"/>
          <w:sz w:val="24"/>
          <w:szCs w:val="24"/>
        </w:rPr>
        <w:t>aglutinan más del 50 % de las empresas cotizadas</w:t>
      </w:r>
      <w:r w:rsidR="00793102" w:rsidRPr="00080DDF">
        <w:rPr>
          <w:rFonts w:ascii="Times New Roman" w:hAnsi="Times New Roman" w:cs="Times New Roman"/>
          <w:color w:val="000000" w:themeColor="text1"/>
          <w:sz w:val="24"/>
          <w:szCs w:val="24"/>
        </w:rPr>
        <w:t>)</w:t>
      </w:r>
      <w:r w:rsidR="00080DDF" w:rsidRPr="00080DDF">
        <w:rPr>
          <w:rFonts w:ascii="Times New Roman" w:hAnsi="Times New Roman" w:cs="Times New Roman"/>
          <w:color w:val="000000" w:themeColor="text1"/>
          <w:sz w:val="24"/>
          <w:szCs w:val="24"/>
        </w:rPr>
        <w:t xml:space="preserve">. Además, se trata de sectores con actividades bien diferenciadas, lo que brinda un ámbito propicio para comparar las prácticas de divulgación de IA entre las firmas pertenecientes a </w:t>
      </w:r>
      <w:r w:rsidR="00080DDF">
        <w:rPr>
          <w:rFonts w:ascii="Times New Roman" w:hAnsi="Times New Roman" w:cs="Times New Roman"/>
          <w:color w:val="000000" w:themeColor="text1"/>
          <w:sz w:val="24"/>
          <w:szCs w:val="24"/>
        </w:rPr>
        <w:t>cada uno de ellos</w:t>
      </w:r>
      <w:r w:rsidR="00080DDF" w:rsidRPr="00080DDF">
        <w:rPr>
          <w:rFonts w:ascii="Times New Roman" w:hAnsi="Times New Roman" w:cs="Times New Roman"/>
          <w:color w:val="000000" w:themeColor="text1"/>
          <w:sz w:val="24"/>
          <w:szCs w:val="24"/>
        </w:rPr>
        <w:t>.</w:t>
      </w:r>
    </w:p>
    <w:p w:rsidR="00FA7947" w:rsidRDefault="00FA7947" w:rsidP="0001442F">
      <w:pPr>
        <w:autoSpaceDE w:val="0"/>
        <w:autoSpaceDN w:val="0"/>
        <w:adjustRightInd w:val="0"/>
        <w:spacing w:after="0" w:line="360" w:lineRule="auto"/>
        <w:jc w:val="both"/>
        <w:rPr>
          <w:rFonts w:ascii="Times New Roman" w:hAnsi="Times New Roman" w:cs="Times New Roman"/>
          <w:sz w:val="24"/>
          <w:szCs w:val="24"/>
        </w:rPr>
      </w:pPr>
      <w:r w:rsidRPr="0001442F">
        <w:rPr>
          <w:rFonts w:ascii="Times New Roman" w:hAnsi="Times New Roman" w:cs="Times New Roman"/>
          <w:sz w:val="24"/>
          <w:szCs w:val="24"/>
        </w:rPr>
        <w:lastRenderedPageBreak/>
        <w:t xml:space="preserve">La muestra queda integrada por las </w:t>
      </w:r>
      <w:r w:rsidR="0013582F" w:rsidRPr="0001442F">
        <w:rPr>
          <w:rFonts w:ascii="Times New Roman" w:hAnsi="Times New Roman" w:cs="Times New Roman"/>
          <w:sz w:val="24"/>
          <w:szCs w:val="24"/>
        </w:rPr>
        <w:t>17</w:t>
      </w:r>
      <w:r w:rsidRPr="0001442F">
        <w:rPr>
          <w:rFonts w:ascii="Times New Roman" w:hAnsi="Times New Roman" w:cs="Times New Roman"/>
          <w:sz w:val="24"/>
          <w:szCs w:val="24"/>
        </w:rPr>
        <w:t xml:space="preserve"> empresas </w:t>
      </w:r>
      <w:r w:rsidR="00793102">
        <w:rPr>
          <w:rFonts w:ascii="Times New Roman" w:hAnsi="Times New Roman" w:cs="Times New Roman"/>
          <w:sz w:val="24"/>
          <w:szCs w:val="24"/>
        </w:rPr>
        <w:t xml:space="preserve">cotizadas, que pertenecen a los dos sectores antes mencionados y </w:t>
      </w:r>
      <w:r w:rsidRPr="0001442F">
        <w:rPr>
          <w:rFonts w:ascii="Times New Roman" w:hAnsi="Times New Roman" w:cs="Times New Roman"/>
          <w:sz w:val="24"/>
          <w:szCs w:val="24"/>
        </w:rPr>
        <w:t>que han elaborado sus MS en el período de análisis, siendo</w:t>
      </w:r>
      <w:r w:rsidR="0013582F" w:rsidRPr="0001442F">
        <w:rPr>
          <w:rFonts w:ascii="Times New Roman" w:hAnsi="Times New Roman" w:cs="Times New Roman"/>
          <w:sz w:val="24"/>
          <w:szCs w:val="24"/>
        </w:rPr>
        <w:t xml:space="preserve"> nueve d</w:t>
      </w:r>
      <w:r w:rsidRPr="0001442F">
        <w:rPr>
          <w:rFonts w:ascii="Times New Roman" w:hAnsi="Times New Roman" w:cs="Times New Roman"/>
          <w:sz w:val="24"/>
          <w:szCs w:val="24"/>
        </w:rPr>
        <w:t>e</w:t>
      </w:r>
      <w:r w:rsidR="0013582F" w:rsidRPr="0001442F">
        <w:rPr>
          <w:rFonts w:ascii="Times New Roman" w:hAnsi="Times New Roman" w:cs="Times New Roman"/>
          <w:sz w:val="24"/>
          <w:szCs w:val="24"/>
        </w:rPr>
        <w:t>l sector “</w:t>
      </w:r>
      <w:r w:rsidR="0013582F" w:rsidRPr="0001442F">
        <w:rPr>
          <w:rFonts w:ascii="Times New Roman" w:eastAsia="Times New Roman" w:hAnsi="Times New Roman" w:cs="Times New Roman"/>
          <w:sz w:val="24"/>
          <w:szCs w:val="24"/>
        </w:rPr>
        <w:t>Energía, petróleo y gas” y ocho del sector “</w:t>
      </w:r>
      <w:r w:rsidR="0013582F" w:rsidRPr="0001442F">
        <w:rPr>
          <w:rFonts w:ascii="Times New Roman" w:hAnsi="Times New Roman" w:cs="Times New Roman"/>
          <w:bCs/>
          <w:color w:val="000000"/>
          <w:sz w:val="24"/>
          <w:szCs w:val="24"/>
        </w:rPr>
        <w:t>Financiero, bursátil y seguros</w:t>
      </w:r>
      <w:r w:rsidR="0013582F" w:rsidRPr="0001442F">
        <w:rPr>
          <w:rFonts w:ascii="Times New Roman" w:eastAsia="Times New Roman" w:hAnsi="Times New Roman" w:cs="Times New Roman"/>
          <w:sz w:val="24"/>
          <w:szCs w:val="24"/>
        </w:rPr>
        <w:t>”</w:t>
      </w:r>
      <w:r w:rsidR="0013582F" w:rsidRPr="0001442F">
        <w:rPr>
          <w:rFonts w:ascii="Times New Roman" w:hAnsi="Times New Roman" w:cs="Times New Roman"/>
          <w:sz w:val="24"/>
          <w:szCs w:val="24"/>
        </w:rPr>
        <w:t>.</w:t>
      </w:r>
    </w:p>
    <w:p w:rsidR="00642A8C" w:rsidRDefault="00FA7947" w:rsidP="00DF1549">
      <w:pPr>
        <w:autoSpaceDE w:val="0"/>
        <w:autoSpaceDN w:val="0"/>
        <w:adjustRightInd w:val="0"/>
        <w:spacing w:after="0" w:line="360" w:lineRule="auto"/>
        <w:jc w:val="both"/>
        <w:rPr>
          <w:rFonts w:ascii="Times New Roman" w:hAnsi="Times New Roman" w:cs="Times New Roman"/>
          <w:sz w:val="24"/>
          <w:szCs w:val="24"/>
        </w:rPr>
      </w:pPr>
      <w:r w:rsidRPr="00890FF5">
        <w:rPr>
          <w:rFonts w:ascii="Times New Roman" w:hAnsi="Times New Roman" w:cs="Times New Roman"/>
          <w:sz w:val="24"/>
          <w:szCs w:val="24"/>
          <w:lang w:val="es"/>
        </w:rPr>
        <w:t>E</w:t>
      </w:r>
      <w:r w:rsidR="00344C04" w:rsidRPr="00890FF5">
        <w:rPr>
          <w:rStyle w:val="cf01"/>
          <w:rFonts w:ascii="Times New Roman" w:hAnsi="Times New Roman" w:cs="Times New Roman"/>
          <w:sz w:val="24"/>
          <w:szCs w:val="24"/>
        </w:rPr>
        <w:t xml:space="preserve">l análisis se </w:t>
      </w:r>
      <w:r w:rsidRPr="00890FF5">
        <w:rPr>
          <w:rStyle w:val="cf01"/>
          <w:rFonts w:ascii="Times New Roman" w:hAnsi="Times New Roman" w:cs="Times New Roman"/>
          <w:sz w:val="24"/>
          <w:szCs w:val="24"/>
        </w:rPr>
        <w:t xml:space="preserve">centra en la </w:t>
      </w:r>
      <w:r w:rsidR="00793102" w:rsidRPr="00890FF5">
        <w:rPr>
          <w:rStyle w:val="cf01"/>
          <w:rFonts w:ascii="Times New Roman" w:hAnsi="Times New Roman" w:cs="Times New Roman"/>
          <w:sz w:val="24"/>
          <w:szCs w:val="24"/>
        </w:rPr>
        <w:t>IA</w:t>
      </w:r>
      <w:r w:rsidR="00DF1549" w:rsidRPr="00890FF5">
        <w:rPr>
          <w:rStyle w:val="cf01"/>
          <w:rFonts w:ascii="Times New Roman" w:hAnsi="Times New Roman" w:cs="Times New Roman"/>
          <w:sz w:val="24"/>
          <w:szCs w:val="24"/>
        </w:rPr>
        <w:t xml:space="preserve"> contenida en las MS que elaboran las mencionadas empresas bajo las guías GRI; específicamente, en la</w:t>
      </w:r>
      <w:r w:rsidRPr="00890FF5">
        <w:rPr>
          <w:rStyle w:val="cf01"/>
          <w:rFonts w:ascii="Times New Roman" w:hAnsi="Times New Roman" w:cs="Times New Roman"/>
          <w:sz w:val="24"/>
          <w:szCs w:val="24"/>
        </w:rPr>
        <w:t xml:space="preserve"> </w:t>
      </w:r>
      <w:r w:rsidR="00DF1549" w:rsidRPr="00890FF5">
        <w:rPr>
          <w:rStyle w:val="cf01"/>
          <w:rFonts w:ascii="Times New Roman" w:hAnsi="Times New Roman" w:cs="Times New Roman"/>
          <w:sz w:val="24"/>
          <w:szCs w:val="24"/>
        </w:rPr>
        <w:t xml:space="preserve">referida a los </w:t>
      </w:r>
      <w:r w:rsidR="00DF1549" w:rsidRPr="00890FF5">
        <w:rPr>
          <w:rFonts w:ascii="Times New Roman" w:hAnsi="Times New Roman" w:cs="Times New Roman"/>
          <w:sz w:val="24"/>
          <w:szCs w:val="24"/>
        </w:rPr>
        <w:t xml:space="preserve">contenidos temáticos establecidos por </w:t>
      </w:r>
      <w:r w:rsidR="00890FF5" w:rsidRPr="00890FF5">
        <w:rPr>
          <w:rFonts w:ascii="Times New Roman" w:hAnsi="Times New Roman" w:cs="Times New Roman"/>
          <w:sz w:val="24"/>
          <w:szCs w:val="24"/>
        </w:rPr>
        <w:t>dichos</w:t>
      </w:r>
      <w:r w:rsidR="00DF1549" w:rsidRPr="00890FF5">
        <w:rPr>
          <w:rFonts w:ascii="Times New Roman" w:hAnsi="Times New Roman" w:cs="Times New Roman"/>
          <w:sz w:val="24"/>
          <w:szCs w:val="24"/>
        </w:rPr>
        <w:t xml:space="preserve"> estándares para</w:t>
      </w:r>
      <w:r w:rsidR="00642A8C">
        <w:rPr>
          <w:rFonts w:ascii="Times New Roman" w:hAnsi="Times New Roman" w:cs="Times New Roman"/>
          <w:sz w:val="24"/>
          <w:szCs w:val="24"/>
        </w:rPr>
        <w:t xml:space="preserve"> cuatro grandes temas</w:t>
      </w:r>
      <w:r w:rsidR="00DF1549" w:rsidRPr="00890FF5">
        <w:rPr>
          <w:rFonts w:ascii="Times New Roman" w:hAnsi="Times New Roman" w:cs="Times New Roman"/>
          <w:sz w:val="24"/>
          <w:szCs w:val="24"/>
        </w:rPr>
        <w:t>: Energía (GRI 302), Agua (GRI 303), Emisiones (GRI 305) y</w:t>
      </w:r>
      <w:r w:rsidR="00642A8C">
        <w:rPr>
          <w:rFonts w:ascii="Times New Roman" w:hAnsi="Times New Roman" w:cs="Times New Roman"/>
          <w:sz w:val="24"/>
          <w:szCs w:val="24"/>
        </w:rPr>
        <w:t xml:space="preserve"> Efluentes y Residuos (GRI 306) (ver Tabla 1).</w:t>
      </w:r>
    </w:p>
    <w:p w:rsidR="0013582F" w:rsidRDefault="0013582F" w:rsidP="00DF1982">
      <w:pPr>
        <w:spacing w:after="0" w:line="240" w:lineRule="auto"/>
        <w:jc w:val="both"/>
        <w:rPr>
          <w:rFonts w:ascii="Times New Roman" w:hAnsi="Times New Roman" w:cs="Times New Roman"/>
          <w:b/>
          <w:bCs/>
          <w:color w:val="000000"/>
          <w:sz w:val="20"/>
          <w:szCs w:val="20"/>
        </w:rPr>
      </w:pPr>
    </w:p>
    <w:p w:rsidR="00DF1982" w:rsidRPr="00FF7EB4" w:rsidRDefault="00DF1982" w:rsidP="00DF1982">
      <w:pPr>
        <w:spacing w:after="0" w:line="240" w:lineRule="auto"/>
        <w:jc w:val="both"/>
        <w:rPr>
          <w:rFonts w:ascii="Times New Roman" w:hAnsi="Times New Roman" w:cs="Times New Roman"/>
          <w:i/>
          <w:iCs/>
          <w:color w:val="000000"/>
          <w:sz w:val="20"/>
          <w:szCs w:val="20"/>
        </w:rPr>
      </w:pPr>
      <w:r w:rsidRPr="00FF7EB4">
        <w:rPr>
          <w:rFonts w:ascii="Times New Roman" w:hAnsi="Times New Roman" w:cs="Times New Roman"/>
          <w:b/>
          <w:bCs/>
          <w:color w:val="000000"/>
          <w:sz w:val="20"/>
          <w:szCs w:val="20"/>
        </w:rPr>
        <w:t xml:space="preserve">Tabla </w:t>
      </w:r>
      <w:r>
        <w:rPr>
          <w:rFonts w:ascii="Times New Roman" w:hAnsi="Times New Roman" w:cs="Times New Roman"/>
          <w:b/>
          <w:bCs/>
          <w:color w:val="000000"/>
          <w:sz w:val="20"/>
          <w:szCs w:val="20"/>
        </w:rPr>
        <w:t>1</w:t>
      </w:r>
      <w:r w:rsidRPr="00FF7EB4">
        <w:rPr>
          <w:rFonts w:ascii="Times New Roman" w:hAnsi="Times New Roman" w:cs="Times New Roman"/>
          <w:b/>
          <w:bCs/>
          <w:color w:val="000000"/>
          <w:sz w:val="20"/>
          <w:szCs w:val="20"/>
        </w:rPr>
        <w:t xml:space="preserve">. </w:t>
      </w:r>
      <w:r w:rsidR="00642A8C">
        <w:rPr>
          <w:rFonts w:ascii="Times New Roman" w:hAnsi="Times New Roman" w:cs="Times New Roman"/>
          <w:b/>
          <w:bCs/>
          <w:color w:val="000000"/>
          <w:sz w:val="20"/>
          <w:szCs w:val="20"/>
        </w:rPr>
        <w:t>Temas y contenidos temáticos de los estándares GRI</w:t>
      </w:r>
    </w:p>
    <w:tbl>
      <w:tblPr>
        <w:tblW w:w="8505" w:type="dxa"/>
        <w:jc w:val="center"/>
        <w:tblLayout w:type="fixed"/>
        <w:tblLook w:val="0600" w:firstRow="0" w:lastRow="0" w:firstColumn="0" w:lastColumn="0" w:noHBand="1" w:noVBand="1"/>
      </w:tblPr>
      <w:tblGrid>
        <w:gridCol w:w="8505"/>
      </w:tblGrid>
      <w:tr w:rsidR="00DF1982" w:rsidTr="00DF1982">
        <w:trPr>
          <w:trHeight w:val="300"/>
          <w:jc w:val="center"/>
        </w:trPr>
        <w:tc>
          <w:tcPr>
            <w:tcW w:w="8505"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302 ENERGÍA</w:t>
            </w:r>
          </w:p>
        </w:tc>
      </w:tr>
      <w:tr w:rsidR="00DF1982" w:rsidTr="00DF1982">
        <w:trPr>
          <w:trHeight w:val="285"/>
          <w:jc w:val="center"/>
        </w:trPr>
        <w:tc>
          <w:tcPr>
            <w:tcW w:w="8505" w:type="dxa"/>
            <w:tcBorders>
              <w:top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302-1 Consumo de energía dentro de la organización</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302-2 Consumo de energía fuera de la organización</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302-3 Intensidad energética</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302-4 Reducción del consumo energético</w:t>
            </w:r>
          </w:p>
        </w:tc>
      </w:tr>
      <w:tr w:rsidR="00DF1982" w:rsidTr="00DF1982">
        <w:trPr>
          <w:trHeight w:val="285"/>
          <w:jc w:val="center"/>
        </w:trPr>
        <w:tc>
          <w:tcPr>
            <w:tcW w:w="8505" w:type="dxa"/>
            <w:tcBorders>
              <w:bottom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302-5 Reducción de los requerimientos energéticos de productos y servicios</w:t>
            </w:r>
          </w:p>
        </w:tc>
      </w:tr>
      <w:tr w:rsidR="00DF1982" w:rsidTr="00DF1982">
        <w:trPr>
          <w:trHeight w:val="300"/>
          <w:jc w:val="center"/>
        </w:trPr>
        <w:tc>
          <w:tcPr>
            <w:tcW w:w="8505"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303 AGUA</w:t>
            </w:r>
          </w:p>
        </w:tc>
      </w:tr>
      <w:tr w:rsidR="00DF1982" w:rsidTr="00DF1982">
        <w:trPr>
          <w:trHeight w:val="285"/>
          <w:jc w:val="center"/>
        </w:trPr>
        <w:tc>
          <w:tcPr>
            <w:tcW w:w="8505" w:type="dxa"/>
            <w:tcBorders>
              <w:top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303-1 </w:t>
            </w:r>
            <w:r w:rsidRPr="00A52201">
              <w:rPr>
                <w:rFonts w:ascii="Times New Roman" w:eastAsia="Times New Roman" w:hAnsi="Times New Roman" w:cs="Times New Roman"/>
                <w:sz w:val="20"/>
                <w:szCs w:val="20"/>
              </w:rPr>
              <w:t>Interacción con el agua como recurso compartido</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303-2 </w:t>
            </w:r>
            <w:r w:rsidRPr="00A52201">
              <w:rPr>
                <w:rFonts w:ascii="Times New Roman" w:eastAsia="Times New Roman" w:hAnsi="Times New Roman" w:cs="Times New Roman"/>
                <w:sz w:val="20"/>
                <w:szCs w:val="20"/>
              </w:rPr>
              <w:t>Gestión de los impactos relacionados con el vertido de agua</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303-3 Extracción de agua</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303-4 Vertido de agua</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303-5 Consumo de agua</w:t>
            </w:r>
          </w:p>
        </w:tc>
      </w:tr>
      <w:tr w:rsidR="00DF1982" w:rsidTr="00DF1982">
        <w:trPr>
          <w:trHeight w:val="300"/>
          <w:jc w:val="center"/>
        </w:trPr>
        <w:tc>
          <w:tcPr>
            <w:tcW w:w="8505"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305 EMISIONES</w:t>
            </w:r>
          </w:p>
        </w:tc>
      </w:tr>
      <w:tr w:rsidR="00DF1982" w:rsidTr="00DF1982">
        <w:trPr>
          <w:trHeight w:val="285"/>
          <w:jc w:val="center"/>
        </w:trPr>
        <w:tc>
          <w:tcPr>
            <w:tcW w:w="8505" w:type="dxa"/>
            <w:tcBorders>
              <w:top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305-1 Emisiones de GEI directas (Alcance 1)</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305-2 Emisiones indirectas </w:t>
            </w:r>
            <w:r w:rsidRPr="00A52201">
              <w:rPr>
                <w:rFonts w:ascii="Times New Roman" w:eastAsia="Times New Roman" w:hAnsi="Times New Roman" w:cs="Times New Roman"/>
                <w:sz w:val="20"/>
                <w:szCs w:val="20"/>
              </w:rPr>
              <w:t xml:space="preserve">de GEI asociadas a la energía </w:t>
            </w:r>
            <w:r>
              <w:rPr>
                <w:rFonts w:ascii="Times New Roman" w:eastAsia="Times New Roman" w:hAnsi="Times New Roman" w:cs="Times New Roman"/>
                <w:sz w:val="20"/>
                <w:szCs w:val="20"/>
              </w:rPr>
              <w:t>(Alcance 2)</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305-3 Otras emisiones indirectas de GEI (Alcance 3)</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305-4 Intensidad de las emisiones de GEI</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305-5 Reducción de emisiones de GEI</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305-6 Emisiones de sustancias que agotan la capa de ozono (SAO) - (ODS)</w:t>
            </w:r>
          </w:p>
        </w:tc>
      </w:tr>
      <w:tr w:rsidR="00DF1982" w:rsidTr="00DF1982">
        <w:trPr>
          <w:trHeight w:val="285"/>
          <w:jc w:val="center"/>
        </w:trPr>
        <w:tc>
          <w:tcPr>
            <w:tcW w:w="8505" w:type="dxa"/>
            <w:tcBorders>
              <w:bottom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305-7 Óxidos de nitrógeno (NOX), óxidos de azufre (SOX), y otras emisiones atmosféricas significativas al aire</w:t>
            </w:r>
          </w:p>
        </w:tc>
      </w:tr>
      <w:tr w:rsidR="00DF1982" w:rsidTr="00DF1982">
        <w:trPr>
          <w:trHeight w:val="300"/>
          <w:jc w:val="center"/>
        </w:trPr>
        <w:tc>
          <w:tcPr>
            <w:tcW w:w="8505"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306 EFLUENTES Y RESIDUOS</w:t>
            </w:r>
          </w:p>
        </w:tc>
      </w:tr>
      <w:tr w:rsidR="00DF1982" w:rsidTr="00DF1982">
        <w:trPr>
          <w:trHeight w:val="285"/>
          <w:jc w:val="center"/>
        </w:trPr>
        <w:tc>
          <w:tcPr>
            <w:tcW w:w="8505" w:type="dxa"/>
            <w:tcBorders>
              <w:top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306-1 </w:t>
            </w:r>
            <w:r w:rsidRPr="00212CBF">
              <w:rPr>
                <w:rFonts w:ascii="Times New Roman" w:eastAsia="Times New Roman" w:hAnsi="Times New Roman" w:cs="Times New Roman"/>
                <w:sz w:val="20"/>
                <w:szCs w:val="20"/>
              </w:rPr>
              <w:t>Generación de residuos e impactos significativos relacionados con los residuos</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306-2 </w:t>
            </w:r>
            <w:r w:rsidRPr="00212CBF">
              <w:rPr>
                <w:rFonts w:ascii="Times New Roman" w:eastAsia="Times New Roman" w:hAnsi="Times New Roman" w:cs="Times New Roman"/>
                <w:sz w:val="20"/>
                <w:szCs w:val="20"/>
              </w:rPr>
              <w:t>Gestión de impactos significativos relacionados con los residuos</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306-3 Residuos generados</w:t>
            </w:r>
          </w:p>
        </w:tc>
      </w:tr>
      <w:tr w:rsidR="00DF1982" w:rsidTr="00DF1982">
        <w:trPr>
          <w:trHeight w:val="270"/>
          <w:jc w:val="center"/>
        </w:trPr>
        <w:tc>
          <w:tcPr>
            <w:tcW w:w="8505" w:type="dxa"/>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306-4 Residuos no destinados a eliminación</w:t>
            </w:r>
          </w:p>
        </w:tc>
      </w:tr>
      <w:tr w:rsidR="00DF1982" w:rsidTr="00DF1982">
        <w:trPr>
          <w:trHeight w:val="270"/>
          <w:jc w:val="center"/>
        </w:trPr>
        <w:tc>
          <w:tcPr>
            <w:tcW w:w="8505" w:type="dxa"/>
            <w:tcBorders>
              <w:bottom w:val="single" w:sz="4" w:space="0" w:color="auto"/>
            </w:tcBorders>
            <w:shd w:val="clear" w:color="auto" w:fill="auto"/>
            <w:tcMar>
              <w:top w:w="0" w:type="dxa"/>
              <w:left w:w="40" w:type="dxa"/>
              <w:bottom w:w="0" w:type="dxa"/>
              <w:right w:w="40" w:type="dxa"/>
            </w:tcMar>
            <w:vAlign w:val="bottom"/>
          </w:tcPr>
          <w:p w:rsidR="00DF1982" w:rsidRDefault="00DF1982" w:rsidP="00DF1982">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306-5 Residuos destinados a eliminación</w:t>
            </w:r>
          </w:p>
        </w:tc>
      </w:tr>
    </w:tbl>
    <w:p w:rsidR="00DF1982" w:rsidRPr="00DF1549" w:rsidRDefault="00DF1549" w:rsidP="00DF1549">
      <w:pPr>
        <w:jc w:val="right"/>
        <w:rPr>
          <w:rFonts w:ascii="Times New Roman" w:hAnsi="Times New Roman" w:cs="Times New Roman"/>
          <w:bCs/>
          <w:color w:val="000000"/>
          <w:sz w:val="20"/>
          <w:szCs w:val="20"/>
        </w:rPr>
      </w:pPr>
      <w:r w:rsidRPr="00DF1549">
        <w:rPr>
          <w:rFonts w:ascii="Times New Roman" w:hAnsi="Times New Roman" w:cs="Times New Roman"/>
          <w:bCs/>
          <w:color w:val="000000"/>
          <w:sz w:val="20"/>
          <w:szCs w:val="20"/>
        </w:rPr>
        <w:t>Fuente: GRI (2021)</w:t>
      </w:r>
    </w:p>
    <w:p w:rsidR="001C0C47" w:rsidRDefault="001C0C47" w:rsidP="00DF1982">
      <w:pPr>
        <w:spacing w:after="0" w:line="240" w:lineRule="auto"/>
        <w:jc w:val="both"/>
        <w:rPr>
          <w:rFonts w:ascii="Times New Roman" w:hAnsi="Times New Roman" w:cs="Times New Roman"/>
          <w:b/>
          <w:bCs/>
          <w:color w:val="000000"/>
          <w:sz w:val="20"/>
          <w:szCs w:val="20"/>
        </w:rPr>
      </w:pPr>
    </w:p>
    <w:p w:rsidR="00802846" w:rsidRPr="00DA7AA5" w:rsidRDefault="00802846" w:rsidP="00802846">
      <w:pPr>
        <w:autoSpaceDE w:val="0"/>
        <w:autoSpaceDN w:val="0"/>
        <w:adjustRightInd w:val="0"/>
        <w:spacing w:after="0" w:line="360" w:lineRule="auto"/>
        <w:jc w:val="both"/>
        <w:rPr>
          <w:rFonts w:ascii="Times New Roman" w:hAnsi="Times New Roman" w:cs="Times New Roman"/>
          <w:sz w:val="24"/>
          <w:szCs w:val="24"/>
          <w:lang w:val="es"/>
        </w:rPr>
      </w:pPr>
      <w:r w:rsidRPr="00802846">
        <w:rPr>
          <w:rFonts w:ascii="Times New Roman" w:hAnsi="Times New Roman" w:cs="Times New Roman"/>
          <w:sz w:val="24"/>
          <w:szCs w:val="24"/>
          <w:lang w:val="es"/>
        </w:rPr>
        <w:t xml:space="preserve">Los 22 contenidos temáticos presentados en la Tabla 1 conforman las categorías de análisis utilizadas para elaborar los índices de divulgación de información ambiental (IDIA), </w:t>
      </w:r>
      <w:r w:rsidRPr="00802846">
        <w:rPr>
          <w:rFonts w:ascii="Times New Roman" w:hAnsi="Times New Roman" w:cs="Times New Roman"/>
          <w:sz w:val="24"/>
          <w:szCs w:val="24"/>
        </w:rPr>
        <w:t>a través de los cuales se evaluó el alcance de la aplicación de los criterios para la revelación de IA planteados en GRI 302, 303, 305 y 306</w:t>
      </w:r>
      <w:r w:rsidRPr="00802846">
        <w:rPr>
          <w:rFonts w:ascii="Times New Roman" w:hAnsi="Times New Roman" w:cs="Times New Roman"/>
          <w:sz w:val="24"/>
          <w:szCs w:val="24"/>
          <w:lang w:val="es"/>
        </w:rPr>
        <w:t>. Estos índices se construyeron</w:t>
      </w:r>
      <w:r w:rsidRPr="00DA7AA5">
        <w:rPr>
          <w:rFonts w:ascii="Times New Roman" w:hAnsi="Times New Roman" w:cs="Times New Roman"/>
          <w:sz w:val="24"/>
          <w:szCs w:val="24"/>
          <w:lang w:val="es"/>
        </w:rPr>
        <w:t xml:space="preserve"> </w:t>
      </w:r>
      <w:r w:rsidRPr="00F83122">
        <w:rPr>
          <w:rFonts w:ascii="Times New Roman" w:hAnsi="Times New Roman" w:cs="Times New Roman"/>
          <w:sz w:val="24"/>
          <w:szCs w:val="24"/>
          <w:lang w:val="es"/>
        </w:rPr>
        <w:t>usando el enfoque dicotómico (Gray</w:t>
      </w:r>
      <w:r w:rsidR="00F83122" w:rsidRPr="00F83122">
        <w:rPr>
          <w:rFonts w:ascii="Times New Roman" w:hAnsi="Times New Roman" w:cs="Times New Roman"/>
          <w:sz w:val="24"/>
          <w:szCs w:val="24"/>
          <w:lang w:val="es"/>
        </w:rPr>
        <w:t xml:space="preserve"> et al.</w:t>
      </w:r>
      <w:r w:rsidRPr="00F83122">
        <w:rPr>
          <w:rFonts w:ascii="Times New Roman" w:hAnsi="Times New Roman" w:cs="Times New Roman"/>
          <w:sz w:val="24"/>
          <w:szCs w:val="24"/>
          <w:lang w:val="es"/>
        </w:rPr>
        <w:t xml:space="preserve">, 1995), que implica considerar la presencia o </w:t>
      </w:r>
      <w:r w:rsidRPr="00DA7AA5">
        <w:rPr>
          <w:rFonts w:ascii="Times New Roman" w:hAnsi="Times New Roman" w:cs="Times New Roman"/>
          <w:sz w:val="24"/>
          <w:szCs w:val="24"/>
          <w:lang w:val="es"/>
        </w:rPr>
        <w:lastRenderedPageBreak/>
        <w:t xml:space="preserve">ausencia de las categorías dentro de la información divulgada por las empresas en sus MS. Así, se asignó valor “1” cuando la categoría se encuentra presente en la MS de la empresa y “0” cuando está ausente. Luego, </w:t>
      </w:r>
      <w:r>
        <w:rPr>
          <w:rFonts w:ascii="Times New Roman" w:hAnsi="Times New Roman" w:cs="Times New Roman"/>
          <w:sz w:val="24"/>
          <w:szCs w:val="24"/>
          <w:lang w:val="es"/>
        </w:rPr>
        <w:t xml:space="preserve">para calcular el IDIA, para cada empresa, </w:t>
      </w:r>
      <w:r w:rsidRPr="00DA7AA5">
        <w:rPr>
          <w:rFonts w:ascii="Times New Roman" w:hAnsi="Times New Roman" w:cs="Times New Roman"/>
          <w:sz w:val="24"/>
          <w:szCs w:val="24"/>
          <w:lang w:val="es"/>
        </w:rPr>
        <w:t xml:space="preserve">se </w:t>
      </w:r>
      <w:r>
        <w:rPr>
          <w:rFonts w:ascii="Times New Roman" w:hAnsi="Times New Roman" w:cs="Times New Roman"/>
          <w:sz w:val="24"/>
          <w:szCs w:val="24"/>
          <w:lang w:val="es"/>
        </w:rPr>
        <w:t>realizó el</w:t>
      </w:r>
      <w:r w:rsidRPr="00DA7AA5">
        <w:rPr>
          <w:rFonts w:ascii="Times New Roman" w:hAnsi="Times New Roman" w:cs="Times New Roman"/>
          <w:sz w:val="24"/>
          <w:szCs w:val="24"/>
          <w:lang w:val="es"/>
        </w:rPr>
        <w:t xml:space="preserve"> cociente entre el número de </w:t>
      </w:r>
      <w:r>
        <w:rPr>
          <w:rFonts w:ascii="Times New Roman" w:hAnsi="Times New Roman" w:cs="Times New Roman"/>
          <w:sz w:val="24"/>
          <w:szCs w:val="24"/>
          <w:lang w:val="es"/>
        </w:rPr>
        <w:t>categorías</w:t>
      </w:r>
      <w:r w:rsidRPr="00DA7AA5">
        <w:rPr>
          <w:rFonts w:ascii="Times New Roman" w:hAnsi="Times New Roman" w:cs="Times New Roman"/>
          <w:sz w:val="24"/>
          <w:szCs w:val="24"/>
          <w:lang w:val="es"/>
        </w:rPr>
        <w:t xml:space="preserve"> </w:t>
      </w:r>
      <w:r>
        <w:rPr>
          <w:rFonts w:ascii="Times New Roman" w:hAnsi="Times New Roman" w:cs="Times New Roman"/>
          <w:sz w:val="24"/>
          <w:szCs w:val="24"/>
          <w:lang w:val="es"/>
        </w:rPr>
        <w:t>efectivamente divulgada</w:t>
      </w:r>
      <w:r w:rsidRPr="00DA7AA5">
        <w:rPr>
          <w:rFonts w:ascii="Times New Roman" w:hAnsi="Times New Roman" w:cs="Times New Roman"/>
          <w:sz w:val="24"/>
          <w:szCs w:val="24"/>
          <w:lang w:val="es"/>
        </w:rPr>
        <w:t xml:space="preserve">s sobre el número total de </w:t>
      </w:r>
      <w:r>
        <w:rPr>
          <w:rFonts w:ascii="Times New Roman" w:hAnsi="Times New Roman" w:cs="Times New Roman"/>
          <w:sz w:val="24"/>
          <w:szCs w:val="24"/>
          <w:lang w:val="es"/>
        </w:rPr>
        <w:t>categorías que s</w:t>
      </w:r>
      <w:r w:rsidRPr="00DA7AA5">
        <w:rPr>
          <w:rFonts w:ascii="Times New Roman" w:hAnsi="Times New Roman" w:cs="Times New Roman"/>
          <w:sz w:val="24"/>
          <w:szCs w:val="24"/>
          <w:lang w:val="es"/>
        </w:rPr>
        <w:t>e esperaría sean revelad</w:t>
      </w:r>
      <w:r w:rsidR="006B730D">
        <w:rPr>
          <w:rFonts w:ascii="Times New Roman" w:hAnsi="Times New Roman" w:cs="Times New Roman"/>
          <w:sz w:val="24"/>
          <w:szCs w:val="24"/>
          <w:lang w:val="es"/>
        </w:rPr>
        <w:t>a</w:t>
      </w:r>
      <w:r w:rsidRPr="00DA7AA5">
        <w:rPr>
          <w:rFonts w:ascii="Times New Roman" w:hAnsi="Times New Roman" w:cs="Times New Roman"/>
          <w:sz w:val="24"/>
          <w:szCs w:val="24"/>
          <w:lang w:val="es"/>
        </w:rPr>
        <w:t>s (</w:t>
      </w:r>
      <w:r>
        <w:rPr>
          <w:rFonts w:ascii="Times New Roman" w:hAnsi="Times New Roman" w:cs="Times New Roman"/>
          <w:sz w:val="24"/>
          <w:szCs w:val="24"/>
          <w:lang w:val="es"/>
        </w:rPr>
        <w:t xml:space="preserve">en este </w:t>
      </w:r>
      <w:r w:rsidRPr="00802846">
        <w:rPr>
          <w:rFonts w:ascii="Times New Roman" w:hAnsi="Times New Roman" w:cs="Times New Roman"/>
          <w:sz w:val="24"/>
          <w:szCs w:val="24"/>
          <w:lang w:val="es"/>
        </w:rPr>
        <w:t xml:space="preserve">caso, 22). Con el mismo criterio, se elaboraron índices de divulgación </w:t>
      </w:r>
      <w:r w:rsidRPr="00802846">
        <w:rPr>
          <w:rFonts w:ascii="Times New Roman" w:hAnsi="Times New Roman" w:cs="Times New Roman"/>
          <w:sz w:val="24"/>
          <w:szCs w:val="24"/>
        </w:rPr>
        <w:t>para los cuatro grandes temas analizados y para los distintos contenidos temáticos que abarcan dichos temas.</w:t>
      </w:r>
    </w:p>
    <w:p w:rsidR="005B43CC" w:rsidRPr="00802846" w:rsidRDefault="005B43CC" w:rsidP="00DF1982">
      <w:pPr>
        <w:spacing w:after="0" w:line="240" w:lineRule="auto"/>
        <w:jc w:val="both"/>
        <w:rPr>
          <w:rFonts w:ascii="Times New Roman" w:hAnsi="Times New Roman" w:cs="Times New Roman"/>
          <w:b/>
          <w:bCs/>
          <w:color w:val="000000"/>
          <w:sz w:val="20"/>
          <w:szCs w:val="20"/>
          <w:lang w:val="es"/>
        </w:rPr>
      </w:pPr>
    </w:p>
    <w:p w:rsidR="005B43CC" w:rsidRPr="005B43CC" w:rsidRDefault="005B43CC" w:rsidP="000144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5B43CC">
        <w:rPr>
          <w:rFonts w:ascii="Times New Roman" w:hAnsi="Times New Roman" w:cs="Times New Roman"/>
          <w:b/>
          <w:sz w:val="24"/>
          <w:szCs w:val="24"/>
        </w:rPr>
        <w:t>Resultados</w:t>
      </w:r>
    </w:p>
    <w:p w:rsidR="006B730D" w:rsidRDefault="006B730D" w:rsidP="006B730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obtenidos para los IDIA de cada una de las empresas que conforman la muestra se presentan en las </w:t>
      </w:r>
      <w:r w:rsidRPr="00636A1B">
        <w:rPr>
          <w:rFonts w:ascii="Times New Roman" w:hAnsi="Times New Roman" w:cs="Times New Roman"/>
          <w:sz w:val="24"/>
          <w:szCs w:val="24"/>
        </w:rPr>
        <w:t>Tablas 3.1 y 3.2</w:t>
      </w:r>
      <w:r>
        <w:rPr>
          <w:rFonts w:ascii="Times New Roman" w:hAnsi="Times New Roman" w:cs="Times New Roman"/>
          <w:sz w:val="24"/>
          <w:szCs w:val="24"/>
        </w:rPr>
        <w:t xml:space="preserve">. La primera refleja los IDIA de las empresas del sector </w:t>
      </w:r>
      <w:r w:rsidRPr="008419D0">
        <w:rPr>
          <w:rFonts w:ascii="Times New Roman" w:hAnsi="Times New Roman" w:cs="Times New Roman"/>
          <w:sz w:val="24"/>
          <w:szCs w:val="24"/>
        </w:rPr>
        <w:t>“</w:t>
      </w:r>
      <w:r w:rsidRPr="008419D0">
        <w:rPr>
          <w:rFonts w:ascii="Times New Roman" w:eastAsia="Times New Roman" w:hAnsi="Times New Roman" w:cs="Times New Roman"/>
          <w:sz w:val="24"/>
          <w:szCs w:val="24"/>
        </w:rPr>
        <w:t>Energía, petróleo y gas”</w:t>
      </w:r>
      <w:r>
        <w:rPr>
          <w:rFonts w:ascii="Times New Roman" w:eastAsia="Times New Roman" w:hAnsi="Times New Roman" w:cs="Times New Roman"/>
          <w:sz w:val="24"/>
          <w:szCs w:val="24"/>
        </w:rPr>
        <w:t xml:space="preserve"> y, la segunda, muestra los IDIA para el sector </w:t>
      </w:r>
      <w:r w:rsidRPr="00636A1B">
        <w:rPr>
          <w:rFonts w:ascii="Times New Roman" w:eastAsia="Times New Roman" w:hAnsi="Times New Roman" w:cs="Times New Roman"/>
          <w:sz w:val="24"/>
          <w:szCs w:val="24"/>
        </w:rPr>
        <w:t>“</w:t>
      </w:r>
      <w:r w:rsidRPr="00636A1B">
        <w:rPr>
          <w:rFonts w:ascii="Times New Roman" w:hAnsi="Times New Roman" w:cs="Times New Roman"/>
          <w:bCs/>
          <w:color w:val="000000"/>
          <w:sz w:val="24"/>
          <w:szCs w:val="24"/>
        </w:rPr>
        <w:t>Financiero, bursátil y seguros</w:t>
      </w:r>
      <w:r w:rsidRPr="00636A1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B43CC" w:rsidRPr="00636A1B" w:rsidRDefault="005B43CC" w:rsidP="0001442F">
      <w:pPr>
        <w:spacing w:after="0" w:line="360" w:lineRule="auto"/>
        <w:jc w:val="both"/>
        <w:rPr>
          <w:rFonts w:ascii="Times New Roman" w:hAnsi="Times New Roman" w:cs="Times New Roman"/>
          <w:sz w:val="24"/>
          <w:szCs w:val="24"/>
        </w:rPr>
      </w:pPr>
      <w:r w:rsidRPr="00636A1B">
        <w:rPr>
          <w:rFonts w:ascii="Times New Roman" w:hAnsi="Times New Roman" w:cs="Times New Roman"/>
          <w:sz w:val="24"/>
          <w:szCs w:val="24"/>
        </w:rPr>
        <w:t>Se observa que YPF</w:t>
      </w:r>
      <w:r w:rsidR="00710082" w:rsidRPr="00636A1B">
        <w:rPr>
          <w:rFonts w:ascii="Times New Roman" w:hAnsi="Times New Roman" w:cs="Times New Roman"/>
          <w:sz w:val="24"/>
          <w:szCs w:val="24"/>
        </w:rPr>
        <w:t>, NATURGY BAN y PAMPA ENERGÍA</w:t>
      </w:r>
      <w:r w:rsidRPr="00636A1B">
        <w:rPr>
          <w:rFonts w:ascii="Times New Roman" w:hAnsi="Times New Roman" w:cs="Times New Roman"/>
          <w:sz w:val="24"/>
          <w:szCs w:val="24"/>
        </w:rPr>
        <w:t xml:space="preserve"> son</w:t>
      </w:r>
      <w:r w:rsidR="00710082" w:rsidRPr="00636A1B">
        <w:rPr>
          <w:rFonts w:ascii="Times New Roman" w:hAnsi="Times New Roman" w:cs="Times New Roman"/>
          <w:sz w:val="24"/>
          <w:szCs w:val="24"/>
        </w:rPr>
        <w:t xml:space="preserve"> </w:t>
      </w:r>
      <w:r w:rsidRPr="00636A1B">
        <w:rPr>
          <w:rFonts w:ascii="Times New Roman" w:hAnsi="Times New Roman" w:cs="Times New Roman"/>
          <w:sz w:val="24"/>
          <w:szCs w:val="24"/>
        </w:rPr>
        <w:t>las empresas que tiene</w:t>
      </w:r>
      <w:r w:rsidR="0039315D">
        <w:rPr>
          <w:rFonts w:ascii="Times New Roman" w:hAnsi="Times New Roman" w:cs="Times New Roman"/>
          <w:sz w:val="24"/>
          <w:szCs w:val="24"/>
        </w:rPr>
        <w:t>n</w:t>
      </w:r>
      <w:r w:rsidRPr="00636A1B">
        <w:rPr>
          <w:rFonts w:ascii="Times New Roman" w:hAnsi="Times New Roman" w:cs="Times New Roman"/>
          <w:sz w:val="24"/>
          <w:szCs w:val="24"/>
        </w:rPr>
        <w:t xml:space="preserve"> mayor nivel de divulgación de </w:t>
      </w:r>
      <w:r w:rsidR="0039315D">
        <w:rPr>
          <w:rFonts w:ascii="Times New Roman" w:hAnsi="Times New Roman" w:cs="Times New Roman"/>
          <w:sz w:val="24"/>
          <w:szCs w:val="24"/>
        </w:rPr>
        <w:t>IA</w:t>
      </w:r>
      <w:r w:rsidRPr="00636A1B">
        <w:rPr>
          <w:rFonts w:ascii="Times New Roman" w:hAnsi="Times New Roman" w:cs="Times New Roman"/>
          <w:sz w:val="24"/>
          <w:szCs w:val="24"/>
        </w:rPr>
        <w:t>, con un ID</w:t>
      </w:r>
      <w:r w:rsidR="00005F3E">
        <w:rPr>
          <w:rFonts w:ascii="Times New Roman" w:hAnsi="Times New Roman" w:cs="Times New Roman"/>
          <w:sz w:val="24"/>
          <w:szCs w:val="24"/>
        </w:rPr>
        <w:t>IA</w:t>
      </w:r>
      <w:r w:rsidRPr="00636A1B">
        <w:rPr>
          <w:rFonts w:ascii="Times New Roman" w:hAnsi="Times New Roman" w:cs="Times New Roman"/>
          <w:sz w:val="24"/>
          <w:szCs w:val="24"/>
        </w:rPr>
        <w:t xml:space="preserve"> promedio total del 0.844,</w:t>
      </w:r>
      <w:r w:rsidR="00710082" w:rsidRPr="00636A1B">
        <w:rPr>
          <w:rFonts w:ascii="Times New Roman" w:hAnsi="Times New Roman" w:cs="Times New Roman"/>
          <w:sz w:val="24"/>
          <w:szCs w:val="24"/>
        </w:rPr>
        <w:t xml:space="preserve"> 0.79, 0.775,</w:t>
      </w:r>
      <w:r w:rsidRPr="00636A1B">
        <w:rPr>
          <w:rFonts w:ascii="Times New Roman" w:hAnsi="Times New Roman" w:cs="Times New Roman"/>
          <w:sz w:val="24"/>
          <w:szCs w:val="24"/>
        </w:rPr>
        <w:t xml:space="preserve"> respectivamente. Las </w:t>
      </w:r>
      <w:r w:rsidR="00710082" w:rsidRPr="00636A1B">
        <w:rPr>
          <w:rFonts w:ascii="Times New Roman" w:hAnsi="Times New Roman" w:cs="Times New Roman"/>
          <w:sz w:val="24"/>
          <w:szCs w:val="24"/>
        </w:rPr>
        <w:t xml:space="preserve">tres </w:t>
      </w:r>
      <w:r w:rsidRPr="00636A1B">
        <w:rPr>
          <w:rFonts w:ascii="Times New Roman" w:hAnsi="Times New Roman" w:cs="Times New Roman"/>
          <w:sz w:val="24"/>
          <w:szCs w:val="24"/>
        </w:rPr>
        <w:t>empresas pertenecen a</w:t>
      </w:r>
      <w:r w:rsidR="00710082" w:rsidRPr="00636A1B">
        <w:rPr>
          <w:rFonts w:ascii="Times New Roman" w:hAnsi="Times New Roman" w:cs="Times New Roman"/>
          <w:sz w:val="24"/>
          <w:szCs w:val="24"/>
        </w:rPr>
        <w:t xml:space="preserve">l </w:t>
      </w:r>
      <w:r w:rsidR="0039315D">
        <w:rPr>
          <w:rFonts w:ascii="Times New Roman" w:hAnsi="Times New Roman" w:cs="Times New Roman"/>
          <w:sz w:val="24"/>
          <w:szCs w:val="24"/>
        </w:rPr>
        <w:t>sector “</w:t>
      </w:r>
      <w:r w:rsidRPr="00636A1B">
        <w:rPr>
          <w:rFonts w:ascii="Times New Roman" w:hAnsi="Times New Roman" w:cs="Times New Roman"/>
          <w:sz w:val="24"/>
          <w:szCs w:val="24"/>
        </w:rPr>
        <w:t>Energía, petróleo y gas</w:t>
      </w:r>
      <w:r w:rsidR="0039315D">
        <w:rPr>
          <w:rFonts w:ascii="Times New Roman" w:hAnsi="Times New Roman" w:cs="Times New Roman"/>
          <w:sz w:val="24"/>
          <w:szCs w:val="24"/>
        </w:rPr>
        <w:t>”</w:t>
      </w:r>
      <w:r w:rsidRPr="00636A1B">
        <w:rPr>
          <w:rFonts w:ascii="Times New Roman" w:hAnsi="Times New Roman" w:cs="Times New Roman"/>
          <w:sz w:val="24"/>
          <w:szCs w:val="24"/>
        </w:rPr>
        <w:t xml:space="preserve">, que </w:t>
      </w:r>
      <w:r w:rsidR="00710082" w:rsidRPr="00636A1B">
        <w:rPr>
          <w:rFonts w:ascii="Times New Roman" w:hAnsi="Times New Roman" w:cs="Times New Roman"/>
          <w:sz w:val="24"/>
          <w:szCs w:val="24"/>
        </w:rPr>
        <w:t xml:space="preserve">presenta un </w:t>
      </w:r>
      <w:r w:rsidR="00005F3E">
        <w:rPr>
          <w:rFonts w:ascii="Times New Roman" w:hAnsi="Times New Roman" w:cs="Times New Roman"/>
          <w:sz w:val="24"/>
          <w:szCs w:val="24"/>
        </w:rPr>
        <w:t>IDIA</w:t>
      </w:r>
      <w:r w:rsidRPr="00636A1B">
        <w:rPr>
          <w:rFonts w:ascii="Times New Roman" w:hAnsi="Times New Roman" w:cs="Times New Roman"/>
          <w:sz w:val="24"/>
          <w:szCs w:val="24"/>
        </w:rPr>
        <w:t xml:space="preserve"> promedio sectorial del </w:t>
      </w:r>
      <w:r w:rsidR="00710082" w:rsidRPr="00636A1B">
        <w:rPr>
          <w:rFonts w:ascii="Times New Roman" w:hAnsi="Times New Roman" w:cs="Times New Roman"/>
          <w:sz w:val="24"/>
          <w:szCs w:val="24"/>
        </w:rPr>
        <w:t>0.593</w:t>
      </w:r>
      <w:r w:rsidR="0039315D">
        <w:rPr>
          <w:rFonts w:ascii="Times New Roman" w:hAnsi="Times New Roman" w:cs="Times New Roman"/>
          <w:sz w:val="24"/>
          <w:szCs w:val="24"/>
        </w:rPr>
        <w:t xml:space="preserve">. Este </w:t>
      </w:r>
      <w:r w:rsidR="00005F3E">
        <w:rPr>
          <w:rFonts w:ascii="Times New Roman" w:hAnsi="Times New Roman" w:cs="Times New Roman"/>
          <w:sz w:val="24"/>
          <w:szCs w:val="24"/>
        </w:rPr>
        <w:t>IDIA</w:t>
      </w:r>
      <w:r w:rsidR="0039315D">
        <w:rPr>
          <w:rFonts w:ascii="Times New Roman" w:hAnsi="Times New Roman" w:cs="Times New Roman"/>
          <w:sz w:val="24"/>
          <w:szCs w:val="24"/>
        </w:rPr>
        <w:t xml:space="preserve"> es</w:t>
      </w:r>
      <w:r w:rsidRPr="00636A1B">
        <w:rPr>
          <w:rFonts w:ascii="Times New Roman" w:hAnsi="Times New Roman" w:cs="Times New Roman"/>
          <w:sz w:val="24"/>
          <w:szCs w:val="24"/>
        </w:rPr>
        <w:t xml:space="preserve"> </w:t>
      </w:r>
      <w:r w:rsidR="00710082" w:rsidRPr="00636A1B">
        <w:rPr>
          <w:rFonts w:ascii="Times New Roman" w:hAnsi="Times New Roman" w:cs="Times New Roman"/>
          <w:sz w:val="24"/>
          <w:szCs w:val="24"/>
        </w:rPr>
        <w:t xml:space="preserve">notoriamente superior al </w:t>
      </w:r>
      <w:r w:rsidR="00005F3E">
        <w:rPr>
          <w:rFonts w:ascii="Times New Roman" w:hAnsi="Times New Roman" w:cs="Times New Roman"/>
          <w:sz w:val="24"/>
          <w:szCs w:val="24"/>
        </w:rPr>
        <w:t>IDIA</w:t>
      </w:r>
      <w:r w:rsidR="00FD05F4" w:rsidRPr="00636A1B">
        <w:rPr>
          <w:rFonts w:ascii="Times New Roman" w:hAnsi="Times New Roman" w:cs="Times New Roman"/>
          <w:sz w:val="24"/>
          <w:szCs w:val="24"/>
        </w:rPr>
        <w:t xml:space="preserve"> promedio </w:t>
      </w:r>
      <w:r w:rsidR="00A24230" w:rsidRPr="00636A1B">
        <w:rPr>
          <w:rFonts w:ascii="Times New Roman" w:hAnsi="Times New Roman" w:cs="Times New Roman"/>
          <w:sz w:val="24"/>
          <w:szCs w:val="24"/>
        </w:rPr>
        <w:t xml:space="preserve">del sector </w:t>
      </w:r>
      <w:r w:rsidR="00A24230" w:rsidRPr="00636A1B">
        <w:rPr>
          <w:rFonts w:ascii="Times New Roman" w:eastAsia="Times New Roman" w:hAnsi="Times New Roman" w:cs="Times New Roman"/>
          <w:sz w:val="24"/>
          <w:szCs w:val="24"/>
        </w:rPr>
        <w:t>“</w:t>
      </w:r>
      <w:r w:rsidR="00A24230" w:rsidRPr="00636A1B">
        <w:rPr>
          <w:rFonts w:ascii="Times New Roman" w:hAnsi="Times New Roman" w:cs="Times New Roman"/>
          <w:bCs/>
          <w:color w:val="000000"/>
          <w:sz w:val="24"/>
          <w:szCs w:val="24"/>
        </w:rPr>
        <w:t>Financiero, bursátil y seguros</w:t>
      </w:r>
      <w:r w:rsidR="00A24230" w:rsidRPr="00636A1B">
        <w:rPr>
          <w:rFonts w:ascii="Times New Roman" w:eastAsia="Times New Roman" w:hAnsi="Times New Roman" w:cs="Times New Roman"/>
          <w:sz w:val="24"/>
          <w:szCs w:val="24"/>
        </w:rPr>
        <w:t xml:space="preserve">”, que asciende al 0.302, donde la empresa que más IA divulga -Grupo </w:t>
      </w:r>
      <w:proofErr w:type="spellStart"/>
      <w:r w:rsidR="00A24230" w:rsidRPr="00636A1B">
        <w:rPr>
          <w:rFonts w:ascii="Times New Roman" w:eastAsia="Times New Roman" w:hAnsi="Times New Roman" w:cs="Times New Roman"/>
          <w:sz w:val="24"/>
          <w:szCs w:val="24"/>
        </w:rPr>
        <w:t>Superville</w:t>
      </w:r>
      <w:proofErr w:type="spellEnd"/>
      <w:r w:rsidR="00A24230" w:rsidRPr="00636A1B">
        <w:rPr>
          <w:rFonts w:ascii="Times New Roman" w:eastAsia="Times New Roman" w:hAnsi="Times New Roman" w:cs="Times New Roman"/>
          <w:sz w:val="24"/>
          <w:szCs w:val="24"/>
        </w:rPr>
        <w:t>- present</w:t>
      </w:r>
      <w:r w:rsidR="00285B7F">
        <w:rPr>
          <w:rFonts w:ascii="Times New Roman" w:eastAsia="Times New Roman" w:hAnsi="Times New Roman" w:cs="Times New Roman"/>
          <w:sz w:val="24"/>
          <w:szCs w:val="24"/>
        </w:rPr>
        <w:t>a un</w:t>
      </w:r>
      <w:r w:rsidR="00A24230" w:rsidRPr="00636A1B">
        <w:rPr>
          <w:rFonts w:ascii="Times New Roman" w:eastAsia="Times New Roman" w:hAnsi="Times New Roman" w:cs="Times New Roman"/>
          <w:sz w:val="24"/>
          <w:szCs w:val="24"/>
        </w:rPr>
        <w:t xml:space="preserve"> </w:t>
      </w:r>
      <w:r w:rsidR="00005F3E">
        <w:rPr>
          <w:rFonts w:ascii="Times New Roman" w:eastAsia="Times New Roman" w:hAnsi="Times New Roman" w:cs="Times New Roman"/>
          <w:sz w:val="24"/>
          <w:szCs w:val="24"/>
        </w:rPr>
        <w:t>IDIA</w:t>
      </w:r>
      <w:r w:rsidR="00A24230" w:rsidRPr="00636A1B">
        <w:rPr>
          <w:rFonts w:ascii="Times New Roman" w:eastAsia="Times New Roman" w:hAnsi="Times New Roman" w:cs="Times New Roman"/>
          <w:sz w:val="24"/>
          <w:szCs w:val="24"/>
        </w:rPr>
        <w:t xml:space="preserve"> del 0.40</w:t>
      </w:r>
      <w:r w:rsidRPr="00636A1B">
        <w:rPr>
          <w:rFonts w:ascii="Times New Roman" w:hAnsi="Times New Roman" w:cs="Times New Roman"/>
          <w:sz w:val="24"/>
          <w:szCs w:val="24"/>
        </w:rPr>
        <w:t>.</w:t>
      </w:r>
    </w:p>
    <w:p w:rsidR="0096408E" w:rsidRDefault="005B43CC" w:rsidP="0001442F">
      <w:pPr>
        <w:spacing w:after="0" w:line="360" w:lineRule="auto"/>
        <w:jc w:val="both"/>
        <w:rPr>
          <w:rFonts w:ascii="Times New Roman" w:hAnsi="Times New Roman" w:cs="Times New Roman"/>
          <w:sz w:val="24"/>
          <w:szCs w:val="24"/>
        </w:rPr>
        <w:sectPr w:rsidR="0096408E" w:rsidSect="001C0C47">
          <w:pgSz w:w="11906" w:h="16838"/>
          <w:pgMar w:top="1418" w:right="1701" w:bottom="1418" w:left="1701" w:header="709" w:footer="709" w:gutter="0"/>
          <w:cols w:space="708"/>
          <w:docGrid w:linePitch="360"/>
        </w:sectPr>
      </w:pPr>
      <w:r w:rsidRPr="00636A1B">
        <w:rPr>
          <w:rFonts w:ascii="Times New Roman" w:hAnsi="Times New Roman" w:cs="Times New Roman"/>
          <w:sz w:val="24"/>
          <w:szCs w:val="24"/>
        </w:rPr>
        <w:t>Estos resultados son consistentes con la literatura previa que ha demostrado que las empresas de mayor tamaño divulgan una mayor cant</w:t>
      </w:r>
      <w:r w:rsidR="00005F3E">
        <w:rPr>
          <w:rFonts w:ascii="Times New Roman" w:hAnsi="Times New Roman" w:cs="Times New Roman"/>
          <w:sz w:val="24"/>
          <w:szCs w:val="24"/>
        </w:rPr>
        <w:t>id</w:t>
      </w:r>
      <w:r w:rsidRPr="00636A1B">
        <w:rPr>
          <w:rFonts w:ascii="Times New Roman" w:hAnsi="Times New Roman" w:cs="Times New Roman"/>
          <w:sz w:val="24"/>
          <w:szCs w:val="24"/>
        </w:rPr>
        <w:t xml:space="preserve">ad de </w:t>
      </w:r>
      <w:r w:rsidR="00285B7F">
        <w:rPr>
          <w:rFonts w:ascii="Times New Roman" w:hAnsi="Times New Roman" w:cs="Times New Roman"/>
          <w:sz w:val="24"/>
          <w:szCs w:val="24"/>
        </w:rPr>
        <w:t>IA</w:t>
      </w:r>
      <w:r w:rsidRPr="00636A1B">
        <w:rPr>
          <w:rFonts w:ascii="Times New Roman" w:hAnsi="Times New Roman" w:cs="Times New Roman"/>
          <w:sz w:val="24"/>
          <w:szCs w:val="24"/>
        </w:rPr>
        <w:t xml:space="preserve"> (</w:t>
      </w:r>
      <w:proofErr w:type="spellStart"/>
      <w:r w:rsidRPr="00636A1B">
        <w:rPr>
          <w:rFonts w:ascii="Times New Roman" w:hAnsi="Times New Roman" w:cs="Times New Roman"/>
          <w:sz w:val="24"/>
          <w:szCs w:val="24"/>
        </w:rPr>
        <w:t>Brammer</w:t>
      </w:r>
      <w:proofErr w:type="spellEnd"/>
      <w:r w:rsidRPr="00636A1B">
        <w:rPr>
          <w:rFonts w:ascii="Times New Roman" w:hAnsi="Times New Roman" w:cs="Times New Roman"/>
          <w:sz w:val="24"/>
          <w:szCs w:val="24"/>
        </w:rPr>
        <w:t xml:space="preserve"> y </w:t>
      </w:r>
      <w:proofErr w:type="spellStart"/>
      <w:r w:rsidRPr="00636A1B">
        <w:rPr>
          <w:rFonts w:ascii="Times New Roman" w:hAnsi="Times New Roman" w:cs="Times New Roman"/>
          <w:sz w:val="24"/>
          <w:szCs w:val="24"/>
        </w:rPr>
        <w:t>Pavelin</w:t>
      </w:r>
      <w:proofErr w:type="spellEnd"/>
      <w:r w:rsidRPr="00636A1B">
        <w:rPr>
          <w:rFonts w:ascii="Times New Roman" w:hAnsi="Times New Roman" w:cs="Times New Roman"/>
          <w:sz w:val="24"/>
          <w:szCs w:val="24"/>
        </w:rPr>
        <w:t xml:space="preserve">, 2006; </w:t>
      </w:r>
      <w:proofErr w:type="spellStart"/>
      <w:r w:rsidRPr="00636A1B">
        <w:rPr>
          <w:rFonts w:ascii="Times New Roman" w:hAnsi="Times New Roman" w:cs="Times New Roman"/>
          <w:sz w:val="24"/>
          <w:szCs w:val="24"/>
        </w:rPr>
        <w:t>Pahuja</w:t>
      </w:r>
      <w:proofErr w:type="spellEnd"/>
      <w:r w:rsidRPr="00636A1B">
        <w:rPr>
          <w:rFonts w:ascii="Times New Roman" w:hAnsi="Times New Roman" w:cs="Times New Roman"/>
          <w:sz w:val="24"/>
          <w:szCs w:val="24"/>
        </w:rPr>
        <w:t xml:space="preserve">, 2009; </w:t>
      </w:r>
      <w:proofErr w:type="spellStart"/>
      <w:r w:rsidRPr="00636A1B">
        <w:rPr>
          <w:rFonts w:ascii="Times New Roman" w:hAnsi="Times New Roman" w:cs="Times New Roman"/>
          <w:sz w:val="24"/>
          <w:szCs w:val="24"/>
        </w:rPr>
        <w:t>Andrikopoulos</w:t>
      </w:r>
      <w:proofErr w:type="spellEnd"/>
      <w:r w:rsidRPr="00636A1B">
        <w:rPr>
          <w:rFonts w:ascii="Times New Roman" w:hAnsi="Times New Roman" w:cs="Times New Roman"/>
          <w:sz w:val="24"/>
          <w:szCs w:val="24"/>
        </w:rPr>
        <w:t xml:space="preserve"> y </w:t>
      </w:r>
      <w:proofErr w:type="spellStart"/>
      <w:r w:rsidRPr="00636A1B">
        <w:rPr>
          <w:rFonts w:ascii="Times New Roman" w:hAnsi="Times New Roman" w:cs="Times New Roman"/>
          <w:sz w:val="24"/>
          <w:szCs w:val="24"/>
        </w:rPr>
        <w:t>Kriklani</w:t>
      </w:r>
      <w:proofErr w:type="spellEnd"/>
      <w:r w:rsidRPr="00636A1B">
        <w:rPr>
          <w:rFonts w:ascii="Times New Roman" w:hAnsi="Times New Roman" w:cs="Times New Roman"/>
          <w:sz w:val="24"/>
          <w:szCs w:val="24"/>
        </w:rPr>
        <w:t>, 2013), cons</w:t>
      </w:r>
      <w:r w:rsidR="00005F3E">
        <w:rPr>
          <w:rFonts w:ascii="Times New Roman" w:hAnsi="Times New Roman" w:cs="Times New Roman"/>
          <w:sz w:val="24"/>
          <w:szCs w:val="24"/>
        </w:rPr>
        <w:t>id</w:t>
      </w:r>
      <w:r w:rsidRPr="00636A1B">
        <w:rPr>
          <w:rFonts w:ascii="Times New Roman" w:hAnsi="Times New Roman" w:cs="Times New Roman"/>
          <w:sz w:val="24"/>
          <w:szCs w:val="24"/>
        </w:rPr>
        <w:t>erando que YPF y NATURGY BAN son las empresas de mayor tamaño de la muestra (de acuerdo con los valores de su activo).</w:t>
      </w:r>
      <w:r w:rsidR="0039315D">
        <w:rPr>
          <w:rFonts w:ascii="Times New Roman" w:hAnsi="Times New Roman" w:cs="Times New Roman"/>
          <w:sz w:val="24"/>
          <w:szCs w:val="24"/>
        </w:rPr>
        <w:t xml:space="preserve"> </w:t>
      </w:r>
    </w:p>
    <w:p w:rsidR="005E54BC" w:rsidRPr="0039315D" w:rsidRDefault="00EC1088" w:rsidP="0001442F">
      <w:pPr>
        <w:spacing w:after="0" w:line="360" w:lineRule="auto"/>
        <w:jc w:val="both"/>
        <w:rPr>
          <w:rFonts w:ascii="Times New Roman" w:hAnsi="Times New Roman" w:cs="Times New Roman"/>
          <w:color w:val="FF0000"/>
          <w:sz w:val="24"/>
          <w:szCs w:val="24"/>
        </w:rPr>
      </w:pPr>
      <w:r w:rsidRPr="00E852CA">
        <w:rPr>
          <w:rFonts w:ascii="Times New Roman" w:hAnsi="Times New Roman" w:cs="Times New Roman"/>
          <w:b/>
          <w:bCs/>
          <w:color w:val="000000"/>
          <w:sz w:val="20"/>
          <w:szCs w:val="20"/>
        </w:rPr>
        <w:lastRenderedPageBreak/>
        <w:t>Tabla 3</w:t>
      </w:r>
      <w:r>
        <w:rPr>
          <w:rFonts w:ascii="Times New Roman" w:hAnsi="Times New Roman" w:cs="Times New Roman"/>
          <w:b/>
          <w:bCs/>
          <w:color w:val="000000"/>
          <w:sz w:val="20"/>
          <w:szCs w:val="20"/>
        </w:rPr>
        <w:t>.1</w:t>
      </w:r>
      <w:r w:rsidRPr="00E852CA">
        <w:rPr>
          <w:rFonts w:ascii="Times New Roman" w:hAnsi="Times New Roman" w:cs="Times New Roman"/>
          <w:b/>
          <w:bCs/>
          <w:color w:val="000000"/>
          <w:sz w:val="20"/>
          <w:szCs w:val="20"/>
        </w:rPr>
        <w:t xml:space="preserve">. Índices de divulgación de información </w:t>
      </w:r>
      <w:r>
        <w:rPr>
          <w:rFonts w:ascii="Times New Roman" w:hAnsi="Times New Roman" w:cs="Times New Roman"/>
          <w:b/>
          <w:bCs/>
          <w:color w:val="000000"/>
          <w:sz w:val="20"/>
          <w:szCs w:val="20"/>
        </w:rPr>
        <w:t xml:space="preserve">ambiental </w:t>
      </w:r>
      <w:r w:rsidRPr="00E852CA">
        <w:rPr>
          <w:rFonts w:ascii="Times New Roman" w:hAnsi="Times New Roman" w:cs="Times New Roman"/>
          <w:b/>
          <w:bCs/>
          <w:color w:val="000000"/>
          <w:sz w:val="20"/>
          <w:szCs w:val="20"/>
        </w:rPr>
        <w:t xml:space="preserve">por empresa </w:t>
      </w:r>
      <w:r>
        <w:rPr>
          <w:rFonts w:ascii="Times New Roman" w:hAnsi="Times New Roman" w:cs="Times New Roman"/>
          <w:b/>
          <w:bCs/>
          <w:color w:val="000000"/>
          <w:sz w:val="20"/>
          <w:szCs w:val="20"/>
        </w:rPr>
        <w:t>– Sector: Energía petróleo y gas</w:t>
      </w:r>
    </w:p>
    <w:p w:rsidR="00EC1088" w:rsidRDefault="00EC1088" w:rsidP="00EC1088">
      <w:pPr>
        <w:spacing w:after="0" w:line="240" w:lineRule="auto"/>
        <w:jc w:val="both"/>
        <w:rPr>
          <w:rFonts w:ascii="Times New Roman" w:hAnsi="Times New Roman" w:cs="Times New Roman"/>
          <w:b/>
          <w:bCs/>
          <w:color w:val="000000"/>
          <w:sz w:val="20"/>
          <w:szCs w:val="20"/>
        </w:rPr>
      </w:pPr>
    </w:p>
    <w:tbl>
      <w:tblPr>
        <w:tblpPr w:leftFromText="180" w:rightFromText="180" w:vertAnchor="page" w:horzAnchor="margin" w:tblpX="-284" w:tblpY="2041"/>
        <w:tblW w:w="13608" w:type="dxa"/>
        <w:tblLayout w:type="fixed"/>
        <w:tblLook w:val="0600" w:firstRow="0" w:lastRow="0" w:firstColumn="0" w:lastColumn="0" w:noHBand="1" w:noVBand="1"/>
      </w:tblPr>
      <w:tblGrid>
        <w:gridCol w:w="1702"/>
        <w:gridCol w:w="1276"/>
        <w:gridCol w:w="1134"/>
        <w:gridCol w:w="1559"/>
        <w:gridCol w:w="1276"/>
        <w:gridCol w:w="1134"/>
        <w:gridCol w:w="1134"/>
        <w:gridCol w:w="1133"/>
        <w:gridCol w:w="709"/>
        <w:gridCol w:w="1134"/>
        <w:gridCol w:w="1417"/>
      </w:tblGrid>
      <w:tr w:rsidR="00EC1088" w:rsidRPr="00C30AA8" w:rsidTr="002E4C01">
        <w:trPr>
          <w:trHeight w:val="114"/>
        </w:trPr>
        <w:tc>
          <w:tcPr>
            <w:tcW w:w="1702" w:type="dxa"/>
            <w:vMerge w:val="restart"/>
            <w:tcBorders>
              <w:top w:val="single" w:sz="4" w:space="0" w:color="000000"/>
              <w:left w:val="nil"/>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8"/>
                <w:szCs w:val="18"/>
              </w:rPr>
            </w:pPr>
            <w:r w:rsidRPr="00C30AA8">
              <w:rPr>
                <w:rFonts w:ascii="Times New Roman" w:eastAsia="Times New Roman" w:hAnsi="Times New Roman" w:cs="Times New Roman"/>
                <w:b/>
                <w:sz w:val="18"/>
                <w:szCs w:val="18"/>
              </w:rPr>
              <w:t>Contenidos temáticos</w:t>
            </w:r>
          </w:p>
        </w:tc>
        <w:tc>
          <w:tcPr>
            <w:tcW w:w="10489" w:type="dxa"/>
            <w:gridSpan w:val="9"/>
            <w:tcBorders>
              <w:top w:val="single" w:sz="4" w:space="0" w:color="000000"/>
              <w:left w:val="nil"/>
              <w:bottom w:val="single" w:sz="4" w:space="0" w:color="000000"/>
            </w:tcBorders>
            <w:vAlign w:val="center"/>
          </w:tcPr>
          <w:p w:rsidR="00EC1088" w:rsidRPr="00E6468C" w:rsidRDefault="00EC1088" w:rsidP="002E4C01">
            <w:pPr>
              <w:widowControl w:val="0"/>
              <w:spacing w:after="0" w:line="240" w:lineRule="auto"/>
              <w:jc w:val="center"/>
              <w:rPr>
                <w:rFonts w:ascii="Times New Roman" w:eastAsia="Times New Roman" w:hAnsi="Times New Roman" w:cs="Times New Roman"/>
                <w:b/>
                <w:sz w:val="18"/>
                <w:szCs w:val="18"/>
              </w:rPr>
            </w:pPr>
            <w:r w:rsidRPr="00E6468C">
              <w:rPr>
                <w:rFonts w:ascii="Times New Roman" w:hAnsi="Times New Roman" w:cs="Times New Roman"/>
                <w:b/>
                <w:bCs/>
                <w:color w:val="000000"/>
                <w:sz w:val="18"/>
                <w:szCs w:val="18"/>
              </w:rPr>
              <w:t>Sector: Energía petróleo y gas</w:t>
            </w:r>
          </w:p>
        </w:tc>
        <w:tc>
          <w:tcPr>
            <w:tcW w:w="1417" w:type="dxa"/>
            <w:tcBorders>
              <w:top w:val="single" w:sz="4" w:space="0" w:color="000000"/>
              <w:left w:val="nil"/>
              <w:bottom w:val="single" w:sz="4" w:space="0" w:color="000000"/>
            </w:tcBorders>
          </w:tcPr>
          <w:p w:rsidR="00EC1088" w:rsidRPr="00E6468C" w:rsidRDefault="00EC1088" w:rsidP="002E4C01">
            <w:pPr>
              <w:widowControl w:val="0"/>
              <w:spacing w:after="0" w:line="240" w:lineRule="auto"/>
              <w:jc w:val="center"/>
              <w:rPr>
                <w:rFonts w:ascii="Times New Roman" w:hAnsi="Times New Roman" w:cs="Times New Roman"/>
                <w:b/>
                <w:bCs/>
                <w:color w:val="000000"/>
                <w:sz w:val="18"/>
                <w:szCs w:val="18"/>
              </w:rPr>
            </w:pPr>
          </w:p>
        </w:tc>
      </w:tr>
      <w:tr w:rsidR="00EC1088" w:rsidRPr="00C30AA8" w:rsidTr="002E4C01">
        <w:trPr>
          <w:trHeight w:val="114"/>
        </w:trPr>
        <w:tc>
          <w:tcPr>
            <w:tcW w:w="1702" w:type="dxa"/>
            <w:vMerge/>
            <w:tcBorders>
              <w:left w:val="nil"/>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8"/>
                <w:szCs w:val="18"/>
              </w:rPr>
            </w:pPr>
          </w:p>
        </w:tc>
        <w:tc>
          <w:tcPr>
            <w:tcW w:w="1276" w:type="dxa"/>
            <w:tcBorders>
              <w:top w:val="single" w:sz="4" w:space="0" w:color="000000"/>
              <w:left w:val="nil"/>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CENTRAL COSTANERA</w:t>
            </w:r>
          </w:p>
        </w:tc>
        <w:tc>
          <w:tcPr>
            <w:tcW w:w="1134" w:type="dxa"/>
            <w:tcBorders>
              <w:top w:val="single" w:sz="4" w:space="0" w:color="000000"/>
              <w:left w:val="single" w:sz="4" w:space="0" w:color="auto"/>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CENTRAL  PUERTO</w:t>
            </w:r>
          </w:p>
        </w:tc>
        <w:tc>
          <w:tcPr>
            <w:tcW w:w="1559" w:type="dxa"/>
            <w:tcBorders>
              <w:top w:val="single" w:sz="4" w:space="0" w:color="000000"/>
              <w:left w:val="single" w:sz="4" w:space="0" w:color="auto"/>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EMPRESA DISTRIBUIDORA SUR</w:t>
            </w:r>
          </w:p>
        </w:tc>
        <w:tc>
          <w:tcPr>
            <w:tcW w:w="1276" w:type="dxa"/>
            <w:tcBorders>
              <w:top w:val="single" w:sz="4" w:space="0" w:color="000000"/>
              <w:left w:val="single" w:sz="4" w:space="0" w:color="auto"/>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CAMUZZI GAS PAMPEANA</w:t>
            </w:r>
          </w:p>
        </w:tc>
        <w:tc>
          <w:tcPr>
            <w:tcW w:w="1134"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NATURGY BAN</w:t>
            </w:r>
          </w:p>
        </w:tc>
        <w:tc>
          <w:tcPr>
            <w:tcW w:w="1134"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TRANSPORTADORA GAS DEL NORTE</w:t>
            </w:r>
          </w:p>
        </w:tc>
        <w:tc>
          <w:tcPr>
            <w:tcW w:w="1133"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TRANSPORTADORA GAS DEL SUR</w:t>
            </w:r>
          </w:p>
        </w:tc>
        <w:tc>
          <w:tcPr>
            <w:tcW w:w="709"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YPF</w:t>
            </w:r>
          </w:p>
        </w:tc>
        <w:tc>
          <w:tcPr>
            <w:tcW w:w="1134"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C30AA8">
              <w:rPr>
                <w:rFonts w:ascii="Times New Roman" w:eastAsia="Times New Roman" w:hAnsi="Times New Roman" w:cs="Times New Roman"/>
                <w:b/>
                <w:sz w:val="16"/>
                <w:szCs w:val="16"/>
              </w:rPr>
              <w:t>PAMPA ENERGÍA</w:t>
            </w:r>
          </w:p>
        </w:tc>
        <w:tc>
          <w:tcPr>
            <w:tcW w:w="1417" w:type="dxa"/>
            <w:tcBorders>
              <w:top w:val="single" w:sz="4" w:space="0" w:color="000000"/>
              <w:left w:val="single" w:sz="4" w:space="0" w:color="auto"/>
              <w:bottom w:val="single" w:sz="4" w:space="0" w:color="000000"/>
            </w:tcBorders>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IDIA PROMEDIO POR TEMA Y CONTENIDO </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302-1 </w:t>
            </w:r>
          </w:p>
        </w:tc>
        <w:tc>
          <w:tcPr>
            <w:tcW w:w="1276"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559"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133"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709"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top w:val="single" w:sz="4" w:space="0" w:color="000000"/>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eastAsia="Times New Roman" w:hAnsi="Times New Roman" w:cs="Times New Roman"/>
                <w:color w:val="000000"/>
                <w:sz w:val="18"/>
                <w:szCs w:val="18"/>
                <w:lang w:val="es-AR"/>
              </w:rPr>
            </w:pPr>
            <w:r w:rsidRPr="00DF1982">
              <w:rPr>
                <w:rFonts w:ascii="Times New Roman" w:hAnsi="Times New Roman" w:cs="Times New Roman"/>
                <w:color w:val="000000"/>
                <w:sz w:val="18"/>
                <w:szCs w:val="18"/>
              </w:rPr>
              <w:t>0,917</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302-2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0,240</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302-3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0,648</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302-4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0,444</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302-5 </w:t>
            </w:r>
          </w:p>
        </w:tc>
        <w:tc>
          <w:tcPr>
            <w:tcW w:w="1276"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559"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709"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bottom w:val="single" w:sz="4" w:space="0" w:color="000000"/>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0,241</w:t>
            </w:r>
          </w:p>
        </w:tc>
      </w:tr>
      <w:tr w:rsidR="00EC1088" w:rsidTr="002E4C01">
        <w:trPr>
          <w:trHeight w:val="114"/>
        </w:trPr>
        <w:tc>
          <w:tcPr>
            <w:tcW w:w="1702" w:type="dxa"/>
            <w:tcBorders>
              <w:left w:val="nil"/>
              <w:bottom w:val="single" w:sz="4" w:space="0" w:color="000000"/>
              <w:right w:val="single" w:sz="4" w:space="0" w:color="auto"/>
            </w:tcBorders>
            <w:shd w:val="clear" w:color="auto" w:fill="D9D9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302 ENERGIA</w:t>
            </w:r>
          </w:p>
        </w:tc>
        <w:tc>
          <w:tcPr>
            <w:tcW w:w="1276" w:type="dxa"/>
            <w:tcBorders>
              <w:left w:val="nil"/>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0,67</w:t>
            </w:r>
          </w:p>
        </w:tc>
        <w:tc>
          <w:tcPr>
            <w:tcW w:w="1134"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w:t>
            </w:r>
          </w:p>
        </w:tc>
        <w:tc>
          <w:tcPr>
            <w:tcW w:w="1559"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0,4</w:t>
            </w:r>
          </w:p>
        </w:tc>
        <w:tc>
          <w:tcPr>
            <w:tcW w:w="1276"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0,533</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0,633</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0,233</w:t>
            </w:r>
          </w:p>
        </w:tc>
        <w:tc>
          <w:tcPr>
            <w:tcW w:w="1133"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w:t>
            </w:r>
          </w:p>
        </w:tc>
        <w:tc>
          <w:tcPr>
            <w:tcW w:w="709"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w:t>
            </w:r>
          </w:p>
        </w:tc>
        <w:tc>
          <w:tcPr>
            <w:tcW w:w="1417" w:type="dxa"/>
            <w:tcBorders>
              <w:left w:val="single" w:sz="4" w:space="0" w:color="auto"/>
              <w:bottom w:val="single" w:sz="4" w:space="0" w:color="000000"/>
            </w:tcBorders>
            <w:shd w:val="clear" w:color="auto" w:fill="D9D9D9"/>
            <w:vAlign w:val="bottom"/>
          </w:tcPr>
          <w:p w:rsidR="00EC1088" w:rsidRPr="00DF1982" w:rsidRDefault="00EC1088" w:rsidP="002E4C01">
            <w:pPr>
              <w:spacing w:after="0" w:line="240" w:lineRule="auto"/>
              <w:jc w:val="center"/>
              <w:rPr>
                <w:rFonts w:ascii="Times New Roman" w:hAnsi="Times New Roman" w:cs="Times New Roman"/>
                <w:b/>
                <w:bCs/>
                <w:color w:val="000000"/>
                <w:sz w:val="18"/>
                <w:szCs w:val="18"/>
              </w:rPr>
            </w:pPr>
            <w:r w:rsidRPr="00DF1982">
              <w:rPr>
                <w:rFonts w:ascii="Times New Roman" w:hAnsi="Times New Roman" w:cs="Times New Roman"/>
                <w:b/>
                <w:bCs/>
                <w:color w:val="000000"/>
                <w:sz w:val="18"/>
                <w:szCs w:val="18"/>
              </w:rPr>
              <w:t>0,497</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303-1 </w:t>
            </w:r>
          </w:p>
        </w:tc>
        <w:tc>
          <w:tcPr>
            <w:tcW w:w="1276"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134"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709"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top w:val="single" w:sz="4" w:space="0" w:color="000000"/>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0,796</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303-2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0,500</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303-3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0,648</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303-4</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0,5</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0,556</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303-5</w:t>
            </w:r>
          </w:p>
        </w:tc>
        <w:tc>
          <w:tcPr>
            <w:tcW w:w="1276"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559"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3"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709"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417" w:type="dxa"/>
            <w:tcBorders>
              <w:left w:val="single" w:sz="4" w:space="0" w:color="auto"/>
              <w:bottom w:val="single" w:sz="4" w:space="0" w:color="000000"/>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0,833</w:t>
            </w:r>
          </w:p>
        </w:tc>
      </w:tr>
      <w:tr w:rsidR="00EC1088" w:rsidTr="002E4C01">
        <w:trPr>
          <w:trHeight w:val="114"/>
        </w:trPr>
        <w:tc>
          <w:tcPr>
            <w:tcW w:w="1702" w:type="dxa"/>
            <w:tcBorders>
              <w:left w:val="nil"/>
              <w:bottom w:val="single" w:sz="4" w:space="0" w:color="000000"/>
              <w:right w:val="single" w:sz="4" w:space="0" w:color="auto"/>
            </w:tcBorders>
            <w:shd w:val="clear" w:color="auto" w:fill="D9D9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303 AGUA</w:t>
            </w:r>
          </w:p>
        </w:tc>
        <w:tc>
          <w:tcPr>
            <w:tcW w:w="1276" w:type="dxa"/>
            <w:tcBorders>
              <w:left w:val="nil"/>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0,633</w:t>
            </w:r>
          </w:p>
        </w:tc>
        <w:tc>
          <w:tcPr>
            <w:tcW w:w="1134"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0,567</w:t>
            </w:r>
          </w:p>
        </w:tc>
        <w:tc>
          <w:tcPr>
            <w:tcW w:w="1559"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0,7</w:t>
            </w:r>
          </w:p>
        </w:tc>
        <w:tc>
          <w:tcPr>
            <w:tcW w:w="1276"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0,233</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0,933</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w:t>
            </w:r>
          </w:p>
        </w:tc>
        <w:tc>
          <w:tcPr>
            <w:tcW w:w="1133"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w:t>
            </w:r>
          </w:p>
        </w:tc>
        <w:tc>
          <w:tcPr>
            <w:tcW w:w="709"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0,933</w:t>
            </w:r>
          </w:p>
        </w:tc>
        <w:tc>
          <w:tcPr>
            <w:tcW w:w="1417" w:type="dxa"/>
            <w:tcBorders>
              <w:left w:val="single" w:sz="4" w:space="0" w:color="auto"/>
              <w:bottom w:val="single" w:sz="4" w:space="0" w:color="000000"/>
            </w:tcBorders>
            <w:shd w:val="clear" w:color="auto" w:fill="D9D9D9"/>
            <w:vAlign w:val="bottom"/>
          </w:tcPr>
          <w:p w:rsidR="00EC1088" w:rsidRPr="00DF1982" w:rsidRDefault="00EC1088" w:rsidP="002E4C01">
            <w:pPr>
              <w:spacing w:after="0" w:line="240" w:lineRule="auto"/>
              <w:jc w:val="center"/>
              <w:rPr>
                <w:rFonts w:ascii="Times New Roman" w:hAnsi="Times New Roman" w:cs="Times New Roman"/>
                <w:b/>
                <w:bCs/>
                <w:color w:val="000000"/>
                <w:sz w:val="18"/>
                <w:szCs w:val="18"/>
              </w:rPr>
            </w:pPr>
            <w:r w:rsidRPr="00DF1982">
              <w:rPr>
                <w:rFonts w:ascii="Times New Roman" w:hAnsi="Times New Roman" w:cs="Times New Roman"/>
                <w:b/>
                <w:bCs/>
                <w:color w:val="000000"/>
                <w:sz w:val="18"/>
                <w:szCs w:val="18"/>
              </w:rPr>
              <w:t>0,667</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305-1 </w:t>
            </w:r>
          </w:p>
        </w:tc>
        <w:tc>
          <w:tcPr>
            <w:tcW w:w="1276"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3"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709"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top w:val="single" w:sz="4" w:space="0" w:color="000000"/>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0,926</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305-2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0,778</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305-3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0,426</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305-4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0,5</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0,685</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305-5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0,500</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305-6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0,222</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305-7 </w:t>
            </w:r>
          </w:p>
        </w:tc>
        <w:tc>
          <w:tcPr>
            <w:tcW w:w="1276"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133"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709"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417" w:type="dxa"/>
            <w:tcBorders>
              <w:left w:val="single" w:sz="4" w:space="0" w:color="auto"/>
              <w:bottom w:val="single" w:sz="4" w:space="0" w:color="000000"/>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0,685</w:t>
            </w:r>
          </w:p>
        </w:tc>
      </w:tr>
      <w:tr w:rsidR="00EC1088" w:rsidTr="002E4C01">
        <w:trPr>
          <w:trHeight w:val="114"/>
        </w:trPr>
        <w:tc>
          <w:tcPr>
            <w:tcW w:w="1702" w:type="dxa"/>
            <w:tcBorders>
              <w:left w:val="nil"/>
              <w:bottom w:val="single" w:sz="4" w:space="0" w:color="000000"/>
              <w:right w:val="single" w:sz="4" w:space="0" w:color="auto"/>
            </w:tcBorders>
            <w:shd w:val="clear" w:color="auto" w:fill="D9D9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305 EMISIONES</w:t>
            </w:r>
          </w:p>
        </w:tc>
        <w:tc>
          <w:tcPr>
            <w:tcW w:w="1276" w:type="dxa"/>
            <w:tcBorders>
              <w:left w:val="nil"/>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0,643</w:t>
            </w:r>
          </w:p>
        </w:tc>
        <w:tc>
          <w:tcPr>
            <w:tcW w:w="1134"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0,714</w:t>
            </w:r>
          </w:p>
        </w:tc>
        <w:tc>
          <w:tcPr>
            <w:tcW w:w="1559"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0,786</w:t>
            </w:r>
          </w:p>
        </w:tc>
        <w:tc>
          <w:tcPr>
            <w:tcW w:w="1276"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0,143</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0,762</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133"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0,571</w:t>
            </w:r>
          </w:p>
        </w:tc>
        <w:tc>
          <w:tcPr>
            <w:tcW w:w="709"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0,810</w:t>
            </w:r>
          </w:p>
        </w:tc>
        <w:tc>
          <w:tcPr>
            <w:tcW w:w="1134"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417" w:type="dxa"/>
            <w:tcBorders>
              <w:left w:val="single" w:sz="4" w:space="0" w:color="auto"/>
              <w:bottom w:val="single" w:sz="4" w:space="0" w:color="000000"/>
            </w:tcBorders>
            <w:shd w:val="clear" w:color="auto" w:fill="D9D9D9"/>
            <w:vAlign w:val="bottom"/>
          </w:tcPr>
          <w:p w:rsidR="00EC1088" w:rsidRPr="00DF1982" w:rsidRDefault="00EC1088" w:rsidP="002E4C01">
            <w:pPr>
              <w:spacing w:after="0" w:line="240" w:lineRule="auto"/>
              <w:jc w:val="center"/>
              <w:rPr>
                <w:rFonts w:ascii="Times New Roman" w:hAnsi="Times New Roman" w:cs="Times New Roman"/>
                <w:b/>
                <w:bCs/>
                <w:color w:val="000000"/>
                <w:sz w:val="18"/>
                <w:szCs w:val="18"/>
              </w:rPr>
            </w:pPr>
            <w:r w:rsidRPr="00DF1982">
              <w:rPr>
                <w:rFonts w:ascii="Times New Roman" w:hAnsi="Times New Roman" w:cs="Times New Roman"/>
                <w:b/>
                <w:bCs/>
                <w:color w:val="000000"/>
                <w:sz w:val="18"/>
                <w:szCs w:val="18"/>
              </w:rPr>
              <w:t>0,603</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306-1 </w:t>
            </w:r>
          </w:p>
        </w:tc>
        <w:tc>
          <w:tcPr>
            <w:tcW w:w="1276"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134"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0,167</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709"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417" w:type="dxa"/>
            <w:tcBorders>
              <w:top w:val="single" w:sz="4" w:space="0" w:color="000000"/>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0,574</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306-2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0,167</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0,648</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306-3 </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0,889</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306-4</w:t>
            </w:r>
          </w:p>
        </w:tc>
        <w:tc>
          <w:tcPr>
            <w:tcW w:w="1276"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559"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709"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417" w:type="dxa"/>
            <w:tcBorders>
              <w:left w:val="single" w:sz="4" w:space="0" w:color="auto"/>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0,500</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306-5</w:t>
            </w:r>
          </w:p>
        </w:tc>
        <w:tc>
          <w:tcPr>
            <w:tcW w:w="1276"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134"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559"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0,667</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133"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709"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134"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417" w:type="dxa"/>
            <w:tcBorders>
              <w:left w:val="single" w:sz="4" w:space="0" w:color="auto"/>
              <w:bottom w:val="single" w:sz="4" w:space="0" w:color="000000"/>
            </w:tcBorders>
            <w:shd w:val="clear" w:color="auto" w:fill="FFFFFF"/>
            <w:vAlign w:val="bottom"/>
          </w:tcPr>
          <w:p w:rsidR="00EC1088" w:rsidRPr="00DF1982" w:rsidRDefault="00EC1088" w:rsidP="002E4C01">
            <w:pPr>
              <w:spacing w:after="0" w:line="240" w:lineRule="auto"/>
              <w:jc w:val="center"/>
              <w:rPr>
                <w:rFonts w:ascii="Times New Roman" w:hAnsi="Times New Roman" w:cs="Times New Roman"/>
                <w:color w:val="000000"/>
                <w:sz w:val="18"/>
                <w:szCs w:val="18"/>
              </w:rPr>
            </w:pPr>
            <w:r w:rsidRPr="00DF1982">
              <w:rPr>
                <w:rFonts w:ascii="Times New Roman" w:hAnsi="Times New Roman" w:cs="Times New Roman"/>
                <w:color w:val="000000"/>
                <w:sz w:val="18"/>
                <w:szCs w:val="18"/>
              </w:rPr>
              <w:t>0,426</w:t>
            </w:r>
          </w:p>
        </w:tc>
      </w:tr>
      <w:tr w:rsidR="00EC1088" w:rsidTr="002E4C01">
        <w:trPr>
          <w:trHeight w:val="114"/>
        </w:trPr>
        <w:tc>
          <w:tcPr>
            <w:tcW w:w="1702" w:type="dxa"/>
            <w:tcBorders>
              <w:left w:val="nil"/>
              <w:bottom w:val="single" w:sz="4" w:space="0" w:color="000000"/>
              <w:right w:val="single" w:sz="4" w:space="0" w:color="auto"/>
            </w:tcBorders>
            <w:shd w:val="clear" w:color="auto" w:fill="D9D9D9" w:themeFill="background1" w:themeFillShade="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306 EFLUENTES Y RESIDUOS</w:t>
            </w:r>
          </w:p>
        </w:tc>
        <w:tc>
          <w:tcPr>
            <w:tcW w:w="1276" w:type="dxa"/>
            <w:tcBorders>
              <w:left w:val="nil"/>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0,633</w:t>
            </w:r>
          </w:p>
        </w:tc>
        <w:tc>
          <w:tcPr>
            <w:tcW w:w="1134" w:type="dxa"/>
            <w:tcBorders>
              <w:left w:val="single" w:sz="4" w:space="0" w:color="auto"/>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559" w:type="dxa"/>
            <w:tcBorders>
              <w:left w:val="single" w:sz="4" w:space="0" w:color="auto"/>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w:t>
            </w:r>
          </w:p>
        </w:tc>
        <w:tc>
          <w:tcPr>
            <w:tcW w:w="1276" w:type="dxa"/>
            <w:tcBorders>
              <w:left w:val="single" w:sz="4" w:space="0" w:color="auto"/>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w:t>
            </w:r>
          </w:p>
        </w:tc>
        <w:tc>
          <w:tcPr>
            <w:tcW w:w="1134"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134"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w:t>
            </w:r>
          </w:p>
        </w:tc>
        <w:tc>
          <w:tcPr>
            <w:tcW w:w="1133"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709"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0,967</w:t>
            </w:r>
          </w:p>
        </w:tc>
        <w:tc>
          <w:tcPr>
            <w:tcW w:w="1134"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0,7</w:t>
            </w:r>
          </w:p>
        </w:tc>
        <w:tc>
          <w:tcPr>
            <w:tcW w:w="1417" w:type="dxa"/>
            <w:tcBorders>
              <w:left w:val="single" w:sz="4" w:space="0" w:color="auto"/>
              <w:bottom w:val="single" w:sz="4" w:space="0" w:color="000000"/>
            </w:tcBorders>
            <w:shd w:val="clear" w:color="auto" w:fill="D9D9D9" w:themeFill="background1" w:themeFillShade="D9"/>
            <w:vAlign w:val="bottom"/>
          </w:tcPr>
          <w:p w:rsidR="00EC1088" w:rsidRPr="00DF1982" w:rsidRDefault="00EC1088" w:rsidP="002E4C01">
            <w:pPr>
              <w:spacing w:after="0" w:line="240" w:lineRule="auto"/>
              <w:jc w:val="center"/>
              <w:rPr>
                <w:rFonts w:ascii="Times New Roman" w:hAnsi="Times New Roman" w:cs="Times New Roman"/>
                <w:b/>
                <w:bCs/>
                <w:color w:val="000000"/>
                <w:sz w:val="18"/>
                <w:szCs w:val="18"/>
              </w:rPr>
            </w:pPr>
            <w:r w:rsidRPr="00DF1982">
              <w:rPr>
                <w:rFonts w:ascii="Times New Roman" w:hAnsi="Times New Roman" w:cs="Times New Roman"/>
                <w:b/>
                <w:bCs/>
                <w:color w:val="000000"/>
                <w:sz w:val="18"/>
                <w:szCs w:val="18"/>
              </w:rPr>
              <w:t>0,607</w:t>
            </w:r>
          </w:p>
        </w:tc>
      </w:tr>
      <w:tr w:rsidR="00EC1088" w:rsidTr="002E4C01">
        <w:trPr>
          <w:trHeight w:val="114"/>
        </w:trPr>
        <w:tc>
          <w:tcPr>
            <w:tcW w:w="1702" w:type="dxa"/>
            <w:tcBorders>
              <w:left w:val="nil"/>
              <w:bottom w:val="single" w:sz="4" w:space="0" w:color="auto"/>
              <w:right w:val="single" w:sz="4" w:space="0" w:color="auto"/>
            </w:tcBorders>
            <w:shd w:val="clear" w:color="auto" w:fill="D9D9D9" w:themeFill="background1" w:themeFillShade="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ID</w:t>
            </w:r>
            <w:r>
              <w:rPr>
                <w:rFonts w:ascii="Times New Roman" w:eastAsia="Times New Roman" w:hAnsi="Times New Roman" w:cs="Times New Roman"/>
                <w:b/>
                <w:sz w:val="18"/>
                <w:szCs w:val="18"/>
              </w:rPr>
              <w:t>IA</w:t>
            </w:r>
            <w:r w:rsidRPr="00DF1982">
              <w:rPr>
                <w:rFonts w:ascii="Times New Roman" w:eastAsia="Times New Roman" w:hAnsi="Times New Roman" w:cs="Times New Roman"/>
                <w:b/>
                <w:sz w:val="18"/>
                <w:szCs w:val="18"/>
              </w:rPr>
              <w:t xml:space="preserve"> PROMEDIO POR EMPRESA</w:t>
            </w:r>
          </w:p>
        </w:tc>
        <w:tc>
          <w:tcPr>
            <w:tcW w:w="1276" w:type="dxa"/>
            <w:tcBorders>
              <w:left w:val="nil"/>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0,644</w:t>
            </w:r>
          </w:p>
        </w:tc>
        <w:tc>
          <w:tcPr>
            <w:tcW w:w="1134" w:type="dxa"/>
            <w:tcBorders>
              <w:left w:val="single" w:sz="4" w:space="0" w:color="auto"/>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0,562</w:t>
            </w:r>
          </w:p>
        </w:tc>
        <w:tc>
          <w:tcPr>
            <w:tcW w:w="1559" w:type="dxa"/>
            <w:tcBorders>
              <w:left w:val="single" w:sz="4" w:space="0" w:color="auto"/>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0,621</w:t>
            </w:r>
          </w:p>
        </w:tc>
        <w:tc>
          <w:tcPr>
            <w:tcW w:w="1276" w:type="dxa"/>
            <w:tcBorders>
              <w:left w:val="single" w:sz="4" w:space="0" w:color="auto"/>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0,277</w:t>
            </w:r>
          </w:p>
        </w:tc>
        <w:tc>
          <w:tcPr>
            <w:tcW w:w="1134"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0,790</w:t>
            </w:r>
          </w:p>
        </w:tc>
        <w:tc>
          <w:tcPr>
            <w:tcW w:w="1134"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0,242</w:t>
            </w:r>
          </w:p>
        </w:tc>
        <w:tc>
          <w:tcPr>
            <w:tcW w:w="1133"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0,585</w:t>
            </w:r>
          </w:p>
        </w:tc>
        <w:tc>
          <w:tcPr>
            <w:tcW w:w="709"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0,844</w:t>
            </w:r>
          </w:p>
        </w:tc>
        <w:tc>
          <w:tcPr>
            <w:tcW w:w="1134"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0,775</w:t>
            </w:r>
          </w:p>
        </w:tc>
        <w:tc>
          <w:tcPr>
            <w:tcW w:w="1417" w:type="dxa"/>
            <w:tcBorders>
              <w:left w:val="single" w:sz="4" w:space="0" w:color="auto"/>
              <w:bottom w:val="single" w:sz="4" w:space="0" w:color="auto"/>
            </w:tcBorders>
            <w:shd w:val="clear" w:color="auto" w:fill="D9D9D9" w:themeFill="background1" w:themeFillShade="D9"/>
            <w:vAlign w:val="bottom"/>
          </w:tcPr>
          <w:p w:rsidR="00EC1088" w:rsidRPr="00DF1982" w:rsidRDefault="00EC1088" w:rsidP="002E4C01">
            <w:pPr>
              <w:spacing w:after="0" w:line="240" w:lineRule="auto"/>
              <w:jc w:val="right"/>
              <w:rPr>
                <w:rFonts w:ascii="Times New Roman" w:eastAsia="Times New Roman" w:hAnsi="Times New Roman" w:cs="Times New Roman"/>
                <w:color w:val="000000"/>
                <w:sz w:val="18"/>
                <w:szCs w:val="18"/>
                <w:lang w:val="es-AR"/>
              </w:rPr>
            </w:pPr>
          </w:p>
        </w:tc>
      </w:tr>
      <w:tr w:rsidR="00EC1088" w:rsidTr="002E4C01">
        <w:trPr>
          <w:trHeight w:val="114"/>
        </w:trPr>
        <w:tc>
          <w:tcPr>
            <w:tcW w:w="1702" w:type="dxa"/>
            <w:tcBorders>
              <w:top w:val="single" w:sz="4" w:space="0" w:color="auto"/>
              <w:left w:val="nil"/>
              <w:bottom w:val="single" w:sz="4" w:space="0" w:color="000000"/>
              <w:right w:val="single" w:sz="4" w:space="0" w:color="auto"/>
            </w:tcBorders>
            <w:shd w:val="clear" w:color="auto" w:fill="D9D9D9" w:themeFill="background1" w:themeFillShade="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b/>
                <w:sz w:val="18"/>
                <w:szCs w:val="18"/>
              </w:rPr>
            </w:pPr>
            <w:r w:rsidRPr="00DF1982">
              <w:rPr>
                <w:rFonts w:ascii="Times New Roman" w:eastAsia="Times New Roman" w:hAnsi="Times New Roman" w:cs="Times New Roman"/>
                <w:b/>
                <w:sz w:val="18"/>
                <w:szCs w:val="18"/>
              </w:rPr>
              <w:t>ID</w:t>
            </w:r>
            <w:r>
              <w:rPr>
                <w:rFonts w:ascii="Times New Roman" w:eastAsia="Times New Roman" w:hAnsi="Times New Roman" w:cs="Times New Roman"/>
                <w:b/>
                <w:sz w:val="18"/>
                <w:szCs w:val="18"/>
              </w:rPr>
              <w:t>IA</w:t>
            </w:r>
            <w:r w:rsidRPr="00DF1982">
              <w:rPr>
                <w:rFonts w:ascii="Times New Roman" w:eastAsia="Times New Roman" w:hAnsi="Times New Roman" w:cs="Times New Roman"/>
                <w:b/>
                <w:sz w:val="18"/>
                <w:szCs w:val="18"/>
              </w:rPr>
              <w:t xml:space="preserve"> PROMEDIO POR SECTOR</w:t>
            </w:r>
          </w:p>
        </w:tc>
        <w:tc>
          <w:tcPr>
            <w:tcW w:w="10489" w:type="dxa"/>
            <w:gridSpan w:val="9"/>
            <w:tcBorders>
              <w:top w:val="single" w:sz="4" w:space="0" w:color="auto"/>
              <w:left w:val="nil"/>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0,593</w:t>
            </w:r>
          </w:p>
        </w:tc>
        <w:tc>
          <w:tcPr>
            <w:tcW w:w="1417" w:type="dxa"/>
            <w:tcBorders>
              <w:top w:val="single" w:sz="4" w:space="0" w:color="auto"/>
              <w:left w:val="nil"/>
              <w:bottom w:val="single" w:sz="4" w:space="0" w:color="000000"/>
            </w:tcBorders>
            <w:shd w:val="clear" w:color="auto" w:fill="D9D9D9" w:themeFill="background1" w:themeFillShade="D9"/>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p>
        </w:tc>
      </w:tr>
    </w:tbl>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eastAsia="Times New Roman" w:hAnsi="Times New Roman" w:cs="Times New Roman"/>
          <w:b/>
          <w:color w:val="000000"/>
          <w:sz w:val="18"/>
          <w:szCs w:val="18"/>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r w:rsidRPr="00E852CA">
        <w:rPr>
          <w:rFonts w:ascii="Times New Roman" w:hAnsi="Times New Roman" w:cs="Times New Roman"/>
          <w:b/>
          <w:bCs/>
          <w:color w:val="000000"/>
          <w:sz w:val="20"/>
          <w:szCs w:val="20"/>
        </w:rPr>
        <w:t>Tabla 3</w:t>
      </w:r>
      <w:r>
        <w:rPr>
          <w:rFonts w:ascii="Times New Roman" w:hAnsi="Times New Roman" w:cs="Times New Roman"/>
          <w:b/>
          <w:bCs/>
          <w:color w:val="000000"/>
          <w:sz w:val="20"/>
          <w:szCs w:val="20"/>
        </w:rPr>
        <w:t>.2</w:t>
      </w:r>
      <w:r w:rsidRPr="00E852CA">
        <w:rPr>
          <w:rFonts w:ascii="Times New Roman" w:hAnsi="Times New Roman" w:cs="Times New Roman"/>
          <w:b/>
          <w:bCs/>
          <w:color w:val="000000"/>
          <w:sz w:val="20"/>
          <w:szCs w:val="20"/>
        </w:rPr>
        <w:t xml:space="preserve">. Índices de divulgación de información </w:t>
      </w:r>
      <w:r>
        <w:rPr>
          <w:rFonts w:ascii="Times New Roman" w:hAnsi="Times New Roman" w:cs="Times New Roman"/>
          <w:b/>
          <w:bCs/>
          <w:color w:val="000000"/>
          <w:sz w:val="20"/>
          <w:szCs w:val="20"/>
        </w:rPr>
        <w:t xml:space="preserve">ambiental </w:t>
      </w:r>
      <w:r w:rsidRPr="00E852CA">
        <w:rPr>
          <w:rFonts w:ascii="Times New Roman" w:hAnsi="Times New Roman" w:cs="Times New Roman"/>
          <w:b/>
          <w:bCs/>
          <w:color w:val="000000"/>
          <w:sz w:val="20"/>
          <w:szCs w:val="20"/>
        </w:rPr>
        <w:t xml:space="preserve">por empresa </w:t>
      </w:r>
      <w:r>
        <w:rPr>
          <w:rFonts w:ascii="Times New Roman" w:hAnsi="Times New Roman" w:cs="Times New Roman"/>
          <w:b/>
          <w:bCs/>
          <w:color w:val="000000"/>
          <w:sz w:val="20"/>
          <w:szCs w:val="20"/>
        </w:rPr>
        <w:t>– Sector: Financiero, bursátil y seguros</w:t>
      </w:r>
    </w:p>
    <w:p w:rsidR="00EC1088" w:rsidRDefault="00EC1088" w:rsidP="00EC1088">
      <w:pPr>
        <w:spacing w:after="0" w:line="240" w:lineRule="auto"/>
        <w:jc w:val="both"/>
        <w:rPr>
          <w:rFonts w:ascii="Times New Roman" w:hAnsi="Times New Roman" w:cs="Times New Roman"/>
          <w:b/>
          <w:bCs/>
          <w:color w:val="000000"/>
          <w:sz w:val="20"/>
          <w:szCs w:val="20"/>
        </w:rPr>
      </w:pPr>
    </w:p>
    <w:tbl>
      <w:tblPr>
        <w:tblpPr w:leftFromText="180" w:rightFromText="180" w:vertAnchor="page" w:horzAnchor="margin" w:tblpY="2257"/>
        <w:tblW w:w="12049" w:type="dxa"/>
        <w:tblLayout w:type="fixed"/>
        <w:tblLook w:val="0600" w:firstRow="0" w:lastRow="0" w:firstColumn="0" w:lastColumn="0" w:noHBand="1" w:noVBand="1"/>
      </w:tblPr>
      <w:tblGrid>
        <w:gridCol w:w="1702"/>
        <w:gridCol w:w="1417"/>
        <w:gridCol w:w="850"/>
        <w:gridCol w:w="1276"/>
        <w:gridCol w:w="992"/>
        <w:gridCol w:w="1276"/>
        <w:gridCol w:w="1418"/>
        <w:gridCol w:w="850"/>
        <w:gridCol w:w="992"/>
        <w:gridCol w:w="1276"/>
      </w:tblGrid>
      <w:tr w:rsidR="00EC1088" w:rsidRPr="007C6137" w:rsidTr="002E4C01">
        <w:trPr>
          <w:trHeight w:val="114"/>
        </w:trPr>
        <w:tc>
          <w:tcPr>
            <w:tcW w:w="1702" w:type="dxa"/>
            <w:vMerge w:val="restart"/>
            <w:tcBorders>
              <w:top w:val="single" w:sz="4" w:space="0" w:color="000000"/>
              <w:left w:val="nil"/>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8"/>
                <w:szCs w:val="18"/>
              </w:rPr>
            </w:pPr>
            <w:r w:rsidRPr="00C30AA8">
              <w:rPr>
                <w:rFonts w:ascii="Times New Roman" w:eastAsia="Times New Roman" w:hAnsi="Times New Roman" w:cs="Times New Roman"/>
                <w:b/>
                <w:sz w:val="18"/>
                <w:szCs w:val="18"/>
              </w:rPr>
              <w:t>Contenidos temáticos</w:t>
            </w:r>
          </w:p>
        </w:tc>
        <w:tc>
          <w:tcPr>
            <w:tcW w:w="9071" w:type="dxa"/>
            <w:gridSpan w:val="8"/>
            <w:tcBorders>
              <w:top w:val="single" w:sz="4" w:space="0" w:color="000000"/>
              <w:left w:val="nil"/>
              <w:bottom w:val="single" w:sz="4" w:space="0" w:color="000000"/>
            </w:tcBorders>
            <w:vAlign w:val="center"/>
          </w:tcPr>
          <w:p w:rsidR="00EC1088" w:rsidRPr="004B6398" w:rsidRDefault="00EC1088" w:rsidP="002E4C01">
            <w:pPr>
              <w:widowControl w:val="0"/>
              <w:spacing w:after="0" w:line="240" w:lineRule="auto"/>
              <w:jc w:val="center"/>
              <w:rPr>
                <w:rFonts w:ascii="Times New Roman" w:eastAsia="Times New Roman" w:hAnsi="Times New Roman" w:cs="Times New Roman"/>
                <w:b/>
                <w:sz w:val="18"/>
                <w:szCs w:val="18"/>
              </w:rPr>
            </w:pPr>
            <w:r w:rsidRPr="004B6398">
              <w:rPr>
                <w:rFonts w:ascii="Times New Roman" w:hAnsi="Times New Roman" w:cs="Times New Roman"/>
                <w:b/>
                <w:bCs/>
                <w:color w:val="000000"/>
                <w:sz w:val="18"/>
                <w:szCs w:val="18"/>
              </w:rPr>
              <w:t>Sector: Financiero, bursátil y seguros</w:t>
            </w:r>
          </w:p>
        </w:tc>
        <w:tc>
          <w:tcPr>
            <w:tcW w:w="1276" w:type="dxa"/>
            <w:tcBorders>
              <w:top w:val="single" w:sz="4" w:space="0" w:color="000000"/>
              <w:left w:val="nil"/>
              <w:bottom w:val="single" w:sz="4" w:space="0" w:color="000000"/>
            </w:tcBorders>
          </w:tcPr>
          <w:p w:rsidR="00EC1088" w:rsidRPr="004B6398" w:rsidRDefault="00EC1088" w:rsidP="002E4C01">
            <w:pPr>
              <w:widowControl w:val="0"/>
              <w:spacing w:after="0" w:line="240" w:lineRule="auto"/>
              <w:jc w:val="center"/>
              <w:rPr>
                <w:rFonts w:ascii="Times New Roman" w:hAnsi="Times New Roman" w:cs="Times New Roman"/>
                <w:b/>
                <w:bCs/>
                <w:color w:val="000000"/>
                <w:sz w:val="18"/>
                <w:szCs w:val="18"/>
              </w:rPr>
            </w:pPr>
          </w:p>
        </w:tc>
      </w:tr>
      <w:tr w:rsidR="00EC1088" w:rsidRPr="0032389C" w:rsidTr="002E4C01">
        <w:trPr>
          <w:trHeight w:val="114"/>
        </w:trPr>
        <w:tc>
          <w:tcPr>
            <w:tcW w:w="1702" w:type="dxa"/>
            <w:vMerge/>
            <w:tcBorders>
              <w:left w:val="nil"/>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8"/>
                <w:szCs w:val="18"/>
              </w:rPr>
            </w:pPr>
          </w:p>
        </w:tc>
        <w:tc>
          <w:tcPr>
            <w:tcW w:w="1417" w:type="dxa"/>
            <w:tcBorders>
              <w:top w:val="single" w:sz="4" w:space="0" w:color="000000"/>
              <w:left w:val="nil"/>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90082E">
              <w:rPr>
                <w:rFonts w:ascii="Times New Roman" w:eastAsia="Times New Roman" w:hAnsi="Times New Roman" w:cs="Times New Roman"/>
                <w:b/>
                <w:sz w:val="16"/>
                <w:szCs w:val="16"/>
              </w:rPr>
              <w:t>BANCO HIPOTECARIO</w:t>
            </w:r>
          </w:p>
        </w:tc>
        <w:tc>
          <w:tcPr>
            <w:tcW w:w="850" w:type="dxa"/>
            <w:tcBorders>
              <w:top w:val="single" w:sz="4" w:space="0" w:color="000000"/>
              <w:left w:val="single" w:sz="4" w:space="0" w:color="auto"/>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90082E">
              <w:rPr>
                <w:rFonts w:ascii="Times New Roman" w:eastAsia="Times New Roman" w:hAnsi="Times New Roman" w:cs="Times New Roman"/>
                <w:b/>
                <w:sz w:val="16"/>
                <w:szCs w:val="16"/>
              </w:rPr>
              <w:t>BANCO MACRO</w:t>
            </w:r>
          </w:p>
        </w:tc>
        <w:tc>
          <w:tcPr>
            <w:tcW w:w="1276" w:type="dxa"/>
            <w:tcBorders>
              <w:top w:val="single" w:sz="4" w:space="0" w:color="000000"/>
              <w:left w:val="single" w:sz="4" w:space="0" w:color="auto"/>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90082E">
              <w:rPr>
                <w:rFonts w:ascii="Times New Roman" w:eastAsia="Times New Roman" w:hAnsi="Times New Roman" w:cs="Times New Roman"/>
                <w:b/>
                <w:sz w:val="16"/>
                <w:szCs w:val="16"/>
              </w:rPr>
              <w:t>BANCO PATAGONIA</w:t>
            </w:r>
          </w:p>
        </w:tc>
        <w:tc>
          <w:tcPr>
            <w:tcW w:w="992" w:type="dxa"/>
            <w:tcBorders>
              <w:top w:val="single" w:sz="4" w:space="0" w:color="000000"/>
              <w:left w:val="single" w:sz="4" w:space="0" w:color="auto"/>
              <w:bottom w:val="single" w:sz="4" w:space="0" w:color="000000"/>
              <w:right w:val="single" w:sz="4" w:space="0" w:color="auto"/>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90082E">
              <w:rPr>
                <w:rFonts w:ascii="Times New Roman" w:eastAsia="Times New Roman" w:hAnsi="Times New Roman" w:cs="Times New Roman"/>
                <w:b/>
                <w:sz w:val="16"/>
                <w:szCs w:val="16"/>
              </w:rPr>
              <w:t>BANCO BBVA</w:t>
            </w:r>
          </w:p>
        </w:tc>
        <w:tc>
          <w:tcPr>
            <w:tcW w:w="1276"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GRUPO FINANCIERO GALICIA</w:t>
            </w:r>
          </w:p>
        </w:tc>
        <w:tc>
          <w:tcPr>
            <w:tcW w:w="1418"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GRUPO SUPERVIELLE</w:t>
            </w:r>
          </w:p>
        </w:tc>
        <w:tc>
          <w:tcPr>
            <w:tcW w:w="850" w:type="dxa"/>
            <w:tcBorders>
              <w:top w:val="single" w:sz="4" w:space="0" w:color="000000"/>
              <w:left w:val="single" w:sz="4" w:space="0" w:color="auto"/>
              <w:bottom w:val="single" w:sz="4" w:space="0" w:color="000000"/>
            </w:tcBorders>
            <w:vAlign w:val="center"/>
          </w:tcPr>
          <w:p w:rsidR="00EC1088" w:rsidRPr="00C30AA8" w:rsidRDefault="00EC1088" w:rsidP="002E4C01">
            <w:pPr>
              <w:widowControl w:val="0"/>
              <w:spacing w:after="0" w:line="240" w:lineRule="auto"/>
              <w:jc w:val="center"/>
              <w:rPr>
                <w:rFonts w:ascii="Times New Roman" w:eastAsia="Times New Roman" w:hAnsi="Times New Roman" w:cs="Times New Roman"/>
                <w:b/>
                <w:sz w:val="16"/>
                <w:szCs w:val="16"/>
              </w:rPr>
            </w:pPr>
            <w:r w:rsidRPr="0090082E">
              <w:rPr>
                <w:rFonts w:ascii="Times New Roman" w:eastAsia="Times New Roman" w:hAnsi="Times New Roman" w:cs="Times New Roman"/>
                <w:b/>
                <w:sz w:val="16"/>
                <w:szCs w:val="16"/>
              </w:rPr>
              <w:t>BYMA</w:t>
            </w:r>
          </w:p>
        </w:tc>
        <w:tc>
          <w:tcPr>
            <w:tcW w:w="992" w:type="dxa"/>
            <w:tcBorders>
              <w:top w:val="single" w:sz="4" w:space="0" w:color="000000"/>
              <w:left w:val="single" w:sz="4" w:space="0" w:color="auto"/>
              <w:bottom w:val="single" w:sz="4" w:space="0" w:color="000000"/>
            </w:tcBorders>
            <w:vAlign w:val="center"/>
          </w:tcPr>
          <w:p w:rsidR="00EC1088" w:rsidRPr="0032389C" w:rsidRDefault="00EC1088" w:rsidP="002E4C01">
            <w:pPr>
              <w:widowControl w:val="0"/>
              <w:spacing w:after="0" w:line="240" w:lineRule="auto"/>
              <w:jc w:val="center"/>
              <w:rPr>
                <w:rFonts w:ascii="Times New Roman" w:eastAsia="Times New Roman" w:hAnsi="Times New Roman" w:cs="Times New Roman"/>
                <w:b/>
                <w:sz w:val="16"/>
                <w:szCs w:val="16"/>
                <w:lang w:val="en-US"/>
              </w:rPr>
            </w:pPr>
            <w:r>
              <w:rPr>
                <w:rFonts w:ascii="Times New Roman" w:eastAsia="Times New Roman" w:hAnsi="Times New Roman" w:cs="Times New Roman"/>
                <w:b/>
                <w:sz w:val="16"/>
                <w:szCs w:val="16"/>
                <w:lang w:val="en-US"/>
              </w:rPr>
              <w:t>MATBA ROFEX</w:t>
            </w:r>
          </w:p>
        </w:tc>
        <w:tc>
          <w:tcPr>
            <w:tcW w:w="1276" w:type="dxa"/>
            <w:tcBorders>
              <w:top w:val="single" w:sz="4" w:space="0" w:color="000000"/>
              <w:left w:val="single" w:sz="4" w:space="0" w:color="auto"/>
              <w:bottom w:val="single" w:sz="4" w:space="0" w:color="000000"/>
            </w:tcBorders>
          </w:tcPr>
          <w:p w:rsidR="00EC1088" w:rsidRPr="00DF1982" w:rsidRDefault="00EC1088" w:rsidP="002E4C01">
            <w:pPr>
              <w:widowControl w:val="0"/>
              <w:spacing w:after="0" w:line="240" w:lineRule="auto"/>
              <w:jc w:val="center"/>
              <w:rPr>
                <w:rFonts w:ascii="Times New Roman" w:eastAsia="Times New Roman" w:hAnsi="Times New Roman" w:cs="Times New Roman"/>
                <w:b/>
                <w:sz w:val="16"/>
                <w:szCs w:val="16"/>
                <w:lang w:val="es-AR"/>
              </w:rPr>
            </w:pPr>
            <w:r>
              <w:rPr>
                <w:rFonts w:ascii="Times New Roman" w:eastAsia="Times New Roman" w:hAnsi="Times New Roman" w:cs="Times New Roman"/>
                <w:b/>
                <w:sz w:val="16"/>
                <w:szCs w:val="16"/>
              </w:rPr>
              <w:t>IDIA PROMEDIO POR TEMA Y CONTENIDO</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302-1 </w:t>
            </w:r>
          </w:p>
        </w:tc>
        <w:tc>
          <w:tcPr>
            <w:tcW w:w="1417"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850"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992"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276"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418"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850"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992"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276" w:type="dxa"/>
            <w:tcBorders>
              <w:top w:val="single" w:sz="4" w:space="0" w:color="000000"/>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0,929</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302-2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0,104</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302-3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0,354</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302-4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0,458</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302-5 </w:t>
            </w:r>
          </w:p>
        </w:tc>
        <w:tc>
          <w:tcPr>
            <w:tcW w:w="1417"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992"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bottom w:val="single" w:sz="4" w:space="0" w:color="000000"/>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0,146</w:t>
            </w:r>
          </w:p>
        </w:tc>
      </w:tr>
      <w:tr w:rsidR="00EC1088" w:rsidTr="002E4C01">
        <w:trPr>
          <w:trHeight w:val="114"/>
        </w:trPr>
        <w:tc>
          <w:tcPr>
            <w:tcW w:w="1702" w:type="dxa"/>
            <w:tcBorders>
              <w:left w:val="nil"/>
              <w:bottom w:val="single" w:sz="4" w:space="0" w:color="000000"/>
              <w:right w:val="single" w:sz="4" w:space="0" w:color="auto"/>
            </w:tcBorders>
            <w:shd w:val="clear" w:color="auto" w:fill="D9D9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302 ENERGIA</w:t>
            </w:r>
          </w:p>
        </w:tc>
        <w:tc>
          <w:tcPr>
            <w:tcW w:w="1417" w:type="dxa"/>
            <w:tcBorders>
              <w:left w:val="nil"/>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0,233</w:t>
            </w:r>
          </w:p>
        </w:tc>
        <w:tc>
          <w:tcPr>
            <w:tcW w:w="850"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276"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0,8</w:t>
            </w:r>
          </w:p>
        </w:tc>
        <w:tc>
          <w:tcPr>
            <w:tcW w:w="992"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0,367</w:t>
            </w:r>
          </w:p>
        </w:tc>
        <w:tc>
          <w:tcPr>
            <w:tcW w:w="1276"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418"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850"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w:t>
            </w:r>
          </w:p>
        </w:tc>
        <w:tc>
          <w:tcPr>
            <w:tcW w:w="992"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w:t>
            </w:r>
          </w:p>
        </w:tc>
        <w:tc>
          <w:tcPr>
            <w:tcW w:w="1276" w:type="dxa"/>
            <w:tcBorders>
              <w:left w:val="single" w:sz="4" w:space="0" w:color="auto"/>
              <w:bottom w:val="single" w:sz="4" w:space="0" w:color="000000"/>
            </w:tcBorders>
            <w:shd w:val="clear" w:color="auto" w:fill="D9D9D9"/>
          </w:tcPr>
          <w:p w:rsidR="00EC1088" w:rsidRPr="004F5416" w:rsidRDefault="00EC1088" w:rsidP="002E4C01">
            <w:pPr>
              <w:spacing w:after="0" w:line="240" w:lineRule="auto"/>
              <w:jc w:val="center"/>
              <w:rPr>
                <w:rFonts w:ascii="Times New Roman" w:hAnsi="Times New Roman" w:cs="Times New Roman"/>
                <w:b/>
                <w:sz w:val="18"/>
                <w:szCs w:val="18"/>
              </w:rPr>
            </w:pPr>
            <w:r w:rsidRPr="004F5416">
              <w:rPr>
                <w:rFonts w:ascii="Times New Roman" w:hAnsi="Times New Roman" w:cs="Times New Roman"/>
                <w:b/>
                <w:sz w:val="18"/>
                <w:szCs w:val="18"/>
              </w:rPr>
              <w:t>0,400</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303-1 </w:t>
            </w:r>
          </w:p>
        </w:tc>
        <w:tc>
          <w:tcPr>
            <w:tcW w:w="1417"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850"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992"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top w:val="single" w:sz="4" w:space="0" w:color="000000"/>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0,024</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303-2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0,125</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303-3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0,063</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303-4</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0,021</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303-5</w:t>
            </w:r>
          </w:p>
        </w:tc>
        <w:tc>
          <w:tcPr>
            <w:tcW w:w="1417"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850"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bottom w:val="single" w:sz="4" w:space="0" w:color="000000"/>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0,229</w:t>
            </w:r>
          </w:p>
        </w:tc>
      </w:tr>
      <w:tr w:rsidR="00EC1088" w:rsidTr="002E4C01">
        <w:trPr>
          <w:trHeight w:val="114"/>
        </w:trPr>
        <w:tc>
          <w:tcPr>
            <w:tcW w:w="1702" w:type="dxa"/>
            <w:tcBorders>
              <w:left w:val="nil"/>
              <w:bottom w:val="single" w:sz="4" w:space="0" w:color="000000"/>
              <w:right w:val="single" w:sz="4" w:space="0" w:color="auto"/>
            </w:tcBorders>
            <w:shd w:val="clear" w:color="auto" w:fill="D9D9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303 AGUA</w:t>
            </w:r>
          </w:p>
        </w:tc>
        <w:tc>
          <w:tcPr>
            <w:tcW w:w="1417" w:type="dxa"/>
            <w:tcBorders>
              <w:left w:val="nil"/>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850"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0,133</w:t>
            </w:r>
          </w:p>
        </w:tc>
        <w:tc>
          <w:tcPr>
            <w:tcW w:w="1276"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w:t>
            </w:r>
          </w:p>
        </w:tc>
        <w:tc>
          <w:tcPr>
            <w:tcW w:w="1418"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0,033</w:t>
            </w:r>
          </w:p>
        </w:tc>
        <w:tc>
          <w:tcPr>
            <w:tcW w:w="850"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0,033</w:t>
            </w:r>
          </w:p>
        </w:tc>
        <w:tc>
          <w:tcPr>
            <w:tcW w:w="992"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0,033</w:t>
            </w:r>
          </w:p>
        </w:tc>
        <w:tc>
          <w:tcPr>
            <w:tcW w:w="1276" w:type="dxa"/>
            <w:tcBorders>
              <w:left w:val="single" w:sz="4" w:space="0" w:color="auto"/>
              <w:bottom w:val="single" w:sz="4" w:space="0" w:color="000000"/>
            </w:tcBorders>
            <w:shd w:val="clear" w:color="auto" w:fill="D9D9D9"/>
          </w:tcPr>
          <w:p w:rsidR="00EC1088" w:rsidRPr="00005F3E" w:rsidRDefault="00EC1088" w:rsidP="002E4C01">
            <w:pPr>
              <w:spacing w:after="0" w:line="240" w:lineRule="auto"/>
              <w:jc w:val="center"/>
              <w:rPr>
                <w:rFonts w:ascii="Times New Roman" w:hAnsi="Times New Roman" w:cs="Times New Roman"/>
                <w:b/>
                <w:sz w:val="18"/>
                <w:szCs w:val="18"/>
              </w:rPr>
            </w:pPr>
            <w:r w:rsidRPr="00005F3E">
              <w:rPr>
                <w:rFonts w:ascii="Times New Roman" w:hAnsi="Times New Roman" w:cs="Times New Roman"/>
                <w:b/>
                <w:sz w:val="18"/>
                <w:szCs w:val="18"/>
              </w:rPr>
              <w:t>0,096</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305-1 </w:t>
            </w:r>
          </w:p>
        </w:tc>
        <w:tc>
          <w:tcPr>
            <w:tcW w:w="1417"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8"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850"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992"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top w:val="single" w:sz="4" w:space="0" w:color="000000"/>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0,583</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305-2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0,333</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0,646</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305-3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0,458</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305-4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0,313</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305-5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0,104</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305-6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0,042</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305-7 </w:t>
            </w:r>
          </w:p>
        </w:tc>
        <w:tc>
          <w:tcPr>
            <w:tcW w:w="1417"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276" w:type="dxa"/>
            <w:tcBorders>
              <w:left w:val="single" w:sz="4" w:space="0" w:color="auto"/>
              <w:bottom w:val="single" w:sz="4" w:space="0" w:color="000000"/>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0,042</w:t>
            </w:r>
          </w:p>
        </w:tc>
      </w:tr>
      <w:tr w:rsidR="00EC1088" w:rsidTr="002E4C01">
        <w:trPr>
          <w:trHeight w:val="114"/>
        </w:trPr>
        <w:tc>
          <w:tcPr>
            <w:tcW w:w="1702" w:type="dxa"/>
            <w:tcBorders>
              <w:left w:val="nil"/>
              <w:bottom w:val="single" w:sz="4" w:space="0" w:color="000000"/>
              <w:right w:val="single" w:sz="4" w:space="0" w:color="auto"/>
            </w:tcBorders>
            <w:shd w:val="clear" w:color="auto" w:fill="D9D9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305 EMISIONES</w:t>
            </w:r>
          </w:p>
        </w:tc>
        <w:tc>
          <w:tcPr>
            <w:tcW w:w="1417" w:type="dxa"/>
            <w:tcBorders>
              <w:left w:val="nil"/>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0,429</w:t>
            </w:r>
          </w:p>
        </w:tc>
        <w:tc>
          <w:tcPr>
            <w:tcW w:w="1276"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0,048</w:t>
            </w:r>
          </w:p>
        </w:tc>
        <w:tc>
          <w:tcPr>
            <w:tcW w:w="992" w:type="dxa"/>
            <w:tcBorders>
              <w:left w:val="single" w:sz="4" w:space="0" w:color="auto"/>
              <w:bottom w:val="single" w:sz="4" w:space="0" w:color="000000"/>
              <w:right w:val="single" w:sz="4" w:space="0" w:color="auto"/>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0,310</w:t>
            </w:r>
          </w:p>
        </w:tc>
        <w:tc>
          <w:tcPr>
            <w:tcW w:w="1276"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0,548</w:t>
            </w:r>
          </w:p>
        </w:tc>
        <w:tc>
          <w:tcPr>
            <w:tcW w:w="1418"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850"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0,214</w:t>
            </w:r>
          </w:p>
        </w:tc>
        <w:tc>
          <w:tcPr>
            <w:tcW w:w="992" w:type="dxa"/>
            <w:tcBorders>
              <w:left w:val="single" w:sz="4" w:space="0" w:color="auto"/>
              <w:bottom w:val="single" w:sz="4" w:space="0" w:color="000000"/>
            </w:tcBorders>
            <w:shd w:val="clear" w:color="auto" w:fill="D9D9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0,619</w:t>
            </w:r>
          </w:p>
        </w:tc>
        <w:tc>
          <w:tcPr>
            <w:tcW w:w="1276" w:type="dxa"/>
            <w:tcBorders>
              <w:left w:val="single" w:sz="4" w:space="0" w:color="auto"/>
              <w:bottom w:val="single" w:sz="4" w:space="0" w:color="000000"/>
            </w:tcBorders>
            <w:shd w:val="clear" w:color="auto" w:fill="D9D9D9"/>
          </w:tcPr>
          <w:p w:rsidR="00EC1088" w:rsidRPr="00005F3E" w:rsidRDefault="00EC1088" w:rsidP="002E4C01">
            <w:pPr>
              <w:spacing w:after="0" w:line="240" w:lineRule="auto"/>
              <w:jc w:val="center"/>
              <w:rPr>
                <w:rFonts w:ascii="Times New Roman" w:hAnsi="Times New Roman" w:cs="Times New Roman"/>
                <w:b/>
                <w:sz w:val="18"/>
                <w:szCs w:val="18"/>
              </w:rPr>
            </w:pPr>
            <w:r w:rsidRPr="00005F3E">
              <w:rPr>
                <w:rFonts w:ascii="Times New Roman" w:hAnsi="Times New Roman" w:cs="Times New Roman"/>
                <w:b/>
                <w:sz w:val="18"/>
                <w:szCs w:val="18"/>
              </w:rPr>
              <w:t>0,313</w:t>
            </w:r>
          </w:p>
        </w:tc>
      </w:tr>
      <w:tr w:rsidR="00EC1088" w:rsidTr="002E4C01">
        <w:trPr>
          <w:trHeight w:val="114"/>
        </w:trPr>
        <w:tc>
          <w:tcPr>
            <w:tcW w:w="1702" w:type="dxa"/>
            <w:tcBorders>
              <w:top w:val="single" w:sz="4" w:space="0" w:color="000000"/>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306-1 </w:t>
            </w:r>
          </w:p>
        </w:tc>
        <w:tc>
          <w:tcPr>
            <w:tcW w:w="1417" w:type="dxa"/>
            <w:tcBorders>
              <w:top w:val="single" w:sz="4" w:space="0" w:color="000000"/>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850"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276"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0,333</w:t>
            </w:r>
          </w:p>
        </w:tc>
        <w:tc>
          <w:tcPr>
            <w:tcW w:w="992" w:type="dxa"/>
            <w:tcBorders>
              <w:top w:val="single" w:sz="4" w:space="0" w:color="000000"/>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850"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992" w:type="dxa"/>
            <w:tcBorders>
              <w:top w:val="single" w:sz="4" w:space="0" w:color="000000"/>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top w:val="single" w:sz="4" w:space="0" w:color="000000"/>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0,625</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306-2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1</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0,708</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 xml:space="preserve">306-3 </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0,833</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0,833</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1</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0,458</w:t>
            </w:r>
          </w:p>
        </w:tc>
      </w:tr>
      <w:tr w:rsidR="00EC1088" w:rsidTr="002E4C01">
        <w:trPr>
          <w:trHeight w:val="114"/>
        </w:trPr>
        <w:tc>
          <w:tcPr>
            <w:tcW w:w="1702" w:type="dxa"/>
            <w:tcBorders>
              <w:left w:val="nil"/>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306-4</w:t>
            </w:r>
          </w:p>
        </w:tc>
        <w:tc>
          <w:tcPr>
            <w:tcW w:w="1417" w:type="dxa"/>
            <w:tcBorders>
              <w:left w:val="nil"/>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850"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0,667</w:t>
            </w:r>
          </w:p>
        </w:tc>
        <w:tc>
          <w:tcPr>
            <w:tcW w:w="850"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0,146</w:t>
            </w:r>
          </w:p>
        </w:tc>
      </w:tr>
      <w:tr w:rsidR="00EC1088" w:rsidTr="002E4C01">
        <w:trPr>
          <w:trHeight w:val="114"/>
        </w:trPr>
        <w:tc>
          <w:tcPr>
            <w:tcW w:w="1702" w:type="dxa"/>
            <w:tcBorders>
              <w:left w:val="nil"/>
              <w:bottom w:val="single" w:sz="4" w:space="0" w:color="000000"/>
              <w:right w:val="single" w:sz="4" w:space="0" w:color="auto"/>
            </w:tcBorders>
            <w:shd w:val="clear" w:color="auto" w:fill="FFFFFF"/>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306-5</w:t>
            </w:r>
          </w:p>
        </w:tc>
        <w:tc>
          <w:tcPr>
            <w:tcW w:w="1417" w:type="dxa"/>
            <w:tcBorders>
              <w:left w:val="nil"/>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0,333</w:t>
            </w:r>
          </w:p>
        </w:tc>
        <w:tc>
          <w:tcPr>
            <w:tcW w:w="850"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highlight w:val="red"/>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right w:val="single" w:sz="4" w:space="0" w:color="auto"/>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0,167</w:t>
            </w:r>
          </w:p>
        </w:tc>
        <w:tc>
          <w:tcPr>
            <w:tcW w:w="1276"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418"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850"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992" w:type="dxa"/>
            <w:tcBorders>
              <w:left w:val="single" w:sz="4" w:space="0" w:color="auto"/>
              <w:bottom w:val="single" w:sz="4" w:space="0" w:color="000000"/>
            </w:tcBorders>
            <w:shd w:val="clear" w:color="auto" w:fill="FFFFFF"/>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w:t>
            </w:r>
          </w:p>
        </w:tc>
        <w:tc>
          <w:tcPr>
            <w:tcW w:w="1276" w:type="dxa"/>
            <w:tcBorders>
              <w:left w:val="single" w:sz="4" w:space="0" w:color="auto"/>
              <w:bottom w:val="single" w:sz="4" w:space="0" w:color="000000"/>
            </w:tcBorders>
            <w:shd w:val="clear" w:color="auto" w:fill="FFFFFF"/>
          </w:tcPr>
          <w:p w:rsidR="00EC1088" w:rsidRPr="00DF1982" w:rsidRDefault="00EC1088" w:rsidP="002E4C01">
            <w:pPr>
              <w:spacing w:after="0" w:line="240" w:lineRule="auto"/>
              <w:jc w:val="center"/>
              <w:rPr>
                <w:rFonts w:ascii="Times New Roman" w:hAnsi="Times New Roman" w:cs="Times New Roman"/>
                <w:sz w:val="18"/>
                <w:szCs w:val="18"/>
              </w:rPr>
            </w:pPr>
            <w:r w:rsidRPr="00DF1982">
              <w:rPr>
                <w:rFonts w:ascii="Times New Roman" w:hAnsi="Times New Roman" w:cs="Times New Roman"/>
                <w:sz w:val="18"/>
                <w:szCs w:val="18"/>
              </w:rPr>
              <w:t>0,063</w:t>
            </w:r>
          </w:p>
        </w:tc>
      </w:tr>
      <w:tr w:rsidR="00EC1088" w:rsidTr="002E4C01">
        <w:trPr>
          <w:trHeight w:val="114"/>
        </w:trPr>
        <w:tc>
          <w:tcPr>
            <w:tcW w:w="1702" w:type="dxa"/>
            <w:tcBorders>
              <w:left w:val="nil"/>
              <w:bottom w:val="single" w:sz="4" w:space="0" w:color="000000"/>
              <w:right w:val="single" w:sz="4" w:space="0" w:color="auto"/>
            </w:tcBorders>
            <w:shd w:val="clear" w:color="auto" w:fill="D9D9D9" w:themeFill="background1" w:themeFillShade="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306 EFLUENTES Y RESIDUOS</w:t>
            </w:r>
          </w:p>
        </w:tc>
        <w:tc>
          <w:tcPr>
            <w:tcW w:w="1417" w:type="dxa"/>
            <w:tcBorders>
              <w:left w:val="nil"/>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0,6</w:t>
            </w:r>
          </w:p>
        </w:tc>
        <w:tc>
          <w:tcPr>
            <w:tcW w:w="850" w:type="dxa"/>
            <w:tcBorders>
              <w:left w:val="single" w:sz="4" w:space="0" w:color="auto"/>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0,400</w:t>
            </w:r>
          </w:p>
        </w:tc>
        <w:tc>
          <w:tcPr>
            <w:tcW w:w="1276" w:type="dxa"/>
            <w:tcBorders>
              <w:left w:val="single" w:sz="4" w:space="0" w:color="auto"/>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0,433</w:t>
            </w:r>
          </w:p>
        </w:tc>
        <w:tc>
          <w:tcPr>
            <w:tcW w:w="992" w:type="dxa"/>
            <w:tcBorders>
              <w:left w:val="single" w:sz="4" w:space="0" w:color="auto"/>
              <w:bottom w:val="single" w:sz="4" w:space="0" w:color="000000"/>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w:t>
            </w:r>
          </w:p>
        </w:tc>
        <w:tc>
          <w:tcPr>
            <w:tcW w:w="1276"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0,067</w:t>
            </w:r>
          </w:p>
        </w:tc>
        <w:tc>
          <w:tcPr>
            <w:tcW w:w="1418"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0,733</w:t>
            </w:r>
          </w:p>
        </w:tc>
        <w:tc>
          <w:tcPr>
            <w:tcW w:w="850"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0,4</w:t>
            </w:r>
          </w:p>
        </w:tc>
        <w:tc>
          <w:tcPr>
            <w:tcW w:w="992"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0,267</w:t>
            </w:r>
          </w:p>
        </w:tc>
        <w:tc>
          <w:tcPr>
            <w:tcW w:w="1276" w:type="dxa"/>
            <w:tcBorders>
              <w:left w:val="single" w:sz="4" w:space="0" w:color="auto"/>
              <w:bottom w:val="single" w:sz="4" w:space="0" w:color="000000"/>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b/>
                <w:sz w:val="18"/>
                <w:szCs w:val="18"/>
              </w:rPr>
            </w:pPr>
            <w:r w:rsidRPr="00DF1982">
              <w:rPr>
                <w:rFonts w:ascii="Times New Roman" w:eastAsia="Times New Roman" w:hAnsi="Times New Roman" w:cs="Times New Roman"/>
                <w:b/>
                <w:sz w:val="18"/>
                <w:szCs w:val="18"/>
              </w:rPr>
              <w:t>0,400</w:t>
            </w:r>
          </w:p>
        </w:tc>
      </w:tr>
      <w:tr w:rsidR="00EC1088" w:rsidTr="002E4C01">
        <w:trPr>
          <w:trHeight w:val="114"/>
        </w:trPr>
        <w:tc>
          <w:tcPr>
            <w:tcW w:w="1702" w:type="dxa"/>
            <w:tcBorders>
              <w:left w:val="nil"/>
              <w:bottom w:val="single" w:sz="4" w:space="0" w:color="auto"/>
              <w:right w:val="single" w:sz="4" w:space="0" w:color="auto"/>
            </w:tcBorders>
            <w:shd w:val="clear" w:color="auto" w:fill="D9D9D9" w:themeFill="background1" w:themeFillShade="D9"/>
            <w:vAlign w:val="bottom"/>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b/>
                <w:sz w:val="18"/>
                <w:szCs w:val="18"/>
              </w:rPr>
              <w:t>ID</w:t>
            </w:r>
            <w:r>
              <w:rPr>
                <w:rFonts w:ascii="Times New Roman" w:eastAsia="Times New Roman" w:hAnsi="Times New Roman" w:cs="Times New Roman"/>
                <w:b/>
                <w:sz w:val="18"/>
                <w:szCs w:val="18"/>
              </w:rPr>
              <w:t>IA</w:t>
            </w:r>
            <w:r w:rsidRPr="00DF1982">
              <w:rPr>
                <w:rFonts w:ascii="Times New Roman" w:eastAsia="Times New Roman" w:hAnsi="Times New Roman" w:cs="Times New Roman"/>
                <w:b/>
                <w:sz w:val="18"/>
                <w:szCs w:val="18"/>
              </w:rPr>
              <w:t xml:space="preserve"> PROMEDIO POR EMPRESA</w:t>
            </w:r>
          </w:p>
        </w:tc>
        <w:tc>
          <w:tcPr>
            <w:tcW w:w="1417" w:type="dxa"/>
            <w:tcBorders>
              <w:left w:val="nil"/>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0,250</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0,324</w:t>
            </w:r>
          </w:p>
        </w:tc>
        <w:tc>
          <w:tcPr>
            <w:tcW w:w="1276" w:type="dxa"/>
            <w:tcBorders>
              <w:left w:val="single" w:sz="4" w:space="0" w:color="auto"/>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0,320</w:t>
            </w:r>
          </w:p>
        </w:tc>
        <w:tc>
          <w:tcPr>
            <w:tcW w:w="992" w:type="dxa"/>
            <w:tcBorders>
              <w:left w:val="single" w:sz="4" w:space="0" w:color="auto"/>
              <w:bottom w:val="single" w:sz="4" w:space="0" w:color="auto"/>
              <w:right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0,286</w:t>
            </w:r>
          </w:p>
        </w:tc>
        <w:tc>
          <w:tcPr>
            <w:tcW w:w="1276"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0,245</w:t>
            </w:r>
          </w:p>
        </w:tc>
        <w:tc>
          <w:tcPr>
            <w:tcW w:w="1418"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0,4</w:t>
            </w:r>
          </w:p>
        </w:tc>
        <w:tc>
          <w:tcPr>
            <w:tcW w:w="850"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0,212</w:t>
            </w:r>
          </w:p>
        </w:tc>
        <w:tc>
          <w:tcPr>
            <w:tcW w:w="992" w:type="dxa"/>
            <w:tcBorders>
              <w:left w:val="single" w:sz="4" w:space="0" w:color="auto"/>
              <w:bottom w:val="single" w:sz="4" w:space="0" w:color="auto"/>
            </w:tcBorders>
            <w:shd w:val="clear" w:color="auto" w:fill="D9D9D9" w:themeFill="background1" w:themeFillShade="D9"/>
            <w:vAlign w:val="center"/>
          </w:tcPr>
          <w:p w:rsidR="00EC1088" w:rsidRPr="00DF1982" w:rsidRDefault="00EC1088" w:rsidP="002E4C01">
            <w:pPr>
              <w:widowControl w:val="0"/>
              <w:spacing w:after="0" w:line="240" w:lineRule="auto"/>
              <w:jc w:val="center"/>
              <w:rPr>
                <w:rFonts w:ascii="Times New Roman" w:eastAsia="Times New Roman" w:hAnsi="Times New Roman" w:cs="Times New Roman"/>
                <w:sz w:val="18"/>
                <w:szCs w:val="18"/>
              </w:rPr>
            </w:pPr>
            <w:r w:rsidRPr="00DF1982">
              <w:rPr>
                <w:rFonts w:ascii="Times New Roman" w:eastAsia="Times New Roman" w:hAnsi="Times New Roman" w:cs="Times New Roman"/>
                <w:sz w:val="18"/>
                <w:szCs w:val="18"/>
              </w:rPr>
              <w:t>0,380</w:t>
            </w:r>
          </w:p>
        </w:tc>
        <w:tc>
          <w:tcPr>
            <w:tcW w:w="1276" w:type="dxa"/>
            <w:tcBorders>
              <w:left w:val="single" w:sz="4" w:space="0" w:color="auto"/>
              <w:bottom w:val="single" w:sz="4" w:space="0" w:color="auto"/>
            </w:tcBorders>
            <w:shd w:val="clear" w:color="auto" w:fill="D9D9D9" w:themeFill="background1" w:themeFillShade="D9"/>
          </w:tcPr>
          <w:p w:rsidR="00EC1088" w:rsidRPr="00DF1982" w:rsidRDefault="00EC1088" w:rsidP="002E4C01">
            <w:pPr>
              <w:spacing w:after="0" w:line="240" w:lineRule="auto"/>
              <w:jc w:val="center"/>
              <w:rPr>
                <w:rFonts w:ascii="Times New Roman" w:hAnsi="Times New Roman" w:cs="Times New Roman"/>
                <w:sz w:val="18"/>
                <w:szCs w:val="18"/>
              </w:rPr>
            </w:pPr>
          </w:p>
        </w:tc>
      </w:tr>
      <w:tr w:rsidR="00EC1088" w:rsidTr="002E4C01">
        <w:trPr>
          <w:trHeight w:val="114"/>
        </w:trPr>
        <w:tc>
          <w:tcPr>
            <w:tcW w:w="1702" w:type="dxa"/>
            <w:tcBorders>
              <w:top w:val="single" w:sz="4" w:space="0" w:color="auto"/>
              <w:left w:val="nil"/>
              <w:bottom w:val="single" w:sz="4" w:space="0" w:color="000000"/>
              <w:right w:val="single" w:sz="4" w:space="0" w:color="auto"/>
            </w:tcBorders>
            <w:shd w:val="clear" w:color="auto" w:fill="D9D9D9" w:themeFill="background1" w:themeFillShade="D9"/>
            <w:vAlign w:val="bottom"/>
          </w:tcPr>
          <w:p w:rsidR="00EC1088" w:rsidRDefault="00EC1088" w:rsidP="002E4C01">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IDIA PROMEDIO POR SECTOR</w:t>
            </w:r>
          </w:p>
        </w:tc>
        <w:tc>
          <w:tcPr>
            <w:tcW w:w="9071" w:type="dxa"/>
            <w:gridSpan w:val="8"/>
            <w:tcBorders>
              <w:top w:val="single" w:sz="4" w:space="0" w:color="auto"/>
              <w:left w:val="nil"/>
              <w:bottom w:val="single" w:sz="4" w:space="0" w:color="000000"/>
            </w:tcBorders>
            <w:shd w:val="clear" w:color="auto" w:fill="D9D9D9" w:themeFill="background1" w:themeFillShade="D9"/>
            <w:vAlign w:val="center"/>
          </w:tcPr>
          <w:p w:rsidR="00EC1088" w:rsidRDefault="00EC1088" w:rsidP="002E4C01">
            <w:pPr>
              <w:widowControl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0,302</w:t>
            </w:r>
          </w:p>
        </w:tc>
        <w:tc>
          <w:tcPr>
            <w:tcW w:w="1276" w:type="dxa"/>
            <w:tcBorders>
              <w:top w:val="single" w:sz="4" w:space="0" w:color="auto"/>
              <w:left w:val="nil"/>
              <w:bottom w:val="single" w:sz="4" w:space="0" w:color="000000"/>
            </w:tcBorders>
            <w:shd w:val="clear" w:color="auto" w:fill="D9D9D9" w:themeFill="background1" w:themeFillShade="D9"/>
          </w:tcPr>
          <w:p w:rsidR="00EC1088" w:rsidRDefault="00EC1088" w:rsidP="002E4C01">
            <w:pPr>
              <w:widowControl w:val="0"/>
              <w:spacing w:after="0" w:line="240" w:lineRule="auto"/>
              <w:jc w:val="center"/>
              <w:rPr>
                <w:rFonts w:ascii="Times New Roman" w:eastAsia="Times New Roman" w:hAnsi="Times New Roman" w:cs="Times New Roman"/>
                <w:sz w:val="18"/>
                <w:szCs w:val="18"/>
              </w:rPr>
            </w:pPr>
          </w:p>
        </w:tc>
      </w:tr>
    </w:tbl>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Pr>
        <w:spacing w:after="0" w:line="240" w:lineRule="auto"/>
        <w:jc w:val="both"/>
        <w:rPr>
          <w:rFonts w:ascii="Times New Roman" w:hAnsi="Times New Roman" w:cs="Times New Roman"/>
          <w:b/>
          <w:bCs/>
          <w:color w:val="000000"/>
          <w:sz w:val="20"/>
          <w:szCs w:val="20"/>
        </w:rPr>
      </w:pPr>
    </w:p>
    <w:p w:rsidR="00EC1088" w:rsidRDefault="00EC1088" w:rsidP="00EC1088"/>
    <w:p w:rsidR="00EC1088" w:rsidRPr="00C30AA8" w:rsidRDefault="00EC1088" w:rsidP="00EC1088">
      <w:pPr>
        <w:spacing w:after="0" w:line="240" w:lineRule="auto"/>
        <w:jc w:val="both"/>
        <w:rPr>
          <w:rFonts w:ascii="Times New Roman" w:eastAsia="Times New Roman" w:hAnsi="Times New Roman" w:cs="Times New Roman"/>
          <w:b/>
          <w:color w:val="000000"/>
          <w:sz w:val="18"/>
          <w:szCs w:val="18"/>
        </w:rPr>
      </w:pPr>
    </w:p>
    <w:p w:rsidR="00C82C5D" w:rsidRDefault="00C82C5D" w:rsidP="0001442F">
      <w:pPr>
        <w:spacing w:after="0" w:line="360" w:lineRule="auto"/>
        <w:jc w:val="both"/>
        <w:rPr>
          <w:rFonts w:ascii="Times New Roman" w:hAnsi="Times New Roman" w:cs="Times New Roman"/>
          <w:sz w:val="24"/>
          <w:szCs w:val="24"/>
        </w:rPr>
        <w:sectPr w:rsidR="00C82C5D" w:rsidSect="00DF1982">
          <w:pgSz w:w="16838" w:h="11906" w:orient="landscape"/>
          <w:pgMar w:top="1701" w:right="1417" w:bottom="1701" w:left="1417" w:header="708" w:footer="708" w:gutter="0"/>
          <w:cols w:space="708"/>
          <w:docGrid w:linePitch="360"/>
        </w:sectPr>
      </w:pPr>
    </w:p>
    <w:p w:rsidR="00A24230" w:rsidRDefault="005B43CC" w:rsidP="0001442F">
      <w:pPr>
        <w:spacing w:after="0" w:line="360" w:lineRule="auto"/>
        <w:jc w:val="both"/>
        <w:rPr>
          <w:rFonts w:ascii="Times New Roman" w:eastAsia="Times New Roman" w:hAnsi="Times New Roman" w:cs="Times New Roman"/>
          <w:sz w:val="24"/>
          <w:szCs w:val="24"/>
        </w:rPr>
      </w:pPr>
      <w:bookmarkStart w:id="0" w:name="_GoBack"/>
      <w:bookmarkEnd w:id="0"/>
      <w:r w:rsidRPr="008419D0">
        <w:rPr>
          <w:rFonts w:ascii="Times New Roman" w:hAnsi="Times New Roman" w:cs="Times New Roman"/>
          <w:sz w:val="24"/>
          <w:szCs w:val="24"/>
        </w:rPr>
        <w:lastRenderedPageBreak/>
        <w:t>Asimismo, estos resultados ev</w:t>
      </w:r>
      <w:r w:rsidR="00005F3E">
        <w:rPr>
          <w:rFonts w:ascii="Times New Roman" w:hAnsi="Times New Roman" w:cs="Times New Roman"/>
          <w:sz w:val="24"/>
          <w:szCs w:val="24"/>
        </w:rPr>
        <w:t>id</w:t>
      </w:r>
      <w:r w:rsidRPr="008419D0">
        <w:rPr>
          <w:rFonts w:ascii="Times New Roman" w:hAnsi="Times New Roman" w:cs="Times New Roman"/>
          <w:sz w:val="24"/>
          <w:szCs w:val="24"/>
        </w:rPr>
        <w:t xml:space="preserve">encian una clara relación positiva entre el nivel de divulgación </w:t>
      </w:r>
      <w:r w:rsidR="00005F3E">
        <w:rPr>
          <w:rFonts w:ascii="Times New Roman" w:hAnsi="Times New Roman" w:cs="Times New Roman"/>
          <w:sz w:val="24"/>
          <w:szCs w:val="24"/>
        </w:rPr>
        <w:t xml:space="preserve">de información </w:t>
      </w:r>
      <w:r w:rsidRPr="008419D0">
        <w:rPr>
          <w:rFonts w:ascii="Times New Roman" w:hAnsi="Times New Roman" w:cs="Times New Roman"/>
          <w:sz w:val="24"/>
          <w:szCs w:val="24"/>
        </w:rPr>
        <w:t xml:space="preserve">y </w:t>
      </w:r>
      <w:r w:rsidR="00A24230" w:rsidRPr="008419D0">
        <w:rPr>
          <w:rFonts w:ascii="Times New Roman" w:hAnsi="Times New Roman" w:cs="Times New Roman"/>
          <w:sz w:val="24"/>
          <w:szCs w:val="24"/>
        </w:rPr>
        <w:t>el sector en el que opera la empresa</w:t>
      </w:r>
      <w:r w:rsidRPr="008419D0">
        <w:rPr>
          <w:rFonts w:ascii="Times New Roman" w:hAnsi="Times New Roman" w:cs="Times New Roman"/>
          <w:sz w:val="24"/>
          <w:szCs w:val="24"/>
        </w:rPr>
        <w:t>, en la med</w:t>
      </w:r>
      <w:r w:rsidR="00005F3E">
        <w:rPr>
          <w:rFonts w:ascii="Times New Roman" w:hAnsi="Times New Roman" w:cs="Times New Roman"/>
          <w:sz w:val="24"/>
          <w:szCs w:val="24"/>
        </w:rPr>
        <w:t>id</w:t>
      </w:r>
      <w:r w:rsidRPr="008419D0">
        <w:rPr>
          <w:rFonts w:ascii="Times New Roman" w:hAnsi="Times New Roman" w:cs="Times New Roman"/>
          <w:sz w:val="24"/>
          <w:szCs w:val="24"/>
        </w:rPr>
        <w:t xml:space="preserve">a que </w:t>
      </w:r>
      <w:r w:rsidR="00A24230" w:rsidRPr="008419D0">
        <w:rPr>
          <w:rFonts w:ascii="Times New Roman" w:hAnsi="Times New Roman" w:cs="Times New Roman"/>
          <w:sz w:val="24"/>
          <w:szCs w:val="24"/>
        </w:rPr>
        <w:t xml:space="preserve">la mayor parte de </w:t>
      </w:r>
      <w:r w:rsidRPr="008419D0">
        <w:rPr>
          <w:rFonts w:ascii="Times New Roman" w:hAnsi="Times New Roman" w:cs="Times New Roman"/>
          <w:sz w:val="24"/>
          <w:szCs w:val="24"/>
        </w:rPr>
        <w:t xml:space="preserve">las empresas </w:t>
      </w:r>
      <w:r w:rsidR="00A24230" w:rsidRPr="008419D0">
        <w:rPr>
          <w:rFonts w:ascii="Times New Roman" w:hAnsi="Times New Roman" w:cs="Times New Roman"/>
          <w:sz w:val="24"/>
          <w:szCs w:val="24"/>
        </w:rPr>
        <w:t>del sector “</w:t>
      </w:r>
      <w:r w:rsidR="00A24230" w:rsidRPr="008419D0">
        <w:rPr>
          <w:rFonts w:ascii="Times New Roman" w:eastAsia="Times New Roman" w:hAnsi="Times New Roman" w:cs="Times New Roman"/>
          <w:sz w:val="24"/>
          <w:szCs w:val="24"/>
        </w:rPr>
        <w:t xml:space="preserve">Energía, petróleo y gas” presentan niveles de </w:t>
      </w:r>
      <w:r w:rsidR="00A24230" w:rsidRPr="008419D0">
        <w:rPr>
          <w:rFonts w:ascii="Times New Roman" w:hAnsi="Times New Roman" w:cs="Times New Roman"/>
          <w:sz w:val="24"/>
          <w:szCs w:val="24"/>
        </w:rPr>
        <w:t>divulgación de IA notoriamente superiores a los que ev</w:t>
      </w:r>
      <w:r w:rsidR="00005F3E">
        <w:rPr>
          <w:rFonts w:ascii="Times New Roman" w:hAnsi="Times New Roman" w:cs="Times New Roman"/>
          <w:sz w:val="24"/>
          <w:szCs w:val="24"/>
        </w:rPr>
        <w:t>id</w:t>
      </w:r>
      <w:r w:rsidR="00A24230" w:rsidRPr="008419D0">
        <w:rPr>
          <w:rFonts w:ascii="Times New Roman" w:hAnsi="Times New Roman" w:cs="Times New Roman"/>
          <w:sz w:val="24"/>
          <w:szCs w:val="24"/>
        </w:rPr>
        <w:t xml:space="preserve">encian las empresas del sector </w:t>
      </w:r>
      <w:r w:rsidR="00A24230" w:rsidRPr="008419D0">
        <w:rPr>
          <w:rFonts w:ascii="Times New Roman" w:eastAsia="Times New Roman" w:hAnsi="Times New Roman" w:cs="Times New Roman"/>
          <w:sz w:val="24"/>
          <w:szCs w:val="24"/>
        </w:rPr>
        <w:t>“</w:t>
      </w:r>
      <w:r w:rsidR="00A24230" w:rsidRPr="008419D0">
        <w:rPr>
          <w:rFonts w:ascii="Times New Roman" w:hAnsi="Times New Roman" w:cs="Times New Roman"/>
          <w:bCs/>
          <w:sz w:val="24"/>
          <w:szCs w:val="24"/>
        </w:rPr>
        <w:t>Financiero, bursátil y seguros</w:t>
      </w:r>
      <w:r w:rsidR="00A24230" w:rsidRPr="008419D0">
        <w:rPr>
          <w:rFonts w:ascii="Times New Roman" w:eastAsia="Times New Roman" w:hAnsi="Times New Roman" w:cs="Times New Roman"/>
          <w:sz w:val="24"/>
          <w:szCs w:val="24"/>
        </w:rPr>
        <w:t xml:space="preserve">”. </w:t>
      </w:r>
      <w:r w:rsidR="00636A1B" w:rsidRPr="008419D0">
        <w:rPr>
          <w:rFonts w:ascii="Times New Roman" w:eastAsia="Times New Roman" w:hAnsi="Times New Roman" w:cs="Times New Roman"/>
          <w:sz w:val="24"/>
          <w:szCs w:val="24"/>
        </w:rPr>
        <w:t>Esta ev</w:t>
      </w:r>
      <w:r w:rsidR="00005F3E">
        <w:rPr>
          <w:rFonts w:ascii="Times New Roman" w:eastAsia="Times New Roman" w:hAnsi="Times New Roman" w:cs="Times New Roman"/>
          <w:sz w:val="24"/>
          <w:szCs w:val="24"/>
        </w:rPr>
        <w:t>id</w:t>
      </w:r>
      <w:r w:rsidR="00636A1B" w:rsidRPr="008419D0">
        <w:rPr>
          <w:rFonts w:ascii="Times New Roman" w:eastAsia="Times New Roman" w:hAnsi="Times New Roman" w:cs="Times New Roman"/>
          <w:sz w:val="24"/>
          <w:szCs w:val="24"/>
        </w:rPr>
        <w:t xml:space="preserve">encia también es consistente con la </w:t>
      </w:r>
      <w:r w:rsidR="00A24230" w:rsidRPr="008419D0">
        <w:rPr>
          <w:rFonts w:ascii="Times New Roman" w:eastAsia="Times New Roman" w:hAnsi="Times New Roman" w:cs="Times New Roman"/>
          <w:sz w:val="24"/>
          <w:szCs w:val="24"/>
        </w:rPr>
        <w:t xml:space="preserve">literatura previa </w:t>
      </w:r>
      <w:r w:rsidR="00636A1B" w:rsidRPr="008419D0">
        <w:rPr>
          <w:rFonts w:ascii="Times New Roman" w:eastAsia="Times New Roman" w:hAnsi="Times New Roman" w:cs="Times New Roman"/>
          <w:sz w:val="24"/>
          <w:szCs w:val="24"/>
        </w:rPr>
        <w:t>que muestra que l</w:t>
      </w:r>
      <w:r w:rsidR="00636A1B" w:rsidRPr="008419D0">
        <w:rPr>
          <w:rFonts w:ascii="Times New Roman" w:hAnsi="Times New Roman" w:cs="Times New Roman"/>
          <w:sz w:val="24"/>
          <w:szCs w:val="24"/>
        </w:rPr>
        <w:t xml:space="preserve">as empresas que operan en sectores donde los riesgos de contaminación al ambiente son más elevados, la propensión a divulgar IA </w:t>
      </w:r>
      <w:r w:rsidR="00005F3E">
        <w:rPr>
          <w:rFonts w:ascii="Times New Roman" w:hAnsi="Times New Roman" w:cs="Times New Roman"/>
          <w:sz w:val="24"/>
          <w:szCs w:val="24"/>
        </w:rPr>
        <w:t xml:space="preserve">es </w:t>
      </w:r>
      <w:r w:rsidR="00636A1B" w:rsidRPr="008419D0">
        <w:rPr>
          <w:rFonts w:ascii="Times New Roman" w:hAnsi="Times New Roman" w:cs="Times New Roman"/>
          <w:sz w:val="24"/>
          <w:szCs w:val="24"/>
        </w:rPr>
        <w:t xml:space="preserve">también mayor </w:t>
      </w:r>
      <w:r w:rsidR="00067C84">
        <w:rPr>
          <w:rFonts w:ascii="Times New Roman" w:eastAsia="Times New Roman" w:hAnsi="Times New Roman" w:cs="Times New Roman"/>
          <w:sz w:val="24"/>
          <w:szCs w:val="24"/>
        </w:rPr>
        <w:t>(</w:t>
      </w:r>
      <w:proofErr w:type="spellStart"/>
      <w:r w:rsidR="00067C84">
        <w:rPr>
          <w:rFonts w:ascii="Times New Roman" w:eastAsia="Times New Roman" w:hAnsi="Times New Roman" w:cs="Times New Roman"/>
          <w:sz w:val="24"/>
          <w:szCs w:val="24"/>
        </w:rPr>
        <w:t>Ahmadi</w:t>
      </w:r>
      <w:proofErr w:type="spellEnd"/>
      <w:r w:rsidR="00067C84">
        <w:rPr>
          <w:rFonts w:ascii="Times New Roman" w:eastAsia="Times New Roman" w:hAnsi="Times New Roman" w:cs="Times New Roman"/>
          <w:sz w:val="24"/>
          <w:szCs w:val="24"/>
        </w:rPr>
        <w:t xml:space="preserve"> y </w:t>
      </w:r>
      <w:proofErr w:type="spellStart"/>
      <w:r w:rsidR="00067C84">
        <w:rPr>
          <w:rFonts w:ascii="Times New Roman" w:eastAsia="Times New Roman" w:hAnsi="Times New Roman" w:cs="Times New Roman"/>
          <w:sz w:val="24"/>
          <w:szCs w:val="24"/>
        </w:rPr>
        <w:t>Bouri</w:t>
      </w:r>
      <w:proofErr w:type="spellEnd"/>
      <w:r w:rsidR="00067C84">
        <w:rPr>
          <w:rFonts w:ascii="Times New Roman" w:eastAsia="Times New Roman" w:hAnsi="Times New Roman" w:cs="Times New Roman"/>
          <w:sz w:val="24"/>
          <w:szCs w:val="24"/>
        </w:rPr>
        <w:t xml:space="preserve">, 2017; </w:t>
      </w:r>
      <w:proofErr w:type="spellStart"/>
      <w:r w:rsidR="00067C84">
        <w:rPr>
          <w:rFonts w:ascii="Times New Roman" w:eastAsia="Times New Roman" w:hAnsi="Times New Roman" w:cs="Times New Roman"/>
          <w:sz w:val="24"/>
          <w:szCs w:val="24"/>
        </w:rPr>
        <w:t>Dawkins</w:t>
      </w:r>
      <w:proofErr w:type="spellEnd"/>
      <w:r w:rsidR="00067C84">
        <w:rPr>
          <w:rFonts w:ascii="Times New Roman" w:eastAsia="Times New Roman" w:hAnsi="Times New Roman" w:cs="Times New Roman"/>
          <w:sz w:val="24"/>
          <w:szCs w:val="24"/>
        </w:rPr>
        <w:t xml:space="preserve"> y</w:t>
      </w:r>
      <w:r w:rsidR="00636A1B" w:rsidRPr="008419D0">
        <w:rPr>
          <w:rFonts w:ascii="Times New Roman" w:eastAsia="Times New Roman" w:hAnsi="Times New Roman" w:cs="Times New Roman"/>
          <w:sz w:val="24"/>
          <w:szCs w:val="24"/>
        </w:rPr>
        <w:t xml:space="preserve"> </w:t>
      </w:r>
      <w:proofErr w:type="spellStart"/>
      <w:r w:rsidR="00636A1B" w:rsidRPr="008419D0">
        <w:rPr>
          <w:rFonts w:ascii="Times New Roman" w:eastAsia="Times New Roman" w:hAnsi="Times New Roman" w:cs="Times New Roman"/>
          <w:sz w:val="24"/>
          <w:szCs w:val="24"/>
        </w:rPr>
        <w:t>Fraas</w:t>
      </w:r>
      <w:proofErr w:type="spellEnd"/>
      <w:r w:rsidR="00636A1B" w:rsidRPr="008419D0">
        <w:rPr>
          <w:rFonts w:ascii="Times New Roman" w:eastAsia="Times New Roman" w:hAnsi="Times New Roman" w:cs="Times New Roman"/>
          <w:sz w:val="24"/>
          <w:szCs w:val="24"/>
        </w:rPr>
        <w:t>, 2011</w:t>
      </w:r>
      <w:r w:rsidR="00636A1B" w:rsidRPr="008419D0">
        <w:rPr>
          <w:rFonts w:ascii="Times New Roman" w:hAnsi="Times New Roman" w:cs="Times New Roman"/>
          <w:sz w:val="24"/>
          <w:szCs w:val="24"/>
        </w:rPr>
        <w:t>)</w:t>
      </w:r>
      <w:r w:rsidR="0039315D" w:rsidRPr="008419D0">
        <w:rPr>
          <w:rFonts w:ascii="Times New Roman" w:hAnsi="Times New Roman" w:cs="Times New Roman"/>
          <w:sz w:val="24"/>
          <w:szCs w:val="24"/>
        </w:rPr>
        <w:t>. En efecto, “</w:t>
      </w:r>
      <w:r w:rsidR="0039315D" w:rsidRPr="008419D0">
        <w:rPr>
          <w:rFonts w:ascii="Times New Roman" w:eastAsia="Times New Roman" w:hAnsi="Times New Roman" w:cs="Times New Roman"/>
          <w:sz w:val="24"/>
          <w:szCs w:val="24"/>
        </w:rPr>
        <w:t>Energía, petróleo y gas” es un</w:t>
      </w:r>
      <w:r w:rsidR="00A24230" w:rsidRPr="008419D0">
        <w:rPr>
          <w:rFonts w:ascii="Times New Roman" w:hAnsi="Times New Roman" w:cs="Times New Roman"/>
          <w:sz w:val="24"/>
          <w:szCs w:val="24"/>
        </w:rPr>
        <w:t xml:space="preserve"> sector que, a través del desarrollo de sus activ</w:t>
      </w:r>
      <w:r w:rsidR="00005F3E">
        <w:rPr>
          <w:rFonts w:ascii="Times New Roman" w:hAnsi="Times New Roman" w:cs="Times New Roman"/>
          <w:sz w:val="24"/>
          <w:szCs w:val="24"/>
        </w:rPr>
        <w:t>id</w:t>
      </w:r>
      <w:r w:rsidR="00A24230" w:rsidRPr="008419D0">
        <w:rPr>
          <w:rFonts w:ascii="Times New Roman" w:hAnsi="Times New Roman" w:cs="Times New Roman"/>
          <w:sz w:val="24"/>
          <w:szCs w:val="24"/>
        </w:rPr>
        <w:t>ades de producción de combustibles y gas y de generación de energía eléctrica, tiene un importante impacto en el medioambiente (por el elevado consumo de recursos naturales, de emisiones de gases y de generación de res</w:t>
      </w:r>
      <w:r w:rsidR="00005F3E">
        <w:rPr>
          <w:rFonts w:ascii="Times New Roman" w:hAnsi="Times New Roman" w:cs="Times New Roman"/>
          <w:sz w:val="24"/>
          <w:szCs w:val="24"/>
        </w:rPr>
        <w:t>id</w:t>
      </w:r>
      <w:r w:rsidR="00A24230" w:rsidRPr="008419D0">
        <w:rPr>
          <w:rFonts w:ascii="Times New Roman" w:hAnsi="Times New Roman" w:cs="Times New Roman"/>
          <w:sz w:val="24"/>
          <w:szCs w:val="24"/>
        </w:rPr>
        <w:t xml:space="preserve">uos), </w:t>
      </w:r>
      <w:r w:rsidR="0039315D" w:rsidRPr="008419D0">
        <w:rPr>
          <w:rFonts w:ascii="Times New Roman" w:hAnsi="Times New Roman" w:cs="Times New Roman"/>
          <w:sz w:val="24"/>
          <w:szCs w:val="24"/>
        </w:rPr>
        <w:t xml:space="preserve">pudiendo tener </w:t>
      </w:r>
      <w:r w:rsidR="00A24230" w:rsidRPr="008419D0">
        <w:rPr>
          <w:rFonts w:ascii="Times New Roman" w:hAnsi="Times New Roman" w:cs="Times New Roman"/>
          <w:sz w:val="24"/>
          <w:szCs w:val="24"/>
        </w:rPr>
        <w:t>consecuencias en el cambio climático</w:t>
      </w:r>
      <w:r w:rsidR="0039315D" w:rsidRPr="008419D0">
        <w:rPr>
          <w:rFonts w:ascii="Times New Roman" w:hAnsi="Times New Roman" w:cs="Times New Roman"/>
          <w:sz w:val="24"/>
          <w:szCs w:val="24"/>
        </w:rPr>
        <w:t xml:space="preserve"> mucho más significativas que las que podrían tener las activ</w:t>
      </w:r>
      <w:r w:rsidR="00005F3E">
        <w:rPr>
          <w:rFonts w:ascii="Times New Roman" w:hAnsi="Times New Roman" w:cs="Times New Roman"/>
          <w:sz w:val="24"/>
          <w:szCs w:val="24"/>
        </w:rPr>
        <w:t>id</w:t>
      </w:r>
      <w:r w:rsidR="0039315D" w:rsidRPr="008419D0">
        <w:rPr>
          <w:rFonts w:ascii="Times New Roman" w:hAnsi="Times New Roman" w:cs="Times New Roman"/>
          <w:sz w:val="24"/>
          <w:szCs w:val="24"/>
        </w:rPr>
        <w:t xml:space="preserve">ades de las empresas que operan en el ámbito </w:t>
      </w:r>
      <w:r w:rsidR="0039315D" w:rsidRPr="008419D0">
        <w:rPr>
          <w:rFonts w:ascii="Times New Roman" w:eastAsia="Times New Roman" w:hAnsi="Times New Roman" w:cs="Times New Roman"/>
          <w:sz w:val="24"/>
          <w:szCs w:val="24"/>
        </w:rPr>
        <w:t>“</w:t>
      </w:r>
      <w:r w:rsidR="0039315D" w:rsidRPr="008419D0">
        <w:rPr>
          <w:rFonts w:ascii="Times New Roman" w:hAnsi="Times New Roman" w:cs="Times New Roman"/>
          <w:bCs/>
          <w:sz w:val="24"/>
          <w:szCs w:val="24"/>
        </w:rPr>
        <w:t>Financiero, bursátil y seguros</w:t>
      </w:r>
      <w:r w:rsidR="0039315D" w:rsidRPr="008419D0">
        <w:rPr>
          <w:rFonts w:ascii="Times New Roman" w:eastAsia="Times New Roman" w:hAnsi="Times New Roman" w:cs="Times New Roman"/>
          <w:sz w:val="24"/>
          <w:szCs w:val="24"/>
        </w:rPr>
        <w:t>”.</w:t>
      </w:r>
    </w:p>
    <w:p w:rsidR="0019047F" w:rsidRDefault="00005F3E" w:rsidP="0001442F">
      <w:pPr>
        <w:spacing w:after="0" w:line="360" w:lineRule="auto"/>
        <w:jc w:val="both"/>
        <w:rPr>
          <w:rFonts w:ascii="Times New Roman" w:eastAsia="Times New Roman" w:hAnsi="Times New Roman" w:cs="Times New Roman"/>
          <w:sz w:val="24"/>
          <w:szCs w:val="24"/>
        </w:rPr>
      </w:pPr>
      <w:r w:rsidRPr="00005F3E">
        <w:rPr>
          <w:rFonts w:ascii="Times New Roman" w:hAnsi="Times New Roman" w:cs="Times New Roman"/>
          <w:sz w:val="24"/>
          <w:szCs w:val="24"/>
        </w:rPr>
        <w:t>S</w:t>
      </w:r>
      <w:r w:rsidR="0019047F" w:rsidRPr="00005F3E">
        <w:rPr>
          <w:rFonts w:ascii="Times New Roman" w:hAnsi="Times New Roman" w:cs="Times New Roman"/>
          <w:sz w:val="24"/>
          <w:szCs w:val="24"/>
        </w:rPr>
        <w:t>e advierte</w:t>
      </w:r>
      <w:r w:rsidRPr="00005F3E">
        <w:rPr>
          <w:rFonts w:ascii="Times New Roman" w:hAnsi="Times New Roman" w:cs="Times New Roman"/>
          <w:sz w:val="24"/>
          <w:szCs w:val="24"/>
        </w:rPr>
        <w:t>, asimismo,</w:t>
      </w:r>
      <w:r w:rsidR="0019047F" w:rsidRPr="00005F3E">
        <w:rPr>
          <w:rFonts w:ascii="Times New Roman" w:hAnsi="Times New Roman" w:cs="Times New Roman"/>
          <w:sz w:val="24"/>
          <w:szCs w:val="24"/>
        </w:rPr>
        <w:t xml:space="preserve"> un nivel dispar de cumplimiento de los criterios GRI analizados. Así, las empresas energéticas presentan el mayor nivel de divulgación para Agua, Efluentes y Res</w:t>
      </w:r>
      <w:r w:rsidRPr="00005F3E">
        <w:rPr>
          <w:rFonts w:ascii="Times New Roman" w:hAnsi="Times New Roman" w:cs="Times New Roman"/>
          <w:sz w:val="24"/>
          <w:szCs w:val="24"/>
        </w:rPr>
        <w:t>id</w:t>
      </w:r>
      <w:r w:rsidR="0019047F" w:rsidRPr="00005F3E">
        <w:rPr>
          <w:rFonts w:ascii="Times New Roman" w:hAnsi="Times New Roman" w:cs="Times New Roman"/>
          <w:sz w:val="24"/>
          <w:szCs w:val="24"/>
        </w:rPr>
        <w:t>uos y Emisiones, donde el alcance de la aplicación de los criterios GRI supera el 60 %</w:t>
      </w:r>
      <w:r w:rsidR="00265873">
        <w:rPr>
          <w:rFonts w:ascii="Times New Roman" w:hAnsi="Times New Roman" w:cs="Times New Roman"/>
          <w:sz w:val="24"/>
          <w:szCs w:val="24"/>
        </w:rPr>
        <w:t xml:space="preserve"> (IDIA = 0.667, 0.607 y 0.603, respectivamente)</w:t>
      </w:r>
      <w:r w:rsidR="0019047F" w:rsidRPr="00005F3E">
        <w:rPr>
          <w:rFonts w:ascii="Times New Roman" w:hAnsi="Times New Roman" w:cs="Times New Roman"/>
          <w:sz w:val="24"/>
          <w:szCs w:val="24"/>
        </w:rPr>
        <w:t>. Para las empresas financieras, el mayor alcance en la aplicación de los criterios GRI se produce para Energía y Efluentes y Res</w:t>
      </w:r>
      <w:r w:rsidRPr="00005F3E">
        <w:rPr>
          <w:rFonts w:ascii="Times New Roman" w:hAnsi="Times New Roman" w:cs="Times New Roman"/>
          <w:sz w:val="24"/>
          <w:szCs w:val="24"/>
        </w:rPr>
        <w:t>id</w:t>
      </w:r>
      <w:r w:rsidR="0019047F" w:rsidRPr="00005F3E">
        <w:rPr>
          <w:rFonts w:ascii="Times New Roman" w:hAnsi="Times New Roman" w:cs="Times New Roman"/>
          <w:sz w:val="24"/>
          <w:szCs w:val="24"/>
        </w:rPr>
        <w:t xml:space="preserve">uos, pero con un nivel </w:t>
      </w:r>
      <w:r w:rsidR="00265873">
        <w:rPr>
          <w:rFonts w:ascii="Times New Roman" w:hAnsi="Times New Roman" w:cs="Times New Roman"/>
          <w:sz w:val="24"/>
          <w:szCs w:val="24"/>
        </w:rPr>
        <w:t>del</w:t>
      </w:r>
      <w:r w:rsidR="0019047F" w:rsidRPr="00005F3E">
        <w:rPr>
          <w:rFonts w:ascii="Times New Roman" w:hAnsi="Times New Roman" w:cs="Times New Roman"/>
          <w:sz w:val="24"/>
          <w:szCs w:val="24"/>
        </w:rPr>
        <w:t xml:space="preserve"> 40%</w:t>
      </w:r>
      <w:r w:rsidR="00265873">
        <w:rPr>
          <w:rFonts w:ascii="Times New Roman" w:hAnsi="Times New Roman" w:cs="Times New Roman"/>
          <w:sz w:val="24"/>
          <w:szCs w:val="24"/>
        </w:rPr>
        <w:t xml:space="preserve"> para los dos temas</w:t>
      </w:r>
      <w:r w:rsidR="0019047F" w:rsidRPr="00005F3E">
        <w:rPr>
          <w:rFonts w:ascii="Times New Roman" w:hAnsi="Times New Roman" w:cs="Times New Roman"/>
          <w:sz w:val="24"/>
          <w:szCs w:val="24"/>
        </w:rPr>
        <w:t>.</w:t>
      </w:r>
    </w:p>
    <w:p w:rsidR="00D74F44" w:rsidRDefault="00D74F44" w:rsidP="00014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Tabla 4 refleja </w:t>
      </w:r>
      <w:r w:rsidRPr="00756A60">
        <w:rPr>
          <w:rFonts w:ascii="Times New Roman" w:hAnsi="Times New Roman" w:cs="Times New Roman"/>
          <w:sz w:val="24"/>
          <w:szCs w:val="24"/>
        </w:rPr>
        <w:t xml:space="preserve">los </w:t>
      </w:r>
      <w:r>
        <w:rPr>
          <w:rFonts w:ascii="Times New Roman" w:hAnsi="Times New Roman" w:cs="Times New Roman"/>
          <w:sz w:val="24"/>
          <w:szCs w:val="24"/>
        </w:rPr>
        <w:t>ID</w:t>
      </w:r>
      <w:r w:rsidR="006B730D">
        <w:rPr>
          <w:rFonts w:ascii="Times New Roman" w:hAnsi="Times New Roman" w:cs="Times New Roman"/>
          <w:sz w:val="24"/>
          <w:szCs w:val="24"/>
        </w:rPr>
        <w:t>IA</w:t>
      </w:r>
      <w:r>
        <w:rPr>
          <w:rFonts w:ascii="Times New Roman" w:hAnsi="Times New Roman" w:cs="Times New Roman"/>
          <w:sz w:val="24"/>
          <w:szCs w:val="24"/>
        </w:rPr>
        <w:t xml:space="preserve"> para los </w:t>
      </w:r>
      <w:r w:rsidRPr="00756A60">
        <w:rPr>
          <w:rFonts w:ascii="Times New Roman" w:hAnsi="Times New Roman" w:cs="Times New Roman"/>
          <w:sz w:val="24"/>
          <w:szCs w:val="24"/>
        </w:rPr>
        <w:t xml:space="preserve">distintos contenidos temáticos </w:t>
      </w:r>
      <w:r>
        <w:rPr>
          <w:rFonts w:ascii="Times New Roman" w:hAnsi="Times New Roman" w:cs="Times New Roman"/>
          <w:sz w:val="24"/>
          <w:szCs w:val="24"/>
        </w:rPr>
        <w:t xml:space="preserve">y para </w:t>
      </w:r>
      <w:r w:rsidRPr="00756A60">
        <w:rPr>
          <w:rFonts w:ascii="Times New Roman" w:hAnsi="Times New Roman" w:cs="Times New Roman"/>
          <w:sz w:val="24"/>
          <w:szCs w:val="24"/>
        </w:rPr>
        <w:t xml:space="preserve">los </w:t>
      </w:r>
      <w:r>
        <w:rPr>
          <w:rFonts w:ascii="Times New Roman" w:hAnsi="Times New Roman" w:cs="Times New Roman"/>
          <w:sz w:val="24"/>
          <w:szCs w:val="24"/>
        </w:rPr>
        <w:t>cuatro grandes temas analizados</w:t>
      </w:r>
      <w:r w:rsidRPr="00756A60">
        <w:rPr>
          <w:rFonts w:ascii="Times New Roman" w:hAnsi="Times New Roman" w:cs="Times New Roman"/>
          <w:sz w:val="24"/>
          <w:szCs w:val="24"/>
        </w:rPr>
        <w:t xml:space="preserve"> que abarcan dichos </w:t>
      </w:r>
      <w:r>
        <w:rPr>
          <w:rFonts w:ascii="Times New Roman" w:hAnsi="Times New Roman" w:cs="Times New Roman"/>
          <w:sz w:val="24"/>
          <w:szCs w:val="24"/>
        </w:rPr>
        <w:t>contenidos</w:t>
      </w:r>
      <w:r w:rsidRPr="00756A60">
        <w:rPr>
          <w:rFonts w:ascii="Times New Roman" w:hAnsi="Times New Roman" w:cs="Times New Roman"/>
          <w:sz w:val="24"/>
          <w:szCs w:val="24"/>
        </w:rPr>
        <w:t>.</w:t>
      </w:r>
    </w:p>
    <w:p w:rsidR="00EC1088" w:rsidRPr="00855D11" w:rsidRDefault="00EC1088" w:rsidP="00EC1088">
      <w:pPr>
        <w:spacing w:after="0" w:line="360" w:lineRule="auto"/>
        <w:jc w:val="both"/>
        <w:rPr>
          <w:rFonts w:ascii="Times New Roman" w:hAnsi="Times New Roman" w:cs="Times New Roman"/>
          <w:sz w:val="24"/>
          <w:szCs w:val="24"/>
        </w:rPr>
      </w:pPr>
      <w:r w:rsidRPr="0005691B">
        <w:rPr>
          <w:rFonts w:ascii="Times New Roman" w:hAnsi="Times New Roman" w:cs="Times New Roman"/>
          <w:sz w:val="24"/>
          <w:szCs w:val="24"/>
        </w:rPr>
        <w:t>En lo referido a los cuatro grandes temas, el mayor nivel de divulgación se observa en Efluentes y Residuos, con ID</w:t>
      </w:r>
      <w:r>
        <w:rPr>
          <w:rFonts w:ascii="Times New Roman" w:hAnsi="Times New Roman" w:cs="Times New Roman"/>
          <w:sz w:val="24"/>
          <w:szCs w:val="24"/>
        </w:rPr>
        <w:t>IA</w:t>
      </w:r>
      <w:r w:rsidRPr="0005691B">
        <w:rPr>
          <w:rFonts w:ascii="Times New Roman" w:hAnsi="Times New Roman" w:cs="Times New Roman"/>
          <w:sz w:val="24"/>
          <w:szCs w:val="24"/>
        </w:rPr>
        <w:t xml:space="preserve"> del 0.544, para el conjunto de empresas que componen la muestra. Para los demás temas: Energía, Agua y Emisiones, los niveles de divulgación </w:t>
      </w:r>
      <w:r w:rsidRPr="00855D11">
        <w:rPr>
          <w:rFonts w:ascii="Times New Roman" w:hAnsi="Times New Roman" w:cs="Times New Roman"/>
          <w:sz w:val="24"/>
          <w:szCs w:val="24"/>
        </w:rPr>
        <w:t>son bastante semejantes, con ID</w:t>
      </w:r>
      <w:r>
        <w:rPr>
          <w:rFonts w:ascii="Times New Roman" w:hAnsi="Times New Roman" w:cs="Times New Roman"/>
          <w:sz w:val="24"/>
          <w:szCs w:val="24"/>
        </w:rPr>
        <w:t>IA</w:t>
      </w:r>
      <w:r w:rsidRPr="00855D11">
        <w:rPr>
          <w:rFonts w:ascii="Times New Roman" w:hAnsi="Times New Roman" w:cs="Times New Roman"/>
          <w:sz w:val="24"/>
          <w:szCs w:val="24"/>
        </w:rPr>
        <w:t xml:space="preserve"> del 0.44, 0.439 y 0.464, respectivamente. Esto refleja un nivel medio de revelación.</w:t>
      </w:r>
    </w:p>
    <w:p w:rsidR="00EC1088" w:rsidRPr="00855D11" w:rsidRDefault="00EC1088" w:rsidP="00EC1088">
      <w:pPr>
        <w:spacing w:after="0" w:line="360" w:lineRule="auto"/>
        <w:jc w:val="both"/>
        <w:rPr>
          <w:rFonts w:ascii="Times New Roman" w:hAnsi="Times New Roman" w:cs="Times New Roman"/>
          <w:sz w:val="24"/>
          <w:szCs w:val="24"/>
        </w:rPr>
      </w:pPr>
      <w:r w:rsidRPr="007B53BC">
        <w:rPr>
          <w:rFonts w:ascii="Times New Roman" w:hAnsi="Times New Roman" w:cs="Times New Roman"/>
          <w:sz w:val="24"/>
          <w:szCs w:val="24"/>
        </w:rPr>
        <w:t>Con respecto a los contenidos temáticos más revelados, se destacan: “Consumo de energía dentro de la organización; 302-1” (ID</w:t>
      </w:r>
      <w:r>
        <w:rPr>
          <w:rFonts w:ascii="Times New Roman" w:hAnsi="Times New Roman" w:cs="Times New Roman"/>
          <w:sz w:val="24"/>
          <w:szCs w:val="24"/>
        </w:rPr>
        <w:t>IA</w:t>
      </w:r>
      <w:r w:rsidRPr="007B53BC">
        <w:rPr>
          <w:rFonts w:ascii="Times New Roman" w:hAnsi="Times New Roman" w:cs="Times New Roman"/>
          <w:sz w:val="24"/>
          <w:szCs w:val="24"/>
        </w:rPr>
        <w:t xml:space="preserve"> = 0</w:t>
      </w:r>
      <w:r>
        <w:rPr>
          <w:rFonts w:ascii="Times New Roman" w:hAnsi="Times New Roman" w:cs="Times New Roman"/>
          <w:sz w:val="24"/>
          <w:szCs w:val="24"/>
        </w:rPr>
        <w:t>.</w:t>
      </w:r>
      <w:r w:rsidRPr="007B53BC">
        <w:rPr>
          <w:rFonts w:ascii="Times New Roman" w:hAnsi="Times New Roman" w:cs="Times New Roman"/>
          <w:sz w:val="24"/>
          <w:szCs w:val="24"/>
        </w:rPr>
        <w:t>839); “Emisiones de GEI directas e indirectas; 305-1 y 305-2” (ID</w:t>
      </w:r>
      <w:r>
        <w:rPr>
          <w:rFonts w:ascii="Times New Roman" w:hAnsi="Times New Roman" w:cs="Times New Roman"/>
          <w:sz w:val="24"/>
          <w:szCs w:val="24"/>
        </w:rPr>
        <w:t>IA</w:t>
      </w:r>
      <w:r w:rsidRPr="007B53BC">
        <w:rPr>
          <w:rFonts w:ascii="Times New Roman" w:hAnsi="Times New Roman" w:cs="Times New Roman"/>
          <w:sz w:val="24"/>
          <w:szCs w:val="24"/>
        </w:rPr>
        <w:t xml:space="preserve"> = 0</w:t>
      </w:r>
      <w:r>
        <w:rPr>
          <w:rFonts w:ascii="Times New Roman" w:hAnsi="Times New Roman" w:cs="Times New Roman"/>
          <w:sz w:val="24"/>
          <w:szCs w:val="24"/>
        </w:rPr>
        <w:t>.733 y 0.</w:t>
      </w:r>
      <w:r w:rsidRPr="007B53BC">
        <w:rPr>
          <w:rFonts w:ascii="Times New Roman" w:hAnsi="Times New Roman" w:cs="Times New Roman"/>
          <w:sz w:val="24"/>
          <w:szCs w:val="24"/>
        </w:rPr>
        <w:t>706, respectivamente</w:t>
      </w:r>
      <w:r>
        <w:rPr>
          <w:rFonts w:ascii="Times New Roman" w:hAnsi="Times New Roman" w:cs="Times New Roman"/>
          <w:sz w:val="24"/>
          <w:szCs w:val="24"/>
        </w:rPr>
        <w:t>);</w:t>
      </w:r>
      <w:r w:rsidRPr="007B53BC">
        <w:rPr>
          <w:rFonts w:ascii="Times New Roman" w:hAnsi="Times New Roman" w:cs="Times New Roman"/>
          <w:sz w:val="24"/>
          <w:szCs w:val="24"/>
        </w:rPr>
        <w:t xml:space="preserve"> “</w:t>
      </w:r>
      <w:r w:rsidRPr="007B53BC">
        <w:rPr>
          <w:rFonts w:ascii="Times New Roman" w:eastAsia="Times New Roman" w:hAnsi="Times New Roman" w:cs="Times New Roman"/>
          <w:sz w:val="24"/>
          <w:szCs w:val="24"/>
        </w:rPr>
        <w:t>Residuos generados</w:t>
      </w:r>
      <w:r>
        <w:rPr>
          <w:rFonts w:ascii="Times New Roman" w:eastAsia="Times New Roman" w:hAnsi="Times New Roman" w:cs="Times New Roman"/>
          <w:sz w:val="24"/>
          <w:szCs w:val="24"/>
        </w:rPr>
        <w:t>; 306-3</w:t>
      </w:r>
      <w:r w:rsidRPr="007B53BC">
        <w:rPr>
          <w:rFonts w:ascii="Times New Roman" w:hAnsi="Times New Roman" w:cs="Times New Roman"/>
          <w:sz w:val="24"/>
          <w:szCs w:val="24"/>
        </w:rPr>
        <w:t>” (ID</w:t>
      </w:r>
      <w:r>
        <w:rPr>
          <w:rFonts w:ascii="Times New Roman" w:hAnsi="Times New Roman" w:cs="Times New Roman"/>
          <w:sz w:val="24"/>
          <w:szCs w:val="24"/>
        </w:rPr>
        <w:t>IA</w:t>
      </w:r>
      <w:r w:rsidRPr="007B53BC">
        <w:rPr>
          <w:rFonts w:ascii="Times New Roman" w:hAnsi="Times New Roman" w:cs="Times New Roman"/>
          <w:sz w:val="24"/>
          <w:szCs w:val="24"/>
        </w:rPr>
        <w:t xml:space="preserve"> = </w:t>
      </w:r>
      <w:r>
        <w:rPr>
          <w:rFonts w:ascii="Times New Roman" w:hAnsi="Times New Roman" w:cs="Times New Roman"/>
          <w:sz w:val="24"/>
          <w:szCs w:val="24"/>
        </w:rPr>
        <w:t>0.706</w:t>
      </w:r>
      <w:r w:rsidRPr="007B53BC">
        <w:rPr>
          <w:rFonts w:ascii="Times New Roman" w:hAnsi="Times New Roman" w:cs="Times New Roman"/>
          <w:sz w:val="24"/>
          <w:szCs w:val="24"/>
        </w:rPr>
        <w:t>) y “</w:t>
      </w:r>
      <w:r w:rsidRPr="007B53BC">
        <w:rPr>
          <w:rFonts w:ascii="Times New Roman" w:eastAsia="Times New Roman" w:hAnsi="Times New Roman" w:cs="Times New Roman"/>
          <w:sz w:val="24"/>
          <w:szCs w:val="24"/>
        </w:rPr>
        <w:t>Gestión de impactos significativos relacionados con los residuos</w:t>
      </w:r>
      <w:r>
        <w:rPr>
          <w:rFonts w:ascii="Times New Roman" w:eastAsia="Times New Roman" w:hAnsi="Times New Roman" w:cs="Times New Roman"/>
          <w:sz w:val="24"/>
          <w:szCs w:val="24"/>
        </w:rPr>
        <w:t>; 306-2</w:t>
      </w:r>
      <w:r w:rsidRPr="007B53BC">
        <w:rPr>
          <w:rFonts w:ascii="Times New Roman" w:hAnsi="Times New Roman" w:cs="Times New Roman"/>
          <w:sz w:val="24"/>
          <w:szCs w:val="24"/>
        </w:rPr>
        <w:t>” (ID</w:t>
      </w:r>
      <w:r>
        <w:rPr>
          <w:rFonts w:ascii="Times New Roman" w:hAnsi="Times New Roman" w:cs="Times New Roman"/>
          <w:sz w:val="24"/>
          <w:szCs w:val="24"/>
        </w:rPr>
        <w:t>IA</w:t>
      </w:r>
      <w:r w:rsidRPr="007B53BC">
        <w:rPr>
          <w:rFonts w:ascii="Times New Roman" w:hAnsi="Times New Roman" w:cs="Times New Roman"/>
          <w:sz w:val="24"/>
          <w:szCs w:val="24"/>
        </w:rPr>
        <w:t xml:space="preserve"> = 0</w:t>
      </w:r>
      <w:r>
        <w:rPr>
          <w:rFonts w:ascii="Times New Roman" w:hAnsi="Times New Roman" w:cs="Times New Roman"/>
          <w:sz w:val="24"/>
          <w:szCs w:val="24"/>
        </w:rPr>
        <w:t>.</w:t>
      </w:r>
      <w:r w:rsidRPr="007B53BC">
        <w:rPr>
          <w:rFonts w:ascii="Times New Roman" w:hAnsi="Times New Roman" w:cs="Times New Roman"/>
          <w:sz w:val="24"/>
          <w:szCs w:val="24"/>
        </w:rPr>
        <w:t>639)</w:t>
      </w:r>
      <w:r>
        <w:rPr>
          <w:rFonts w:ascii="Times New Roman" w:hAnsi="Times New Roman" w:cs="Times New Roman"/>
          <w:sz w:val="24"/>
          <w:szCs w:val="24"/>
        </w:rPr>
        <w:t xml:space="preserve">, </w:t>
      </w:r>
      <w:r w:rsidRPr="00855D11">
        <w:rPr>
          <w:rFonts w:ascii="Times New Roman" w:hAnsi="Times New Roman" w:cs="Times New Roman"/>
          <w:sz w:val="24"/>
          <w:szCs w:val="24"/>
        </w:rPr>
        <w:t>los que presentan un nivel elevado de divulgación (superior a 0.60).</w:t>
      </w:r>
    </w:p>
    <w:p w:rsidR="00EC1088" w:rsidRDefault="00EC1088" w:rsidP="0001442F">
      <w:pPr>
        <w:spacing w:after="0" w:line="360" w:lineRule="auto"/>
        <w:jc w:val="both"/>
        <w:rPr>
          <w:rFonts w:ascii="Times New Roman" w:hAnsi="Times New Roman" w:cs="Times New Roman"/>
          <w:sz w:val="24"/>
          <w:szCs w:val="24"/>
        </w:rPr>
      </w:pPr>
    </w:p>
    <w:p w:rsidR="00D74F44" w:rsidRDefault="00D74F44" w:rsidP="00D74F44">
      <w:pPr>
        <w:spacing w:after="0" w:line="240" w:lineRule="auto"/>
        <w:jc w:val="both"/>
        <w:rPr>
          <w:rFonts w:ascii="Times New Roman" w:hAnsi="Times New Roman" w:cs="Times New Roman"/>
          <w:b/>
          <w:bCs/>
          <w:color w:val="000000"/>
          <w:sz w:val="20"/>
          <w:szCs w:val="20"/>
        </w:rPr>
      </w:pPr>
    </w:p>
    <w:p w:rsidR="00D74F44" w:rsidRDefault="00D74F44" w:rsidP="00D74F44">
      <w:pPr>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Tabla 4. Índices de divulgación de información </w:t>
      </w:r>
      <w:r w:rsidR="00005F3E">
        <w:rPr>
          <w:rFonts w:ascii="Times New Roman" w:hAnsi="Times New Roman" w:cs="Times New Roman"/>
          <w:b/>
          <w:bCs/>
          <w:color w:val="000000"/>
          <w:sz w:val="20"/>
          <w:szCs w:val="20"/>
        </w:rPr>
        <w:t xml:space="preserve">ambiental </w:t>
      </w:r>
      <w:r>
        <w:rPr>
          <w:rFonts w:ascii="Times New Roman" w:hAnsi="Times New Roman" w:cs="Times New Roman"/>
          <w:b/>
          <w:bCs/>
          <w:color w:val="000000"/>
          <w:sz w:val="20"/>
          <w:szCs w:val="20"/>
        </w:rPr>
        <w:t xml:space="preserve">por temas y contenidos temáticos </w:t>
      </w:r>
    </w:p>
    <w:tbl>
      <w:tblPr>
        <w:tblW w:w="7940" w:type="dxa"/>
        <w:jc w:val="center"/>
        <w:tblLayout w:type="fixed"/>
        <w:tblLook w:val="0600" w:firstRow="0" w:lastRow="0" w:firstColumn="0" w:lastColumn="0" w:noHBand="1" w:noVBand="1"/>
      </w:tblPr>
      <w:tblGrid>
        <w:gridCol w:w="6946"/>
        <w:gridCol w:w="994"/>
      </w:tblGrid>
      <w:tr w:rsidR="00D74F44" w:rsidTr="00DF1549">
        <w:trPr>
          <w:trHeight w:val="300"/>
          <w:jc w:val="center"/>
        </w:trPr>
        <w:tc>
          <w:tcPr>
            <w:tcW w:w="6946" w:type="dxa"/>
            <w:tcBorders>
              <w:top w:val="single" w:sz="4" w:space="0" w:color="auto"/>
              <w:bottom w:val="single" w:sz="4" w:space="0" w:color="auto"/>
            </w:tcBorders>
            <w:shd w:val="clear" w:color="auto" w:fill="auto"/>
            <w:tcMar>
              <w:top w:w="0" w:type="dxa"/>
              <w:left w:w="40" w:type="dxa"/>
              <w:bottom w:w="0" w:type="dxa"/>
              <w:right w:w="40" w:type="dxa"/>
            </w:tcMar>
            <w:vAlign w:val="center"/>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93495D">
              <w:rPr>
                <w:rFonts w:ascii="Times New Roman" w:eastAsia="Times New Roman" w:hAnsi="Times New Roman" w:cs="Times New Roman"/>
                <w:b/>
                <w:sz w:val="18"/>
                <w:szCs w:val="18"/>
              </w:rPr>
              <w:t>Contenidos temáticos</w:t>
            </w:r>
          </w:p>
        </w:tc>
        <w:tc>
          <w:tcPr>
            <w:tcW w:w="994" w:type="dxa"/>
            <w:tcBorders>
              <w:top w:val="single" w:sz="4" w:space="0" w:color="auto"/>
              <w:bottom w:val="single" w:sz="4" w:space="0" w:color="auto"/>
            </w:tcBorders>
            <w:vAlign w:val="center"/>
          </w:tcPr>
          <w:p w:rsidR="00D74F44" w:rsidRPr="0044139C" w:rsidRDefault="00D74F44" w:rsidP="00DF1549">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ID</w:t>
            </w:r>
            <w:r w:rsidR="006B730D">
              <w:rPr>
                <w:rFonts w:ascii="Times New Roman" w:eastAsia="Times New Roman" w:hAnsi="Times New Roman" w:cs="Times New Roman"/>
                <w:b/>
                <w:sz w:val="18"/>
                <w:szCs w:val="18"/>
              </w:rPr>
              <w:t>IA</w:t>
            </w:r>
            <w:r>
              <w:rPr>
                <w:rFonts w:ascii="Times New Roman" w:eastAsia="Times New Roman" w:hAnsi="Times New Roman" w:cs="Times New Roman"/>
                <w:b/>
                <w:sz w:val="18"/>
                <w:szCs w:val="18"/>
              </w:rPr>
              <w:t xml:space="preserve"> por contenido temático</w:t>
            </w:r>
          </w:p>
        </w:tc>
      </w:tr>
      <w:tr w:rsidR="00D74F44" w:rsidTr="00DF1549">
        <w:trPr>
          <w:trHeight w:val="285"/>
          <w:jc w:val="center"/>
        </w:trPr>
        <w:tc>
          <w:tcPr>
            <w:tcW w:w="6946" w:type="dxa"/>
            <w:tcBorders>
              <w:top w:val="single" w:sz="4" w:space="0" w:color="auto"/>
            </w:tcBorders>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302-1 Consumo de energía dentro de la organización</w:t>
            </w:r>
          </w:p>
        </w:tc>
        <w:tc>
          <w:tcPr>
            <w:tcW w:w="994" w:type="dxa"/>
            <w:tcBorders>
              <w:top w:val="single" w:sz="4" w:space="0" w:color="auto"/>
            </w:tcBorders>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0.839</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302-2 Consumo de energía fuera de la organización</w:t>
            </w:r>
          </w:p>
        </w:tc>
        <w:tc>
          <w:tcPr>
            <w:tcW w:w="994" w:type="dxa"/>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0.178</w:t>
            </w:r>
          </w:p>
        </w:tc>
      </w:tr>
      <w:tr w:rsidR="00D74F44" w:rsidRPr="00855D11"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302-3 Intensidad energética</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0.561</w:t>
            </w:r>
          </w:p>
        </w:tc>
      </w:tr>
      <w:tr w:rsidR="00D74F44" w:rsidRPr="00855D11"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302-4 Reducción del consumo energético</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0.422</w:t>
            </w:r>
          </w:p>
        </w:tc>
      </w:tr>
      <w:tr w:rsidR="00D74F44" w:rsidRPr="00855D11" w:rsidTr="00DF1549">
        <w:trPr>
          <w:trHeight w:val="285"/>
          <w:jc w:val="center"/>
        </w:trPr>
        <w:tc>
          <w:tcPr>
            <w:tcW w:w="6946" w:type="dxa"/>
            <w:tcBorders>
              <w:bottom w:val="single" w:sz="4" w:space="0" w:color="auto"/>
            </w:tcBorders>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302-5 Reducción de los requerimientos energéticos de productos y servicios</w:t>
            </w:r>
          </w:p>
        </w:tc>
        <w:tc>
          <w:tcPr>
            <w:tcW w:w="994" w:type="dxa"/>
            <w:tcBorders>
              <w:bottom w:val="single" w:sz="4" w:space="0" w:color="auto"/>
            </w:tcBorders>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0.200</w:t>
            </w:r>
          </w:p>
        </w:tc>
      </w:tr>
      <w:tr w:rsidR="00D74F44" w:rsidRPr="00855D11" w:rsidTr="00DF1549">
        <w:trPr>
          <w:trHeight w:val="300"/>
          <w:jc w:val="center"/>
        </w:trPr>
        <w:tc>
          <w:tcPr>
            <w:tcW w:w="6946"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b/>
                <w:sz w:val="20"/>
                <w:szCs w:val="20"/>
              </w:rPr>
              <w:t>302 ENERGÍA</w:t>
            </w:r>
          </w:p>
        </w:tc>
        <w:tc>
          <w:tcPr>
            <w:tcW w:w="994" w:type="dxa"/>
            <w:tcBorders>
              <w:top w:val="single" w:sz="4" w:space="0" w:color="auto"/>
              <w:bottom w:val="single" w:sz="4" w:space="0" w:color="auto"/>
            </w:tcBorders>
          </w:tcPr>
          <w:p w:rsidR="00D74F44" w:rsidRPr="00855D11" w:rsidRDefault="00D74F44" w:rsidP="00DF1549">
            <w:pPr>
              <w:widowControl w:val="0"/>
              <w:spacing w:after="0" w:line="240" w:lineRule="auto"/>
              <w:jc w:val="center"/>
              <w:rPr>
                <w:rFonts w:ascii="Times New Roman" w:eastAsia="Times New Roman" w:hAnsi="Times New Roman" w:cs="Times New Roman"/>
                <w:b/>
                <w:sz w:val="20"/>
                <w:szCs w:val="20"/>
              </w:rPr>
            </w:pPr>
            <w:r w:rsidRPr="00855D11">
              <w:rPr>
                <w:rFonts w:ascii="Times New Roman" w:eastAsia="Times New Roman" w:hAnsi="Times New Roman" w:cs="Times New Roman"/>
                <w:b/>
                <w:sz w:val="18"/>
                <w:szCs w:val="18"/>
              </w:rPr>
              <w:t>0.440</w:t>
            </w:r>
          </w:p>
        </w:tc>
      </w:tr>
      <w:tr w:rsidR="00D74F44" w:rsidRPr="00855D11" w:rsidTr="00DF1549">
        <w:trPr>
          <w:trHeight w:val="285"/>
          <w:jc w:val="center"/>
        </w:trPr>
        <w:tc>
          <w:tcPr>
            <w:tcW w:w="6946" w:type="dxa"/>
            <w:tcBorders>
              <w:top w:val="single" w:sz="4" w:space="0" w:color="auto"/>
            </w:tcBorders>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303-1 Interacción con el agua como recurso compartido</w:t>
            </w:r>
          </w:p>
        </w:tc>
        <w:tc>
          <w:tcPr>
            <w:tcW w:w="994" w:type="dxa"/>
            <w:tcBorders>
              <w:top w:val="single" w:sz="4" w:space="0" w:color="auto"/>
            </w:tcBorders>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0.528</w:t>
            </w:r>
          </w:p>
        </w:tc>
      </w:tr>
      <w:tr w:rsidR="00D74F44" w:rsidRPr="00855D11"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303-2 Gestión de los impactos relacionados con el vertido de agua</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0.389</w:t>
            </w:r>
          </w:p>
        </w:tc>
      </w:tr>
      <w:tr w:rsidR="00D74F44" w:rsidRPr="00855D11"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303-3 Extracción de agua</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0.389</w:t>
            </w:r>
          </w:p>
        </w:tc>
      </w:tr>
      <w:tr w:rsidR="00D74F44" w:rsidRPr="00855D11"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303-4 Vertido de agua</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0.322</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303-5 Consumo de agua</w:t>
            </w:r>
          </w:p>
        </w:tc>
        <w:tc>
          <w:tcPr>
            <w:tcW w:w="994" w:type="dxa"/>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0.567</w:t>
            </w:r>
          </w:p>
        </w:tc>
      </w:tr>
      <w:tr w:rsidR="00D74F44" w:rsidTr="00DF1549">
        <w:trPr>
          <w:trHeight w:val="300"/>
          <w:jc w:val="center"/>
        </w:trPr>
        <w:tc>
          <w:tcPr>
            <w:tcW w:w="6946"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303 AGUA</w:t>
            </w:r>
          </w:p>
        </w:tc>
        <w:tc>
          <w:tcPr>
            <w:tcW w:w="994" w:type="dxa"/>
            <w:tcBorders>
              <w:top w:val="single" w:sz="4" w:space="0" w:color="auto"/>
              <w:bottom w:val="single" w:sz="4" w:space="0" w:color="auto"/>
            </w:tcBorders>
          </w:tcPr>
          <w:p w:rsidR="00D74F44" w:rsidRDefault="00D74F44" w:rsidP="00DF1549">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0.439</w:t>
            </w:r>
          </w:p>
        </w:tc>
      </w:tr>
      <w:tr w:rsidR="00D74F44" w:rsidTr="00DF1549">
        <w:trPr>
          <w:trHeight w:val="285"/>
          <w:jc w:val="center"/>
        </w:trPr>
        <w:tc>
          <w:tcPr>
            <w:tcW w:w="6946" w:type="dxa"/>
            <w:tcBorders>
              <w:top w:val="single" w:sz="4" w:space="0" w:color="auto"/>
            </w:tcBorders>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305-1 Emisiones de GEI directas (Alcance 1)</w:t>
            </w:r>
          </w:p>
        </w:tc>
        <w:tc>
          <w:tcPr>
            <w:tcW w:w="994" w:type="dxa"/>
            <w:tcBorders>
              <w:top w:val="single" w:sz="4" w:space="0" w:color="auto"/>
            </w:tcBorders>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0.733</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305-2 Emisiones indirectas </w:t>
            </w:r>
            <w:r w:rsidRPr="00A52201">
              <w:rPr>
                <w:rFonts w:ascii="Times New Roman" w:eastAsia="Times New Roman" w:hAnsi="Times New Roman" w:cs="Times New Roman"/>
                <w:sz w:val="20"/>
                <w:szCs w:val="20"/>
              </w:rPr>
              <w:t xml:space="preserve">de GEI asociadas a la energía </w:t>
            </w:r>
            <w:r>
              <w:rPr>
                <w:rFonts w:ascii="Times New Roman" w:eastAsia="Times New Roman" w:hAnsi="Times New Roman" w:cs="Times New Roman"/>
                <w:sz w:val="20"/>
                <w:szCs w:val="20"/>
              </w:rPr>
              <w:t>(Alcance 2)</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0.706</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305-3 Otras emisiones indirectas de GEI (Alcance 3)</w:t>
            </w:r>
          </w:p>
        </w:tc>
        <w:tc>
          <w:tcPr>
            <w:tcW w:w="994" w:type="dxa"/>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0.511</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305-4 Intensidad de las emisiones de GEI</w:t>
            </w:r>
          </w:p>
        </w:tc>
        <w:tc>
          <w:tcPr>
            <w:tcW w:w="994" w:type="dxa"/>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0.489</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305-5 Reducción de emisiones de GEI</w:t>
            </w:r>
          </w:p>
        </w:tc>
        <w:tc>
          <w:tcPr>
            <w:tcW w:w="994" w:type="dxa"/>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0.333</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305-6 Emisiones de sustancias que agotan la capa de ozono (SAO) - (ODS)</w:t>
            </w:r>
          </w:p>
        </w:tc>
        <w:tc>
          <w:tcPr>
            <w:tcW w:w="994" w:type="dxa"/>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0.144</w:t>
            </w:r>
          </w:p>
        </w:tc>
      </w:tr>
      <w:tr w:rsidR="00D74F44" w:rsidTr="00DF1549">
        <w:trPr>
          <w:trHeight w:val="285"/>
          <w:jc w:val="center"/>
        </w:trPr>
        <w:tc>
          <w:tcPr>
            <w:tcW w:w="6946" w:type="dxa"/>
            <w:tcBorders>
              <w:bottom w:val="single" w:sz="4" w:space="0" w:color="auto"/>
            </w:tcBorders>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305-7 Óxidos de nitrógeno (NOX), óxidos de azufre (SOX), y otras emisiones atmosféricas significativas al aire</w:t>
            </w:r>
          </w:p>
        </w:tc>
        <w:tc>
          <w:tcPr>
            <w:tcW w:w="994" w:type="dxa"/>
            <w:tcBorders>
              <w:bottom w:val="single" w:sz="4" w:space="0" w:color="auto"/>
            </w:tcBorders>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0.333</w:t>
            </w:r>
          </w:p>
        </w:tc>
      </w:tr>
      <w:tr w:rsidR="00D74F44" w:rsidTr="00DF1549">
        <w:trPr>
          <w:trHeight w:val="300"/>
          <w:jc w:val="center"/>
        </w:trPr>
        <w:tc>
          <w:tcPr>
            <w:tcW w:w="6946"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305 EMISIONES</w:t>
            </w:r>
          </w:p>
        </w:tc>
        <w:tc>
          <w:tcPr>
            <w:tcW w:w="994" w:type="dxa"/>
            <w:tcBorders>
              <w:top w:val="single" w:sz="4" w:space="0" w:color="auto"/>
              <w:bottom w:val="single" w:sz="4" w:space="0" w:color="auto"/>
            </w:tcBorders>
          </w:tcPr>
          <w:p w:rsidR="00D74F44" w:rsidRDefault="00D74F44" w:rsidP="00DF1549">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0.464</w:t>
            </w:r>
          </w:p>
        </w:tc>
      </w:tr>
      <w:tr w:rsidR="00D74F44" w:rsidTr="00DF1549">
        <w:trPr>
          <w:trHeight w:val="285"/>
          <w:jc w:val="center"/>
        </w:trPr>
        <w:tc>
          <w:tcPr>
            <w:tcW w:w="6946" w:type="dxa"/>
            <w:tcBorders>
              <w:top w:val="single" w:sz="4" w:space="0" w:color="auto"/>
            </w:tcBorders>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306-1 </w:t>
            </w:r>
            <w:r w:rsidRPr="00212CBF">
              <w:rPr>
                <w:rFonts w:ascii="Times New Roman" w:eastAsia="Times New Roman" w:hAnsi="Times New Roman" w:cs="Times New Roman"/>
                <w:sz w:val="20"/>
                <w:szCs w:val="20"/>
              </w:rPr>
              <w:t>Generación de residuos e impactos significativos relacionados con los residuos</w:t>
            </w:r>
          </w:p>
        </w:tc>
        <w:tc>
          <w:tcPr>
            <w:tcW w:w="994" w:type="dxa"/>
            <w:tcBorders>
              <w:top w:val="single" w:sz="4" w:space="0" w:color="auto"/>
            </w:tcBorders>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0.544</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306-2 </w:t>
            </w:r>
            <w:r w:rsidRPr="00212CBF">
              <w:rPr>
                <w:rFonts w:ascii="Times New Roman" w:eastAsia="Times New Roman" w:hAnsi="Times New Roman" w:cs="Times New Roman"/>
                <w:sz w:val="20"/>
                <w:szCs w:val="20"/>
              </w:rPr>
              <w:t>Gestión de impactos significativos relacionados con los residuos</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0.639</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306-3 Residuos generados</w:t>
            </w:r>
          </w:p>
        </w:tc>
        <w:tc>
          <w:tcPr>
            <w:tcW w:w="994" w:type="dxa"/>
          </w:tcPr>
          <w:p w:rsidR="00D74F44" w:rsidRPr="00855D11"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0.706</w:t>
            </w:r>
          </w:p>
        </w:tc>
      </w:tr>
      <w:tr w:rsidR="00D74F44" w:rsidTr="00DF1549">
        <w:trPr>
          <w:trHeight w:val="270"/>
          <w:jc w:val="center"/>
        </w:trPr>
        <w:tc>
          <w:tcPr>
            <w:tcW w:w="6946" w:type="dxa"/>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306-4 Residuos no destinados a eliminación</w:t>
            </w:r>
          </w:p>
        </w:tc>
        <w:tc>
          <w:tcPr>
            <w:tcW w:w="994" w:type="dxa"/>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0.444</w:t>
            </w:r>
          </w:p>
        </w:tc>
      </w:tr>
      <w:tr w:rsidR="00D74F44" w:rsidTr="00DF1549">
        <w:trPr>
          <w:trHeight w:val="270"/>
          <w:jc w:val="center"/>
        </w:trPr>
        <w:tc>
          <w:tcPr>
            <w:tcW w:w="6946" w:type="dxa"/>
            <w:tcBorders>
              <w:bottom w:val="single" w:sz="4" w:space="0" w:color="auto"/>
            </w:tcBorders>
            <w:shd w:val="clear" w:color="auto" w:fill="auto"/>
            <w:tcMar>
              <w:top w:w="0" w:type="dxa"/>
              <w:left w:w="40" w:type="dxa"/>
              <w:bottom w:w="0" w:type="dxa"/>
              <w:right w:w="40" w:type="dxa"/>
            </w:tcMar>
            <w:vAlign w:val="bottom"/>
          </w:tcPr>
          <w:p w:rsidR="00D74F44" w:rsidRPr="00855D11" w:rsidRDefault="00D74F44" w:rsidP="00DF1549">
            <w:pPr>
              <w:widowControl w:val="0"/>
              <w:spacing w:after="0" w:line="240" w:lineRule="auto"/>
              <w:rPr>
                <w:rFonts w:ascii="Times New Roman" w:eastAsia="Times New Roman" w:hAnsi="Times New Roman" w:cs="Times New Roman"/>
                <w:sz w:val="20"/>
                <w:szCs w:val="20"/>
              </w:rPr>
            </w:pPr>
            <w:r w:rsidRPr="00855D11">
              <w:rPr>
                <w:rFonts w:ascii="Times New Roman" w:eastAsia="Times New Roman" w:hAnsi="Times New Roman" w:cs="Times New Roman"/>
                <w:sz w:val="20"/>
                <w:szCs w:val="20"/>
              </w:rPr>
              <w:t>306-5 Residuos destinados a eliminación</w:t>
            </w:r>
          </w:p>
        </w:tc>
        <w:tc>
          <w:tcPr>
            <w:tcW w:w="994" w:type="dxa"/>
            <w:tcBorders>
              <w:bottom w:val="single" w:sz="4" w:space="0" w:color="auto"/>
            </w:tcBorders>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sidRPr="00855D11">
              <w:rPr>
                <w:rFonts w:ascii="Times New Roman" w:eastAsia="Times New Roman" w:hAnsi="Times New Roman" w:cs="Times New Roman"/>
                <w:sz w:val="18"/>
                <w:szCs w:val="18"/>
              </w:rPr>
              <w:t>0.389</w:t>
            </w:r>
          </w:p>
        </w:tc>
      </w:tr>
      <w:tr w:rsidR="00D74F44" w:rsidTr="00DF1549">
        <w:trPr>
          <w:trHeight w:val="270"/>
          <w:jc w:val="center"/>
        </w:trPr>
        <w:tc>
          <w:tcPr>
            <w:tcW w:w="6946" w:type="dxa"/>
            <w:tcBorders>
              <w:top w:val="single" w:sz="4" w:space="0" w:color="auto"/>
              <w:bottom w:val="single" w:sz="4" w:space="0" w:color="auto"/>
            </w:tcBorders>
            <w:shd w:val="clear" w:color="auto" w:fill="auto"/>
            <w:tcMar>
              <w:top w:w="0" w:type="dxa"/>
              <w:left w:w="40" w:type="dxa"/>
              <w:bottom w:w="0" w:type="dxa"/>
              <w:right w:w="40" w:type="dxa"/>
            </w:tcMar>
            <w:vAlign w:val="bottom"/>
          </w:tcPr>
          <w:p w:rsidR="00D74F44" w:rsidRDefault="00D74F44" w:rsidP="00DF1549">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306 EFLUENTES Y RESIDUOS</w:t>
            </w:r>
          </w:p>
        </w:tc>
        <w:tc>
          <w:tcPr>
            <w:tcW w:w="994" w:type="dxa"/>
            <w:tcBorders>
              <w:top w:val="single" w:sz="4" w:space="0" w:color="auto"/>
              <w:bottom w:val="single" w:sz="4" w:space="0" w:color="auto"/>
            </w:tcBorders>
          </w:tcPr>
          <w:p w:rsidR="00D74F44" w:rsidRDefault="00D74F44" w:rsidP="00DF1549">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18"/>
                <w:szCs w:val="18"/>
              </w:rPr>
              <w:t>0.544</w:t>
            </w:r>
          </w:p>
        </w:tc>
      </w:tr>
    </w:tbl>
    <w:p w:rsidR="00D74F44" w:rsidRDefault="00D74F44" w:rsidP="00D74F44">
      <w:pPr>
        <w:rPr>
          <w:rFonts w:ascii="Times New Roman" w:hAnsi="Times New Roman" w:cs="Times New Roman"/>
          <w:b/>
          <w:bCs/>
          <w:color w:val="000000"/>
          <w:sz w:val="20"/>
          <w:szCs w:val="20"/>
        </w:rPr>
      </w:pPr>
    </w:p>
    <w:p w:rsidR="00D74F44" w:rsidRDefault="00D74F44" w:rsidP="0001442F">
      <w:pPr>
        <w:spacing w:after="0" w:line="360" w:lineRule="auto"/>
        <w:jc w:val="both"/>
        <w:rPr>
          <w:rFonts w:ascii="Times New Roman" w:hAnsi="Times New Roman" w:cs="Times New Roman"/>
          <w:sz w:val="24"/>
          <w:szCs w:val="24"/>
        </w:rPr>
      </w:pPr>
      <w:r w:rsidRPr="00855D11">
        <w:rPr>
          <w:rFonts w:ascii="Times New Roman" w:hAnsi="Times New Roman" w:cs="Times New Roman"/>
          <w:sz w:val="24"/>
          <w:szCs w:val="24"/>
        </w:rPr>
        <w:t>Aparecen varios contenidos temáticos con bajo nivel de revelación (ID</w:t>
      </w:r>
      <w:r w:rsidR="00265873">
        <w:rPr>
          <w:rFonts w:ascii="Times New Roman" w:hAnsi="Times New Roman" w:cs="Times New Roman"/>
          <w:sz w:val="24"/>
          <w:szCs w:val="24"/>
        </w:rPr>
        <w:t>IA</w:t>
      </w:r>
      <w:r w:rsidRPr="00855D11">
        <w:rPr>
          <w:rFonts w:ascii="Times New Roman" w:hAnsi="Times New Roman" w:cs="Times New Roman"/>
          <w:sz w:val="24"/>
          <w:szCs w:val="24"/>
        </w:rPr>
        <w:t xml:space="preserve"> menor a 0.35). En </w:t>
      </w:r>
      <w:r w:rsidRPr="000561A1">
        <w:rPr>
          <w:rFonts w:ascii="Times New Roman" w:hAnsi="Times New Roman" w:cs="Times New Roman"/>
          <w:sz w:val="24"/>
          <w:szCs w:val="24"/>
        </w:rPr>
        <w:t>lo que respecta a Energía, es muy limitada la revelación de información sobre “</w:t>
      </w:r>
      <w:r w:rsidRPr="000561A1">
        <w:rPr>
          <w:rFonts w:ascii="Times New Roman" w:eastAsia="Times New Roman" w:hAnsi="Times New Roman" w:cs="Times New Roman"/>
          <w:sz w:val="24"/>
          <w:szCs w:val="24"/>
        </w:rPr>
        <w:t>Consumo de energía fuera de la organización; 302-2</w:t>
      </w:r>
      <w:r w:rsidRPr="000561A1">
        <w:rPr>
          <w:rFonts w:ascii="Times New Roman" w:hAnsi="Times New Roman" w:cs="Times New Roman"/>
          <w:sz w:val="24"/>
          <w:szCs w:val="24"/>
        </w:rPr>
        <w:t>”</w:t>
      </w:r>
      <w:r>
        <w:rPr>
          <w:rFonts w:ascii="Times New Roman" w:hAnsi="Times New Roman" w:cs="Times New Roman"/>
          <w:sz w:val="24"/>
          <w:szCs w:val="24"/>
        </w:rPr>
        <w:t xml:space="preserve"> (ID</w:t>
      </w:r>
      <w:r w:rsidR="00265873">
        <w:rPr>
          <w:rFonts w:ascii="Times New Roman" w:hAnsi="Times New Roman" w:cs="Times New Roman"/>
          <w:sz w:val="24"/>
          <w:szCs w:val="24"/>
        </w:rPr>
        <w:t>IA</w:t>
      </w:r>
      <w:r>
        <w:rPr>
          <w:rFonts w:ascii="Times New Roman" w:hAnsi="Times New Roman" w:cs="Times New Roman"/>
          <w:sz w:val="24"/>
          <w:szCs w:val="24"/>
        </w:rPr>
        <w:t xml:space="preserve"> = 0.</w:t>
      </w:r>
      <w:r w:rsidRPr="000561A1">
        <w:rPr>
          <w:rFonts w:ascii="Times New Roman" w:hAnsi="Times New Roman" w:cs="Times New Roman"/>
          <w:sz w:val="24"/>
          <w:szCs w:val="24"/>
        </w:rPr>
        <w:t>178); y sobre “Reducción de los requerimientos energéticos de productos y servicios; 302-5” (ID</w:t>
      </w:r>
      <w:r w:rsidR="00265873">
        <w:rPr>
          <w:rFonts w:ascii="Times New Roman" w:hAnsi="Times New Roman" w:cs="Times New Roman"/>
          <w:sz w:val="24"/>
          <w:szCs w:val="24"/>
        </w:rPr>
        <w:t>IA</w:t>
      </w:r>
      <w:r w:rsidRPr="000561A1">
        <w:rPr>
          <w:rFonts w:ascii="Times New Roman" w:hAnsi="Times New Roman" w:cs="Times New Roman"/>
          <w:sz w:val="24"/>
          <w:szCs w:val="24"/>
        </w:rPr>
        <w:t xml:space="preserve"> = 0.20). </w:t>
      </w:r>
      <w:r>
        <w:rPr>
          <w:rFonts w:ascii="Times New Roman" w:hAnsi="Times New Roman" w:cs="Times New Roman"/>
          <w:sz w:val="24"/>
          <w:szCs w:val="24"/>
        </w:rPr>
        <w:t xml:space="preserve">En lo referido a Agua, es bajo el nivel de divulgación de </w:t>
      </w:r>
      <w:r w:rsidRPr="000561A1">
        <w:rPr>
          <w:rFonts w:ascii="Times New Roman" w:hAnsi="Times New Roman" w:cs="Times New Roman"/>
          <w:sz w:val="24"/>
          <w:szCs w:val="24"/>
        </w:rPr>
        <w:t>“</w:t>
      </w:r>
      <w:r w:rsidRPr="00AB1C6D">
        <w:rPr>
          <w:rFonts w:ascii="Times New Roman" w:eastAsia="Times New Roman" w:hAnsi="Times New Roman" w:cs="Times New Roman"/>
          <w:sz w:val="24"/>
          <w:szCs w:val="24"/>
        </w:rPr>
        <w:t>Vertido de agua</w:t>
      </w:r>
      <w:r>
        <w:rPr>
          <w:rFonts w:ascii="Times New Roman" w:eastAsia="Times New Roman" w:hAnsi="Times New Roman" w:cs="Times New Roman"/>
          <w:sz w:val="24"/>
          <w:szCs w:val="24"/>
        </w:rPr>
        <w:t>; 302-4</w:t>
      </w:r>
      <w:r w:rsidRPr="000561A1">
        <w:rPr>
          <w:rFonts w:ascii="Times New Roman" w:hAnsi="Times New Roman" w:cs="Times New Roman"/>
          <w:sz w:val="24"/>
          <w:szCs w:val="24"/>
        </w:rPr>
        <w:t>” (ID</w:t>
      </w:r>
      <w:r w:rsidR="00265873">
        <w:rPr>
          <w:rFonts w:ascii="Times New Roman" w:hAnsi="Times New Roman" w:cs="Times New Roman"/>
          <w:sz w:val="24"/>
          <w:szCs w:val="24"/>
        </w:rPr>
        <w:t>IA</w:t>
      </w:r>
      <w:r w:rsidRPr="000561A1">
        <w:rPr>
          <w:rFonts w:ascii="Times New Roman" w:hAnsi="Times New Roman" w:cs="Times New Roman"/>
          <w:sz w:val="24"/>
          <w:szCs w:val="24"/>
        </w:rPr>
        <w:t xml:space="preserve"> = 0,</w:t>
      </w:r>
      <w:r>
        <w:rPr>
          <w:rFonts w:ascii="Times New Roman" w:hAnsi="Times New Roman" w:cs="Times New Roman"/>
          <w:sz w:val="24"/>
          <w:szCs w:val="24"/>
        </w:rPr>
        <w:t>322</w:t>
      </w:r>
      <w:r w:rsidRPr="000561A1">
        <w:rPr>
          <w:rFonts w:ascii="Times New Roman" w:hAnsi="Times New Roman" w:cs="Times New Roman"/>
          <w:sz w:val="24"/>
          <w:szCs w:val="24"/>
        </w:rPr>
        <w:t>)</w:t>
      </w:r>
      <w:r>
        <w:rPr>
          <w:rFonts w:ascii="Times New Roman" w:hAnsi="Times New Roman" w:cs="Times New Roman"/>
          <w:sz w:val="24"/>
          <w:szCs w:val="24"/>
        </w:rPr>
        <w:t>. Y, en lo relativo a</w:t>
      </w:r>
      <w:r w:rsidRPr="000561A1">
        <w:rPr>
          <w:rFonts w:ascii="Times New Roman" w:hAnsi="Times New Roman" w:cs="Times New Roman"/>
          <w:sz w:val="24"/>
          <w:szCs w:val="24"/>
        </w:rPr>
        <w:t xml:space="preserve"> Emisiones, también es escasa la revelación sobre “</w:t>
      </w:r>
      <w:r w:rsidRPr="000561A1">
        <w:rPr>
          <w:rFonts w:ascii="Times New Roman" w:eastAsia="Times New Roman" w:hAnsi="Times New Roman" w:cs="Times New Roman"/>
          <w:sz w:val="24"/>
          <w:szCs w:val="24"/>
        </w:rPr>
        <w:t xml:space="preserve">Reducción de emisiones de GEI; 305-5” </w:t>
      </w:r>
      <w:r w:rsidRPr="000561A1">
        <w:rPr>
          <w:rFonts w:ascii="Times New Roman" w:hAnsi="Times New Roman" w:cs="Times New Roman"/>
          <w:sz w:val="24"/>
          <w:szCs w:val="24"/>
        </w:rPr>
        <w:t>(ID</w:t>
      </w:r>
      <w:r w:rsidR="00265873">
        <w:rPr>
          <w:rFonts w:ascii="Times New Roman" w:hAnsi="Times New Roman" w:cs="Times New Roman"/>
          <w:sz w:val="24"/>
          <w:szCs w:val="24"/>
        </w:rPr>
        <w:t>IA</w:t>
      </w:r>
      <w:r w:rsidRPr="000561A1">
        <w:rPr>
          <w:rFonts w:ascii="Times New Roman" w:hAnsi="Times New Roman" w:cs="Times New Roman"/>
          <w:sz w:val="24"/>
          <w:szCs w:val="24"/>
        </w:rPr>
        <w:t xml:space="preserve"> = 0</w:t>
      </w:r>
      <w:r>
        <w:rPr>
          <w:rFonts w:ascii="Times New Roman" w:hAnsi="Times New Roman" w:cs="Times New Roman"/>
          <w:sz w:val="24"/>
          <w:szCs w:val="24"/>
        </w:rPr>
        <w:t>.</w:t>
      </w:r>
      <w:r w:rsidRPr="000561A1">
        <w:rPr>
          <w:rFonts w:ascii="Times New Roman" w:hAnsi="Times New Roman" w:cs="Times New Roman"/>
          <w:sz w:val="24"/>
          <w:szCs w:val="24"/>
        </w:rPr>
        <w:t xml:space="preserve">333), </w:t>
      </w:r>
      <w:r w:rsidRPr="000561A1">
        <w:rPr>
          <w:rFonts w:ascii="Times New Roman" w:eastAsia="Times New Roman" w:hAnsi="Times New Roman" w:cs="Times New Roman"/>
          <w:sz w:val="24"/>
          <w:szCs w:val="24"/>
        </w:rPr>
        <w:t>“Emisiones de sustancias que agotan la capa de ozono</w:t>
      </w:r>
      <w:r>
        <w:rPr>
          <w:rFonts w:ascii="Times New Roman" w:hAnsi="Times New Roman" w:cs="Times New Roman"/>
          <w:sz w:val="24"/>
          <w:szCs w:val="24"/>
        </w:rPr>
        <w:t>; 305-6” (ID</w:t>
      </w:r>
      <w:r w:rsidR="00265873">
        <w:rPr>
          <w:rFonts w:ascii="Times New Roman" w:hAnsi="Times New Roman" w:cs="Times New Roman"/>
          <w:sz w:val="24"/>
          <w:szCs w:val="24"/>
        </w:rPr>
        <w:t>IA</w:t>
      </w:r>
      <w:r>
        <w:rPr>
          <w:rFonts w:ascii="Times New Roman" w:hAnsi="Times New Roman" w:cs="Times New Roman"/>
          <w:sz w:val="24"/>
          <w:szCs w:val="24"/>
        </w:rPr>
        <w:t xml:space="preserve"> = 0.</w:t>
      </w:r>
      <w:r w:rsidRPr="000561A1">
        <w:rPr>
          <w:rFonts w:ascii="Times New Roman" w:hAnsi="Times New Roman" w:cs="Times New Roman"/>
          <w:sz w:val="24"/>
          <w:szCs w:val="24"/>
        </w:rPr>
        <w:t xml:space="preserve">144) y sobre </w:t>
      </w:r>
      <w:r w:rsidRPr="000561A1">
        <w:rPr>
          <w:rFonts w:ascii="Times New Roman" w:eastAsia="Times New Roman" w:hAnsi="Times New Roman" w:cs="Times New Roman"/>
          <w:sz w:val="24"/>
          <w:szCs w:val="24"/>
        </w:rPr>
        <w:t>“Óxidos de nitrógeno (NOX), óxidos de azufre (SOX), y otras emisiones atmosféricas significativas al aire</w:t>
      </w:r>
      <w:r>
        <w:rPr>
          <w:rFonts w:ascii="Times New Roman" w:eastAsia="Times New Roman" w:hAnsi="Times New Roman" w:cs="Times New Roman"/>
          <w:sz w:val="24"/>
          <w:szCs w:val="24"/>
        </w:rPr>
        <w:t>;</w:t>
      </w:r>
      <w:r w:rsidRPr="000561A1">
        <w:rPr>
          <w:rFonts w:ascii="Times New Roman" w:hAnsi="Times New Roman" w:cs="Times New Roman"/>
          <w:sz w:val="24"/>
          <w:szCs w:val="24"/>
        </w:rPr>
        <w:t xml:space="preserve"> 305-7” (ID</w:t>
      </w:r>
      <w:r w:rsidR="00265873">
        <w:rPr>
          <w:rFonts w:ascii="Times New Roman" w:hAnsi="Times New Roman" w:cs="Times New Roman"/>
          <w:sz w:val="24"/>
          <w:szCs w:val="24"/>
        </w:rPr>
        <w:t>IA</w:t>
      </w:r>
      <w:r w:rsidRPr="000561A1">
        <w:rPr>
          <w:rFonts w:ascii="Times New Roman" w:hAnsi="Times New Roman" w:cs="Times New Roman"/>
          <w:sz w:val="24"/>
          <w:szCs w:val="24"/>
        </w:rPr>
        <w:t xml:space="preserve"> = 0</w:t>
      </w:r>
      <w:r>
        <w:rPr>
          <w:rFonts w:ascii="Times New Roman" w:hAnsi="Times New Roman" w:cs="Times New Roman"/>
          <w:sz w:val="24"/>
          <w:szCs w:val="24"/>
        </w:rPr>
        <w:t>.</w:t>
      </w:r>
      <w:r w:rsidRPr="000561A1">
        <w:rPr>
          <w:rFonts w:ascii="Times New Roman" w:hAnsi="Times New Roman" w:cs="Times New Roman"/>
          <w:sz w:val="24"/>
          <w:szCs w:val="24"/>
        </w:rPr>
        <w:t>333).</w:t>
      </w:r>
    </w:p>
    <w:p w:rsidR="00531966" w:rsidRDefault="00531966" w:rsidP="00014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este modo, se observa un nivel dispar de divulgación entre contenidos temáticos, existiendo, dentro de cada tema, algunos contenidos que presentan un elevado nivel de revelación junto con otros que evidencian un nivel muy bajo.</w:t>
      </w:r>
    </w:p>
    <w:p w:rsidR="00855D11" w:rsidRDefault="00855D11" w:rsidP="0001442F">
      <w:pPr>
        <w:spacing w:after="0" w:line="360" w:lineRule="auto"/>
        <w:jc w:val="both"/>
        <w:rPr>
          <w:rFonts w:ascii="Times New Roman" w:hAnsi="Times New Roman" w:cs="Times New Roman"/>
          <w:sz w:val="24"/>
          <w:szCs w:val="24"/>
        </w:rPr>
      </w:pPr>
    </w:p>
    <w:p w:rsidR="00855D11" w:rsidRPr="00531966" w:rsidRDefault="00855D11" w:rsidP="00531966">
      <w:pPr>
        <w:spacing w:after="0" w:line="360" w:lineRule="auto"/>
        <w:jc w:val="both"/>
        <w:rPr>
          <w:rFonts w:ascii="Times New Roman" w:hAnsi="Times New Roman" w:cs="Times New Roman"/>
          <w:b/>
          <w:sz w:val="24"/>
          <w:szCs w:val="24"/>
        </w:rPr>
      </w:pPr>
      <w:r w:rsidRPr="00977B09">
        <w:rPr>
          <w:rFonts w:ascii="Times New Roman" w:hAnsi="Times New Roman" w:cs="Times New Roman"/>
          <w:b/>
          <w:sz w:val="24"/>
          <w:szCs w:val="24"/>
        </w:rPr>
        <w:t>5. Con</w:t>
      </w:r>
      <w:r w:rsidR="001E0CDF" w:rsidRPr="00977B09">
        <w:rPr>
          <w:rFonts w:ascii="Times New Roman" w:hAnsi="Times New Roman" w:cs="Times New Roman"/>
          <w:b/>
          <w:sz w:val="24"/>
          <w:szCs w:val="24"/>
        </w:rPr>
        <w:t>clusiones</w:t>
      </w:r>
    </w:p>
    <w:p w:rsidR="00855D11" w:rsidRPr="00531966" w:rsidRDefault="00855D11" w:rsidP="00531966">
      <w:pPr>
        <w:autoSpaceDE w:val="0"/>
        <w:autoSpaceDN w:val="0"/>
        <w:adjustRightInd w:val="0"/>
        <w:spacing w:after="0" w:line="360" w:lineRule="auto"/>
        <w:jc w:val="both"/>
        <w:rPr>
          <w:rFonts w:ascii="Times New Roman" w:hAnsi="Times New Roman" w:cs="Times New Roman"/>
          <w:sz w:val="24"/>
          <w:szCs w:val="24"/>
        </w:rPr>
      </w:pPr>
      <w:r w:rsidRPr="00531966">
        <w:rPr>
          <w:rFonts w:ascii="Times New Roman" w:hAnsi="Times New Roman" w:cs="Times New Roman"/>
          <w:sz w:val="24"/>
          <w:szCs w:val="24"/>
        </w:rPr>
        <w:t xml:space="preserve">El presente trabajo tuvo como objetivo analizar el alcance de la aplicación de los criterios para la revelación de </w:t>
      </w:r>
      <w:r w:rsidR="00531966">
        <w:rPr>
          <w:rFonts w:ascii="Times New Roman" w:hAnsi="Times New Roman" w:cs="Times New Roman"/>
          <w:sz w:val="24"/>
          <w:szCs w:val="24"/>
        </w:rPr>
        <w:t>IA</w:t>
      </w:r>
      <w:r w:rsidRPr="00531966">
        <w:rPr>
          <w:rFonts w:ascii="Times New Roman" w:hAnsi="Times New Roman" w:cs="Times New Roman"/>
          <w:sz w:val="24"/>
          <w:szCs w:val="24"/>
        </w:rPr>
        <w:t xml:space="preserve"> planteados en las guías GRI 302, 303, 305 y 306 </w:t>
      </w:r>
      <w:r w:rsidR="00531966">
        <w:rPr>
          <w:rFonts w:ascii="Times New Roman" w:hAnsi="Times New Roman" w:cs="Times New Roman"/>
          <w:sz w:val="24"/>
          <w:szCs w:val="24"/>
        </w:rPr>
        <w:t xml:space="preserve">de las </w:t>
      </w:r>
      <w:r w:rsidR="00531966" w:rsidRPr="0001442F">
        <w:rPr>
          <w:rFonts w:ascii="Times New Roman" w:hAnsi="Times New Roman" w:cs="Times New Roman"/>
          <w:sz w:val="24"/>
          <w:szCs w:val="24"/>
        </w:rPr>
        <w:t>empresas argentinas cotizadas en BYMA, pertenecientes a dos sectores: “</w:t>
      </w:r>
      <w:r w:rsidR="00531966" w:rsidRPr="0001442F">
        <w:rPr>
          <w:rFonts w:ascii="Times New Roman" w:eastAsia="Times New Roman" w:hAnsi="Times New Roman" w:cs="Times New Roman"/>
          <w:sz w:val="24"/>
          <w:szCs w:val="24"/>
        </w:rPr>
        <w:t>Energía, petróleo y gas” y “</w:t>
      </w:r>
      <w:r w:rsidR="00531966" w:rsidRPr="0001442F">
        <w:rPr>
          <w:rFonts w:ascii="Times New Roman" w:hAnsi="Times New Roman" w:cs="Times New Roman"/>
          <w:bCs/>
          <w:color w:val="000000"/>
          <w:sz w:val="24"/>
          <w:szCs w:val="24"/>
        </w:rPr>
        <w:t>Financiero, bursátil y seguros</w:t>
      </w:r>
      <w:r w:rsidR="00531966" w:rsidRPr="0001442F">
        <w:rPr>
          <w:rFonts w:ascii="Times New Roman" w:eastAsia="Times New Roman" w:hAnsi="Times New Roman" w:cs="Times New Roman"/>
          <w:sz w:val="24"/>
          <w:szCs w:val="24"/>
        </w:rPr>
        <w:t>”</w:t>
      </w:r>
      <w:r w:rsidR="00977B09">
        <w:rPr>
          <w:rFonts w:ascii="Times New Roman" w:eastAsia="Times New Roman" w:hAnsi="Times New Roman" w:cs="Times New Roman"/>
          <w:sz w:val="24"/>
          <w:szCs w:val="24"/>
        </w:rPr>
        <w:t>.</w:t>
      </w:r>
    </w:p>
    <w:p w:rsidR="00855D11" w:rsidRPr="00531966" w:rsidRDefault="00855D11" w:rsidP="00531966">
      <w:pPr>
        <w:autoSpaceDE w:val="0"/>
        <w:autoSpaceDN w:val="0"/>
        <w:adjustRightInd w:val="0"/>
        <w:spacing w:after="0" w:line="360" w:lineRule="auto"/>
        <w:jc w:val="both"/>
        <w:rPr>
          <w:rFonts w:ascii="Times New Roman" w:hAnsi="Times New Roman" w:cs="Times New Roman"/>
          <w:sz w:val="24"/>
          <w:szCs w:val="24"/>
        </w:rPr>
      </w:pPr>
      <w:r w:rsidRPr="00531966">
        <w:rPr>
          <w:rFonts w:ascii="Times New Roman" w:hAnsi="Times New Roman" w:cs="Times New Roman"/>
          <w:sz w:val="24"/>
          <w:szCs w:val="24"/>
        </w:rPr>
        <w:t>Los resultados obtenidos dan cuenta de prácticas empresariales dis</w:t>
      </w:r>
      <w:r w:rsidR="00E35C28">
        <w:rPr>
          <w:rFonts w:ascii="Times New Roman" w:hAnsi="Times New Roman" w:cs="Times New Roman"/>
          <w:sz w:val="24"/>
          <w:szCs w:val="24"/>
        </w:rPr>
        <w:t>ímiles</w:t>
      </w:r>
      <w:r w:rsidRPr="00531966">
        <w:rPr>
          <w:rFonts w:ascii="Times New Roman" w:hAnsi="Times New Roman" w:cs="Times New Roman"/>
          <w:sz w:val="24"/>
          <w:szCs w:val="24"/>
        </w:rPr>
        <w:t xml:space="preserve"> de divulgación de </w:t>
      </w:r>
      <w:r w:rsidR="00B4540C">
        <w:rPr>
          <w:rFonts w:ascii="Times New Roman" w:hAnsi="Times New Roman" w:cs="Times New Roman"/>
          <w:sz w:val="24"/>
          <w:szCs w:val="24"/>
        </w:rPr>
        <w:t>IA</w:t>
      </w:r>
      <w:r w:rsidRPr="00531966">
        <w:rPr>
          <w:rFonts w:ascii="Times New Roman" w:hAnsi="Times New Roman" w:cs="Times New Roman"/>
          <w:sz w:val="24"/>
          <w:szCs w:val="24"/>
        </w:rPr>
        <w:t xml:space="preserve">, tanto entre </w:t>
      </w:r>
      <w:r w:rsidR="00531966">
        <w:rPr>
          <w:rFonts w:ascii="Times New Roman" w:hAnsi="Times New Roman" w:cs="Times New Roman"/>
          <w:sz w:val="24"/>
          <w:szCs w:val="24"/>
        </w:rPr>
        <w:t xml:space="preserve">los sectores analizados como entre los contenidos temáticos involucrados en cada uno de los cuatro grandes temas </w:t>
      </w:r>
      <w:r w:rsidR="00B4540C">
        <w:rPr>
          <w:rFonts w:ascii="Times New Roman" w:hAnsi="Times New Roman" w:cs="Times New Roman"/>
          <w:sz w:val="24"/>
          <w:szCs w:val="24"/>
        </w:rPr>
        <w:t xml:space="preserve">a los que refieren las </w:t>
      </w:r>
      <w:r w:rsidR="00B4540C" w:rsidRPr="00531966">
        <w:rPr>
          <w:rFonts w:ascii="Times New Roman" w:hAnsi="Times New Roman" w:cs="Times New Roman"/>
          <w:sz w:val="24"/>
          <w:szCs w:val="24"/>
        </w:rPr>
        <w:t>GRI 302, 303, 305 y 306</w:t>
      </w:r>
      <w:r w:rsidR="00977B09">
        <w:rPr>
          <w:rFonts w:ascii="Times New Roman" w:hAnsi="Times New Roman" w:cs="Times New Roman"/>
          <w:sz w:val="24"/>
          <w:szCs w:val="24"/>
        </w:rPr>
        <w:t xml:space="preserve">: </w:t>
      </w:r>
      <w:r w:rsidR="00977B09" w:rsidRPr="00531966">
        <w:rPr>
          <w:rFonts w:ascii="Times New Roman" w:hAnsi="Times New Roman" w:cs="Times New Roman"/>
          <w:sz w:val="24"/>
          <w:szCs w:val="24"/>
        </w:rPr>
        <w:t>Energía, Agua, E</w:t>
      </w:r>
      <w:r w:rsidR="00977B09">
        <w:rPr>
          <w:rFonts w:ascii="Times New Roman" w:hAnsi="Times New Roman" w:cs="Times New Roman"/>
          <w:sz w:val="24"/>
          <w:szCs w:val="24"/>
        </w:rPr>
        <w:t>misiones y Efluentes y Residuos</w:t>
      </w:r>
      <w:r w:rsidR="00B4540C">
        <w:rPr>
          <w:rFonts w:ascii="Times New Roman" w:hAnsi="Times New Roman" w:cs="Times New Roman"/>
          <w:sz w:val="24"/>
          <w:szCs w:val="24"/>
        </w:rPr>
        <w:t>.</w:t>
      </w:r>
    </w:p>
    <w:p w:rsidR="00E35C28" w:rsidRDefault="00E35C28" w:rsidP="00E35C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w:t>
      </w:r>
      <w:r w:rsidR="00531966" w:rsidRPr="00531966">
        <w:rPr>
          <w:rFonts w:ascii="Times New Roman" w:hAnsi="Times New Roman" w:cs="Times New Roman"/>
          <w:sz w:val="24"/>
          <w:szCs w:val="24"/>
        </w:rPr>
        <w:t xml:space="preserve"> evidencia un mayor nivel de divulgación de </w:t>
      </w:r>
      <w:r w:rsidR="0019047F">
        <w:rPr>
          <w:rFonts w:ascii="Times New Roman" w:hAnsi="Times New Roman" w:cs="Times New Roman"/>
          <w:sz w:val="24"/>
          <w:szCs w:val="24"/>
        </w:rPr>
        <w:t>IA</w:t>
      </w:r>
      <w:r w:rsidR="00531966" w:rsidRPr="00531966">
        <w:rPr>
          <w:rFonts w:ascii="Times New Roman" w:hAnsi="Times New Roman" w:cs="Times New Roman"/>
          <w:sz w:val="24"/>
          <w:szCs w:val="24"/>
        </w:rPr>
        <w:t xml:space="preserve"> por parte de las empresas energéticas de Argentina, en relación con las del sector financiero.</w:t>
      </w:r>
      <w:r w:rsidR="0019047F">
        <w:rPr>
          <w:rFonts w:ascii="Times New Roman" w:hAnsi="Times New Roman" w:cs="Times New Roman"/>
          <w:sz w:val="24"/>
          <w:szCs w:val="24"/>
        </w:rPr>
        <w:t xml:space="preserve"> Para las primeras, el</w:t>
      </w:r>
      <w:r w:rsidR="0019047F" w:rsidRPr="00636A1B">
        <w:rPr>
          <w:rFonts w:ascii="Times New Roman" w:hAnsi="Times New Roman" w:cs="Times New Roman"/>
          <w:sz w:val="24"/>
          <w:szCs w:val="24"/>
        </w:rPr>
        <w:t xml:space="preserve"> ID</w:t>
      </w:r>
      <w:r>
        <w:rPr>
          <w:rFonts w:ascii="Times New Roman" w:hAnsi="Times New Roman" w:cs="Times New Roman"/>
          <w:sz w:val="24"/>
          <w:szCs w:val="24"/>
        </w:rPr>
        <w:t>IA</w:t>
      </w:r>
      <w:r w:rsidR="0019047F" w:rsidRPr="00636A1B">
        <w:rPr>
          <w:rFonts w:ascii="Times New Roman" w:hAnsi="Times New Roman" w:cs="Times New Roman"/>
          <w:sz w:val="24"/>
          <w:szCs w:val="24"/>
        </w:rPr>
        <w:t xml:space="preserve"> </w:t>
      </w:r>
      <w:r w:rsidR="0019047F" w:rsidRPr="00E35C28">
        <w:rPr>
          <w:rFonts w:ascii="Times New Roman" w:hAnsi="Times New Roman" w:cs="Times New Roman"/>
          <w:sz w:val="24"/>
          <w:szCs w:val="24"/>
        </w:rPr>
        <w:t>promedio sectorial es del 0.593, siendo del 0.302 para las segundas</w:t>
      </w:r>
      <w:r w:rsidR="0019047F" w:rsidRPr="00E35C28">
        <w:rPr>
          <w:rFonts w:ascii="Times New Roman" w:eastAsia="Times New Roman" w:hAnsi="Times New Roman" w:cs="Times New Roman"/>
          <w:sz w:val="24"/>
          <w:szCs w:val="24"/>
        </w:rPr>
        <w:t xml:space="preserve">. </w:t>
      </w:r>
      <w:r w:rsidR="00531966" w:rsidRPr="00E35C28">
        <w:rPr>
          <w:rFonts w:ascii="Times New Roman" w:hAnsi="Times New Roman" w:cs="Times New Roman"/>
          <w:sz w:val="24"/>
          <w:szCs w:val="24"/>
        </w:rPr>
        <w:t xml:space="preserve">Asimismo, se advierte un nivel dispar de cumplimiento de los criterios GRI analizados. Así, las empresas energéticas presentan el mayor nivel de divulgación para Agua, Efluentes y Residuos y Emisiones, </w:t>
      </w:r>
      <w:r w:rsidRPr="00E35C28">
        <w:rPr>
          <w:rFonts w:ascii="Times New Roman" w:hAnsi="Times New Roman" w:cs="Times New Roman"/>
          <w:sz w:val="24"/>
          <w:szCs w:val="24"/>
        </w:rPr>
        <w:t xml:space="preserve">mientras que, en </w:t>
      </w:r>
      <w:r w:rsidR="00531966" w:rsidRPr="00E35C28">
        <w:rPr>
          <w:rFonts w:ascii="Times New Roman" w:hAnsi="Times New Roman" w:cs="Times New Roman"/>
          <w:sz w:val="24"/>
          <w:szCs w:val="24"/>
        </w:rPr>
        <w:t>las empresas financieras, el mayor alcance en la aplicación de los criterios GRI se produce para</w:t>
      </w:r>
      <w:r w:rsidRPr="00E35C28">
        <w:rPr>
          <w:rFonts w:ascii="Times New Roman" w:hAnsi="Times New Roman" w:cs="Times New Roman"/>
          <w:sz w:val="24"/>
          <w:szCs w:val="24"/>
        </w:rPr>
        <w:t xml:space="preserve"> Energía y Efluentes y Residuos</w:t>
      </w:r>
      <w:r w:rsidR="00531966" w:rsidRPr="00E35C28">
        <w:rPr>
          <w:rFonts w:ascii="Times New Roman" w:hAnsi="Times New Roman" w:cs="Times New Roman"/>
          <w:sz w:val="24"/>
          <w:szCs w:val="24"/>
        </w:rPr>
        <w:t>.</w:t>
      </w:r>
      <w:r w:rsidR="00B4540C" w:rsidRPr="00E35C28">
        <w:rPr>
          <w:rFonts w:ascii="Times New Roman" w:hAnsi="Times New Roman" w:cs="Times New Roman"/>
          <w:sz w:val="24"/>
          <w:szCs w:val="24"/>
        </w:rPr>
        <w:t xml:space="preserve"> </w:t>
      </w:r>
      <w:r w:rsidR="0019047F">
        <w:rPr>
          <w:rFonts w:ascii="Times New Roman" w:hAnsi="Times New Roman" w:cs="Times New Roman"/>
          <w:sz w:val="24"/>
          <w:szCs w:val="24"/>
        </w:rPr>
        <w:t>Considerando la muestra completa de empresas estudiadas, s</w:t>
      </w:r>
      <w:r w:rsidR="00855D11" w:rsidRPr="00531966">
        <w:rPr>
          <w:rFonts w:ascii="Times New Roman" w:hAnsi="Times New Roman" w:cs="Times New Roman"/>
          <w:sz w:val="24"/>
          <w:szCs w:val="24"/>
        </w:rPr>
        <w:t xml:space="preserve">e detecta, asimismo, que </w:t>
      </w:r>
      <w:r w:rsidR="00B4540C">
        <w:rPr>
          <w:rFonts w:ascii="Times New Roman" w:hAnsi="Times New Roman" w:cs="Times New Roman"/>
          <w:sz w:val="24"/>
          <w:szCs w:val="24"/>
        </w:rPr>
        <w:t>el tema</w:t>
      </w:r>
      <w:r w:rsidR="00855D11" w:rsidRPr="00531966">
        <w:rPr>
          <w:rFonts w:ascii="Times New Roman" w:hAnsi="Times New Roman" w:cs="Times New Roman"/>
          <w:sz w:val="24"/>
          <w:szCs w:val="24"/>
        </w:rPr>
        <w:t xml:space="preserve"> que presenta mayor nivel de divulgación, </w:t>
      </w:r>
      <w:r w:rsidR="00B4540C">
        <w:rPr>
          <w:rFonts w:ascii="Times New Roman" w:hAnsi="Times New Roman" w:cs="Times New Roman"/>
          <w:sz w:val="24"/>
          <w:szCs w:val="24"/>
        </w:rPr>
        <w:t>es</w:t>
      </w:r>
      <w:r w:rsidR="00B4540C" w:rsidRPr="0005691B">
        <w:rPr>
          <w:rFonts w:ascii="Times New Roman" w:hAnsi="Times New Roman" w:cs="Times New Roman"/>
          <w:sz w:val="24"/>
          <w:szCs w:val="24"/>
        </w:rPr>
        <w:t xml:space="preserve"> Efluentes y Residuos, </w:t>
      </w:r>
      <w:r w:rsidR="00B4540C">
        <w:rPr>
          <w:rFonts w:ascii="Times New Roman" w:hAnsi="Times New Roman" w:cs="Times New Roman"/>
          <w:sz w:val="24"/>
          <w:szCs w:val="24"/>
        </w:rPr>
        <w:t>mientras que</w:t>
      </w:r>
      <w:r w:rsidR="00B4540C" w:rsidRPr="0005691B">
        <w:rPr>
          <w:rFonts w:ascii="Times New Roman" w:hAnsi="Times New Roman" w:cs="Times New Roman"/>
          <w:sz w:val="24"/>
          <w:szCs w:val="24"/>
        </w:rPr>
        <w:t xml:space="preserve"> Energía, Agua y Emisiones, </w:t>
      </w:r>
      <w:r w:rsidR="00B4540C">
        <w:rPr>
          <w:rFonts w:ascii="Times New Roman" w:hAnsi="Times New Roman" w:cs="Times New Roman"/>
          <w:sz w:val="24"/>
          <w:szCs w:val="24"/>
        </w:rPr>
        <w:t>evidencian</w:t>
      </w:r>
      <w:r w:rsidR="00B4540C" w:rsidRPr="0005691B">
        <w:rPr>
          <w:rFonts w:ascii="Times New Roman" w:hAnsi="Times New Roman" w:cs="Times New Roman"/>
          <w:sz w:val="24"/>
          <w:szCs w:val="24"/>
        </w:rPr>
        <w:t xml:space="preserve"> niveles </w:t>
      </w:r>
      <w:r w:rsidR="0019047F">
        <w:rPr>
          <w:rFonts w:ascii="Times New Roman" w:hAnsi="Times New Roman" w:cs="Times New Roman"/>
          <w:sz w:val="24"/>
          <w:szCs w:val="24"/>
        </w:rPr>
        <w:t xml:space="preserve">medios </w:t>
      </w:r>
      <w:r w:rsidR="00B4540C" w:rsidRPr="0005691B">
        <w:rPr>
          <w:rFonts w:ascii="Times New Roman" w:hAnsi="Times New Roman" w:cs="Times New Roman"/>
          <w:sz w:val="24"/>
          <w:szCs w:val="24"/>
        </w:rPr>
        <w:t xml:space="preserve">de </w:t>
      </w:r>
      <w:r>
        <w:rPr>
          <w:rFonts w:ascii="Times New Roman" w:hAnsi="Times New Roman" w:cs="Times New Roman"/>
          <w:sz w:val="24"/>
          <w:szCs w:val="24"/>
        </w:rPr>
        <w:t xml:space="preserve">revelación, </w:t>
      </w:r>
      <w:r w:rsidR="00B4540C" w:rsidRPr="00855D11">
        <w:rPr>
          <w:rFonts w:ascii="Times New Roman" w:hAnsi="Times New Roman" w:cs="Times New Roman"/>
          <w:sz w:val="24"/>
          <w:szCs w:val="24"/>
        </w:rPr>
        <w:t>bastante semejantes</w:t>
      </w:r>
      <w:r w:rsidR="0019047F">
        <w:rPr>
          <w:rFonts w:ascii="Times New Roman" w:hAnsi="Times New Roman" w:cs="Times New Roman"/>
          <w:sz w:val="24"/>
          <w:szCs w:val="24"/>
        </w:rPr>
        <w:t xml:space="preserve"> entre sí</w:t>
      </w:r>
      <w:r w:rsidR="00B4540C" w:rsidRPr="00855D11">
        <w:rPr>
          <w:rFonts w:ascii="Times New Roman" w:hAnsi="Times New Roman" w:cs="Times New Roman"/>
          <w:sz w:val="24"/>
          <w:szCs w:val="24"/>
        </w:rPr>
        <w:t>.</w:t>
      </w:r>
    </w:p>
    <w:p w:rsidR="00B4540C" w:rsidRDefault="00855D11" w:rsidP="00E35C28">
      <w:pPr>
        <w:autoSpaceDE w:val="0"/>
        <w:autoSpaceDN w:val="0"/>
        <w:adjustRightInd w:val="0"/>
        <w:spacing w:after="0" w:line="360" w:lineRule="auto"/>
        <w:jc w:val="both"/>
        <w:rPr>
          <w:rFonts w:ascii="Times New Roman" w:hAnsi="Times New Roman" w:cs="Times New Roman"/>
          <w:sz w:val="24"/>
          <w:szCs w:val="24"/>
        </w:rPr>
      </w:pPr>
      <w:r w:rsidRPr="00531966">
        <w:rPr>
          <w:rFonts w:ascii="Times New Roman" w:hAnsi="Times New Roman" w:cs="Times New Roman"/>
          <w:sz w:val="24"/>
          <w:szCs w:val="24"/>
        </w:rPr>
        <w:t>En lo que respecta, específicamente, a los contenidos temáticos, los más revelados son</w:t>
      </w:r>
      <w:r w:rsidR="00B4540C">
        <w:rPr>
          <w:rFonts w:ascii="Times New Roman" w:hAnsi="Times New Roman" w:cs="Times New Roman"/>
          <w:sz w:val="24"/>
          <w:szCs w:val="24"/>
        </w:rPr>
        <w:t xml:space="preserve">: </w:t>
      </w:r>
      <w:r w:rsidR="00B4540C" w:rsidRPr="007B53BC">
        <w:rPr>
          <w:rFonts w:ascii="Times New Roman" w:hAnsi="Times New Roman" w:cs="Times New Roman"/>
          <w:sz w:val="24"/>
          <w:szCs w:val="24"/>
        </w:rPr>
        <w:t>“Consumo de energía dentro de la organización; 302-1”</w:t>
      </w:r>
      <w:r w:rsidR="00E35C28">
        <w:rPr>
          <w:rFonts w:ascii="Times New Roman" w:hAnsi="Times New Roman" w:cs="Times New Roman"/>
          <w:sz w:val="24"/>
          <w:szCs w:val="24"/>
        </w:rPr>
        <w:t>,</w:t>
      </w:r>
      <w:r w:rsidR="00B4540C" w:rsidRPr="007B53BC">
        <w:rPr>
          <w:rFonts w:ascii="Times New Roman" w:hAnsi="Times New Roman" w:cs="Times New Roman"/>
          <w:sz w:val="24"/>
          <w:szCs w:val="24"/>
        </w:rPr>
        <w:t xml:space="preserve"> “Emisiones de GEI directas e indirectas; 305-1 y 305-2”</w:t>
      </w:r>
      <w:r w:rsidR="00E35C28">
        <w:rPr>
          <w:rFonts w:ascii="Times New Roman" w:hAnsi="Times New Roman" w:cs="Times New Roman"/>
          <w:sz w:val="24"/>
          <w:szCs w:val="24"/>
        </w:rPr>
        <w:t>,</w:t>
      </w:r>
      <w:r w:rsidR="00B4540C" w:rsidRPr="007B53BC">
        <w:rPr>
          <w:rFonts w:ascii="Times New Roman" w:hAnsi="Times New Roman" w:cs="Times New Roman"/>
          <w:sz w:val="24"/>
          <w:szCs w:val="24"/>
        </w:rPr>
        <w:t xml:space="preserve"> “</w:t>
      </w:r>
      <w:r w:rsidR="00B4540C" w:rsidRPr="007B53BC">
        <w:rPr>
          <w:rFonts w:ascii="Times New Roman" w:eastAsia="Times New Roman" w:hAnsi="Times New Roman" w:cs="Times New Roman"/>
          <w:sz w:val="24"/>
          <w:szCs w:val="24"/>
        </w:rPr>
        <w:t>Residuos generados</w:t>
      </w:r>
      <w:r w:rsidR="00B4540C">
        <w:rPr>
          <w:rFonts w:ascii="Times New Roman" w:eastAsia="Times New Roman" w:hAnsi="Times New Roman" w:cs="Times New Roman"/>
          <w:sz w:val="24"/>
          <w:szCs w:val="24"/>
        </w:rPr>
        <w:t>; 306-3</w:t>
      </w:r>
      <w:r w:rsidR="00B4540C" w:rsidRPr="007B53BC">
        <w:rPr>
          <w:rFonts w:ascii="Times New Roman" w:hAnsi="Times New Roman" w:cs="Times New Roman"/>
          <w:sz w:val="24"/>
          <w:szCs w:val="24"/>
        </w:rPr>
        <w:t>” y “</w:t>
      </w:r>
      <w:r w:rsidR="00B4540C" w:rsidRPr="007B53BC">
        <w:rPr>
          <w:rFonts w:ascii="Times New Roman" w:eastAsia="Times New Roman" w:hAnsi="Times New Roman" w:cs="Times New Roman"/>
          <w:sz w:val="24"/>
          <w:szCs w:val="24"/>
        </w:rPr>
        <w:t>Gestión de impactos significativos relacionados con los residuos</w:t>
      </w:r>
      <w:r w:rsidR="00B4540C">
        <w:rPr>
          <w:rFonts w:ascii="Times New Roman" w:eastAsia="Times New Roman" w:hAnsi="Times New Roman" w:cs="Times New Roman"/>
          <w:sz w:val="24"/>
          <w:szCs w:val="24"/>
        </w:rPr>
        <w:t>; 306-2</w:t>
      </w:r>
      <w:r w:rsidR="00B4540C" w:rsidRPr="007B53BC">
        <w:rPr>
          <w:rFonts w:ascii="Times New Roman" w:hAnsi="Times New Roman" w:cs="Times New Roman"/>
          <w:sz w:val="24"/>
          <w:szCs w:val="24"/>
        </w:rPr>
        <w:t>”</w:t>
      </w:r>
      <w:r w:rsidR="00B4540C">
        <w:rPr>
          <w:rFonts w:ascii="Times New Roman" w:hAnsi="Times New Roman" w:cs="Times New Roman"/>
          <w:sz w:val="24"/>
          <w:szCs w:val="24"/>
        </w:rPr>
        <w:t xml:space="preserve">, </w:t>
      </w:r>
      <w:r w:rsidR="00B4540C" w:rsidRPr="00855D11">
        <w:rPr>
          <w:rFonts w:ascii="Times New Roman" w:hAnsi="Times New Roman" w:cs="Times New Roman"/>
          <w:sz w:val="24"/>
          <w:szCs w:val="24"/>
        </w:rPr>
        <w:t>los que presentan un nivel elevado de divulgación</w:t>
      </w:r>
      <w:r w:rsidR="00E35C28">
        <w:rPr>
          <w:rFonts w:ascii="Times New Roman" w:hAnsi="Times New Roman" w:cs="Times New Roman"/>
          <w:sz w:val="24"/>
          <w:szCs w:val="24"/>
        </w:rPr>
        <w:t>.</w:t>
      </w:r>
      <w:r w:rsidRPr="00531966">
        <w:rPr>
          <w:rFonts w:ascii="Times New Roman" w:hAnsi="Times New Roman" w:cs="Times New Roman"/>
          <w:sz w:val="24"/>
          <w:szCs w:val="24"/>
        </w:rPr>
        <w:t xml:space="preserve"> Aparecen también contenidos temáticos con muy bajo nivel de revelación. </w:t>
      </w:r>
      <w:r w:rsidR="00E35C28">
        <w:rPr>
          <w:rFonts w:ascii="Times New Roman" w:hAnsi="Times New Roman" w:cs="Times New Roman"/>
          <w:sz w:val="24"/>
          <w:szCs w:val="24"/>
        </w:rPr>
        <w:t>En este sentido</w:t>
      </w:r>
      <w:r w:rsidRPr="00531966">
        <w:rPr>
          <w:rFonts w:ascii="Times New Roman" w:hAnsi="Times New Roman" w:cs="Times New Roman"/>
          <w:sz w:val="24"/>
          <w:szCs w:val="24"/>
        </w:rPr>
        <w:t xml:space="preserve">, </w:t>
      </w:r>
      <w:r w:rsidR="00B4540C">
        <w:rPr>
          <w:rFonts w:ascii="Times New Roman" w:hAnsi="Times New Roman" w:cs="Times New Roman"/>
          <w:sz w:val="24"/>
          <w:szCs w:val="24"/>
        </w:rPr>
        <w:t xml:space="preserve">los contenidos menos revelados son: </w:t>
      </w:r>
      <w:r w:rsidR="00B4540C" w:rsidRPr="000561A1">
        <w:rPr>
          <w:rFonts w:ascii="Times New Roman" w:hAnsi="Times New Roman" w:cs="Times New Roman"/>
          <w:sz w:val="24"/>
          <w:szCs w:val="24"/>
        </w:rPr>
        <w:t>“</w:t>
      </w:r>
      <w:r w:rsidR="00B4540C" w:rsidRPr="000561A1">
        <w:rPr>
          <w:rFonts w:ascii="Times New Roman" w:eastAsia="Times New Roman" w:hAnsi="Times New Roman" w:cs="Times New Roman"/>
          <w:sz w:val="24"/>
          <w:szCs w:val="24"/>
        </w:rPr>
        <w:t>Consumo de energía fuera de la organización; 302-2</w:t>
      </w:r>
      <w:r w:rsidR="00B4540C" w:rsidRPr="000561A1">
        <w:rPr>
          <w:rFonts w:ascii="Times New Roman" w:hAnsi="Times New Roman" w:cs="Times New Roman"/>
          <w:sz w:val="24"/>
          <w:szCs w:val="24"/>
        </w:rPr>
        <w:t>”</w:t>
      </w:r>
      <w:r w:rsidR="00B4540C">
        <w:rPr>
          <w:rFonts w:ascii="Times New Roman" w:hAnsi="Times New Roman" w:cs="Times New Roman"/>
          <w:sz w:val="24"/>
          <w:szCs w:val="24"/>
        </w:rPr>
        <w:t xml:space="preserve">, </w:t>
      </w:r>
      <w:r w:rsidR="00B4540C" w:rsidRPr="000561A1">
        <w:rPr>
          <w:rFonts w:ascii="Times New Roman" w:hAnsi="Times New Roman" w:cs="Times New Roman"/>
          <w:sz w:val="24"/>
          <w:szCs w:val="24"/>
        </w:rPr>
        <w:t xml:space="preserve">“Reducción de los requerimientos energéticos de productos y servicios; 302-5” </w:t>
      </w:r>
      <w:r w:rsidR="00B4540C">
        <w:rPr>
          <w:rFonts w:ascii="Times New Roman" w:hAnsi="Times New Roman" w:cs="Times New Roman"/>
          <w:sz w:val="24"/>
          <w:szCs w:val="24"/>
        </w:rPr>
        <w:t xml:space="preserve">y </w:t>
      </w:r>
      <w:r w:rsidR="00B4540C" w:rsidRPr="000561A1">
        <w:rPr>
          <w:rFonts w:ascii="Times New Roman" w:eastAsia="Times New Roman" w:hAnsi="Times New Roman" w:cs="Times New Roman"/>
          <w:sz w:val="24"/>
          <w:szCs w:val="24"/>
        </w:rPr>
        <w:t>“Emisiones de sustancias que agotan la capa de ozono</w:t>
      </w:r>
      <w:r w:rsidR="00B4540C">
        <w:rPr>
          <w:rFonts w:ascii="Times New Roman" w:hAnsi="Times New Roman" w:cs="Times New Roman"/>
          <w:sz w:val="24"/>
          <w:szCs w:val="24"/>
        </w:rPr>
        <w:t>; 305-6”.</w:t>
      </w:r>
    </w:p>
    <w:p w:rsidR="00855D11" w:rsidRPr="00531966" w:rsidRDefault="00855D11" w:rsidP="00531966">
      <w:pPr>
        <w:autoSpaceDE w:val="0"/>
        <w:autoSpaceDN w:val="0"/>
        <w:adjustRightInd w:val="0"/>
        <w:spacing w:after="0" w:line="360" w:lineRule="auto"/>
        <w:jc w:val="both"/>
        <w:rPr>
          <w:rFonts w:ascii="Times New Roman" w:hAnsi="Times New Roman" w:cs="Times New Roman"/>
          <w:sz w:val="24"/>
          <w:szCs w:val="24"/>
        </w:rPr>
      </w:pPr>
      <w:r w:rsidRPr="00531966">
        <w:rPr>
          <w:rFonts w:ascii="Times New Roman" w:hAnsi="Times New Roman" w:cs="Times New Roman"/>
          <w:sz w:val="24"/>
          <w:szCs w:val="24"/>
        </w:rPr>
        <w:lastRenderedPageBreak/>
        <w:t xml:space="preserve">Estos resultados son el fruto de un estudio exploratorio, que requiere ser profundizado y complementado con el análisis de otras fuentes de datos. Entre ellas, se podría recurrir a entrevistas con empleados y ejecutivos de las empresas, a los efectos de profundizar en la comprensión del fenómeno estudiado y conocer las razones que llevan a revelar cierta información y a no revelar determinados contenidos. Asimismo, se podrían analizar otras fuentes de datos (como noticias publicadas en la prensa o denuncias presentadas en organismos oficiales y </w:t>
      </w:r>
      <w:proofErr w:type="spellStart"/>
      <w:r w:rsidRPr="00531966">
        <w:rPr>
          <w:rFonts w:ascii="Times New Roman" w:hAnsi="Times New Roman" w:cs="Times New Roman"/>
          <w:sz w:val="24"/>
          <w:szCs w:val="24"/>
        </w:rPr>
        <w:t>ONGs</w:t>
      </w:r>
      <w:proofErr w:type="spellEnd"/>
      <w:r w:rsidRPr="00531966">
        <w:rPr>
          <w:rFonts w:ascii="Times New Roman" w:hAnsi="Times New Roman" w:cs="Times New Roman"/>
          <w:sz w:val="24"/>
          <w:szCs w:val="24"/>
        </w:rPr>
        <w:t>) que pudieran mostrar información que no queda evidencia en las MS y que podría dar cuenta de conflictos ambientales.</w:t>
      </w:r>
    </w:p>
    <w:p w:rsidR="00A17943" w:rsidRPr="00531966" w:rsidRDefault="00A17943" w:rsidP="00531966">
      <w:pPr>
        <w:spacing w:after="0" w:line="360" w:lineRule="auto"/>
        <w:jc w:val="both"/>
        <w:rPr>
          <w:rFonts w:ascii="Times New Roman" w:hAnsi="Times New Roman" w:cs="Times New Roman"/>
          <w:sz w:val="24"/>
          <w:szCs w:val="24"/>
        </w:rPr>
      </w:pPr>
    </w:p>
    <w:p w:rsidR="00A17943" w:rsidRPr="00A17943" w:rsidRDefault="0096408E" w:rsidP="000144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Referencias</w:t>
      </w:r>
    </w:p>
    <w:p w:rsidR="00067C84" w:rsidRPr="00CA0A59" w:rsidRDefault="00067C84"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s-AR"/>
        </w:rPr>
        <w:t>Ahmadi</w:t>
      </w:r>
      <w:proofErr w:type="spellEnd"/>
      <w:r w:rsidRPr="00CA0A59">
        <w:rPr>
          <w:rFonts w:ascii="Times New Roman" w:eastAsia="Times New Roman" w:hAnsi="Times New Roman" w:cs="Times New Roman"/>
          <w:sz w:val="24"/>
          <w:szCs w:val="24"/>
          <w:lang w:val="es-AR"/>
        </w:rPr>
        <w:t xml:space="preserve">, A., &amp; </w:t>
      </w:r>
      <w:proofErr w:type="spellStart"/>
      <w:r w:rsidRPr="00CA0A59">
        <w:rPr>
          <w:rFonts w:ascii="Times New Roman" w:eastAsia="Times New Roman" w:hAnsi="Times New Roman" w:cs="Times New Roman"/>
          <w:sz w:val="24"/>
          <w:szCs w:val="24"/>
          <w:lang w:val="es-AR"/>
        </w:rPr>
        <w:t>Bouri</w:t>
      </w:r>
      <w:proofErr w:type="spellEnd"/>
      <w:r w:rsidRPr="00CA0A59">
        <w:rPr>
          <w:rFonts w:ascii="Times New Roman" w:eastAsia="Times New Roman" w:hAnsi="Times New Roman" w:cs="Times New Roman"/>
          <w:sz w:val="24"/>
          <w:szCs w:val="24"/>
          <w:lang w:val="es-AR"/>
        </w:rPr>
        <w:t xml:space="preserve">, A. (2017). </w:t>
      </w:r>
      <w:r w:rsidRPr="00CA0A59">
        <w:rPr>
          <w:rFonts w:ascii="Times New Roman" w:eastAsia="Times New Roman" w:hAnsi="Times New Roman" w:cs="Times New Roman"/>
          <w:sz w:val="24"/>
          <w:szCs w:val="24"/>
          <w:lang w:val="en-US"/>
        </w:rPr>
        <w:t xml:space="preserve">The relationship between financial attributes, environmental performance and environmental disclosure. </w:t>
      </w:r>
      <w:r w:rsidRPr="00CA0A59">
        <w:rPr>
          <w:rFonts w:ascii="Times New Roman" w:eastAsia="Times New Roman" w:hAnsi="Times New Roman" w:cs="Times New Roman"/>
          <w:i/>
          <w:iCs/>
          <w:sz w:val="24"/>
          <w:szCs w:val="24"/>
          <w:lang w:val="en-US"/>
        </w:rPr>
        <w:t>Management of Environmental Quality: An International Journal</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28</w:t>
      </w:r>
      <w:r w:rsidR="00CA0A59">
        <w:rPr>
          <w:rFonts w:ascii="Times New Roman" w:eastAsia="Times New Roman" w:hAnsi="Times New Roman" w:cs="Times New Roman"/>
          <w:sz w:val="24"/>
          <w:szCs w:val="24"/>
          <w:lang w:val="en-US"/>
        </w:rPr>
        <w:t>(4), 490–506.</w:t>
      </w:r>
    </w:p>
    <w:p w:rsidR="00CA0A59" w:rsidRPr="00CA0A59" w:rsidRDefault="00CA0A59"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hAnsi="Times New Roman" w:cs="Times New Roman"/>
          <w:sz w:val="24"/>
          <w:szCs w:val="24"/>
          <w:lang w:val="en-US"/>
        </w:rPr>
        <w:t xml:space="preserve">An, Y., Davey, H., &amp; </w:t>
      </w:r>
      <w:proofErr w:type="spellStart"/>
      <w:r w:rsidRPr="00CA0A59">
        <w:rPr>
          <w:rFonts w:ascii="Times New Roman" w:hAnsi="Times New Roman" w:cs="Times New Roman"/>
          <w:sz w:val="24"/>
          <w:szCs w:val="24"/>
          <w:lang w:val="en-US"/>
        </w:rPr>
        <w:t>Eggleton</w:t>
      </w:r>
      <w:proofErr w:type="spellEnd"/>
      <w:r w:rsidRPr="00CA0A59">
        <w:rPr>
          <w:rFonts w:ascii="Times New Roman" w:hAnsi="Times New Roman" w:cs="Times New Roman"/>
          <w:sz w:val="24"/>
          <w:szCs w:val="24"/>
          <w:lang w:val="en-US"/>
        </w:rPr>
        <w:t xml:space="preserve">, I. R. C. (2011). Towards a comprehensive theoretical framework for voluntary IC disclosure. </w:t>
      </w:r>
      <w:proofErr w:type="spellStart"/>
      <w:r w:rsidRPr="00CA0A59">
        <w:rPr>
          <w:rFonts w:ascii="Times New Roman" w:hAnsi="Times New Roman" w:cs="Times New Roman"/>
          <w:i/>
          <w:iCs/>
          <w:sz w:val="24"/>
          <w:szCs w:val="24"/>
        </w:rPr>
        <w:t>Journal</w:t>
      </w:r>
      <w:proofErr w:type="spellEnd"/>
      <w:r w:rsidRPr="00CA0A59">
        <w:rPr>
          <w:rFonts w:ascii="Times New Roman" w:hAnsi="Times New Roman" w:cs="Times New Roman"/>
          <w:i/>
          <w:iCs/>
          <w:sz w:val="24"/>
          <w:szCs w:val="24"/>
        </w:rPr>
        <w:t xml:space="preserve"> of </w:t>
      </w:r>
      <w:proofErr w:type="spellStart"/>
      <w:r w:rsidRPr="00CA0A59">
        <w:rPr>
          <w:rFonts w:ascii="Times New Roman" w:hAnsi="Times New Roman" w:cs="Times New Roman"/>
          <w:i/>
          <w:iCs/>
          <w:sz w:val="24"/>
          <w:szCs w:val="24"/>
        </w:rPr>
        <w:t>Intellectual</w:t>
      </w:r>
      <w:proofErr w:type="spellEnd"/>
      <w:r w:rsidRPr="00CA0A59">
        <w:rPr>
          <w:rFonts w:ascii="Times New Roman" w:hAnsi="Times New Roman" w:cs="Times New Roman"/>
          <w:i/>
          <w:iCs/>
          <w:sz w:val="24"/>
          <w:szCs w:val="24"/>
        </w:rPr>
        <w:t xml:space="preserve"> Capital</w:t>
      </w:r>
      <w:r w:rsidRPr="00CA0A59">
        <w:rPr>
          <w:rFonts w:ascii="Times New Roman" w:hAnsi="Times New Roman" w:cs="Times New Roman"/>
          <w:sz w:val="24"/>
          <w:szCs w:val="24"/>
        </w:rPr>
        <w:t xml:space="preserve">, </w:t>
      </w:r>
      <w:r w:rsidRPr="00CA0A59">
        <w:rPr>
          <w:rFonts w:ascii="Times New Roman" w:hAnsi="Times New Roman" w:cs="Times New Roman"/>
          <w:i/>
          <w:iCs/>
          <w:sz w:val="24"/>
          <w:szCs w:val="24"/>
        </w:rPr>
        <w:t>12</w:t>
      </w:r>
      <w:r w:rsidRPr="00CA0A59">
        <w:rPr>
          <w:rFonts w:ascii="Times New Roman" w:hAnsi="Times New Roman" w:cs="Times New Roman"/>
          <w:sz w:val="24"/>
          <w:szCs w:val="24"/>
        </w:rPr>
        <w:t>(4), 571–585.</w:t>
      </w:r>
    </w:p>
    <w:p w:rsidR="00067C84" w:rsidRPr="00CA0A59" w:rsidRDefault="00067C84"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n-US"/>
        </w:rPr>
        <w:t>Andrikopoulos</w:t>
      </w:r>
      <w:proofErr w:type="spellEnd"/>
      <w:r w:rsidRPr="00CA0A59">
        <w:rPr>
          <w:rFonts w:ascii="Times New Roman" w:eastAsia="Times New Roman" w:hAnsi="Times New Roman" w:cs="Times New Roman"/>
          <w:sz w:val="24"/>
          <w:szCs w:val="24"/>
          <w:lang w:val="en-US"/>
        </w:rPr>
        <w:t xml:space="preserve">, A., &amp; </w:t>
      </w:r>
      <w:proofErr w:type="spellStart"/>
      <w:r w:rsidRPr="00CA0A59">
        <w:rPr>
          <w:rFonts w:ascii="Times New Roman" w:eastAsia="Times New Roman" w:hAnsi="Times New Roman" w:cs="Times New Roman"/>
          <w:sz w:val="24"/>
          <w:szCs w:val="24"/>
          <w:lang w:val="en-US"/>
        </w:rPr>
        <w:t>Kriklani</w:t>
      </w:r>
      <w:proofErr w:type="spellEnd"/>
      <w:r w:rsidRPr="00CA0A59">
        <w:rPr>
          <w:rFonts w:ascii="Times New Roman" w:eastAsia="Times New Roman" w:hAnsi="Times New Roman" w:cs="Times New Roman"/>
          <w:sz w:val="24"/>
          <w:szCs w:val="24"/>
          <w:lang w:val="en-US"/>
        </w:rPr>
        <w:t xml:space="preserve">, N. (2013). Environmental Disclosure and Financial Characteristics of the Firm: The Case of Denmark. </w:t>
      </w:r>
      <w:r w:rsidRPr="00CA0A59">
        <w:rPr>
          <w:rFonts w:ascii="Times New Roman" w:eastAsia="Times New Roman" w:hAnsi="Times New Roman" w:cs="Times New Roman"/>
          <w:i/>
          <w:iCs/>
          <w:sz w:val="24"/>
          <w:szCs w:val="24"/>
          <w:lang w:val="en-US"/>
        </w:rPr>
        <w:t>Corporate Social Responsibility and Environmental Management</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20</w:t>
      </w:r>
      <w:r w:rsidR="00CA0A59">
        <w:rPr>
          <w:rFonts w:ascii="Times New Roman" w:eastAsia="Times New Roman" w:hAnsi="Times New Roman" w:cs="Times New Roman"/>
          <w:sz w:val="24"/>
          <w:szCs w:val="24"/>
          <w:lang w:val="en-US"/>
        </w:rPr>
        <w:t>(1), 55–64.</w:t>
      </w:r>
    </w:p>
    <w:p w:rsidR="00A17943" w:rsidRPr="00CA0A59" w:rsidRDefault="00A17943" w:rsidP="00CA0A59">
      <w:pPr>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lang w:val="es-AR"/>
        </w:rPr>
        <w:t xml:space="preserve">Apte, S., &amp; </w:t>
      </w:r>
      <w:proofErr w:type="spellStart"/>
      <w:r w:rsidRPr="00CA0A59">
        <w:rPr>
          <w:rFonts w:ascii="Times New Roman" w:eastAsia="Times New Roman" w:hAnsi="Times New Roman" w:cs="Times New Roman"/>
          <w:sz w:val="24"/>
          <w:szCs w:val="24"/>
          <w:lang w:val="es-AR"/>
        </w:rPr>
        <w:t>Sheth</w:t>
      </w:r>
      <w:proofErr w:type="spellEnd"/>
      <w:r w:rsidRPr="00CA0A59">
        <w:rPr>
          <w:rFonts w:ascii="Times New Roman" w:eastAsia="Times New Roman" w:hAnsi="Times New Roman" w:cs="Times New Roman"/>
          <w:sz w:val="24"/>
          <w:szCs w:val="24"/>
          <w:lang w:val="es-AR"/>
        </w:rPr>
        <w:t xml:space="preserve">, J. (2017). </w:t>
      </w:r>
      <w:r w:rsidRPr="00CA0A59">
        <w:rPr>
          <w:rFonts w:ascii="Times New Roman" w:eastAsia="Times New Roman" w:hAnsi="Times New Roman" w:cs="Times New Roman"/>
          <w:sz w:val="24"/>
          <w:szCs w:val="24"/>
          <w:lang w:val="en-US"/>
        </w:rPr>
        <w:t xml:space="preserve">Developing the sustainable edge. </w:t>
      </w:r>
      <w:r w:rsidRPr="00CA0A59">
        <w:rPr>
          <w:rFonts w:ascii="Times New Roman" w:eastAsia="Times New Roman" w:hAnsi="Times New Roman" w:cs="Times New Roman"/>
          <w:i/>
          <w:iCs/>
          <w:sz w:val="24"/>
          <w:szCs w:val="24"/>
          <w:lang w:val="en-US"/>
        </w:rPr>
        <w:t>Leader to Leader</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2017</w:t>
      </w:r>
      <w:r w:rsidR="00CA0A59">
        <w:rPr>
          <w:rFonts w:ascii="Times New Roman" w:eastAsia="Times New Roman" w:hAnsi="Times New Roman" w:cs="Times New Roman"/>
          <w:sz w:val="24"/>
          <w:szCs w:val="24"/>
          <w:lang w:val="en-US"/>
        </w:rPr>
        <w:t>, 48–53.</w:t>
      </w:r>
    </w:p>
    <w:p w:rsidR="00A17943" w:rsidRPr="00CA0A59" w:rsidRDefault="00A17943"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lang w:val="en-US"/>
        </w:rPr>
        <w:t xml:space="preserve">Bai, Y., &amp; Yao, R. (2023). Visualizing environmental management: Corporate environmental images information disclosure and idiosyncratic risk. </w:t>
      </w:r>
      <w:r w:rsidRPr="00CA0A59">
        <w:rPr>
          <w:rFonts w:ascii="Times New Roman" w:eastAsia="Times New Roman" w:hAnsi="Times New Roman" w:cs="Times New Roman"/>
          <w:i/>
          <w:iCs/>
          <w:sz w:val="24"/>
          <w:szCs w:val="24"/>
          <w:lang w:val="en-US"/>
        </w:rPr>
        <w:t>Environmental Impact Assessment Review</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99</w:t>
      </w:r>
      <w:r w:rsidRPr="00CA0A59">
        <w:rPr>
          <w:rFonts w:ascii="Times New Roman" w:eastAsia="Times New Roman" w:hAnsi="Times New Roman" w:cs="Times New Roman"/>
          <w:sz w:val="24"/>
          <w:szCs w:val="24"/>
          <w:lang w:val="en-US"/>
        </w:rPr>
        <w:t>, 107026.</w:t>
      </w:r>
    </w:p>
    <w:p w:rsidR="00FE2DD1" w:rsidRPr="00CA0A59" w:rsidRDefault="00FE2DD1" w:rsidP="00CA0A59">
      <w:pPr>
        <w:spacing w:after="0" w:line="360" w:lineRule="auto"/>
        <w:ind w:left="709" w:hanging="709"/>
        <w:jc w:val="both"/>
        <w:rPr>
          <w:rFonts w:ascii="Times New Roman" w:eastAsia="Times New Roman" w:hAnsi="Times New Roman" w:cs="Times New Roman"/>
          <w:sz w:val="24"/>
          <w:szCs w:val="24"/>
        </w:rPr>
      </w:pPr>
      <w:proofErr w:type="spellStart"/>
      <w:r w:rsidRPr="00CA0A59">
        <w:rPr>
          <w:rFonts w:ascii="Times New Roman" w:eastAsia="Times New Roman" w:hAnsi="Times New Roman" w:cs="Times New Roman"/>
          <w:sz w:val="24"/>
          <w:szCs w:val="24"/>
          <w:lang w:val="en-US"/>
        </w:rPr>
        <w:t>Berelson</w:t>
      </w:r>
      <w:proofErr w:type="spellEnd"/>
      <w:r w:rsidRPr="00CA0A59">
        <w:rPr>
          <w:rFonts w:ascii="Times New Roman" w:eastAsia="Times New Roman" w:hAnsi="Times New Roman" w:cs="Times New Roman"/>
          <w:sz w:val="24"/>
          <w:szCs w:val="24"/>
          <w:lang w:val="en-US"/>
        </w:rPr>
        <w:t xml:space="preserve">, B. (1952). </w:t>
      </w:r>
      <w:r w:rsidRPr="00CA0A59">
        <w:rPr>
          <w:rFonts w:ascii="Times New Roman" w:eastAsia="Times New Roman" w:hAnsi="Times New Roman" w:cs="Times New Roman"/>
          <w:i/>
          <w:sz w:val="24"/>
          <w:szCs w:val="24"/>
          <w:lang w:val="en-US"/>
        </w:rPr>
        <w:t>Content Analysis in Communication Research</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sz w:val="24"/>
          <w:szCs w:val="24"/>
        </w:rPr>
        <w:t xml:space="preserve">Glencoe: </w:t>
      </w:r>
      <w:proofErr w:type="spellStart"/>
      <w:r w:rsidRPr="00CA0A59">
        <w:rPr>
          <w:rFonts w:ascii="Times New Roman" w:eastAsia="Times New Roman" w:hAnsi="Times New Roman" w:cs="Times New Roman"/>
          <w:sz w:val="24"/>
          <w:szCs w:val="24"/>
        </w:rPr>
        <w:t>The</w:t>
      </w:r>
      <w:proofErr w:type="spellEnd"/>
      <w:r w:rsidRPr="00CA0A59">
        <w:rPr>
          <w:rFonts w:ascii="Times New Roman" w:eastAsia="Times New Roman" w:hAnsi="Times New Roman" w:cs="Times New Roman"/>
          <w:sz w:val="24"/>
          <w:szCs w:val="24"/>
        </w:rPr>
        <w:t xml:space="preserve"> Free </w:t>
      </w:r>
      <w:proofErr w:type="spellStart"/>
      <w:r w:rsidRPr="00CA0A59">
        <w:rPr>
          <w:rFonts w:ascii="Times New Roman" w:eastAsia="Times New Roman" w:hAnsi="Times New Roman" w:cs="Times New Roman"/>
          <w:sz w:val="24"/>
          <w:szCs w:val="24"/>
        </w:rPr>
        <w:t>Press</w:t>
      </w:r>
      <w:proofErr w:type="spellEnd"/>
      <w:r w:rsidRPr="00CA0A59">
        <w:rPr>
          <w:rFonts w:ascii="Times New Roman" w:eastAsia="Times New Roman" w:hAnsi="Times New Roman" w:cs="Times New Roman"/>
          <w:sz w:val="24"/>
          <w:szCs w:val="24"/>
        </w:rPr>
        <w:t>.</w:t>
      </w:r>
    </w:p>
    <w:p w:rsidR="00067C84" w:rsidRPr="00CA0A59" w:rsidRDefault="00067C84"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n-US"/>
        </w:rPr>
        <w:t>Brammer</w:t>
      </w:r>
      <w:proofErr w:type="spellEnd"/>
      <w:r w:rsidRPr="00CA0A59">
        <w:rPr>
          <w:rFonts w:ascii="Times New Roman" w:eastAsia="Times New Roman" w:hAnsi="Times New Roman" w:cs="Times New Roman"/>
          <w:sz w:val="24"/>
          <w:szCs w:val="24"/>
          <w:lang w:val="en-US"/>
        </w:rPr>
        <w:t xml:space="preserve">, S., &amp; </w:t>
      </w:r>
      <w:proofErr w:type="spellStart"/>
      <w:r w:rsidRPr="00CA0A59">
        <w:rPr>
          <w:rFonts w:ascii="Times New Roman" w:eastAsia="Times New Roman" w:hAnsi="Times New Roman" w:cs="Times New Roman"/>
          <w:sz w:val="24"/>
          <w:szCs w:val="24"/>
          <w:lang w:val="en-US"/>
        </w:rPr>
        <w:t>Pavelin</w:t>
      </w:r>
      <w:proofErr w:type="spellEnd"/>
      <w:r w:rsidRPr="00CA0A59">
        <w:rPr>
          <w:rFonts w:ascii="Times New Roman" w:eastAsia="Times New Roman" w:hAnsi="Times New Roman" w:cs="Times New Roman"/>
          <w:sz w:val="24"/>
          <w:szCs w:val="24"/>
          <w:lang w:val="en-US"/>
        </w:rPr>
        <w:t xml:space="preserve">, S. (2006). Voluntary Environmental Disclosures by Large UK Companies. </w:t>
      </w:r>
      <w:r w:rsidRPr="00CA0A59">
        <w:rPr>
          <w:rFonts w:ascii="Times New Roman" w:eastAsia="Times New Roman" w:hAnsi="Times New Roman" w:cs="Times New Roman"/>
          <w:i/>
          <w:iCs/>
          <w:sz w:val="24"/>
          <w:szCs w:val="24"/>
          <w:lang w:val="en-US"/>
        </w:rPr>
        <w:t>Journal of Business Finance &amp; Accounting</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33</w:t>
      </w:r>
      <w:r w:rsidRPr="00CA0A59">
        <w:rPr>
          <w:rFonts w:ascii="Times New Roman" w:eastAsia="Times New Roman" w:hAnsi="Times New Roman" w:cs="Times New Roman"/>
          <w:sz w:val="24"/>
          <w:szCs w:val="24"/>
          <w:lang w:val="en-US"/>
        </w:rPr>
        <w:t xml:space="preserve">(7–8), 1168–1188. </w:t>
      </w:r>
    </w:p>
    <w:p w:rsidR="0030600C" w:rsidRPr="00CA0A59" w:rsidRDefault="0030600C" w:rsidP="00CA0A59">
      <w:pPr>
        <w:spacing w:after="0" w:line="360" w:lineRule="auto"/>
        <w:ind w:left="709" w:hanging="709"/>
        <w:jc w:val="both"/>
        <w:rPr>
          <w:rFonts w:ascii="Times New Roman" w:hAnsi="Times New Roman" w:cs="Times New Roman"/>
          <w:color w:val="222222"/>
          <w:sz w:val="24"/>
          <w:szCs w:val="24"/>
          <w:shd w:val="clear" w:color="auto" w:fill="FFFFFF"/>
        </w:rPr>
      </w:pPr>
      <w:r w:rsidRPr="00CA0A59">
        <w:rPr>
          <w:rFonts w:ascii="Times New Roman" w:hAnsi="Times New Roman" w:cs="Times New Roman"/>
          <w:color w:val="222222"/>
          <w:sz w:val="24"/>
          <w:szCs w:val="24"/>
          <w:shd w:val="clear" w:color="auto" w:fill="FFFFFF"/>
        </w:rPr>
        <w:t xml:space="preserve">Castillo, C. (2021). </w:t>
      </w:r>
      <w:r w:rsidRPr="00CA0A59">
        <w:rPr>
          <w:rFonts w:ascii="Times New Roman" w:hAnsi="Times New Roman" w:cs="Times New Roman"/>
          <w:i/>
          <w:iCs/>
          <w:color w:val="222222"/>
          <w:sz w:val="24"/>
          <w:szCs w:val="24"/>
          <w:shd w:val="clear" w:color="auto" w:fill="FFFFFF"/>
        </w:rPr>
        <w:t>Determinantes en la divulgación y desempeño en Responsabilidad Social Empresarial (RSE): un estudio comparativo en organizaciones de Latinoamérica</w:t>
      </w:r>
      <w:r w:rsidRPr="00CA0A59">
        <w:rPr>
          <w:rFonts w:ascii="Times New Roman" w:hAnsi="Times New Roman" w:cs="Times New Roman"/>
          <w:color w:val="222222"/>
          <w:sz w:val="24"/>
          <w:szCs w:val="24"/>
          <w:shd w:val="clear" w:color="auto" w:fill="FFFFFF"/>
        </w:rPr>
        <w:t xml:space="preserve">. </w:t>
      </w:r>
      <w:proofErr w:type="spellStart"/>
      <w:r w:rsidRPr="00CA0A59">
        <w:rPr>
          <w:rFonts w:ascii="Times New Roman" w:hAnsi="Times New Roman" w:cs="Times New Roman"/>
          <w:color w:val="222222"/>
          <w:sz w:val="24"/>
          <w:szCs w:val="24"/>
          <w:shd w:val="clear" w:color="auto" w:fill="FFFFFF"/>
        </w:rPr>
        <w:t>Universitat</w:t>
      </w:r>
      <w:proofErr w:type="spellEnd"/>
      <w:r w:rsidRPr="00CA0A59">
        <w:rPr>
          <w:rFonts w:ascii="Times New Roman" w:hAnsi="Times New Roman" w:cs="Times New Roman"/>
          <w:color w:val="222222"/>
          <w:sz w:val="24"/>
          <w:szCs w:val="24"/>
          <w:shd w:val="clear" w:color="auto" w:fill="FFFFFF"/>
        </w:rPr>
        <w:t xml:space="preserve"> de </w:t>
      </w:r>
      <w:proofErr w:type="spellStart"/>
      <w:r w:rsidRPr="00CA0A59">
        <w:rPr>
          <w:rFonts w:ascii="Times New Roman" w:hAnsi="Times New Roman" w:cs="Times New Roman"/>
          <w:color w:val="222222"/>
          <w:sz w:val="24"/>
          <w:szCs w:val="24"/>
          <w:shd w:val="clear" w:color="auto" w:fill="FFFFFF"/>
        </w:rPr>
        <w:t>València</w:t>
      </w:r>
      <w:proofErr w:type="spellEnd"/>
      <w:r w:rsidRPr="00CA0A59">
        <w:rPr>
          <w:rFonts w:ascii="Times New Roman" w:hAnsi="Times New Roman" w:cs="Times New Roman"/>
          <w:color w:val="222222"/>
          <w:sz w:val="24"/>
          <w:szCs w:val="24"/>
          <w:shd w:val="clear" w:color="auto" w:fill="FFFFFF"/>
        </w:rPr>
        <w:t>.</w:t>
      </w:r>
    </w:p>
    <w:p w:rsidR="0030600C" w:rsidRPr="00CA0A59" w:rsidRDefault="0030600C" w:rsidP="00CA0A59">
      <w:pPr>
        <w:spacing w:after="0" w:line="360" w:lineRule="auto"/>
        <w:ind w:left="709" w:hanging="709"/>
        <w:jc w:val="both"/>
        <w:rPr>
          <w:rFonts w:ascii="Times New Roman" w:hAnsi="Times New Roman" w:cs="Times New Roman"/>
          <w:color w:val="222222"/>
          <w:sz w:val="24"/>
          <w:szCs w:val="24"/>
          <w:shd w:val="clear" w:color="auto" w:fill="FFFFFF"/>
          <w:lang w:val="es-AR"/>
        </w:rPr>
      </w:pPr>
      <w:r w:rsidRPr="00CA0A59">
        <w:rPr>
          <w:rFonts w:ascii="Times New Roman" w:hAnsi="Times New Roman" w:cs="Times New Roman"/>
          <w:color w:val="222222"/>
          <w:sz w:val="24"/>
          <w:szCs w:val="24"/>
          <w:shd w:val="clear" w:color="auto" w:fill="FFFFFF"/>
        </w:rPr>
        <w:t xml:space="preserve">Castillo, C., Ripoll, V. y </w:t>
      </w:r>
      <w:proofErr w:type="spellStart"/>
      <w:r w:rsidRPr="00CA0A59">
        <w:rPr>
          <w:rFonts w:ascii="Times New Roman" w:hAnsi="Times New Roman" w:cs="Times New Roman"/>
          <w:color w:val="222222"/>
          <w:sz w:val="24"/>
          <w:szCs w:val="24"/>
          <w:shd w:val="clear" w:color="auto" w:fill="FFFFFF"/>
        </w:rPr>
        <w:t>Urquirdi</w:t>
      </w:r>
      <w:proofErr w:type="spellEnd"/>
      <w:r w:rsidRPr="00CA0A59">
        <w:rPr>
          <w:rFonts w:ascii="Times New Roman" w:hAnsi="Times New Roman" w:cs="Times New Roman"/>
          <w:color w:val="222222"/>
          <w:sz w:val="24"/>
          <w:szCs w:val="24"/>
          <w:shd w:val="clear" w:color="auto" w:fill="FFFFFF"/>
        </w:rPr>
        <w:t>, A. (2021). Divulgación de Responsabilidad Social Empresarial en América Latina: Evidencias en el uso de la Directriz GRI. </w:t>
      </w:r>
      <w:r w:rsidRPr="00CA0A59">
        <w:rPr>
          <w:rFonts w:ascii="Times New Roman" w:hAnsi="Times New Roman" w:cs="Times New Roman"/>
          <w:i/>
          <w:iCs/>
          <w:color w:val="222222"/>
          <w:sz w:val="24"/>
          <w:szCs w:val="24"/>
          <w:shd w:val="clear" w:color="auto" w:fill="FFFFFF"/>
          <w:lang w:val="es-AR"/>
        </w:rPr>
        <w:t>Revista Lasallista de Investigación</w:t>
      </w:r>
      <w:r w:rsidRPr="00CA0A59">
        <w:rPr>
          <w:rFonts w:ascii="Times New Roman" w:hAnsi="Times New Roman" w:cs="Times New Roman"/>
          <w:color w:val="222222"/>
          <w:sz w:val="24"/>
          <w:szCs w:val="24"/>
          <w:shd w:val="clear" w:color="auto" w:fill="FFFFFF"/>
          <w:lang w:val="es-AR"/>
        </w:rPr>
        <w:t>, </w:t>
      </w:r>
      <w:r w:rsidRPr="00CA0A59">
        <w:rPr>
          <w:rFonts w:ascii="Times New Roman" w:hAnsi="Times New Roman" w:cs="Times New Roman"/>
          <w:i/>
          <w:iCs/>
          <w:color w:val="222222"/>
          <w:sz w:val="24"/>
          <w:szCs w:val="24"/>
          <w:shd w:val="clear" w:color="auto" w:fill="FFFFFF"/>
          <w:lang w:val="es-AR"/>
        </w:rPr>
        <w:t>18</w:t>
      </w:r>
      <w:r w:rsidRPr="00CA0A59">
        <w:rPr>
          <w:rFonts w:ascii="Times New Roman" w:hAnsi="Times New Roman" w:cs="Times New Roman"/>
          <w:color w:val="222222"/>
          <w:sz w:val="24"/>
          <w:szCs w:val="24"/>
          <w:shd w:val="clear" w:color="auto" w:fill="FFFFFF"/>
          <w:lang w:val="es-AR"/>
        </w:rPr>
        <w:t>(1), 134-157.</w:t>
      </w:r>
    </w:p>
    <w:p w:rsidR="0083738D" w:rsidRPr="00CA0A59" w:rsidRDefault="0083738D"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s-AR"/>
        </w:rPr>
        <w:lastRenderedPageBreak/>
        <w:t>Dawkins</w:t>
      </w:r>
      <w:proofErr w:type="spellEnd"/>
      <w:r w:rsidRPr="00CA0A59">
        <w:rPr>
          <w:rFonts w:ascii="Times New Roman" w:eastAsia="Times New Roman" w:hAnsi="Times New Roman" w:cs="Times New Roman"/>
          <w:sz w:val="24"/>
          <w:szCs w:val="24"/>
          <w:lang w:val="es-AR"/>
        </w:rPr>
        <w:t xml:space="preserve">, C. E., &amp; </w:t>
      </w:r>
      <w:proofErr w:type="spellStart"/>
      <w:r w:rsidRPr="00CA0A59">
        <w:rPr>
          <w:rFonts w:ascii="Times New Roman" w:eastAsia="Times New Roman" w:hAnsi="Times New Roman" w:cs="Times New Roman"/>
          <w:sz w:val="24"/>
          <w:szCs w:val="24"/>
          <w:lang w:val="es-AR"/>
        </w:rPr>
        <w:t>Fraas</w:t>
      </w:r>
      <w:proofErr w:type="spellEnd"/>
      <w:r w:rsidRPr="00CA0A59">
        <w:rPr>
          <w:rFonts w:ascii="Times New Roman" w:eastAsia="Times New Roman" w:hAnsi="Times New Roman" w:cs="Times New Roman"/>
          <w:sz w:val="24"/>
          <w:szCs w:val="24"/>
          <w:lang w:val="es-AR"/>
        </w:rPr>
        <w:t xml:space="preserve">, J. W. (2011). </w:t>
      </w:r>
      <w:r w:rsidRPr="00CA0A59">
        <w:rPr>
          <w:rFonts w:ascii="Times New Roman" w:eastAsia="Times New Roman" w:hAnsi="Times New Roman" w:cs="Times New Roman"/>
          <w:sz w:val="24"/>
          <w:szCs w:val="24"/>
          <w:lang w:val="en-US"/>
        </w:rPr>
        <w:t xml:space="preserve">Erratum to: Beyond Acclamations and Excuses: Environmental Performance, Voluntary Environmental Disclosure and the Role of Visibility. </w:t>
      </w:r>
      <w:r w:rsidRPr="00CA0A59">
        <w:rPr>
          <w:rFonts w:ascii="Times New Roman" w:eastAsia="Times New Roman" w:hAnsi="Times New Roman" w:cs="Times New Roman"/>
          <w:i/>
          <w:iCs/>
          <w:sz w:val="24"/>
          <w:szCs w:val="24"/>
          <w:lang w:val="en-US"/>
        </w:rPr>
        <w:t>Journal of Business Ethics</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99</w:t>
      </w:r>
      <w:r w:rsidRPr="00CA0A59">
        <w:rPr>
          <w:rFonts w:ascii="Times New Roman" w:eastAsia="Times New Roman" w:hAnsi="Times New Roman" w:cs="Times New Roman"/>
          <w:sz w:val="24"/>
          <w:szCs w:val="24"/>
          <w:lang w:val="en-US"/>
        </w:rPr>
        <w:t>(</w:t>
      </w:r>
      <w:r w:rsidR="00FE2DD1" w:rsidRPr="00CA0A59">
        <w:rPr>
          <w:rFonts w:ascii="Times New Roman" w:eastAsia="Times New Roman" w:hAnsi="Times New Roman" w:cs="Times New Roman"/>
          <w:sz w:val="24"/>
          <w:szCs w:val="24"/>
          <w:lang w:val="en-US"/>
        </w:rPr>
        <w:t>3), 383–397.</w:t>
      </w:r>
    </w:p>
    <w:p w:rsidR="00FE2DD1" w:rsidRPr="00CA0A59" w:rsidRDefault="00FE2DD1" w:rsidP="00CA0A59">
      <w:pPr>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n-US"/>
        </w:rPr>
        <w:t>Elkington</w:t>
      </w:r>
      <w:proofErr w:type="spellEnd"/>
      <w:r w:rsidRPr="00CA0A59">
        <w:rPr>
          <w:rFonts w:ascii="Times New Roman" w:eastAsia="Times New Roman" w:hAnsi="Times New Roman" w:cs="Times New Roman"/>
          <w:sz w:val="24"/>
          <w:szCs w:val="24"/>
          <w:lang w:val="en-US"/>
        </w:rPr>
        <w:t xml:space="preserve">, J. (1997). </w:t>
      </w:r>
      <w:r w:rsidRPr="00CA0A59">
        <w:rPr>
          <w:rFonts w:ascii="Times New Roman" w:eastAsia="Times New Roman" w:hAnsi="Times New Roman" w:cs="Times New Roman"/>
          <w:i/>
          <w:sz w:val="24"/>
          <w:szCs w:val="24"/>
          <w:lang w:val="en-US"/>
        </w:rPr>
        <w:t>Cannibals with Forks: The Triple Bottom Line of 21st Century Business</w:t>
      </w:r>
      <w:r w:rsidRPr="00CA0A59">
        <w:rPr>
          <w:rFonts w:ascii="Times New Roman" w:eastAsia="Times New Roman" w:hAnsi="Times New Roman" w:cs="Times New Roman"/>
          <w:sz w:val="24"/>
          <w:szCs w:val="24"/>
          <w:lang w:val="en-US"/>
        </w:rPr>
        <w:t>; Capstone Publishing.</w:t>
      </w:r>
    </w:p>
    <w:p w:rsidR="0083738D" w:rsidRPr="00CA0A59" w:rsidRDefault="0083738D"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s-AR"/>
        </w:rPr>
        <w:t>Farooque</w:t>
      </w:r>
      <w:proofErr w:type="spellEnd"/>
      <w:r w:rsidRPr="00CA0A59">
        <w:rPr>
          <w:rFonts w:ascii="Times New Roman" w:eastAsia="Times New Roman" w:hAnsi="Times New Roman" w:cs="Times New Roman"/>
          <w:sz w:val="24"/>
          <w:szCs w:val="24"/>
          <w:lang w:val="es-AR"/>
        </w:rPr>
        <w:t xml:space="preserve">, O. Al, &amp; </w:t>
      </w:r>
      <w:proofErr w:type="spellStart"/>
      <w:r w:rsidRPr="00CA0A59">
        <w:rPr>
          <w:rFonts w:ascii="Times New Roman" w:eastAsia="Times New Roman" w:hAnsi="Times New Roman" w:cs="Times New Roman"/>
          <w:sz w:val="24"/>
          <w:szCs w:val="24"/>
          <w:lang w:val="es-AR"/>
        </w:rPr>
        <w:t>Ahulu</w:t>
      </w:r>
      <w:proofErr w:type="spellEnd"/>
      <w:r w:rsidRPr="00CA0A59">
        <w:rPr>
          <w:rFonts w:ascii="Times New Roman" w:eastAsia="Times New Roman" w:hAnsi="Times New Roman" w:cs="Times New Roman"/>
          <w:sz w:val="24"/>
          <w:szCs w:val="24"/>
          <w:lang w:val="es-AR"/>
        </w:rPr>
        <w:t xml:space="preserve">, H. (2015). </w:t>
      </w:r>
      <w:r w:rsidRPr="00CA0A59">
        <w:rPr>
          <w:rFonts w:ascii="Times New Roman" w:eastAsia="Times New Roman" w:hAnsi="Times New Roman" w:cs="Times New Roman"/>
          <w:sz w:val="24"/>
          <w:szCs w:val="24"/>
          <w:lang w:val="en-US"/>
        </w:rPr>
        <w:t xml:space="preserve">Environmental reporting in the UK, Australia, and South African multinational companies. </w:t>
      </w:r>
      <w:r w:rsidRPr="00CA0A59">
        <w:rPr>
          <w:rFonts w:ascii="Times New Roman" w:eastAsia="Times New Roman" w:hAnsi="Times New Roman" w:cs="Times New Roman"/>
          <w:i/>
          <w:iCs/>
          <w:sz w:val="24"/>
          <w:szCs w:val="24"/>
          <w:lang w:val="en-US"/>
        </w:rPr>
        <w:t>The Journal of Developing Areas</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49</w:t>
      </w:r>
      <w:r w:rsidR="00CA0A59">
        <w:rPr>
          <w:rFonts w:ascii="Times New Roman" w:eastAsia="Times New Roman" w:hAnsi="Times New Roman" w:cs="Times New Roman"/>
          <w:sz w:val="24"/>
          <w:szCs w:val="24"/>
          <w:lang w:val="en-US"/>
        </w:rPr>
        <w:t>(6), 103–118.</w:t>
      </w:r>
    </w:p>
    <w:p w:rsidR="00CA0A59" w:rsidRDefault="00CA0A59" w:rsidP="00CA0A59">
      <w:pPr>
        <w:autoSpaceDE w:val="0"/>
        <w:autoSpaceDN w:val="0"/>
        <w:spacing w:after="0" w:line="360" w:lineRule="auto"/>
        <w:ind w:left="709" w:hanging="709"/>
        <w:jc w:val="both"/>
        <w:rPr>
          <w:rFonts w:ascii="Times New Roman" w:eastAsia="Times New Roman" w:hAnsi="Times New Roman" w:cs="Times New Roman"/>
          <w:sz w:val="24"/>
          <w:szCs w:val="24"/>
          <w:lang w:val="es-AR"/>
        </w:rPr>
      </w:pPr>
      <w:r w:rsidRPr="00CA0A59">
        <w:rPr>
          <w:rFonts w:ascii="Times New Roman" w:eastAsia="Times New Roman" w:hAnsi="Times New Roman" w:cs="Times New Roman"/>
          <w:sz w:val="24"/>
          <w:szCs w:val="24"/>
          <w:lang w:val="es-AR"/>
        </w:rPr>
        <w:t>García-</w:t>
      </w:r>
      <w:proofErr w:type="spellStart"/>
      <w:r w:rsidRPr="00CA0A59">
        <w:rPr>
          <w:rFonts w:ascii="Times New Roman" w:eastAsia="Times New Roman" w:hAnsi="Times New Roman" w:cs="Times New Roman"/>
          <w:sz w:val="24"/>
          <w:szCs w:val="24"/>
          <w:lang w:val="es-AR"/>
        </w:rPr>
        <w:t>Benau</w:t>
      </w:r>
      <w:proofErr w:type="spellEnd"/>
      <w:r w:rsidRPr="00CA0A59">
        <w:rPr>
          <w:rFonts w:ascii="Times New Roman" w:eastAsia="Times New Roman" w:hAnsi="Times New Roman" w:cs="Times New Roman"/>
          <w:sz w:val="24"/>
          <w:szCs w:val="24"/>
          <w:lang w:val="es-AR"/>
        </w:rPr>
        <w:t>, M. A., Bollas-Araya, H. M., &amp; Sierra-García, L. (2022). Non-</w:t>
      </w:r>
      <w:proofErr w:type="spellStart"/>
      <w:r w:rsidRPr="00CA0A59">
        <w:rPr>
          <w:rFonts w:ascii="Times New Roman" w:eastAsia="Times New Roman" w:hAnsi="Times New Roman" w:cs="Times New Roman"/>
          <w:sz w:val="24"/>
          <w:szCs w:val="24"/>
          <w:lang w:val="es-AR"/>
        </w:rPr>
        <w:t>financial</w:t>
      </w:r>
      <w:proofErr w:type="spellEnd"/>
      <w:r w:rsidRPr="00CA0A59">
        <w:rPr>
          <w:rFonts w:ascii="Times New Roman" w:eastAsia="Times New Roman" w:hAnsi="Times New Roman" w:cs="Times New Roman"/>
          <w:sz w:val="24"/>
          <w:szCs w:val="24"/>
          <w:lang w:val="es-AR"/>
        </w:rPr>
        <w:t xml:space="preserve"> </w:t>
      </w:r>
      <w:proofErr w:type="spellStart"/>
      <w:r w:rsidRPr="00CA0A59">
        <w:rPr>
          <w:rFonts w:ascii="Times New Roman" w:eastAsia="Times New Roman" w:hAnsi="Times New Roman" w:cs="Times New Roman"/>
          <w:sz w:val="24"/>
          <w:szCs w:val="24"/>
          <w:lang w:val="es-AR"/>
        </w:rPr>
        <w:t>reporting</w:t>
      </w:r>
      <w:proofErr w:type="spellEnd"/>
      <w:r w:rsidRPr="00CA0A59">
        <w:rPr>
          <w:rFonts w:ascii="Times New Roman" w:eastAsia="Times New Roman" w:hAnsi="Times New Roman" w:cs="Times New Roman"/>
          <w:sz w:val="24"/>
          <w:szCs w:val="24"/>
          <w:lang w:val="es-AR"/>
        </w:rPr>
        <w:t xml:space="preserve"> in </w:t>
      </w:r>
      <w:proofErr w:type="spellStart"/>
      <w:r w:rsidRPr="00CA0A59">
        <w:rPr>
          <w:rFonts w:ascii="Times New Roman" w:eastAsia="Times New Roman" w:hAnsi="Times New Roman" w:cs="Times New Roman"/>
          <w:sz w:val="24"/>
          <w:szCs w:val="24"/>
          <w:lang w:val="es-AR"/>
        </w:rPr>
        <w:t>Spain</w:t>
      </w:r>
      <w:proofErr w:type="spellEnd"/>
      <w:r w:rsidRPr="00CA0A59">
        <w:rPr>
          <w:rFonts w:ascii="Times New Roman" w:eastAsia="Times New Roman" w:hAnsi="Times New Roman" w:cs="Times New Roman"/>
          <w:sz w:val="24"/>
          <w:szCs w:val="24"/>
          <w:lang w:val="es-AR"/>
        </w:rPr>
        <w:t xml:space="preserve">. </w:t>
      </w:r>
      <w:proofErr w:type="spellStart"/>
      <w:r w:rsidRPr="00CA0A59">
        <w:rPr>
          <w:rFonts w:ascii="Times New Roman" w:eastAsia="Times New Roman" w:hAnsi="Times New Roman" w:cs="Times New Roman"/>
          <w:sz w:val="24"/>
          <w:szCs w:val="24"/>
          <w:lang w:val="es-AR"/>
        </w:rPr>
        <w:t>The</w:t>
      </w:r>
      <w:proofErr w:type="spellEnd"/>
      <w:r w:rsidRPr="00CA0A59">
        <w:rPr>
          <w:rFonts w:ascii="Times New Roman" w:eastAsia="Times New Roman" w:hAnsi="Times New Roman" w:cs="Times New Roman"/>
          <w:sz w:val="24"/>
          <w:szCs w:val="24"/>
          <w:lang w:val="es-AR"/>
        </w:rPr>
        <w:t xml:space="preserve"> </w:t>
      </w:r>
      <w:proofErr w:type="spellStart"/>
      <w:r w:rsidRPr="00CA0A59">
        <w:rPr>
          <w:rFonts w:ascii="Times New Roman" w:eastAsia="Times New Roman" w:hAnsi="Times New Roman" w:cs="Times New Roman"/>
          <w:sz w:val="24"/>
          <w:szCs w:val="24"/>
          <w:lang w:val="es-AR"/>
        </w:rPr>
        <w:t>effects</w:t>
      </w:r>
      <w:proofErr w:type="spellEnd"/>
      <w:r w:rsidRPr="00CA0A59">
        <w:rPr>
          <w:rFonts w:ascii="Times New Roman" w:eastAsia="Times New Roman" w:hAnsi="Times New Roman" w:cs="Times New Roman"/>
          <w:sz w:val="24"/>
          <w:szCs w:val="24"/>
          <w:lang w:val="es-AR"/>
        </w:rPr>
        <w:t xml:space="preserve"> of </w:t>
      </w:r>
      <w:proofErr w:type="spellStart"/>
      <w:r w:rsidRPr="00CA0A59">
        <w:rPr>
          <w:rFonts w:ascii="Times New Roman" w:eastAsia="Times New Roman" w:hAnsi="Times New Roman" w:cs="Times New Roman"/>
          <w:sz w:val="24"/>
          <w:szCs w:val="24"/>
          <w:lang w:val="es-AR"/>
        </w:rPr>
        <w:t>the</w:t>
      </w:r>
      <w:proofErr w:type="spellEnd"/>
      <w:r w:rsidRPr="00CA0A59">
        <w:rPr>
          <w:rFonts w:ascii="Times New Roman" w:eastAsia="Times New Roman" w:hAnsi="Times New Roman" w:cs="Times New Roman"/>
          <w:sz w:val="24"/>
          <w:szCs w:val="24"/>
          <w:lang w:val="es-AR"/>
        </w:rPr>
        <w:t xml:space="preserve"> </w:t>
      </w:r>
      <w:proofErr w:type="spellStart"/>
      <w:r w:rsidRPr="00CA0A59">
        <w:rPr>
          <w:rFonts w:ascii="Times New Roman" w:eastAsia="Times New Roman" w:hAnsi="Times New Roman" w:cs="Times New Roman"/>
          <w:sz w:val="24"/>
          <w:szCs w:val="24"/>
          <w:lang w:val="es-AR"/>
        </w:rPr>
        <w:t>adoption</w:t>
      </w:r>
      <w:proofErr w:type="spellEnd"/>
      <w:r w:rsidRPr="00CA0A59">
        <w:rPr>
          <w:rFonts w:ascii="Times New Roman" w:eastAsia="Times New Roman" w:hAnsi="Times New Roman" w:cs="Times New Roman"/>
          <w:sz w:val="24"/>
          <w:szCs w:val="24"/>
          <w:lang w:val="es-AR"/>
        </w:rPr>
        <w:t xml:space="preserve"> of </w:t>
      </w:r>
      <w:proofErr w:type="spellStart"/>
      <w:r w:rsidRPr="00CA0A59">
        <w:rPr>
          <w:rFonts w:ascii="Times New Roman" w:eastAsia="Times New Roman" w:hAnsi="Times New Roman" w:cs="Times New Roman"/>
          <w:sz w:val="24"/>
          <w:szCs w:val="24"/>
          <w:lang w:val="es-AR"/>
        </w:rPr>
        <w:t>the</w:t>
      </w:r>
      <w:proofErr w:type="spellEnd"/>
      <w:r w:rsidRPr="00CA0A59">
        <w:rPr>
          <w:rFonts w:ascii="Times New Roman" w:eastAsia="Times New Roman" w:hAnsi="Times New Roman" w:cs="Times New Roman"/>
          <w:sz w:val="24"/>
          <w:szCs w:val="24"/>
          <w:lang w:val="es-AR"/>
        </w:rPr>
        <w:t xml:space="preserve"> 2014 EU </w:t>
      </w:r>
      <w:proofErr w:type="spellStart"/>
      <w:r w:rsidRPr="00CA0A59">
        <w:rPr>
          <w:rFonts w:ascii="Times New Roman" w:eastAsia="Times New Roman" w:hAnsi="Times New Roman" w:cs="Times New Roman"/>
          <w:sz w:val="24"/>
          <w:szCs w:val="24"/>
          <w:lang w:val="es-AR"/>
        </w:rPr>
        <w:t>Directive</w:t>
      </w:r>
      <w:proofErr w:type="spellEnd"/>
      <w:r w:rsidRPr="00CA0A59">
        <w:rPr>
          <w:rFonts w:ascii="Times New Roman" w:eastAsia="Times New Roman" w:hAnsi="Times New Roman" w:cs="Times New Roman"/>
          <w:sz w:val="24"/>
          <w:szCs w:val="24"/>
          <w:lang w:val="es-AR"/>
        </w:rPr>
        <w:t>: La información no financiera en España. Los efectos de la adopción de la Directiva de la UE de 2014. </w:t>
      </w:r>
      <w:proofErr w:type="spellStart"/>
      <w:r w:rsidRPr="00CA0A59">
        <w:rPr>
          <w:rFonts w:ascii="Times New Roman" w:eastAsia="Times New Roman" w:hAnsi="Times New Roman" w:cs="Times New Roman"/>
          <w:i/>
          <w:sz w:val="24"/>
          <w:szCs w:val="24"/>
          <w:lang w:val="es-AR"/>
        </w:rPr>
        <w:t>Spanish</w:t>
      </w:r>
      <w:proofErr w:type="spellEnd"/>
      <w:r w:rsidRPr="00CA0A59">
        <w:rPr>
          <w:rFonts w:ascii="Times New Roman" w:eastAsia="Times New Roman" w:hAnsi="Times New Roman" w:cs="Times New Roman"/>
          <w:i/>
          <w:sz w:val="24"/>
          <w:szCs w:val="24"/>
          <w:lang w:val="es-AR"/>
        </w:rPr>
        <w:t xml:space="preserve"> </w:t>
      </w:r>
      <w:proofErr w:type="spellStart"/>
      <w:r w:rsidRPr="00CA0A59">
        <w:rPr>
          <w:rFonts w:ascii="Times New Roman" w:eastAsia="Times New Roman" w:hAnsi="Times New Roman" w:cs="Times New Roman"/>
          <w:i/>
          <w:sz w:val="24"/>
          <w:szCs w:val="24"/>
          <w:lang w:val="es-AR"/>
        </w:rPr>
        <w:t>Accounting</w:t>
      </w:r>
      <w:proofErr w:type="spellEnd"/>
      <w:r w:rsidRPr="00CA0A59">
        <w:rPr>
          <w:rFonts w:ascii="Times New Roman" w:eastAsia="Times New Roman" w:hAnsi="Times New Roman" w:cs="Times New Roman"/>
          <w:i/>
          <w:sz w:val="24"/>
          <w:szCs w:val="24"/>
          <w:lang w:val="es-AR"/>
        </w:rPr>
        <w:t xml:space="preserve"> </w:t>
      </w:r>
      <w:proofErr w:type="spellStart"/>
      <w:r w:rsidRPr="00CA0A59">
        <w:rPr>
          <w:rFonts w:ascii="Times New Roman" w:eastAsia="Times New Roman" w:hAnsi="Times New Roman" w:cs="Times New Roman"/>
          <w:i/>
          <w:sz w:val="24"/>
          <w:szCs w:val="24"/>
          <w:lang w:val="es-AR"/>
        </w:rPr>
        <w:t>Review</w:t>
      </w:r>
      <w:proofErr w:type="spellEnd"/>
      <w:r w:rsidRPr="00CA0A59">
        <w:rPr>
          <w:rFonts w:ascii="Times New Roman" w:eastAsia="Times New Roman" w:hAnsi="Times New Roman" w:cs="Times New Roman"/>
          <w:i/>
          <w:sz w:val="24"/>
          <w:szCs w:val="24"/>
          <w:lang w:val="es-AR"/>
        </w:rPr>
        <w:t>, 25</w:t>
      </w:r>
      <w:r w:rsidRPr="00CA0A59">
        <w:rPr>
          <w:rFonts w:ascii="Times New Roman" w:eastAsia="Times New Roman" w:hAnsi="Times New Roman" w:cs="Times New Roman"/>
          <w:sz w:val="24"/>
          <w:szCs w:val="24"/>
          <w:lang w:val="es-AR"/>
        </w:rPr>
        <w:t>(1), 3-15.</w:t>
      </w:r>
    </w:p>
    <w:p w:rsidR="00DA7AA5" w:rsidRPr="00CA0A59" w:rsidRDefault="00DA7AA5" w:rsidP="00CA0A59">
      <w:pPr>
        <w:autoSpaceDE w:val="0"/>
        <w:autoSpaceDN w:val="0"/>
        <w:spacing w:after="0" w:line="360" w:lineRule="auto"/>
        <w:ind w:left="709" w:hanging="709"/>
        <w:jc w:val="both"/>
        <w:rPr>
          <w:rFonts w:ascii="Times New Roman" w:hAnsi="Times New Roman" w:cs="Times New Roman"/>
          <w:color w:val="222222"/>
          <w:sz w:val="24"/>
          <w:szCs w:val="24"/>
          <w:shd w:val="clear" w:color="auto" w:fill="FFFFFF"/>
        </w:rPr>
      </w:pPr>
      <w:r w:rsidRPr="00CA0A59">
        <w:rPr>
          <w:rFonts w:ascii="Times New Roman" w:eastAsia="Times New Roman" w:hAnsi="Times New Roman" w:cs="Times New Roman"/>
          <w:sz w:val="24"/>
          <w:szCs w:val="24"/>
          <w:lang w:val="en-US"/>
        </w:rPr>
        <w:t xml:space="preserve">Gray, R., </w:t>
      </w:r>
      <w:proofErr w:type="spellStart"/>
      <w:r w:rsidRPr="00CA0A59">
        <w:rPr>
          <w:rFonts w:ascii="Times New Roman" w:eastAsia="Times New Roman" w:hAnsi="Times New Roman" w:cs="Times New Roman"/>
          <w:sz w:val="24"/>
          <w:szCs w:val="24"/>
          <w:lang w:val="en-US"/>
        </w:rPr>
        <w:t>Kouhy</w:t>
      </w:r>
      <w:proofErr w:type="spellEnd"/>
      <w:r w:rsidRPr="00CA0A59">
        <w:rPr>
          <w:rFonts w:ascii="Times New Roman" w:eastAsia="Times New Roman" w:hAnsi="Times New Roman" w:cs="Times New Roman"/>
          <w:sz w:val="24"/>
          <w:szCs w:val="24"/>
          <w:lang w:val="en-US"/>
        </w:rPr>
        <w:t xml:space="preserve">, R., &amp; Lavers, S. (1995). </w:t>
      </w:r>
      <w:proofErr w:type="spellStart"/>
      <w:r w:rsidRPr="00CA0A59">
        <w:rPr>
          <w:rFonts w:ascii="Times New Roman" w:eastAsia="Times New Roman" w:hAnsi="Times New Roman" w:cs="Times New Roman"/>
          <w:sz w:val="24"/>
          <w:szCs w:val="24"/>
          <w:lang w:val="es-AR"/>
        </w:rPr>
        <w:t>Corporate</w:t>
      </w:r>
      <w:proofErr w:type="spellEnd"/>
      <w:r w:rsidRPr="00CA0A59">
        <w:rPr>
          <w:rFonts w:ascii="Times New Roman" w:eastAsia="Times New Roman" w:hAnsi="Times New Roman" w:cs="Times New Roman"/>
          <w:sz w:val="24"/>
          <w:szCs w:val="24"/>
          <w:lang w:val="es-AR"/>
        </w:rPr>
        <w:t xml:space="preserve"> social and </w:t>
      </w:r>
      <w:proofErr w:type="spellStart"/>
      <w:r w:rsidRPr="00CA0A59">
        <w:rPr>
          <w:rFonts w:ascii="Times New Roman" w:eastAsia="Times New Roman" w:hAnsi="Times New Roman" w:cs="Times New Roman"/>
          <w:sz w:val="24"/>
          <w:szCs w:val="24"/>
          <w:lang w:val="es-AR"/>
        </w:rPr>
        <w:t>environmental</w:t>
      </w:r>
      <w:proofErr w:type="spellEnd"/>
      <w:r w:rsidRPr="00CA0A59">
        <w:rPr>
          <w:rFonts w:ascii="Times New Roman" w:eastAsia="Times New Roman" w:hAnsi="Times New Roman" w:cs="Times New Roman"/>
          <w:sz w:val="24"/>
          <w:szCs w:val="24"/>
          <w:lang w:val="es-AR"/>
        </w:rPr>
        <w:t xml:space="preserve"> reporting: a review of the literature</w:t>
      </w:r>
      <w:r w:rsidRPr="00CA0A59">
        <w:rPr>
          <w:rFonts w:ascii="Times New Roman" w:hAnsi="Times New Roman" w:cs="Times New Roman"/>
          <w:color w:val="222222"/>
          <w:sz w:val="24"/>
          <w:szCs w:val="24"/>
          <w:shd w:val="clear" w:color="auto" w:fill="FFFFFF"/>
          <w:lang w:val="en-US"/>
        </w:rPr>
        <w:t xml:space="preserve"> and a longitudinal study of UK disclosure. </w:t>
      </w:r>
      <w:proofErr w:type="spellStart"/>
      <w:r w:rsidR="0096408E">
        <w:rPr>
          <w:rFonts w:ascii="Times New Roman" w:hAnsi="Times New Roman" w:cs="Times New Roman"/>
          <w:i/>
          <w:iCs/>
          <w:color w:val="222222"/>
          <w:sz w:val="24"/>
          <w:szCs w:val="24"/>
          <w:shd w:val="clear" w:color="auto" w:fill="FFFFFF"/>
        </w:rPr>
        <w:t>Accounting</w:t>
      </w:r>
      <w:proofErr w:type="spellEnd"/>
      <w:r w:rsidR="0096408E">
        <w:rPr>
          <w:rFonts w:ascii="Times New Roman" w:hAnsi="Times New Roman" w:cs="Times New Roman"/>
          <w:i/>
          <w:iCs/>
          <w:color w:val="222222"/>
          <w:sz w:val="24"/>
          <w:szCs w:val="24"/>
          <w:shd w:val="clear" w:color="auto" w:fill="FFFFFF"/>
        </w:rPr>
        <w:t xml:space="preserve">, </w:t>
      </w:r>
      <w:proofErr w:type="spellStart"/>
      <w:r w:rsidR="0096408E">
        <w:rPr>
          <w:rFonts w:ascii="Times New Roman" w:hAnsi="Times New Roman" w:cs="Times New Roman"/>
          <w:i/>
          <w:iCs/>
          <w:color w:val="222222"/>
          <w:sz w:val="24"/>
          <w:szCs w:val="24"/>
          <w:shd w:val="clear" w:color="auto" w:fill="FFFFFF"/>
        </w:rPr>
        <w:t>A</w:t>
      </w:r>
      <w:r w:rsidRPr="00CA0A59">
        <w:rPr>
          <w:rFonts w:ascii="Times New Roman" w:hAnsi="Times New Roman" w:cs="Times New Roman"/>
          <w:i/>
          <w:iCs/>
          <w:color w:val="222222"/>
          <w:sz w:val="24"/>
          <w:szCs w:val="24"/>
          <w:shd w:val="clear" w:color="auto" w:fill="FFFFFF"/>
        </w:rPr>
        <w:t>uditing</w:t>
      </w:r>
      <w:proofErr w:type="spellEnd"/>
      <w:r w:rsidRPr="00CA0A59">
        <w:rPr>
          <w:rFonts w:ascii="Times New Roman" w:hAnsi="Times New Roman" w:cs="Times New Roman"/>
          <w:i/>
          <w:iCs/>
          <w:color w:val="222222"/>
          <w:sz w:val="24"/>
          <w:szCs w:val="24"/>
          <w:shd w:val="clear" w:color="auto" w:fill="FFFFFF"/>
        </w:rPr>
        <w:t xml:space="preserve"> &amp; </w:t>
      </w:r>
      <w:proofErr w:type="spellStart"/>
      <w:r w:rsidR="0096408E">
        <w:rPr>
          <w:rFonts w:ascii="Times New Roman" w:hAnsi="Times New Roman" w:cs="Times New Roman"/>
          <w:i/>
          <w:iCs/>
          <w:color w:val="222222"/>
          <w:sz w:val="24"/>
          <w:szCs w:val="24"/>
          <w:shd w:val="clear" w:color="auto" w:fill="FFFFFF"/>
        </w:rPr>
        <w:t>Accountability</w:t>
      </w:r>
      <w:proofErr w:type="spellEnd"/>
      <w:r w:rsidR="0096408E">
        <w:rPr>
          <w:rFonts w:ascii="Times New Roman" w:hAnsi="Times New Roman" w:cs="Times New Roman"/>
          <w:i/>
          <w:iCs/>
          <w:color w:val="222222"/>
          <w:sz w:val="24"/>
          <w:szCs w:val="24"/>
          <w:shd w:val="clear" w:color="auto" w:fill="FFFFFF"/>
        </w:rPr>
        <w:t xml:space="preserve"> </w:t>
      </w:r>
      <w:proofErr w:type="spellStart"/>
      <w:r w:rsidR="0096408E">
        <w:rPr>
          <w:rFonts w:ascii="Times New Roman" w:hAnsi="Times New Roman" w:cs="Times New Roman"/>
          <w:i/>
          <w:iCs/>
          <w:color w:val="222222"/>
          <w:sz w:val="24"/>
          <w:szCs w:val="24"/>
          <w:shd w:val="clear" w:color="auto" w:fill="FFFFFF"/>
        </w:rPr>
        <w:t>J</w:t>
      </w:r>
      <w:r w:rsidRPr="00CA0A59">
        <w:rPr>
          <w:rFonts w:ascii="Times New Roman" w:hAnsi="Times New Roman" w:cs="Times New Roman"/>
          <w:i/>
          <w:iCs/>
          <w:color w:val="222222"/>
          <w:sz w:val="24"/>
          <w:szCs w:val="24"/>
          <w:shd w:val="clear" w:color="auto" w:fill="FFFFFF"/>
        </w:rPr>
        <w:t>ournal</w:t>
      </w:r>
      <w:proofErr w:type="spellEnd"/>
      <w:r w:rsidRPr="00CA0A59">
        <w:rPr>
          <w:rFonts w:ascii="Times New Roman" w:hAnsi="Times New Roman" w:cs="Times New Roman"/>
          <w:color w:val="222222"/>
          <w:sz w:val="24"/>
          <w:szCs w:val="24"/>
          <w:shd w:val="clear" w:color="auto" w:fill="FFFFFF"/>
        </w:rPr>
        <w:t>, </w:t>
      </w:r>
      <w:r w:rsidRPr="00CA0A59">
        <w:rPr>
          <w:rFonts w:ascii="Times New Roman" w:hAnsi="Times New Roman" w:cs="Times New Roman"/>
          <w:i/>
          <w:iCs/>
          <w:color w:val="222222"/>
          <w:sz w:val="24"/>
          <w:szCs w:val="24"/>
          <w:shd w:val="clear" w:color="auto" w:fill="FFFFFF"/>
        </w:rPr>
        <w:t>8</w:t>
      </w:r>
      <w:r w:rsidRPr="00CA0A59">
        <w:rPr>
          <w:rFonts w:ascii="Times New Roman" w:hAnsi="Times New Roman" w:cs="Times New Roman"/>
          <w:color w:val="222222"/>
          <w:sz w:val="24"/>
          <w:szCs w:val="24"/>
          <w:shd w:val="clear" w:color="auto" w:fill="FFFFFF"/>
        </w:rPr>
        <w:t>(2), 47-77.</w:t>
      </w:r>
    </w:p>
    <w:p w:rsidR="0083738D" w:rsidRPr="0096408E" w:rsidRDefault="0083738D" w:rsidP="00CA0A59">
      <w:pPr>
        <w:autoSpaceDE w:val="0"/>
        <w:autoSpaceDN w:val="0"/>
        <w:spacing w:after="0" w:line="360" w:lineRule="auto"/>
        <w:ind w:left="709" w:hanging="709"/>
        <w:jc w:val="both"/>
        <w:rPr>
          <w:rFonts w:ascii="Times New Roman" w:eastAsia="Times New Roman" w:hAnsi="Times New Roman" w:cs="Times New Roman"/>
          <w:sz w:val="24"/>
          <w:szCs w:val="24"/>
          <w:lang w:val="es-AR"/>
        </w:rPr>
      </w:pPr>
      <w:r w:rsidRPr="0096408E">
        <w:rPr>
          <w:rFonts w:ascii="Times New Roman" w:eastAsia="Times New Roman" w:hAnsi="Times New Roman" w:cs="Times New Roman"/>
          <w:sz w:val="24"/>
          <w:szCs w:val="24"/>
          <w:lang w:val="en-US"/>
        </w:rPr>
        <w:t xml:space="preserve">GRI. (2021). </w:t>
      </w:r>
      <w:r w:rsidRPr="0096408E">
        <w:rPr>
          <w:rFonts w:ascii="Times New Roman" w:eastAsia="Times New Roman" w:hAnsi="Times New Roman" w:cs="Times New Roman"/>
          <w:i/>
          <w:iCs/>
          <w:sz w:val="24"/>
          <w:szCs w:val="24"/>
          <w:lang w:val="en-US"/>
        </w:rPr>
        <w:t>GRI Standards</w:t>
      </w:r>
      <w:r w:rsidRPr="0096408E">
        <w:rPr>
          <w:rFonts w:ascii="Times New Roman" w:eastAsia="Times New Roman" w:hAnsi="Times New Roman" w:cs="Times New Roman"/>
          <w:sz w:val="24"/>
          <w:szCs w:val="24"/>
          <w:lang w:val="en-US"/>
        </w:rPr>
        <w:t xml:space="preserve">. </w:t>
      </w:r>
      <w:hyperlink r:id="rId12" w:history="1">
        <w:r w:rsidRPr="0096408E">
          <w:rPr>
            <w:rStyle w:val="Hipervnculo"/>
            <w:rFonts w:ascii="Times New Roman" w:eastAsia="Times New Roman" w:hAnsi="Times New Roman" w:cs="Times New Roman"/>
            <w:color w:val="auto"/>
            <w:sz w:val="24"/>
            <w:szCs w:val="24"/>
            <w:lang w:val="es-AR"/>
          </w:rPr>
          <w:t>https://www.globalreporting.org/standards</w:t>
        </w:r>
      </w:hyperlink>
    </w:p>
    <w:p w:rsidR="00CA0A59" w:rsidRDefault="00CA0A59" w:rsidP="00CA0A59">
      <w:pPr>
        <w:autoSpaceDE w:val="0"/>
        <w:autoSpaceDN w:val="0"/>
        <w:spacing w:after="0" w:line="360" w:lineRule="auto"/>
        <w:ind w:left="709" w:hanging="709"/>
        <w:jc w:val="both"/>
        <w:rPr>
          <w:rFonts w:ascii="Times New Roman" w:eastAsia="Times New Roman" w:hAnsi="Times New Roman" w:cs="Times New Roman"/>
          <w:sz w:val="24"/>
          <w:szCs w:val="24"/>
          <w:lang w:val="es-AR"/>
        </w:rPr>
      </w:pPr>
      <w:r w:rsidRPr="00CA0A59">
        <w:rPr>
          <w:rFonts w:ascii="Times New Roman" w:hAnsi="Times New Roman" w:cs="Times New Roman"/>
          <w:color w:val="222222"/>
          <w:sz w:val="24"/>
          <w:szCs w:val="24"/>
          <w:shd w:val="clear" w:color="auto" w:fill="FFFFFF"/>
        </w:rPr>
        <w:t>Guevara-</w:t>
      </w:r>
      <w:proofErr w:type="spellStart"/>
      <w:r w:rsidRPr="00CA0A59">
        <w:rPr>
          <w:rFonts w:ascii="Times New Roman" w:hAnsi="Times New Roman" w:cs="Times New Roman"/>
          <w:color w:val="222222"/>
          <w:sz w:val="24"/>
          <w:szCs w:val="24"/>
          <w:shd w:val="clear" w:color="auto" w:fill="FFFFFF"/>
        </w:rPr>
        <w:t>Segarra</w:t>
      </w:r>
      <w:proofErr w:type="spellEnd"/>
      <w:r w:rsidRPr="00CA0A59">
        <w:rPr>
          <w:rFonts w:ascii="Times New Roman" w:hAnsi="Times New Roman" w:cs="Times New Roman"/>
          <w:color w:val="222222"/>
          <w:sz w:val="24"/>
          <w:szCs w:val="24"/>
          <w:shd w:val="clear" w:color="auto" w:fill="FFFFFF"/>
        </w:rPr>
        <w:t xml:space="preserve">, M. F., Cortez-Alejandro, K. A., </w:t>
      </w:r>
      <w:r>
        <w:rPr>
          <w:rFonts w:ascii="Times New Roman" w:hAnsi="Times New Roman" w:cs="Times New Roman"/>
          <w:color w:val="222222"/>
          <w:sz w:val="24"/>
          <w:szCs w:val="24"/>
          <w:shd w:val="clear" w:color="auto" w:fill="FFFFFF"/>
        </w:rPr>
        <w:t>y</w:t>
      </w:r>
      <w:r w:rsidRPr="00CA0A59">
        <w:rPr>
          <w:rFonts w:ascii="Times New Roman" w:hAnsi="Times New Roman" w:cs="Times New Roman"/>
          <w:color w:val="222222"/>
          <w:sz w:val="24"/>
          <w:szCs w:val="24"/>
          <w:shd w:val="clear" w:color="auto" w:fill="FFFFFF"/>
        </w:rPr>
        <w:t xml:space="preserve"> Piedra-Méndez, A. F. (2019). Divulgación de prácticas de Responsabilidad Social Corporativa en América Latina. </w:t>
      </w:r>
      <w:proofErr w:type="spellStart"/>
      <w:r w:rsidRPr="00CA0A59">
        <w:rPr>
          <w:rFonts w:ascii="Times New Roman" w:hAnsi="Times New Roman" w:cs="Times New Roman"/>
          <w:i/>
          <w:iCs/>
          <w:color w:val="222222"/>
          <w:sz w:val="24"/>
          <w:szCs w:val="24"/>
          <w:shd w:val="clear" w:color="auto" w:fill="FFFFFF"/>
        </w:rPr>
        <w:t>Vinculatégica</w:t>
      </w:r>
      <w:proofErr w:type="spellEnd"/>
      <w:r w:rsidRPr="00CA0A59">
        <w:rPr>
          <w:rFonts w:ascii="Times New Roman" w:hAnsi="Times New Roman" w:cs="Times New Roman"/>
          <w:i/>
          <w:iCs/>
          <w:color w:val="222222"/>
          <w:sz w:val="24"/>
          <w:szCs w:val="24"/>
          <w:shd w:val="clear" w:color="auto" w:fill="FFFFFF"/>
        </w:rPr>
        <w:t xml:space="preserve"> EFAN</w:t>
      </w:r>
      <w:r w:rsidRPr="00CA0A59">
        <w:rPr>
          <w:rFonts w:ascii="Times New Roman" w:hAnsi="Times New Roman" w:cs="Times New Roman"/>
          <w:color w:val="222222"/>
          <w:sz w:val="24"/>
          <w:szCs w:val="24"/>
          <w:shd w:val="clear" w:color="auto" w:fill="FFFFFF"/>
        </w:rPr>
        <w:t>, </w:t>
      </w:r>
      <w:r w:rsidRPr="00CA0A59">
        <w:rPr>
          <w:rFonts w:ascii="Times New Roman" w:hAnsi="Times New Roman" w:cs="Times New Roman"/>
          <w:i/>
          <w:iCs/>
          <w:color w:val="222222"/>
          <w:sz w:val="24"/>
          <w:szCs w:val="24"/>
          <w:shd w:val="clear" w:color="auto" w:fill="FFFFFF"/>
        </w:rPr>
        <w:t>5</w:t>
      </w:r>
      <w:r w:rsidRPr="00CA0A59">
        <w:rPr>
          <w:rFonts w:ascii="Times New Roman" w:hAnsi="Times New Roman" w:cs="Times New Roman"/>
          <w:color w:val="222222"/>
          <w:sz w:val="24"/>
          <w:szCs w:val="24"/>
          <w:shd w:val="clear" w:color="auto" w:fill="FFFFFF"/>
        </w:rPr>
        <w:t>(1), 129-139.</w:t>
      </w:r>
    </w:p>
    <w:p w:rsidR="0083738D" w:rsidRPr="00CA0A59" w:rsidRDefault="00CA0A59" w:rsidP="00CA0A59">
      <w:pPr>
        <w:autoSpaceDE w:val="0"/>
        <w:autoSpaceDN w:val="0"/>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AR"/>
        </w:rPr>
        <w:t>Hernández, R., y</w:t>
      </w:r>
      <w:r w:rsidR="0083738D" w:rsidRPr="00CA0A59">
        <w:rPr>
          <w:rFonts w:ascii="Times New Roman" w:eastAsia="Times New Roman" w:hAnsi="Times New Roman" w:cs="Times New Roman"/>
          <w:sz w:val="24"/>
          <w:szCs w:val="24"/>
          <w:lang w:val="es-AR"/>
        </w:rPr>
        <w:t xml:space="preserve"> Mendoza, C. (2018). </w:t>
      </w:r>
      <w:r w:rsidR="0083738D" w:rsidRPr="00CA0A59">
        <w:rPr>
          <w:rFonts w:ascii="Times New Roman" w:eastAsia="Times New Roman" w:hAnsi="Times New Roman" w:cs="Times New Roman"/>
          <w:i/>
          <w:iCs/>
          <w:sz w:val="24"/>
          <w:szCs w:val="24"/>
        </w:rPr>
        <w:t>Meto</w:t>
      </w:r>
      <w:r>
        <w:rPr>
          <w:rFonts w:ascii="Times New Roman" w:eastAsia="Times New Roman" w:hAnsi="Times New Roman" w:cs="Times New Roman"/>
          <w:i/>
          <w:iCs/>
          <w:sz w:val="24"/>
          <w:szCs w:val="24"/>
        </w:rPr>
        <w:t>d</w:t>
      </w:r>
      <w:r w:rsidR="0083738D" w:rsidRPr="00CA0A59">
        <w:rPr>
          <w:rFonts w:ascii="Times New Roman" w:eastAsia="Times New Roman" w:hAnsi="Times New Roman" w:cs="Times New Roman"/>
          <w:i/>
          <w:iCs/>
          <w:sz w:val="24"/>
          <w:szCs w:val="24"/>
        </w:rPr>
        <w:t>ología de la Investigación</w:t>
      </w:r>
      <w:r>
        <w:rPr>
          <w:rFonts w:ascii="Times New Roman" w:eastAsia="Times New Roman" w:hAnsi="Times New Roman" w:cs="Times New Roman"/>
          <w:sz w:val="24"/>
          <w:szCs w:val="24"/>
        </w:rPr>
        <w:t xml:space="preserve">. </w:t>
      </w:r>
      <w:r w:rsidR="0083738D" w:rsidRPr="00CA0A59">
        <w:rPr>
          <w:rFonts w:ascii="Times New Roman" w:eastAsia="Times New Roman" w:hAnsi="Times New Roman" w:cs="Times New Roman"/>
          <w:sz w:val="24"/>
          <w:szCs w:val="24"/>
        </w:rPr>
        <w:t xml:space="preserve">Mc. </w:t>
      </w:r>
      <w:r>
        <w:rPr>
          <w:rFonts w:ascii="Times New Roman" w:eastAsia="Times New Roman" w:hAnsi="Times New Roman" w:cs="Times New Roman"/>
          <w:sz w:val="24"/>
          <w:szCs w:val="24"/>
        </w:rPr>
        <w:t>Graw Hill</w:t>
      </w:r>
      <w:r w:rsidR="0083738D" w:rsidRPr="00CA0A59">
        <w:rPr>
          <w:rFonts w:ascii="Times New Roman" w:eastAsia="Times New Roman" w:hAnsi="Times New Roman" w:cs="Times New Roman"/>
          <w:sz w:val="24"/>
          <w:szCs w:val="24"/>
        </w:rPr>
        <w:t>.</w:t>
      </w:r>
    </w:p>
    <w:p w:rsidR="0083738D" w:rsidRPr="00CA0A59" w:rsidRDefault="0083738D"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rPr>
        <w:t xml:space="preserve">J., S., K.R., S., &amp; </w:t>
      </w:r>
      <w:proofErr w:type="spellStart"/>
      <w:r w:rsidRPr="00CA0A59">
        <w:rPr>
          <w:rFonts w:ascii="Times New Roman" w:eastAsia="Times New Roman" w:hAnsi="Times New Roman" w:cs="Times New Roman"/>
          <w:sz w:val="24"/>
          <w:szCs w:val="24"/>
        </w:rPr>
        <w:t>Prasad</w:t>
      </w:r>
      <w:proofErr w:type="spellEnd"/>
      <w:r w:rsidRPr="00CA0A59">
        <w:rPr>
          <w:rFonts w:ascii="Times New Roman" w:eastAsia="Times New Roman" w:hAnsi="Times New Roman" w:cs="Times New Roman"/>
          <w:sz w:val="24"/>
          <w:szCs w:val="24"/>
        </w:rPr>
        <w:t xml:space="preserve">, K. (2023). </w:t>
      </w:r>
      <w:proofErr w:type="spellStart"/>
      <w:r w:rsidRPr="00CA0A59">
        <w:rPr>
          <w:rFonts w:ascii="Times New Roman" w:eastAsia="Times New Roman" w:hAnsi="Times New Roman" w:cs="Times New Roman"/>
          <w:sz w:val="24"/>
          <w:szCs w:val="24"/>
        </w:rPr>
        <w:t>Does</w:t>
      </w:r>
      <w:proofErr w:type="spellEnd"/>
      <w:r w:rsidRPr="00CA0A59">
        <w:rPr>
          <w:rFonts w:ascii="Times New Roman" w:eastAsia="Times New Roman" w:hAnsi="Times New Roman" w:cs="Times New Roman"/>
          <w:sz w:val="24"/>
          <w:szCs w:val="24"/>
        </w:rPr>
        <w:t xml:space="preserve"> GRI </w:t>
      </w:r>
      <w:proofErr w:type="spellStart"/>
      <w:r w:rsidRPr="00CA0A59">
        <w:rPr>
          <w:rFonts w:ascii="Times New Roman" w:eastAsia="Times New Roman" w:hAnsi="Times New Roman" w:cs="Times New Roman"/>
          <w:sz w:val="24"/>
          <w:szCs w:val="24"/>
        </w:rPr>
        <w:t>compliance</w:t>
      </w:r>
      <w:proofErr w:type="spellEnd"/>
      <w:r w:rsidRPr="00CA0A59">
        <w:rPr>
          <w:rFonts w:ascii="Times New Roman" w:eastAsia="Times New Roman" w:hAnsi="Times New Roman" w:cs="Times New Roman"/>
          <w:sz w:val="24"/>
          <w:szCs w:val="24"/>
        </w:rPr>
        <w:t xml:space="preserve"> </w:t>
      </w:r>
      <w:proofErr w:type="spellStart"/>
      <w:r w:rsidRPr="00CA0A59">
        <w:rPr>
          <w:rFonts w:ascii="Times New Roman" w:eastAsia="Times New Roman" w:hAnsi="Times New Roman" w:cs="Times New Roman"/>
          <w:sz w:val="24"/>
          <w:szCs w:val="24"/>
        </w:rPr>
        <w:t>moderate</w:t>
      </w:r>
      <w:proofErr w:type="spellEnd"/>
      <w:r w:rsidRPr="00CA0A59">
        <w:rPr>
          <w:rFonts w:ascii="Times New Roman" w:eastAsia="Times New Roman" w:hAnsi="Times New Roman" w:cs="Times New Roman"/>
          <w:sz w:val="24"/>
          <w:szCs w:val="24"/>
        </w:rPr>
        <w:t xml:space="preserve"> </w:t>
      </w:r>
      <w:proofErr w:type="spellStart"/>
      <w:r w:rsidRPr="00CA0A59">
        <w:rPr>
          <w:rFonts w:ascii="Times New Roman" w:eastAsia="Times New Roman" w:hAnsi="Times New Roman" w:cs="Times New Roman"/>
          <w:sz w:val="24"/>
          <w:szCs w:val="24"/>
        </w:rPr>
        <w:t>the</w:t>
      </w:r>
      <w:proofErr w:type="spellEnd"/>
      <w:r w:rsidRPr="00CA0A59">
        <w:rPr>
          <w:rFonts w:ascii="Times New Roman" w:eastAsia="Times New Roman" w:hAnsi="Times New Roman" w:cs="Times New Roman"/>
          <w:sz w:val="24"/>
          <w:szCs w:val="24"/>
        </w:rPr>
        <w:t xml:space="preserve"> </w:t>
      </w:r>
      <w:proofErr w:type="spellStart"/>
      <w:r w:rsidRPr="00CA0A59">
        <w:rPr>
          <w:rFonts w:ascii="Times New Roman" w:eastAsia="Times New Roman" w:hAnsi="Times New Roman" w:cs="Times New Roman"/>
          <w:sz w:val="24"/>
          <w:szCs w:val="24"/>
        </w:rPr>
        <w:t>impact</w:t>
      </w:r>
      <w:proofErr w:type="spellEnd"/>
      <w:r w:rsidRPr="00CA0A59">
        <w:rPr>
          <w:rFonts w:ascii="Times New Roman" w:eastAsia="Times New Roman" w:hAnsi="Times New Roman" w:cs="Times New Roman"/>
          <w:sz w:val="24"/>
          <w:szCs w:val="24"/>
        </w:rPr>
        <w:t xml:space="preserve"> of </w:t>
      </w:r>
      <w:proofErr w:type="spellStart"/>
      <w:r w:rsidRPr="00CA0A59">
        <w:rPr>
          <w:rFonts w:ascii="Times New Roman" w:eastAsia="Times New Roman" w:hAnsi="Times New Roman" w:cs="Times New Roman"/>
          <w:sz w:val="24"/>
          <w:szCs w:val="24"/>
        </w:rPr>
        <w:t>sustainability</w:t>
      </w:r>
      <w:proofErr w:type="spellEnd"/>
      <w:r w:rsidRPr="00CA0A59">
        <w:rPr>
          <w:rFonts w:ascii="Times New Roman" w:eastAsia="Times New Roman" w:hAnsi="Times New Roman" w:cs="Times New Roman"/>
          <w:sz w:val="24"/>
          <w:szCs w:val="24"/>
        </w:rPr>
        <w:t xml:space="preserve"> </w:t>
      </w:r>
      <w:proofErr w:type="spellStart"/>
      <w:r w:rsidRPr="00CA0A59">
        <w:rPr>
          <w:rFonts w:ascii="Times New Roman" w:eastAsia="Times New Roman" w:hAnsi="Times New Roman" w:cs="Times New Roman"/>
          <w:sz w:val="24"/>
          <w:szCs w:val="24"/>
        </w:rPr>
        <w:t>disclos</w:t>
      </w:r>
      <w:r w:rsidRPr="00CA0A59">
        <w:rPr>
          <w:rFonts w:ascii="Times New Roman" w:eastAsia="Times New Roman" w:hAnsi="Times New Roman" w:cs="Times New Roman"/>
          <w:sz w:val="24"/>
          <w:szCs w:val="24"/>
          <w:lang w:val="en-US"/>
        </w:rPr>
        <w:t>ure</w:t>
      </w:r>
      <w:proofErr w:type="spellEnd"/>
      <w:r w:rsidRPr="00CA0A59">
        <w:rPr>
          <w:rFonts w:ascii="Times New Roman" w:eastAsia="Times New Roman" w:hAnsi="Times New Roman" w:cs="Times New Roman"/>
          <w:sz w:val="24"/>
          <w:szCs w:val="24"/>
          <w:lang w:val="en-US"/>
        </w:rPr>
        <w:t xml:space="preserve"> on firm value? </w:t>
      </w:r>
      <w:r w:rsidRPr="00CA0A59">
        <w:rPr>
          <w:rFonts w:ascii="Times New Roman" w:eastAsia="Times New Roman" w:hAnsi="Times New Roman" w:cs="Times New Roman"/>
          <w:i/>
          <w:iCs/>
          <w:sz w:val="24"/>
          <w:szCs w:val="24"/>
          <w:lang w:val="en-US"/>
        </w:rPr>
        <w:t>Society and Business Review</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18</w:t>
      </w:r>
      <w:r w:rsidRPr="00CA0A59">
        <w:rPr>
          <w:rFonts w:ascii="Times New Roman" w:eastAsia="Times New Roman" w:hAnsi="Times New Roman" w:cs="Times New Roman"/>
          <w:sz w:val="24"/>
          <w:szCs w:val="24"/>
          <w:lang w:val="en-US"/>
        </w:rPr>
        <w:t>(1), 152–174</w:t>
      </w:r>
      <w:r w:rsidR="00CA0A59">
        <w:rPr>
          <w:rFonts w:ascii="Times New Roman" w:eastAsia="Times New Roman" w:hAnsi="Times New Roman" w:cs="Times New Roman"/>
          <w:sz w:val="24"/>
          <w:szCs w:val="24"/>
          <w:lang w:val="en-US"/>
        </w:rPr>
        <w:t>.</w:t>
      </w:r>
    </w:p>
    <w:p w:rsidR="0083738D" w:rsidRPr="00CA0A59" w:rsidRDefault="0083738D"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n-US"/>
        </w:rPr>
        <w:t>Jadhav</w:t>
      </w:r>
      <w:proofErr w:type="spellEnd"/>
      <w:r w:rsidRPr="00CA0A59">
        <w:rPr>
          <w:rFonts w:ascii="Times New Roman" w:eastAsia="Times New Roman" w:hAnsi="Times New Roman" w:cs="Times New Roman"/>
          <w:sz w:val="24"/>
          <w:szCs w:val="24"/>
          <w:lang w:val="en-US"/>
        </w:rPr>
        <w:t xml:space="preserve">, A., Rahman, S., &amp; Ahsan, K. (2022). Sustainability practices disclosure of top logistics firms in Australia. </w:t>
      </w:r>
      <w:r w:rsidRPr="00CA0A59">
        <w:rPr>
          <w:rFonts w:ascii="Times New Roman" w:eastAsia="Times New Roman" w:hAnsi="Times New Roman" w:cs="Times New Roman"/>
          <w:i/>
          <w:iCs/>
          <w:sz w:val="24"/>
          <w:szCs w:val="24"/>
          <w:lang w:val="en-US"/>
        </w:rPr>
        <w:t>The International Journal of Logistics Management</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33</w:t>
      </w:r>
      <w:r w:rsidR="00CA0A59">
        <w:rPr>
          <w:rFonts w:ascii="Times New Roman" w:eastAsia="Times New Roman" w:hAnsi="Times New Roman" w:cs="Times New Roman"/>
          <w:sz w:val="24"/>
          <w:szCs w:val="24"/>
          <w:lang w:val="en-US"/>
        </w:rPr>
        <w:t>(5), 244–277.</w:t>
      </w:r>
    </w:p>
    <w:p w:rsidR="00A17943" w:rsidRPr="00CA0A59" w:rsidRDefault="00A17943"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lang w:val="en-US"/>
        </w:rPr>
        <w:t xml:space="preserve">Li, Y., Gong, M., Zhang, X.-Y., &amp; Koh, L. (2018). The impact of environmental, social, and governance disclosure on firm value: The role of CEO power. </w:t>
      </w:r>
      <w:r w:rsidRPr="00CA0A59">
        <w:rPr>
          <w:rFonts w:ascii="Times New Roman" w:eastAsia="Times New Roman" w:hAnsi="Times New Roman" w:cs="Times New Roman"/>
          <w:i/>
          <w:iCs/>
          <w:sz w:val="24"/>
          <w:szCs w:val="24"/>
          <w:lang w:val="en-US"/>
        </w:rPr>
        <w:t>The British Accounting Review</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50</w:t>
      </w:r>
      <w:r w:rsidRPr="00CA0A59">
        <w:rPr>
          <w:rFonts w:ascii="Times New Roman" w:eastAsia="Times New Roman" w:hAnsi="Times New Roman" w:cs="Times New Roman"/>
          <w:sz w:val="24"/>
          <w:szCs w:val="24"/>
          <w:lang w:val="en-US"/>
        </w:rPr>
        <w:t>(1), 60–75.</w:t>
      </w:r>
    </w:p>
    <w:p w:rsidR="0030600C" w:rsidRPr="00CA0A59" w:rsidRDefault="0030600C" w:rsidP="00CA0A59">
      <w:pPr>
        <w:pStyle w:val="Textoindependiente"/>
        <w:spacing w:line="360" w:lineRule="auto"/>
        <w:ind w:left="709" w:hanging="709"/>
        <w:jc w:val="both"/>
        <w:rPr>
          <w:rFonts w:ascii="Times New Roman" w:hAnsi="Times New Roman" w:cs="Times New Roman"/>
          <w:lang w:val="en-US"/>
        </w:rPr>
      </w:pPr>
      <w:proofErr w:type="spellStart"/>
      <w:r w:rsidRPr="00CA0A59">
        <w:rPr>
          <w:rFonts w:ascii="Times New Roman" w:hAnsi="Times New Roman" w:cs="Times New Roman"/>
          <w:lang w:val="en-US"/>
        </w:rPr>
        <w:t>Lindblom</w:t>
      </w:r>
      <w:proofErr w:type="spellEnd"/>
      <w:r w:rsidRPr="00CA0A59">
        <w:rPr>
          <w:rFonts w:ascii="Times New Roman" w:hAnsi="Times New Roman" w:cs="Times New Roman"/>
          <w:lang w:val="en-US"/>
        </w:rPr>
        <w:t xml:space="preserve">, C. E. (1994). Success through Inattention in School Administration and Elsewhere. </w:t>
      </w:r>
      <w:r w:rsidRPr="00CA0A59">
        <w:rPr>
          <w:rFonts w:ascii="Times New Roman" w:hAnsi="Times New Roman" w:cs="Times New Roman"/>
          <w:i/>
          <w:lang w:val="en-US"/>
        </w:rPr>
        <w:t>Educational Administration Quarterly, 30</w:t>
      </w:r>
      <w:r w:rsidRPr="00CA0A59">
        <w:rPr>
          <w:rFonts w:ascii="Times New Roman" w:hAnsi="Times New Roman" w:cs="Times New Roman"/>
          <w:lang w:val="en-US"/>
        </w:rPr>
        <w:t>(2), 199–213.</w:t>
      </w:r>
    </w:p>
    <w:p w:rsidR="00CA0A59" w:rsidRPr="00CA0A59" w:rsidRDefault="00CA0A59" w:rsidP="00CA0A59">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CA0A59">
        <w:rPr>
          <w:rFonts w:ascii="Times New Roman" w:hAnsi="Times New Roman" w:cs="Times New Roman"/>
          <w:color w:val="222222"/>
          <w:sz w:val="24"/>
          <w:szCs w:val="24"/>
          <w:shd w:val="clear" w:color="auto" w:fill="FFFFFF"/>
        </w:rPr>
        <w:t>Maama</w:t>
      </w:r>
      <w:proofErr w:type="spellEnd"/>
      <w:r w:rsidRPr="00CA0A59">
        <w:rPr>
          <w:rFonts w:ascii="Times New Roman" w:hAnsi="Times New Roman" w:cs="Times New Roman"/>
          <w:color w:val="222222"/>
          <w:sz w:val="24"/>
          <w:szCs w:val="24"/>
          <w:shd w:val="clear" w:color="auto" w:fill="FFFFFF"/>
        </w:rPr>
        <w:t xml:space="preserve">, H., </w:t>
      </w:r>
      <w:proofErr w:type="spellStart"/>
      <w:r w:rsidRPr="00CA0A59">
        <w:rPr>
          <w:rFonts w:ascii="Times New Roman" w:hAnsi="Times New Roman" w:cs="Times New Roman"/>
          <w:color w:val="222222"/>
          <w:sz w:val="24"/>
          <w:szCs w:val="24"/>
          <w:shd w:val="clear" w:color="auto" w:fill="FFFFFF"/>
        </w:rPr>
        <w:t>Akande</w:t>
      </w:r>
      <w:proofErr w:type="spellEnd"/>
      <w:r w:rsidRPr="00CA0A59">
        <w:rPr>
          <w:rFonts w:ascii="Times New Roman" w:hAnsi="Times New Roman" w:cs="Times New Roman"/>
          <w:color w:val="222222"/>
          <w:sz w:val="24"/>
          <w:szCs w:val="24"/>
          <w:shd w:val="clear" w:color="auto" w:fill="FFFFFF"/>
        </w:rPr>
        <w:t xml:space="preserve">, J. O., &amp; </w:t>
      </w:r>
      <w:proofErr w:type="spellStart"/>
      <w:r w:rsidRPr="00CA0A59">
        <w:rPr>
          <w:rFonts w:ascii="Times New Roman" w:hAnsi="Times New Roman" w:cs="Times New Roman"/>
          <w:color w:val="222222"/>
          <w:sz w:val="24"/>
          <w:szCs w:val="24"/>
          <w:shd w:val="clear" w:color="auto" w:fill="FFFFFF"/>
        </w:rPr>
        <w:t>Doorasamy</w:t>
      </w:r>
      <w:proofErr w:type="spellEnd"/>
      <w:r w:rsidRPr="00CA0A59">
        <w:rPr>
          <w:rFonts w:ascii="Times New Roman" w:hAnsi="Times New Roman" w:cs="Times New Roman"/>
          <w:color w:val="222222"/>
          <w:sz w:val="24"/>
          <w:szCs w:val="24"/>
          <w:shd w:val="clear" w:color="auto" w:fill="FFFFFF"/>
        </w:rPr>
        <w:t xml:space="preserve">, M. (2020). </w:t>
      </w:r>
      <w:r w:rsidRPr="00CA0A59">
        <w:rPr>
          <w:rFonts w:ascii="Times New Roman" w:hAnsi="Times New Roman" w:cs="Times New Roman"/>
          <w:color w:val="222222"/>
          <w:sz w:val="24"/>
          <w:szCs w:val="24"/>
          <w:shd w:val="clear" w:color="auto" w:fill="FFFFFF"/>
          <w:lang w:val="en-US"/>
        </w:rPr>
        <w:t xml:space="preserve">NGOs' engagements and Ghana's environmental accounting disclosure quality. </w:t>
      </w:r>
      <w:r w:rsidRPr="00CA0A59">
        <w:rPr>
          <w:rFonts w:ascii="Times New Roman" w:hAnsi="Times New Roman" w:cs="Times New Roman"/>
          <w:i/>
          <w:iCs/>
          <w:color w:val="222222"/>
          <w:sz w:val="24"/>
          <w:szCs w:val="24"/>
          <w:shd w:val="clear" w:color="auto" w:fill="FFFFFF"/>
          <w:lang w:val="en-US"/>
        </w:rPr>
        <w:t>Environmentalism and NGO accountability</w:t>
      </w:r>
      <w:r>
        <w:rPr>
          <w:rFonts w:ascii="Times New Roman" w:hAnsi="Times New Roman" w:cs="Times New Roman"/>
          <w:color w:val="222222"/>
          <w:sz w:val="24"/>
          <w:szCs w:val="24"/>
          <w:shd w:val="clear" w:color="auto" w:fill="FFFFFF"/>
          <w:lang w:val="en-US"/>
        </w:rPr>
        <w:t xml:space="preserve">, </w:t>
      </w:r>
      <w:r w:rsidRPr="00CA0A59">
        <w:rPr>
          <w:rFonts w:ascii="Times New Roman" w:hAnsi="Times New Roman" w:cs="Times New Roman"/>
          <w:color w:val="222222"/>
          <w:sz w:val="24"/>
          <w:szCs w:val="24"/>
          <w:shd w:val="clear" w:color="auto" w:fill="FFFFFF"/>
          <w:lang w:val="en-US"/>
        </w:rPr>
        <w:t>9, 83-106).</w:t>
      </w:r>
    </w:p>
    <w:p w:rsidR="00FE2DD1" w:rsidRPr="0096408E" w:rsidRDefault="00FE2DD1" w:rsidP="00CA0A59">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shd w:val="clear" w:color="auto" w:fill="FFFFFF"/>
        </w:rPr>
      </w:pPr>
      <w:proofErr w:type="spellStart"/>
      <w:r w:rsidRPr="00CA0A59">
        <w:rPr>
          <w:rFonts w:ascii="Times New Roman" w:hAnsi="Times New Roman" w:cs="Times New Roman"/>
          <w:sz w:val="24"/>
          <w:szCs w:val="24"/>
          <w:shd w:val="clear" w:color="auto" w:fill="FFFFFF"/>
          <w:lang w:val="en-US"/>
        </w:rPr>
        <w:lastRenderedPageBreak/>
        <w:t>Naciones</w:t>
      </w:r>
      <w:proofErr w:type="spellEnd"/>
      <w:r w:rsidRPr="00CA0A59">
        <w:rPr>
          <w:rFonts w:ascii="Times New Roman" w:hAnsi="Times New Roman" w:cs="Times New Roman"/>
          <w:sz w:val="24"/>
          <w:szCs w:val="24"/>
          <w:shd w:val="clear" w:color="auto" w:fill="FFFFFF"/>
          <w:lang w:val="en-US"/>
        </w:rPr>
        <w:t xml:space="preserve"> </w:t>
      </w:r>
      <w:proofErr w:type="spellStart"/>
      <w:r w:rsidRPr="00CA0A59">
        <w:rPr>
          <w:rFonts w:ascii="Times New Roman" w:hAnsi="Times New Roman" w:cs="Times New Roman"/>
          <w:sz w:val="24"/>
          <w:szCs w:val="24"/>
          <w:shd w:val="clear" w:color="auto" w:fill="FFFFFF"/>
          <w:lang w:val="en-US"/>
        </w:rPr>
        <w:t>Unidas</w:t>
      </w:r>
      <w:proofErr w:type="spellEnd"/>
      <w:r w:rsidRPr="00CA0A59">
        <w:rPr>
          <w:rFonts w:ascii="Times New Roman" w:hAnsi="Times New Roman" w:cs="Times New Roman"/>
          <w:sz w:val="24"/>
          <w:szCs w:val="24"/>
          <w:shd w:val="clear" w:color="auto" w:fill="FFFFFF"/>
          <w:lang w:val="en-US"/>
        </w:rPr>
        <w:t xml:space="preserve"> (1987). Report of the World Commission on Environment and Development: Our Common Future. </w:t>
      </w:r>
      <w:r w:rsidRPr="00CA0A59">
        <w:rPr>
          <w:rFonts w:ascii="Times New Roman" w:hAnsi="Times New Roman" w:cs="Times New Roman"/>
          <w:sz w:val="24"/>
          <w:szCs w:val="24"/>
          <w:shd w:val="clear" w:color="auto" w:fill="FFFFFF"/>
        </w:rPr>
        <w:t xml:space="preserve">Disponible en: </w:t>
      </w:r>
      <w:hyperlink r:id="rId13" w:history="1">
        <w:r w:rsidRPr="0096408E">
          <w:rPr>
            <w:rStyle w:val="Hipervnculo"/>
            <w:rFonts w:ascii="Times New Roman" w:hAnsi="Times New Roman" w:cs="Times New Roman"/>
            <w:color w:val="auto"/>
            <w:sz w:val="24"/>
            <w:szCs w:val="24"/>
            <w:shd w:val="clear" w:color="auto" w:fill="FFFFFF"/>
          </w:rPr>
          <w:t>https://sustainabledevelopment.un.org/content/documents/5987our-common-future.pdf</w:t>
        </w:r>
      </w:hyperlink>
    </w:p>
    <w:p w:rsidR="00FE2DD1" w:rsidRPr="00CA0A59" w:rsidRDefault="00FE2DD1" w:rsidP="00CA0A59">
      <w:pPr>
        <w:spacing w:after="0" w:line="360" w:lineRule="auto"/>
        <w:ind w:left="709" w:hanging="709"/>
        <w:jc w:val="both"/>
        <w:rPr>
          <w:rFonts w:ascii="Times New Roman" w:eastAsia="Times New Roman" w:hAnsi="Times New Roman" w:cs="Times New Roman"/>
          <w:sz w:val="24"/>
          <w:szCs w:val="24"/>
        </w:rPr>
      </w:pPr>
      <w:r w:rsidRPr="00CA0A59">
        <w:rPr>
          <w:rFonts w:ascii="Times New Roman" w:eastAsia="Times New Roman" w:hAnsi="Times New Roman" w:cs="Times New Roman"/>
          <w:sz w:val="24"/>
          <w:szCs w:val="24"/>
        </w:rPr>
        <w:t xml:space="preserve">Ochoa, M., Prieto, M. B., y </w:t>
      </w:r>
      <w:proofErr w:type="spellStart"/>
      <w:r w:rsidRPr="00CA0A59">
        <w:rPr>
          <w:rFonts w:ascii="Times New Roman" w:eastAsia="Times New Roman" w:hAnsi="Times New Roman" w:cs="Times New Roman"/>
          <w:sz w:val="24"/>
          <w:szCs w:val="24"/>
        </w:rPr>
        <w:t>Santidrián</w:t>
      </w:r>
      <w:proofErr w:type="spellEnd"/>
      <w:r w:rsidRPr="00CA0A59">
        <w:rPr>
          <w:rFonts w:ascii="Times New Roman" w:eastAsia="Times New Roman" w:hAnsi="Times New Roman" w:cs="Times New Roman"/>
          <w:sz w:val="24"/>
          <w:szCs w:val="24"/>
        </w:rPr>
        <w:t xml:space="preserve">, A. (2010). Estado actual de los modelos de capital intelectual y su impacto en la creación de valor en empresas de Castilla y León. </w:t>
      </w:r>
      <w:r w:rsidRPr="00CA0A59">
        <w:rPr>
          <w:rFonts w:ascii="Times New Roman" w:eastAsia="Times New Roman" w:hAnsi="Times New Roman" w:cs="Times New Roman"/>
          <w:i/>
          <w:sz w:val="24"/>
          <w:szCs w:val="24"/>
        </w:rPr>
        <w:t>Revista de Investigación Económica y Social de Castilla y León</w:t>
      </w:r>
      <w:r w:rsidRPr="00CA0A59">
        <w:rPr>
          <w:rFonts w:ascii="Times New Roman" w:eastAsia="Times New Roman" w:hAnsi="Times New Roman" w:cs="Times New Roman"/>
          <w:sz w:val="24"/>
          <w:szCs w:val="24"/>
        </w:rPr>
        <w:t xml:space="preserve">, </w:t>
      </w:r>
      <w:r w:rsidRPr="00CA0A59">
        <w:rPr>
          <w:rFonts w:ascii="Times New Roman" w:eastAsia="Times New Roman" w:hAnsi="Times New Roman" w:cs="Times New Roman"/>
          <w:i/>
          <w:sz w:val="24"/>
          <w:szCs w:val="24"/>
        </w:rPr>
        <w:t>13</w:t>
      </w:r>
      <w:r w:rsidRPr="00CA0A59">
        <w:rPr>
          <w:rFonts w:ascii="Times New Roman" w:eastAsia="Times New Roman" w:hAnsi="Times New Roman" w:cs="Times New Roman"/>
          <w:sz w:val="24"/>
          <w:szCs w:val="24"/>
        </w:rPr>
        <w:t>, 15–205.</w:t>
      </w:r>
    </w:p>
    <w:p w:rsidR="0083738D" w:rsidRPr="00CA0A59" w:rsidRDefault="0083738D"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rPr>
        <w:t xml:space="preserve">Ordóñez-Castaño, I. A., Herrera-Rodríguez, E. E., Ricaurte, A. M. F., &amp; Mejía, L. E. P. (2021). </w:t>
      </w:r>
      <w:r w:rsidRPr="00CA0A59">
        <w:rPr>
          <w:rFonts w:ascii="Times New Roman" w:eastAsia="Times New Roman" w:hAnsi="Times New Roman" w:cs="Times New Roman"/>
          <w:sz w:val="24"/>
          <w:szCs w:val="24"/>
          <w:lang w:val="en-US"/>
        </w:rPr>
        <w:t xml:space="preserve">Voluntary disclosure of </w:t>
      </w:r>
      <w:r w:rsidR="00CA0A59" w:rsidRPr="00CA0A59">
        <w:rPr>
          <w:rFonts w:ascii="Times New Roman" w:eastAsia="Times New Roman" w:hAnsi="Times New Roman" w:cs="Times New Roman"/>
          <w:sz w:val="24"/>
          <w:szCs w:val="24"/>
          <w:lang w:val="en-US"/>
        </w:rPr>
        <w:t>GRI</w:t>
      </w:r>
      <w:r w:rsidRPr="00CA0A59">
        <w:rPr>
          <w:rFonts w:ascii="Times New Roman" w:eastAsia="Times New Roman" w:hAnsi="Times New Roman" w:cs="Times New Roman"/>
          <w:sz w:val="24"/>
          <w:szCs w:val="24"/>
          <w:lang w:val="en-US"/>
        </w:rPr>
        <w:t xml:space="preserve"> and </w:t>
      </w:r>
      <w:r w:rsidR="00CA0A59" w:rsidRPr="00CA0A59">
        <w:rPr>
          <w:rFonts w:ascii="Times New Roman" w:eastAsia="Times New Roman" w:hAnsi="Times New Roman" w:cs="Times New Roman"/>
          <w:sz w:val="24"/>
          <w:szCs w:val="24"/>
          <w:lang w:val="en-US"/>
        </w:rPr>
        <w:t>CSR</w:t>
      </w:r>
      <w:r w:rsidR="00CA0A59">
        <w:rPr>
          <w:rFonts w:ascii="Times New Roman" w:eastAsia="Times New Roman" w:hAnsi="Times New Roman" w:cs="Times New Roman"/>
          <w:sz w:val="24"/>
          <w:szCs w:val="24"/>
          <w:lang w:val="en-US"/>
        </w:rPr>
        <w:t xml:space="preserve"> environmental criteria in C</w:t>
      </w:r>
      <w:r w:rsidRPr="00CA0A59">
        <w:rPr>
          <w:rFonts w:ascii="Times New Roman" w:eastAsia="Times New Roman" w:hAnsi="Times New Roman" w:cs="Times New Roman"/>
          <w:sz w:val="24"/>
          <w:szCs w:val="24"/>
          <w:lang w:val="en-US"/>
        </w:rPr>
        <w:t xml:space="preserve">olombian companies. </w:t>
      </w:r>
      <w:r w:rsidRPr="00CA0A59">
        <w:rPr>
          <w:rFonts w:ascii="Times New Roman" w:eastAsia="Times New Roman" w:hAnsi="Times New Roman" w:cs="Times New Roman"/>
          <w:i/>
          <w:iCs/>
          <w:sz w:val="24"/>
          <w:szCs w:val="24"/>
          <w:lang w:val="en-US"/>
        </w:rPr>
        <w:t>Sustainability</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13</w:t>
      </w:r>
      <w:r w:rsidRPr="00CA0A59">
        <w:rPr>
          <w:rFonts w:ascii="Times New Roman" w:eastAsia="Times New Roman" w:hAnsi="Times New Roman" w:cs="Times New Roman"/>
          <w:sz w:val="24"/>
          <w:szCs w:val="24"/>
          <w:lang w:val="en-US"/>
        </w:rPr>
        <w:t>(10).</w:t>
      </w:r>
    </w:p>
    <w:p w:rsidR="00FC4C42" w:rsidRPr="00CA0A59" w:rsidRDefault="00FC4C42"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proofErr w:type="spellStart"/>
      <w:r w:rsidRPr="00CA0A59">
        <w:rPr>
          <w:rFonts w:ascii="Times New Roman" w:eastAsia="Times New Roman" w:hAnsi="Times New Roman" w:cs="Times New Roman"/>
          <w:sz w:val="24"/>
          <w:szCs w:val="24"/>
          <w:lang w:val="en-US"/>
        </w:rPr>
        <w:t>Pahuja</w:t>
      </w:r>
      <w:proofErr w:type="spellEnd"/>
      <w:r w:rsidRPr="00CA0A59">
        <w:rPr>
          <w:rFonts w:ascii="Times New Roman" w:eastAsia="Times New Roman" w:hAnsi="Times New Roman" w:cs="Times New Roman"/>
          <w:sz w:val="24"/>
          <w:szCs w:val="24"/>
          <w:lang w:val="en-US"/>
        </w:rPr>
        <w:t xml:space="preserve">, S. (2009). Relationship between environmental disclosures and corporate characteristics: a study of large manufacturing companies in India. </w:t>
      </w:r>
      <w:r w:rsidRPr="00CA0A59">
        <w:rPr>
          <w:rFonts w:ascii="Times New Roman" w:eastAsia="Times New Roman" w:hAnsi="Times New Roman" w:cs="Times New Roman"/>
          <w:i/>
          <w:iCs/>
          <w:sz w:val="24"/>
          <w:szCs w:val="24"/>
          <w:lang w:val="en-US"/>
        </w:rPr>
        <w:t>Social Responsibility Journal</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5</w:t>
      </w:r>
      <w:r w:rsidRPr="00CA0A59">
        <w:rPr>
          <w:rFonts w:ascii="Times New Roman" w:eastAsia="Times New Roman" w:hAnsi="Times New Roman" w:cs="Times New Roman"/>
          <w:sz w:val="24"/>
          <w:szCs w:val="24"/>
          <w:lang w:val="en-US"/>
        </w:rPr>
        <w:t>(2), 227–244.</w:t>
      </w:r>
    </w:p>
    <w:p w:rsidR="00FE2DD1" w:rsidRPr="00CA0A59" w:rsidRDefault="00FE2DD1" w:rsidP="00CA0A59">
      <w:pPr>
        <w:spacing w:after="0" w:line="360" w:lineRule="auto"/>
        <w:ind w:left="709" w:hanging="709"/>
        <w:jc w:val="both"/>
        <w:rPr>
          <w:rFonts w:ascii="Times New Roman" w:eastAsia="Times New Roman" w:hAnsi="Times New Roman" w:cs="Times New Roman"/>
          <w:sz w:val="24"/>
          <w:szCs w:val="24"/>
        </w:rPr>
      </w:pPr>
      <w:r w:rsidRPr="00CA0A59">
        <w:rPr>
          <w:rFonts w:ascii="Times New Roman" w:eastAsia="Times New Roman" w:hAnsi="Times New Roman" w:cs="Times New Roman"/>
          <w:sz w:val="24"/>
          <w:szCs w:val="24"/>
        </w:rPr>
        <w:t>Ponce, H., Serrat, N. y González, J. (2022). Comunicación web de información no financiera en las empresas de cuatro índices bursátiles europeos. </w:t>
      </w:r>
      <w:r w:rsidRPr="00CA0A59">
        <w:rPr>
          <w:rFonts w:ascii="Times New Roman" w:eastAsia="Times New Roman" w:hAnsi="Times New Roman" w:cs="Times New Roman"/>
          <w:i/>
          <w:sz w:val="24"/>
          <w:szCs w:val="24"/>
        </w:rPr>
        <w:t>Revista Española de Documentación Científica</w:t>
      </w:r>
      <w:r w:rsidRPr="00CA0A59">
        <w:rPr>
          <w:rFonts w:ascii="Times New Roman" w:eastAsia="Times New Roman" w:hAnsi="Times New Roman" w:cs="Times New Roman"/>
          <w:sz w:val="24"/>
          <w:szCs w:val="24"/>
        </w:rPr>
        <w:t>, </w:t>
      </w:r>
      <w:r w:rsidRPr="00CA0A59">
        <w:rPr>
          <w:rFonts w:ascii="Times New Roman" w:eastAsia="Times New Roman" w:hAnsi="Times New Roman" w:cs="Times New Roman"/>
          <w:i/>
          <w:sz w:val="24"/>
          <w:szCs w:val="24"/>
        </w:rPr>
        <w:t>45</w:t>
      </w:r>
      <w:r w:rsidR="00CA0A59">
        <w:rPr>
          <w:rFonts w:ascii="Times New Roman" w:eastAsia="Times New Roman" w:hAnsi="Times New Roman" w:cs="Times New Roman"/>
          <w:sz w:val="24"/>
          <w:szCs w:val="24"/>
        </w:rPr>
        <w:t>(3), 329-329.</w:t>
      </w:r>
    </w:p>
    <w:p w:rsidR="00FC4C42" w:rsidRPr="00CA0A59" w:rsidRDefault="00FC4C42"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lang w:val="en-US"/>
        </w:rPr>
        <w:t xml:space="preserve">Shocker, A. D., &amp; </w:t>
      </w:r>
      <w:proofErr w:type="spellStart"/>
      <w:r w:rsidRPr="00CA0A59">
        <w:rPr>
          <w:rFonts w:ascii="Times New Roman" w:eastAsia="Times New Roman" w:hAnsi="Times New Roman" w:cs="Times New Roman"/>
          <w:sz w:val="24"/>
          <w:szCs w:val="24"/>
          <w:lang w:val="en-US"/>
        </w:rPr>
        <w:t>Sethi</w:t>
      </w:r>
      <w:proofErr w:type="spellEnd"/>
      <w:r w:rsidRPr="00CA0A59">
        <w:rPr>
          <w:rFonts w:ascii="Times New Roman" w:eastAsia="Times New Roman" w:hAnsi="Times New Roman" w:cs="Times New Roman"/>
          <w:sz w:val="24"/>
          <w:szCs w:val="24"/>
          <w:lang w:val="en-US"/>
        </w:rPr>
        <w:t xml:space="preserve">, S. P. (1973). An Approach to Incorporating Societal Preferences in Developing Corporate Action Strategies. </w:t>
      </w:r>
      <w:r w:rsidRPr="00CA0A59">
        <w:rPr>
          <w:rFonts w:ascii="Times New Roman" w:eastAsia="Times New Roman" w:hAnsi="Times New Roman" w:cs="Times New Roman"/>
          <w:i/>
          <w:iCs/>
          <w:sz w:val="24"/>
          <w:szCs w:val="24"/>
          <w:lang w:val="en-US"/>
        </w:rPr>
        <w:t>California Management Review</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15</w:t>
      </w:r>
      <w:r w:rsidRPr="00CA0A59">
        <w:rPr>
          <w:rFonts w:ascii="Times New Roman" w:eastAsia="Times New Roman" w:hAnsi="Times New Roman" w:cs="Times New Roman"/>
          <w:sz w:val="24"/>
          <w:szCs w:val="24"/>
          <w:lang w:val="en-US"/>
        </w:rPr>
        <w:t>(4), 97–105.</w:t>
      </w:r>
    </w:p>
    <w:p w:rsidR="00A17943" w:rsidRPr="00CA0A59" w:rsidRDefault="00A17943" w:rsidP="00CA0A59">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lang w:val="en-US"/>
        </w:rPr>
        <w:t>Wong, C. W. Y., Wong, C. Y., Boon-</w:t>
      </w:r>
      <w:proofErr w:type="spellStart"/>
      <w:r w:rsidRPr="00CA0A59">
        <w:rPr>
          <w:rFonts w:ascii="Times New Roman" w:eastAsia="Times New Roman" w:hAnsi="Times New Roman" w:cs="Times New Roman"/>
          <w:sz w:val="24"/>
          <w:szCs w:val="24"/>
          <w:lang w:val="en-US"/>
        </w:rPr>
        <w:t>itt</w:t>
      </w:r>
      <w:proofErr w:type="spellEnd"/>
      <w:r w:rsidRPr="00CA0A59">
        <w:rPr>
          <w:rFonts w:ascii="Times New Roman" w:eastAsia="Times New Roman" w:hAnsi="Times New Roman" w:cs="Times New Roman"/>
          <w:sz w:val="24"/>
          <w:szCs w:val="24"/>
          <w:lang w:val="en-US"/>
        </w:rPr>
        <w:t xml:space="preserve">, S., &amp; Tang, A. K. Y. (2021). Strategies for Building Environmental Transparency and Accountability. </w:t>
      </w:r>
      <w:r w:rsidRPr="00CA0A59">
        <w:rPr>
          <w:rFonts w:ascii="Times New Roman" w:eastAsia="Times New Roman" w:hAnsi="Times New Roman" w:cs="Times New Roman"/>
          <w:i/>
          <w:iCs/>
          <w:sz w:val="24"/>
          <w:szCs w:val="24"/>
          <w:lang w:val="en-US"/>
        </w:rPr>
        <w:t>Sustainability</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13</w:t>
      </w:r>
      <w:r w:rsidRPr="00CA0A59">
        <w:rPr>
          <w:rFonts w:ascii="Times New Roman" w:eastAsia="Times New Roman" w:hAnsi="Times New Roman" w:cs="Times New Roman"/>
          <w:sz w:val="24"/>
          <w:szCs w:val="24"/>
          <w:lang w:val="en-US"/>
        </w:rPr>
        <w:t>(16), 9116.</w:t>
      </w:r>
    </w:p>
    <w:p w:rsidR="00D74F44" w:rsidRDefault="00FC4C42" w:rsidP="00C82C5D">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A0A59">
        <w:rPr>
          <w:rFonts w:ascii="Times New Roman" w:eastAsia="Times New Roman" w:hAnsi="Times New Roman" w:cs="Times New Roman"/>
          <w:sz w:val="24"/>
          <w:szCs w:val="24"/>
          <w:lang w:val="en-US"/>
        </w:rPr>
        <w:t xml:space="preserve">Yang, Y., </w:t>
      </w:r>
      <w:proofErr w:type="spellStart"/>
      <w:r w:rsidRPr="00CA0A59">
        <w:rPr>
          <w:rFonts w:ascii="Times New Roman" w:eastAsia="Times New Roman" w:hAnsi="Times New Roman" w:cs="Times New Roman"/>
          <w:sz w:val="24"/>
          <w:szCs w:val="24"/>
          <w:lang w:val="en-US"/>
        </w:rPr>
        <w:t>Orzes</w:t>
      </w:r>
      <w:proofErr w:type="spellEnd"/>
      <w:r w:rsidRPr="00CA0A59">
        <w:rPr>
          <w:rFonts w:ascii="Times New Roman" w:eastAsia="Times New Roman" w:hAnsi="Times New Roman" w:cs="Times New Roman"/>
          <w:sz w:val="24"/>
          <w:szCs w:val="24"/>
          <w:lang w:val="en-US"/>
        </w:rPr>
        <w:t xml:space="preserve">, G., </w:t>
      </w:r>
      <w:proofErr w:type="spellStart"/>
      <w:r w:rsidRPr="00CA0A59">
        <w:rPr>
          <w:rFonts w:ascii="Times New Roman" w:eastAsia="Times New Roman" w:hAnsi="Times New Roman" w:cs="Times New Roman"/>
          <w:sz w:val="24"/>
          <w:szCs w:val="24"/>
          <w:lang w:val="en-US"/>
        </w:rPr>
        <w:t>Jia</w:t>
      </w:r>
      <w:proofErr w:type="spellEnd"/>
      <w:r w:rsidRPr="00CA0A59">
        <w:rPr>
          <w:rFonts w:ascii="Times New Roman" w:eastAsia="Times New Roman" w:hAnsi="Times New Roman" w:cs="Times New Roman"/>
          <w:sz w:val="24"/>
          <w:szCs w:val="24"/>
          <w:lang w:val="en-US"/>
        </w:rPr>
        <w:t xml:space="preserve">, F., &amp; Chen, L. (2021). Does GRI Sustainability Reporting Pay Off? An Empirical Investigation of Publicly Listed Firms in China. </w:t>
      </w:r>
      <w:r w:rsidRPr="00CA0A59">
        <w:rPr>
          <w:rFonts w:ascii="Times New Roman" w:eastAsia="Times New Roman" w:hAnsi="Times New Roman" w:cs="Times New Roman"/>
          <w:i/>
          <w:iCs/>
          <w:sz w:val="24"/>
          <w:szCs w:val="24"/>
          <w:lang w:val="en-US"/>
        </w:rPr>
        <w:t>Business &amp; Society</w:t>
      </w:r>
      <w:r w:rsidRPr="00CA0A59">
        <w:rPr>
          <w:rFonts w:ascii="Times New Roman" w:eastAsia="Times New Roman" w:hAnsi="Times New Roman" w:cs="Times New Roman"/>
          <w:sz w:val="24"/>
          <w:szCs w:val="24"/>
          <w:lang w:val="en-US"/>
        </w:rPr>
        <w:t xml:space="preserve">, </w:t>
      </w:r>
      <w:r w:rsidRPr="00CA0A59">
        <w:rPr>
          <w:rFonts w:ascii="Times New Roman" w:eastAsia="Times New Roman" w:hAnsi="Times New Roman" w:cs="Times New Roman"/>
          <w:i/>
          <w:iCs/>
          <w:sz w:val="24"/>
          <w:szCs w:val="24"/>
          <w:lang w:val="en-US"/>
        </w:rPr>
        <w:t>60</w:t>
      </w:r>
      <w:r w:rsidR="00C82C5D">
        <w:rPr>
          <w:rFonts w:ascii="Times New Roman" w:eastAsia="Times New Roman" w:hAnsi="Times New Roman" w:cs="Times New Roman"/>
          <w:sz w:val="24"/>
          <w:szCs w:val="24"/>
          <w:lang w:val="en-US"/>
        </w:rPr>
        <w:t>(7), 1738–17.</w:t>
      </w:r>
    </w:p>
    <w:p w:rsidR="00DF1982" w:rsidRDefault="00DF1982" w:rsidP="00C82C5D">
      <w:pPr>
        <w:spacing w:after="0" w:line="240" w:lineRule="auto"/>
        <w:jc w:val="both"/>
      </w:pPr>
    </w:p>
    <w:sectPr w:rsidR="00DF1982" w:rsidSect="00C82C5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C9D" w:rsidRDefault="00760C9D" w:rsidP="00326D76">
      <w:pPr>
        <w:spacing w:after="0" w:line="240" w:lineRule="auto"/>
      </w:pPr>
      <w:r>
        <w:separator/>
      </w:r>
    </w:p>
  </w:endnote>
  <w:endnote w:type="continuationSeparator" w:id="0">
    <w:p w:rsidR="00760C9D" w:rsidRDefault="00760C9D" w:rsidP="0032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C9D" w:rsidRDefault="00760C9D" w:rsidP="00326D76">
      <w:pPr>
        <w:spacing w:after="0" w:line="240" w:lineRule="auto"/>
      </w:pPr>
      <w:r>
        <w:separator/>
      </w:r>
    </w:p>
  </w:footnote>
  <w:footnote w:type="continuationSeparator" w:id="0">
    <w:p w:rsidR="00760C9D" w:rsidRDefault="00760C9D" w:rsidP="00326D76">
      <w:pPr>
        <w:spacing w:after="0" w:line="240" w:lineRule="auto"/>
      </w:pPr>
      <w:r>
        <w:continuationSeparator/>
      </w:r>
    </w:p>
  </w:footnote>
  <w:footnote w:id="1">
    <w:p w:rsidR="00DF1549" w:rsidRPr="00C73D65" w:rsidRDefault="00DF1549" w:rsidP="00C73D65">
      <w:pPr>
        <w:pStyle w:val="Textonotapie"/>
        <w:jc w:val="both"/>
        <w:rPr>
          <w:rFonts w:ascii="Times New Roman" w:hAnsi="Times New Roman" w:cs="Times New Roman"/>
        </w:rPr>
      </w:pPr>
      <w:r w:rsidRPr="00C73D65">
        <w:rPr>
          <w:rStyle w:val="Refdenotaalpie"/>
          <w:rFonts w:ascii="Times New Roman" w:hAnsi="Times New Roman" w:cs="Times New Roman"/>
        </w:rPr>
        <w:footnoteRef/>
      </w:r>
      <w:r w:rsidRPr="00C73D65">
        <w:rPr>
          <w:rFonts w:ascii="Times New Roman" w:hAnsi="Times New Roman" w:cs="Times New Roman"/>
        </w:rPr>
        <w:t xml:space="preserve"> Esta ponencia se enmarca en un proyecto de investigación aprobado por la Universidad Siglo 21 de Argentina.</w:t>
      </w:r>
    </w:p>
  </w:footnote>
  <w:footnote w:id="2">
    <w:p w:rsidR="00DF1549" w:rsidRPr="00710082" w:rsidRDefault="00DF1549" w:rsidP="00710082">
      <w:pPr>
        <w:pStyle w:val="Textonotapie"/>
        <w:jc w:val="both"/>
      </w:pPr>
      <w:r>
        <w:rPr>
          <w:rStyle w:val="Refdenotaalpie"/>
        </w:rPr>
        <w:footnoteRef/>
      </w:r>
      <w:r>
        <w:t xml:space="preserve"> </w:t>
      </w:r>
      <w:r>
        <w:rPr>
          <w:rFonts w:ascii="Times New Roman" w:hAnsi="Times New Roman" w:cs="Times New Roman"/>
          <w:color w:val="0A0A0A"/>
          <w:spacing w:val="-5"/>
          <w:shd w:val="clear" w:color="auto" w:fill="FEFEFE"/>
        </w:rPr>
        <w:t xml:space="preserve">Para la clasificación de las empresas por sectores de actividad se siguió el </w:t>
      </w:r>
      <w:r w:rsidRPr="00985EB6">
        <w:rPr>
          <w:rFonts w:ascii="Times New Roman" w:hAnsi="Times New Roman" w:cs="Times New Roman"/>
          <w:color w:val="0A0A0A"/>
          <w:spacing w:val="-5"/>
          <w:shd w:val="clear" w:color="auto" w:fill="FEFEFE"/>
        </w:rPr>
        <w:t>Estándar Internacional de Clasificación Industrial (GICS</w:t>
      </w:r>
      <w:r w:rsidRPr="00985EB6">
        <w:rPr>
          <w:rFonts w:ascii="Times New Roman" w:hAnsi="Times New Roman" w:cs="Times New Roman"/>
          <w:color w:val="0A0A0A"/>
          <w:spacing w:val="-5"/>
          <w:bdr w:val="none" w:sz="0" w:space="0" w:color="auto" w:frame="1"/>
          <w:shd w:val="clear" w:color="auto" w:fill="FEFEFE"/>
          <w:vertAlign w:val="superscript"/>
        </w:rPr>
        <w:t>®</w:t>
      </w:r>
      <w:r>
        <w:rPr>
          <w:rFonts w:ascii="Times New Roman" w:hAnsi="Times New Roman" w:cs="Times New Roman"/>
          <w:color w:val="0A0A0A"/>
          <w:spacing w:val="-5"/>
          <w:shd w:val="clear" w:color="auto" w:fill="FEFEF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F6435"/>
    <w:multiLevelType w:val="hybridMultilevel"/>
    <w:tmpl w:val="F97241E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02710E0"/>
    <w:multiLevelType w:val="multilevel"/>
    <w:tmpl w:val="2FBA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54267"/>
    <w:multiLevelType w:val="hybridMultilevel"/>
    <w:tmpl w:val="366E6B8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82"/>
    <w:rsid w:val="00005F3E"/>
    <w:rsid w:val="0001442F"/>
    <w:rsid w:val="00067C84"/>
    <w:rsid w:val="00080DDF"/>
    <w:rsid w:val="000D4A3D"/>
    <w:rsid w:val="0010644C"/>
    <w:rsid w:val="0013582F"/>
    <w:rsid w:val="001465E4"/>
    <w:rsid w:val="00184800"/>
    <w:rsid w:val="0019047F"/>
    <w:rsid w:val="001A2D34"/>
    <w:rsid w:val="001B3FBC"/>
    <w:rsid w:val="001B4531"/>
    <w:rsid w:val="001C0C47"/>
    <w:rsid w:val="001E0CDF"/>
    <w:rsid w:val="001E7746"/>
    <w:rsid w:val="001F19B7"/>
    <w:rsid w:val="00265873"/>
    <w:rsid w:val="00285B7F"/>
    <w:rsid w:val="002E6128"/>
    <w:rsid w:val="0030600C"/>
    <w:rsid w:val="00326D76"/>
    <w:rsid w:val="00344C04"/>
    <w:rsid w:val="00367B51"/>
    <w:rsid w:val="0039315D"/>
    <w:rsid w:val="003D5D99"/>
    <w:rsid w:val="00433799"/>
    <w:rsid w:val="00441B4C"/>
    <w:rsid w:val="004F5416"/>
    <w:rsid w:val="00531966"/>
    <w:rsid w:val="005B43CC"/>
    <w:rsid w:val="005D0744"/>
    <w:rsid w:val="005E54BC"/>
    <w:rsid w:val="005F0EAB"/>
    <w:rsid w:val="00636A1B"/>
    <w:rsid w:val="00642A8C"/>
    <w:rsid w:val="00655B58"/>
    <w:rsid w:val="006620B6"/>
    <w:rsid w:val="0067508F"/>
    <w:rsid w:val="00677526"/>
    <w:rsid w:val="006B730D"/>
    <w:rsid w:val="00710082"/>
    <w:rsid w:val="00760C9D"/>
    <w:rsid w:val="00793102"/>
    <w:rsid w:val="007F7F16"/>
    <w:rsid w:val="00802846"/>
    <w:rsid w:val="0083738D"/>
    <w:rsid w:val="008419D0"/>
    <w:rsid w:val="00855D11"/>
    <w:rsid w:val="008611CC"/>
    <w:rsid w:val="008842DB"/>
    <w:rsid w:val="00890FF5"/>
    <w:rsid w:val="008F6E87"/>
    <w:rsid w:val="0090194B"/>
    <w:rsid w:val="0096408E"/>
    <w:rsid w:val="00977B09"/>
    <w:rsid w:val="009A1D69"/>
    <w:rsid w:val="00A17943"/>
    <w:rsid w:val="00A24230"/>
    <w:rsid w:val="00A26DD8"/>
    <w:rsid w:val="00B4540C"/>
    <w:rsid w:val="00B65751"/>
    <w:rsid w:val="00C432F9"/>
    <w:rsid w:val="00C73D65"/>
    <w:rsid w:val="00C82C5D"/>
    <w:rsid w:val="00CA0A59"/>
    <w:rsid w:val="00CB2BCD"/>
    <w:rsid w:val="00CF6940"/>
    <w:rsid w:val="00D64E09"/>
    <w:rsid w:val="00D74F44"/>
    <w:rsid w:val="00D75DA2"/>
    <w:rsid w:val="00D963C5"/>
    <w:rsid w:val="00DA7AA5"/>
    <w:rsid w:val="00DF1549"/>
    <w:rsid w:val="00DF1982"/>
    <w:rsid w:val="00E0279A"/>
    <w:rsid w:val="00E07F8B"/>
    <w:rsid w:val="00E35C28"/>
    <w:rsid w:val="00EC1088"/>
    <w:rsid w:val="00F83122"/>
    <w:rsid w:val="00FA7947"/>
    <w:rsid w:val="00FC4C42"/>
    <w:rsid w:val="00FD05F4"/>
    <w:rsid w:val="00FE2D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7ABC"/>
  <w15:chartTrackingRefBased/>
  <w15:docId w15:val="{4170CF68-A265-4BFE-B4A5-7FECE8B5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982"/>
    <w:rPr>
      <w:rFonts w:ascii="Calibri" w:eastAsia="Calibri" w:hAnsi="Calibri" w:cs="Calibri"/>
      <w:lang w:val="es-ES"/>
    </w:rPr>
  </w:style>
  <w:style w:type="paragraph" w:styleId="Ttulo3">
    <w:name w:val="heading 3"/>
    <w:basedOn w:val="Normal"/>
    <w:link w:val="Ttulo3Car"/>
    <w:uiPriority w:val="9"/>
    <w:qFormat/>
    <w:rsid w:val="00B65751"/>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326D76"/>
    <w:pPr>
      <w:spacing w:after="0" w:line="240" w:lineRule="auto"/>
    </w:pPr>
    <w:rPr>
      <w:rFonts w:asciiTheme="minorHAnsi" w:eastAsiaTheme="minorHAnsi" w:hAnsiTheme="minorHAnsi" w:cstheme="minorBidi"/>
      <w:sz w:val="20"/>
      <w:szCs w:val="20"/>
      <w:lang w:val="es-AR"/>
    </w:rPr>
  </w:style>
  <w:style w:type="character" w:customStyle="1" w:styleId="TextonotapieCar">
    <w:name w:val="Texto nota pie Car"/>
    <w:basedOn w:val="Fuentedeprrafopredeter"/>
    <w:link w:val="Textonotapie"/>
    <w:semiHidden/>
    <w:rsid w:val="00326D76"/>
    <w:rPr>
      <w:sz w:val="20"/>
      <w:szCs w:val="20"/>
    </w:rPr>
  </w:style>
  <w:style w:type="character" w:styleId="Refdenotaalpie">
    <w:name w:val="footnote reference"/>
    <w:basedOn w:val="Fuentedeprrafopredeter"/>
    <w:uiPriority w:val="99"/>
    <w:semiHidden/>
    <w:unhideWhenUsed/>
    <w:rsid w:val="00326D76"/>
    <w:rPr>
      <w:vertAlign w:val="superscript"/>
    </w:rPr>
  </w:style>
  <w:style w:type="character" w:styleId="Hipervnculo">
    <w:name w:val="Hyperlink"/>
    <w:basedOn w:val="Fuentedeprrafopredeter"/>
    <w:uiPriority w:val="99"/>
    <w:unhideWhenUsed/>
    <w:rsid w:val="00326D76"/>
    <w:rPr>
      <w:color w:val="0563C1" w:themeColor="hyperlink"/>
      <w:u w:val="single"/>
    </w:rPr>
  </w:style>
  <w:style w:type="character" w:customStyle="1" w:styleId="cf01">
    <w:name w:val="cf01"/>
    <w:rsid w:val="00326D76"/>
    <w:rPr>
      <w:rFonts w:ascii="Segoe UI" w:hAnsi="Segoe UI" w:cs="Segoe UI" w:hint="default"/>
      <w:sz w:val="18"/>
      <w:szCs w:val="18"/>
    </w:rPr>
  </w:style>
  <w:style w:type="character" w:styleId="Textodelmarcadordeposicin">
    <w:name w:val="Placeholder Text"/>
    <w:basedOn w:val="Fuentedeprrafopredeter"/>
    <w:uiPriority w:val="99"/>
    <w:semiHidden/>
    <w:rsid w:val="00D74F44"/>
    <w:rPr>
      <w:color w:val="666666"/>
    </w:rPr>
  </w:style>
  <w:style w:type="character" w:customStyle="1" w:styleId="UnresolvedMention">
    <w:name w:val="Unresolved Mention"/>
    <w:basedOn w:val="Fuentedeprrafopredeter"/>
    <w:uiPriority w:val="99"/>
    <w:semiHidden/>
    <w:unhideWhenUsed/>
    <w:rsid w:val="00A17943"/>
    <w:rPr>
      <w:color w:val="605E5C"/>
      <w:shd w:val="clear" w:color="auto" w:fill="E1DFDD"/>
    </w:rPr>
  </w:style>
  <w:style w:type="character" w:customStyle="1" w:styleId="Ttulo3Car">
    <w:name w:val="Título 3 Car"/>
    <w:basedOn w:val="Fuentedeprrafopredeter"/>
    <w:link w:val="Ttulo3"/>
    <w:uiPriority w:val="9"/>
    <w:rsid w:val="00B65751"/>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B6575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65751"/>
    <w:rPr>
      <w:b/>
      <w:bCs/>
    </w:rPr>
  </w:style>
  <w:style w:type="character" w:styleId="nfasis">
    <w:name w:val="Emphasis"/>
    <w:basedOn w:val="Fuentedeprrafopredeter"/>
    <w:uiPriority w:val="20"/>
    <w:qFormat/>
    <w:rsid w:val="00DA7AA5"/>
    <w:rPr>
      <w:i/>
      <w:iCs/>
    </w:rPr>
  </w:style>
  <w:style w:type="paragraph" w:styleId="Prrafodelista">
    <w:name w:val="List Paragraph"/>
    <w:basedOn w:val="Normal"/>
    <w:uiPriority w:val="34"/>
    <w:qFormat/>
    <w:rsid w:val="00FE2DD1"/>
    <w:pPr>
      <w:ind w:left="720"/>
      <w:contextualSpacing/>
    </w:pPr>
    <w:rPr>
      <w:rFonts w:asciiTheme="minorHAnsi" w:eastAsiaTheme="minorHAnsi" w:hAnsiTheme="minorHAnsi" w:cstheme="minorBidi"/>
      <w:lang w:val="es-AR"/>
    </w:rPr>
  </w:style>
  <w:style w:type="paragraph" w:styleId="Textoindependiente">
    <w:name w:val="Body Text"/>
    <w:basedOn w:val="Normal"/>
    <w:link w:val="TextoindependienteCar"/>
    <w:uiPriority w:val="1"/>
    <w:qFormat/>
    <w:rsid w:val="0030600C"/>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30600C"/>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0022">
      <w:bodyDiv w:val="1"/>
      <w:marLeft w:val="0"/>
      <w:marRight w:val="0"/>
      <w:marTop w:val="0"/>
      <w:marBottom w:val="0"/>
      <w:divBdr>
        <w:top w:val="none" w:sz="0" w:space="0" w:color="auto"/>
        <w:left w:val="none" w:sz="0" w:space="0" w:color="auto"/>
        <w:bottom w:val="none" w:sz="0" w:space="0" w:color="auto"/>
        <w:right w:val="none" w:sz="0" w:space="0" w:color="auto"/>
      </w:divBdr>
    </w:div>
    <w:div w:id="2123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icco@fce.unrc.edu.ar" TargetMode="External"/><Relationship Id="rId13" Type="http://schemas.openxmlformats.org/officeDocument/2006/relationships/hyperlink" Target="https://sustainabledevelopment.un.org/content/documents/5987our-common-futur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obalreporting.org/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acardett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ianacatalanocecchel@gmail.com" TargetMode="External"/><Relationship Id="rId4" Type="http://schemas.openxmlformats.org/officeDocument/2006/relationships/settings" Target="settings.xml"/><Relationship Id="rId9" Type="http://schemas.openxmlformats.org/officeDocument/2006/relationships/hyperlink" Target="mailto:mbelendanna@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C1CCC-B6A2-401C-929C-E8BF0415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14</Pages>
  <Words>4687</Words>
  <Characters>25779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Ficco</dc:creator>
  <cp:keywords/>
  <dc:description/>
  <cp:lastModifiedBy>Cecilia Ficco</cp:lastModifiedBy>
  <cp:revision>20</cp:revision>
  <dcterms:created xsi:type="dcterms:W3CDTF">2025-08-03T13:05:00Z</dcterms:created>
  <dcterms:modified xsi:type="dcterms:W3CDTF">2025-08-03T23:54:00Z</dcterms:modified>
</cp:coreProperties>
</file>