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3F07EE" w14:textId="77777777" w:rsidR="00280AD9" w:rsidRPr="00280AD9" w:rsidRDefault="00280AD9" w:rsidP="00280AD9"/>
    <w:p w14:paraId="352017D8" w14:textId="77777777" w:rsidR="00021D70" w:rsidRPr="00865381" w:rsidRDefault="002509DA" w:rsidP="006C16A8">
      <w:pPr>
        <w:spacing w:before="120" w:after="120" w:line="360" w:lineRule="auto"/>
        <w:jc w:val="center"/>
        <w:rPr>
          <w:rFonts w:ascii="Times New Roman" w:eastAsia="Times New Roman" w:hAnsi="Times New Roman" w:cs="Times New Roman"/>
          <w:b/>
          <w:bCs/>
          <w:color w:val="000000"/>
          <w:sz w:val="24"/>
          <w:szCs w:val="24"/>
          <w:lang w:eastAsia="es-AR"/>
        </w:rPr>
      </w:pPr>
      <w:r w:rsidRPr="00865381">
        <w:rPr>
          <w:rFonts w:ascii="Times New Roman" w:eastAsia="Times New Roman" w:hAnsi="Times New Roman" w:cs="Times New Roman"/>
          <w:b/>
          <w:bCs/>
          <w:color w:val="000000"/>
          <w:sz w:val="24"/>
          <w:szCs w:val="24"/>
          <w:lang w:eastAsia="es-AR"/>
        </w:rPr>
        <w:t>CAPITAL RELACIONAL Y SOSTENIBILIDAD: FACTORES QUE FAVORECEN SU DIVULGACIÓN EN UNIVERSIDADES NACIONALES</w:t>
      </w:r>
    </w:p>
    <w:p w14:paraId="2B3F7FE7" w14:textId="77777777" w:rsidR="00A95F75" w:rsidRPr="005F5161" w:rsidRDefault="00A95F75" w:rsidP="00BD4C00">
      <w:pPr>
        <w:jc w:val="center"/>
        <w:rPr>
          <w:b/>
          <w:bCs/>
        </w:rPr>
      </w:pPr>
    </w:p>
    <w:p w14:paraId="3E1A90DE" w14:textId="77777777" w:rsidR="00BD4C00" w:rsidRPr="00865381" w:rsidRDefault="00BD4C00" w:rsidP="00BD4C00">
      <w:pPr>
        <w:spacing w:before="120" w:after="0" w:afterAutospacing="1" w:line="360" w:lineRule="auto"/>
        <w:jc w:val="center"/>
        <w:rPr>
          <w:rFonts w:ascii="Times New Roman" w:eastAsia="Times New Roman" w:hAnsi="Times New Roman" w:cs="Times New Roman"/>
          <w:b/>
          <w:bCs/>
          <w:color w:val="FF0000"/>
          <w:sz w:val="24"/>
          <w:szCs w:val="24"/>
          <w:lang w:eastAsia="es-AR"/>
        </w:rPr>
      </w:pPr>
      <w:r w:rsidRPr="00865381">
        <w:rPr>
          <w:rFonts w:ascii="Times New Roman" w:eastAsia="Times New Roman" w:hAnsi="Times New Roman" w:cs="Times New Roman"/>
          <w:color w:val="000000"/>
          <w:sz w:val="24"/>
          <w:szCs w:val="24"/>
          <w:lang w:eastAsia="es-AR"/>
        </w:rPr>
        <w:t>Autores:</w:t>
      </w:r>
    </w:p>
    <w:p w14:paraId="1C346739" w14:textId="77777777" w:rsidR="00BD4C00" w:rsidRPr="00865381" w:rsidRDefault="00BD4C00" w:rsidP="00BD4C00">
      <w:pPr>
        <w:spacing w:before="100" w:after="0" w:line="360" w:lineRule="auto"/>
        <w:jc w:val="center"/>
        <w:rPr>
          <w:rFonts w:ascii="Times New Roman" w:eastAsia="Times New Roman" w:hAnsi="Times New Roman" w:cs="Times New Roman"/>
          <w:b/>
          <w:sz w:val="24"/>
          <w:szCs w:val="24"/>
          <w:lang w:eastAsia="es-AR"/>
        </w:rPr>
      </w:pPr>
      <w:r w:rsidRPr="00865381">
        <w:rPr>
          <w:rFonts w:ascii="Times New Roman" w:eastAsia="Times New Roman" w:hAnsi="Times New Roman" w:cs="Times New Roman"/>
          <w:b/>
          <w:sz w:val="24"/>
          <w:szCs w:val="24"/>
          <w:lang w:eastAsia="es-AR"/>
        </w:rPr>
        <w:t>García, Gabriela Analía</w:t>
      </w:r>
    </w:p>
    <w:p w14:paraId="2168AFA1" w14:textId="77777777" w:rsidR="00BD4C00" w:rsidRPr="00865381" w:rsidRDefault="00BD4C00" w:rsidP="00BD4C00">
      <w:pPr>
        <w:spacing w:before="100" w:after="0" w:line="360" w:lineRule="auto"/>
        <w:jc w:val="center"/>
        <w:rPr>
          <w:rFonts w:ascii="Times New Roman" w:eastAsia="Times New Roman" w:hAnsi="Times New Roman" w:cs="Times New Roman"/>
          <w:lang w:eastAsia="es-AR"/>
        </w:rPr>
      </w:pPr>
      <w:r w:rsidRPr="00865381">
        <w:rPr>
          <w:rFonts w:ascii="Times New Roman" w:eastAsia="Times New Roman" w:hAnsi="Times New Roman" w:cs="Times New Roman"/>
          <w:lang w:eastAsia="es-AR"/>
        </w:rPr>
        <w:t>IACS – Universidad Nacional de Villa María</w:t>
      </w:r>
    </w:p>
    <w:p w14:paraId="482676A0" w14:textId="77777777" w:rsidR="00BD4C00" w:rsidRPr="00865381" w:rsidRDefault="00BD4C00" w:rsidP="00BD4C00">
      <w:pPr>
        <w:spacing w:before="100" w:after="0" w:line="360" w:lineRule="auto"/>
        <w:jc w:val="center"/>
        <w:rPr>
          <w:rFonts w:ascii="Times New Roman" w:eastAsia="Times New Roman" w:hAnsi="Times New Roman" w:cs="Times New Roman"/>
          <w:lang w:eastAsia="es-AR"/>
        </w:rPr>
      </w:pPr>
      <w:r w:rsidRPr="00865381">
        <w:rPr>
          <w:rFonts w:ascii="Times New Roman" w:eastAsia="Times New Roman" w:hAnsi="Times New Roman" w:cs="Times New Roman"/>
          <w:lang w:eastAsia="es-AR"/>
        </w:rPr>
        <w:t>FCE- Universidad Nacional de Río Cuarto</w:t>
      </w:r>
    </w:p>
    <w:p w14:paraId="06A1A861" w14:textId="77777777" w:rsidR="00BD4C00" w:rsidRPr="005F5161" w:rsidRDefault="00091681" w:rsidP="00BD4C00">
      <w:pPr>
        <w:spacing w:before="100" w:after="0" w:line="360" w:lineRule="auto"/>
        <w:jc w:val="center"/>
        <w:rPr>
          <w:rFonts w:ascii="Times New Roman" w:eastAsia="Times New Roman" w:hAnsi="Times New Roman" w:cs="Times New Roman"/>
          <w:color w:val="0563C1"/>
          <w:sz w:val="20"/>
          <w:szCs w:val="20"/>
          <w:u w:val="single"/>
          <w:lang w:eastAsia="es-AR"/>
        </w:rPr>
      </w:pPr>
      <w:hyperlink r:id="rId8" w:history="1">
        <w:r w:rsidR="00BD4C00" w:rsidRPr="00865381">
          <w:rPr>
            <w:rFonts w:ascii="Times New Roman" w:eastAsia="Times New Roman" w:hAnsi="Times New Roman" w:cs="Times New Roman"/>
            <w:color w:val="0563C1"/>
            <w:u w:val="single"/>
            <w:lang w:eastAsia="es-AR"/>
          </w:rPr>
          <w:t>ggarcia@fce.unrc.edu.ar</w:t>
        </w:r>
      </w:hyperlink>
    </w:p>
    <w:p w14:paraId="02C532F6" w14:textId="77777777" w:rsidR="00BD4C00" w:rsidRPr="00865381" w:rsidRDefault="00BD4C00" w:rsidP="00BD4C00">
      <w:pPr>
        <w:spacing w:before="100" w:after="0" w:line="360" w:lineRule="auto"/>
        <w:jc w:val="center"/>
        <w:rPr>
          <w:rFonts w:ascii="Times New Roman" w:eastAsia="Times New Roman" w:hAnsi="Times New Roman" w:cs="Times New Roman"/>
          <w:b/>
          <w:sz w:val="24"/>
          <w:szCs w:val="24"/>
          <w:lang w:eastAsia="es-AR"/>
        </w:rPr>
      </w:pPr>
      <w:r w:rsidRPr="00865381">
        <w:rPr>
          <w:rFonts w:ascii="Times New Roman" w:eastAsia="Times New Roman" w:hAnsi="Times New Roman" w:cs="Times New Roman"/>
          <w:b/>
          <w:sz w:val="24"/>
          <w:szCs w:val="24"/>
          <w:lang w:eastAsia="es-AR"/>
        </w:rPr>
        <w:t>Bersía, Paola</w:t>
      </w:r>
    </w:p>
    <w:p w14:paraId="6240B0CD" w14:textId="77777777" w:rsidR="00BD4C00" w:rsidRPr="00865381" w:rsidRDefault="00BD4C00" w:rsidP="00BD4C00">
      <w:pPr>
        <w:spacing w:before="100" w:after="0" w:line="360" w:lineRule="auto"/>
        <w:jc w:val="center"/>
        <w:rPr>
          <w:rFonts w:ascii="Times New Roman" w:eastAsia="Times New Roman" w:hAnsi="Times New Roman" w:cs="Times New Roman"/>
          <w:lang w:eastAsia="es-AR"/>
        </w:rPr>
      </w:pPr>
      <w:r w:rsidRPr="00865381">
        <w:rPr>
          <w:rFonts w:ascii="Times New Roman" w:eastAsia="Times New Roman" w:hAnsi="Times New Roman" w:cs="Times New Roman"/>
          <w:lang w:eastAsia="es-AR"/>
        </w:rPr>
        <w:t>FCE- Universidad Nacional de Río Cuarto</w:t>
      </w:r>
    </w:p>
    <w:bookmarkStart w:id="0" w:name="_GoBack"/>
    <w:p w14:paraId="66CB9378" w14:textId="77777777" w:rsidR="00BD4C00" w:rsidRPr="005F5161" w:rsidRDefault="00091681" w:rsidP="00BD4C00">
      <w:pPr>
        <w:spacing w:before="100" w:after="0" w:line="360" w:lineRule="auto"/>
        <w:jc w:val="center"/>
        <w:rPr>
          <w:rStyle w:val="Hipervnculo"/>
          <w:rFonts w:ascii="Times New Roman" w:eastAsia="Times New Roman" w:hAnsi="Times New Roman" w:cs="Times New Roman"/>
          <w:sz w:val="20"/>
          <w:szCs w:val="20"/>
          <w:lang w:eastAsia="es-AR"/>
        </w:rPr>
      </w:pPr>
      <w:r>
        <w:fldChar w:fldCharType="begin"/>
      </w:r>
      <w:r>
        <w:instrText xml:space="preserve"> HYPERLINK "mailto:pbersia@fce.unrc.edu.ar" </w:instrText>
      </w:r>
      <w:r>
        <w:fldChar w:fldCharType="separate"/>
      </w:r>
      <w:r w:rsidR="00BD4C00" w:rsidRPr="00865381">
        <w:rPr>
          <w:rStyle w:val="Hipervnculo"/>
          <w:rFonts w:ascii="Times New Roman" w:eastAsia="Times New Roman" w:hAnsi="Times New Roman" w:cs="Times New Roman"/>
          <w:lang w:eastAsia="es-AR"/>
        </w:rPr>
        <w:t>pbersia@fce.unrc.edu.ar</w:t>
      </w:r>
      <w:r>
        <w:rPr>
          <w:rStyle w:val="Hipervnculo"/>
          <w:rFonts w:ascii="Times New Roman" w:eastAsia="Times New Roman" w:hAnsi="Times New Roman" w:cs="Times New Roman"/>
          <w:lang w:eastAsia="es-AR"/>
        </w:rPr>
        <w:fldChar w:fldCharType="end"/>
      </w:r>
    </w:p>
    <w:bookmarkEnd w:id="0"/>
    <w:p w14:paraId="2AE56220" w14:textId="77777777" w:rsidR="00BD4C00" w:rsidRPr="00865381" w:rsidRDefault="00BD4C00" w:rsidP="00BD4C00">
      <w:pPr>
        <w:spacing w:before="100" w:after="0" w:line="360" w:lineRule="auto"/>
        <w:jc w:val="center"/>
        <w:rPr>
          <w:rFonts w:ascii="Times New Roman" w:eastAsia="Times New Roman" w:hAnsi="Times New Roman" w:cs="Times New Roman"/>
          <w:b/>
          <w:sz w:val="24"/>
          <w:szCs w:val="24"/>
          <w:lang w:eastAsia="es-AR"/>
        </w:rPr>
      </w:pPr>
      <w:r w:rsidRPr="00865381">
        <w:rPr>
          <w:rFonts w:ascii="Times New Roman" w:eastAsia="Times New Roman" w:hAnsi="Times New Roman" w:cs="Times New Roman"/>
          <w:b/>
          <w:sz w:val="24"/>
          <w:szCs w:val="24"/>
          <w:lang w:eastAsia="es-AR"/>
        </w:rPr>
        <w:t>Celi, Ivana</w:t>
      </w:r>
    </w:p>
    <w:p w14:paraId="3CF21EF2" w14:textId="77777777" w:rsidR="00BD4C00" w:rsidRPr="00865381" w:rsidRDefault="00BD4C00" w:rsidP="00BD4C00">
      <w:pPr>
        <w:spacing w:before="100" w:after="0" w:line="360" w:lineRule="auto"/>
        <w:jc w:val="center"/>
        <w:rPr>
          <w:rFonts w:ascii="Times New Roman" w:eastAsia="Times New Roman" w:hAnsi="Times New Roman" w:cs="Times New Roman"/>
          <w:lang w:eastAsia="es-AR"/>
        </w:rPr>
      </w:pPr>
      <w:r w:rsidRPr="00865381">
        <w:rPr>
          <w:rFonts w:ascii="Times New Roman" w:eastAsia="Times New Roman" w:hAnsi="Times New Roman" w:cs="Times New Roman"/>
          <w:lang w:eastAsia="es-AR"/>
        </w:rPr>
        <w:t>FCE- Universidad Nacional de Río Cuarto</w:t>
      </w:r>
    </w:p>
    <w:p w14:paraId="2F9A0208" w14:textId="77777777" w:rsidR="00BD4C00" w:rsidRPr="00865381" w:rsidRDefault="00BD4C00" w:rsidP="00BD4C00">
      <w:pPr>
        <w:spacing w:before="100" w:after="0" w:line="360" w:lineRule="auto"/>
        <w:jc w:val="center"/>
        <w:rPr>
          <w:rFonts w:ascii="Times New Roman" w:eastAsia="Times New Roman" w:hAnsi="Times New Roman" w:cs="Times New Roman"/>
          <w:color w:val="0563C1"/>
          <w:u w:val="single"/>
          <w:lang w:eastAsia="es-AR"/>
        </w:rPr>
      </w:pPr>
      <w:r w:rsidRPr="00865381">
        <w:t>‎</w:t>
      </w:r>
      <w:r w:rsidRPr="00865381">
        <w:rPr>
          <w:rFonts w:ascii="Times New Roman" w:eastAsia="Times New Roman" w:hAnsi="Times New Roman" w:cs="Times New Roman"/>
          <w:color w:val="0563C1"/>
          <w:u w:val="single"/>
          <w:lang w:eastAsia="es-AR"/>
        </w:rPr>
        <w:t>ivafer2001@hotmail.com</w:t>
      </w:r>
    </w:p>
    <w:p w14:paraId="424CB7C3" w14:textId="77777777" w:rsidR="00846FED" w:rsidRPr="00511DF7" w:rsidRDefault="00846FED" w:rsidP="00846FED">
      <w:pPr>
        <w:spacing w:before="100" w:after="0" w:line="360" w:lineRule="auto"/>
        <w:jc w:val="center"/>
        <w:rPr>
          <w:rFonts w:ascii="Times New Roman" w:hAnsi="Times New Roman" w:cs="Times New Roman"/>
          <w:b/>
          <w:sz w:val="24"/>
          <w:szCs w:val="24"/>
        </w:rPr>
      </w:pPr>
      <w:r w:rsidRPr="00511DF7">
        <w:rPr>
          <w:rFonts w:ascii="Times New Roman" w:hAnsi="Times New Roman" w:cs="Times New Roman"/>
          <w:b/>
          <w:sz w:val="24"/>
          <w:szCs w:val="24"/>
        </w:rPr>
        <w:t>Martellotto, Romina</w:t>
      </w:r>
    </w:p>
    <w:p w14:paraId="143278ED" w14:textId="77777777" w:rsidR="00846FED" w:rsidRPr="00865381" w:rsidRDefault="00846FED" w:rsidP="00846FED">
      <w:pPr>
        <w:spacing w:before="100" w:after="0" w:line="360" w:lineRule="auto"/>
        <w:jc w:val="center"/>
        <w:rPr>
          <w:rStyle w:val="Hipervnculo"/>
          <w:rFonts w:ascii="Times New Roman" w:eastAsia="Times New Roman" w:hAnsi="Times New Roman" w:cs="Times New Roman"/>
          <w:color w:val="auto"/>
          <w:u w:val="none"/>
          <w:lang w:eastAsia="es-AR"/>
        </w:rPr>
      </w:pPr>
      <w:r w:rsidRPr="00865381">
        <w:rPr>
          <w:rFonts w:ascii="Times New Roman" w:eastAsia="Times New Roman" w:hAnsi="Times New Roman" w:cs="Times New Roman"/>
          <w:lang w:eastAsia="es-AR"/>
        </w:rPr>
        <w:t>FCE- Universidad Nacional de Río Cuarto</w:t>
      </w:r>
    </w:p>
    <w:p w14:paraId="6F55E1B4" w14:textId="77777777" w:rsidR="00846FED" w:rsidRPr="00865381" w:rsidRDefault="00846FED" w:rsidP="00846FED">
      <w:pPr>
        <w:spacing w:before="100" w:after="0" w:line="360" w:lineRule="auto"/>
        <w:jc w:val="center"/>
        <w:rPr>
          <w:rFonts w:ascii="Times New Roman" w:eastAsia="Times New Roman" w:hAnsi="Times New Roman" w:cs="Times New Roman"/>
          <w:color w:val="0563C1"/>
          <w:u w:val="single"/>
          <w:lang w:eastAsia="es-AR"/>
        </w:rPr>
      </w:pPr>
      <w:r w:rsidRPr="00865381">
        <w:rPr>
          <w:rStyle w:val="Hipervnculo"/>
          <w:rFonts w:ascii="Times New Roman" w:eastAsia="Times New Roman" w:hAnsi="Times New Roman" w:cs="Times New Roman"/>
          <w:lang w:eastAsia="es-AR"/>
        </w:rPr>
        <w:t>rmartellotto@fce.unrc.edu.ar</w:t>
      </w:r>
    </w:p>
    <w:p w14:paraId="4CC0ACC7" w14:textId="77777777" w:rsidR="005E646C" w:rsidRPr="005F5161" w:rsidRDefault="005E646C" w:rsidP="00A95F75">
      <w:pPr>
        <w:spacing w:before="120" w:after="0" w:line="240" w:lineRule="auto"/>
        <w:jc w:val="both"/>
        <w:rPr>
          <w:rFonts w:ascii="Times New Roman" w:eastAsia="Times New Roman" w:hAnsi="Times New Roman" w:cs="Times New Roman"/>
          <w:b/>
          <w:bCs/>
          <w:color w:val="000000"/>
          <w:lang w:eastAsia="es-AR"/>
        </w:rPr>
      </w:pPr>
    </w:p>
    <w:p w14:paraId="16B127D6" w14:textId="77777777" w:rsidR="002509DA" w:rsidRPr="00865381" w:rsidRDefault="005E646C" w:rsidP="00A95F75">
      <w:pPr>
        <w:spacing w:before="120" w:after="0" w:line="240" w:lineRule="auto"/>
        <w:jc w:val="both"/>
        <w:rPr>
          <w:rFonts w:ascii="Times New Roman" w:eastAsia="Times New Roman" w:hAnsi="Times New Roman" w:cs="Times New Roman"/>
          <w:b/>
          <w:bCs/>
          <w:color w:val="000000"/>
          <w:sz w:val="24"/>
          <w:szCs w:val="24"/>
          <w:lang w:eastAsia="es-AR"/>
        </w:rPr>
      </w:pPr>
      <w:r w:rsidRPr="00865381">
        <w:rPr>
          <w:rFonts w:ascii="Times New Roman" w:eastAsia="Times New Roman" w:hAnsi="Times New Roman" w:cs="Times New Roman"/>
          <w:b/>
          <w:bCs/>
          <w:color w:val="000000"/>
          <w:sz w:val="24"/>
          <w:szCs w:val="24"/>
          <w:lang w:eastAsia="es-AR"/>
        </w:rPr>
        <w:t xml:space="preserve">Eje temático: </w:t>
      </w:r>
      <w:r w:rsidRPr="00865381">
        <w:rPr>
          <w:rFonts w:ascii="Times New Roman" w:eastAsia="Times New Roman" w:hAnsi="Times New Roman" w:cs="Times New Roman"/>
          <w:bCs/>
          <w:color w:val="000000"/>
          <w:sz w:val="24"/>
          <w:szCs w:val="24"/>
          <w:lang w:eastAsia="es-AR"/>
        </w:rPr>
        <w:t>Capital intelectual, capital humano y sostenibilidad</w:t>
      </w:r>
    </w:p>
    <w:p w14:paraId="2551F28B" w14:textId="77777777" w:rsidR="00414688" w:rsidRPr="00865381" w:rsidRDefault="00414688" w:rsidP="00A95F75">
      <w:pPr>
        <w:spacing w:before="120" w:after="0" w:line="240" w:lineRule="auto"/>
        <w:jc w:val="both"/>
        <w:rPr>
          <w:rFonts w:ascii="Times New Roman" w:eastAsia="Times New Roman" w:hAnsi="Times New Roman" w:cs="Times New Roman"/>
          <w:b/>
          <w:bCs/>
          <w:color w:val="000000"/>
          <w:sz w:val="24"/>
          <w:szCs w:val="24"/>
          <w:lang w:eastAsia="es-AR"/>
        </w:rPr>
      </w:pPr>
    </w:p>
    <w:p w14:paraId="53D28201" w14:textId="77777777" w:rsidR="00A95F75" w:rsidRPr="00865381" w:rsidRDefault="00A95F75" w:rsidP="00A95F75">
      <w:pPr>
        <w:spacing w:before="120" w:after="0" w:line="240" w:lineRule="auto"/>
        <w:jc w:val="both"/>
        <w:rPr>
          <w:rFonts w:ascii="Times New Roman" w:eastAsia="Times New Roman" w:hAnsi="Times New Roman" w:cs="Times New Roman"/>
          <w:b/>
          <w:bCs/>
          <w:color w:val="000000"/>
          <w:sz w:val="24"/>
          <w:szCs w:val="24"/>
          <w:lang w:eastAsia="es-AR"/>
        </w:rPr>
      </w:pPr>
      <w:r w:rsidRPr="00865381">
        <w:rPr>
          <w:rFonts w:ascii="Times New Roman" w:eastAsia="Times New Roman" w:hAnsi="Times New Roman" w:cs="Times New Roman"/>
          <w:b/>
          <w:bCs/>
          <w:color w:val="000000"/>
          <w:sz w:val="24"/>
          <w:szCs w:val="24"/>
          <w:lang w:eastAsia="es-AR"/>
        </w:rPr>
        <w:t xml:space="preserve">Palabras clave: </w:t>
      </w:r>
      <w:r w:rsidRPr="00865381">
        <w:rPr>
          <w:rFonts w:ascii="Times New Roman" w:hAnsi="Times New Roman" w:cs="Times New Roman"/>
          <w:sz w:val="24"/>
          <w:szCs w:val="24"/>
        </w:rPr>
        <w:t>Capital relacional; divulgación, determinantes, Universidades Región bonaerense</w:t>
      </w:r>
    </w:p>
    <w:p w14:paraId="4DD25374" w14:textId="77777777" w:rsidR="00E87BB2" w:rsidRPr="00865381" w:rsidRDefault="00E87BB2" w:rsidP="00280AD9">
      <w:pPr>
        <w:rPr>
          <w:b/>
          <w:bCs/>
          <w:sz w:val="24"/>
          <w:szCs w:val="24"/>
        </w:rPr>
      </w:pPr>
    </w:p>
    <w:p w14:paraId="18D862FB" w14:textId="77777777" w:rsidR="008F61F7" w:rsidRPr="00865381" w:rsidRDefault="00970F70" w:rsidP="00A95F75">
      <w:pPr>
        <w:spacing w:line="360" w:lineRule="auto"/>
        <w:jc w:val="both"/>
        <w:rPr>
          <w:rFonts w:ascii="Times New Roman" w:hAnsi="Times New Roman" w:cs="Times New Roman"/>
          <w:b/>
          <w:sz w:val="24"/>
          <w:szCs w:val="24"/>
        </w:rPr>
      </w:pPr>
      <w:r w:rsidRPr="00865381">
        <w:rPr>
          <w:rFonts w:ascii="Times New Roman" w:hAnsi="Times New Roman" w:cs="Times New Roman"/>
          <w:b/>
          <w:sz w:val="24"/>
          <w:szCs w:val="24"/>
        </w:rPr>
        <w:t>Introducción</w:t>
      </w:r>
    </w:p>
    <w:p w14:paraId="405A08DB" w14:textId="5B37438B" w:rsidR="00740B45" w:rsidRPr="00865381" w:rsidRDefault="00740B45" w:rsidP="00740B45">
      <w:pPr>
        <w:spacing w:line="360" w:lineRule="auto"/>
        <w:jc w:val="both"/>
        <w:rPr>
          <w:rFonts w:ascii="Times New Roman" w:hAnsi="Times New Roman" w:cs="Times New Roman"/>
          <w:sz w:val="24"/>
          <w:szCs w:val="24"/>
        </w:rPr>
      </w:pPr>
      <w:r w:rsidRPr="004C2B05">
        <w:rPr>
          <w:rFonts w:ascii="Times New Roman" w:hAnsi="Times New Roman" w:cs="Times New Roman"/>
          <w:sz w:val="24"/>
          <w:szCs w:val="24"/>
        </w:rPr>
        <w:t>El presente trabajo</w:t>
      </w:r>
      <w:r w:rsidR="00511DF7" w:rsidRPr="004C2B05">
        <w:rPr>
          <w:rFonts w:ascii="Times New Roman" w:hAnsi="Times New Roman" w:cs="Times New Roman"/>
          <w:sz w:val="24"/>
          <w:szCs w:val="24"/>
        </w:rPr>
        <w:t>,</w:t>
      </w:r>
      <w:r w:rsidRPr="004C2B05">
        <w:rPr>
          <w:rFonts w:ascii="Times New Roman" w:hAnsi="Times New Roman" w:cs="Times New Roman"/>
          <w:sz w:val="24"/>
          <w:szCs w:val="24"/>
        </w:rPr>
        <w:t xml:space="preserve"> </w:t>
      </w:r>
      <w:r w:rsidR="00511DF7" w:rsidRPr="004C2B05">
        <w:rPr>
          <w:rFonts w:ascii="Times New Roman" w:hAnsi="Times New Roman" w:cs="Times New Roman"/>
          <w:sz w:val="24"/>
          <w:szCs w:val="24"/>
        </w:rPr>
        <w:t xml:space="preserve">pretende </w:t>
      </w:r>
      <w:r w:rsidRPr="00865381">
        <w:rPr>
          <w:rFonts w:ascii="Times New Roman" w:hAnsi="Times New Roman" w:cs="Times New Roman"/>
          <w:sz w:val="24"/>
          <w:szCs w:val="24"/>
        </w:rPr>
        <w:t xml:space="preserve">compartir los avances realizados en un proyecto de </w:t>
      </w:r>
      <w:r w:rsidRPr="004C2B05">
        <w:rPr>
          <w:rFonts w:ascii="Times New Roman" w:hAnsi="Times New Roman" w:cs="Times New Roman"/>
          <w:sz w:val="24"/>
          <w:szCs w:val="24"/>
        </w:rPr>
        <w:t>investigación en curso</w:t>
      </w:r>
      <w:r w:rsidR="00511DF7" w:rsidRPr="004C2B05">
        <w:rPr>
          <w:rFonts w:ascii="Times New Roman" w:hAnsi="Times New Roman" w:cs="Times New Roman"/>
          <w:sz w:val="24"/>
          <w:szCs w:val="24"/>
        </w:rPr>
        <w:t>,</w:t>
      </w:r>
      <w:r w:rsidRPr="004C2B05">
        <w:rPr>
          <w:rFonts w:ascii="Times New Roman" w:hAnsi="Times New Roman" w:cs="Times New Roman"/>
          <w:sz w:val="24"/>
          <w:szCs w:val="24"/>
        </w:rPr>
        <w:t xml:space="preserve"> cuyo </w:t>
      </w:r>
      <w:r w:rsidRPr="00865381">
        <w:rPr>
          <w:rFonts w:ascii="Times New Roman" w:hAnsi="Times New Roman" w:cs="Times New Roman"/>
          <w:sz w:val="24"/>
          <w:szCs w:val="24"/>
        </w:rPr>
        <w:t>eje problemático se centra en el ámbito de la divulgación de información sobre el Capital Intelectual (CI) de las Universidades</w:t>
      </w:r>
      <w:r w:rsidR="00127527" w:rsidRPr="00865381">
        <w:rPr>
          <w:rFonts w:ascii="Times New Roman" w:hAnsi="Times New Roman" w:cs="Times New Roman"/>
          <w:sz w:val="24"/>
          <w:szCs w:val="24"/>
        </w:rPr>
        <w:t xml:space="preserve"> Argentinas</w:t>
      </w:r>
      <w:r w:rsidRPr="00865381">
        <w:rPr>
          <w:rFonts w:ascii="Times New Roman" w:hAnsi="Times New Roman" w:cs="Times New Roman"/>
          <w:sz w:val="24"/>
          <w:szCs w:val="24"/>
        </w:rPr>
        <w:t xml:space="preserve">. En el marco de esta investigación nos proponemos estudiar algunos aspectos referidos a las prácticas de divulgación de información sobre CI (DCI) que adoptan las universidades </w:t>
      </w:r>
      <w:r w:rsidR="00127527" w:rsidRPr="00865381">
        <w:rPr>
          <w:rFonts w:ascii="Times New Roman" w:hAnsi="Times New Roman" w:cs="Times New Roman"/>
          <w:sz w:val="24"/>
          <w:szCs w:val="24"/>
        </w:rPr>
        <w:lastRenderedPageBreak/>
        <w:t>nacionales</w:t>
      </w:r>
      <w:r w:rsidRPr="00865381">
        <w:rPr>
          <w:rFonts w:ascii="Times New Roman" w:hAnsi="Times New Roman" w:cs="Times New Roman"/>
          <w:sz w:val="24"/>
          <w:szCs w:val="24"/>
        </w:rPr>
        <w:t>, y particularmente indagar respecto de aquellos rasgos o característica</w:t>
      </w:r>
      <w:r w:rsidR="00511DF7" w:rsidRPr="00511DF7">
        <w:rPr>
          <w:rFonts w:ascii="Times New Roman" w:hAnsi="Times New Roman" w:cs="Times New Roman"/>
          <w:color w:val="FF0000"/>
          <w:sz w:val="24"/>
          <w:szCs w:val="24"/>
        </w:rPr>
        <w:t>s</w:t>
      </w:r>
      <w:r w:rsidRPr="00865381">
        <w:rPr>
          <w:rFonts w:ascii="Times New Roman" w:hAnsi="Times New Roman" w:cs="Times New Roman"/>
          <w:sz w:val="24"/>
          <w:szCs w:val="24"/>
        </w:rPr>
        <w:t xml:space="preserve"> institucionales que pueden asociarse a prácticas más activas de divulgación. </w:t>
      </w:r>
    </w:p>
    <w:p w14:paraId="591292F2" w14:textId="77777777" w:rsidR="00ED57CA" w:rsidRPr="00865381" w:rsidRDefault="00462EB7" w:rsidP="00740B45">
      <w:pPr>
        <w:spacing w:line="360" w:lineRule="auto"/>
        <w:jc w:val="both"/>
        <w:rPr>
          <w:rFonts w:ascii="Times New Roman" w:hAnsi="Times New Roman" w:cs="Times New Roman"/>
          <w:sz w:val="24"/>
          <w:szCs w:val="24"/>
        </w:rPr>
      </w:pPr>
      <w:r w:rsidRPr="00865381">
        <w:rPr>
          <w:rFonts w:ascii="Times New Roman" w:hAnsi="Times New Roman" w:cs="Times New Roman"/>
          <w:sz w:val="24"/>
          <w:szCs w:val="24"/>
        </w:rPr>
        <w:t xml:space="preserve">El CI universitario refiere al conjunto de recursos y actividades </w:t>
      </w:r>
      <w:r w:rsidR="00BE6BB6" w:rsidRPr="00865381">
        <w:rPr>
          <w:rFonts w:ascii="Times New Roman" w:hAnsi="Times New Roman" w:cs="Times New Roman"/>
          <w:sz w:val="24"/>
          <w:szCs w:val="24"/>
        </w:rPr>
        <w:t>no tangibles</w:t>
      </w:r>
      <w:r w:rsidRPr="00865381">
        <w:rPr>
          <w:rFonts w:ascii="Times New Roman" w:hAnsi="Times New Roman" w:cs="Times New Roman"/>
          <w:sz w:val="24"/>
          <w:szCs w:val="24"/>
        </w:rPr>
        <w:t xml:space="preserve"> de la institución, que incluye: sus procesos, su capacidad de innovación, sus patentes, el conocimiento tácito de sus miembros, sus capacidades, talentos y destrezas, el reconocimiento de la sociedad, su red de colaboradores y contactos, entre otros (Ramírez y Santos, 2013). Elementos que han sido agrupados en tres dimensiones clásicas, el capital humano (CH), capital estructural (CE) y capital relacional (CR).</w:t>
      </w:r>
    </w:p>
    <w:p w14:paraId="389C4281" w14:textId="77777777" w:rsidR="00462EB7" w:rsidRPr="00865381" w:rsidRDefault="00462EB7" w:rsidP="00740B45">
      <w:pPr>
        <w:spacing w:line="360" w:lineRule="auto"/>
        <w:jc w:val="both"/>
        <w:rPr>
          <w:rFonts w:ascii="Times New Roman" w:hAnsi="Times New Roman" w:cs="Times New Roman"/>
          <w:sz w:val="24"/>
          <w:szCs w:val="24"/>
        </w:rPr>
      </w:pPr>
      <w:r w:rsidRPr="00865381">
        <w:rPr>
          <w:rFonts w:ascii="Times New Roman" w:hAnsi="Times New Roman" w:cs="Times New Roman"/>
          <w:sz w:val="24"/>
          <w:szCs w:val="24"/>
        </w:rPr>
        <w:t xml:space="preserve">Siguiendo a Bueno et al. (2002), </w:t>
      </w:r>
      <w:r w:rsidR="00BE6BB6" w:rsidRPr="00865381">
        <w:rPr>
          <w:rFonts w:ascii="Times New Roman" w:hAnsi="Times New Roman" w:cs="Times New Roman"/>
          <w:sz w:val="24"/>
          <w:szCs w:val="24"/>
        </w:rPr>
        <w:t>el conjunto de</w:t>
      </w:r>
      <w:r w:rsidRPr="00865381">
        <w:rPr>
          <w:rFonts w:ascii="Times New Roman" w:hAnsi="Times New Roman" w:cs="Times New Roman"/>
          <w:sz w:val="24"/>
          <w:szCs w:val="24"/>
        </w:rPr>
        <w:t xml:space="preserve"> conocimientos y capacidades de los miembros de las universidades (es decir, profesores, investigadores y resto del personal), adquiridos mediante los procesos de </w:t>
      </w:r>
      <w:r w:rsidR="00230A72" w:rsidRPr="00865381">
        <w:rPr>
          <w:rFonts w:ascii="Times New Roman" w:hAnsi="Times New Roman" w:cs="Times New Roman"/>
          <w:sz w:val="24"/>
          <w:szCs w:val="24"/>
        </w:rPr>
        <w:t>formación, socialización y</w:t>
      </w:r>
      <w:r w:rsidRPr="00865381">
        <w:rPr>
          <w:rFonts w:ascii="Times New Roman" w:hAnsi="Times New Roman" w:cs="Times New Roman"/>
          <w:sz w:val="24"/>
          <w:szCs w:val="24"/>
        </w:rPr>
        <w:t xml:space="preserve"> actual</w:t>
      </w:r>
      <w:r w:rsidR="00BE6BB6" w:rsidRPr="00865381">
        <w:rPr>
          <w:rFonts w:ascii="Times New Roman" w:hAnsi="Times New Roman" w:cs="Times New Roman"/>
          <w:sz w:val="24"/>
          <w:szCs w:val="24"/>
        </w:rPr>
        <w:t>ización propios de su actividad, conforman el CH. Por su parte, el</w:t>
      </w:r>
      <w:r w:rsidRPr="00865381">
        <w:rPr>
          <w:rFonts w:ascii="Times New Roman" w:hAnsi="Times New Roman" w:cs="Times New Roman"/>
          <w:sz w:val="24"/>
          <w:szCs w:val="24"/>
        </w:rPr>
        <w:t xml:space="preserve"> conocimiento </w:t>
      </w:r>
      <w:r w:rsidR="000C160B" w:rsidRPr="00865381">
        <w:rPr>
          <w:rFonts w:ascii="Times New Roman" w:hAnsi="Times New Roman" w:cs="Times New Roman"/>
          <w:sz w:val="24"/>
          <w:szCs w:val="24"/>
        </w:rPr>
        <w:t>incorporado</w:t>
      </w:r>
      <w:r w:rsidRPr="00865381">
        <w:rPr>
          <w:rFonts w:ascii="Times New Roman" w:hAnsi="Times New Roman" w:cs="Times New Roman"/>
          <w:sz w:val="24"/>
          <w:szCs w:val="24"/>
        </w:rPr>
        <w:t xml:space="preserve">, </w:t>
      </w:r>
      <w:r w:rsidR="000C160B" w:rsidRPr="00865381">
        <w:rPr>
          <w:rFonts w:ascii="Times New Roman" w:hAnsi="Times New Roman" w:cs="Times New Roman"/>
          <w:sz w:val="24"/>
          <w:szCs w:val="24"/>
        </w:rPr>
        <w:t>internalizado</w:t>
      </w:r>
      <w:r w:rsidRPr="00865381">
        <w:rPr>
          <w:rFonts w:ascii="Times New Roman" w:hAnsi="Times New Roman" w:cs="Times New Roman"/>
          <w:sz w:val="24"/>
          <w:szCs w:val="24"/>
        </w:rPr>
        <w:t xml:space="preserve">, </w:t>
      </w:r>
      <w:r w:rsidR="000C160B" w:rsidRPr="00865381">
        <w:rPr>
          <w:rFonts w:ascii="Times New Roman" w:hAnsi="Times New Roman" w:cs="Times New Roman"/>
          <w:sz w:val="24"/>
          <w:szCs w:val="24"/>
        </w:rPr>
        <w:t>sistematizado</w:t>
      </w:r>
      <w:r w:rsidRPr="00865381">
        <w:rPr>
          <w:rFonts w:ascii="Times New Roman" w:hAnsi="Times New Roman" w:cs="Times New Roman"/>
          <w:sz w:val="24"/>
          <w:szCs w:val="24"/>
        </w:rPr>
        <w:t xml:space="preserve"> </w:t>
      </w:r>
      <w:r w:rsidR="00BE6BB6" w:rsidRPr="00865381">
        <w:rPr>
          <w:rFonts w:ascii="Times New Roman" w:hAnsi="Times New Roman" w:cs="Times New Roman"/>
          <w:sz w:val="24"/>
          <w:szCs w:val="24"/>
        </w:rPr>
        <w:t xml:space="preserve">por la universidad </w:t>
      </w:r>
      <w:r w:rsidRPr="00865381">
        <w:rPr>
          <w:rFonts w:ascii="Times New Roman" w:hAnsi="Times New Roman" w:cs="Times New Roman"/>
          <w:sz w:val="24"/>
          <w:szCs w:val="24"/>
        </w:rPr>
        <w:t xml:space="preserve">a través de sus actividades, </w:t>
      </w:r>
      <w:r w:rsidR="00BE6BB6" w:rsidRPr="00865381">
        <w:rPr>
          <w:rFonts w:ascii="Times New Roman" w:hAnsi="Times New Roman" w:cs="Times New Roman"/>
          <w:sz w:val="24"/>
          <w:szCs w:val="24"/>
        </w:rPr>
        <w:t>integra su CE. Este comprende</w:t>
      </w:r>
      <w:r w:rsidRPr="00865381">
        <w:rPr>
          <w:rFonts w:ascii="Times New Roman" w:hAnsi="Times New Roman" w:cs="Times New Roman"/>
          <w:sz w:val="24"/>
          <w:szCs w:val="24"/>
        </w:rPr>
        <w:t>, principalmente, los sistemas y procesos de la estructura org</w:t>
      </w:r>
      <w:r w:rsidR="00BE6BB6" w:rsidRPr="00865381">
        <w:rPr>
          <w:rFonts w:ascii="Times New Roman" w:hAnsi="Times New Roman" w:cs="Times New Roman"/>
          <w:sz w:val="24"/>
          <w:szCs w:val="24"/>
        </w:rPr>
        <w:t xml:space="preserve">anizativa. Por último, el CR se vincula </w:t>
      </w:r>
      <w:r w:rsidR="00061838">
        <w:rPr>
          <w:rFonts w:ascii="Times New Roman" w:hAnsi="Times New Roman" w:cs="Times New Roman"/>
          <w:sz w:val="24"/>
          <w:szCs w:val="24"/>
        </w:rPr>
        <w:t xml:space="preserve">a </w:t>
      </w:r>
      <w:r w:rsidR="00BE6BB6" w:rsidRPr="00865381">
        <w:rPr>
          <w:rFonts w:ascii="Times New Roman" w:hAnsi="Times New Roman" w:cs="Times New Roman"/>
          <w:sz w:val="24"/>
          <w:szCs w:val="24"/>
        </w:rPr>
        <w:t xml:space="preserve">la </w:t>
      </w:r>
      <w:r w:rsidRPr="00865381">
        <w:rPr>
          <w:rFonts w:ascii="Times New Roman" w:hAnsi="Times New Roman" w:cs="Times New Roman"/>
          <w:sz w:val="24"/>
          <w:szCs w:val="24"/>
        </w:rPr>
        <w:t xml:space="preserve">capacidad que posee </w:t>
      </w:r>
      <w:r w:rsidR="00BE6BB6" w:rsidRPr="00865381">
        <w:rPr>
          <w:rFonts w:ascii="Times New Roman" w:hAnsi="Times New Roman" w:cs="Times New Roman"/>
          <w:sz w:val="24"/>
          <w:szCs w:val="24"/>
        </w:rPr>
        <w:t xml:space="preserve">la institución </w:t>
      </w:r>
      <w:r w:rsidRPr="00865381">
        <w:rPr>
          <w:rFonts w:ascii="Times New Roman" w:hAnsi="Times New Roman" w:cs="Times New Roman"/>
          <w:sz w:val="24"/>
          <w:szCs w:val="24"/>
        </w:rPr>
        <w:t xml:space="preserve">para integrarse a su entorno, e incluye el conjunto de relaciones </w:t>
      </w:r>
      <w:r w:rsidR="00BE6BB6" w:rsidRPr="00865381">
        <w:rPr>
          <w:rFonts w:ascii="Times New Roman" w:hAnsi="Times New Roman" w:cs="Times New Roman"/>
          <w:sz w:val="24"/>
          <w:szCs w:val="24"/>
        </w:rPr>
        <w:t xml:space="preserve">políticas, sociales, económicas </w:t>
      </w:r>
      <w:r w:rsidRPr="00865381">
        <w:rPr>
          <w:rFonts w:ascii="Times New Roman" w:hAnsi="Times New Roman" w:cs="Times New Roman"/>
          <w:sz w:val="24"/>
          <w:szCs w:val="24"/>
        </w:rPr>
        <w:t xml:space="preserve">e institucionales que mantiene con diferentes agentes que configuran su ámbito de actuación. </w:t>
      </w:r>
      <w:r w:rsidR="00732A1A" w:rsidRPr="00865381">
        <w:rPr>
          <w:rFonts w:ascii="Times New Roman" w:hAnsi="Times New Roman" w:cs="Times New Roman"/>
          <w:sz w:val="24"/>
          <w:szCs w:val="24"/>
        </w:rPr>
        <w:t>E</w:t>
      </w:r>
      <w:r w:rsidRPr="00865381">
        <w:rPr>
          <w:rFonts w:ascii="Times New Roman" w:hAnsi="Times New Roman" w:cs="Times New Roman"/>
          <w:sz w:val="24"/>
          <w:szCs w:val="24"/>
        </w:rPr>
        <w:t xml:space="preserve">l CR también recoge la forma en que la universidad es percibida: su imagen, atractivo, confiabilidad </w:t>
      </w:r>
      <w:r w:rsidR="00732A1A" w:rsidRPr="00865381">
        <w:rPr>
          <w:rFonts w:ascii="Times New Roman" w:hAnsi="Times New Roman" w:cs="Times New Roman"/>
          <w:sz w:val="24"/>
          <w:szCs w:val="24"/>
        </w:rPr>
        <w:t>(Quintero et al., 2021)</w:t>
      </w:r>
    </w:p>
    <w:p w14:paraId="5DB01A9D" w14:textId="77777777" w:rsidR="00740B45" w:rsidRPr="00865381" w:rsidRDefault="00740B45" w:rsidP="00740B45">
      <w:pPr>
        <w:spacing w:line="360" w:lineRule="auto"/>
        <w:jc w:val="both"/>
        <w:rPr>
          <w:rFonts w:ascii="Times New Roman" w:hAnsi="Times New Roman" w:cs="Times New Roman"/>
          <w:sz w:val="24"/>
          <w:szCs w:val="24"/>
        </w:rPr>
      </w:pPr>
      <w:r w:rsidRPr="00865381">
        <w:rPr>
          <w:rFonts w:ascii="Times New Roman" w:hAnsi="Times New Roman" w:cs="Times New Roman"/>
          <w:sz w:val="24"/>
          <w:szCs w:val="24"/>
        </w:rPr>
        <w:t>En una primera etapa del estudio se abordó específicamente la dimensión del Capital Relacional (CR), dado que es la que refleja, de manera más directa, la capacidad de las universidades para establecer vínculos con su entorno y generar impactos concretos en el territorio. Esta dimensión resulta clave para el cumplimiento de los Objetivos de Desarrollo Sostenible (ODS), al concentrar los activos intangibles que posibilitan a las instituciones de educación superior convertirse en agentes activos de transformación social.</w:t>
      </w:r>
    </w:p>
    <w:p w14:paraId="47F9EB60" w14:textId="77777777" w:rsidR="00740B45" w:rsidRPr="00865381" w:rsidRDefault="00740B45" w:rsidP="00740B45">
      <w:pPr>
        <w:spacing w:line="360" w:lineRule="auto"/>
        <w:jc w:val="both"/>
        <w:rPr>
          <w:rFonts w:ascii="Times New Roman" w:hAnsi="Times New Roman" w:cs="Times New Roman"/>
          <w:sz w:val="24"/>
          <w:szCs w:val="24"/>
        </w:rPr>
      </w:pPr>
      <w:r w:rsidRPr="00865381">
        <w:rPr>
          <w:rFonts w:ascii="Times New Roman" w:hAnsi="Times New Roman" w:cs="Times New Roman"/>
          <w:sz w:val="24"/>
          <w:szCs w:val="24"/>
        </w:rPr>
        <w:t>El análisis inicial se basó en información de acceso público disponible en los sitios web institucionales, especialmente en informes de gestión y otros documentos similares de difusión voluntaria. Los resultados indicaron una divulgación moderada del CR, con énfasis en la descripción de los instrumentos y medios que les permiten formalizar vínculos con su entorno, en concordancia con ha</w:t>
      </w:r>
      <w:r w:rsidR="000C160B" w:rsidRPr="00865381">
        <w:rPr>
          <w:rFonts w:ascii="Times New Roman" w:hAnsi="Times New Roman" w:cs="Times New Roman"/>
          <w:sz w:val="24"/>
          <w:szCs w:val="24"/>
        </w:rPr>
        <w:t>llazgos de investigaciones previ</w:t>
      </w:r>
      <w:r w:rsidRPr="00865381">
        <w:rPr>
          <w:rFonts w:ascii="Times New Roman" w:hAnsi="Times New Roman" w:cs="Times New Roman"/>
          <w:sz w:val="24"/>
          <w:szCs w:val="24"/>
        </w:rPr>
        <w:t>as desarrolladas en otros contextos.</w:t>
      </w:r>
    </w:p>
    <w:p w14:paraId="59C7A2C2" w14:textId="56E8AB1C" w:rsidR="00740B45" w:rsidRPr="00865381" w:rsidRDefault="00740B45" w:rsidP="00740B45">
      <w:pPr>
        <w:spacing w:line="360" w:lineRule="auto"/>
        <w:jc w:val="both"/>
        <w:rPr>
          <w:rFonts w:ascii="Times New Roman" w:hAnsi="Times New Roman" w:cs="Times New Roman"/>
          <w:color w:val="FF0000"/>
          <w:sz w:val="24"/>
          <w:szCs w:val="24"/>
        </w:rPr>
      </w:pPr>
      <w:r w:rsidRPr="00865381">
        <w:rPr>
          <w:rFonts w:ascii="Times New Roman" w:hAnsi="Times New Roman" w:cs="Times New Roman"/>
          <w:sz w:val="24"/>
          <w:szCs w:val="24"/>
        </w:rPr>
        <w:lastRenderedPageBreak/>
        <w:t xml:space="preserve">En esta instancia, el objetivo es identificar las características institucionales que explican una mayor proactividad en las políticas de divulgación. </w:t>
      </w:r>
      <w:r w:rsidRPr="00130377">
        <w:rPr>
          <w:rFonts w:ascii="Times New Roman" w:hAnsi="Times New Roman" w:cs="Times New Roman"/>
          <w:sz w:val="24"/>
          <w:szCs w:val="24"/>
        </w:rPr>
        <w:t xml:space="preserve">Para ello, </w:t>
      </w:r>
      <w:r w:rsidRPr="004C2B05">
        <w:rPr>
          <w:rFonts w:ascii="Times New Roman" w:hAnsi="Times New Roman" w:cs="Times New Roman"/>
          <w:sz w:val="24"/>
          <w:szCs w:val="24"/>
        </w:rPr>
        <w:t xml:space="preserve">se adopta </w:t>
      </w:r>
      <w:r w:rsidRPr="00130377">
        <w:rPr>
          <w:rFonts w:ascii="Times New Roman" w:hAnsi="Times New Roman" w:cs="Times New Roman"/>
          <w:sz w:val="24"/>
          <w:szCs w:val="24"/>
        </w:rPr>
        <w:t xml:space="preserve">un enfoque metodológico de asociación, </w:t>
      </w:r>
      <w:r w:rsidRPr="004C2B05">
        <w:rPr>
          <w:rFonts w:ascii="Times New Roman" w:hAnsi="Times New Roman" w:cs="Times New Roman"/>
          <w:sz w:val="24"/>
          <w:szCs w:val="24"/>
        </w:rPr>
        <w:t>que permit</w:t>
      </w:r>
      <w:r w:rsidR="00E713DC" w:rsidRPr="004C2B05">
        <w:rPr>
          <w:rFonts w:ascii="Times New Roman" w:hAnsi="Times New Roman" w:cs="Times New Roman"/>
          <w:sz w:val="24"/>
          <w:szCs w:val="24"/>
        </w:rPr>
        <w:t>e</w:t>
      </w:r>
      <w:r w:rsidRPr="004C2B05">
        <w:rPr>
          <w:rFonts w:ascii="Times New Roman" w:hAnsi="Times New Roman" w:cs="Times New Roman"/>
          <w:sz w:val="24"/>
          <w:szCs w:val="24"/>
        </w:rPr>
        <w:t xml:space="preserve"> examinar</w:t>
      </w:r>
      <w:r w:rsidR="00E713DC" w:rsidRPr="004C2B05">
        <w:rPr>
          <w:rFonts w:ascii="Times New Roman" w:hAnsi="Times New Roman" w:cs="Times New Roman"/>
          <w:sz w:val="24"/>
          <w:szCs w:val="24"/>
        </w:rPr>
        <w:t xml:space="preserve"> y</w:t>
      </w:r>
      <w:r w:rsidRPr="004C2B05">
        <w:rPr>
          <w:rFonts w:ascii="Times New Roman" w:hAnsi="Times New Roman" w:cs="Times New Roman"/>
          <w:sz w:val="24"/>
          <w:szCs w:val="24"/>
        </w:rPr>
        <w:t xml:space="preserve"> </w:t>
      </w:r>
      <w:r w:rsidRPr="00130377">
        <w:rPr>
          <w:rFonts w:ascii="Times New Roman" w:hAnsi="Times New Roman" w:cs="Times New Roman"/>
          <w:sz w:val="24"/>
          <w:szCs w:val="24"/>
        </w:rPr>
        <w:t>describir la influencia de variables como el tamaño</w:t>
      </w:r>
      <w:r w:rsidR="005D7CDB">
        <w:rPr>
          <w:rFonts w:ascii="Times New Roman" w:hAnsi="Times New Roman" w:cs="Times New Roman"/>
          <w:sz w:val="24"/>
          <w:szCs w:val="24"/>
        </w:rPr>
        <w:t>,</w:t>
      </w:r>
      <w:r w:rsidRPr="00130377">
        <w:rPr>
          <w:rFonts w:ascii="Times New Roman" w:hAnsi="Times New Roman" w:cs="Times New Roman"/>
          <w:sz w:val="24"/>
          <w:szCs w:val="24"/>
        </w:rPr>
        <w:t xml:space="preserve"> </w:t>
      </w:r>
      <w:r w:rsidR="005D7CDB">
        <w:rPr>
          <w:rFonts w:ascii="Times New Roman" w:hAnsi="Times New Roman" w:cs="Times New Roman"/>
          <w:sz w:val="24"/>
          <w:szCs w:val="24"/>
        </w:rPr>
        <w:t xml:space="preserve">la </w:t>
      </w:r>
      <w:r w:rsidR="005D7CDB" w:rsidRPr="00865381">
        <w:rPr>
          <w:rFonts w:ascii="Times New Roman" w:hAnsi="Times New Roman" w:cs="Times New Roman"/>
          <w:sz w:val="24"/>
          <w:szCs w:val="24"/>
        </w:rPr>
        <w:t xml:space="preserve">diversidad </w:t>
      </w:r>
      <w:r w:rsidR="005D7CDB" w:rsidRPr="005D7CDB">
        <w:rPr>
          <w:rFonts w:ascii="Times New Roman" w:hAnsi="Times New Roman" w:cs="Times New Roman"/>
          <w:sz w:val="24"/>
          <w:szCs w:val="24"/>
        </w:rPr>
        <w:t>de género en la gobernanza, la</w:t>
      </w:r>
      <w:r w:rsidRPr="005D7CDB">
        <w:rPr>
          <w:rFonts w:ascii="Times New Roman" w:hAnsi="Times New Roman" w:cs="Times New Roman"/>
          <w:sz w:val="24"/>
          <w:szCs w:val="24"/>
        </w:rPr>
        <w:t xml:space="preserve"> complejidad </w:t>
      </w:r>
      <w:r w:rsidRPr="00130377">
        <w:rPr>
          <w:rFonts w:ascii="Times New Roman" w:hAnsi="Times New Roman" w:cs="Times New Roman"/>
          <w:sz w:val="24"/>
          <w:szCs w:val="24"/>
        </w:rPr>
        <w:t xml:space="preserve">institucional, </w:t>
      </w:r>
      <w:r w:rsidR="005D7CDB">
        <w:rPr>
          <w:rFonts w:ascii="Times New Roman" w:hAnsi="Times New Roman" w:cs="Times New Roman"/>
          <w:sz w:val="24"/>
          <w:szCs w:val="24"/>
        </w:rPr>
        <w:t xml:space="preserve">y </w:t>
      </w:r>
      <w:r w:rsidR="00061838">
        <w:rPr>
          <w:rFonts w:ascii="Times New Roman" w:hAnsi="Times New Roman" w:cs="Times New Roman"/>
          <w:sz w:val="24"/>
          <w:szCs w:val="24"/>
        </w:rPr>
        <w:t xml:space="preserve">la </w:t>
      </w:r>
      <w:r w:rsidRPr="00130377">
        <w:rPr>
          <w:rFonts w:ascii="Times New Roman" w:hAnsi="Times New Roman" w:cs="Times New Roman"/>
          <w:sz w:val="24"/>
          <w:szCs w:val="24"/>
        </w:rPr>
        <w:t>capacidad de</w:t>
      </w:r>
      <w:r w:rsidR="005D7CDB">
        <w:rPr>
          <w:rFonts w:ascii="Times New Roman" w:hAnsi="Times New Roman" w:cs="Times New Roman"/>
          <w:sz w:val="24"/>
          <w:szCs w:val="24"/>
        </w:rPr>
        <w:t xml:space="preserve"> investigación</w:t>
      </w:r>
      <w:r w:rsidRPr="00865381">
        <w:rPr>
          <w:rFonts w:ascii="Times New Roman" w:hAnsi="Times New Roman" w:cs="Times New Roman"/>
          <w:sz w:val="24"/>
          <w:szCs w:val="24"/>
        </w:rPr>
        <w:t xml:space="preserve"> en las prácticas de divulgación asumidas por las universidades naci</w:t>
      </w:r>
      <w:r w:rsidR="00E06781" w:rsidRPr="00865381">
        <w:rPr>
          <w:rFonts w:ascii="Times New Roman" w:hAnsi="Times New Roman" w:cs="Times New Roman"/>
          <w:sz w:val="24"/>
          <w:szCs w:val="24"/>
        </w:rPr>
        <w:t xml:space="preserve">onales. Debido que se trata de un estudio de tipo exploratorio, en esta </w:t>
      </w:r>
      <w:r w:rsidR="00E06781" w:rsidRPr="004C2B05">
        <w:rPr>
          <w:rFonts w:ascii="Times New Roman" w:hAnsi="Times New Roman" w:cs="Times New Roman"/>
          <w:sz w:val="24"/>
          <w:szCs w:val="24"/>
        </w:rPr>
        <w:t>primer</w:t>
      </w:r>
      <w:r w:rsidR="00E713DC" w:rsidRPr="004C2B05">
        <w:rPr>
          <w:rFonts w:ascii="Times New Roman" w:hAnsi="Times New Roman" w:cs="Times New Roman"/>
          <w:sz w:val="24"/>
          <w:szCs w:val="24"/>
        </w:rPr>
        <w:t>a</w:t>
      </w:r>
      <w:r w:rsidR="00E06781" w:rsidRPr="004C2B05">
        <w:rPr>
          <w:rFonts w:ascii="Times New Roman" w:hAnsi="Times New Roman" w:cs="Times New Roman"/>
          <w:sz w:val="24"/>
          <w:szCs w:val="24"/>
        </w:rPr>
        <w:t xml:space="preserve"> etapa, la </w:t>
      </w:r>
      <w:r w:rsidR="00E06781" w:rsidRPr="00865381">
        <w:rPr>
          <w:rFonts w:ascii="Times New Roman" w:hAnsi="Times New Roman" w:cs="Times New Roman"/>
          <w:sz w:val="24"/>
          <w:szCs w:val="24"/>
        </w:rPr>
        <w:t xml:space="preserve">muestra estará conformada por las universidades que integran la región bonaerense. </w:t>
      </w:r>
    </w:p>
    <w:p w14:paraId="1E345736" w14:textId="05090381" w:rsidR="001A6126" w:rsidRDefault="00760BF5" w:rsidP="006C6289">
      <w:pPr>
        <w:spacing w:line="360" w:lineRule="auto"/>
        <w:jc w:val="both"/>
        <w:rPr>
          <w:rFonts w:ascii="Times New Roman" w:hAnsi="Times New Roman" w:cs="Times New Roman"/>
          <w:sz w:val="24"/>
          <w:szCs w:val="24"/>
        </w:rPr>
      </w:pPr>
      <w:r w:rsidRPr="00760BF5">
        <w:rPr>
          <w:rFonts w:ascii="Times New Roman" w:hAnsi="Times New Roman" w:cs="Times New Roman"/>
          <w:sz w:val="24"/>
          <w:szCs w:val="24"/>
        </w:rPr>
        <w:t xml:space="preserve">El documento comienza con esta introducción, para luego ofrecer un breve marco de referencia sobre la relación entre el </w:t>
      </w:r>
      <w:r>
        <w:rPr>
          <w:rFonts w:ascii="Times New Roman" w:hAnsi="Times New Roman" w:cs="Times New Roman"/>
          <w:sz w:val="24"/>
          <w:szCs w:val="24"/>
        </w:rPr>
        <w:t>CR</w:t>
      </w:r>
      <w:r w:rsidRPr="00760BF5">
        <w:rPr>
          <w:rFonts w:ascii="Times New Roman" w:hAnsi="Times New Roman" w:cs="Times New Roman"/>
          <w:sz w:val="24"/>
          <w:szCs w:val="24"/>
        </w:rPr>
        <w:t xml:space="preserve">, la sostenibilidad y los </w:t>
      </w:r>
      <w:r>
        <w:rPr>
          <w:rFonts w:ascii="Times New Roman" w:hAnsi="Times New Roman" w:cs="Times New Roman"/>
          <w:sz w:val="24"/>
          <w:szCs w:val="24"/>
        </w:rPr>
        <w:t>ODS</w:t>
      </w:r>
      <w:r w:rsidRPr="00760BF5">
        <w:rPr>
          <w:rFonts w:ascii="Times New Roman" w:hAnsi="Times New Roman" w:cs="Times New Roman"/>
          <w:sz w:val="24"/>
          <w:szCs w:val="24"/>
        </w:rPr>
        <w:t>. A continuación, se desarrolla una revisión de antecedentes empíricos relevantes, que permite situar el estudio en diálogo con otras investigaciones. Más adelante, se detalla el diseño metodológico, se presentan los principales resultados obtenidos y, por último, se comparten las conclusiones del trabajo.</w:t>
      </w:r>
    </w:p>
    <w:p w14:paraId="4B6CBFE4" w14:textId="5D318956" w:rsidR="001A6126" w:rsidRPr="001A6126" w:rsidRDefault="005440C5" w:rsidP="006C6289">
      <w:pPr>
        <w:spacing w:line="360" w:lineRule="auto"/>
        <w:jc w:val="both"/>
        <w:rPr>
          <w:rFonts w:ascii="Times New Roman" w:hAnsi="Times New Roman" w:cs="Times New Roman"/>
          <w:b/>
          <w:sz w:val="24"/>
          <w:szCs w:val="24"/>
        </w:rPr>
      </w:pPr>
      <w:r>
        <w:rPr>
          <w:rFonts w:ascii="Times New Roman" w:hAnsi="Times New Roman" w:cs="Times New Roman"/>
          <w:b/>
          <w:sz w:val="24"/>
          <w:szCs w:val="24"/>
        </w:rPr>
        <w:t>El c</w:t>
      </w:r>
      <w:r w:rsidR="001A6126" w:rsidRPr="001A6126">
        <w:rPr>
          <w:rFonts w:ascii="Times New Roman" w:hAnsi="Times New Roman" w:cs="Times New Roman"/>
          <w:b/>
          <w:sz w:val="24"/>
          <w:szCs w:val="24"/>
        </w:rPr>
        <w:t>apital relacional</w:t>
      </w:r>
      <w:r w:rsidR="00D43E2E">
        <w:rPr>
          <w:rFonts w:ascii="Times New Roman" w:hAnsi="Times New Roman" w:cs="Times New Roman"/>
          <w:b/>
          <w:sz w:val="24"/>
          <w:szCs w:val="24"/>
        </w:rPr>
        <w:t xml:space="preserve">, la sostenibilidad </w:t>
      </w:r>
      <w:r w:rsidR="001A6126" w:rsidRPr="001A6126">
        <w:rPr>
          <w:rFonts w:ascii="Times New Roman" w:hAnsi="Times New Roman" w:cs="Times New Roman"/>
          <w:b/>
          <w:sz w:val="24"/>
          <w:szCs w:val="24"/>
        </w:rPr>
        <w:t>y los ODS</w:t>
      </w:r>
    </w:p>
    <w:p w14:paraId="45666C24" w14:textId="45D311E0" w:rsidR="00B313C2" w:rsidRPr="006420EC" w:rsidRDefault="00B313C2" w:rsidP="00B313C2">
      <w:pPr>
        <w:spacing w:line="360" w:lineRule="auto"/>
        <w:jc w:val="both"/>
        <w:rPr>
          <w:rFonts w:ascii="Times New Roman" w:hAnsi="Times New Roman" w:cs="Times New Roman"/>
          <w:sz w:val="24"/>
          <w:szCs w:val="24"/>
        </w:rPr>
      </w:pPr>
      <w:r w:rsidRPr="006420EC">
        <w:rPr>
          <w:rFonts w:ascii="Times New Roman" w:hAnsi="Times New Roman" w:cs="Times New Roman"/>
          <w:sz w:val="24"/>
          <w:szCs w:val="24"/>
        </w:rPr>
        <w:t>Incluir la sostenibilidad dentro de</w:t>
      </w:r>
      <w:r w:rsidR="00B22EE3" w:rsidRPr="006420EC">
        <w:rPr>
          <w:rFonts w:ascii="Times New Roman" w:hAnsi="Times New Roman" w:cs="Times New Roman"/>
          <w:sz w:val="24"/>
          <w:szCs w:val="24"/>
        </w:rPr>
        <w:t xml:space="preserve"> </w:t>
      </w:r>
      <w:r w:rsidRPr="006420EC">
        <w:rPr>
          <w:rFonts w:ascii="Times New Roman" w:hAnsi="Times New Roman" w:cs="Times New Roman"/>
          <w:sz w:val="24"/>
          <w:szCs w:val="24"/>
        </w:rPr>
        <w:t>l</w:t>
      </w:r>
      <w:r w:rsidR="00B22EE3" w:rsidRPr="006420EC">
        <w:rPr>
          <w:rFonts w:ascii="Times New Roman" w:hAnsi="Times New Roman" w:cs="Times New Roman"/>
          <w:sz w:val="24"/>
          <w:szCs w:val="24"/>
        </w:rPr>
        <w:t>a dimensión relacional del CI</w:t>
      </w:r>
      <w:r w:rsidRPr="006420EC">
        <w:rPr>
          <w:rFonts w:ascii="Times New Roman" w:hAnsi="Times New Roman" w:cs="Times New Roman"/>
          <w:sz w:val="24"/>
          <w:szCs w:val="24"/>
        </w:rPr>
        <w:t xml:space="preserve"> en la universidad pública supone ir más allá de los vínculos formales. Es, en realidad, pensar cómo se construyen</w:t>
      </w:r>
      <w:r w:rsidR="004F20A0" w:rsidRPr="006420EC">
        <w:rPr>
          <w:rFonts w:ascii="Times New Roman" w:hAnsi="Times New Roman" w:cs="Times New Roman"/>
          <w:sz w:val="24"/>
          <w:szCs w:val="24"/>
        </w:rPr>
        <w:t>, gestionan y proyecta</w:t>
      </w:r>
      <w:r w:rsidR="00136663">
        <w:rPr>
          <w:rFonts w:ascii="Times New Roman" w:hAnsi="Times New Roman" w:cs="Times New Roman"/>
          <w:sz w:val="24"/>
          <w:szCs w:val="24"/>
        </w:rPr>
        <w:t>n</w:t>
      </w:r>
      <w:r w:rsidRPr="006420EC">
        <w:rPr>
          <w:rFonts w:ascii="Times New Roman" w:hAnsi="Times New Roman" w:cs="Times New Roman"/>
          <w:sz w:val="24"/>
          <w:szCs w:val="24"/>
        </w:rPr>
        <w:t xml:space="preserve"> relaciones significativas con la sociedad, el Estado, el sector productivo y otros actores, con una intención clara: contribuir a los </w:t>
      </w:r>
      <w:r w:rsidR="00136663">
        <w:rPr>
          <w:rFonts w:ascii="Times New Roman" w:hAnsi="Times New Roman" w:cs="Times New Roman"/>
          <w:sz w:val="24"/>
          <w:szCs w:val="24"/>
        </w:rPr>
        <w:t>ODS</w:t>
      </w:r>
      <w:r w:rsidRPr="006420EC">
        <w:rPr>
          <w:rFonts w:ascii="Times New Roman" w:hAnsi="Times New Roman" w:cs="Times New Roman"/>
          <w:sz w:val="24"/>
          <w:szCs w:val="24"/>
        </w:rPr>
        <w:t>.</w:t>
      </w:r>
    </w:p>
    <w:p w14:paraId="054F6D22" w14:textId="0184C25E" w:rsidR="00B313C2" w:rsidRPr="00CE2A7E" w:rsidRDefault="00B313C2" w:rsidP="00B313C2">
      <w:pPr>
        <w:spacing w:line="360" w:lineRule="auto"/>
        <w:jc w:val="both"/>
        <w:rPr>
          <w:rFonts w:ascii="Times New Roman" w:hAnsi="Times New Roman" w:cs="Times New Roman"/>
          <w:sz w:val="24"/>
          <w:szCs w:val="24"/>
        </w:rPr>
      </w:pPr>
      <w:r w:rsidRPr="00CE2A7E">
        <w:rPr>
          <w:rFonts w:ascii="Times New Roman" w:hAnsi="Times New Roman" w:cs="Times New Roman"/>
          <w:sz w:val="24"/>
          <w:szCs w:val="24"/>
        </w:rPr>
        <w:t xml:space="preserve">Y es que esas relaciones no son neutras. </w:t>
      </w:r>
      <w:r w:rsidR="005F526F" w:rsidRPr="00CE2A7E">
        <w:rPr>
          <w:rFonts w:ascii="Times New Roman" w:hAnsi="Times New Roman" w:cs="Times New Roman"/>
          <w:sz w:val="24"/>
          <w:szCs w:val="24"/>
        </w:rPr>
        <w:t>Una buena gestión</w:t>
      </w:r>
      <w:r w:rsidR="00982152" w:rsidRPr="00CE2A7E">
        <w:rPr>
          <w:rFonts w:ascii="Times New Roman" w:hAnsi="Times New Roman" w:cs="Times New Roman"/>
          <w:sz w:val="24"/>
          <w:szCs w:val="24"/>
        </w:rPr>
        <w:t>, puede</w:t>
      </w:r>
      <w:r w:rsidR="005F526F" w:rsidRPr="00CE2A7E">
        <w:rPr>
          <w:rFonts w:ascii="Times New Roman" w:hAnsi="Times New Roman" w:cs="Times New Roman"/>
          <w:sz w:val="24"/>
          <w:szCs w:val="24"/>
        </w:rPr>
        <w:t xml:space="preserve"> convertirlas</w:t>
      </w:r>
      <w:r w:rsidRPr="00CE2A7E">
        <w:rPr>
          <w:rFonts w:ascii="Times New Roman" w:hAnsi="Times New Roman" w:cs="Times New Roman"/>
          <w:sz w:val="24"/>
          <w:szCs w:val="24"/>
        </w:rPr>
        <w:t xml:space="preserve"> en herramientas poderosas de transformación social, ambiental y económica. Como señala Cortese (2003), la sostenibilidad no solo atraviesa </w:t>
      </w:r>
      <w:r w:rsidR="005F526F" w:rsidRPr="00CE2A7E">
        <w:rPr>
          <w:rFonts w:ascii="Times New Roman" w:hAnsi="Times New Roman" w:cs="Times New Roman"/>
          <w:sz w:val="24"/>
          <w:szCs w:val="24"/>
          <w:lang w:val="es-ES"/>
        </w:rPr>
        <w:t>los contenidos curriculares</w:t>
      </w:r>
      <w:r w:rsidRPr="00CE2A7E">
        <w:rPr>
          <w:rFonts w:ascii="Times New Roman" w:hAnsi="Times New Roman" w:cs="Times New Roman"/>
          <w:sz w:val="24"/>
          <w:szCs w:val="24"/>
        </w:rPr>
        <w:t>, sino también cómo la universidad se relaciona con su entorno. En ese sentido, la extensión, la investigación participativa y las alianzas locales se vuelven clave</w:t>
      </w:r>
      <w:r w:rsidR="005F526F" w:rsidRPr="00CE2A7E">
        <w:rPr>
          <w:rFonts w:ascii="Times New Roman" w:hAnsi="Times New Roman" w:cs="Times New Roman"/>
          <w:sz w:val="24"/>
          <w:szCs w:val="24"/>
        </w:rPr>
        <w:t xml:space="preserve"> para avanzar en los ODS</w:t>
      </w:r>
      <w:r w:rsidRPr="00CE2A7E">
        <w:rPr>
          <w:rFonts w:ascii="Times New Roman" w:hAnsi="Times New Roman" w:cs="Times New Roman"/>
          <w:sz w:val="24"/>
          <w:szCs w:val="24"/>
        </w:rPr>
        <w:t>.</w:t>
      </w:r>
    </w:p>
    <w:p w14:paraId="531A72D7" w14:textId="0A585319" w:rsidR="00B313C2" w:rsidRPr="00CE2A7E" w:rsidRDefault="00B313C2" w:rsidP="00B313C2">
      <w:pPr>
        <w:spacing w:line="360" w:lineRule="auto"/>
        <w:jc w:val="both"/>
        <w:rPr>
          <w:rFonts w:ascii="Times New Roman" w:hAnsi="Times New Roman" w:cs="Times New Roman"/>
          <w:sz w:val="24"/>
          <w:szCs w:val="24"/>
        </w:rPr>
      </w:pPr>
      <w:r w:rsidRPr="00CE2A7E">
        <w:rPr>
          <w:rFonts w:ascii="Times New Roman" w:hAnsi="Times New Roman" w:cs="Times New Roman"/>
          <w:sz w:val="24"/>
          <w:szCs w:val="24"/>
        </w:rPr>
        <w:t>Además, cuando una universidad fortalece su CR desde una perspectiva sosteni</w:t>
      </w:r>
      <w:r w:rsidR="00F62D4B" w:rsidRPr="00CE2A7E">
        <w:rPr>
          <w:rFonts w:ascii="Times New Roman" w:hAnsi="Times New Roman" w:cs="Times New Roman"/>
          <w:sz w:val="24"/>
          <w:szCs w:val="24"/>
        </w:rPr>
        <w:t xml:space="preserve">ble, no solo amplía su impacto, </w:t>
      </w:r>
      <w:r w:rsidRPr="00CE2A7E">
        <w:rPr>
          <w:rFonts w:ascii="Times New Roman" w:hAnsi="Times New Roman" w:cs="Times New Roman"/>
          <w:sz w:val="24"/>
          <w:szCs w:val="24"/>
        </w:rPr>
        <w:t xml:space="preserve">también gana legitimidad frente a la ciudadanía, el Estado y </w:t>
      </w:r>
      <w:r w:rsidR="00B46168" w:rsidRPr="00CE2A7E">
        <w:rPr>
          <w:rFonts w:ascii="Times New Roman" w:hAnsi="Times New Roman" w:cs="Times New Roman"/>
          <w:sz w:val="24"/>
          <w:szCs w:val="24"/>
        </w:rPr>
        <w:t>ante aquellos otros organismos que participan financiando</w:t>
      </w:r>
      <w:r w:rsidR="00F62D4B" w:rsidRPr="00CE2A7E">
        <w:rPr>
          <w:rFonts w:ascii="Times New Roman" w:hAnsi="Times New Roman" w:cs="Times New Roman"/>
          <w:sz w:val="24"/>
          <w:szCs w:val="24"/>
        </w:rPr>
        <w:t xml:space="preserve"> sus actividades</w:t>
      </w:r>
      <w:r w:rsidRPr="00CE2A7E">
        <w:rPr>
          <w:rFonts w:ascii="Times New Roman" w:hAnsi="Times New Roman" w:cs="Times New Roman"/>
          <w:sz w:val="24"/>
          <w:szCs w:val="24"/>
        </w:rPr>
        <w:t xml:space="preserve">. </w:t>
      </w:r>
      <w:r w:rsidR="009F7D93" w:rsidRPr="00CE2A7E">
        <w:rPr>
          <w:rFonts w:ascii="Times New Roman" w:hAnsi="Times New Roman" w:cs="Times New Roman"/>
          <w:sz w:val="24"/>
          <w:szCs w:val="24"/>
        </w:rPr>
        <w:t xml:space="preserve">Y esto es especialmente relevante en </w:t>
      </w:r>
      <w:r w:rsidR="00F62D4B" w:rsidRPr="00CE2A7E">
        <w:rPr>
          <w:rFonts w:ascii="Times New Roman" w:hAnsi="Times New Roman" w:cs="Times New Roman"/>
          <w:sz w:val="24"/>
          <w:szCs w:val="24"/>
        </w:rPr>
        <w:t xml:space="preserve">el </w:t>
      </w:r>
      <w:r w:rsidR="009F7D93" w:rsidRPr="00CE2A7E">
        <w:rPr>
          <w:rFonts w:ascii="Times New Roman" w:hAnsi="Times New Roman" w:cs="Times New Roman"/>
          <w:sz w:val="24"/>
          <w:szCs w:val="24"/>
        </w:rPr>
        <w:t xml:space="preserve">contexto latinoamericano, </w:t>
      </w:r>
      <w:r w:rsidRPr="00CE2A7E">
        <w:rPr>
          <w:rFonts w:ascii="Times New Roman" w:hAnsi="Times New Roman" w:cs="Times New Roman"/>
          <w:sz w:val="24"/>
          <w:szCs w:val="24"/>
        </w:rPr>
        <w:t xml:space="preserve">donde las universidades públicas enfrentan </w:t>
      </w:r>
      <w:r w:rsidR="00B46168" w:rsidRPr="00CE2A7E">
        <w:rPr>
          <w:rFonts w:ascii="Times New Roman" w:hAnsi="Times New Roman" w:cs="Times New Roman"/>
          <w:sz w:val="24"/>
          <w:szCs w:val="24"/>
        </w:rPr>
        <w:t>presiones</w:t>
      </w:r>
      <w:r w:rsidRPr="00CE2A7E">
        <w:rPr>
          <w:rFonts w:ascii="Times New Roman" w:hAnsi="Times New Roman" w:cs="Times New Roman"/>
          <w:sz w:val="24"/>
          <w:szCs w:val="24"/>
        </w:rPr>
        <w:t xml:space="preserve"> </w:t>
      </w:r>
      <w:r w:rsidR="009F7D93" w:rsidRPr="00CE2A7E">
        <w:rPr>
          <w:rFonts w:ascii="Times New Roman" w:hAnsi="Times New Roman" w:cs="Times New Roman"/>
          <w:sz w:val="24"/>
          <w:szCs w:val="24"/>
        </w:rPr>
        <w:t xml:space="preserve">en dos sentidos: </w:t>
      </w:r>
      <w:r w:rsidR="00982152" w:rsidRPr="00CE2A7E">
        <w:rPr>
          <w:rFonts w:ascii="Times New Roman" w:hAnsi="Times New Roman" w:cs="Times New Roman"/>
          <w:sz w:val="24"/>
          <w:szCs w:val="24"/>
        </w:rPr>
        <w:t xml:space="preserve">por un lado, </w:t>
      </w:r>
      <w:r w:rsidRPr="00CE2A7E">
        <w:rPr>
          <w:rFonts w:ascii="Times New Roman" w:hAnsi="Times New Roman" w:cs="Times New Roman"/>
          <w:sz w:val="24"/>
          <w:szCs w:val="24"/>
        </w:rPr>
        <w:t>presupuestarios y</w:t>
      </w:r>
      <w:r w:rsidR="00982152" w:rsidRPr="00CE2A7E">
        <w:rPr>
          <w:rFonts w:ascii="Times New Roman" w:hAnsi="Times New Roman" w:cs="Times New Roman"/>
          <w:sz w:val="24"/>
          <w:szCs w:val="24"/>
        </w:rPr>
        <w:t xml:space="preserve">, por </w:t>
      </w:r>
      <w:r w:rsidR="00911153" w:rsidRPr="00CE2A7E">
        <w:rPr>
          <w:rFonts w:ascii="Times New Roman" w:hAnsi="Times New Roman" w:cs="Times New Roman"/>
          <w:sz w:val="24"/>
          <w:szCs w:val="24"/>
        </w:rPr>
        <w:t>el</w:t>
      </w:r>
      <w:r w:rsidR="00982152" w:rsidRPr="00CE2A7E">
        <w:rPr>
          <w:rFonts w:ascii="Times New Roman" w:hAnsi="Times New Roman" w:cs="Times New Roman"/>
          <w:sz w:val="24"/>
          <w:szCs w:val="24"/>
        </w:rPr>
        <w:t xml:space="preserve"> otro,</w:t>
      </w:r>
      <w:r w:rsidRPr="00CE2A7E">
        <w:rPr>
          <w:rFonts w:ascii="Times New Roman" w:hAnsi="Times New Roman" w:cs="Times New Roman"/>
          <w:sz w:val="24"/>
          <w:szCs w:val="24"/>
        </w:rPr>
        <w:t xml:space="preserve"> exi</w:t>
      </w:r>
      <w:r w:rsidR="009F7D93" w:rsidRPr="00CE2A7E">
        <w:rPr>
          <w:rFonts w:ascii="Times New Roman" w:hAnsi="Times New Roman" w:cs="Times New Roman"/>
          <w:sz w:val="24"/>
          <w:szCs w:val="24"/>
        </w:rPr>
        <w:t>gencias de rendición de cuentas</w:t>
      </w:r>
      <w:r w:rsidRPr="00CE2A7E">
        <w:rPr>
          <w:rFonts w:ascii="Times New Roman" w:hAnsi="Times New Roman" w:cs="Times New Roman"/>
          <w:sz w:val="24"/>
          <w:szCs w:val="24"/>
        </w:rPr>
        <w:t>.</w:t>
      </w:r>
    </w:p>
    <w:p w14:paraId="5ACF8F7F" w14:textId="7BFB6093" w:rsidR="00B313C2" w:rsidRPr="006420EC" w:rsidRDefault="00B313C2" w:rsidP="00401168">
      <w:pPr>
        <w:spacing w:line="360" w:lineRule="auto"/>
        <w:jc w:val="both"/>
        <w:rPr>
          <w:rFonts w:ascii="Times New Roman" w:hAnsi="Times New Roman" w:cs="Times New Roman"/>
          <w:sz w:val="24"/>
          <w:szCs w:val="24"/>
        </w:rPr>
      </w:pPr>
      <w:r w:rsidRPr="00CE2A7E">
        <w:rPr>
          <w:rFonts w:ascii="Times New Roman" w:hAnsi="Times New Roman" w:cs="Times New Roman"/>
          <w:sz w:val="24"/>
          <w:szCs w:val="24"/>
        </w:rPr>
        <w:lastRenderedPageBreak/>
        <w:t>Demostrar contribuciones concretas</w:t>
      </w:r>
      <w:r w:rsidRPr="006420EC">
        <w:rPr>
          <w:rFonts w:ascii="Times New Roman" w:hAnsi="Times New Roman" w:cs="Times New Roman"/>
          <w:sz w:val="24"/>
          <w:szCs w:val="24"/>
        </w:rPr>
        <w:t xml:space="preserve"> a los ODS se vuelve, entonces, un activo estratégico (Brundiers et al., 2021). Por eso, generar vínculos con comunidades para resolver problemas reales, co-crear conocimiento con distintos saberes, o articular proyectos con gobiernos, ONGs y empresas son acciones que potencian tanto el CR como el compromiso con la sostenibilidad. Incluso los lazos internacionales pueden alinearse con esta lógica: programas conjuntos, investigaciones colaborativas y movilidad académica pueden sumar a los desafíos globales.</w:t>
      </w:r>
    </w:p>
    <w:p w14:paraId="6B40046B" w14:textId="4C0A06A6" w:rsidR="00401168" w:rsidRPr="00401168" w:rsidRDefault="00401168" w:rsidP="00401168">
      <w:pPr>
        <w:spacing w:line="360" w:lineRule="auto"/>
        <w:jc w:val="both"/>
        <w:rPr>
          <w:rFonts w:ascii="Times New Roman" w:hAnsi="Times New Roman" w:cs="Times New Roman"/>
          <w:sz w:val="24"/>
          <w:szCs w:val="24"/>
          <w:lang w:val="es-ES"/>
        </w:rPr>
      </w:pPr>
      <w:r w:rsidRPr="006420EC">
        <w:rPr>
          <w:rFonts w:ascii="Times New Roman" w:hAnsi="Times New Roman" w:cs="Times New Roman"/>
          <w:sz w:val="24"/>
          <w:szCs w:val="24"/>
          <w:lang w:val="es-ES"/>
        </w:rPr>
        <w:t xml:space="preserve">A continuación, se presentan ejemplos de cómo el </w:t>
      </w:r>
      <w:r w:rsidR="00BB0FFD" w:rsidRPr="006420EC">
        <w:rPr>
          <w:rFonts w:ascii="Times New Roman" w:hAnsi="Times New Roman" w:cs="Times New Roman"/>
          <w:sz w:val="24"/>
          <w:szCs w:val="24"/>
          <w:lang w:val="es-ES"/>
        </w:rPr>
        <w:t>CR</w:t>
      </w:r>
      <w:r w:rsidRPr="006420EC">
        <w:rPr>
          <w:rFonts w:ascii="Times New Roman" w:hAnsi="Times New Roman" w:cs="Times New Roman"/>
          <w:sz w:val="24"/>
          <w:szCs w:val="24"/>
          <w:lang w:val="es-ES"/>
        </w:rPr>
        <w:t xml:space="preserve"> sostenible se traduce en apor</w:t>
      </w:r>
      <w:r w:rsidR="00136663">
        <w:rPr>
          <w:rFonts w:ascii="Times New Roman" w:hAnsi="Times New Roman" w:cs="Times New Roman"/>
          <w:sz w:val="24"/>
          <w:szCs w:val="24"/>
          <w:lang w:val="es-ES"/>
        </w:rPr>
        <w:t>tes concretos a los ODS desde l</w:t>
      </w:r>
      <w:r w:rsidRPr="006420EC">
        <w:rPr>
          <w:rFonts w:ascii="Times New Roman" w:hAnsi="Times New Roman" w:cs="Times New Roman"/>
          <w:sz w:val="24"/>
          <w:szCs w:val="24"/>
          <w:lang w:val="es-ES"/>
        </w:rPr>
        <w:t>a universidad pública:</w:t>
      </w:r>
    </w:p>
    <w:tbl>
      <w:tblPr>
        <w:tblStyle w:val="Tablanormal4"/>
        <w:tblW w:w="0" w:type="auto"/>
        <w:tblLook w:val="04A0" w:firstRow="1" w:lastRow="0" w:firstColumn="1" w:lastColumn="0" w:noHBand="0" w:noVBand="1"/>
      </w:tblPr>
      <w:tblGrid>
        <w:gridCol w:w="6422"/>
        <w:gridCol w:w="2082"/>
      </w:tblGrid>
      <w:tr w:rsidR="00401168" w:rsidRPr="00401168" w14:paraId="3E56D3E2" w14:textId="77777777" w:rsidTr="00FA29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13" w:type="dxa"/>
            <w:hideMark/>
          </w:tcPr>
          <w:p w14:paraId="11F67CED" w14:textId="77777777" w:rsidR="00401168" w:rsidRPr="000008FD" w:rsidRDefault="00401168" w:rsidP="00F0138F">
            <w:pPr>
              <w:spacing w:after="160" w:line="360" w:lineRule="auto"/>
              <w:jc w:val="center"/>
              <w:rPr>
                <w:rFonts w:ascii="Times New Roman" w:hAnsi="Times New Roman" w:cs="Times New Roman"/>
                <w:i/>
                <w:sz w:val="20"/>
                <w:szCs w:val="20"/>
                <w:lang w:val="en-US"/>
              </w:rPr>
            </w:pPr>
            <w:r w:rsidRPr="000008FD">
              <w:rPr>
                <w:rFonts w:ascii="Times New Roman" w:hAnsi="Times New Roman" w:cs="Times New Roman"/>
                <w:i/>
                <w:sz w:val="20"/>
                <w:szCs w:val="20"/>
                <w:lang w:val="en-US"/>
              </w:rPr>
              <w:t>Acción relacional sostenible</w:t>
            </w:r>
          </w:p>
        </w:tc>
        <w:tc>
          <w:tcPr>
            <w:tcW w:w="2125" w:type="dxa"/>
            <w:hideMark/>
          </w:tcPr>
          <w:p w14:paraId="382353E9" w14:textId="77777777" w:rsidR="00401168" w:rsidRPr="000008FD" w:rsidRDefault="00401168" w:rsidP="00F0138F">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20"/>
                <w:szCs w:val="20"/>
                <w:lang w:val="en-US"/>
              </w:rPr>
            </w:pPr>
            <w:r w:rsidRPr="000008FD">
              <w:rPr>
                <w:rFonts w:ascii="Times New Roman" w:hAnsi="Times New Roman" w:cs="Times New Roman"/>
                <w:i/>
                <w:sz w:val="20"/>
                <w:szCs w:val="20"/>
                <w:lang w:val="en-US"/>
              </w:rPr>
              <w:t>ODS asociados</w:t>
            </w:r>
          </w:p>
        </w:tc>
      </w:tr>
      <w:tr w:rsidR="00FA292E" w:rsidRPr="00401168" w14:paraId="4E260526" w14:textId="77777777" w:rsidTr="00FA29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13" w:type="dxa"/>
            <w:hideMark/>
          </w:tcPr>
          <w:p w14:paraId="240B4E75" w14:textId="77777777" w:rsidR="00401168" w:rsidRPr="000008FD" w:rsidRDefault="00401168" w:rsidP="00401168">
            <w:pPr>
              <w:spacing w:after="160" w:line="360" w:lineRule="auto"/>
              <w:jc w:val="both"/>
              <w:rPr>
                <w:rFonts w:ascii="Times New Roman" w:hAnsi="Times New Roman" w:cs="Times New Roman"/>
                <w:b w:val="0"/>
                <w:sz w:val="20"/>
                <w:szCs w:val="20"/>
                <w:lang w:val="es-ES"/>
              </w:rPr>
            </w:pPr>
            <w:r w:rsidRPr="000008FD">
              <w:rPr>
                <w:rFonts w:ascii="Times New Roman" w:hAnsi="Times New Roman" w:cs="Times New Roman"/>
                <w:b w:val="0"/>
                <w:sz w:val="20"/>
                <w:szCs w:val="20"/>
                <w:lang w:val="es-ES"/>
              </w:rPr>
              <w:t>Proyectos comunitarios de extensión universitaria (por ej., acceso al agua, salud reproductiva, alfabetización digital)</w:t>
            </w:r>
          </w:p>
        </w:tc>
        <w:tc>
          <w:tcPr>
            <w:tcW w:w="2125" w:type="dxa"/>
            <w:hideMark/>
          </w:tcPr>
          <w:p w14:paraId="60CDB1AC" w14:textId="77777777" w:rsidR="00401168" w:rsidRPr="000008FD" w:rsidRDefault="00401168" w:rsidP="00401168">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0008FD">
              <w:rPr>
                <w:rFonts w:ascii="Times New Roman" w:hAnsi="Times New Roman" w:cs="Times New Roman"/>
                <w:sz w:val="20"/>
                <w:szCs w:val="20"/>
                <w:lang w:val="en-US"/>
              </w:rPr>
              <w:t>ODS 1, 3, 4, 5, 6, 10</w:t>
            </w:r>
          </w:p>
        </w:tc>
      </w:tr>
      <w:tr w:rsidR="00401168" w:rsidRPr="00401168" w14:paraId="168856B4" w14:textId="77777777" w:rsidTr="00FA292E">
        <w:tc>
          <w:tcPr>
            <w:cnfStyle w:val="001000000000" w:firstRow="0" w:lastRow="0" w:firstColumn="1" w:lastColumn="0" w:oddVBand="0" w:evenVBand="0" w:oddHBand="0" w:evenHBand="0" w:firstRowFirstColumn="0" w:firstRowLastColumn="0" w:lastRowFirstColumn="0" w:lastRowLastColumn="0"/>
            <w:tcW w:w="6613" w:type="dxa"/>
            <w:hideMark/>
          </w:tcPr>
          <w:p w14:paraId="23A071B3" w14:textId="26B2954C" w:rsidR="00401168" w:rsidRPr="000008FD" w:rsidRDefault="00401168" w:rsidP="00401168">
            <w:pPr>
              <w:spacing w:after="160" w:line="360" w:lineRule="auto"/>
              <w:jc w:val="both"/>
              <w:rPr>
                <w:rFonts w:ascii="Times New Roman" w:hAnsi="Times New Roman" w:cs="Times New Roman"/>
                <w:b w:val="0"/>
                <w:sz w:val="20"/>
                <w:szCs w:val="20"/>
                <w:lang w:val="es-ES"/>
              </w:rPr>
            </w:pPr>
            <w:r w:rsidRPr="000008FD">
              <w:rPr>
                <w:rFonts w:ascii="Times New Roman" w:hAnsi="Times New Roman" w:cs="Times New Roman"/>
                <w:b w:val="0"/>
                <w:sz w:val="20"/>
                <w:szCs w:val="20"/>
                <w:lang w:val="es-ES"/>
              </w:rPr>
              <w:t xml:space="preserve">Alianzas interuniversitarias para </w:t>
            </w:r>
            <w:r w:rsidR="009D1784" w:rsidRPr="000008FD">
              <w:rPr>
                <w:rFonts w:ascii="Times New Roman" w:hAnsi="Times New Roman" w:cs="Times New Roman"/>
                <w:b w:val="0"/>
                <w:sz w:val="20"/>
                <w:szCs w:val="20"/>
                <w:lang w:val="es-ES"/>
              </w:rPr>
              <w:t xml:space="preserve">el abordaje de la problemática del </w:t>
            </w:r>
            <w:r w:rsidRPr="000008FD">
              <w:rPr>
                <w:rFonts w:ascii="Times New Roman" w:hAnsi="Times New Roman" w:cs="Times New Roman"/>
                <w:b w:val="0"/>
                <w:sz w:val="20"/>
                <w:szCs w:val="20"/>
                <w:lang w:val="es-ES"/>
              </w:rPr>
              <w:t>cambio climático</w:t>
            </w:r>
          </w:p>
        </w:tc>
        <w:tc>
          <w:tcPr>
            <w:tcW w:w="2125" w:type="dxa"/>
            <w:hideMark/>
          </w:tcPr>
          <w:p w14:paraId="5D36B345" w14:textId="77777777" w:rsidR="00401168" w:rsidRPr="000008FD" w:rsidRDefault="00401168" w:rsidP="00401168">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0008FD">
              <w:rPr>
                <w:rFonts w:ascii="Times New Roman" w:hAnsi="Times New Roman" w:cs="Times New Roman"/>
                <w:sz w:val="20"/>
                <w:szCs w:val="20"/>
                <w:lang w:val="en-US"/>
              </w:rPr>
              <w:t>ODS 13, 7, 11, 15</w:t>
            </w:r>
          </w:p>
        </w:tc>
      </w:tr>
      <w:tr w:rsidR="00FA292E" w:rsidRPr="00401168" w14:paraId="72405677" w14:textId="77777777" w:rsidTr="00FA29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13" w:type="dxa"/>
            <w:hideMark/>
          </w:tcPr>
          <w:p w14:paraId="0772FBCE" w14:textId="77777777" w:rsidR="00401168" w:rsidRPr="000008FD" w:rsidRDefault="00401168" w:rsidP="00401168">
            <w:pPr>
              <w:spacing w:after="160" w:line="360" w:lineRule="auto"/>
              <w:jc w:val="both"/>
              <w:rPr>
                <w:rFonts w:ascii="Times New Roman" w:hAnsi="Times New Roman" w:cs="Times New Roman"/>
                <w:b w:val="0"/>
                <w:sz w:val="20"/>
                <w:szCs w:val="20"/>
                <w:lang w:val="es-ES"/>
              </w:rPr>
            </w:pPr>
            <w:r w:rsidRPr="000008FD">
              <w:rPr>
                <w:rFonts w:ascii="Times New Roman" w:hAnsi="Times New Roman" w:cs="Times New Roman"/>
                <w:b w:val="0"/>
                <w:sz w:val="20"/>
                <w:szCs w:val="20"/>
                <w:lang w:val="es-ES"/>
              </w:rPr>
              <w:t>Formación de redes con actores sociales para la economía circular y la innovación social</w:t>
            </w:r>
          </w:p>
        </w:tc>
        <w:tc>
          <w:tcPr>
            <w:tcW w:w="2125" w:type="dxa"/>
            <w:hideMark/>
          </w:tcPr>
          <w:p w14:paraId="6132BB17" w14:textId="77777777" w:rsidR="00401168" w:rsidRPr="000008FD" w:rsidRDefault="00401168" w:rsidP="00401168">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0008FD">
              <w:rPr>
                <w:rFonts w:ascii="Times New Roman" w:hAnsi="Times New Roman" w:cs="Times New Roman"/>
                <w:sz w:val="20"/>
                <w:szCs w:val="20"/>
                <w:lang w:val="en-US"/>
              </w:rPr>
              <w:t>ODS 9, 12, 17</w:t>
            </w:r>
          </w:p>
        </w:tc>
      </w:tr>
      <w:tr w:rsidR="00401168" w:rsidRPr="00401168" w14:paraId="126B3D21" w14:textId="77777777" w:rsidTr="00FA292E">
        <w:tc>
          <w:tcPr>
            <w:cnfStyle w:val="001000000000" w:firstRow="0" w:lastRow="0" w:firstColumn="1" w:lastColumn="0" w:oddVBand="0" w:evenVBand="0" w:oddHBand="0" w:evenHBand="0" w:firstRowFirstColumn="0" w:firstRowLastColumn="0" w:lastRowFirstColumn="0" w:lastRowLastColumn="0"/>
            <w:tcW w:w="6613" w:type="dxa"/>
            <w:hideMark/>
          </w:tcPr>
          <w:p w14:paraId="29420FC3" w14:textId="77777777" w:rsidR="00401168" w:rsidRPr="000008FD" w:rsidRDefault="00401168" w:rsidP="00401168">
            <w:pPr>
              <w:spacing w:after="160" w:line="360" w:lineRule="auto"/>
              <w:jc w:val="both"/>
              <w:rPr>
                <w:rFonts w:ascii="Times New Roman" w:hAnsi="Times New Roman" w:cs="Times New Roman"/>
                <w:b w:val="0"/>
                <w:sz w:val="20"/>
                <w:szCs w:val="20"/>
                <w:lang w:val="es-ES"/>
              </w:rPr>
            </w:pPr>
            <w:r w:rsidRPr="000008FD">
              <w:rPr>
                <w:rFonts w:ascii="Times New Roman" w:hAnsi="Times New Roman" w:cs="Times New Roman"/>
                <w:b w:val="0"/>
                <w:sz w:val="20"/>
                <w:szCs w:val="20"/>
                <w:lang w:val="es-ES"/>
              </w:rPr>
              <w:t>Participación en políticas públicas y asesoramiento técnico</w:t>
            </w:r>
          </w:p>
        </w:tc>
        <w:tc>
          <w:tcPr>
            <w:tcW w:w="2125" w:type="dxa"/>
            <w:hideMark/>
          </w:tcPr>
          <w:p w14:paraId="6663817B" w14:textId="77777777" w:rsidR="00401168" w:rsidRPr="000008FD" w:rsidRDefault="00401168" w:rsidP="00401168">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0008FD">
              <w:rPr>
                <w:rFonts w:ascii="Times New Roman" w:hAnsi="Times New Roman" w:cs="Times New Roman"/>
                <w:sz w:val="20"/>
                <w:szCs w:val="20"/>
                <w:lang w:val="en-US"/>
              </w:rPr>
              <w:t>ODS 16, 17</w:t>
            </w:r>
          </w:p>
        </w:tc>
      </w:tr>
      <w:tr w:rsidR="00FA292E" w:rsidRPr="00401168" w14:paraId="2BEE5717" w14:textId="77777777" w:rsidTr="00FA29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13" w:type="dxa"/>
            <w:hideMark/>
          </w:tcPr>
          <w:p w14:paraId="3714CE9D" w14:textId="77777777" w:rsidR="00401168" w:rsidRPr="000008FD" w:rsidRDefault="00401168" w:rsidP="00401168">
            <w:pPr>
              <w:spacing w:after="160" w:line="360" w:lineRule="auto"/>
              <w:jc w:val="both"/>
              <w:rPr>
                <w:rFonts w:ascii="Times New Roman" w:hAnsi="Times New Roman" w:cs="Times New Roman"/>
                <w:b w:val="0"/>
                <w:sz w:val="20"/>
                <w:szCs w:val="20"/>
                <w:lang w:val="es-ES"/>
              </w:rPr>
            </w:pPr>
            <w:r w:rsidRPr="000008FD">
              <w:rPr>
                <w:rFonts w:ascii="Times New Roman" w:hAnsi="Times New Roman" w:cs="Times New Roman"/>
                <w:b w:val="0"/>
                <w:sz w:val="20"/>
                <w:szCs w:val="20"/>
                <w:lang w:val="es-ES"/>
              </w:rPr>
              <w:t>Espacios de diálogo intercultural y derechos humanos con pueblos originarios y comunidades rurales</w:t>
            </w:r>
          </w:p>
        </w:tc>
        <w:tc>
          <w:tcPr>
            <w:tcW w:w="2125" w:type="dxa"/>
            <w:hideMark/>
          </w:tcPr>
          <w:p w14:paraId="34473CA5" w14:textId="77777777" w:rsidR="00401168" w:rsidRPr="000008FD" w:rsidRDefault="00401168" w:rsidP="00401168">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0008FD">
              <w:rPr>
                <w:rFonts w:ascii="Times New Roman" w:hAnsi="Times New Roman" w:cs="Times New Roman"/>
                <w:sz w:val="20"/>
                <w:szCs w:val="20"/>
                <w:lang w:val="en-US"/>
              </w:rPr>
              <w:t>ODS 10, 11, 16</w:t>
            </w:r>
          </w:p>
        </w:tc>
      </w:tr>
    </w:tbl>
    <w:p w14:paraId="6FE7CC47" w14:textId="1172AB08" w:rsidR="006C6289" w:rsidRPr="00865381" w:rsidRDefault="00FA292E" w:rsidP="006C6289">
      <w:pPr>
        <w:spacing w:line="360" w:lineRule="auto"/>
        <w:jc w:val="both"/>
        <w:rPr>
          <w:rFonts w:ascii="Times New Roman" w:hAnsi="Times New Roman" w:cs="Times New Roman"/>
          <w:sz w:val="24"/>
          <w:szCs w:val="24"/>
        </w:rPr>
      </w:pPr>
      <w:r>
        <w:rPr>
          <w:rFonts w:ascii="Times New Roman" w:hAnsi="Times New Roman" w:cs="Times New Roman"/>
          <w:sz w:val="24"/>
          <w:szCs w:val="24"/>
        </w:rPr>
        <w:t>Fuente: elaboración propia</w:t>
      </w:r>
    </w:p>
    <w:p w14:paraId="2A94B13C" w14:textId="47621C3B" w:rsidR="006C6289" w:rsidRPr="00865381" w:rsidRDefault="006C6289" w:rsidP="006C6289">
      <w:pPr>
        <w:spacing w:line="360" w:lineRule="auto"/>
        <w:jc w:val="both"/>
        <w:rPr>
          <w:rFonts w:ascii="Times New Roman" w:hAnsi="Times New Roman" w:cs="Times New Roman"/>
          <w:b/>
          <w:bCs/>
          <w:sz w:val="24"/>
          <w:szCs w:val="24"/>
        </w:rPr>
      </w:pPr>
      <w:r w:rsidRPr="00865381">
        <w:rPr>
          <w:rFonts w:ascii="Times New Roman" w:hAnsi="Times New Roman" w:cs="Times New Roman"/>
          <w:b/>
          <w:bCs/>
          <w:sz w:val="24"/>
          <w:szCs w:val="24"/>
        </w:rPr>
        <w:t>Revisión de la literatura: factores institucionales en la divulgación del capital intelectual</w:t>
      </w:r>
    </w:p>
    <w:p w14:paraId="256024F0" w14:textId="67ABB032" w:rsidR="00AE61FA" w:rsidRPr="00865381" w:rsidRDefault="00AE61FA" w:rsidP="00AE61FA">
      <w:pPr>
        <w:spacing w:line="360" w:lineRule="auto"/>
        <w:jc w:val="both"/>
        <w:rPr>
          <w:rFonts w:ascii="Times New Roman" w:hAnsi="Times New Roman" w:cs="Times New Roman"/>
          <w:sz w:val="24"/>
          <w:szCs w:val="24"/>
        </w:rPr>
      </w:pPr>
      <w:r w:rsidRPr="00865381">
        <w:rPr>
          <w:rFonts w:ascii="Times New Roman" w:hAnsi="Times New Roman" w:cs="Times New Roman"/>
          <w:sz w:val="24"/>
          <w:szCs w:val="24"/>
        </w:rPr>
        <w:t xml:space="preserve">Diversos estudios han buscado identificar qué factores organizacionales condicionan las políticas y prácticas de divulgación del </w:t>
      </w:r>
      <w:r w:rsidR="004B4E3D">
        <w:rPr>
          <w:rFonts w:ascii="Times New Roman" w:hAnsi="Times New Roman" w:cs="Times New Roman"/>
          <w:sz w:val="24"/>
          <w:szCs w:val="24"/>
        </w:rPr>
        <w:t>CI</w:t>
      </w:r>
      <w:r w:rsidRPr="00865381">
        <w:rPr>
          <w:rFonts w:ascii="Times New Roman" w:hAnsi="Times New Roman" w:cs="Times New Roman"/>
          <w:sz w:val="24"/>
          <w:szCs w:val="24"/>
        </w:rPr>
        <w:t xml:space="preserve"> en instituciones de educación superior. Si bien los marcos teóricos predominantes apelan a enfoques institucionales y de legitimidad, la evidencia empírica muestra resultados variados en relación con el peso específico de determinadas variables. A continuación, se revisan aquellos trabajos que analizan cuatro factores recurrentemente citados en la literatura especializada: tamaño institucional, diversidad de género en la gobernanza, capacidad investigativa y complejidad organizacional. </w:t>
      </w:r>
    </w:p>
    <w:p w14:paraId="7475D25E" w14:textId="77777777" w:rsidR="00F06F40" w:rsidRDefault="00AE61FA" w:rsidP="00AE61FA">
      <w:pPr>
        <w:spacing w:line="360" w:lineRule="auto"/>
        <w:jc w:val="both"/>
        <w:rPr>
          <w:rFonts w:ascii="Times New Roman" w:hAnsi="Times New Roman" w:cs="Times New Roman"/>
          <w:sz w:val="24"/>
          <w:szCs w:val="24"/>
        </w:rPr>
      </w:pPr>
      <w:r w:rsidRPr="00865381">
        <w:rPr>
          <w:rFonts w:ascii="Times New Roman" w:hAnsi="Times New Roman" w:cs="Times New Roman"/>
          <w:sz w:val="24"/>
          <w:szCs w:val="24"/>
        </w:rPr>
        <w:lastRenderedPageBreak/>
        <w:t xml:space="preserve">Respecto del </w:t>
      </w:r>
      <w:r w:rsidRPr="00865381">
        <w:rPr>
          <w:rFonts w:ascii="Times New Roman" w:hAnsi="Times New Roman" w:cs="Times New Roman"/>
          <w:b/>
          <w:bCs/>
          <w:sz w:val="24"/>
          <w:szCs w:val="24"/>
        </w:rPr>
        <w:t>tamaño institucional</w:t>
      </w:r>
      <w:r w:rsidRPr="00865381">
        <w:rPr>
          <w:rFonts w:ascii="Times New Roman" w:hAnsi="Times New Roman" w:cs="Times New Roman"/>
          <w:sz w:val="24"/>
          <w:szCs w:val="24"/>
        </w:rPr>
        <w:t xml:space="preserve">, algunos estudios reportan una asociación positiva con la divulgación de CI. </w:t>
      </w:r>
      <w:r w:rsidR="0056096D" w:rsidRPr="00865381">
        <w:rPr>
          <w:rFonts w:ascii="Times New Roman" w:hAnsi="Times New Roman" w:cs="Times New Roman"/>
          <w:sz w:val="24"/>
          <w:szCs w:val="24"/>
        </w:rPr>
        <w:t>Por ejemplo, Rahayu y Setiawan (2023), Gallego‐Álvarez, Rodríguez‐Domínguez y García‐Sánchez (2011), Sariene, Rodríguez y de Rosario (2018), así como Abello-Romero, Mancilla, Molina y Palma (2018) y Abello-Romero, Mancilla, Ganga-Contreras y Estay-Sepúlveda (2019), encuentran que las universidades de mayor tamaño tienden a difundir mayor volumen de información.</w:t>
      </w:r>
      <w:r w:rsidRPr="00865381">
        <w:rPr>
          <w:rFonts w:ascii="Times New Roman" w:hAnsi="Times New Roman" w:cs="Times New Roman"/>
          <w:sz w:val="24"/>
          <w:szCs w:val="24"/>
        </w:rPr>
        <w:t xml:space="preserve"> Sin embargo, otros estudios, como los de Católico </w:t>
      </w:r>
      <w:r w:rsidR="005372CB" w:rsidRPr="00865381">
        <w:rPr>
          <w:rFonts w:ascii="Times New Roman" w:hAnsi="Times New Roman" w:cs="Times New Roman"/>
          <w:sz w:val="24"/>
          <w:szCs w:val="24"/>
        </w:rPr>
        <w:t xml:space="preserve">Segura </w:t>
      </w:r>
      <w:r w:rsidRPr="00865381">
        <w:rPr>
          <w:rFonts w:ascii="Times New Roman" w:hAnsi="Times New Roman" w:cs="Times New Roman"/>
          <w:sz w:val="24"/>
          <w:szCs w:val="24"/>
        </w:rPr>
        <w:t xml:space="preserve">(2023) y </w:t>
      </w:r>
      <w:r w:rsidR="005372CB" w:rsidRPr="00865381">
        <w:rPr>
          <w:rFonts w:ascii="Times New Roman" w:hAnsi="Times New Roman" w:cs="Times New Roman"/>
          <w:sz w:val="24"/>
          <w:szCs w:val="24"/>
        </w:rPr>
        <w:t>Vitolla, Raimo, Nicolò y Ricciardelli (2023)</w:t>
      </w:r>
      <w:r w:rsidRPr="00865381">
        <w:rPr>
          <w:rFonts w:ascii="Times New Roman" w:hAnsi="Times New Roman" w:cs="Times New Roman"/>
          <w:sz w:val="24"/>
          <w:szCs w:val="24"/>
        </w:rPr>
        <w:t>, no hallan relación significativa entre el tamaño y el nivel de divulgación</w:t>
      </w:r>
      <w:r w:rsidR="00B072E6" w:rsidRPr="00865381">
        <w:rPr>
          <w:rFonts w:ascii="Times New Roman" w:hAnsi="Times New Roman" w:cs="Times New Roman"/>
          <w:sz w:val="24"/>
          <w:szCs w:val="24"/>
        </w:rPr>
        <w:t xml:space="preserve">. </w:t>
      </w:r>
      <w:r w:rsidR="00F06F40" w:rsidRPr="00F06F40">
        <w:rPr>
          <w:rFonts w:ascii="Times New Roman" w:hAnsi="Times New Roman" w:cs="Times New Roman"/>
          <w:sz w:val="24"/>
          <w:szCs w:val="24"/>
        </w:rPr>
        <w:t>Más específicamente, autores como Flórez-Parra, López-Pérez, López-Hernández y Arco‐Castro (2023), así como Larrán Jorge, Andrades Peña y Herrera Madueño (2019), concluyen que no existe una relación significativa entre esta variable y la divulgación de información vin</w:t>
      </w:r>
      <w:r w:rsidR="005D7CDB">
        <w:rPr>
          <w:rFonts w:ascii="Times New Roman" w:hAnsi="Times New Roman" w:cs="Times New Roman"/>
          <w:sz w:val="24"/>
          <w:szCs w:val="24"/>
        </w:rPr>
        <w:t>culada a la sostenibilidad. Estos</w:t>
      </w:r>
      <w:r w:rsidR="00F06F40" w:rsidRPr="00F06F40">
        <w:rPr>
          <w:rFonts w:ascii="Times New Roman" w:hAnsi="Times New Roman" w:cs="Times New Roman"/>
          <w:sz w:val="24"/>
          <w:szCs w:val="24"/>
        </w:rPr>
        <w:t xml:space="preserve"> hallazgo</w:t>
      </w:r>
      <w:r w:rsidR="005D7CDB">
        <w:rPr>
          <w:rFonts w:ascii="Times New Roman" w:hAnsi="Times New Roman" w:cs="Times New Roman"/>
          <w:sz w:val="24"/>
          <w:szCs w:val="24"/>
        </w:rPr>
        <w:t>s</w:t>
      </w:r>
      <w:r w:rsidR="00F06F40" w:rsidRPr="00F06F40">
        <w:rPr>
          <w:rFonts w:ascii="Times New Roman" w:hAnsi="Times New Roman" w:cs="Times New Roman"/>
          <w:sz w:val="24"/>
          <w:szCs w:val="24"/>
        </w:rPr>
        <w:t xml:space="preserve"> sugiere</w:t>
      </w:r>
      <w:r w:rsidR="005D7CDB">
        <w:rPr>
          <w:rFonts w:ascii="Times New Roman" w:hAnsi="Times New Roman" w:cs="Times New Roman"/>
          <w:sz w:val="24"/>
          <w:szCs w:val="24"/>
        </w:rPr>
        <w:t>n</w:t>
      </w:r>
      <w:r w:rsidR="00F06F40" w:rsidRPr="00F06F40">
        <w:rPr>
          <w:rFonts w:ascii="Times New Roman" w:hAnsi="Times New Roman" w:cs="Times New Roman"/>
          <w:sz w:val="24"/>
          <w:szCs w:val="24"/>
        </w:rPr>
        <w:t xml:space="preserve"> que dicho factor podría estar condicionado por otras variables institucionales o contextuales, aún no del todo exploradas.</w:t>
      </w:r>
    </w:p>
    <w:p w14:paraId="67144F6A" w14:textId="77777777" w:rsidR="00AE61FA" w:rsidRPr="00865381" w:rsidRDefault="00AE61FA" w:rsidP="00AE61FA">
      <w:pPr>
        <w:spacing w:line="360" w:lineRule="auto"/>
        <w:jc w:val="both"/>
        <w:rPr>
          <w:rFonts w:ascii="Times New Roman" w:hAnsi="Times New Roman" w:cs="Times New Roman"/>
          <w:sz w:val="24"/>
          <w:szCs w:val="24"/>
        </w:rPr>
      </w:pPr>
      <w:r w:rsidRPr="00865381">
        <w:rPr>
          <w:rFonts w:ascii="Times New Roman" w:hAnsi="Times New Roman" w:cs="Times New Roman"/>
          <w:sz w:val="24"/>
          <w:szCs w:val="24"/>
        </w:rPr>
        <w:t xml:space="preserve">En relación con la </w:t>
      </w:r>
      <w:r w:rsidRPr="00865381">
        <w:rPr>
          <w:rFonts w:ascii="Times New Roman" w:hAnsi="Times New Roman" w:cs="Times New Roman"/>
          <w:b/>
          <w:bCs/>
          <w:sz w:val="24"/>
          <w:szCs w:val="24"/>
        </w:rPr>
        <w:t>diversidad de género</w:t>
      </w:r>
      <w:r w:rsidRPr="00865381">
        <w:rPr>
          <w:rFonts w:ascii="Times New Roman" w:hAnsi="Times New Roman" w:cs="Times New Roman"/>
          <w:sz w:val="24"/>
          <w:szCs w:val="24"/>
        </w:rPr>
        <w:t xml:space="preserve"> en cargos directivos, Vitolla e</w:t>
      </w:r>
      <w:r w:rsidR="0040137C">
        <w:rPr>
          <w:rFonts w:ascii="Times New Roman" w:hAnsi="Times New Roman" w:cs="Times New Roman"/>
          <w:sz w:val="24"/>
          <w:szCs w:val="24"/>
        </w:rPr>
        <w:t>t al. (2023) aportan</w:t>
      </w:r>
      <w:r w:rsidRPr="00865381">
        <w:rPr>
          <w:rFonts w:ascii="Times New Roman" w:hAnsi="Times New Roman" w:cs="Times New Roman"/>
          <w:sz w:val="24"/>
          <w:szCs w:val="24"/>
        </w:rPr>
        <w:t xml:space="preserve"> evidencia empírica respecto de que la diversidad de género de la junta directiva se asocia positivamente con mayores niveles de divulgación</w:t>
      </w:r>
      <w:r w:rsidR="0040137C">
        <w:rPr>
          <w:rFonts w:ascii="Times New Roman" w:hAnsi="Times New Roman" w:cs="Times New Roman"/>
          <w:sz w:val="24"/>
          <w:szCs w:val="24"/>
        </w:rPr>
        <w:t xml:space="preserve"> de CI</w:t>
      </w:r>
      <w:r w:rsidRPr="00865381">
        <w:rPr>
          <w:rFonts w:ascii="Times New Roman" w:hAnsi="Times New Roman" w:cs="Times New Roman"/>
          <w:sz w:val="24"/>
          <w:szCs w:val="24"/>
        </w:rPr>
        <w:t xml:space="preserve">. En el mismo sentido, Flórez-Parra et al. (2023) identifican la diversidad de género en la gobernanza como uno de los factores clave para mejorar la divulgación de información económica, social y ambiental en línea con los ODS. Contrariamente a estos hallazgos, Católico </w:t>
      </w:r>
      <w:r w:rsidR="00FB0A46" w:rsidRPr="00865381">
        <w:rPr>
          <w:rFonts w:ascii="Times New Roman" w:hAnsi="Times New Roman" w:cs="Times New Roman"/>
          <w:sz w:val="24"/>
          <w:szCs w:val="24"/>
        </w:rPr>
        <w:t xml:space="preserve">Segura </w:t>
      </w:r>
      <w:r w:rsidRPr="00865381">
        <w:rPr>
          <w:rFonts w:ascii="Times New Roman" w:hAnsi="Times New Roman" w:cs="Times New Roman"/>
          <w:sz w:val="24"/>
          <w:szCs w:val="24"/>
        </w:rPr>
        <w:t xml:space="preserve">(2022, 2023) no encuentra evidencia concluyente en universidades colombianas para afirmar que la presencia femenina en rectorías incida significativamente en </w:t>
      </w:r>
      <w:r w:rsidR="0040137C">
        <w:rPr>
          <w:rFonts w:ascii="Times New Roman" w:hAnsi="Times New Roman" w:cs="Times New Roman"/>
          <w:sz w:val="24"/>
          <w:szCs w:val="24"/>
        </w:rPr>
        <w:t>la divulgación de CI</w:t>
      </w:r>
      <w:r w:rsidRPr="00865381">
        <w:rPr>
          <w:rFonts w:ascii="Times New Roman" w:hAnsi="Times New Roman" w:cs="Times New Roman"/>
          <w:sz w:val="24"/>
          <w:szCs w:val="24"/>
        </w:rPr>
        <w:t>.</w:t>
      </w:r>
    </w:p>
    <w:p w14:paraId="11378BAC" w14:textId="77777777" w:rsidR="00AE61FA" w:rsidRPr="00865381" w:rsidRDefault="00AE61FA" w:rsidP="00AE61FA">
      <w:pPr>
        <w:spacing w:line="360" w:lineRule="auto"/>
        <w:jc w:val="both"/>
        <w:rPr>
          <w:rFonts w:ascii="Times New Roman" w:hAnsi="Times New Roman" w:cs="Times New Roman"/>
          <w:sz w:val="24"/>
          <w:szCs w:val="24"/>
        </w:rPr>
      </w:pPr>
      <w:r w:rsidRPr="00865381">
        <w:rPr>
          <w:rFonts w:ascii="Times New Roman" w:hAnsi="Times New Roman" w:cs="Times New Roman"/>
          <w:sz w:val="24"/>
          <w:szCs w:val="24"/>
        </w:rPr>
        <w:t xml:space="preserve">La </w:t>
      </w:r>
      <w:r w:rsidRPr="00865381">
        <w:rPr>
          <w:rFonts w:ascii="Times New Roman" w:hAnsi="Times New Roman" w:cs="Times New Roman"/>
          <w:b/>
          <w:bCs/>
          <w:sz w:val="24"/>
          <w:szCs w:val="24"/>
        </w:rPr>
        <w:t>capacidad investigativa</w:t>
      </w:r>
      <w:r w:rsidRPr="00865381">
        <w:rPr>
          <w:rFonts w:ascii="Times New Roman" w:hAnsi="Times New Roman" w:cs="Times New Roman"/>
          <w:sz w:val="24"/>
          <w:szCs w:val="24"/>
        </w:rPr>
        <w:t xml:space="preserve"> de las universidades aparece con mayor consistencia como un factor determinante. En particular, el estudio de Católico </w:t>
      </w:r>
      <w:r w:rsidR="00FB0A46" w:rsidRPr="00865381">
        <w:rPr>
          <w:rFonts w:ascii="Times New Roman" w:hAnsi="Times New Roman" w:cs="Times New Roman"/>
          <w:sz w:val="24"/>
          <w:szCs w:val="24"/>
        </w:rPr>
        <w:t xml:space="preserve">Segura </w:t>
      </w:r>
      <w:r w:rsidRPr="00865381">
        <w:rPr>
          <w:rFonts w:ascii="Times New Roman" w:hAnsi="Times New Roman" w:cs="Times New Roman"/>
          <w:sz w:val="24"/>
          <w:szCs w:val="24"/>
        </w:rPr>
        <w:t>(2023) identifica una relación positiva y significativa entre esta variable y el nivel de divulgación de CI, hallazgo que también es confirmado en trabajos anteriores como el de Abello-Romero et al. (2018), quienes integran esta dimensión dentro de un modelo de regresión que muestra su incidencia en las políticas informativas institucionales.</w:t>
      </w:r>
    </w:p>
    <w:p w14:paraId="1AF60A1F" w14:textId="77777777" w:rsidR="00AE61FA" w:rsidRPr="00865381" w:rsidRDefault="00AE61FA" w:rsidP="00AE61FA">
      <w:pPr>
        <w:spacing w:line="360" w:lineRule="auto"/>
        <w:jc w:val="both"/>
        <w:rPr>
          <w:rFonts w:ascii="Times New Roman" w:hAnsi="Times New Roman" w:cs="Times New Roman"/>
          <w:sz w:val="24"/>
          <w:szCs w:val="24"/>
        </w:rPr>
      </w:pPr>
      <w:r w:rsidRPr="00865381">
        <w:rPr>
          <w:rFonts w:ascii="Times New Roman" w:hAnsi="Times New Roman" w:cs="Times New Roman"/>
          <w:sz w:val="24"/>
          <w:szCs w:val="24"/>
        </w:rPr>
        <w:t xml:space="preserve">Por último, la </w:t>
      </w:r>
      <w:r w:rsidRPr="00865381">
        <w:rPr>
          <w:rFonts w:ascii="Times New Roman" w:hAnsi="Times New Roman" w:cs="Times New Roman"/>
          <w:b/>
          <w:bCs/>
          <w:sz w:val="24"/>
          <w:szCs w:val="24"/>
        </w:rPr>
        <w:t>complejidad organizacional</w:t>
      </w:r>
      <w:r w:rsidRPr="00865381">
        <w:rPr>
          <w:rFonts w:ascii="Times New Roman" w:hAnsi="Times New Roman" w:cs="Times New Roman"/>
          <w:sz w:val="24"/>
          <w:szCs w:val="24"/>
        </w:rPr>
        <w:t>, entendida como la cantidad y diversidad de programas ofrecidos, ha sido anali</w:t>
      </w:r>
      <w:r w:rsidR="00FB0A46" w:rsidRPr="00865381">
        <w:rPr>
          <w:rFonts w:ascii="Times New Roman" w:hAnsi="Times New Roman" w:cs="Times New Roman"/>
          <w:sz w:val="24"/>
          <w:szCs w:val="24"/>
        </w:rPr>
        <w:t>zada en estudios como los de</w:t>
      </w:r>
      <w:r w:rsidRPr="00865381">
        <w:rPr>
          <w:rFonts w:ascii="Times New Roman" w:hAnsi="Times New Roman" w:cs="Times New Roman"/>
          <w:sz w:val="24"/>
          <w:szCs w:val="24"/>
        </w:rPr>
        <w:t xml:space="preserve"> Bisogno</w:t>
      </w:r>
      <w:r w:rsidR="005372CB" w:rsidRPr="00865381">
        <w:rPr>
          <w:rFonts w:ascii="Times New Roman" w:hAnsi="Times New Roman" w:cs="Times New Roman"/>
          <w:sz w:val="24"/>
          <w:szCs w:val="24"/>
        </w:rPr>
        <w:t>,</w:t>
      </w:r>
      <w:r w:rsidRPr="00865381">
        <w:rPr>
          <w:rFonts w:ascii="Times New Roman" w:hAnsi="Times New Roman" w:cs="Times New Roman"/>
          <w:sz w:val="24"/>
          <w:szCs w:val="24"/>
        </w:rPr>
        <w:t xml:space="preserve"> </w:t>
      </w:r>
      <w:r w:rsidR="005372CB" w:rsidRPr="00511DF7">
        <w:rPr>
          <w:rFonts w:ascii="Times New Roman" w:hAnsi="Times New Roman" w:cs="Times New Roman"/>
          <w:iCs/>
          <w:sz w:val="24"/>
          <w:szCs w:val="24"/>
          <w:lang w:val="es-ES"/>
        </w:rPr>
        <w:t xml:space="preserve">Citro y Tommasetti, </w:t>
      </w:r>
      <w:r w:rsidRPr="00865381">
        <w:rPr>
          <w:rFonts w:ascii="Times New Roman" w:hAnsi="Times New Roman" w:cs="Times New Roman"/>
          <w:sz w:val="24"/>
          <w:szCs w:val="24"/>
        </w:rPr>
        <w:t xml:space="preserve">(2014) y </w:t>
      </w:r>
      <w:r w:rsidR="005372CB" w:rsidRPr="00865381">
        <w:rPr>
          <w:rFonts w:ascii="Times New Roman" w:hAnsi="Times New Roman" w:cs="Times New Roman"/>
          <w:bCs/>
          <w:sz w:val="24"/>
          <w:szCs w:val="24"/>
        </w:rPr>
        <w:t xml:space="preserve">Manes, Nicolò y Tartaglia </w:t>
      </w:r>
      <w:r w:rsidRPr="00865381">
        <w:rPr>
          <w:rFonts w:ascii="Times New Roman" w:hAnsi="Times New Roman" w:cs="Times New Roman"/>
          <w:sz w:val="24"/>
          <w:szCs w:val="24"/>
        </w:rPr>
        <w:t xml:space="preserve">(2018) quienes muestran una relación positiva y significativa entre esta variable y el nivel de divulgación en sus sitios web. Sin embargo, </w:t>
      </w:r>
      <w:r w:rsidR="00431771" w:rsidRPr="00865381">
        <w:rPr>
          <w:rFonts w:ascii="Times New Roman" w:hAnsi="Times New Roman" w:cs="Times New Roman"/>
          <w:sz w:val="24"/>
          <w:szCs w:val="24"/>
        </w:rPr>
        <w:t xml:space="preserve">Gallego‐Álvarez, Rodríguez‐Domínguez y García‐Sánchez (2011) </w:t>
      </w:r>
      <w:r w:rsidRPr="00865381">
        <w:rPr>
          <w:rFonts w:ascii="Times New Roman" w:hAnsi="Times New Roman" w:cs="Times New Roman"/>
          <w:sz w:val="24"/>
          <w:szCs w:val="24"/>
        </w:rPr>
        <w:t xml:space="preserve">y Católico </w:t>
      </w:r>
      <w:r w:rsidR="00FB0A46" w:rsidRPr="00865381">
        <w:rPr>
          <w:rFonts w:ascii="Times New Roman" w:hAnsi="Times New Roman" w:cs="Times New Roman"/>
          <w:sz w:val="24"/>
          <w:szCs w:val="24"/>
        </w:rPr>
        <w:lastRenderedPageBreak/>
        <w:t xml:space="preserve">Segura </w:t>
      </w:r>
      <w:r w:rsidRPr="00865381">
        <w:rPr>
          <w:rFonts w:ascii="Times New Roman" w:hAnsi="Times New Roman" w:cs="Times New Roman"/>
          <w:sz w:val="24"/>
          <w:szCs w:val="24"/>
        </w:rPr>
        <w:t>(2023) señalan que esta relación no resulta estadísticamente significativa en su modelo, a pesar de que podría esperarse que instituciones más complejas cuenten con mayores capacidades comunicacionales. Otros autores han utilizado, en lugar de la diversidad de programas, la internacionalización como variable representativa de la complejidad institucional. Sin embargo, los resultados reportados en la literatura no son concluyentes: mientras Manes et al. (2018) y Gallego‐Álvarez et al. (2011) identifican una relación positiva, el estudio de Rahayu y Setiawan (2023) aporta evidencia en sentido contrario.</w:t>
      </w:r>
    </w:p>
    <w:p w14:paraId="6BEF096C" w14:textId="54EE4984" w:rsidR="006C6289" w:rsidRPr="00865381" w:rsidRDefault="00AE61FA" w:rsidP="00AE61FA">
      <w:pPr>
        <w:spacing w:line="360" w:lineRule="auto"/>
        <w:jc w:val="both"/>
        <w:rPr>
          <w:rFonts w:ascii="Times New Roman" w:hAnsi="Times New Roman" w:cs="Times New Roman"/>
          <w:sz w:val="24"/>
          <w:szCs w:val="24"/>
        </w:rPr>
      </w:pPr>
      <w:r w:rsidRPr="00865381">
        <w:rPr>
          <w:rFonts w:ascii="Times New Roman" w:hAnsi="Times New Roman" w:cs="Times New Roman"/>
          <w:sz w:val="24"/>
          <w:szCs w:val="24"/>
        </w:rPr>
        <w:t>En conjunto, la literatura revisada</w:t>
      </w:r>
      <w:r w:rsidR="003C0110">
        <w:rPr>
          <w:rFonts w:ascii="Times New Roman" w:hAnsi="Times New Roman" w:cs="Times New Roman"/>
          <w:sz w:val="24"/>
          <w:szCs w:val="24"/>
        </w:rPr>
        <w:t xml:space="preserve"> </w:t>
      </w:r>
      <w:r w:rsidR="003C0110" w:rsidRPr="003C0110">
        <w:rPr>
          <w:rFonts w:ascii="Times New Roman" w:hAnsi="Times New Roman" w:cs="Times New Roman"/>
          <w:sz w:val="24"/>
          <w:szCs w:val="24"/>
        </w:rPr>
        <w:t>—</w:t>
      </w:r>
      <w:r w:rsidR="00D412A7">
        <w:rPr>
          <w:rFonts w:ascii="Times New Roman" w:hAnsi="Times New Roman" w:cs="Times New Roman"/>
          <w:sz w:val="24"/>
          <w:szCs w:val="24"/>
        </w:rPr>
        <w:t xml:space="preserve">tanto la que refiere a la divulgación del CI en general como aquella que específicamente analiza aspectos </w:t>
      </w:r>
      <w:r w:rsidR="003C6880">
        <w:rPr>
          <w:rFonts w:ascii="Times New Roman" w:hAnsi="Times New Roman" w:cs="Times New Roman"/>
          <w:sz w:val="24"/>
          <w:szCs w:val="24"/>
        </w:rPr>
        <w:t>vinculados a la sostenibilidad y</w:t>
      </w:r>
      <w:r w:rsidR="00D412A7">
        <w:rPr>
          <w:rFonts w:ascii="Times New Roman" w:hAnsi="Times New Roman" w:cs="Times New Roman"/>
          <w:sz w:val="24"/>
          <w:szCs w:val="24"/>
        </w:rPr>
        <w:t xml:space="preserve"> los ODS</w:t>
      </w:r>
      <w:r w:rsidR="0026643E" w:rsidRPr="0026643E">
        <w:rPr>
          <w:rFonts w:ascii="Times New Roman" w:hAnsi="Times New Roman" w:cs="Times New Roman"/>
          <w:sz w:val="24"/>
          <w:szCs w:val="24"/>
        </w:rPr>
        <w:t xml:space="preserve">— </w:t>
      </w:r>
      <w:r w:rsidR="00D412A7">
        <w:rPr>
          <w:rFonts w:ascii="Times New Roman" w:hAnsi="Times New Roman" w:cs="Times New Roman"/>
          <w:sz w:val="24"/>
          <w:szCs w:val="24"/>
        </w:rPr>
        <w:t xml:space="preserve"> </w:t>
      </w:r>
      <w:r w:rsidRPr="00865381">
        <w:rPr>
          <w:rFonts w:ascii="Times New Roman" w:hAnsi="Times New Roman" w:cs="Times New Roman"/>
          <w:sz w:val="24"/>
          <w:szCs w:val="24"/>
        </w:rPr>
        <w:t xml:space="preserve">permite afirmar que, si bien existe un consenso parcial en torno a ciertos factores, los resultados no son concluyentes ni </w:t>
      </w:r>
      <w:r w:rsidR="005F5161" w:rsidRPr="00865381">
        <w:rPr>
          <w:rFonts w:ascii="Times New Roman" w:hAnsi="Times New Roman" w:cs="Times New Roman"/>
          <w:sz w:val="24"/>
          <w:szCs w:val="24"/>
        </w:rPr>
        <w:t>homogéneos</w:t>
      </w:r>
      <w:r w:rsidRPr="00865381">
        <w:rPr>
          <w:rFonts w:ascii="Times New Roman" w:hAnsi="Times New Roman" w:cs="Times New Roman"/>
          <w:sz w:val="24"/>
          <w:szCs w:val="24"/>
        </w:rPr>
        <w:t>, lo que motiva a indagar el comportamiento de estas var</w:t>
      </w:r>
      <w:r w:rsidR="00A21BDF">
        <w:rPr>
          <w:rFonts w:ascii="Times New Roman" w:hAnsi="Times New Roman" w:cs="Times New Roman"/>
          <w:sz w:val="24"/>
          <w:szCs w:val="24"/>
        </w:rPr>
        <w:t xml:space="preserve">iables en el contexto argentino, </w:t>
      </w:r>
      <w:r w:rsidRPr="00865381">
        <w:rPr>
          <w:rFonts w:ascii="Times New Roman" w:hAnsi="Times New Roman" w:cs="Times New Roman"/>
          <w:sz w:val="24"/>
          <w:szCs w:val="24"/>
        </w:rPr>
        <w:t xml:space="preserve">y </w:t>
      </w:r>
      <w:r w:rsidR="007A17FC" w:rsidRPr="007A17FC">
        <w:rPr>
          <w:rFonts w:ascii="Times New Roman" w:hAnsi="Times New Roman" w:cs="Times New Roman"/>
          <w:sz w:val="24"/>
          <w:szCs w:val="24"/>
        </w:rPr>
        <w:t>específicamente en relación con la d</w:t>
      </w:r>
      <w:r w:rsidR="004B4E3D">
        <w:rPr>
          <w:rFonts w:ascii="Times New Roman" w:hAnsi="Times New Roman" w:cs="Times New Roman"/>
          <w:sz w:val="24"/>
          <w:szCs w:val="24"/>
        </w:rPr>
        <w:t>imensión del CI</w:t>
      </w:r>
      <w:r w:rsidR="007A17FC" w:rsidRPr="007A17FC">
        <w:rPr>
          <w:rFonts w:ascii="Times New Roman" w:hAnsi="Times New Roman" w:cs="Times New Roman"/>
          <w:sz w:val="24"/>
          <w:szCs w:val="24"/>
        </w:rPr>
        <w:t xml:space="preserve"> que aquí se analiza: el </w:t>
      </w:r>
      <w:r w:rsidR="004B4E3D">
        <w:rPr>
          <w:rFonts w:ascii="Times New Roman" w:hAnsi="Times New Roman" w:cs="Times New Roman"/>
          <w:sz w:val="24"/>
          <w:szCs w:val="24"/>
        </w:rPr>
        <w:t>CR</w:t>
      </w:r>
      <w:r w:rsidR="007A17FC" w:rsidRPr="007A17FC">
        <w:rPr>
          <w:rFonts w:ascii="Times New Roman" w:hAnsi="Times New Roman" w:cs="Times New Roman"/>
          <w:sz w:val="24"/>
          <w:szCs w:val="24"/>
        </w:rPr>
        <w:t>.</w:t>
      </w:r>
    </w:p>
    <w:p w14:paraId="4C495CFC" w14:textId="77777777" w:rsidR="00E91C50" w:rsidRDefault="00E91C50" w:rsidP="0029164D">
      <w:pPr>
        <w:spacing w:after="200" w:line="360" w:lineRule="auto"/>
        <w:jc w:val="both"/>
        <w:rPr>
          <w:rFonts w:ascii="Times New Roman" w:eastAsia="Calibri" w:hAnsi="Times New Roman" w:cs="Times New Roman"/>
          <w:b/>
          <w:sz w:val="24"/>
          <w:szCs w:val="24"/>
          <w:lang w:eastAsia="es-AR"/>
        </w:rPr>
      </w:pPr>
    </w:p>
    <w:p w14:paraId="358106FD" w14:textId="77777777" w:rsidR="0029164D" w:rsidRPr="00865381" w:rsidRDefault="0029164D" w:rsidP="0029164D">
      <w:pPr>
        <w:spacing w:after="200" w:line="360" w:lineRule="auto"/>
        <w:jc w:val="both"/>
        <w:rPr>
          <w:rFonts w:ascii="Times New Roman" w:eastAsia="Calibri" w:hAnsi="Times New Roman" w:cs="Times New Roman"/>
          <w:b/>
          <w:sz w:val="24"/>
          <w:szCs w:val="24"/>
          <w:lang w:eastAsia="es-AR"/>
        </w:rPr>
      </w:pPr>
      <w:r w:rsidRPr="00865381">
        <w:rPr>
          <w:rFonts w:ascii="Times New Roman" w:eastAsia="Calibri" w:hAnsi="Times New Roman" w:cs="Times New Roman"/>
          <w:b/>
          <w:sz w:val="24"/>
          <w:szCs w:val="24"/>
          <w:lang w:eastAsia="es-AR"/>
        </w:rPr>
        <w:t>Diseño metodológico</w:t>
      </w:r>
    </w:p>
    <w:p w14:paraId="54FF3480" w14:textId="77777777" w:rsidR="00735D92" w:rsidRDefault="009A54D8" w:rsidP="0029164D">
      <w:pPr>
        <w:spacing w:after="200" w:line="360" w:lineRule="auto"/>
        <w:jc w:val="both"/>
        <w:rPr>
          <w:rFonts w:ascii="Times New Roman" w:hAnsi="Times New Roman" w:cs="Times New Roman"/>
          <w:sz w:val="24"/>
          <w:szCs w:val="24"/>
        </w:rPr>
      </w:pPr>
      <w:r w:rsidRPr="00865381">
        <w:rPr>
          <w:rFonts w:ascii="Times New Roman" w:hAnsi="Times New Roman" w:cs="Times New Roman"/>
          <w:sz w:val="24"/>
          <w:szCs w:val="24"/>
        </w:rPr>
        <w:t>Se trata de un estudio exploratorio, de enfoque cuantitativo, contextualizado en el sistema de educación universitaria pública,</w:t>
      </w:r>
      <w:r w:rsidR="00FC01F7" w:rsidRPr="00865381">
        <w:rPr>
          <w:rFonts w:ascii="Times New Roman" w:hAnsi="Times New Roman" w:cs="Times New Roman"/>
          <w:sz w:val="24"/>
          <w:szCs w:val="24"/>
        </w:rPr>
        <w:t xml:space="preserve"> que busca investigar la relación entre indicadores del CR y las variables independientes tamaño, capacidad de investigación, género del rectorado y complejidad de la propuesta universitaria. </w:t>
      </w:r>
    </w:p>
    <w:p w14:paraId="43F87EAF" w14:textId="7A2B530F" w:rsidR="00735D92" w:rsidRPr="00735D92" w:rsidRDefault="00735D92" w:rsidP="00735D92">
      <w:pPr>
        <w:spacing w:after="200" w:line="360" w:lineRule="auto"/>
        <w:jc w:val="both"/>
        <w:rPr>
          <w:rFonts w:ascii="Times New Roman" w:hAnsi="Times New Roman" w:cs="Times New Roman"/>
          <w:sz w:val="24"/>
          <w:szCs w:val="24"/>
          <w:lang w:val="es-ES"/>
        </w:rPr>
      </w:pPr>
      <w:r w:rsidRPr="00735D92">
        <w:rPr>
          <w:rFonts w:ascii="Times New Roman" w:hAnsi="Times New Roman" w:cs="Times New Roman"/>
          <w:sz w:val="24"/>
          <w:szCs w:val="24"/>
        </w:rPr>
        <w:t>Para la construcció</w:t>
      </w:r>
      <w:r>
        <w:rPr>
          <w:rFonts w:ascii="Times New Roman" w:hAnsi="Times New Roman" w:cs="Times New Roman"/>
          <w:sz w:val="24"/>
          <w:szCs w:val="24"/>
        </w:rPr>
        <w:t>n del índice de divulgación —</w:t>
      </w:r>
      <w:r w:rsidRPr="00735D92">
        <w:rPr>
          <w:rFonts w:ascii="Times New Roman" w:hAnsi="Times New Roman" w:cs="Times New Roman"/>
          <w:sz w:val="24"/>
          <w:szCs w:val="24"/>
        </w:rPr>
        <w:t>medida agregada del volumen de info</w:t>
      </w:r>
      <w:r w:rsidR="00DD17E8">
        <w:rPr>
          <w:rFonts w:ascii="Times New Roman" w:hAnsi="Times New Roman" w:cs="Times New Roman"/>
          <w:sz w:val="24"/>
          <w:szCs w:val="24"/>
        </w:rPr>
        <w:t>rmación sobre CR</w:t>
      </w:r>
      <w:r w:rsidRPr="00735D92">
        <w:rPr>
          <w:rFonts w:ascii="Times New Roman" w:hAnsi="Times New Roman" w:cs="Times New Roman"/>
          <w:sz w:val="24"/>
          <w:szCs w:val="24"/>
        </w:rPr>
        <w:t xml:space="preserve"> que se hace pública— se aplicó un enfoque dicotómico: a cada ítem se le asigna un valor de 1 si es divulgado y 0 en caso contrario. Bajo este modelo, todos los indicadores que integran el índice tienen el mismo peso relativo. La composición completa del IDCRT se detalla en el Anexo I.</w:t>
      </w:r>
    </w:p>
    <w:p w14:paraId="32BD02AE" w14:textId="6CEE6329" w:rsidR="000A3E14" w:rsidRDefault="000A3E14" w:rsidP="00FC01F7">
      <w:pPr>
        <w:spacing w:line="360" w:lineRule="auto"/>
        <w:jc w:val="both"/>
        <w:rPr>
          <w:rFonts w:ascii="Times New Roman" w:hAnsi="Times New Roman" w:cs="Times New Roman"/>
          <w:sz w:val="24"/>
          <w:szCs w:val="24"/>
        </w:rPr>
      </w:pPr>
      <w:r w:rsidRPr="000A3E14">
        <w:rPr>
          <w:rFonts w:ascii="Times New Roman" w:hAnsi="Times New Roman" w:cs="Times New Roman"/>
          <w:sz w:val="24"/>
          <w:szCs w:val="24"/>
        </w:rPr>
        <w:t>La información utilizada para construir el índice de d</w:t>
      </w:r>
      <w:r w:rsidR="0094637A">
        <w:rPr>
          <w:rFonts w:ascii="Times New Roman" w:hAnsi="Times New Roman" w:cs="Times New Roman"/>
          <w:sz w:val="24"/>
          <w:szCs w:val="24"/>
        </w:rPr>
        <w:t>ivulgación de CR</w:t>
      </w:r>
      <w:r w:rsidRPr="000A3E14">
        <w:rPr>
          <w:rFonts w:ascii="Times New Roman" w:hAnsi="Times New Roman" w:cs="Times New Roman"/>
          <w:sz w:val="24"/>
          <w:szCs w:val="24"/>
        </w:rPr>
        <w:t xml:space="preserve"> (IDCRT) fue extraída de los sitios web institucionales de las universidades de la región bonaerense, tomando como referencia el último informe de gestión —o documento equivalente— disponible para cada caso. Los datos fueron recolectados y codificados mediante la técnica de análisis de contenido. En cuanto a las variables explicativas, su relevamiento </w:t>
      </w:r>
      <w:r w:rsidRPr="000A3E14">
        <w:rPr>
          <w:rFonts w:ascii="Times New Roman" w:hAnsi="Times New Roman" w:cs="Times New Roman"/>
          <w:sz w:val="24"/>
          <w:szCs w:val="24"/>
        </w:rPr>
        <w:lastRenderedPageBreak/>
        <w:t>se realizó a partir de los Anuarios Estadísticos publicados por la Secretaría de Educación de la Nación.</w:t>
      </w:r>
    </w:p>
    <w:p w14:paraId="4322C61A" w14:textId="0E3C19F8" w:rsidR="00FC01F7" w:rsidRPr="00865381" w:rsidRDefault="00FC01F7" w:rsidP="00FC01F7">
      <w:pPr>
        <w:spacing w:line="360" w:lineRule="auto"/>
        <w:jc w:val="both"/>
        <w:rPr>
          <w:rFonts w:ascii="Times New Roman" w:hAnsi="Times New Roman" w:cs="Times New Roman"/>
          <w:sz w:val="24"/>
          <w:szCs w:val="24"/>
        </w:rPr>
      </w:pPr>
      <w:r w:rsidRPr="00865381">
        <w:rPr>
          <w:rFonts w:ascii="Times New Roman" w:hAnsi="Times New Roman" w:cs="Times New Roman"/>
          <w:sz w:val="24"/>
          <w:szCs w:val="24"/>
        </w:rPr>
        <w:t xml:space="preserve">Como se trata de un estudio exploratorio, la muestra se conformó en principio con las universidades de la región bonaerense de Argentina, a saber: </w:t>
      </w:r>
      <w:r w:rsidR="00DC597A" w:rsidRPr="00865381">
        <w:rPr>
          <w:rFonts w:ascii="Times New Roman" w:hAnsi="Times New Roman" w:cs="Times New Roman"/>
          <w:sz w:val="24"/>
          <w:szCs w:val="24"/>
        </w:rPr>
        <w:t>Universidad Nacional de La Plata (</w:t>
      </w:r>
      <w:r w:rsidRPr="00865381">
        <w:rPr>
          <w:rFonts w:ascii="Times New Roman" w:hAnsi="Times New Roman" w:cs="Times New Roman"/>
          <w:sz w:val="24"/>
          <w:szCs w:val="24"/>
        </w:rPr>
        <w:t>UNLP</w:t>
      </w:r>
      <w:r w:rsidR="00DC597A" w:rsidRPr="00865381">
        <w:rPr>
          <w:rFonts w:ascii="Times New Roman" w:hAnsi="Times New Roman" w:cs="Times New Roman"/>
          <w:sz w:val="24"/>
          <w:szCs w:val="24"/>
        </w:rPr>
        <w:t>)</w:t>
      </w:r>
      <w:r w:rsidRPr="00865381">
        <w:rPr>
          <w:rFonts w:ascii="Times New Roman" w:hAnsi="Times New Roman" w:cs="Times New Roman"/>
          <w:sz w:val="24"/>
          <w:szCs w:val="24"/>
        </w:rPr>
        <w:t xml:space="preserve">; </w:t>
      </w:r>
      <w:r w:rsidR="00DC597A" w:rsidRPr="00865381">
        <w:rPr>
          <w:rFonts w:ascii="Times New Roman" w:hAnsi="Times New Roman" w:cs="Times New Roman"/>
          <w:sz w:val="24"/>
          <w:szCs w:val="24"/>
        </w:rPr>
        <w:t>Universidad Nacional de Mar del Plata (</w:t>
      </w:r>
      <w:r w:rsidRPr="00865381">
        <w:rPr>
          <w:rFonts w:ascii="Times New Roman" w:hAnsi="Times New Roman" w:cs="Times New Roman"/>
          <w:sz w:val="24"/>
          <w:szCs w:val="24"/>
        </w:rPr>
        <w:t>UNMdP</w:t>
      </w:r>
      <w:r w:rsidR="00DC597A" w:rsidRPr="00865381">
        <w:rPr>
          <w:rFonts w:ascii="Times New Roman" w:hAnsi="Times New Roman" w:cs="Times New Roman"/>
          <w:sz w:val="24"/>
          <w:szCs w:val="24"/>
        </w:rPr>
        <w:t>)</w:t>
      </w:r>
      <w:r w:rsidRPr="00865381">
        <w:rPr>
          <w:rFonts w:ascii="Times New Roman" w:hAnsi="Times New Roman" w:cs="Times New Roman"/>
          <w:sz w:val="24"/>
          <w:szCs w:val="24"/>
        </w:rPr>
        <w:t xml:space="preserve">; </w:t>
      </w:r>
      <w:r w:rsidR="00DC597A" w:rsidRPr="00865381">
        <w:rPr>
          <w:rFonts w:ascii="Times New Roman" w:hAnsi="Times New Roman" w:cs="Times New Roman"/>
          <w:sz w:val="24"/>
          <w:szCs w:val="24"/>
        </w:rPr>
        <w:t>Universidad Nacional de San Antonio de Areco (</w:t>
      </w:r>
      <w:r w:rsidRPr="00865381">
        <w:rPr>
          <w:rFonts w:ascii="Times New Roman" w:hAnsi="Times New Roman" w:cs="Times New Roman"/>
          <w:sz w:val="24"/>
          <w:szCs w:val="24"/>
        </w:rPr>
        <w:t>UNSAdA</w:t>
      </w:r>
      <w:r w:rsidR="00DC597A" w:rsidRPr="00865381">
        <w:rPr>
          <w:rFonts w:ascii="Times New Roman" w:hAnsi="Times New Roman" w:cs="Times New Roman"/>
          <w:sz w:val="24"/>
          <w:szCs w:val="24"/>
        </w:rPr>
        <w:t>)</w:t>
      </w:r>
      <w:r w:rsidRPr="00865381">
        <w:rPr>
          <w:rFonts w:ascii="Times New Roman" w:hAnsi="Times New Roman" w:cs="Times New Roman"/>
          <w:sz w:val="24"/>
          <w:szCs w:val="24"/>
        </w:rPr>
        <w:t xml:space="preserve">; </w:t>
      </w:r>
      <w:r w:rsidR="00DC597A" w:rsidRPr="00865381">
        <w:rPr>
          <w:rFonts w:ascii="Times New Roman" w:hAnsi="Times New Roman" w:cs="Times New Roman"/>
          <w:sz w:val="24"/>
          <w:szCs w:val="24"/>
        </w:rPr>
        <w:t>Universidad Nacional del Centro de la Provincia de Buenos Aires (</w:t>
      </w:r>
      <w:r w:rsidRPr="00865381">
        <w:rPr>
          <w:rFonts w:ascii="Times New Roman" w:hAnsi="Times New Roman" w:cs="Times New Roman"/>
          <w:sz w:val="24"/>
          <w:szCs w:val="24"/>
        </w:rPr>
        <w:t>UNICEN</w:t>
      </w:r>
      <w:r w:rsidR="00DC597A" w:rsidRPr="00865381">
        <w:rPr>
          <w:rFonts w:ascii="Times New Roman" w:hAnsi="Times New Roman" w:cs="Times New Roman"/>
          <w:sz w:val="24"/>
          <w:szCs w:val="24"/>
        </w:rPr>
        <w:t>)</w:t>
      </w:r>
      <w:r w:rsidRPr="00865381">
        <w:rPr>
          <w:rFonts w:ascii="Times New Roman" w:hAnsi="Times New Roman" w:cs="Times New Roman"/>
          <w:sz w:val="24"/>
          <w:szCs w:val="24"/>
        </w:rPr>
        <w:t xml:space="preserve">; </w:t>
      </w:r>
      <w:r w:rsidR="00DC597A" w:rsidRPr="00865381">
        <w:rPr>
          <w:rFonts w:ascii="Times New Roman" w:hAnsi="Times New Roman" w:cs="Times New Roman"/>
          <w:sz w:val="24"/>
          <w:szCs w:val="24"/>
        </w:rPr>
        <w:t>Universidad Nacional del Sur (</w:t>
      </w:r>
      <w:r w:rsidRPr="00865381">
        <w:rPr>
          <w:rFonts w:ascii="Times New Roman" w:hAnsi="Times New Roman" w:cs="Times New Roman"/>
          <w:sz w:val="24"/>
          <w:szCs w:val="24"/>
        </w:rPr>
        <w:t>UNS</w:t>
      </w:r>
      <w:r w:rsidR="00DC597A" w:rsidRPr="00865381">
        <w:rPr>
          <w:rFonts w:ascii="Times New Roman" w:hAnsi="Times New Roman" w:cs="Times New Roman"/>
          <w:sz w:val="24"/>
          <w:szCs w:val="24"/>
        </w:rPr>
        <w:t>)</w:t>
      </w:r>
      <w:r w:rsidRPr="00865381">
        <w:rPr>
          <w:rFonts w:ascii="Times New Roman" w:hAnsi="Times New Roman" w:cs="Times New Roman"/>
          <w:sz w:val="24"/>
          <w:szCs w:val="24"/>
        </w:rPr>
        <w:t xml:space="preserve"> y </w:t>
      </w:r>
      <w:r w:rsidR="00DC597A" w:rsidRPr="00865381">
        <w:rPr>
          <w:rFonts w:ascii="Times New Roman" w:hAnsi="Times New Roman" w:cs="Times New Roman"/>
          <w:sz w:val="24"/>
          <w:szCs w:val="24"/>
        </w:rPr>
        <w:t>Universidad Tecnológica Nacional- Facultad Regional La Plata (</w:t>
      </w:r>
      <w:r w:rsidRPr="00865381">
        <w:rPr>
          <w:rFonts w:ascii="Times New Roman" w:hAnsi="Times New Roman" w:cs="Times New Roman"/>
          <w:sz w:val="24"/>
          <w:szCs w:val="24"/>
        </w:rPr>
        <w:t>UTN-FRLP</w:t>
      </w:r>
      <w:r w:rsidR="00DC597A" w:rsidRPr="00865381">
        <w:rPr>
          <w:rFonts w:ascii="Times New Roman" w:hAnsi="Times New Roman" w:cs="Times New Roman"/>
          <w:sz w:val="24"/>
          <w:szCs w:val="24"/>
        </w:rPr>
        <w:t>)</w:t>
      </w:r>
      <w:r w:rsidRPr="00865381">
        <w:rPr>
          <w:rFonts w:ascii="Times New Roman" w:hAnsi="Times New Roman" w:cs="Times New Roman"/>
          <w:sz w:val="24"/>
          <w:szCs w:val="24"/>
        </w:rPr>
        <w:t xml:space="preserve">. Por lo </w:t>
      </w:r>
      <w:r w:rsidR="00292ABA" w:rsidRPr="00865381">
        <w:rPr>
          <w:rFonts w:ascii="Times New Roman" w:hAnsi="Times New Roman" w:cs="Times New Roman"/>
          <w:sz w:val="24"/>
          <w:szCs w:val="24"/>
        </w:rPr>
        <w:t>tanto,</w:t>
      </w:r>
      <w:r w:rsidRPr="00865381">
        <w:rPr>
          <w:rFonts w:ascii="Times New Roman" w:hAnsi="Times New Roman" w:cs="Times New Roman"/>
          <w:sz w:val="24"/>
          <w:szCs w:val="24"/>
        </w:rPr>
        <w:t xml:space="preserve"> la muestra final se compone de las 6 universidades para las que ha sido posible recabar información.</w:t>
      </w:r>
    </w:p>
    <w:p w14:paraId="2816BC0C" w14:textId="77777777" w:rsidR="00FF28E2" w:rsidRPr="00865381" w:rsidRDefault="00FF28E2" w:rsidP="00FC01F7">
      <w:pPr>
        <w:spacing w:line="360" w:lineRule="auto"/>
        <w:jc w:val="both"/>
        <w:rPr>
          <w:rFonts w:ascii="Times New Roman" w:hAnsi="Times New Roman" w:cs="Times New Roman"/>
          <w:sz w:val="24"/>
          <w:szCs w:val="24"/>
        </w:rPr>
      </w:pPr>
      <w:r w:rsidRPr="00865381">
        <w:rPr>
          <w:rFonts w:ascii="Times New Roman" w:hAnsi="Times New Roman" w:cs="Times New Roman"/>
          <w:sz w:val="24"/>
          <w:szCs w:val="24"/>
        </w:rPr>
        <w:t>En cuanto al período bajo estudio, este se determinó de forma individual para cada universidad de la muestra, según el intervalo temporal que abarca el informe divulgado por cada una. En aquellos casos en los que dicho período comprende más de un año, el valor asignado a las variables independi</w:t>
      </w:r>
      <w:r w:rsidR="00D848F0" w:rsidRPr="00865381">
        <w:rPr>
          <w:rFonts w:ascii="Times New Roman" w:hAnsi="Times New Roman" w:cs="Times New Roman"/>
          <w:sz w:val="24"/>
          <w:szCs w:val="24"/>
        </w:rPr>
        <w:t>en</w:t>
      </w:r>
      <w:r w:rsidRPr="00865381">
        <w:rPr>
          <w:rFonts w:ascii="Times New Roman" w:hAnsi="Times New Roman" w:cs="Times New Roman"/>
          <w:sz w:val="24"/>
          <w:szCs w:val="24"/>
        </w:rPr>
        <w:t>tes corresponde al promedio del período considerado.</w:t>
      </w:r>
    </w:p>
    <w:p w14:paraId="0B38E1B8" w14:textId="77777777" w:rsidR="00FC01F7" w:rsidRPr="00865381" w:rsidRDefault="00FC01F7" w:rsidP="00FC01F7">
      <w:pPr>
        <w:spacing w:line="360" w:lineRule="auto"/>
        <w:jc w:val="both"/>
        <w:rPr>
          <w:rFonts w:ascii="Times New Roman" w:hAnsi="Times New Roman" w:cs="Times New Roman"/>
          <w:sz w:val="24"/>
          <w:szCs w:val="24"/>
        </w:rPr>
      </w:pPr>
      <w:r w:rsidRPr="00865381">
        <w:rPr>
          <w:rFonts w:ascii="Times New Roman" w:hAnsi="Times New Roman" w:cs="Times New Roman"/>
          <w:sz w:val="24"/>
          <w:szCs w:val="24"/>
        </w:rPr>
        <w:t>En el cuadro que sigue se muestra el detalle de cada una de las variables, dependiente y explicativas, consideradas para el estudio:</w:t>
      </w:r>
    </w:p>
    <w:p w14:paraId="2037FCA7" w14:textId="77777777" w:rsidR="00FC01F7" w:rsidRPr="00865381" w:rsidRDefault="00FC01F7" w:rsidP="00FC01F7">
      <w:pPr>
        <w:spacing w:after="200" w:line="276" w:lineRule="auto"/>
        <w:rPr>
          <w:rFonts w:ascii="Times New Roman" w:eastAsia="Calibri" w:hAnsi="Times New Roman" w:cs="Times New Roman"/>
          <w:b/>
          <w:sz w:val="24"/>
          <w:szCs w:val="24"/>
          <w:lang w:eastAsia="es-AR"/>
        </w:rPr>
      </w:pPr>
      <w:r w:rsidRPr="00865381">
        <w:rPr>
          <w:rFonts w:ascii="Times New Roman" w:eastAsia="Calibri" w:hAnsi="Times New Roman" w:cs="Times New Roman"/>
          <w:b/>
          <w:sz w:val="24"/>
          <w:szCs w:val="24"/>
          <w:lang w:eastAsia="es-AR"/>
        </w:rPr>
        <w:t xml:space="preserve">Cuadro 1: resumen </w:t>
      </w:r>
      <w:r w:rsidR="00EE12B1">
        <w:rPr>
          <w:rFonts w:ascii="Times New Roman" w:eastAsia="Calibri" w:hAnsi="Times New Roman" w:cs="Times New Roman"/>
          <w:b/>
          <w:sz w:val="24"/>
          <w:szCs w:val="24"/>
          <w:lang w:eastAsia="es-AR"/>
        </w:rPr>
        <w:t>de variables bajo</w:t>
      </w:r>
      <w:r w:rsidRPr="00865381">
        <w:rPr>
          <w:rFonts w:ascii="Times New Roman" w:eastAsia="Calibri" w:hAnsi="Times New Roman" w:cs="Times New Roman"/>
          <w:b/>
          <w:sz w:val="24"/>
          <w:szCs w:val="24"/>
          <w:lang w:eastAsia="es-AR"/>
        </w:rPr>
        <w:t xml:space="preserve"> estudio</w:t>
      </w:r>
    </w:p>
    <w:tbl>
      <w:tblPr>
        <w:tblStyle w:val="Tablanormal51"/>
        <w:tblW w:w="8505" w:type="dxa"/>
        <w:tblLook w:val="04A0" w:firstRow="1" w:lastRow="0" w:firstColumn="1" w:lastColumn="0" w:noHBand="0" w:noVBand="1"/>
      </w:tblPr>
      <w:tblGrid>
        <w:gridCol w:w="1410"/>
        <w:gridCol w:w="2193"/>
        <w:gridCol w:w="1518"/>
        <w:gridCol w:w="1945"/>
        <w:gridCol w:w="1439"/>
      </w:tblGrid>
      <w:tr w:rsidR="00FC01F7" w:rsidRPr="005F5161" w14:paraId="1B612D96" w14:textId="77777777" w:rsidTr="00DF585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10" w:type="dxa"/>
            <w:vAlign w:val="center"/>
          </w:tcPr>
          <w:p w14:paraId="1EE45DF9" w14:textId="77777777" w:rsidR="00FC01F7" w:rsidRPr="005F5161" w:rsidRDefault="00FC01F7" w:rsidP="00DF585B">
            <w:pPr>
              <w:spacing w:line="360" w:lineRule="auto"/>
              <w:jc w:val="center"/>
              <w:rPr>
                <w:rFonts w:ascii="Times New Roman" w:eastAsia="Calibri" w:hAnsi="Times New Roman" w:cs="Times New Roman"/>
                <w:b/>
                <w:sz w:val="20"/>
                <w:szCs w:val="20"/>
              </w:rPr>
            </w:pPr>
            <w:r w:rsidRPr="005F5161">
              <w:rPr>
                <w:rFonts w:ascii="Times New Roman" w:eastAsia="Calibri" w:hAnsi="Times New Roman" w:cs="Times New Roman"/>
                <w:b/>
                <w:sz w:val="20"/>
                <w:szCs w:val="20"/>
              </w:rPr>
              <w:t>Variable</w:t>
            </w:r>
          </w:p>
        </w:tc>
        <w:tc>
          <w:tcPr>
            <w:tcW w:w="2193" w:type="dxa"/>
            <w:vAlign w:val="center"/>
          </w:tcPr>
          <w:p w14:paraId="39F5E1FD" w14:textId="77777777" w:rsidR="00FC01F7" w:rsidRPr="005F5161" w:rsidRDefault="00FC01F7" w:rsidP="00DF585B">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sz w:val="20"/>
                <w:szCs w:val="20"/>
              </w:rPr>
            </w:pPr>
            <w:r w:rsidRPr="005F5161">
              <w:rPr>
                <w:rFonts w:ascii="Times New Roman" w:eastAsia="Calibri" w:hAnsi="Times New Roman" w:cs="Times New Roman"/>
                <w:b/>
                <w:sz w:val="20"/>
                <w:szCs w:val="20"/>
              </w:rPr>
              <w:t>Descripción</w:t>
            </w:r>
          </w:p>
        </w:tc>
        <w:tc>
          <w:tcPr>
            <w:tcW w:w="1518" w:type="dxa"/>
            <w:vAlign w:val="center"/>
          </w:tcPr>
          <w:p w14:paraId="28EB7A28" w14:textId="77777777" w:rsidR="00FC01F7" w:rsidRPr="005F5161" w:rsidRDefault="00FC01F7" w:rsidP="00DF585B">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sz w:val="20"/>
                <w:szCs w:val="20"/>
              </w:rPr>
            </w:pPr>
            <w:r w:rsidRPr="005F5161">
              <w:rPr>
                <w:rFonts w:ascii="Times New Roman" w:eastAsia="Calibri" w:hAnsi="Times New Roman" w:cs="Times New Roman"/>
                <w:b/>
                <w:sz w:val="20"/>
                <w:szCs w:val="20"/>
              </w:rPr>
              <w:t>Tipo</w:t>
            </w:r>
          </w:p>
        </w:tc>
        <w:tc>
          <w:tcPr>
            <w:tcW w:w="1945" w:type="dxa"/>
            <w:vAlign w:val="center"/>
          </w:tcPr>
          <w:p w14:paraId="6CBA22CD" w14:textId="77777777" w:rsidR="00FC01F7" w:rsidRPr="005F5161" w:rsidRDefault="00FC01F7" w:rsidP="00DF585B">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sz w:val="20"/>
                <w:szCs w:val="20"/>
              </w:rPr>
            </w:pPr>
            <w:r w:rsidRPr="005F5161">
              <w:rPr>
                <w:rFonts w:ascii="Times New Roman" w:eastAsia="Calibri" w:hAnsi="Times New Roman" w:cs="Times New Roman"/>
                <w:b/>
                <w:sz w:val="20"/>
                <w:szCs w:val="20"/>
              </w:rPr>
              <w:t>Cálculo</w:t>
            </w:r>
          </w:p>
        </w:tc>
        <w:tc>
          <w:tcPr>
            <w:tcW w:w="1439" w:type="dxa"/>
            <w:vAlign w:val="center"/>
          </w:tcPr>
          <w:p w14:paraId="3BD5FD3F" w14:textId="77777777" w:rsidR="00FC01F7" w:rsidRPr="005F5161" w:rsidRDefault="00FC01F7" w:rsidP="00DF585B">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sz w:val="20"/>
                <w:szCs w:val="20"/>
              </w:rPr>
            </w:pPr>
            <w:r w:rsidRPr="005F5161">
              <w:rPr>
                <w:rFonts w:ascii="Times New Roman" w:eastAsia="Calibri" w:hAnsi="Times New Roman" w:cs="Times New Roman"/>
                <w:b/>
                <w:sz w:val="20"/>
                <w:szCs w:val="20"/>
              </w:rPr>
              <w:t>Signo esperado</w:t>
            </w:r>
          </w:p>
        </w:tc>
      </w:tr>
      <w:tr w:rsidR="00FC01F7" w:rsidRPr="005F5161" w14:paraId="3DC7958B" w14:textId="77777777" w:rsidTr="00DF58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0" w:type="dxa"/>
            <w:vAlign w:val="center"/>
          </w:tcPr>
          <w:p w14:paraId="7A1E82D8" w14:textId="77777777" w:rsidR="00FC01F7" w:rsidRPr="005F5161" w:rsidRDefault="00FC01F7" w:rsidP="00DF585B">
            <w:pPr>
              <w:jc w:val="center"/>
              <w:rPr>
                <w:rFonts w:ascii="Times New Roman" w:eastAsia="Calibri" w:hAnsi="Times New Roman" w:cs="Times New Roman"/>
                <w:b/>
                <w:bCs/>
                <w:color w:val="000000"/>
                <w:sz w:val="20"/>
                <w:szCs w:val="20"/>
              </w:rPr>
            </w:pPr>
            <w:r w:rsidRPr="005F5161">
              <w:rPr>
                <w:rFonts w:ascii="Times New Roman" w:eastAsia="Calibri" w:hAnsi="Times New Roman" w:cs="Times New Roman"/>
                <w:b/>
                <w:bCs/>
                <w:color w:val="000000"/>
                <w:sz w:val="20"/>
                <w:szCs w:val="20"/>
              </w:rPr>
              <w:t>IDCRT</w:t>
            </w:r>
          </w:p>
          <w:p w14:paraId="7F8E90E0" w14:textId="77777777" w:rsidR="00FC01F7" w:rsidRPr="005F5161" w:rsidRDefault="00FC01F7" w:rsidP="00DF585B">
            <w:pPr>
              <w:spacing w:line="360" w:lineRule="auto"/>
              <w:jc w:val="center"/>
              <w:rPr>
                <w:rFonts w:ascii="Times New Roman" w:eastAsia="Calibri" w:hAnsi="Times New Roman" w:cs="Times New Roman"/>
                <w:sz w:val="20"/>
                <w:szCs w:val="20"/>
              </w:rPr>
            </w:pPr>
            <w:r w:rsidRPr="005F5161">
              <w:rPr>
                <w:rFonts w:ascii="Times New Roman" w:eastAsia="Times New Roman" w:hAnsi="Times New Roman" w:cs="Times New Roman"/>
                <w:b/>
                <w:color w:val="000000"/>
                <w:sz w:val="20"/>
                <w:szCs w:val="20"/>
                <w:lang w:eastAsia="es-ES"/>
              </w:rPr>
              <w:t>dependiente</w:t>
            </w:r>
          </w:p>
        </w:tc>
        <w:tc>
          <w:tcPr>
            <w:tcW w:w="2193" w:type="dxa"/>
            <w:vAlign w:val="center"/>
          </w:tcPr>
          <w:p w14:paraId="1B58DDAF" w14:textId="77777777" w:rsidR="00FC01F7" w:rsidRPr="005F5161" w:rsidRDefault="00FC01F7" w:rsidP="00DF585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5F5161">
              <w:rPr>
                <w:rFonts w:ascii="Times New Roman" w:eastAsia="Calibri" w:hAnsi="Times New Roman" w:cs="Times New Roman"/>
                <w:sz w:val="20"/>
                <w:szCs w:val="20"/>
              </w:rPr>
              <w:t>Es la medida de indicadores del CR</w:t>
            </w:r>
          </w:p>
        </w:tc>
        <w:tc>
          <w:tcPr>
            <w:tcW w:w="1518" w:type="dxa"/>
            <w:vAlign w:val="center"/>
          </w:tcPr>
          <w:p w14:paraId="3B3D433D" w14:textId="77777777" w:rsidR="00FC01F7" w:rsidRPr="005F5161" w:rsidRDefault="00FC01F7" w:rsidP="00DF585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5F5161">
              <w:rPr>
                <w:rFonts w:ascii="Times New Roman" w:eastAsia="Calibri" w:hAnsi="Times New Roman" w:cs="Times New Roman"/>
                <w:sz w:val="20"/>
                <w:szCs w:val="20"/>
              </w:rPr>
              <w:t>Cuantitativa</w:t>
            </w:r>
          </w:p>
        </w:tc>
        <w:tc>
          <w:tcPr>
            <w:tcW w:w="1945" w:type="dxa"/>
            <w:vAlign w:val="center"/>
          </w:tcPr>
          <w:p w14:paraId="38494BA2" w14:textId="77777777" w:rsidR="00FC01F7" w:rsidRPr="005F5161" w:rsidRDefault="00FC01F7" w:rsidP="00DF585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5F5161">
              <w:rPr>
                <w:rFonts w:ascii="Times New Roman" w:eastAsia="Calibri" w:hAnsi="Times New Roman" w:cs="Times New Roman"/>
                <w:sz w:val="20"/>
                <w:szCs w:val="20"/>
              </w:rPr>
              <w:t>IDCR</w:t>
            </w:r>
          </w:p>
        </w:tc>
        <w:tc>
          <w:tcPr>
            <w:tcW w:w="1439" w:type="dxa"/>
            <w:vAlign w:val="center"/>
          </w:tcPr>
          <w:p w14:paraId="6EE762D6" w14:textId="77777777" w:rsidR="00FC01F7" w:rsidRPr="005F5161" w:rsidRDefault="00FC01F7" w:rsidP="00DF585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p>
        </w:tc>
      </w:tr>
      <w:tr w:rsidR="00FC01F7" w:rsidRPr="005F5161" w14:paraId="68F7694E" w14:textId="77777777" w:rsidTr="00DF585B">
        <w:tc>
          <w:tcPr>
            <w:cnfStyle w:val="001000000000" w:firstRow="0" w:lastRow="0" w:firstColumn="1" w:lastColumn="0" w:oddVBand="0" w:evenVBand="0" w:oddHBand="0" w:evenHBand="0" w:firstRowFirstColumn="0" w:firstRowLastColumn="0" w:lastRowFirstColumn="0" w:lastRowLastColumn="0"/>
            <w:tcW w:w="1410" w:type="dxa"/>
            <w:vAlign w:val="center"/>
          </w:tcPr>
          <w:p w14:paraId="2CC0BB41" w14:textId="77777777" w:rsidR="00FC01F7" w:rsidRPr="005F5161" w:rsidRDefault="00FC01F7" w:rsidP="00DF585B">
            <w:pPr>
              <w:spacing w:line="360" w:lineRule="auto"/>
              <w:jc w:val="center"/>
              <w:rPr>
                <w:rFonts w:ascii="Times New Roman" w:eastAsia="Times New Roman" w:hAnsi="Times New Roman" w:cs="Times New Roman"/>
                <w:b/>
                <w:color w:val="000000"/>
                <w:sz w:val="20"/>
                <w:szCs w:val="20"/>
                <w:lang w:eastAsia="es-ES"/>
              </w:rPr>
            </w:pPr>
            <w:r w:rsidRPr="005F5161">
              <w:rPr>
                <w:rFonts w:ascii="Times New Roman" w:eastAsia="Times New Roman" w:hAnsi="Times New Roman" w:cs="Times New Roman"/>
                <w:b/>
                <w:color w:val="000000"/>
                <w:sz w:val="20"/>
                <w:szCs w:val="20"/>
                <w:lang w:eastAsia="es-ES"/>
              </w:rPr>
              <w:t>TAM</w:t>
            </w:r>
          </w:p>
          <w:p w14:paraId="78DC8A92" w14:textId="77777777" w:rsidR="00FC01F7" w:rsidRPr="005F5161" w:rsidRDefault="00FC01F7" w:rsidP="00DF585B">
            <w:pPr>
              <w:spacing w:line="360" w:lineRule="auto"/>
              <w:jc w:val="center"/>
              <w:rPr>
                <w:rFonts w:ascii="Times New Roman" w:eastAsia="Times New Roman" w:hAnsi="Times New Roman" w:cs="Times New Roman"/>
                <w:b/>
                <w:color w:val="000000"/>
                <w:sz w:val="20"/>
                <w:szCs w:val="20"/>
                <w:lang w:eastAsia="es-ES"/>
              </w:rPr>
            </w:pPr>
            <w:r w:rsidRPr="005F5161">
              <w:rPr>
                <w:rFonts w:ascii="Times New Roman" w:eastAsia="Times New Roman" w:hAnsi="Times New Roman" w:cs="Times New Roman"/>
                <w:b/>
                <w:color w:val="000000"/>
                <w:sz w:val="20"/>
                <w:szCs w:val="20"/>
                <w:lang w:eastAsia="es-ES"/>
              </w:rPr>
              <w:t>independiente</w:t>
            </w:r>
          </w:p>
        </w:tc>
        <w:tc>
          <w:tcPr>
            <w:tcW w:w="2193" w:type="dxa"/>
            <w:vAlign w:val="center"/>
          </w:tcPr>
          <w:p w14:paraId="3FBCFAB3" w14:textId="77777777" w:rsidR="00FC01F7" w:rsidRPr="005F5161" w:rsidRDefault="00FC01F7" w:rsidP="00DF585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5F5161">
              <w:rPr>
                <w:rFonts w:ascii="Times New Roman" w:eastAsia="Calibri" w:hAnsi="Times New Roman" w:cs="Times New Roman"/>
                <w:sz w:val="20"/>
                <w:szCs w:val="20"/>
              </w:rPr>
              <w:t>Es la medida del tamaño de la UUNN</w:t>
            </w:r>
          </w:p>
        </w:tc>
        <w:tc>
          <w:tcPr>
            <w:tcW w:w="1518" w:type="dxa"/>
            <w:vAlign w:val="center"/>
          </w:tcPr>
          <w:p w14:paraId="4FEA8203" w14:textId="77777777" w:rsidR="00FC01F7" w:rsidRPr="005F5161" w:rsidRDefault="00FC01F7" w:rsidP="00DF585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5F5161">
              <w:rPr>
                <w:rFonts w:ascii="Times New Roman" w:eastAsia="Calibri" w:hAnsi="Times New Roman" w:cs="Times New Roman"/>
                <w:sz w:val="20"/>
                <w:szCs w:val="20"/>
              </w:rPr>
              <w:t>Cuantitativa</w:t>
            </w:r>
          </w:p>
        </w:tc>
        <w:tc>
          <w:tcPr>
            <w:tcW w:w="1945" w:type="dxa"/>
            <w:vAlign w:val="center"/>
          </w:tcPr>
          <w:p w14:paraId="728A96E3" w14:textId="77777777" w:rsidR="00FC01F7" w:rsidRPr="005F5161" w:rsidRDefault="00FC01F7" w:rsidP="00DF585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5F5161">
              <w:rPr>
                <w:rFonts w:ascii="Times New Roman" w:eastAsia="Calibri" w:hAnsi="Times New Roman" w:cs="Times New Roman"/>
                <w:sz w:val="20"/>
                <w:szCs w:val="20"/>
              </w:rPr>
              <w:t>LN</w:t>
            </w:r>
          </w:p>
          <w:p w14:paraId="49CB6E96" w14:textId="77777777" w:rsidR="00FC01F7" w:rsidRPr="005F5161" w:rsidRDefault="00FC01F7" w:rsidP="00DF585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5F5161">
              <w:rPr>
                <w:rFonts w:ascii="Times New Roman" w:eastAsia="Calibri" w:hAnsi="Times New Roman" w:cs="Times New Roman"/>
                <w:sz w:val="20"/>
                <w:szCs w:val="20"/>
              </w:rPr>
              <w:t>Cantidad de alumnos</w:t>
            </w:r>
          </w:p>
        </w:tc>
        <w:tc>
          <w:tcPr>
            <w:tcW w:w="1439" w:type="dxa"/>
            <w:vAlign w:val="center"/>
          </w:tcPr>
          <w:p w14:paraId="1C5E4E88" w14:textId="77777777" w:rsidR="00FC01F7" w:rsidRPr="005F5161" w:rsidRDefault="00FC01F7" w:rsidP="00DF585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5F5161">
              <w:rPr>
                <w:rFonts w:ascii="Times New Roman" w:eastAsia="Calibri" w:hAnsi="Times New Roman" w:cs="Times New Roman"/>
                <w:sz w:val="20"/>
                <w:szCs w:val="20"/>
              </w:rPr>
              <w:t>+</w:t>
            </w:r>
          </w:p>
        </w:tc>
      </w:tr>
      <w:tr w:rsidR="00FC01F7" w:rsidRPr="005F5161" w14:paraId="4AEE808F" w14:textId="77777777" w:rsidTr="00DF58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0" w:type="dxa"/>
            <w:vAlign w:val="center"/>
          </w:tcPr>
          <w:p w14:paraId="768FD47C" w14:textId="77777777" w:rsidR="00FC01F7" w:rsidRPr="005F5161" w:rsidRDefault="008843B3" w:rsidP="00DF585B">
            <w:pPr>
              <w:spacing w:line="360" w:lineRule="auto"/>
              <w:jc w:val="center"/>
              <w:rPr>
                <w:rFonts w:ascii="Times New Roman" w:eastAsia="Times New Roman" w:hAnsi="Times New Roman" w:cs="Times New Roman"/>
                <w:b/>
                <w:color w:val="000000"/>
                <w:sz w:val="20"/>
                <w:szCs w:val="20"/>
                <w:lang w:eastAsia="es-ES"/>
              </w:rPr>
            </w:pPr>
            <w:r>
              <w:rPr>
                <w:rFonts w:ascii="Times New Roman" w:eastAsia="Times New Roman" w:hAnsi="Times New Roman" w:cs="Times New Roman"/>
                <w:b/>
                <w:color w:val="000000"/>
                <w:sz w:val="20"/>
                <w:szCs w:val="20"/>
                <w:lang w:eastAsia="es-ES"/>
              </w:rPr>
              <w:t>CAP</w:t>
            </w:r>
            <w:r w:rsidR="00FC01F7" w:rsidRPr="005F5161">
              <w:rPr>
                <w:rFonts w:ascii="Times New Roman" w:eastAsia="Times New Roman" w:hAnsi="Times New Roman" w:cs="Times New Roman"/>
                <w:b/>
                <w:color w:val="000000"/>
                <w:sz w:val="20"/>
                <w:szCs w:val="20"/>
                <w:lang w:eastAsia="es-ES"/>
              </w:rPr>
              <w:t xml:space="preserve"> INV</w:t>
            </w:r>
          </w:p>
          <w:p w14:paraId="06D7A29E" w14:textId="77777777" w:rsidR="00FC01F7" w:rsidRPr="005F5161" w:rsidRDefault="00FC01F7" w:rsidP="00DF585B">
            <w:pPr>
              <w:spacing w:line="360" w:lineRule="auto"/>
              <w:jc w:val="center"/>
              <w:rPr>
                <w:rFonts w:ascii="Times New Roman" w:eastAsia="Times New Roman" w:hAnsi="Times New Roman" w:cs="Times New Roman"/>
                <w:b/>
                <w:color w:val="000000"/>
                <w:sz w:val="20"/>
                <w:szCs w:val="20"/>
                <w:lang w:eastAsia="es-ES"/>
              </w:rPr>
            </w:pPr>
            <w:r w:rsidRPr="005F5161">
              <w:rPr>
                <w:rFonts w:ascii="Times New Roman" w:eastAsia="Times New Roman" w:hAnsi="Times New Roman" w:cs="Times New Roman"/>
                <w:b/>
                <w:color w:val="000000"/>
                <w:sz w:val="20"/>
                <w:szCs w:val="20"/>
                <w:lang w:eastAsia="es-ES"/>
              </w:rPr>
              <w:t>independiente</w:t>
            </w:r>
          </w:p>
        </w:tc>
        <w:tc>
          <w:tcPr>
            <w:tcW w:w="2193" w:type="dxa"/>
            <w:vAlign w:val="center"/>
          </w:tcPr>
          <w:p w14:paraId="19864DC2" w14:textId="77777777" w:rsidR="00FC01F7" w:rsidRPr="005F5161" w:rsidRDefault="008843B3" w:rsidP="00DF585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 xml:space="preserve">Es la capacidad de </w:t>
            </w:r>
            <w:r w:rsidR="00FC01F7" w:rsidRPr="005F5161">
              <w:rPr>
                <w:rFonts w:ascii="Times New Roman" w:eastAsia="Calibri" w:hAnsi="Times New Roman" w:cs="Times New Roman"/>
                <w:sz w:val="20"/>
                <w:szCs w:val="20"/>
              </w:rPr>
              <w:t xml:space="preserve"> investigación en la UUNN</w:t>
            </w:r>
          </w:p>
        </w:tc>
        <w:tc>
          <w:tcPr>
            <w:tcW w:w="1518" w:type="dxa"/>
            <w:vAlign w:val="center"/>
          </w:tcPr>
          <w:p w14:paraId="5061D475" w14:textId="77777777" w:rsidR="00FC01F7" w:rsidRPr="005F5161" w:rsidRDefault="00FC01F7" w:rsidP="00DF585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5F5161">
              <w:rPr>
                <w:rFonts w:ascii="Times New Roman" w:eastAsia="Calibri" w:hAnsi="Times New Roman" w:cs="Times New Roman"/>
                <w:sz w:val="20"/>
                <w:szCs w:val="20"/>
              </w:rPr>
              <w:t>Cuantitativa</w:t>
            </w:r>
          </w:p>
        </w:tc>
        <w:tc>
          <w:tcPr>
            <w:tcW w:w="1945" w:type="dxa"/>
            <w:vAlign w:val="center"/>
          </w:tcPr>
          <w:p w14:paraId="54206332" w14:textId="77777777" w:rsidR="00FC01F7" w:rsidRPr="005F5161" w:rsidRDefault="00FC01F7" w:rsidP="00DF585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5F5161">
              <w:rPr>
                <w:rFonts w:ascii="Times New Roman" w:eastAsia="Calibri" w:hAnsi="Times New Roman" w:cs="Times New Roman"/>
                <w:sz w:val="20"/>
                <w:szCs w:val="20"/>
              </w:rPr>
              <w:t>Nº doc doctores/Nº total docentes</w:t>
            </w:r>
          </w:p>
        </w:tc>
        <w:tc>
          <w:tcPr>
            <w:tcW w:w="1439" w:type="dxa"/>
            <w:vAlign w:val="center"/>
          </w:tcPr>
          <w:p w14:paraId="798A5512" w14:textId="77777777" w:rsidR="00FC01F7" w:rsidRPr="005F5161" w:rsidRDefault="00FC01F7" w:rsidP="00DF585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5F5161">
              <w:rPr>
                <w:rFonts w:ascii="Times New Roman" w:eastAsia="Calibri" w:hAnsi="Times New Roman" w:cs="Times New Roman"/>
                <w:sz w:val="20"/>
                <w:szCs w:val="20"/>
              </w:rPr>
              <w:t>+</w:t>
            </w:r>
          </w:p>
        </w:tc>
      </w:tr>
      <w:tr w:rsidR="00FC01F7" w:rsidRPr="005F5161" w14:paraId="31E3072B" w14:textId="77777777" w:rsidTr="00DF585B">
        <w:tc>
          <w:tcPr>
            <w:cnfStyle w:val="001000000000" w:firstRow="0" w:lastRow="0" w:firstColumn="1" w:lastColumn="0" w:oddVBand="0" w:evenVBand="0" w:oddHBand="0" w:evenHBand="0" w:firstRowFirstColumn="0" w:firstRowLastColumn="0" w:lastRowFirstColumn="0" w:lastRowLastColumn="0"/>
            <w:tcW w:w="1410" w:type="dxa"/>
            <w:vAlign w:val="center"/>
          </w:tcPr>
          <w:p w14:paraId="3AC6D2E1" w14:textId="77777777" w:rsidR="00FC01F7" w:rsidRPr="005F5161" w:rsidRDefault="00FC01F7" w:rsidP="00DF585B">
            <w:pPr>
              <w:spacing w:line="360" w:lineRule="auto"/>
              <w:jc w:val="center"/>
              <w:rPr>
                <w:rFonts w:ascii="Times New Roman" w:eastAsia="Times New Roman" w:hAnsi="Times New Roman" w:cs="Times New Roman"/>
                <w:b/>
                <w:color w:val="000000"/>
                <w:sz w:val="20"/>
                <w:szCs w:val="20"/>
                <w:lang w:eastAsia="es-ES"/>
              </w:rPr>
            </w:pPr>
            <w:r w:rsidRPr="005F5161">
              <w:rPr>
                <w:rFonts w:ascii="Times New Roman" w:eastAsia="Times New Roman" w:hAnsi="Times New Roman" w:cs="Times New Roman"/>
                <w:b/>
                <w:color w:val="000000"/>
                <w:sz w:val="20"/>
                <w:szCs w:val="20"/>
                <w:lang w:eastAsia="es-ES"/>
              </w:rPr>
              <w:t>GENERO</w:t>
            </w:r>
          </w:p>
          <w:p w14:paraId="7894CEE9" w14:textId="77777777" w:rsidR="00FC01F7" w:rsidRPr="005F5161" w:rsidRDefault="00FC01F7" w:rsidP="00DF585B">
            <w:pPr>
              <w:spacing w:line="360" w:lineRule="auto"/>
              <w:jc w:val="center"/>
              <w:rPr>
                <w:rFonts w:ascii="Times New Roman" w:eastAsia="Times New Roman" w:hAnsi="Times New Roman" w:cs="Times New Roman"/>
                <w:b/>
                <w:color w:val="000000"/>
                <w:sz w:val="20"/>
                <w:szCs w:val="20"/>
                <w:lang w:eastAsia="es-ES"/>
              </w:rPr>
            </w:pPr>
            <w:r w:rsidRPr="005F5161">
              <w:rPr>
                <w:rFonts w:ascii="Times New Roman" w:eastAsia="Times New Roman" w:hAnsi="Times New Roman" w:cs="Times New Roman"/>
                <w:b/>
                <w:color w:val="000000"/>
                <w:sz w:val="20"/>
                <w:szCs w:val="20"/>
                <w:lang w:eastAsia="es-ES"/>
              </w:rPr>
              <w:t>independiente</w:t>
            </w:r>
          </w:p>
        </w:tc>
        <w:tc>
          <w:tcPr>
            <w:tcW w:w="2193" w:type="dxa"/>
            <w:vAlign w:val="center"/>
          </w:tcPr>
          <w:p w14:paraId="7FD2C44A" w14:textId="77777777" w:rsidR="00FC01F7" w:rsidRPr="005F5161" w:rsidRDefault="00FC01F7" w:rsidP="00DF585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5F5161">
              <w:rPr>
                <w:rFonts w:ascii="Times New Roman" w:eastAsia="Calibri" w:hAnsi="Times New Roman" w:cs="Times New Roman"/>
                <w:sz w:val="20"/>
                <w:szCs w:val="20"/>
              </w:rPr>
              <w:t>Es el género del rector/a de la UUNN</w:t>
            </w:r>
          </w:p>
        </w:tc>
        <w:tc>
          <w:tcPr>
            <w:tcW w:w="1518" w:type="dxa"/>
            <w:vAlign w:val="center"/>
          </w:tcPr>
          <w:p w14:paraId="53C150A1" w14:textId="77777777" w:rsidR="00FC01F7" w:rsidRPr="005F5161" w:rsidRDefault="00FC01F7" w:rsidP="00DF585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5F5161">
              <w:rPr>
                <w:rFonts w:ascii="Times New Roman" w:eastAsia="Calibri" w:hAnsi="Times New Roman" w:cs="Times New Roman"/>
                <w:sz w:val="20"/>
                <w:szCs w:val="20"/>
              </w:rPr>
              <w:t>Dicotómica</w:t>
            </w:r>
          </w:p>
        </w:tc>
        <w:tc>
          <w:tcPr>
            <w:tcW w:w="1945" w:type="dxa"/>
            <w:vAlign w:val="center"/>
          </w:tcPr>
          <w:p w14:paraId="3A3F132B" w14:textId="77777777" w:rsidR="00FC01F7" w:rsidRPr="005F5161" w:rsidRDefault="00FC01F7" w:rsidP="00DF585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5F5161">
              <w:rPr>
                <w:rFonts w:ascii="Times New Roman" w:eastAsia="Calibri" w:hAnsi="Times New Roman" w:cs="Times New Roman"/>
                <w:sz w:val="20"/>
                <w:szCs w:val="20"/>
              </w:rPr>
              <w:t>0=masculino</w:t>
            </w:r>
          </w:p>
          <w:p w14:paraId="20CF3AEE" w14:textId="77777777" w:rsidR="00FC01F7" w:rsidRPr="005F5161" w:rsidRDefault="00FC01F7" w:rsidP="00DF585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5F5161">
              <w:rPr>
                <w:rFonts w:ascii="Times New Roman" w:eastAsia="Calibri" w:hAnsi="Times New Roman" w:cs="Times New Roman"/>
                <w:sz w:val="20"/>
                <w:szCs w:val="20"/>
              </w:rPr>
              <w:t>1=femenino</w:t>
            </w:r>
          </w:p>
        </w:tc>
        <w:tc>
          <w:tcPr>
            <w:tcW w:w="1439" w:type="dxa"/>
            <w:vAlign w:val="center"/>
          </w:tcPr>
          <w:p w14:paraId="49147BED" w14:textId="77777777" w:rsidR="00FC01F7" w:rsidRPr="005F5161" w:rsidRDefault="00FC01F7" w:rsidP="00DF585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5F5161">
              <w:rPr>
                <w:rFonts w:ascii="Times New Roman" w:eastAsia="Calibri" w:hAnsi="Times New Roman" w:cs="Times New Roman"/>
                <w:sz w:val="20"/>
                <w:szCs w:val="20"/>
              </w:rPr>
              <w:t>+</w:t>
            </w:r>
          </w:p>
        </w:tc>
      </w:tr>
      <w:tr w:rsidR="00FC01F7" w:rsidRPr="005F5161" w14:paraId="56D74A03" w14:textId="77777777" w:rsidTr="00DF58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0" w:type="dxa"/>
            <w:vAlign w:val="center"/>
          </w:tcPr>
          <w:p w14:paraId="6D96CED1" w14:textId="77777777" w:rsidR="00FC01F7" w:rsidRPr="005F5161" w:rsidRDefault="00FC01F7" w:rsidP="00DF585B">
            <w:pPr>
              <w:spacing w:line="360" w:lineRule="auto"/>
              <w:jc w:val="center"/>
              <w:rPr>
                <w:rFonts w:ascii="Times New Roman" w:eastAsia="Times New Roman" w:hAnsi="Times New Roman" w:cs="Times New Roman"/>
                <w:b/>
                <w:color w:val="000000"/>
                <w:sz w:val="20"/>
                <w:szCs w:val="20"/>
                <w:lang w:eastAsia="es-ES"/>
              </w:rPr>
            </w:pPr>
            <w:r w:rsidRPr="005F5161">
              <w:rPr>
                <w:rFonts w:ascii="Times New Roman" w:eastAsia="Times New Roman" w:hAnsi="Times New Roman" w:cs="Times New Roman"/>
                <w:b/>
                <w:color w:val="000000"/>
                <w:sz w:val="20"/>
                <w:szCs w:val="20"/>
                <w:lang w:eastAsia="es-ES"/>
              </w:rPr>
              <w:t>COMPLEJ</w:t>
            </w:r>
          </w:p>
          <w:p w14:paraId="4D890BBB" w14:textId="77777777" w:rsidR="00FC01F7" w:rsidRPr="005F5161" w:rsidRDefault="00FC01F7" w:rsidP="00DF585B">
            <w:pPr>
              <w:spacing w:line="360" w:lineRule="auto"/>
              <w:jc w:val="center"/>
              <w:rPr>
                <w:rFonts w:ascii="Times New Roman" w:eastAsia="Times New Roman" w:hAnsi="Times New Roman" w:cs="Times New Roman"/>
                <w:b/>
                <w:color w:val="000000"/>
                <w:sz w:val="20"/>
                <w:szCs w:val="20"/>
                <w:lang w:eastAsia="es-ES"/>
              </w:rPr>
            </w:pPr>
            <w:r w:rsidRPr="005F5161">
              <w:rPr>
                <w:rFonts w:ascii="Times New Roman" w:eastAsia="Times New Roman" w:hAnsi="Times New Roman" w:cs="Times New Roman"/>
                <w:b/>
                <w:color w:val="000000"/>
                <w:sz w:val="20"/>
                <w:szCs w:val="20"/>
                <w:lang w:eastAsia="es-ES"/>
              </w:rPr>
              <w:t>independiente</w:t>
            </w:r>
          </w:p>
        </w:tc>
        <w:tc>
          <w:tcPr>
            <w:tcW w:w="2193" w:type="dxa"/>
            <w:vAlign w:val="center"/>
          </w:tcPr>
          <w:p w14:paraId="1D93DCAD" w14:textId="77777777" w:rsidR="00FC01F7" w:rsidRPr="005F5161" w:rsidRDefault="00FC01F7" w:rsidP="00DF585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5F5161">
              <w:rPr>
                <w:rFonts w:ascii="Times New Roman" w:eastAsia="Calibri" w:hAnsi="Times New Roman" w:cs="Times New Roman"/>
                <w:sz w:val="20"/>
                <w:szCs w:val="20"/>
              </w:rPr>
              <w:t>Medida de la cantidad de carreras de grado y posgrado en la UUNN</w:t>
            </w:r>
          </w:p>
        </w:tc>
        <w:tc>
          <w:tcPr>
            <w:tcW w:w="1518" w:type="dxa"/>
            <w:vAlign w:val="center"/>
          </w:tcPr>
          <w:p w14:paraId="4C85A739" w14:textId="77777777" w:rsidR="00FC01F7" w:rsidRPr="005F5161" w:rsidRDefault="00FC01F7" w:rsidP="00DF585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5F5161">
              <w:rPr>
                <w:rFonts w:ascii="Times New Roman" w:eastAsia="Calibri" w:hAnsi="Times New Roman" w:cs="Times New Roman"/>
                <w:sz w:val="20"/>
                <w:szCs w:val="20"/>
              </w:rPr>
              <w:t>Cuantitativa</w:t>
            </w:r>
          </w:p>
        </w:tc>
        <w:tc>
          <w:tcPr>
            <w:tcW w:w="1945" w:type="dxa"/>
            <w:vAlign w:val="center"/>
          </w:tcPr>
          <w:p w14:paraId="3E6D0F66" w14:textId="77777777" w:rsidR="00FC01F7" w:rsidRPr="005F5161" w:rsidRDefault="00FC01F7" w:rsidP="00DF585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5F5161">
              <w:rPr>
                <w:rFonts w:ascii="Times New Roman" w:eastAsia="Calibri" w:hAnsi="Times New Roman" w:cs="Times New Roman"/>
                <w:sz w:val="20"/>
                <w:szCs w:val="20"/>
              </w:rPr>
              <w:t>Cantidad carreras de grado y posgrado en valores absolutos</w:t>
            </w:r>
          </w:p>
        </w:tc>
        <w:tc>
          <w:tcPr>
            <w:tcW w:w="1439" w:type="dxa"/>
            <w:vAlign w:val="center"/>
          </w:tcPr>
          <w:p w14:paraId="78F47FC9" w14:textId="77777777" w:rsidR="00FC01F7" w:rsidRPr="005F5161" w:rsidRDefault="00FC01F7" w:rsidP="00DF585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5F5161">
              <w:rPr>
                <w:rFonts w:ascii="Times New Roman" w:eastAsia="Calibri" w:hAnsi="Times New Roman" w:cs="Times New Roman"/>
                <w:sz w:val="20"/>
                <w:szCs w:val="20"/>
              </w:rPr>
              <w:t>+</w:t>
            </w:r>
          </w:p>
        </w:tc>
      </w:tr>
    </w:tbl>
    <w:p w14:paraId="1C3F4902" w14:textId="77777777" w:rsidR="00FC01F7" w:rsidRPr="005F5161" w:rsidRDefault="00FC01F7" w:rsidP="00FC01F7">
      <w:pPr>
        <w:spacing w:after="200" w:line="276" w:lineRule="auto"/>
        <w:rPr>
          <w:rFonts w:ascii="Times New Roman" w:eastAsia="Calibri" w:hAnsi="Times New Roman" w:cs="Times New Roman"/>
          <w:lang w:eastAsia="es-AR"/>
        </w:rPr>
      </w:pPr>
      <w:r w:rsidRPr="005F5161">
        <w:rPr>
          <w:rFonts w:ascii="Times New Roman" w:eastAsia="Calibri" w:hAnsi="Times New Roman" w:cs="Times New Roman"/>
          <w:lang w:eastAsia="es-AR"/>
        </w:rPr>
        <w:t>Fuente: elaboración propia</w:t>
      </w:r>
    </w:p>
    <w:p w14:paraId="42E08521" w14:textId="77777777" w:rsidR="007E2414" w:rsidRDefault="007E2414" w:rsidP="00FC01F7">
      <w:pPr>
        <w:spacing w:after="0" w:line="360" w:lineRule="auto"/>
        <w:jc w:val="both"/>
        <w:rPr>
          <w:rFonts w:ascii="Times New Roman" w:eastAsia="Calibri" w:hAnsi="Times New Roman" w:cs="Times New Roman"/>
          <w:b/>
        </w:rPr>
      </w:pPr>
    </w:p>
    <w:p w14:paraId="3A600DB1" w14:textId="77777777" w:rsidR="00FC01F7" w:rsidRPr="00865381" w:rsidRDefault="00FC01F7" w:rsidP="00FC01F7">
      <w:pPr>
        <w:spacing w:after="0" w:line="360" w:lineRule="auto"/>
        <w:jc w:val="both"/>
        <w:rPr>
          <w:rFonts w:ascii="Times New Roman" w:eastAsia="Calibri" w:hAnsi="Times New Roman" w:cs="Times New Roman"/>
          <w:b/>
          <w:sz w:val="24"/>
          <w:szCs w:val="24"/>
        </w:rPr>
      </w:pPr>
      <w:r w:rsidRPr="00865381">
        <w:rPr>
          <w:rFonts w:ascii="Times New Roman" w:eastAsia="Calibri" w:hAnsi="Times New Roman" w:cs="Times New Roman"/>
          <w:b/>
          <w:sz w:val="24"/>
          <w:szCs w:val="24"/>
        </w:rPr>
        <w:t>Modelo de investigación</w:t>
      </w:r>
    </w:p>
    <w:p w14:paraId="11FA1CD0" w14:textId="77777777" w:rsidR="00FC01F7" w:rsidRPr="00865381" w:rsidRDefault="00FC01F7" w:rsidP="00671E12">
      <w:pPr>
        <w:spacing w:line="360" w:lineRule="auto"/>
        <w:jc w:val="both"/>
        <w:rPr>
          <w:rFonts w:ascii="Times New Roman" w:hAnsi="Times New Roman" w:cs="Times New Roman"/>
          <w:sz w:val="24"/>
          <w:szCs w:val="24"/>
        </w:rPr>
      </w:pPr>
      <w:r w:rsidRPr="00865381">
        <w:rPr>
          <w:rFonts w:ascii="Times New Roman" w:hAnsi="Times New Roman" w:cs="Times New Roman"/>
          <w:sz w:val="24"/>
          <w:szCs w:val="24"/>
        </w:rPr>
        <w:lastRenderedPageBreak/>
        <w:t>Se empleó una regresión lineal múltiple para establecer la posible relación entre las variables independientes y la variable dependiente</w:t>
      </w:r>
      <w:r w:rsidR="007A3DAA" w:rsidRPr="00865381">
        <w:rPr>
          <w:rFonts w:ascii="Times New Roman" w:hAnsi="Times New Roman" w:cs="Times New Roman"/>
          <w:sz w:val="24"/>
          <w:szCs w:val="24"/>
        </w:rPr>
        <w:t xml:space="preserve">. La estimación se realizó </w:t>
      </w:r>
      <w:r w:rsidRPr="00865381">
        <w:rPr>
          <w:rFonts w:ascii="Times New Roman" w:hAnsi="Times New Roman" w:cs="Times New Roman"/>
          <w:sz w:val="24"/>
          <w:szCs w:val="24"/>
        </w:rPr>
        <w:t xml:space="preserve">por el método de mínimos cuadrados ordinarios -MCO-. </w:t>
      </w:r>
    </w:p>
    <w:p w14:paraId="4330256A" w14:textId="77777777" w:rsidR="00FB1B03" w:rsidRPr="00865381" w:rsidRDefault="007E2414" w:rsidP="007E2414">
      <w:pPr>
        <w:spacing w:line="360" w:lineRule="auto"/>
        <w:jc w:val="both"/>
        <w:rPr>
          <w:rFonts w:ascii="Times New Roman" w:hAnsi="Times New Roman" w:cs="Times New Roman"/>
          <w:sz w:val="24"/>
          <w:szCs w:val="24"/>
        </w:rPr>
      </w:pPr>
      <w:r w:rsidRPr="00865381">
        <w:rPr>
          <w:rFonts w:ascii="Times New Roman" w:hAnsi="Times New Roman" w:cs="Times New Roman"/>
          <w:sz w:val="24"/>
          <w:szCs w:val="24"/>
        </w:rPr>
        <w:t>Se plantea el siguiente modelo:</w:t>
      </w:r>
    </w:p>
    <w:p w14:paraId="291822C9" w14:textId="77777777" w:rsidR="00FC01F7" w:rsidRPr="005F5161" w:rsidRDefault="00FC01F7" w:rsidP="00FC01F7">
      <w:pPr>
        <w:widowControl w:val="0"/>
        <w:autoSpaceDE w:val="0"/>
        <w:autoSpaceDN w:val="0"/>
        <w:spacing w:before="121" w:after="0" w:line="240" w:lineRule="auto"/>
        <w:outlineLvl w:val="0"/>
        <w:rPr>
          <w:rFonts w:ascii="Times New Roman" w:eastAsia="Times New Roman" w:hAnsi="Times New Roman" w:cs="Times New Roman"/>
        </w:rPr>
      </w:pPr>
      <m:oMathPara>
        <m:oMath>
          <m:r>
            <w:rPr>
              <w:rFonts w:ascii="Cambria Math" w:eastAsia="Times New Roman" w:hAnsi="Cambria Math" w:cs="Times New Roman"/>
              <w:color w:val="000000"/>
            </w:rPr>
            <m:t>IDCRT=α+</m:t>
          </m:r>
          <m:sSub>
            <m:sSubPr>
              <m:ctrlPr>
                <w:rPr>
                  <w:rFonts w:ascii="Cambria Math" w:eastAsia="Times New Roman" w:hAnsi="Cambria Math" w:cs="Times New Roman"/>
                  <w:bCs/>
                  <w:i/>
                  <w:color w:val="000000"/>
                  <w:lang w:eastAsia="es-AR"/>
                </w:rPr>
              </m:ctrlPr>
            </m:sSubPr>
            <m:e>
              <m:r>
                <w:rPr>
                  <w:rFonts w:ascii="Cambria Math" w:eastAsia="Times New Roman" w:hAnsi="Cambria Math" w:cs="Times New Roman"/>
                  <w:color w:val="000000"/>
                </w:rPr>
                <m:t>β</m:t>
              </m:r>
            </m:e>
            <m:sub>
              <m:r>
                <w:rPr>
                  <w:rFonts w:ascii="Cambria Math" w:eastAsia="Times New Roman" w:hAnsi="Cambria Math" w:cs="Times New Roman"/>
                  <w:color w:val="000000"/>
                </w:rPr>
                <m:t>1</m:t>
              </m:r>
            </m:sub>
          </m:sSub>
          <m:r>
            <w:rPr>
              <w:rFonts w:ascii="Cambria Math" w:eastAsia="Times New Roman" w:hAnsi="Cambria Math" w:cs="Times New Roman"/>
              <w:color w:val="000000"/>
            </w:rPr>
            <m:t>TAMit+</m:t>
          </m:r>
          <m:sSub>
            <m:sSubPr>
              <m:ctrlPr>
                <w:rPr>
                  <w:rFonts w:ascii="Cambria Math" w:eastAsia="Times New Roman" w:hAnsi="Cambria Math" w:cs="Times New Roman"/>
                  <w:bCs/>
                  <w:i/>
                  <w:color w:val="000000"/>
                  <w:lang w:eastAsia="es-AR"/>
                </w:rPr>
              </m:ctrlPr>
            </m:sSubPr>
            <m:e>
              <m:r>
                <w:rPr>
                  <w:rFonts w:ascii="Cambria Math" w:eastAsia="Times New Roman" w:hAnsi="Cambria Math" w:cs="Times New Roman"/>
                  <w:color w:val="000000"/>
                </w:rPr>
                <m:t>β</m:t>
              </m:r>
            </m:e>
            <m:sub>
              <m:r>
                <w:rPr>
                  <w:rFonts w:ascii="Cambria Math" w:eastAsia="Times New Roman" w:hAnsi="Cambria Math" w:cs="Times New Roman"/>
                  <w:color w:val="000000"/>
                </w:rPr>
                <m:t>2</m:t>
              </m:r>
            </m:sub>
          </m:sSub>
          <m:sSub>
            <m:sSubPr>
              <m:ctrlPr>
                <w:rPr>
                  <w:rFonts w:ascii="Cambria Math" w:eastAsia="Times New Roman" w:hAnsi="Cambria Math" w:cs="Times New Roman"/>
                  <w:bCs/>
                  <w:i/>
                  <w:color w:val="000000"/>
                  <w:lang w:eastAsia="es-AR"/>
                </w:rPr>
              </m:ctrlPr>
            </m:sSubPr>
            <m:e>
              <m:r>
                <w:rPr>
                  <w:rFonts w:ascii="Cambria Math" w:eastAsia="Times New Roman" w:hAnsi="Cambria Math" w:cs="Times New Roman"/>
                  <w:color w:val="000000"/>
                </w:rPr>
                <m:t>CAP INV</m:t>
              </m:r>
            </m:e>
            <m:sub>
              <m:r>
                <w:rPr>
                  <w:rFonts w:ascii="Cambria Math" w:eastAsia="Times New Roman" w:hAnsi="Cambria Math" w:cs="Times New Roman"/>
                  <w:color w:val="000000"/>
                </w:rPr>
                <m:t>it</m:t>
              </m:r>
            </m:sub>
          </m:sSub>
          <m:r>
            <w:rPr>
              <w:rFonts w:ascii="Cambria Math" w:eastAsia="Times New Roman" w:hAnsi="Cambria Math" w:cs="Times New Roman"/>
              <w:color w:val="000000"/>
            </w:rPr>
            <m:t>+</m:t>
          </m:r>
          <m:sSub>
            <m:sSubPr>
              <m:ctrlPr>
                <w:rPr>
                  <w:rFonts w:ascii="Cambria Math" w:eastAsia="Times New Roman" w:hAnsi="Cambria Math" w:cs="Times New Roman"/>
                  <w:bCs/>
                  <w:i/>
                  <w:color w:val="000000"/>
                  <w:lang w:eastAsia="es-AR"/>
                </w:rPr>
              </m:ctrlPr>
            </m:sSubPr>
            <m:e>
              <m:r>
                <w:rPr>
                  <w:rFonts w:ascii="Cambria Math" w:eastAsia="Times New Roman" w:hAnsi="Cambria Math" w:cs="Times New Roman"/>
                  <w:color w:val="000000"/>
                </w:rPr>
                <m:t>β</m:t>
              </m:r>
            </m:e>
            <m:sub>
              <m:r>
                <w:rPr>
                  <w:rFonts w:ascii="Cambria Math" w:eastAsia="Times New Roman" w:hAnsi="Cambria Math" w:cs="Times New Roman"/>
                  <w:color w:val="000000"/>
                </w:rPr>
                <m:t>3</m:t>
              </m:r>
            </m:sub>
          </m:sSub>
          <m:sSub>
            <m:sSubPr>
              <m:ctrlPr>
                <w:rPr>
                  <w:rFonts w:ascii="Cambria Math" w:eastAsia="Times New Roman" w:hAnsi="Cambria Math" w:cs="Times New Roman"/>
                  <w:bCs/>
                  <w:i/>
                  <w:color w:val="000000"/>
                  <w:lang w:eastAsia="es-AR"/>
                </w:rPr>
              </m:ctrlPr>
            </m:sSubPr>
            <m:e>
              <m:r>
                <w:rPr>
                  <w:rFonts w:ascii="Cambria Math" w:eastAsia="Times New Roman" w:hAnsi="Cambria Math" w:cs="Times New Roman"/>
                  <w:color w:val="000000"/>
                </w:rPr>
                <m:t>GENERO</m:t>
              </m:r>
            </m:e>
            <m:sub>
              <m:r>
                <w:rPr>
                  <w:rFonts w:ascii="Cambria Math" w:eastAsia="Times New Roman" w:hAnsi="Cambria Math" w:cs="Times New Roman"/>
                  <w:color w:val="000000"/>
                </w:rPr>
                <m:t>it</m:t>
              </m:r>
            </m:sub>
          </m:sSub>
          <m:r>
            <w:rPr>
              <w:rFonts w:ascii="Cambria Math" w:eastAsia="Times New Roman" w:hAnsi="Cambria Math" w:cs="Times New Roman"/>
              <w:color w:val="000000"/>
            </w:rPr>
            <m:t xml:space="preserve">+ </m:t>
          </m:r>
          <m:sSub>
            <m:sSubPr>
              <m:ctrlPr>
                <w:rPr>
                  <w:rFonts w:ascii="Cambria Math" w:eastAsia="Times New Roman" w:hAnsi="Cambria Math" w:cs="Times New Roman"/>
                  <w:bCs/>
                  <w:i/>
                  <w:color w:val="000000"/>
                  <w:lang w:eastAsia="es-AR"/>
                </w:rPr>
              </m:ctrlPr>
            </m:sSubPr>
            <m:e>
              <m:r>
                <w:rPr>
                  <w:rFonts w:ascii="Cambria Math" w:eastAsia="Times New Roman" w:hAnsi="Cambria Math" w:cs="Times New Roman"/>
                  <w:color w:val="000000"/>
                </w:rPr>
                <m:t>COMPLEJ</m:t>
              </m:r>
            </m:e>
            <m:sub>
              <m:r>
                <w:rPr>
                  <w:rFonts w:ascii="Cambria Math" w:eastAsia="Times New Roman" w:hAnsi="Cambria Math" w:cs="Times New Roman"/>
                  <w:color w:val="000000"/>
                </w:rPr>
                <m:t>it</m:t>
              </m:r>
            </m:sub>
          </m:sSub>
          <m:sSub>
            <m:sSubPr>
              <m:ctrlPr>
                <w:rPr>
                  <w:rFonts w:ascii="Cambria Math" w:eastAsia="Times New Roman" w:hAnsi="Cambria Math" w:cs="Times New Roman"/>
                  <w:bCs/>
                  <w:i/>
                  <w:color w:val="000000"/>
                  <w:lang w:eastAsia="es-AR"/>
                </w:rPr>
              </m:ctrlPr>
            </m:sSubPr>
            <m:e>
              <m:r>
                <w:rPr>
                  <w:rFonts w:ascii="Cambria Math" w:eastAsia="Times New Roman" w:hAnsi="Cambria Math" w:cs="Times New Roman"/>
                  <w:color w:val="000000"/>
                </w:rPr>
                <m:t>+  ε</m:t>
              </m:r>
            </m:e>
            <m:sub>
              <m:r>
                <w:rPr>
                  <w:rFonts w:ascii="Cambria Math" w:eastAsia="Times New Roman" w:hAnsi="Cambria Math" w:cs="Times New Roman"/>
                  <w:color w:val="000000"/>
                </w:rPr>
                <m:t>it</m:t>
              </m:r>
            </m:sub>
          </m:sSub>
        </m:oMath>
      </m:oMathPara>
    </w:p>
    <w:p w14:paraId="1DFB333E" w14:textId="77777777" w:rsidR="00FC01F7" w:rsidRPr="00865381" w:rsidRDefault="00FC01F7" w:rsidP="00FB1B03">
      <w:pPr>
        <w:spacing w:before="240" w:after="200" w:line="276" w:lineRule="auto"/>
        <w:rPr>
          <w:rFonts w:ascii="Times New Roman" w:eastAsia="Calibri" w:hAnsi="Times New Roman" w:cs="Times New Roman"/>
          <w:sz w:val="24"/>
          <w:szCs w:val="24"/>
        </w:rPr>
      </w:pPr>
      <w:r w:rsidRPr="00865381">
        <w:rPr>
          <w:rFonts w:ascii="Times New Roman" w:eastAsia="Calibri" w:hAnsi="Times New Roman" w:cs="Times New Roman"/>
          <w:sz w:val="24"/>
          <w:szCs w:val="24"/>
        </w:rPr>
        <w:t>Donde:</w:t>
      </w:r>
      <w:r w:rsidRPr="00865381">
        <w:rPr>
          <w:rFonts w:ascii="Times New Roman" w:eastAsia="Calibri" w:hAnsi="Times New Roman" w:cs="Times New Roman"/>
          <w:sz w:val="24"/>
          <w:szCs w:val="24"/>
        </w:rPr>
        <w:tab/>
      </w:r>
    </w:p>
    <w:p w14:paraId="48E98A2B" w14:textId="77777777" w:rsidR="00FC01F7" w:rsidRPr="00865381" w:rsidRDefault="00FC01F7" w:rsidP="00FC01F7">
      <w:pPr>
        <w:spacing w:after="200" w:line="276" w:lineRule="auto"/>
        <w:rPr>
          <w:rFonts w:ascii="Times New Roman" w:eastAsia="Calibri" w:hAnsi="Times New Roman" w:cs="Times New Roman"/>
          <w:sz w:val="24"/>
          <w:szCs w:val="24"/>
        </w:rPr>
      </w:pPr>
      <w:r w:rsidRPr="00865381">
        <w:rPr>
          <w:rFonts w:ascii="Times New Roman" w:eastAsia="Calibri" w:hAnsi="Times New Roman" w:cs="Times New Roman"/>
          <w:i/>
          <w:sz w:val="24"/>
          <w:szCs w:val="24"/>
          <w:lang w:eastAsia="es-AR"/>
        </w:rPr>
        <w:t>IDCRT</w:t>
      </w:r>
      <w:r w:rsidRPr="00865381">
        <w:rPr>
          <w:rFonts w:ascii="Times New Roman" w:eastAsia="Calibri" w:hAnsi="Times New Roman" w:cs="Times New Roman"/>
          <w:i/>
          <w:sz w:val="24"/>
          <w:szCs w:val="24"/>
          <w:vertAlign w:val="subscript"/>
          <w:lang w:eastAsia="es-AR"/>
        </w:rPr>
        <w:t>it</w:t>
      </w:r>
      <w:r w:rsidRPr="00865381">
        <w:rPr>
          <w:rFonts w:ascii="Times New Roman" w:eastAsia="Calibri" w:hAnsi="Times New Roman" w:cs="Times New Roman"/>
          <w:sz w:val="24"/>
          <w:szCs w:val="24"/>
          <w:lang w:eastAsia="es-AR"/>
        </w:rPr>
        <w:t xml:space="preserve"> </w:t>
      </w:r>
      <w:r w:rsidR="00FB1B03" w:rsidRPr="00865381">
        <w:rPr>
          <w:rFonts w:ascii="Times New Roman" w:eastAsia="Calibri" w:hAnsi="Times New Roman" w:cs="Times New Roman"/>
          <w:sz w:val="24"/>
          <w:szCs w:val="24"/>
        </w:rPr>
        <w:t>e</w:t>
      </w:r>
      <w:r w:rsidRPr="00865381">
        <w:rPr>
          <w:rFonts w:ascii="Times New Roman" w:eastAsia="Calibri" w:hAnsi="Times New Roman" w:cs="Times New Roman"/>
          <w:sz w:val="24"/>
          <w:szCs w:val="24"/>
        </w:rPr>
        <w:t>s</w:t>
      </w:r>
      <w:r w:rsidR="00671E12" w:rsidRPr="00865381">
        <w:rPr>
          <w:rFonts w:ascii="Times New Roman" w:eastAsia="Calibri" w:hAnsi="Times New Roman" w:cs="Times New Roman"/>
          <w:sz w:val="24"/>
          <w:szCs w:val="24"/>
        </w:rPr>
        <w:t xml:space="preserve"> la medida de indicadores del CR total</w:t>
      </w:r>
    </w:p>
    <w:p w14:paraId="426679C0" w14:textId="77777777" w:rsidR="00671E12" w:rsidRPr="00865381" w:rsidRDefault="00FC01F7" w:rsidP="00671E12">
      <w:pPr>
        <w:spacing w:after="200" w:line="276" w:lineRule="auto"/>
        <w:rPr>
          <w:rFonts w:ascii="Times New Roman" w:eastAsia="Calibri" w:hAnsi="Times New Roman" w:cs="Times New Roman"/>
          <w:sz w:val="24"/>
          <w:szCs w:val="24"/>
        </w:rPr>
      </w:pPr>
      <w:r w:rsidRPr="00865381">
        <w:rPr>
          <w:rFonts w:ascii="Times New Roman" w:eastAsia="Calibri" w:hAnsi="Times New Roman" w:cs="Times New Roman"/>
          <w:i/>
          <w:sz w:val="24"/>
          <w:szCs w:val="24"/>
        </w:rPr>
        <w:t>TAM</w:t>
      </w:r>
      <w:r w:rsidRPr="00865381">
        <w:rPr>
          <w:rFonts w:ascii="Times New Roman" w:eastAsia="Calibri" w:hAnsi="Times New Roman" w:cs="Times New Roman"/>
          <w:i/>
          <w:sz w:val="24"/>
          <w:szCs w:val="24"/>
          <w:vertAlign w:val="subscript"/>
        </w:rPr>
        <w:t>it</w:t>
      </w:r>
      <w:r w:rsidRPr="00865381">
        <w:rPr>
          <w:rFonts w:ascii="Times New Roman" w:eastAsia="Calibri" w:hAnsi="Times New Roman" w:cs="Times New Roman"/>
          <w:sz w:val="24"/>
          <w:szCs w:val="24"/>
        </w:rPr>
        <w:t xml:space="preserve"> es el LN de la cantidad de alumnos de la UUNN</w:t>
      </w:r>
    </w:p>
    <w:p w14:paraId="70598454" w14:textId="77777777" w:rsidR="00FC01F7" w:rsidRPr="00865381" w:rsidRDefault="00D93714" w:rsidP="00FB1B03">
      <w:pPr>
        <w:spacing w:after="200" w:line="276" w:lineRule="auto"/>
        <w:jc w:val="both"/>
        <w:rPr>
          <w:rFonts w:ascii="Times New Roman" w:eastAsia="Calibri" w:hAnsi="Times New Roman" w:cs="Times New Roman"/>
          <w:sz w:val="24"/>
          <w:szCs w:val="24"/>
        </w:rPr>
      </w:pPr>
      <w:r w:rsidRPr="00865381">
        <w:rPr>
          <w:rFonts w:ascii="Times New Roman" w:eastAsia="Calibri" w:hAnsi="Times New Roman" w:cs="Times New Roman"/>
          <w:i/>
          <w:sz w:val="24"/>
          <w:szCs w:val="24"/>
          <w:lang w:eastAsia="es-AR"/>
        </w:rPr>
        <w:t>CAP</w:t>
      </w:r>
      <w:r w:rsidR="00FC01F7" w:rsidRPr="00865381">
        <w:rPr>
          <w:rFonts w:ascii="Times New Roman" w:eastAsia="Calibri" w:hAnsi="Times New Roman" w:cs="Times New Roman"/>
          <w:i/>
          <w:sz w:val="24"/>
          <w:szCs w:val="24"/>
          <w:lang w:eastAsia="es-AR"/>
        </w:rPr>
        <w:t xml:space="preserve"> INV</w:t>
      </w:r>
      <w:r w:rsidR="00FC01F7" w:rsidRPr="00865381">
        <w:rPr>
          <w:rFonts w:ascii="Times New Roman" w:eastAsia="Calibri" w:hAnsi="Times New Roman" w:cs="Times New Roman"/>
          <w:i/>
          <w:sz w:val="24"/>
          <w:szCs w:val="24"/>
          <w:vertAlign w:val="subscript"/>
          <w:lang w:eastAsia="es-AR"/>
        </w:rPr>
        <w:t>it</w:t>
      </w:r>
      <w:r w:rsidR="00671E12" w:rsidRPr="00865381">
        <w:rPr>
          <w:rFonts w:ascii="Times New Roman" w:eastAsia="Calibri" w:hAnsi="Times New Roman" w:cs="Times New Roman"/>
          <w:sz w:val="24"/>
          <w:szCs w:val="24"/>
          <w:lang w:eastAsia="es-AR"/>
        </w:rPr>
        <w:t xml:space="preserve"> es la capacidad de </w:t>
      </w:r>
      <w:r w:rsidR="00FC01F7" w:rsidRPr="00865381">
        <w:rPr>
          <w:rFonts w:ascii="Times New Roman" w:eastAsia="Calibri" w:hAnsi="Times New Roman" w:cs="Times New Roman"/>
          <w:sz w:val="24"/>
          <w:szCs w:val="24"/>
          <w:lang w:eastAsia="es-AR"/>
        </w:rPr>
        <w:t>investigación de la UUNN</w:t>
      </w:r>
      <w:r w:rsidR="00671E12" w:rsidRPr="00865381">
        <w:rPr>
          <w:rFonts w:ascii="Times New Roman" w:eastAsia="Calibri" w:hAnsi="Times New Roman" w:cs="Times New Roman"/>
          <w:sz w:val="24"/>
          <w:szCs w:val="24"/>
          <w:lang w:eastAsia="es-AR"/>
        </w:rPr>
        <w:t>, expresada como el porcentaje de docentes con título de doctorado;</w:t>
      </w:r>
    </w:p>
    <w:p w14:paraId="35367298" w14:textId="77777777" w:rsidR="00FC01F7" w:rsidRPr="00865381" w:rsidRDefault="00FC01F7" w:rsidP="00FB1B03">
      <w:pPr>
        <w:spacing w:after="200" w:line="276" w:lineRule="auto"/>
        <w:jc w:val="both"/>
        <w:rPr>
          <w:rFonts w:ascii="Times New Roman" w:eastAsia="Calibri" w:hAnsi="Times New Roman" w:cs="Times New Roman"/>
          <w:sz w:val="24"/>
          <w:szCs w:val="24"/>
          <w:lang w:eastAsia="es-AR"/>
        </w:rPr>
      </w:pPr>
      <w:r w:rsidRPr="00865381">
        <w:rPr>
          <w:rFonts w:ascii="Times New Roman" w:eastAsia="Calibri" w:hAnsi="Times New Roman" w:cs="Times New Roman"/>
          <w:i/>
          <w:sz w:val="24"/>
          <w:szCs w:val="24"/>
          <w:lang w:eastAsia="es-AR"/>
        </w:rPr>
        <w:t>GENERO</w:t>
      </w:r>
      <w:r w:rsidRPr="00865381">
        <w:rPr>
          <w:rFonts w:ascii="Times New Roman" w:eastAsia="Calibri" w:hAnsi="Times New Roman" w:cs="Times New Roman"/>
          <w:sz w:val="24"/>
          <w:szCs w:val="24"/>
          <w:vertAlign w:val="subscript"/>
          <w:lang w:eastAsia="es-AR"/>
        </w:rPr>
        <w:t>it</w:t>
      </w:r>
      <w:r w:rsidRPr="00865381">
        <w:rPr>
          <w:rFonts w:ascii="Times New Roman" w:eastAsia="Calibri" w:hAnsi="Times New Roman" w:cs="Times New Roman"/>
          <w:sz w:val="24"/>
          <w:szCs w:val="24"/>
          <w:lang w:eastAsia="es-AR"/>
        </w:rPr>
        <w:t xml:space="preserve"> es una variable dicotómica, que mide el género del rector/ra, y asume el valor 0 para masculino y 1 para femenino</w:t>
      </w:r>
    </w:p>
    <w:p w14:paraId="04D6F03D" w14:textId="77777777" w:rsidR="00FC01F7" w:rsidRPr="00865381" w:rsidRDefault="00FC01F7" w:rsidP="00FB1B03">
      <w:pPr>
        <w:spacing w:after="200" w:line="276" w:lineRule="auto"/>
        <w:jc w:val="both"/>
        <w:rPr>
          <w:rFonts w:ascii="Times New Roman" w:eastAsia="Calibri" w:hAnsi="Times New Roman" w:cs="Times New Roman"/>
          <w:sz w:val="24"/>
          <w:szCs w:val="24"/>
          <w:lang w:eastAsia="es-AR"/>
        </w:rPr>
      </w:pPr>
      <w:r w:rsidRPr="00865381">
        <w:rPr>
          <w:rFonts w:ascii="Times New Roman" w:eastAsia="Calibri" w:hAnsi="Times New Roman" w:cs="Times New Roman"/>
          <w:sz w:val="24"/>
          <w:szCs w:val="24"/>
          <w:lang w:eastAsia="es-AR"/>
        </w:rPr>
        <w:t>COMPLEJ</w:t>
      </w:r>
      <w:r w:rsidRPr="00865381">
        <w:rPr>
          <w:rFonts w:ascii="Times New Roman" w:eastAsia="Calibri" w:hAnsi="Times New Roman" w:cs="Times New Roman"/>
          <w:sz w:val="24"/>
          <w:szCs w:val="24"/>
          <w:vertAlign w:val="subscript"/>
          <w:lang w:eastAsia="es-AR"/>
        </w:rPr>
        <w:t>it</w:t>
      </w:r>
      <w:r w:rsidR="00FB1B03" w:rsidRPr="00865381">
        <w:rPr>
          <w:rFonts w:ascii="Times New Roman" w:eastAsia="Calibri" w:hAnsi="Times New Roman" w:cs="Times New Roman"/>
          <w:sz w:val="24"/>
          <w:szCs w:val="24"/>
          <w:vertAlign w:val="subscript"/>
          <w:lang w:eastAsia="es-AR"/>
        </w:rPr>
        <w:t xml:space="preserve"> </w:t>
      </w:r>
      <w:r w:rsidRPr="00865381">
        <w:rPr>
          <w:rFonts w:ascii="Times New Roman" w:eastAsia="Calibri" w:hAnsi="Times New Roman" w:cs="Times New Roman"/>
          <w:sz w:val="24"/>
          <w:szCs w:val="24"/>
          <w:lang w:eastAsia="es-AR"/>
        </w:rPr>
        <w:t xml:space="preserve">es la complejidad de la UUNN, medida por el número de carreras de </w:t>
      </w:r>
      <w:r w:rsidR="00D93714" w:rsidRPr="00865381">
        <w:rPr>
          <w:rFonts w:ascii="Times New Roman" w:eastAsia="Calibri" w:hAnsi="Times New Roman" w:cs="Times New Roman"/>
          <w:sz w:val="24"/>
          <w:szCs w:val="24"/>
          <w:lang w:eastAsia="es-AR"/>
        </w:rPr>
        <w:t xml:space="preserve">grado y </w:t>
      </w:r>
      <w:r w:rsidRPr="00865381">
        <w:rPr>
          <w:rFonts w:ascii="Times New Roman" w:eastAsia="Calibri" w:hAnsi="Times New Roman" w:cs="Times New Roman"/>
          <w:sz w:val="24"/>
          <w:szCs w:val="24"/>
          <w:lang w:eastAsia="es-AR"/>
        </w:rPr>
        <w:t>posgrado de cada UUNN</w:t>
      </w:r>
    </w:p>
    <w:p w14:paraId="44CAFE6B" w14:textId="77777777" w:rsidR="00FC01F7" w:rsidRPr="00865381" w:rsidRDefault="00FC01F7" w:rsidP="00FC01F7">
      <w:pPr>
        <w:spacing w:after="200" w:line="276" w:lineRule="auto"/>
        <w:rPr>
          <w:rFonts w:ascii="Times New Roman" w:eastAsia="Calibri" w:hAnsi="Times New Roman" w:cs="Times New Roman"/>
          <w:b/>
          <w:sz w:val="24"/>
          <w:szCs w:val="24"/>
          <w:lang w:eastAsia="es-AR"/>
        </w:rPr>
      </w:pPr>
      <w:r w:rsidRPr="00865381">
        <w:rPr>
          <w:rFonts w:ascii="Times New Roman" w:eastAsia="Calibri" w:hAnsi="Times New Roman" w:cs="Times New Roman"/>
          <w:b/>
          <w:sz w:val="24"/>
          <w:szCs w:val="24"/>
          <w:lang w:eastAsia="es-AR"/>
        </w:rPr>
        <w:t>Cuadro 2: Estadísticos descriptivos</w:t>
      </w:r>
    </w:p>
    <w:tbl>
      <w:tblPr>
        <w:tblStyle w:val="Tablanormal51"/>
        <w:tblpPr w:leftFromText="141" w:rightFromText="141" w:vertAnchor="text" w:horzAnchor="margin" w:tblpXSpec="center" w:tblpY="124"/>
        <w:tblW w:w="7867" w:type="dxa"/>
        <w:tblLayout w:type="fixed"/>
        <w:tblLook w:val="04A0" w:firstRow="1" w:lastRow="0" w:firstColumn="1" w:lastColumn="0" w:noHBand="0" w:noVBand="1"/>
      </w:tblPr>
      <w:tblGrid>
        <w:gridCol w:w="1488"/>
        <w:gridCol w:w="1276"/>
        <w:gridCol w:w="1275"/>
        <w:gridCol w:w="1276"/>
        <w:gridCol w:w="1276"/>
        <w:gridCol w:w="1276"/>
      </w:tblGrid>
      <w:tr w:rsidR="00FC01F7" w:rsidRPr="005F5161" w14:paraId="01EB0564" w14:textId="77777777" w:rsidTr="00FB1B03">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1488" w:type="dxa"/>
            <w:noWrap/>
            <w:vAlign w:val="center"/>
          </w:tcPr>
          <w:p w14:paraId="3A8F39CB" w14:textId="77777777" w:rsidR="00FC01F7" w:rsidRPr="005F5161" w:rsidRDefault="00FC01F7" w:rsidP="00FB1B03">
            <w:pPr>
              <w:spacing w:line="276" w:lineRule="auto"/>
              <w:jc w:val="center"/>
              <w:rPr>
                <w:rFonts w:ascii="Times New Roman" w:eastAsia="Times New Roman" w:hAnsi="Times New Roman" w:cs="Times New Roman"/>
                <w:b/>
                <w:color w:val="000000"/>
                <w:sz w:val="20"/>
                <w:szCs w:val="20"/>
                <w:lang w:eastAsia="es-ES"/>
              </w:rPr>
            </w:pPr>
            <w:r w:rsidRPr="005F5161">
              <w:rPr>
                <w:rFonts w:ascii="Times New Roman" w:eastAsia="Times New Roman" w:hAnsi="Times New Roman" w:cs="Times New Roman"/>
                <w:b/>
                <w:color w:val="000000"/>
                <w:sz w:val="20"/>
                <w:szCs w:val="20"/>
                <w:lang w:eastAsia="es-ES"/>
              </w:rPr>
              <w:t>Variable</w:t>
            </w:r>
          </w:p>
        </w:tc>
        <w:tc>
          <w:tcPr>
            <w:tcW w:w="1276" w:type="dxa"/>
            <w:vAlign w:val="center"/>
            <w:hideMark/>
          </w:tcPr>
          <w:p w14:paraId="23A9024E" w14:textId="77777777" w:rsidR="00FC01F7" w:rsidRPr="005F5161" w:rsidRDefault="00FC01F7" w:rsidP="00FB1B03">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es-ES"/>
              </w:rPr>
            </w:pPr>
            <w:r w:rsidRPr="005F5161">
              <w:rPr>
                <w:rFonts w:ascii="Times New Roman" w:eastAsia="Times New Roman" w:hAnsi="Times New Roman" w:cs="Times New Roman"/>
                <w:b/>
                <w:color w:val="000000"/>
                <w:sz w:val="20"/>
                <w:szCs w:val="20"/>
                <w:lang w:eastAsia="es-ES"/>
              </w:rPr>
              <w:t>Media</w:t>
            </w:r>
          </w:p>
        </w:tc>
        <w:tc>
          <w:tcPr>
            <w:tcW w:w="1275" w:type="dxa"/>
            <w:vAlign w:val="center"/>
            <w:hideMark/>
          </w:tcPr>
          <w:p w14:paraId="25CA30D8" w14:textId="77777777" w:rsidR="00FC01F7" w:rsidRPr="005F5161" w:rsidRDefault="00FC01F7" w:rsidP="00FB1B03">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es-ES"/>
              </w:rPr>
            </w:pPr>
            <w:r w:rsidRPr="005F5161">
              <w:rPr>
                <w:rFonts w:ascii="Times New Roman" w:eastAsia="Times New Roman" w:hAnsi="Times New Roman" w:cs="Times New Roman"/>
                <w:b/>
                <w:color w:val="000000"/>
                <w:sz w:val="20"/>
                <w:szCs w:val="20"/>
                <w:lang w:eastAsia="es-ES"/>
              </w:rPr>
              <w:t>Desviación Típica</w:t>
            </w:r>
          </w:p>
        </w:tc>
        <w:tc>
          <w:tcPr>
            <w:tcW w:w="1276" w:type="dxa"/>
            <w:vAlign w:val="center"/>
            <w:hideMark/>
          </w:tcPr>
          <w:p w14:paraId="58C0A562" w14:textId="77777777" w:rsidR="00FC01F7" w:rsidRPr="005F5161" w:rsidRDefault="00FC01F7" w:rsidP="00FB1B03">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es-ES"/>
              </w:rPr>
            </w:pPr>
            <w:r w:rsidRPr="005F5161">
              <w:rPr>
                <w:rFonts w:ascii="Times New Roman" w:eastAsia="Times New Roman" w:hAnsi="Times New Roman" w:cs="Times New Roman"/>
                <w:b/>
                <w:color w:val="000000"/>
                <w:sz w:val="20"/>
                <w:szCs w:val="20"/>
                <w:lang w:eastAsia="es-ES"/>
              </w:rPr>
              <w:t>Valor Mínimo</w:t>
            </w:r>
          </w:p>
        </w:tc>
        <w:tc>
          <w:tcPr>
            <w:tcW w:w="1276" w:type="dxa"/>
            <w:vAlign w:val="center"/>
            <w:hideMark/>
          </w:tcPr>
          <w:p w14:paraId="71959569" w14:textId="77777777" w:rsidR="00FC01F7" w:rsidRPr="005F5161" w:rsidRDefault="00FC01F7" w:rsidP="00FB1B03">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es-ES"/>
              </w:rPr>
            </w:pPr>
            <w:r w:rsidRPr="005F5161">
              <w:rPr>
                <w:rFonts w:ascii="Times New Roman" w:eastAsia="Times New Roman" w:hAnsi="Times New Roman" w:cs="Times New Roman"/>
                <w:b/>
                <w:color w:val="000000"/>
                <w:sz w:val="20"/>
                <w:szCs w:val="20"/>
                <w:lang w:eastAsia="es-ES"/>
              </w:rPr>
              <w:t>Valor Máximo</w:t>
            </w:r>
          </w:p>
        </w:tc>
        <w:tc>
          <w:tcPr>
            <w:tcW w:w="1276" w:type="dxa"/>
            <w:vAlign w:val="center"/>
            <w:hideMark/>
          </w:tcPr>
          <w:p w14:paraId="1291E42B" w14:textId="77777777" w:rsidR="00FC01F7" w:rsidRPr="005F5161" w:rsidRDefault="00FC01F7" w:rsidP="00FB1B03">
            <w:pPr>
              <w:spacing w:line="276" w:lineRule="auto"/>
              <w:ind w:left="-70" w:right="-7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es-ES"/>
              </w:rPr>
            </w:pPr>
            <w:r w:rsidRPr="005F5161">
              <w:rPr>
                <w:rFonts w:ascii="Times New Roman" w:eastAsia="Times New Roman" w:hAnsi="Times New Roman" w:cs="Times New Roman"/>
                <w:b/>
                <w:color w:val="000000"/>
                <w:sz w:val="20"/>
                <w:szCs w:val="20"/>
                <w:lang w:eastAsia="es-ES"/>
              </w:rPr>
              <w:t>Mediana</w:t>
            </w:r>
          </w:p>
        </w:tc>
      </w:tr>
      <w:tr w:rsidR="00FC01F7" w:rsidRPr="005F5161" w14:paraId="1B826121" w14:textId="77777777" w:rsidTr="00FB1B03">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488" w:type="dxa"/>
            <w:noWrap/>
            <w:vAlign w:val="center"/>
          </w:tcPr>
          <w:p w14:paraId="303A708C" w14:textId="77777777" w:rsidR="00FC01F7" w:rsidRPr="005F5161" w:rsidRDefault="00FC01F7" w:rsidP="00FB1B03">
            <w:pPr>
              <w:spacing w:line="276" w:lineRule="auto"/>
              <w:ind w:right="-70"/>
              <w:jc w:val="center"/>
              <w:rPr>
                <w:rFonts w:ascii="Times New Roman" w:eastAsia="Times New Roman" w:hAnsi="Times New Roman" w:cs="Times New Roman"/>
                <w:b/>
                <w:color w:val="000000"/>
                <w:sz w:val="20"/>
                <w:szCs w:val="20"/>
                <w:lang w:eastAsia="es-ES"/>
              </w:rPr>
            </w:pPr>
            <w:r w:rsidRPr="005F5161">
              <w:rPr>
                <w:rFonts w:ascii="Times New Roman" w:eastAsia="Times New Roman" w:hAnsi="Times New Roman" w:cs="Times New Roman"/>
                <w:b/>
                <w:color w:val="000000"/>
                <w:sz w:val="20"/>
                <w:szCs w:val="20"/>
                <w:lang w:eastAsia="es-ES"/>
              </w:rPr>
              <w:t>IDCRT</w:t>
            </w:r>
          </w:p>
        </w:tc>
        <w:tc>
          <w:tcPr>
            <w:tcW w:w="1276" w:type="dxa"/>
            <w:noWrap/>
            <w:vAlign w:val="center"/>
          </w:tcPr>
          <w:p w14:paraId="4CFC6C93" w14:textId="77777777" w:rsidR="00FC01F7" w:rsidRPr="005F5161" w:rsidRDefault="00FC01F7" w:rsidP="00FB1B0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0"/>
                <w:szCs w:val="20"/>
              </w:rPr>
            </w:pPr>
            <w:r w:rsidRPr="005F5161">
              <w:rPr>
                <w:rFonts w:ascii="Times New Roman" w:eastAsia="Calibri" w:hAnsi="Times New Roman" w:cs="Times New Roman"/>
                <w:color w:val="000000"/>
                <w:sz w:val="20"/>
                <w:szCs w:val="20"/>
              </w:rPr>
              <w:t>0.66</w:t>
            </w:r>
          </w:p>
        </w:tc>
        <w:tc>
          <w:tcPr>
            <w:tcW w:w="1275" w:type="dxa"/>
            <w:noWrap/>
            <w:vAlign w:val="center"/>
          </w:tcPr>
          <w:p w14:paraId="0ADE1959" w14:textId="77777777" w:rsidR="00FC01F7" w:rsidRPr="005F5161" w:rsidRDefault="00FC01F7" w:rsidP="00FB1B0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0"/>
                <w:szCs w:val="20"/>
              </w:rPr>
            </w:pPr>
            <w:r w:rsidRPr="005F5161">
              <w:rPr>
                <w:rFonts w:ascii="Times New Roman" w:eastAsia="Calibri" w:hAnsi="Times New Roman" w:cs="Times New Roman"/>
                <w:color w:val="000000"/>
                <w:sz w:val="20"/>
                <w:szCs w:val="20"/>
              </w:rPr>
              <w:t>0.21</w:t>
            </w:r>
          </w:p>
        </w:tc>
        <w:tc>
          <w:tcPr>
            <w:tcW w:w="1276" w:type="dxa"/>
            <w:noWrap/>
            <w:vAlign w:val="center"/>
          </w:tcPr>
          <w:p w14:paraId="057F2BED" w14:textId="77777777" w:rsidR="00FC01F7" w:rsidRPr="005F5161" w:rsidRDefault="00FC01F7" w:rsidP="00FB1B0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0"/>
                <w:szCs w:val="20"/>
              </w:rPr>
            </w:pPr>
            <w:r w:rsidRPr="005F5161">
              <w:rPr>
                <w:rFonts w:ascii="Times New Roman" w:eastAsia="Calibri" w:hAnsi="Times New Roman" w:cs="Times New Roman"/>
                <w:color w:val="000000"/>
                <w:sz w:val="20"/>
                <w:szCs w:val="20"/>
              </w:rPr>
              <w:t>0.31</w:t>
            </w:r>
          </w:p>
        </w:tc>
        <w:tc>
          <w:tcPr>
            <w:tcW w:w="1276" w:type="dxa"/>
            <w:noWrap/>
            <w:vAlign w:val="center"/>
          </w:tcPr>
          <w:p w14:paraId="7AC4C63C" w14:textId="77777777" w:rsidR="00FC01F7" w:rsidRPr="005F5161" w:rsidRDefault="00FC01F7" w:rsidP="00FB1B0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0"/>
                <w:szCs w:val="20"/>
              </w:rPr>
            </w:pPr>
            <w:r w:rsidRPr="005F5161">
              <w:rPr>
                <w:rFonts w:ascii="Times New Roman" w:eastAsia="Calibri" w:hAnsi="Times New Roman" w:cs="Times New Roman"/>
                <w:color w:val="000000"/>
                <w:sz w:val="20"/>
                <w:szCs w:val="20"/>
              </w:rPr>
              <w:t>0.88</w:t>
            </w:r>
          </w:p>
        </w:tc>
        <w:tc>
          <w:tcPr>
            <w:tcW w:w="1276" w:type="dxa"/>
            <w:noWrap/>
            <w:vAlign w:val="center"/>
          </w:tcPr>
          <w:p w14:paraId="69F5F344" w14:textId="77777777" w:rsidR="00FC01F7" w:rsidRPr="005F5161" w:rsidRDefault="00FC01F7" w:rsidP="00FB1B0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0"/>
                <w:szCs w:val="20"/>
              </w:rPr>
            </w:pPr>
            <w:r w:rsidRPr="005F5161">
              <w:rPr>
                <w:rFonts w:ascii="Times New Roman" w:eastAsia="Calibri" w:hAnsi="Times New Roman" w:cs="Times New Roman"/>
                <w:color w:val="000000"/>
                <w:sz w:val="20"/>
                <w:szCs w:val="20"/>
              </w:rPr>
              <w:t>0.69</w:t>
            </w:r>
          </w:p>
        </w:tc>
      </w:tr>
      <w:tr w:rsidR="00FC01F7" w:rsidRPr="005F5161" w14:paraId="5EA81A2F" w14:textId="77777777" w:rsidTr="00FB1B03">
        <w:trPr>
          <w:trHeight w:val="360"/>
        </w:trPr>
        <w:tc>
          <w:tcPr>
            <w:cnfStyle w:val="001000000000" w:firstRow="0" w:lastRow="0" w:firstColumn="1" w:lastColumn="0" w:oddVBand="0" w:evenVBand="0" w:oddHBand="0" w:evenHBand="0" w:firstRowFirstColumn="0" w:firstRowLastColumn="0" w:lastRowFirstColumn="0" w:lastRowLastColumn="0"/>
            <w:tcW w:w="1488" w:type="dxa"/>
            <w:noWrap/>
            <w:vAlign w:val="center"/>
          </w:tcPr>
          <w:p w14:paraId="73D4F844" w14:textId="77777777" w:rsidR="00FC01F7" w:rsidRPr="005F5161" w:rsidRDefault="00FC01F7" w:rsidP="00FB1B03">
            <w:pPr>
              <w:spacing w:line="276" w:lineRule="auto"/>
              <w:ind w:right="-70"/>
              <w:jc w:val="center"/>
              <w:rPr>
                <w:rFonts w:ascii="Times New Roman" w:eastAsia="Times New Roman" w:hAnsi="Times New Roman" w:cs="Times New Roman"/>
                <w:b/>
                <w:color w:val="000000"/>
                <w:sz w:val="20"/>
                <w:szCs w:val="20"/>
                <w:lang w:eastAsia="es-ES"/>
              </w:rPr>
            </w:pPr>
            <w:r w:rsidRPr="005F5161">
              <w:rPr>
                <w:rFonts w:ascii="Times New Roman" w:eastAsia="Times New Roman" w:hAnsi="Times New Roman" w:cs="Times New Roman"/>
                <w:b/>
                <w:color w:val="000000"/>
                <w:sz w:val="20"/>
                <w:szCs w:val="20"/>
                <w:lang w:eastAsia="es-ES"/>
              </w:rPr>
              <w:t>TAM</w:t>
            </w:r>
          </w:p>
        </w:tc>
        <w:tc>
          <w:tcPr>
            <w:tcW w:w="1276" w:type="dxa"/>
            <w:noWrap/>
            <w:vAlign w:val="center"/>
          </w:tcPr>
          <w:p w14:paraId="4C453B45" w14:textId="77777777" w:rsidR="00FC01F7" w:rsidRPr="005F5161" w:rsidRDefault="00FC01F7" w:rsidP="00FB1B0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rPr>
            </w:pPr>
            <w:r w:rsidRPr="005F5161">
              <w:rPr>
                <w:rFonts w:ascii="Times New Roman" w:eastAsia="Calibri" w:hAnsi="Times New Roman" w:cs="Times New Roman"/>
                <w:color w:val="000000"/>
                <w:sz w:val="20"/>
                <w:szCs w:val="20"/>
              </w:rPr>
              <w:t>10.14</w:t>
            </w:r>
          </w:p>
        </w:tc>
        <w:tc>
          <w:tcPr>
            <w:tcW w:w="1275" w:type="dxa"/>
            <w:noWrap/>
            <w:vAlign w:val="center"/>
          </w:tcPr>
          <w:p w14:paraId="16FF9591" w14:textId="77777777" w:rsidR="00FC01F7" w:rsidRPr="005F5161" w:rsidRDefault="00FC01F7" w:rsidP="00FB1B0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rPr>
            </w:pPr>
            <w:r w:rsidRPr="005F5161">
              <w:rPr>
                <w:rFonts w:ascii="Times New Roman" w:eastAsia="Calibri" w:hAnsi="Times New Roman" w:cs="Times New Roman"/>
                <w:color w:val="000000"/>
                <w:sz w:val="20"/>
                <w:szCs w:val="20"/>
              </w:rPr>
              <w:t>1.66</w:t>
            </w:r>
          </w:p>
        </w:tc>
        <w:tc>
          <w:tcPr>
            <w:tcW w:w="1276" w:type="dxa"/>
            <w:noWrap/>
            <w:vAlign w:val="center"/>
          </w:tcPr>
          <w:p w14:paraId="6619AACC" w14:textId="77777777" w:rsidR="00FC01F7" w:rsidRPr="005F5161" w:rsidRDefault="00FC01F7" w:rsidP="00FB1B0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rPr>
            </w:pPr>
            <w:r w:rsidRPr="005F5161">
              <w:rPr>
                <w:rFonts w:ascii="Times New Roman" w:eastAsia="Calibri" w:hAnsi="Times New Roman" w:cs="Times New Roman"/>
                <w:color w:val="000000"/>
                <w:sz w:val="20"/>
                <w:szCs w:val="20"/>
              </w:rPr>
              <w:t>7.06</w:t>
            </w:r>
          </w:p>
        </w:tc>
        <w:tc>
          <w:tcPr>
            <w:tcW w:w="1276" w:type="dxa"/>
            <w:noWrap/>
            <w:vAlign w:val="center"/>
          </w:tcPr>
          <w:p w14:paraId="01BA4D1F" w14:textId="77777777" w:rsidR="00FC01F7" w:rsidRPr="005F5161" w:rsidRDefault="00FC01F7" w:rsidP="00FB1B0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rPr>
            </w:pPr>
            <w:r w:rsidRPr="005F5161">
              <w:rPr>
                <w:rFonts w:ascii="Times New Roman" w:eastAsia="Calibri" w:hAnsi="Times New Roman" w:cs="Times New Roman"/>
                <w:color w:val="000000"/>
                <w:sz w:val="20"/>
                <w:szCs w:val="20"/>
              </w:rPr>
              <w:t>11.66</w:t>
            </w:r>
          </w:p>
        </w:tc>
        <w:tc>
          <w:tcPr>
            <w:tcW w:w="1276" w:type="dxa"/>
            <w:noWrap/>
            <w:vAlign w:val="center"/>
          </w:tcPr>
          <w:p w14:paraId="632D5F26" w14:textId="77777777" w:rsidR="00FC01F7" w:rsidRPr="005F5161" w:rsidRDefault="00FC01F7" w:rsidP="00FB1B0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rPr>
            </w:pPr>
            <w:r w:rsidRPr="005F5161">
              <w:rPr>
                <w:rFonts w:ascii="Times New Roman" w:eastAsia="Calibri" w:hAnsi="Times New Roman" w:cs="Times New Roman"/>
                <w:color w:val="000000"/>
                <w:sz w:val="20"/>
                <w:szCs w:val="20"/>
              </w:rPr>
              <w:t>10.41</w:t>
            </w:r>
          </w:p>
        </w:tc>
      </w:tr>
      <w:tr w:rsidR="00FC01F7" w:rsidRPr="005F5161" w14:paraId="0BC2E88E" w14:textId="77777777" w:rsidTr="00FB1B03">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488" w:type="dxa"/>
            <w:noWrap/>
            <w:vAlign w:val="center"/>
          </w:tcPr>
          <w:p w14:paraId="720164B3" w14:textId="77777777" w:rsidR="00FC01F7" w:rsidRPr="005F5161" w:rsidRDefault="008843B3" w:rsidP="00FB1B03">
            <w:pPr>
              <w:spacing w:line="276" w:lineRule="auto"/>
              <w:ind w:right="-70"/>
              <w:jc w:val="center"/>
              <w:rPr>
                <w:rFonts w:ascii="Times New Roman" w:eastAsia="Times New Roman" w:hAnsi="Times New Roman" w:cs="Times New Roman"/>
                <w:b/>
                <w:color w:val="000000"/>
                <w:sz w:val="20"/>
                <w:szCs w:val="20"/>
                <w:lang w:eastAsia="es-ES"/>
              </w:rPr>
            </w:pPr>
            <w:r>
              <w:rPr>
                <w:rFonts w:ascii="Times New Roman" w:eastAsia="Times New Roman" w:hAnsi="Times New Roman" w:cs="Times New Roman"/>
                <w:b/>
                <w:color w:val="000000"/>
                <w:sz w:val="20"/>
                <w:szCs w:val="20"/>
                <w:lang w:eastAsia="es-ES"/>
              </w:rPr>
              <w:t>CAP</w:t>
            </w:r>
            <w:r w:rsidR="00FC01F7" w:rsidRPr="005F5161">
              <w:rPr>
                <w:rFonts w:ascii="Times New Roman" w:eastAsia="Times New Roman" w:hAnsi="Times New Roman" w:cs="Times New Roman"/>
                <w:b/>
                <w:color w:val="000000"/>
                <w:sz w:val="20"/>
                <w:szCs w:val="20"/>
                <w:lang w:eastAsia="es-ES"/>
              </w:rPr>
              <w:t xml:space="preserve"> INV</w:t>
            </w:r>
          </w:p>
        </w:tc>
        <w:tc>
          <w:tcPr>
            <w:tcW w:w="1276" w:type="dxa"/>
            <w:noWrap/>
            <w:vAlign w:val="center"/>
          </w:tcPr>
          <w:p w14:paraId="3A8108E2" w14:textId="77777777" w:rsidR="00FC01F7" w:rsidRPr="005F5161" w:rsidRDefault="00FC01F7" w:rsidP="00FB1B0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0"/>
                <w:szCs w:val="20"/>
              </w:rPr>
            </w:pPr>
            <w:r w:rsidRPr="005F5161">
              <w:rPr>
                <w:rFonts w:ascii="Times New Roman" w:eastAsia="Calibri" w:hAnsi="Times New Roman" w:cs="Times New Roman"/>
                <w:color w:val="000000"/>
                <w:sz w:val="20"/>
                <w:szCs w:val="20"/>
              </w:rPr>
              <w:t>0.12</w:t>
            </w:r>
          </w:p>
        </w:tc>
        <w:tc>
          <w:tcPr>
            <w:tcW w:w="1275" w:type="dxa"/>
            <w:noWrap/>
            <w:vAlign w:val="center"/>
          </w:tcPr>
          <w:p w14:paraId="033EA8A3" w14:textId="77777777" w:rsidR="00FC01F7" w:rsidRPr="005F5161" w:rsidRDefault="00FC01F7" w:rsidP="00FB1B0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0"/>
                <w:szCs w:val="20"/>
              </w:rPr>
            </w:pPr>
            <w:r w:rsidRPr="005F5161">
              <w:rPr>
                <w:rFonts w:ascii="Times New Roman" w:eastAsia="Calibri" w:hAnsi="Times New Roman" w:cs="Times New Roman"/>
                <w:color w:val="000000"/>
                <w:sz w:val="20"/>
                <w:szCs w:val="20"/>
              </w:rPr>
              <w:t>0.08</w:t>
            </w:r>
          </w:p>
        </w:tc>
        <w:tc>
          <w:tcPr>
            <w:tcW w:w="1276" w:type="dxa"/>
            <w:noWrap/>
            <w:vAlign w:val="center"/>
          </w:tcPr>
          <w:p w14:paraId="15D82339" w14:textId="77777777" w:rsidR="00FC01F7" w:rsidRPr="005F5161" w:rsidRDefault="00290A2C" w:rsidP="00FB1B0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0.04</w:t>
            </w:r>
          </w:p>
        </w:tc>
        <w:tc>
          <w:tcPr>
            <w:tcW w:w="1276" w:type="dxa"/>
            <w:noWrap/>
            <w:vAlign w:val="center"/>
          </w:tcPr>
          <w:p w14:paraId="1FCC096B" w14:textId="77777777" w:rsidR="00FC01F7" w:rsidRPr="005F5161" w:rsidRDefault="00FC01F7" w:rsidP="00FB1B0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0"/>
                <w:szCs w:val="20"/>
              </w:rPr>
            </w:pPr>
            <w:r w:rsidRPr="005F5161">
              <w:rPr>
                <w:rFonts w:ascii="Times New Roman" w:eastAsia="Calibri" w:hAnsi="Times New Roman" w:cs="Times New Roman"/>
                <w:color w:val="000000"/>
                <w:sz w:val="20"/>
                <w:szCs w:val="20"/>
              </w:rPr>
              <w:t>0.25</w:t>
            </w:r>
          </w:p>
        </w:tc>
        <w:tc>
          <w:tcPr>
            <w:tcW w:w="1276" w:type="dxa"/>
            <w:noWrap/>
            <w:vAlign w:val="center"/>
          </w:tcPr>
          <w:p w14:paraId="719211D4" w14:textId="77777777" w:rsidR="00FC01F7" w:rsidRPr="005F5161" w:rsidRDefault="00FC01F7" w:rsidP="00FB1B0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0"/>
                <w:szCs w:val="20"/>
              </w:rPr>
            </w:pPr>
            <w:r w:rsidRPr="005F5161">
              <w:rPr>
                <w:rFonts w:ascii="Times New Roman" w:eastAsia="Calibri" w:hAnsi="Times New Roman" w:cs="Times New Roman"/>
                <w:color w:val="000000"/>
                <w:sz w:val="20"/>
                <w:szCs w:val="20"/>
              </w:rPr>
              <w:t>0.13</w:t>
            </w:r>
          </w:p>
        </w:tc>
      </w:tr>
      <w:tr w:rsidR="00FC01F7" w:rsidRPr="005F5161" w14:paraId="30F3911A" w14:textId="77777777" w:rsidTr="00FB1B03">
        <w:trPr>
          <w:trHeight w:val="360"/>
        </w:trPr>
        <w:tc>
          <w:tcPr>
            <w:cnfStyle w:val="001000000000" w:firstRow="0" w:lastRow="0" w:firstColumn="1" w:lastColumn="0" w:oddVBand="0" w:evenVBand="0" w:oddHBand="0" w:evenHBand="0" w:firstRowFirstColumn="0" w:firstRowLastColumn="0" w:lastRowFirstColumn="0" w:lastRowLastColumn="0"/>
            <w:tcW w:w="1488" w:type="dxa"/>
            <w:noWrap/>
            <w:vAlign w:val="center"/>
          </w:tcPr>
          <w:p w14:paraId="4F6050D9" w14:textId="77777777" w:rsidR="00FC01F7" w:rsidRPr="005F5161" w:rsidRDefault="00FC01F7" w:rsidP="00FB1B03">
            <w:pPr>
              <w:spacing w:line="276" w:lineRule="auto"/>
              <w:ind w:right="-70"/>
              <w:jc w:val="center"/>
              <w:rPr>
                <w:rFonts w:ascii="Times New Roman" w:eastAsia="Times New Roman" w:hAnsi="Times New Roman" w:cs="Times New Roman"/>
                <w:b/>
                <w:color w:val="000000"/>
                <w:sz w:val="20"/>
                <w:szCs w:val="20"/>
                <w:lang w:eastAsia="es-ES"/>
              </w:rPr>
            </w:pPr>
            <w:r w:rsidRPr="005F5161">
              <w:rPr>
                <w:rFonts w:ascii="Times New Roman" w:eastAsia="Times New Roman" w:hAnsi="Times New Roman" w:cs="Times New Roman"/>
                <w:b/>
                <w:color w:val="000000"/>
                <w:sz w:val="20"/>
                <w:szCs w:val="20"/>
                <w:lang w:eastAsia="es-ES"/>
              </w:rPr>
              <w:t>GENERO</w:t>
            </w:r>
          </w:p>
        </w:tc>
        <w:tc>
          <w:tcPr>
            <w:tcW w:w="1276" w:type="dxa"/>
            <w:noWrap/>
            <w:vAlign w:val="center"/>
          </w:tcPr>
          <w:p w14:paraId="3D0A76B0" w14:textId="77777777" w:rsidR="00FC01F7" w:rsidRPr="005F5161" w:rsidRDefault="00FC01F7" w:rsidP="00FB1B03">
            <w:pPr>
              <w:spacing w:line="276" w:lineRule="auto"/>
              <w:ind w:left="-70" w:right="-7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rPr>
            </w:pPr>
            <w:r w:rsidRPr="005F5161">
              <w:rPr>
                <w:rFonts w:ascii="Times New Roman" w:eastAsia="Calibri" w:hAnsi="Times New Roman" w:cs="Times New Roman"/>
                <w:color w:val="000000"/>
                <w:sz w:val="20"/>
                <w:szCs w:val="20"/>
              </w:rPr>
              <w:t>0</w:t>
            </w:r>
          </w:p>
        </w:tc>
        <w:tc>
          <w:tcPr>
            <w:tcW w:w="1275" w:type="dxa"/>
            <w:noWrap/>
            <w:vAlign w:val="center"/>
          </w:tcPr>
          <w:p w14:paraId="55782051" w14:textId="77777777" w:rsidR="00FC01F7" w:rsidRPr="005F5161" w:rsidRDefault="00FC01F7" w:rsidP="00FB1B0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rPr>
            </w:pPr>
            <w:r w:rsidRPr="005F5161">
              <w:rPr>
                <w:rFonts w:ascii="Times New Roman" w:eastAsia="Calibri" w:hAnsi="Times New Roman" w:cs="Times New Roman"/>
                <w:color w:val="000000"/>
                <w:sz w:val="20"/>
                <w:szCs w:val="20"/>
              </w:rPr>
              <w:t>0</w:t>
            </w:r>
          </w:p>
        </w:tc>
        <w:tc>
          <w:tcPr>
            <w:tcW w:w="1276" w:type="dxa"/>
            <w:noWrap/>
            <w:vAlign w:val="center"/>
          </w:tcPr>
          <w:p w14:paraId="7C7CB038" w14:textId="77777777" w:rsidR="00FC01F7" w:rsidRPr="005F5161" w:rsidRDefault="00FC01F7" w:rsidP="00FB1B0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rPr>
            </w:pPr>
            <w:r w:rsidRPr="005F5161">
              <w:rPr>
                <w:rFonts w:ascii="Times New Roman" w:eastAsia="Calibri" w:hAnsi="Times New Roman" w:cs="Times New Roman"/>
                <w:color w:val="000000"/>
                <w:sz w:val="20"/>
                <w:szCs w:val="20"/>
              </w:rPr>
              <w:t>0</w:t>
            </w:r>
          </w:p>
        </w:tc>
        <w:tc>
          <w:tcPr>
            <w:tcW w:w="1276" w:type="dxa"/>
            <w:noWrap/>
            <w:vAlign w:val="center"/>
          </w:tcPr>
          <w:p w14:paraId="56814AA8" w14:textId="77777777" w:rsidR="00FC01F7" w:rsidRPr="005F5161" w:rsidRDefault="00FC01F7" w:rsidP="00FB1B0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rPr>
            </w:pPr>
            <w:r w:rsidRPr="005F5161">
              <w:rPr>
                <w:rFonts w:ascii="Times New Roman" w:eastAsia="Calibri" w:hAnsi="Times New Roman" w:cs="Times New Roman"/>
                <w:color w:val="000000"/>
                <w:sz w:val="20"/>
                <w:szCs w:val="20"/>
              </w:rPr>
              <w:t>0</w:t>
            </w:r>
          </w:p>
        </w:tc>
        <w:tc>
          <w:tcPr>
            <w:tcW w:w="1276" w:type="dxa"/>
            <w:noWrap/>
            <w:vAlign w:val="center"/>
          </w:tcPr>
          <w:p w14:paraId="3919E1AE" w14:textId="77777777" w:rsidR="00FC01F7" w:rsidRPr="005F5161" w:rsidRDefault="00FC01F7" w:rsidP="00FB1B03">
            <w:pPr>
              <w:spacing w:line="276" w:lineRule="auto"/>
              <w:ind w:right="-7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rPr>
            </w:pPr>
            <w:r w:rsidRPr="005F5161">
              <w:rPr>
                <w:rFonts w:ascii="Times New Roman" w:eastAsia="Calibri" w:hAnsi="Times New Roman" w:cs="Times New Roman"/>
                <w:color w:val="000000"/>
                <w:sz w:val="20"/>
                <w:szCs w:val="20"/>
              </w:rPr>
              <w:t>0</w:t>
            </w:r>
          </w:p>
        </w:tc>
      </w:tr>
      <w:tr w:rsidR="00FC01F7" w:rsidRPr="005F5161" w14:paraId="07833F8C" w14:textId="77777777" w:rsidTr="00FB1B03">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488" w:type="dxa"/>
            <w:noWrap/>
            <w:vAlign w:val="center"/>
          </w:tcPr>
          <w:p w14:paraId="0B125177" w14:textId="77777777" w:rsidR="00FC01F7" w:rsidRPr="005F5161" w:rsidRDefault="00FC01F7" w:rsidP="00FB1B03">
            <w:pPr>
              <w:spacing w:line="276" w:lineRule="auto"/>
              <w:ind w:right="-70"/>
              <w:jc w:val="center"/>
              <w:rPr>
                <w:rFonts w:ascii="Times New Roman" w:eastAsia="Times New Roman" w:hAnsi="Times New Roman" w:cs="Times New Roman"/>
                <w:b/>
                <w:color w:val="000000"/>
                <w:sz w:val="20"/>
                <w:szCs w:val="20"/>
                <w:lang w:eastAsia="es-ES"/>
              </w:rPr>
            </w:pPr>
            <w:r w:rsidRPr="005F5161">
              <w:rPr>
                <w:rFonts w:ascii="Times New Roman" w:eastAsia="Times New Roman" w:hAnsi="Times New Roman" w:cs="Times New Roman"/>
                <w:b/>
                <w:color w:val="000000"/>
                <w:sz w:val="20"/>
                <w:szCs w:val="20"/>
                <w:lang w:eastAsia="es-ES"/>
              </w:rPr>
              <w:t>COMPLEJ</w:t>
            </w:r>
          </w:p>
        </w:tc>
        <w:tc>
          <w:tcPr>
            <w:tcW w:w="1276" w:type="dxa"/>
            <w:noWrap/>
            <w:vAlign w:val="center"/>
          </w:tcPr>
          <w:p w14:paraId="58CBEC7D" w14:textId="77777777" w:rsidR="00FC01F7" w:rsidRPr="005F5161" w:rsidRDefault="00FC01F7" w:rsidP="00FB1B0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0"/>
                <w:szCs w:val="20"/>
              </w:rPr>
            </w:pPr>
            <w:r w:rsidRPr="005F5161">
              <w:rPr>
                <w:rFonts w:ascii="Times New Roman" w:eastAsia="Calibri" w:hAnsi="Times New Roman" w:cs="Times New Roman"/>
                <w:color w:val="000000"/>
                <w:sz w:val="20"/>
                <w:szCs w:val="20"/>
              </w:rPr>
              <w:t>111</w:t>
            </w:r>
          </w:p>
        </w:tc>
        <w:tc>
          <w:tcPr>
            <w:tcW w:w="1275" w:type="dxa"/>
            <w:noWrap/>
            <w:vAlign w:val="center"/>
          </w:tcPr>
          <w:p w14:paraId="223C6256" w14:textId="77777777" w:rsidR="00FC01F7" w:rsidRPr="005F5161" w:rsidRDefault="00FC01F7" w:rsidP="00FB1B0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0"/>
                <w:szCs w:val="20"/>
              </w:rPr>
            </w:pPr>
            <w:r w:rsidRPr="005F5161">
              <w:rPr>
                <w:rFonts w:ascii="Times New Roman" w:eastAsia="Calibri" w:hAnsi="Times New Roman" w:cs="Times New Roman"/>
                <w:color w:val="000000"/>
                <w:sz w:val="20"/>
                <w:szCs w:val="20"/>
              </w:rPr>
              <w:t>148</w:t>
            </w:r>
          </w:p>
        </w:tc>
        <w:tc>
          <w:tcPr>
            <w:tcW w:w="1276" w:type="dxa"/>
            <w:noWrap/>
            <w:vAlign w:val="center"/>
          </w:tcPr>
          <w:p w14:paraId="01953871" w14:textId="77777777" w:rsidR="00FC01F7" w:rsidRPr="005F5161" w:rsidRDefault="00FC01F7" w:rsidP="00FB1B0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0"/>
                <w:szCs w:val="20"/>
              </w:rPr>
            </w:pPr>
            <w:r w:rsidRPr="005F5161">
              <w:rPr>
                <w:rFonts w:ascii="Times New Roman" w:eastAsia="Calibri" w:hAnsi="Times New Roman" w:cs="Times New Roman"/>
                <w:color w:val="000000"/>
                <w:sz w:val="20"/>
                <w:szCs w:val="20"/>
              </w:rPr>
              <w:t>18</w:t>
            </w:r>
          </w:p>
        </w:tc>
        <w:tc>
          <w:tcPr>
            <w:tcW w:w="1276" w:type="dxa"/>
            <w:noWrap/>
            <w:vAlign w:val="center"/>
          </w:tcPr>
          <w:p w14:paraId="54A2E732" w14:textId="77777777" w:rsidR="00FC01F7" w:rsidRPr="005F5161" w:rsidRDefault="00FC01F7" w:rsidP="00FB1B0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0"/>
                <w:szCs w:val="20"/>
              </w:rPr>
            </w:pPr>
            <w:r w:rsidRPr="005F5161">
              <w:rPr>
                <w:rFonts w:ascii="Times New Roman" w:eastAsia="Calibri" w:hAnsi="Times New Roman" w:cs="Times New Roman"/>
                <w:color w:val="000000"/>
                <w:sz w:val="20"/>
                <w:szCs w:val="20"/>
              </w:rPr>
              <w:t>408</w:t>
            </w:r>
          </w:p>
        </w:tc>
        <w:tc>
          <w:tcPr>
            <w:tcW w:w="1276" w:type="dxa"/>
            <w:noWrap/>
            <w:vAlign w:val="center"/>
          </w:tcPr>
          <w:p w14:paraId="088C4016" w14:textId="77777777" w:rsidR="00FC01F7" w:rsidRPr="005F5161" w:rsidRDefault="00FC01F7" w:rsidP="00FB1B0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0"/>
                <w:szCs w:val="20"/>
              </w:rPr>
            </w:pPr>
            <w:r w:rsidRPr="005F5161">
              <w:rPr>
                <w:rFonts w:ascii="Times New Roman" w:eastAsia="Calibri" w:hAnsi="Times New Roman" w:cs="Times New Roman"/>
                <w:color w:val="000000"/>
                <w:sz w:val="20"/>
                <w:szCs w:val="20"/>
              </w:rPr>
              <w:t>67</w:t>
            </w:r>
          </w:p>
        </w:tc>
      </w:tr>
    </w:tbl>
    <w:p w14:paraId="51299023" w14:textId="77777777" w:rsidR="00FC01F7" w:rsidRPr="005F5161" w:rsidRDefault="00FC01F7" w:rsidP="00FB1B03">
      <w:pPr>
        <w:spacing w:after="200" w:line="276" w:lineRule="auto"/>
        <w:ind w:left="284"/>
        <w:rPr>
          <w:rFonts w:ascii="Times New Roman" w:eastAsia="Calibri" w:hAnsi="Times New Roman" w:cs="Times New Roman"/>
          <w:lang w:eastAsia="es-AR"/>
        </w:rPr>
      </w:pPr>
      <w:r w:rsidRPr="005F5161">
        <w:rPr>
          <w:rFonts w:ascii="Times New Roman" w:eastAsia="Calibri" w:hAnsi="Times New Roman" w:cs="Times New Roman"/>
          <w:lang w:eastAsia="es-AR"/>
        </w:rPr>
        <w:t>Fuente: elaboración propia</w:t>
      </w:r>
    </w:p>
    <w:p w14:paraId="428B63FC" w14:textId="77777777" w:rsidR="00FC01F7" w:rsidRPr="00865381" w:rsidRDefault="00FC01F7" w:rsidP="00FC01F7">
      <w:pPr>
        <w:numPr>
          <w:ilvl w:val="0"/>
          <w:numId w:val="7"/>
        </w:numPr>
        <w:shd w:val="clear" w:color="auto" w:fill="FFFFFF"/>
        <w:spacing w:before="100" w:beforeAutospacing="1" w:after="100" w:afterAutospacing="1" w:line="240" w:lineRule="auto"/>
        <w:ind w:left="284" w:hanging="284"/>
        <w:rPr>
          <w:rFonts w:ascii="Times New Roman" w:eastAsia="Times New Roman" w:hAnsi="Times New Roman" w:cs="Times New Roman"/>
          <w:color w:val="000000"/>
          <w:sz w:val="24"/>
          <w:szCs w:val="24"/>
          <w:lang w:eastAsia="es-AR"/>
        </w:rPr>
      </w:pPr>
      <w:r w:rsidRPr="00865381">
        <w:rPr>
          <w:rFonts w:ascii="Times New Roman" w:eastAsia="Times New Roman" w:hAnsi="Times New Roman" w:cs="Times New Roman"/>
          <w:b/>
          <w:bCs/>
          <w:color w:val="000000"/>
          <w:sz w:val="24"/>
          <w:szCs w:val="24"/>
          <w:lang w:eastAsia="es-AR"/>
        </w:rPr>
        <w:t>IDCRT:</w:t>
      </w:r>
    </w:p>
    <w:p w14:paraId="78878925" w14:textId="77777777" w:rsidR="00FC01F7" w:rsidRPr="00865381" w:rsidRDefault="00FC01F7" w:rsidP="00671E12">
      <w:pPr>
        <w:spacing w:line="360" w:lineRule="auto"/>
        <w:jc w:val="both"/>
        <w:rPr>
          <w:rFonts w:ascii="Times New Roman" w:hAnsi="Times New Roman" w:cs="Times New Roman"/>
          <w:sz w:val="24"/>
          <w:szCs w:val="24"/>
        </w:rPr>
      </w:pPr>
      <w:r w:rsidRPr="00865381">
        <w:rPr>
          <w:rFonts w:ascii="Times New Roman" w:hAnsi="Times New Roman" w:cs="Times New Roman"/>
          <w:sz w:val="24"/>
          <w:szCs w:val="24"/>
        </w:rPr>
        <w:t>La media es 0.66 y la mediana es 0.69, lo que indica que la mayoría de los valores están en torno a ese rango. La desviación típica de 0.21 muestra que hay cierta variabilidad, pero no excesiva. Los valores mínimos y máximos (0.31 y 0.88) sugieren que hay algunas instituciones con CR significativamente diferentes, aunque en general, la mayoría se agrupa en torno a la media.</w:t>
      </w:r>
    </w:p>
    <w:p w14:paraId="02A53F0A" w14:textId="77777777" w:rsidR="00FC01F7" w:rsidRPr="00865381" w:rsidRDefault="00FC01F7" w:rsidP="00FC01F7">
      <w:pPr>
        <w:numPr>
          <w:ilvl w:val="0"/>
          <w:numId w:val="7"/>
        </w:numPr>
        <w:shd w:val="clear" w:color="auto" w:fill="FFFFFF"/>
        <w:spacing w:before="100" w:beforeAutospacing="1" w:after="100" w:afterAutospacing="1" w:line="240" w:lineRule="auto"/>
        <w:ind w:left="284" w:hanging="284"/>
        <w:rPr>
          <w:rFonts w:ascii="Times New Roman" w:eastAsia="Times New Roman" w:hAnsi="Times New Roman" w:cs="Times New Roman"/>
          <w:color w:val="000000"/>
          <w:sz w:val="24"/>
          <w:szCs w:val="24"/>
          <w:lang w:eastAsia="es-AR"/>
        </w:rPr>
      </w:pPr>
      <w:r w:rsidRPr="00865381">
        <w:rPr>
          <w:rFonts w:ascii="Times New Roman" w:eastAsia="Times New Roman" w:hAnsi="Times New Roman" w:cs="Times New Roman"/>
          <w:b/>
          <w:bCs/>
          <w:color w:val="000000"/>
          <w:sz w:val="24"/>
          <w:szCs w:val="24"/>
          <w:lang w:eastAsia="es-AR"/>
        </w:rPr>
        <w:t>Tamaño (TAM):</w:t>
      </w:r>
    </w:p>
    <w:p w14:paraId="18701A02" w14:textId="77777777" w:rsidR="00FC01F7" w:rsidRPr="00865381" w:rsidRDefault="00FC01F7" w:rsidP="00671E12">
      <w:pPr>
        <w:spacing w:line="360" w:lineRule="auto"/>
        <w:jc w:val="both"/>
        <w:rPr>
          <w:rFonts w:ascii="Times New Roman" w:hAnsi="Times New Roman" w:cs="Times New Roman"/>
          <w:sz w:val="24"/>
          <w:szCs w:val="24"/>
        </w:rPr>
      </w:pPr>
      <w:r w:rsidRPr="00865381">
        <w:rPr>
          <w:rFonts w:ascii="Times New Roman" w:hAnsi="Times New Roman" w:cs="Times New Roman"/>
          <w:sz w:val="24"/>
          <w:szCs w:val="24"/>
        </w:rPr>
        <w:lastRenderedPageBreak/>
        <w:t>La media de 10.14 y la mediana de 10.41 indican que la mayoría de las instituciones tienen un tamaño similar, cercano a ese valor. La desviación de 1.66 muestra que hay algunas instituciones más pequeñas o más grandes, pero en general, la dispersión no es muy grande. Los valores mínimos y máximos (7.06 y 11.66) refuerzan que la mayoría están en un rango moderado.</w:t>
      </w:r>
    </w:p>
    <w:p w14:paraId="1FA27B20" w14:textId="77777777" w:rsidR="00FC01F7" w:rsidRPr="00865381" w:rsidRDefault="008843B3" w:rsidP="00FC01F7">
      <w:pPr>
        <w:numPr>
          <w:ilvl w:val="0"/>
          <w:numId w:val="7"/>
        </w:numPr>
        <w:shd w:val="clear" w:color="auto" w:fill="FFFFFF"/>
        <w:spacing w:before="100" w:beforeAutospacing="1" w:after="100" w:afterAutospacing="1" w:line="240" w:lineRule="auto"/>
        <w:ind w:left="284" w:hanging="284"/>
        <w:rPr>
          <w:rFonts w:ascii="Times New Roman" w:eastAsia="Times New Roman" w:hAnsi="Times New Roman" w:cs="Times New Roman"/>
          <w:color w:val="000000"/>
          <w:sz w:val="24"/>
          <w:szCs w:val="24"/>
          <w:lang w:eastAsia="es-AR"/>
        </w:rPr>
      </w:pPr>
      <w:r w:rsidRPr="00865381">
        <w:rPr>
          <w:rFonts w:ascii="Times New Roman" w:eastAsia="Times New Roman" w:hAnsi="Times New Roman" w:cs="Times New Roman"/>
          <w:b/>
          <w:bCs/>
          <w:color w:val="000000"/>
          <w:sz w:val="24"/>
          <w:szCs w:val="24"/>
          <w:lang w:eastAsia="es-AR"/>
        </w:rPr>
        <w:t>Capacidad</w:t>
      </w:r>
      <w:r w:rsidR="00FC01F7" w:rsidRPr="00865381">
        <w:rPr>
          <w:rFonts w:ascii="Times New Roman" w:eastAsia="Times New Roman" w:hAnsi="Times New Roman" w:cs="Times New Roman"/>
          <w:b/>
          <w:bCs/>
          <w:color w:val="000000"/>
          <w:sz w:val="24"/>
          <w:szCs w:val="24"/>
          <w:lang w:eastAsia="es-AR"/>
        </w:rPr>
        <w:t xml:space="preserve"> de Investigación:</w:t>
      </w:r>
    </w:p>
    <w:p w14:paraId="375A2E2D" w14:textId="77777777" w:rsidR="00FC01F7" w:rsidRPr="00865381" w:rsidRDefault="00FC01F7" w:rsidP="00671E12">
      <w:pPr>
        <w:spacing w:line="360" w:lineRule="auto"/>
        <w:jc w:val="both"/>
        <w:rPr>
          <w:rFonts w:ascii="Times New Roman" w:hAnsi="Times New Roman" w:cs="Times New Roman"/>
          <w:sz w:val="24"/>
          <w:szCs w:val="24"/>
        </w:rPr>
      </w:pPr>
      <w:r w:rsidRPr="00865381">
        <w:rPr>
          <w:rFonts w:ascii="Times New Roman" w:hAnsi="Times New Roman" w:cs="Times New Roman"/>
          <w:sz w:val="24"/>
          <w:szCs w:val="24"/>
        </w:rPr>
        <w:t>La media y la mediana son similares (0.12 y 0.13), lo que indica que la mayoría de las instituciones tienen una capacidad de investigación cercanas a ese valor. La desviación de 0.08 muestra que hay cierta variabilidad, pero no mucha. Los valores m</w:t>
      </w:r>
      <w:r w:rsidR="0041649B">
        <w:rPr>
          <w:rFonts w:ascii="Times New Roman" w:hAnsi="Times New Roman" w:cs="Times New Roman"/>
          <w:sz w:val="24"/>
          <w:szCs w:val="24"/>
        </w:rPr>
        <w:t>ínimos y máximos (0.04</w:t>
      </w:r>
      <w:r w:rsidRPr="00865381">
        <w:rPr>
          <w:rFonts w:ascii="Times New Roman" w:hAnsi="Times New Roman" w:cs="Times New Roman"/>
          <w:sz w:val="24"/>
          <w:szCs w:val="24"/>
        </w:rPr>
        <w:t xml:space="preserve"> y 0.25) sugieren que algunas instituciones tienen investigación con calificaciones muy bajas o altas.</w:t>
      </w:r>
    </w:p>
    <w:p w14:paraId="19AA4CFE" w14:textId="77777777" w:rsidR="00FC01F7" w:rsidRPr="00865381" w:rsidRDefault="00FC01F7" w:rsidP="00FC01F7">
      <w:pPr>
        <w:numPr>
          <w:ilvl w:val="0"/>
          <w:numId w:val="7"/>
        </w:numPr>
        <w:shd w:val="clear" w:color="auto" w:fill="FFFFFF"/>
        <w:spacing w:before="100" w:beforeAutospacing="1" w:after="100" w:afterAutospacing="1" w:line="240" w:lineRule="auto"/>
        <w:ind w:left="284" w:hanging="284"/>
        <w:rPr>
          <w:rFonts w:ascii="Times New Roman" w:eastAsia="Times New Roman" w:hAnsi="Times New Roman" w:cs="Times New Roman"/>
          <w:color w:val="000000"/>
          <w:sz w:val="24"/>
          <w:szCs w:val="24"/>
          <w:lang w:eastAsia="es-AR"/>
        </w:rPr>
      </w:pPr>
      <w:r w:rsidRPr="00865381">
        <w:rPr>
          <w:rFonts w:ascii="Times New Roman" w:eastAsia="Times New Roman" w:hAnsi="Times New Roman" w:cs="Times New Roman"/>
          <w:b/>
          <w:bCs/>
          <w:color w:val="000000"/>
          <w:sz w:val="24"/>
          <w:szCs w:val="24"/>
          <w:lang w:eastAsia="es-AR"/>
        </w:rPr>
        <w:t>Género:</w:t>
      </w:r>
    </w:p>
    <w:p w14:paraId="35585B2E" w14:textId="77777777" w:rsidR="00FC01F7" w:rsidRPr="00865381" w:rsidRDefault="00FC01F7" w:rsidP="00671E12">
      <w:pPr>
        <w:spacing w:line="360" w:lineRule="auto"/>
        <w:jc w:val="both"/>
        <w:rPr>
          <w:rFonts w:ascii="Times New Roman" w:hAnsi="Times New Roman" w:cs="Times New Roman"/>
          <w:sz w:val="24"/>
          <w:szCs w:val="24"/>
        </w:rPr>
      </w:pPr>
      <w:r w:rsidRPr="00865381">
        <w:rPr>
          <w:rFonts w:ascii="Times New Roman" w:hAnsi="Times New Roman" w:cs="Times New Roman"/>
          <w:sz w:val="24"/>
          <w:szCs w:val="24"/>
        </w:rPr>
        <w:t>Todos los valores son 0, o sea masculinos, lo que indica que en este conjunto de datos no hay variación en esa variable, por lo que no aporta información para el análisis.</w:t>
      </w:r>
    </w:p>
    <w:p w14:paraId="19AEC250" w14:textId="77777777" w:rsidR="00FC01F7" w:rsidRPr="00865381" w:rsidRDefault="00FC01F7" w:rsidP="00FC01F7">
      <w:pPr>
        <w:numPr>
          <w:ilvl w:val="0"/>
          <w:numId w:val="7"/>
        </w:numPr>
        <w:shd w:val="clear" w:color="auto" w:fill="FFFFFF"/>
        <w:spacing w:before="100" w:beforeAutospacing="1" w:after="100" w:afterAutospacing="1" w:line="240" w:lineRule="auto"/>
        <w:ind w:left="284" w:hanging="284"/>
        <w:rPr>
          <w:rFonts w:ascii="Times New Roman" w:eastAsia="Times New Roman" w:hAnsi="Times New Roman" w:cs="Times New Roman"/>
          <w:color w:val="000000"/>
          <w:sz w:val="24"/>
          <w:szCs w:val="24"/>
          <w:lang w:eastAsia="es-AR"/>
        </w:rPr>
      </w:pPr>
      <w:r w:rsidRPr="00865381">
        <w:rPr>
          <w:rFonts w:ascii="Times New Roman" w:eastAsia="Times New Roman" w:hAnsi="Times New Roman" w:cs="Times New Roman"/>
          <w:b/>
          <w:bCs/>
          <w:color w:val="000000"/>
          <w:sz w:val="24"/>
          <w:szCs w:val="24"/>
          <w:lang w:eastAsia="es-AR"/>
        </w:rPr>
        <w:t>Complejidad de la UUNN:</w:t>
      </w:r>
    </w:p>
    <w:p w14:paraId="60613F4B" w14:textId="77777777" w:rsidR="00FC01F7" w:rsidRPr="00865381" w:rsidRDefault="00FC01F7" w:rsidP="00671E12">
      <w:pPr>
        <w:spacing w:line="360" w:lineRule="auto"/>
        <w:jc w:val="both"/>
        <w:rPr>
          <w:rFonts w:ascii="Times New Roman" w:hAnsi="Times New Roman" w:cs="Times New Roman"/>
          <w:sz w:val="24"/>
          <w:szCs w:val="24"/>
        </w:rPr>
      </w:pPr>
      <w:r w:rsidRPr="00865381">
        <w:rPr>
          <w:rFonts w:ascii="Times New Roman" w:hAnsi="Times New Roman" w:cs="Times New Roman"/>
          <w:sz w:val="24"/>
          <w:szCs w:val="24"/>
        </w:rPr>
        <w:t>La media de 111 y la mediana de 67 muestran que, en promedio, la complejidad es bastante alta, pero hay instituciones con niveles mucho más bajos o más altos. La desviación estándar de 148 es muy grande, lo que indica una dispersión considerable en los datos. Los valores mínimos y máximos (18 y 408) confirman que hay una gran variabilidad en la complejidad de las instituciones, con algunas mucho más complejas que otras.</w:t>
      </w:r>
    </w:p>
    <w:p w14:paraId="0DC5FDFC" w14:textId="77777777" w:rsidR="00FC01F7" w:rsidRPr="00865381" w:rsidRDefault="00FC01F7" w:rsidP="00671E12">
      <w:pPr>
        <w:spacing w:line="360" w:lineRule="auto"/>
        <w:jc w:val="both"/>
        <w:rPr>
          <w:rFonts w:ascii="Times New Roman" w:hAnsi="Times New Roman" w:cs="Times New Roman"/>
          <w:sz w:val="24"/>
          <w:szCs w:val="24"/>
        </w:rPr>
      </w:pPr>
      <w:r w:rsidRPr="00865381">
        <w:rPr>
          <w:rFonts w:ascii="Times New Roman" w:hAnsi="Times New Roman" w:cs="Times New Roman"/>
          <w:sz w:val="24"/>
          <w:szCs w:val="24"/>
        </w:rPr>
        <w:t>Los gráficos de dispersión de cada variable aportan información adicional sobre su comportamiento:</w:t>
      </w:r>
    </w:p>
    <w:p w14:paraId="7FAD68EF" w14:textId="77777777" w:rsidR="00FC01F7" w:rsidRDefault="00FC01F7" w:rsidP="0041649B">
      <w:pPr>
        <w:spacing w:after="0" w:line="276" w:lineRule="auto"/>
        <w:rPr>
          <w:rFonts w:ascii="Times New Roman" w:eastAsia="Calibri" w:hAnsi="Times New Roman" w:cs="Times New Roman"/>
          <w:b/>
          <w:sz w:val="24"/>
          <w:szCs w:val="24"/>
          <w:lang w:eastAsia="es-AR"/>
        </w:rPr>
      </w:pPr>
      <w:r w:rsidRPr="00865381">
        <w:rPr>
          <w:rFonts w:ascii="Times New Roman" w:eastAsia="Calibri" w:hAnsi="Times New Roman" w:cs="Times New Roman"/>
          <w:b/>
          <w:sz w:val="24"/>
          <w:szCs w:val="24"/>
          <w:lang w:eastAsia="es-AR"/>
        </w:rPr>
        <w:t xml:space="preserve">Gráfico 1: dispersión de las </w:t>
      </w:r>
      <w:r w:rsidR="005F5161" w:rsidRPr="00865381">
        <w:rPr>
          <w:rFonts w:ascii="Times New Roman" w:eastAsia="Calibri" w:hAnsi="Times New Roman" w:cs="Times New Roman"/>
          <w:b/>
          <w:sz w:val="24"/>
          <w:szCs w:val="24"/>
          <w:lang w:eastAsia="es-AR"/>
        </w:rPr>
        <w:t>variables</w:t>
      </w:r>
    </w:p>
    <w:p w14:paraId="3A9FA876" w14:textId="77777777" w:rsidR="00450716" w:rsidRPr="00450716" w:rsidRDefault="00450716" w:rsidP="00450716">
      <w:pPr>
        <w:pStyle w:val="NormalWeb"/>
      </w:pPr>
      <w:r>
        <w:rPr>
          <w:noProof/>
        </w:rPr>
        <w:drawing>
          <wp:inline distT="0" distB="0" distL="0" distR="0" wp14:anchorId="34B8EF39" wp14:editId="23D9B32D">
            <wp:extent cx="2452960" cy="1432700"/>
            <wp:effectExtent l="0" t="0" r="5080" b="0"/>
            <wp:docPr id="12" name="Imagen 12" descr="D:\PEN ROSA 18.02.20\gabi\Categorización 2014-2015\Antecedentes\Investigación\Publicaciones\TRABAJOS\Jornadas UNVM 2025\Determinantes CR\Gráficos de dispersió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EN ROSA 18.02.20\gabi\Categorización 2014-2015\Antecedentes\Investigación\Publicaciones\TRABAJOS\Jornadas UNVM 2025\Determinantes CR\Gráficos de dispersión.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22703" cy="1531842"/>
                    </a:xfrm>
                    <a:prstGeom prst="rect">
                      <a:avLst/>
                    </a:prstGeom>
                    <a:noFill/>
                    <a:ln>
                      <a:noFill/>
                    </a:ln>
                  </pic:spPr>
                </pic:pic>
              </a:graphicData>
            </a:graphic>
          </wp:inline>
        </w:drawing>
      </w:r>
    </w:p>
    <w:p w14:paraId="1A0E98A7" w14:textId="77777777" w:rsidR="00FC01F7" w:rsidRPr="005F5161" w:rsidRDefault="00FC01F7" w:rsidP="00FC01F7">
      <w:pPr>
        <w:spacing w:after="200" w:line="276" w:lineRule="auto"/>
        <w:rPr>
          <w:rFonts w:ascii="Times New Roman" w:eastAsia="Calibri" w:hAnsi="Times New Roman" w:cs="Times New Roman"/>
          <w:b/>
          <w:sz w:val="24"/>
          <w:lang w:eastAsia="es-AR"/>
        </w:rPr>
      </w:pPr>
      <w:r w:rsidRPr="005F5161">
        <w:rPr>
          <w:rFonts w:ascii="Times New Roman" w:eastAsia="Calibri" w:hAnsi="Times New Roman" w:cs="Times New Roman"/>
          <w:b/>
          <w:sz w:val="24"/>
          <w:lang w:eastAsia="es-AR"/>
        </w:rPr>
        <w:lastRenderedPageBreak/>
        <w:t>Resultados de la regresión</w:t>
      </w:r>
    </w:p>
    <w:p w14:paraId="3D02F3B8" w14:textId="77777777" w:rsidR="00FC01F7" w:rsidRPr="005F5161" w:rsidRDefault="00671E12" w:rsidP="00FC01F7">
      <w:pPr>
        <w:spacing w:after="200" w:line="276" w:lineRule="auto"/>
        <w:rPr>
          <w:rFonts w:ascii="Times New Roman" w:eastAsia="Calibri" w:hAnsi="Times New Roman" w:cs="Times New Roman"/>
          <w:sz w:val="24"/>
          <w:lang w:eastAsia="es-AR"/>
        </w:rPr>
      </w:pPr>
      <w:r w:rsidRPr="005F5161">
        <w:rPr>
          <w:rFonts w:ascii="Times New Roman" w:eastAsia="Calibri" w:hAnsi="Times New Roman" w:cs="Times New Roman"/>
          <w:sz w:val="24"/>
          <w:lang w:eastAsia="es-AR"/>
        </w:rPr>
        <w:t>En el cuadro 3</w:t>
      </w:r>
      <w:r w:rsidR="00FC01F7" w:rsidRPr="005F5161">
        <w:rPr>
          <w:rFonts w:ascii="Times New Roman" w:eastAsia="Calibri" w:hAnsi="Times New Roman" w:cs="Times New Roman"/>
          <w:sz w:val="24"/>
          <w:lang w:eastAsia="es-AR"/>
        </w:rPr>
        <w:t xml:space="preserve"> se muestran los resultados arrojados por la regresión lineal múltiple:</w:t>
      </w:r>
    </w:p>
    <w:p w14:paraId="354CA466" w14:textId="77777777" w:rsidR="00FC01F7" w:rsidRPr="003C3082" w:rsidRDefault="00FC01F7" w:rsidP="00FC01F7">
      <w:pPr>
        <w:spacing w:after="200" w:line="360" w:lineRule="auto"/>
        <w:jc w:val="both"/>
        <w:rPr>
          <w:rFonts w:ascii="Times New Roman" w:eastAsia="Calibri" w:hAnsi="Times New Roman" w:cs="Times New Roman"/>
          <w:b/>
          <w:bCs/>
          <w:sz w:val="24"/>
          <w:szCs w:val="24"/>
        </w:rPr>
      </w:pPr>
      <w:r w:rsidRPr="005F5161">
        <w:rPr>
          <w:rFonts w:ascii="Times New Roman" w:eastAsia="Calibri" w:hAnsi="Times New Roman" w:cs="Times New Roman"/>
          <w:b/>
          <w:bCs/>
          <w:sz w:val="24"/>
          <w:szCs w:val="24"/>
        </w:rPr>
        <w:t xml:space="preserve">Cuadro 3: </w:t>
      </w:r>
      <w:r w:rsidR="003C3082">
        <w:rPr>
          <w:rFonts w:ascii="Times New Roman" w:eastAsia="Calibri" w:hAnsi="Times New Roman" w:cs="Times New Roman"/>
          <w:b/>
          <w:bCs/>
          <w:sz w:val="24"/>
          <w:szCs w:val="24"/>
        </w:rPr>
        <w:t xml:space="preserve">estimación del Modelo </w:t>
      </w:r>
      <w:r w:rsidRPr="003C3082">
        <w:rPr>
          <w:rFonts w:ascii="Times New Roman" w:eastAsia="Calibri" w:hAnsi="Times New Roman" w:cs="Times New Roman"/>
          <w:b/>
          <w:bCs/>
          <w:sz w:val="24"/>
          <w:szCs w:val="24"/>
        </w:rPr>
        <w:t xml:space="preserve"> </w:t>
      </w:r>
    </w:p>
    <w:p w14:paraId="584BACA1" w14:textId="77777777" w:rsidR="00FC01F7" w:rsidRPr="005F5161" w:rsidRDefault="00FC01F7" w:rsidP="00FC01F7">
      <w:pPr>
        <w:spacing w:after="200" w:line="276" w:lineRule="auto"/>
        <w:jc w:val="both"/>
        <w:rPr>
          <w:rFonts w:ascii="Times New Roman" w:eastAsia="Calibri" w:hAnsi="Times New Roman" w:cs="Times New Roman"/>
          <w:bCs/>
          <w:sz w:val="24"/>
          <w:szCs w:val="24"/>
        </w:rPr>
      </w:pPr>
      <m:oMathPara>
        <m:oMath>
          <m:r>
            <w:rPr>
              <w:rFonts w:ascii="Cambria Math" w:eastAsia="Calibri" w:hAnsi="Cambria Math" w:cs="Calibri"/>
              <w:color w:val="000000"/>
              <w:sz w:val="24"/>
              <w:szCs w:val="24"/>
            </w:rPr>
            <m:t>IDCRT</m:t>
          </m:r>
          <m:r>
            <w:rPr>
              <w:rFonts w:ascii="Cambria Math" w:eastAsia="Calibri" w:hAnsi="Cambria Math" w:cs="Times New Roman"/>
              <w:color w:val="000000"/>
              <w:sz w:val="24"/>
              <w:szCs w:val="24"/>
            </w:rPr>
            <m:t>=α+</m:t>
          </m:r>
          <m:sSub>
            <m:sSubPr>
              <m:ctrlPr>
                <w:rPr>
                  <w:rFonts w:ascii="Cambria Math" w:eastAsia="Calibri" w:hAnsi="Cambria Math" w:cs="Times New Roman"/>
                  <w:bCs/>
                  <w:i/>
                  <w:color w:val="000000"/>
                  <w:sz w:val="24"/>
                  <w:szCs w:val="24"/>
                  <w:lang w:eastAsia="es-AR"/>
                </w:rPr>
              </m:ctrlPr>
            </m:sSubPr>
            <m:e>
              <m:r>
                <w:rPr>
                  <w:rFonts w:ascii="Cambria Math" w:eastAsia="Calibri" w:hAnsi="Cambria Math" w:cs="Times New Roman"/>
                  <w:color w:val="000000"/>
                  <w:sz w:val="24"/>
                  <w:szCs w:val="24"/>
                </w:rPr>
                <m:t>β</m:t>
              </m:r>
            </m:e>
            <m:sub>
              <m:r>
                <w:rPr>
                  <w:rFonts w:ascii="Cambria Math" w:eastAsia="Calibri" w:hAnsi="Cambria Math" w:cs="Times New Roman"/>
                  <w:color w:val="000000"/>
                  <w:sz w:val="24"/>
                  <w:szCs w:val="24"/>
                </w:rPr>
                <m:t>1</m:t>
              </m:r>
            </m:sub>
          </m:sSub>
          <m:r>
            <w:rPr>
              <w:rFonts w:ascii="Cambria Math" w:eastAsia="Calibri" w:hAnsi="Cambria Math" w:cs="Times New Roman"/>
              <w:color w:val="000000"/>
              <w:sz w:val="24"/>
              <w:szCs w:val="24"/>
            </w:rPr>
            <m:t>TAMit+</m:t>
          </m:r>
          <m:sSub>
            <m:sSubPr>
              <m:ctrlPr>
                <w:rPr>
                  <w:rFonts w:ascii="Cambria Math" w:eastAsia="Calibri" w:hAnsi="Cambria Math" w:cs="Times New Roman"/>
                  <w:bCs/>
                  <w:i/>
                  <w:color w:val="000000"/>
                  <w:sz w:val="24"/>
                  <w:szCs w:val="24"/>
                  <w:lang w:eastAsia="es-AR"/>
                </w:rPr>
              </m:ctrlPr>
            </m:sSubPr>
            <m:e>
              <m:r>
                <w:rPr>
                  <w:rFonts w:ascii="Cambria Math" w:eastAsia="Calibri" w:hAnsi="Cambria Math" w:cs="Times New Roman"/>
                  <w:color w:val="000000"/>
                  <w:sz w:val="24"/>
                  <w:szCs w:val="24"/>
                </w:rPr>
                <m:t>β</m:t>
              </m:r>
            </m:e>
            <m:sub>
              <m:r>
                <w:rPr>
                  <w:rFonts w:ascii="Cambria Math" w:eastAsia="Calibri" w:hAnsi="Cambria Math" w:cs="Times New Roman"/>
                  <w:color w:val="000000"/>
                  <w:sz w:val="24"/>
                  <w:szCs w:val="24"/>
                </w:rPr>
                <m:t>2</m:t>
              </m:r>
            </m:sub>
          </m:sSub>
          <m:sSub>
            <m:sSubPr>
              <m:ctrlPr>
                <w:rPr>
                  <w:rFonts w:ascii="Cambria Math" w:eastAsia="Calibri" w:hAnsi="Cambria Math" w:cs="Times New Roman"/>
                  <w:bCs/>
                  <w:i/>
                  <w:color w:val="000000"/>
                  <w:sz w:val="24"/>
                  <w:szCs w:val="24"/>
                  <w:lang w:eastAsia="es-AR"/>
                </w:rPr>
              </m:ctrlPr>
            </m:sSubPr>
            <m:e>
              <m:r>
                <w:rPr>
                  <w:rFonts w:ascii="Cambria Math" w:eastAsia="Calibri" w:hAnsi="Cambria Math" w:cs="Times New Roman"/>
                  <w:color w:val="000000"/>
                  <w:sz w:val="24"/>
                  <w:szCs w:val="24"/>
                </w:rPr>
                <m:t>CAP INV</m:t>
              </m:r>
            </m:e>
            <m:sub>
              <m:r>
                <w:rPr>
                  <w:rFonts w:ascii="Cambria Math" w:eastAsia="Calibri" w:hAnsi="Cambria Math" w:cs="Times New Roman"/>
                  <w:color w:val="000000"/>
                  <w:sz w:val="24"/>
                  <w:szCs w:val="24"/>
                </w:rPr>
                <m:t>it</m:t>
              </m:r>
            </m:sub>
          </m:sSub>
          <m:r>
            <w:rPr>
              <w:rFonts w:ascii="Cambria Math" w:eastAsia="Calibri" w:hAnsi="Cambria Math" w:cs="Times New Roman"/>
              <w:color w:val="000000"/>
              <w:sz w:val="24"/>
              <w:szCs w:val="24"/>
            </w:rPr>
            <m:t>+</m:t>
          </m:r>
          <m:sSub>
            <m:sSubPr>
              <m:ctrlPr>
                <w:rPr>
                  <w:rFonts w:ascii="Cambria Math" w:eastAsia="Calibri" w:hAnsi="Cambria Math" w:cs="Times New Roman"/>
                  <w:bCs/>
                  <w:i/>
                  <w:color w:val="000000"/>
                  <w:sz w:val="24"/>
                  <w:szCs w:val="24"/>
                  <w:lang w:eastAsia="es-AR"/>
                </w:rPr>
              </m:ctrlPr>
            </m:sSubPr>
            <m:e>
              <m:r>
                <w:rPr>
                  <w:rFonts w:ascii="Cambria Math" w:eastAsia="Calibri" w:hAnsi="Cambria Math" w:cs="Times New Roman"/>
                  <w:color w:val="000000"/>
                  <w:sz w:val="24"/>
                  <w:szCs w:val="24"/>
                </w:rPr>
                <m:t>β</m:t>
              </m:r>
            </m:e>
            <m:sub>
              <m:r>
                <w:rPr>
                  <w:rFonts w:ascii="Cambria Math" w:eastAsia="Calibri" w:hAnsi="Cambria Math" w:cs="Times New Roman"/>
                  <w:color w:val="000000"/>
                  <w:sz w:val="24"/>
                  <w:szCs w:val="24"/>
                </w:rPr>
                <m:t>3</m:t>
              </m:r>
            </m:sub>
          </m:sSub>
          <m:sSub>
            <m:sSubPr>
              <m:ctrlPr>
                <w:rPr>
                  <w:rFonts w:ascii="Cambria Math" w:eastAsia="Calibri" w:hAnsi="Cambria Math" w:cs="Times New Roman"/>
                  <w:bCs/>
                  <w:i/>
                  <w:color w:val="000000"/>
                  <w:sz w:val="24"/>
                  <w:szCs w:val="24"/>
                  <w:lang w:eastAsia="es-AR"/>
                </w:rPr>
              </m:ctrlPr>
            </m:sSubPr>
            <m:e>
              <m:r>
                <w:rPr>
                  <w:rFonts w:ascii="Cambria Math" w:eastAsia="Calibri" w:hAnsi="Cambria Math" w:cs="Times New Roman"/>
                  <w:color w:val="000000"/>
                  <w:sz w:val="24"/>
                  <w:szCs w:val="24"/>
                </w:rPr>
                <m:t>GENERO</m:t>
              </m:r>
            </m:e>
            <m:sub>
              <m:r>
                <w:rPr>
                  <w:rFonts w:ascii="Cambria Math" w:eastAsia="Calibri" w:hAnsi="Cambria Math" w:cs="Times New Roman"/>
                  <w:color w:val="000000"/>
                  <w:sz w:val="24"/>
                  <w:szCs w:val="24"/>
                </w:rPr>
                <m:t>it</m:t>
              </m:r>
            </m:sub>
          </m:sSub>
          <m:r>
            <w:rPr>
              <w:rFonts w:ascii="Cambria Math" w:eastAsia="Calibri" w:hAnsi="Cambria Math" w:cs="Times New Roman"/>
              <w:color w:val="000000"/>
              <w:sz w:val="24"/>
              <w:szCs w:val="24"/>
            </w:rPr>
            <m:t xml:space="preserve">+ </m:t>
          </m:r>
          <m:sSub>
            <m:sSubPr>
              <m:ctrlPr>
                <w:rPr>
                  <w:rFonts w:ascii="Cambria Math" w:eastAsia="Calibri" w:hAnsi="Cambria Math" w:cs="Times New Roman"/>
                  <w:bCs/>
                  <w:i/>
                  <w:color w:val="000000"/>
                  <w:sz w:val="24"/>
                  <w:szCs w:val="24"/>
                  <w:lang w:eastAsia="es-AR"/>
                </w:rPr>
              </m:ctrlPr>
            </m:sSubPr>
            <m:e>
              <m:r>
                <w:rPr>
                  <w:rFonts w:ascii="Cambria Math" w:eastAsia="Calibri" w:hAnsi="Cambria Math" w:cs="Times New Roman"/>
                  <w:color w:val="000000"/>
                  <w:sz w:val="24"/>
                  <w:szCs w:val="24"/>
                </w:rPr>
                <m:t>COMPLEJ</m:t>
              </m:r>
            </m:e>
            <m:sub>
              <m:r>
                <w:rPr>
                  <w:rFonts w:ascii="Cambria Math" w:eastAsia="Calibri" w:hAnsi="Cambria Math" w:cs="Times New Roman"/>
                  <w:color w:val="000000"/>
                  <w:sz w:val="24"/>
                  <w:szCs w:val="24"/>
                </w:rPr>
                <m:t>it</m:t>
              </m:r>
            </m:sub>
          </m:sSub>
          <m:sSub>
            <m:sSubPr>
              <m:ctrlPr>
                <w:rPr>
                  <w:rFonts w:ascii="Cambria Math" w:eastAsia="Calibri" w:hAnsi="Cambria Math" w:cs="Times New Roman"/>
                  <w:bCs/>
                  <w:i/>
                  <w:color w:val="000000"/>
                  <w:sz w:val="24"/>
                  <w:szCs w:val="24"/>
                  <w:lang w:eastAsia="es-AR"/>
                </w:rPr>
              </m:ctrlPr>
            </m:sSubPr>
            <m:e>
              <m:r>
                <w:rPr>
                  <w:rFonts w:ascii="Cambria Math" w:eastAsia="Calibri" w:hAnsi="Cambria Math" w:cs="Times New Roman"/>
                  <w:color w:val="000000"/>
                  <w:sz w:val="24"/>
                  <w:szCs w:val="24"/>
                </w:rPr>
                <m:t>+  ε</m:t>
              </m:r>
            </m:e>
            <m:sub>
              <m:r>
                <w:rPr>
                  <w:rFonts w:ascii="Cambria Math" w:eastAsia="Calibri" w:hAnsi="Cambria Math" w:cs="Times New Roman"/>
                  <w:color w:val="000000"/>
                  <w:sz w:val="24"/>
                  <w:szCs w:val="24"/>
                </w:rPr>
                <m:t>it</m:t>
              </m:r>
            </m:sub>
          </m:sSub>
        </m:oMath>
      </m:oMathPara>
    </w:p>
    <w:tbl>
      <w:tblPr>
        <w:tblStyle w:val="Tablanormal41"/>
        <w:tblW w:w="7513" w:type="dxa"/>
        <w:tblInd w:w="108" w:type="dxa"/>
        <w:shd w:val="clear" w:color="auto" w:fill="FFFFFF"/>
        <w:tblLayout w:type="fixed"/>
        <w:tblLook w:val="04A0" w:firstRow="1" w:lastRow="0" w:firstColumn="1" w:lastColumn="0" w:noHBand="0" w:noVBand="1"/>
      </w:tblPr>
      <w:tblGrid>
        <w:gridCol w:w="1276"/>
        <w:gridCol w:w="1134"/>
        <w:gridCol w:w="1134"/>
        <w:gridCol w:w="1134"/>
        <w:gridCol w:w="1276"/>
        <w:gridCol w:w="567"/>
        <w:gridCol w:w="992"/>
      </w:tblGrid>
      <w:tr w:rsidR="00FC01F7" w:rsidRPr="005F5161" w14:paraId="506D0865" w14:textId="77777777" w:rsidTr="00FB1B03">
        <w:trPr>
          <w:cnfStyle w:val="100000000000" w:firstRow="1" w:lastRow="0" w:firstColumn="0" w:lastColumn="0" w:oddVBand="0" w:evenVBand="0" w:oddHBand="0"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1276" w:type="dxa"/>
            <w:tcBorders>
              <w:top w:val="single" w:sz="4" w:space="0" w:color="auto"/>
              <w:bottom w:val="single" w:sz="4" w:space="0" w:color="auto"/>
            </w:tcBorders>
            <w:shd w:val="clear" w:color="auto" w:fill="FFFFFF"/>
            <w:vAlign w:val="center"/>
          </w:tcPr>
          <w:p w14:paraId="6A2A7294" w14:textId="77777777" w:rsidR="00FC01F7" w:rsidRPr="005F5161" w:rsidRDefault="00FC01F7" w:rsidP="00FC01F7">
            <w:pPr>
              <w:spacing w:before="60" w:line="276" w:lineRule="auto"/>
              <w:jc w:val="center"/>
              <w:rPr>
                <w:rFonts w:ascii="Times New Roman" w:hAnsi="Times New Roman"/>
                <w:i/>
                <w:iCs/>
              </w:rPr>
            </w:pPr>
            <w:r w:rsidRPr="005F5161">
              <w:rPr>
                <w:rFonts w:ascii="Times New Roman" w:hAnsi="Times New Roman"/>
                <w:i/>
                <w:iCs/>
              </w:rPr>
              <w:t>Constante</w:t>
            </w:r>
          </w:p>
        </w:tc>
        <w:tc>
          <w:tcPr>
            <w:tcW w:w="1134" w:type="dxa"/>
            <w:tcBorders>
              <w:top w:val="single" w:sz="4" w:space="0" w:color="auto"/>
              <w:bottom w:val="single" w:sz="4" w:space="0" w:color="auto"/>
            </w:tcBorders>
            <w:shd w:val="clear" w:color="auto" w:fill="FFFFFF"/>
            <w:vAlign w:val="center"/>
          </w:tcPr>
          <w:p w14:paraId="797A8CA7" w14:textId="77777777" w:rsidR="00FC01F7" w:rsidRPr="005F5161" w:rsidRDefault="00091681" w:rsidP="00FC01F7">
            <w:pPr>
              <w:spacing w:before="6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
                <w:iCs/>
              </w:rPr>
            </w:pPr>
            <m:oMathPara>
              <m:oMath>
                <m:sSub>
                  <m:sSubPr>
                    <m:ctrlPr>
                      <w:rPr>
                        <w:rFonts w:ascii="Cambria Math" w:hAnsi="Cambria Math"/>
                        <w:i/>
                        <w:iCs/>
                      </w:rPr>
                    </m:ctrlPr>
                  </m:sSubPr>
                  <m:e>
                    <m:r>
                      <m:rPr>
                        <m:sty m:val="bi"/>
                      </m:rPr>
                      <w:rPr>
                        <w:rFonts w:ascii="Cambria Math" w:hAnsi="Cambria Math"/>
                      </w:rPr>
                      <m:t>β</m:t>
                    </m:r>
                  </m:e>
                  <m:sub>
                    <m:r>
                      <m:rPr>
                        <m:sty m:val="bi"/>
                      </m:rPr>
                      <w:rPr>
                        <w:rFonts w:ascii="Cambria Math" w:hAnsi="Cambria Math"/>
                      </w:rPr>
                      <m:t>0</m:t>
                    </m:r>
                  </m:sub>
                </m:sSub>
              </m:oMath>
            </m:oMathPara>
          </w:p>
          <w:p w14:paraId="6D72CA4B" w14:textId="77777777" w:rsidR="00FC01F7" w:rsidRPr="005F5161" w:rsidRDefault="00FC01F7" w:rsidP="00FC01F7">
            <w:pPr>
              <w:spacing w:after="6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
                <w:iCs/>
              </w:rPr>
            </w:pPr>
            <w:r w:rsidRPr="005F5161">
              <w:rPr>
                <w:rFonts w:ascii="Times New Roman" w:eastAsia="Times New Roman" w:hAnsi="Times New Roman"/>
              </w:rPr>
              <w:t>TAM</w:t>
            </w:r>
          </w:p>
          <w:p w14:paraId="67C7812D" w14:textId="77777777" w:rsidR="00FC01F7" w:rsidRPr="005F5161" w:rsidRDefault="00FC01F7" w:rsidP="00FC01F7">
            <w:pPr>
              <w:spacing w:after="6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sidRPr="005F5161">
              <w:rPr>
                <w:rFonts w:ascii="Times New Roman" w:hAnsi="Times New Roman"/>
                <w:i/>
                <w:iCs/>
              </w:rPr>
              <w:t>(p-valúe)</w:t>
            </w:r>
          </w:p>
        </w:tc>
        <w:tc>
          <w:tcPr>
            <w:tcW w:w="1134" w:type="dxa"/>
            <w:tcBorders>
              <w:top w:val="single" w:sz="4" w:space="0" w:color="auto"/>
              <w:bottom w:val="single" w:sz="4" w:space="0" w:color="auto"/>
            </w:tcBorders>
            <w:shd w:val="clear" w:color="auto" w:fill="FFFFFF"/>
            <w:vAlign w:val="center"/>
          </w:tcPr>
          <w:p w14:paraId="6BB384C5" w14:textId="77777777" w:rsidR="00FC01F7" w:rsidRPr="005F5161" w:rsidRDefault="00091681" w:rsidP="00FC01F7">
            <w:pPr>
              <w:spacing w:after="6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
                <w:iCs/>
              </w:rPr>
            </w:pPr>
            <m:oMathPara>
              <m:oMath>
                <m:sSub>
                  <m:sSubPr>
                    <m:ctrlPr>
                      <w:rPr>
                        <w:rFonts w:ascii="Cambria Math" w:hAnsi="Cambria Math"/>
                        <w:i/>
                        <w:iCs/>
                      </w:rPr>
                    </m:ctrlPr>
                  </m:sSubPr>
                  <m:e>
                    <m:r>
                      <m:rPr>
                        <m:sty m:val="bi"/>
                      </m:rPr>
                      <w:rPr>
                        <w:rFonts w:ascii="Cambria Math" w:hAnsi="Cambria Math"/>
                      </w:rPr>
                      <m:t>β</m:t>
                    </m:r>
                  </m:e>
                  <m:sub>
                    <m:r>
                      <m:rPr>
                        <m:sty m:val="bi"/>
                      </m:rPr>
                      <w:rPr>
                        <w:rFonts w:ascii="Cambria Math" w:hAnsi="Cambria Math"/>
                      </w:rPr>
                      <m:t>1</m:t>
                    </m:r>
                  </m:sub>
                </m:sSub>
              </m:oMath>
            </m:oMathPara>
          </w:p>
          <w:p w14:paraId="60F96935" w14:textId="77777777" w:rsidR="00FC01F7" w:rsidRPr="005F5161" w:rsidRDefault="008843B3" w:rsidP="00FC01F7">
            <w:pPr>
              <w:spacing w:after="6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
                <w:iCs/>
              </w:rPr>
            </w:pPr>
            <w:r>
              <w:rPr>
                <w:rFonts w:ascii="Times New Roman" w:eastAsia="Times New Roman" w:hAnsi="Times New Roman"/>
                <w:color w:val="000000"/>
              </w:rPr>
              <w:t>CAP</w:t>
            </w:r>
            <w:r w:rsidR="00FC01F7" w:rsidRPr="005F5161">
              <w:rPr>
                <w:rFonts w:ascii="Times New Roman" w:eastAsia="Times New Roman" w:hAnsi="Times New Roman"/>
                <w:color w:val="000000"/>
              </w:rPr>
              <w:t xml:space="preserve"> INV</w:t>
            </w:r>
          </w:p>
          <w:p w14:paraId="5B4608F8" w14:textId="77777777" w:rsidR="00FC01F7" w:rsidRPr="005F5161" w:rsidRDefault="00FC01F7" w:rsidP="00FC01F7">
            <w:pPr>
              <w:spacing w:after="6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sidRPr="005F5161">
              <w:rPr>
                <w:rFonts w:ascii="Times New Roman" w:hAnsi="Times New Roman"/>
                <w:i/>
                <w:iCs/>
              </w:rPr>
              <w:t>(p-valúe)</w:t>
            </w:r>
          </w:p>
        </w:tc>
        <w:tc>
          <w:tcPr>
            <w:tcW w:w="1134" w:type="dxa"/>
            <w:tcBorders>
              <w:top w:val="single" w:sz="4" w:space="0" w:color="auto"/>
              <w:bottom w:val="single" w:sz="4" w:space="0" w:color="auto"/>
            </w:tcBorders>
            <w:shd w:val="clear" w:color="auto" w:fill="FFFFFF"/>
            <w:vAlign w:val="center"/>
          </w:tcPr>
          <w:p w14:paraId="28D2EF75" w14:textId="77777777" w:rsidR="00FC01F7" w:rsidRPr="005F5161" w:rsidRDefault="00091681" w:rsidP="00FC01F7">
            <w:pPr>
              <w:spacing w:after="6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
                <w:iCs/>
              </w:rPr>
            </w:pPr>
            <m:oMathPara>
              <m:oMath>
                <m:sSub>
                  <m:sSubPr>
                    <m:ctrlPr>
                      <w:rPr>
                        <w:rFonts w:ascii="Cambria Math" w:hAnsi="Cambria Math"/>
                        <w:i/>
                        <w:iCs/>
                      </w:rPr>
                    </m:ctrlPr>
                  </m:sSubPr>
                  <m:e>
                    <m:r>
                      <m:rPr>
                        <m:sty m:val="bi"/>
                      </m:rPr>
                      <w:rPr>
                        <w:rFonts w:ascii="Cambria Math" w:hAnsi="Cambria Math"/>
                      </w:rPr>
                      <m:t>β</m:t>
                    </m:r>
                  </m:e>
                  <m:sub>
                    <m:r>
                      <m:rPr>
                        <m:sty m:val="bi"/>
                      </m:rPr>
                      <w:rPr>
                        <w:rFonts w:ascii="Cambria Math" w:hAnsi="Cambria Math"/>
                      </w:rPr>
                      <m:t>2</m:t>
                    </m:r>
                  </m:sub>
                </m:sSub>
              </m:oMath>
            </m:oMathPara>
          </w:p>
          <w:p w14:paraId="3F391B6B" w14:textId="77777777" w:rsidR="00FC01F7" w:rsidRPr="005F5161" w:rsidRDefault="00FC01F7" w:rsidP="00FC01F7">
            <w:pPr>
              <w:spacing w:after="6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
                <w:iCs/>
              </w:rPr>
            </w:pPr>
            <w:r w:rsidRPr="005F5161">
              <w:rPr>
                <w:rFonts w:ascii="Times New Roman" w:eastAsia="Times New Roman" w:hAnsi="Times New Roman"/>
                <w:color w:val="000000"/>
              </w:rPr>
              <w:t>GENERO</w:t>
            </w:r>
          </w:p>
          <w:p w14:paraId="0CDDAF64" w14:textId="77777777" w:rsidR="00FC01F7" w:rsidRPr="005F5161" w:rsidRDefault="00FC01F7" w:rsidP="00FC01F7">
            <w:pPr>
              <w:spacing w:after="6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
                <w:iCs/>
              </w:rPr>
            </w:pPr>
            <w:r w:rsidRPr="005F5161">
              <w:rPr>
                <w:rFonts w:ascii="Times New Roman" w:hAnsi="Times New Roman"/>
                <w:i/>
                <w:iCs/>
              </w:rPr>
              <w:t>(p-valúe)</w:t>
            </w:r>
          </w:p>
        </w:tc>
        <w:tc>
          <w:tcPr>
            <w:tcW w:w="1276" w:type="dxa"/>
            <w:tcBorders>
              <w:top w:val="single" w:sz="4" w:space="0" w:color="auto"/>
              <w:bottom w:val="single" w:sz="4" w:space="0" w:color="auto"/>
            </w:tcBorders>
            <w:shd w:val="clear" w:color="auto" w:fill="FFFFFF"/>
            <w:vAlign w:val="center"/>
          </w:tcPr>
          <w:p w14:paraId="2F9E48CD" w14:textId="77777777" w:rsidR="00FC01F7" w:rsidRPr="005F5161" w:rsidRDefault="00091681" w:rsidP="00FC01F7">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Cs/>
              </w:rPr>
            </w:pPr>
            <m:oMathPara>
              <m:oMath>
                <m:sSub>
                  <m:sSubPr>
                    <m:ctrlPr>
                      <w:rPr>
                        <w:rFonts w:ascii="Cambria Math" w:hAnsi="Cambria Math"/>
                        <w:i/>
                        <w:iCs/>
                      </w:rPr>
                    </m:ctrlPr>
                  </m:sSubPr>
                  <m:e>
                    <m:r>
                      <m:rPr>
                        <m:sty m:val="bi"/>
                      </m:rPr>
                      <w:rPr>
                        <w:rFonts w:ascii="Cambria Math" w:hAnsi="Cambria Math"/>
                      </w:rPr>
                      <m:t>β</m:t>
                    </m:r>
                  </m:e>
                  <m:sub>
                    <m:r>
                      <m:rPr>
                        <m:sty m:val="bi"/>
                      </m:rPr>
                      <w:rPr>
                        <w:rFonts w:ascii="Cambria Math" w:hAnsi="Cambria Math"/>
                      </w:rPr>
                      <m:t>3</m:t>
                    </m:r>
                  </m:sub>
                </m:sSub>
              </m:oMath>
            </m:oMathPara>
          </w:p>
          <w:p w14:paraId="665BA029" w14:textId="77777777" w:rsidR="00FC01F7" w:rsidRPr="005F5161" w:rsidRDefault="00FC01F7" w:rsidP="00FC01F7">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Cs/>
              </w:rPr>
            </w:pPr>
            <w:r w:rsidRPr="005F5161">
              <w:rPr>
                <w:rFonts w:ascii="Times New Roman" w:hAnsi="Times New Roman"/>
                <w:iCs/>
              </w:rPr>
              <w:t xml:space="preserve">COMPLEJ          </w:t>
            </w:r>
            <w:r w:rsidRPr="005F5161">
              <w:rPr>
                <w:rFonts w:ascii="Times New Roman" w:hAnsi="Times New Roman"/>
                <w:i/>
                <w:iCs/>
              </w:rPr>
              <w:t>(p-valúe)</w:t>
            </w:r>
          </w:p>
        </w:tc>
        <w:tc>
          <w:tcPr>
            <w:tcW w:w="567" w:type="dxa"/>
            <w:tcBorders>
              <w:top w:val="single" w:sz="4" w:space="0" w:color="auto"/>
              <w:bottom w:val="single" w:sz="4" w:space="0" w:color="auto"/>
            </w:tcBorders>
            <w:shd w:val="clear" w:color="auto" w:fill="FFFFFF"/>
            <w:vAlign w:val="center"/>
          </w:tcPr>
          <w:p w14:paraId="641C2DDE" w14:textId="77777777" w:rsidR="00FC01F7" w:rsidRPr="005F5161" w:rsidRDefault="00FC01F7" w:rsidP="00FC01F7">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Cs/>
              </w:rPr>
            </w:pPr>
            <w:r w:rsidRPr="005F5161">
              <w:rPr>
                <w:rFonts w:ascii="Times New Roman" w:hAnsi="Times New Roman"/>
                <w:iCs/>
              </w:rPr>
              <w:t>N</w:t>
            </w:r>
          </w:p>
        </w:tc>
        <w:tc>
          <w:tcPr>
            <w:tcW w:w="992" w:type="dxa"/>
            <w:tcBorders>
              <w:top w:val="single" w:sz="4" w:space="0" w:color="auto"/>
              <w:bottom w:val="single" w:sz="4" w:space="0" w:color="auto"/>
            </w:tcBorders>
            <w:shd w:val="clear" w:color="auto" w:fill="FFFFFF"/>
            <w:vAlign w:val="center"/>
          </w:tcPr>
          <w:p w14:paraId="281889D9" w14:textId="77777777" w:rsidR="00FC01F7" w:rsidRPr="005F5161" w:rsidRDefault="00FC01F7" w:rsidP="00FC01F7">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Cs/>
                <w:vertAlign w:val="superscript"/>
              </w:rPr>
            </w:pPr>
            <w:r w:rsidRPr="005F5161">
              <w:rPr>
                <w:rFonts w:ascii="Times New Roman" w:hAnsi="Times New Roman"/>
                <w:iCs/>
              </w:rPr>
              <w:t>R</w:t>
            </w:r>
            <w:r w:rsidRPr="005F5161">
              <w:rPr>
                <w:rFonts w:ascii="Times New Roman" w:hAnsi="Times New Roman"/>
                <w:iCs/>
                <w:vertAlign w:val="superscript"/>
              </w:rPr>
              <w:t>2</w:t>
            </w:r>
            <w:r w:rsidRPr="005F5161">
              <w:rPr>
                <w:rFonts w:ascii="Times New Roman" w:hAnsi="Times New Roman"/>
                <w:iCs/>
              </w:rPr>
              <w:t xml:space="preserve"> Adj.</w:t>
            </w:r>
          </w:p>
        </w:tc>
      </w:tr>
      <w:tr w:rsidR="00FC01F7" w:rsidRPr="005F5161" w14:paraId="08A837CA" w14:textId="77777777" w:rsidTr="00FB1B03">
        <w:trPr>
          <w:cnfStyle w:val="000000100000" w:firstRow="0" w:lastRow="0" w:firstColumn="0" w:lastColumn="0" w:oddVBand="0" w:evenVBand="0" w:oddHBand="1" w:evenHBand="0" w:firstRowFirstColumn="0" w:firstRowLastColumn="0" w:lastRowFirstColumn="0" w:lastRowLastColumn="0"/>
          <w:trHeight w:val="666"/>
        </w:trPr>
        <w:tc>
          <w:tcPr>
            <w:cnfStyle w:val="001000000000" w:firstRow="0" w:lastRow="0" w:firstColumn="1" w:lastColumn="0" w:oddVBand="0" w:evenVBand="0" w:oddHBand="0" w:evenHBand="0" w:firstRowFirstColumn="0" w:firstRowLastColumn="0" w:lastRowFirstColumn="0" w:lastRowLastColumn="0"/>
            <w:tcW w:w="1276" w:type="dxa"/>
            <w:tcBorders>
              <w:top w:val="single" w:sz="4" w:space="0" w:color="auto"/>
              <w:bottom w:val="single" w:sz="4" w:space="0" w:color="auto"/>
            </w:tcBorders>
            <w:shd w:val="clear" w:color="auto" w:fill="FFFFFF"/>
            <w:vAlign w:val="center"/>
          </w:tcPr>
          <w:p w14:paraId="01E7FE3C" w14:textId="77777777" w:rsidR="00FC01F7" w:rsidRPr="005F5161" w:rsidRDefault="00FC01F7" w:rsidP="00FC01F7">
            <w:pPr>
              <w:spacing w:line="276" w:lineRule="auto"/>
              <w:jc w:val="center"/>
              <w:rPr>
                <w:rFonts w:ascii="Times New Roman" w:hAnsi="Times New Roman"/>
              </w:rPr>
            </w:pPr>
            <w:r w:rsidRPr="005F5161">
              <w:rPr>
                <w:rFonts w:ascii="Times New Roman" w:hAnsi="Times New Roman"/>
              </w:rPr>
              <w:t>0.6206</w:t>
            </w:r>
          </w:p>
          <w:p w14:paraId="3C10FAB8" w14:textId="77777777" w:rsidR="00FC01F7" w:rsidRPr="005F5161" w:rsidRDefault="00FC01F7" w:rsidP="00FC01F7">
            <w:pPr>
              <w:spacing w:line="276" w:lineRule="auto"/>
              <w:jc w:val="center"/>
              <w:rPr>
                <w:rFonts w:ascii="Times New Roman" w:hAnsi="Times New Roman"/>
              </w:rPr>
            </w:pPr>
            <w:r w:rsidRPr="005F5161">
              <w:rPr>
                <w:rFonts w:ascii="Times New Roman" w:hAnsi="Times New Roman"/>
              </w:rPr>
              <w:t>(0,523)</w:t>
            </w:r>
          </w:p>
        </w:tc>
        <w:tc>
          <w:tcPr>
            <w:tcW w:w="1134" w:type="dxa"/>
            <w:tcBorders>
              <w:top w:val="single" w:sz="4" w:space="0" w:color="auto"/>
              <w:bottom w:val="single" w:sz="4" w:space="0" w:color="auto"/>
            </w:tcBorders>
            <w:shd w:val="clear" w:color="auto" w:fill="FFFFFF"/>
            <w:vAlign w:val="center"/>
          </w:tcPr>
          <w:p w14:paraId="726F4427" w14:textId="77777777" w:rsidR="00FC01F7" w:rsidRPr="005F5161" w:rsidRDefault="00FC01F7" w:rsidP="00FC01F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iCs/>
              </w:rPr>
            </w:pPr>
            <w:r w:rsidRPr="005F5161">
              <w:rPr>
                <w:rFonts w:ascii="Times New Roman" w:hAnsi="Times New Roman"/>
              </w:rPr>
              <w:t>0.0088 (</w:t>
            </w:r>
            <w:r w:rsidRPr="005F5161">
              <w:rPr>
                <w:rFonts w:ascii="Times New Roman" w:hAnsi="Times New Roman"/>
                <w:i/>
                <w:iCs/>
              </w:rPr>
              <w:t>0.927)</w:t>
            </w:r>
          </w:p>
        </w:tc>
        <w:tc>
          <w:tcPr>
            <w:tcW w:w="1134" w:type="dxa"/>
            <w:tcBorders>
              <w:top w:val="single" w:sz="4" w:space="0" w:color="auto"/>
              <w:bottom w:val="single" w:sz="4" w:space="0" w:color="auto"/>
            </w:tcBorders>
            <w:shd w:val="clear" w:color="auto" w:fill="FFFFFF"/>
            <w:vAlign w:val="center"/>
          </w:tcPr>
          <w:p w14:paraId="31967ECF" w14:textId="77777777" w:rsidR="00FC01F7" w:rsidRPr="005F5161" w:rsidRDefault="00FC01F7" w:rsidP="00FC01F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F5161">
              <w:rPr>
                <w:rFonts w:ascii="Times New Roman" w:hAnsi="Times New Roman"/>
                <w:i/>
                <w:iCs/>
              </w:rPr>
              <w:t>-0.9858 (0,581)</w:t>
            </w:r>
          </w:p>
        </w:tc>
        <w:tc>
          <w:tcPr>
            <w:tcW w:w="1134" w:type="dxa"/>
            <w:tcBorders>
              <w:top w:val="single" w:sz="4" w:space="0" w:color="auto"/>
              <w:bottom w:val="single" w:sz="4" w:space="0" w:color="auto"/>
            </w:tcBorders>
            <w:shd w:val="clear" w:color="auto" w:fill="FFFFFF"/>
            <w:vAlign w:val="center"/>
          </w:tcPr>
          <w:p w14:paraId="758BA1BD" w14:textId="77777777" w:rsidR="00FC01F7" w:rsidRPr="005F5161" w:rsidRDefault="00FC01F7" w:rsidP="00FC01F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vertAlign w:val="superscript"/>
              </w:rPr>
            </w:pPr>
            <w:r w:rsidRPr="005F5161">
              <w:rPr>
                <w:rFonts w:ascii="Times New Roman" w:hAnsi="Times New Roman"/>
              </w:rPr>
              <w:t>0</w:t>
            </w:r>
          </w:p>
          <w:p w14:paraId="08C8C800" w14:textId="77777777" w:rsidR="00FC01F7" w:rsidRPr="005F5161" w:rsidRDefault="00FC01F7" w:rsidP="00FC01F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rPr>
            </w:pPr>
            <w:r w:rsidRPr="005F5161">
              <w:rPr>
                <w:rFonts w:ascii="Times New Roman" w:hAnsi="Times New Roman"/>
                <w:i/>
                <w:iCs/>
              </w:rPr>
              <w:t>-</w:t>
            </w:r>
          </w:p>
        </w:tc>
        <w:tc>
          <w:tcPr>
            <w:tcW w:w="1276" w:type="dxa"/>
            <w:tcBorders>
              <w:top w:val="single" w:sz="4" w:space="0" w:color="auto"/>
              <w:bottom w:val="single" w:sz="4" w:space="0" w:color="auto"/>
            </w:tcBorders>
            <w:shd w:val="clear" w:color="auto" w:fill="FFFFFF"/>
            <w:vAlign w:val="center"/>
          </w:tcPr>
          <w:p w14:paraId="19AD50B0" w14:textId="77777777" w:rsidR="00FC01F7" w:rsidRPr="005F5161" w:rsidRDefault="00FC01F7" w:rsidP="00FC01F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rPr>
            </w:pPr>
            <w:r w:rsidRPr="005F5161">
              <w:rPr>
                <w:rFonts w:ascii="Times New Roman" w:hAnsi="Times New Roman"/>
              </w:rPr>
              <w:t xml:space="preserve">0.0006 </w:t>
            </w:r>
            <w:r w:rsidRPr="005F5161">
              <w:rPr>
                <w:rFonts w:ascii="Times New Roman" w:hAnsi="Times New Roman"/>
                <w:i/>
              </w:rPr>
              <w:t>(0,574)</w:t>
            </w:r>
          </w:p>
        </w:tc>
        <w:tc>
          <w:tcPr>
            <w:tcW w:w="567" w:type="dxa"/>
            <w:tcBorders>
              <w:top w:val="single" w:sz="4" w:space="0" w:color="auto"/>
              <w:bottom w:val="single" w:sz="4" w:space="0" w:color="auto"/>
            </w:tcBorders>
            <w:shd w:val="clear" w:color="auto" w:fill="FFFFFF"/>
            <w:vAlign w:val="center"/>
          </w:tcPr>
          <w:p w14:paraId="28FD3B9E" w14:textId="77777777" w:rsidR="00FC01F7" w:rsidRPr="005F5161" w:rsidRDefault="00FC01F7" w:rsidP="00FC01F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F5161">
              <w:rPr>
                <w:rFonts w:ascii="Times New Roman" w:hAnsi="Times New Roman"/>
              </w:rPr>
              <w:t>6</w:t>
            </w:r>
          </w:p>
        </w:tc>
        <w:tc>
          <w:tcPr>
            <w:tcW w:w="992" w:type="dxa"/>
            <w:tcBorders>
              <w:top w:val="single" w:sz="4" w:space="0" w:color="auto"/>
              <w:bottom w:val="single" w:sz="4" w:space="0" w:color="auto"/>
            </w:tcBorders>
            <w:shd w:val="clear" w:color="auto" w:fill="FFFFFF"/>
            <w:vAlign w:val="center"/>
          </w:tcPr>
          <w:p w14:paraId="15E4E169" w14:textId="77777777" w:rsidR="00FC01F7" w:rsidRPr="005F5161" w:rsidRDefault="00FC01F7" w:rsidP="00FC01F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F5161">
              <w:rPr>
                <w:rFonts w:ascii="Times New Roman" w:hAnsi="Times New Roman"/>
              </w:rPr>
              <w:t>-0,7355</w:t>
            </w:r>
          </w:p>
        </w:tc>
      </w:tr>
    </w:tbl>
    <w:p w14:paraId="3870EE2A" w14:textId="77777777" w:rsidR="00FC01F7" w:rsidRPr="005F5161" w:rsidRDefault="00FC01F7" w:rsidP="00FC01F7">
      <w:pPr>
        <w:spacing w:after="0" w:line="276" w:lineRule="auto"/>
        <w:ind w:hanging="11"/>
        <w:jc w:val="both"/>
        <w:rPr>
          <w:rFonts w:ascii="Times New Roman" w:eastAsia="Calibri" w:hAnsi="Times New Roman" w:cs="Times New Roman"/>
          <w:sz w:val="20"/>
          <w:szCs w:val="20"/>
        </w:rPr>
      </w:pPr>
      <w:r w:rsidRPr="005F5161">
        <w:rPr>
          <w:rFonts w:ascii="Times New Roman" w:eastAsia="Calibri" w:hAnsi="Times New Roman" w:cs="Times New Roman"/>
          <w:sz w:val="20"/>
          <w:szCs w:val="20"/>
          <w:vertAlign w:val="superscript"/>
        </w:rPr>
        <w:t>***</w:t>
      </w:r>
      <w:r w:rsidRPr="005F5161">
        <w:rPr>
          <w:rFonts w:ascii="Times New Roman" w:eastAsia="Calibri" w:hAnsi="Times New Roman" w:cs="Times New Roman"/>
          <w:sz w:val="20"/>
          <w:szCs w:val="20"/>
        </w:rPr>
        <w:t xml:space="preserve"> significativo al 1%</w:t>
      </w:r>
    </w:p>
    <w:p w14:paraId="5F6D9A6C" w14:textId="77777777" w:rsidR="00FC01F7" w:rsidRPr="005F5161" w:rsidRDefault="00FC01F7" w:rsidP="00FC01F7">
      <w:pPr>
        <w:spacing w:after="0" w:line="276" w:lineRule="auto"/>
        <w:ind w:hanging="11"/>
        <w:jc w:val="both"/>
        <w:rPr>
          <w:rFonts w:ascii="Times New Roman" w:eastAsia="Calibri" w:hAnsi="Times New Roman" w:cs="Times New Roman"/>
          <w:sz w:val="20"/>
          <w:szCs w:val="20"/>
        </w:rPr>
      </w:pPr>
      <w:r w:rsidRPr="005F5161">
        <w:rPr>
          <w:rFonts w:ascii="Times New Roman" w:eastAsia="Calibri" w:hAnsi="Times New Roman" w:cs="Times New Roman"/>
          <w:sz w:val="20"/>
          <w:szCs w:val="20"/>
          <w:vertAlign w:val="superscript"/>
        </w:rPr>
        <w:t xml:space="preserve">** </w:t>
      </w:r>
      <w:r w:rsidRPr="005F5161">
        <w:rPr>
          <w:rFonts w:ascii="Times New Roman" w:eastAsia="Calibri" w:hAnsi="Times New Roman" w:cs="Times New Roman"/>
          <w:sz w:val="20"/>
          <w:szCs w:val="20"/>
        </w:rPr>
        <w:t>significativo al 5%</w:t>
      </w:r>
    </w:p>
    <w:p w14:paraId="0ACA00EC" w14:textId="77777777" w:rsidR="00FC01F7" w:rsidRPr="005F5161" w:rsidRDefault="00FC01F7" w:rsidP="00FB1B03">
      <w:pPr>
        <w:pBdr>
          <w:bottom w:val="single" w:sz="4" w:space="1" w:color="auto"/>
        </w:pBdr>
        <w:spacing w:after="0" w:line="276" w:lineRule="auto"/>
        <w:rPr>
          <w:rFonts w:ascii="Times New Roman" w:eastAsia="Calibri" w:hAnsi="Times New Roman" w:cs="Times New Roman"/>
          <w:sz w:val="20"/>
          <w:szCs w:val="20"/>
        </w:rPr>
      </w:pPr>
      <w:r w:rsidRPr="005F5161">
        <w:rPr>
          <w:rFonts w:ascii="Times New Roman" w:eastAsia="Calibri" w:hAnsi="Times New Roman" w:cs="Times New Roman"/>
          <w:sz w:val="20"/>
          <w:szCs w:val="20"/>
          <w:vertAlign w:val="superscript"/>
        </w:rPr>
        <w:t xml:space="preserve">* </w:t>
      </w:r>
      <w:r w:rsidRPr="005F5161">
        <w:rPr>
          <w:rFonts w:ascii="Times New Roman" w:eastAsia="Calibri" w:hAnsi="Times New Roman" w:cs="Times New Roman"/>
          <w:sz w:val="20"/>
          <w:szCs w:val="20"/>
        </w:rPr>
        <w:t>significativo al 10%</w:t>
      </w:r>
    </w:p>
    <w:p w14:paraId="02920F7E" w14:textId="77777777" w:rsidR="00FC01F7" w:rsidRPr="005F5161" w:rsidRDefault="00FC01F7" w:rsidP="00FC01F7">
      <w:pPr>
        <w:shd w:val="clear" w:color="auto" w:fill="FFFFFF"/>
        <w:spacing w:after="0" w:line="240" w:lineRule="auto"/>
        <w:ind w:hanging="11"/>
        <w:jc w:val="both"/>
        <w:rPr>
          <w:rFonts w:ascii="Times New Roman" w:eastAsia="Times New Roman" w:hAnsi="Times New Roman" w:cs="Times New Roman"/>
        </w:rPr>
      </w:pPr>
      <w:r w:rsidRPr="005F5161">
        <w:rPr>
          <w:rFonts w:ascii="Times New Roman" w:eastAsia="Times New Roman" w:hAnsi="Times New Roman" w:cs="Times New Roman"/>
          <w:b/>
        </w:rPr>
        <w:t>Fuente:</w:t>
      </w:r>
      <w:r w:rsidR="00376B04" w:rsidRPr="005F5161">
        <w:rPr>
          <w:rFonts w:ascii="Times New Roman" w:eastAsia="Times New Roman" w:hAnsi="Times New Roman" w:cs="Times New Roman"/>
        </w:rPr>
        <w:t xml:space="preserve"> elaboración propia</w:t>
      </w:r>
    </w:p>
    <w:p w14:paraId="3868F944" w14:textId="6DAD5EA5" w:rsidR="00FC01F7" w:rsidRPr="00865381" w:rsidRDefault="00FC01F7" w:rsidP="00FB1B03">
      <w:pPr>
        <w:spacing w:before="240" w:line="360" w:lineRule="auto"/>
        <w:jc w:val="both"/>
        <w:rPr>
          <w:rFonts w:ascii="Times New Roman" w:hAnsi="Times New Roman" w:cs="Times New Roman"/>
          <w:color w:val="FF0000"/>
          <w:sz w:val="24"/>
          <w:szCs w:val="24"/>
        </w:rPr>
      </w:pPr>
      <w:r w:rsidRPr="00865381">
        <w:rPr>
          <w:rFonts w:ascii="Times New Roman" w:hAnsi="Times New Roman" w:cs="Times New Roman"/>
          <w:sz w:val="24"/>
          <w:szCs w:val="24"/>
        </w:rPr>
        <w:t xml:space="preserve">Como se observa, ninguna de las variables independientes resulta significativa, lo que se podría explicar por la baja cantidad de observaciones de que se dispone. Contar con solo 6 observaciones por variable genera limitaciones al análisis y puede tener asociados ciertos problemas en la estimación, </w:t>
      </w:r>
      <w:r w:rsidR="00FB1B03" w:rsidRPr="00865381">
        <w:rPr>
          <w:rFonts w:ascii="Times New Roman" w:hAnsi="Times New Roman" w:cs="Times New Roman"/>
          <w:sz w:val="24"/>
          <w:szCs w:val="24"/>
        </w:rPr>
        <w:t>relacionados</w:t>
      </w:r>
      <w:r w:rsidRPr="00865381">
        <w:rPr>
          <w:rFonts w:ascii="Times New Roman" w:hAnsi="Times New Roman" w:cs="Times New Roman"/>
          <w:sz w:val="24"/>
          <w:szCs w:val="24"/>
        </w:rPr>
        <w:t xml:space="preserve"> con un tamaño de la muestra tan pequeño. Si bien se ha verificado el cumplimiento de los supuestos para una regresión lineal múltiple, es decir la normalidad de los errores, h</w:t>
      </w:r>
      <w:r w:rsidR="003B4164" w:rsidRPr="00865381">
        <w:rPr>
          <w:rFonts w:ascii="Times New Roman" w:hAnsi="Times New Roman" w:cs="Times New Roman"/>
          <w:sz w:val="24"/>
          <w:szCs w:val="24"/>
        </w:rPr>
        <w:t>omo</w:t>
      </w:r>
      <w:r w:rsidRPr="00865381">
        <w:rPr>
          <w:rFonts w:ascii="Times New Roman" w:hAnsi="Times New Roman" w:cs="Times New Roman"/>
          <w:sz w:val="24"/>
          <w:szCs w:val="24"/>
        </w:rPr>
        <w:t xml:space="preserve">cedasticidad, no autocorrelación y </w:t>
      </w:r>
      <w:r w:rsidR="003B4164" w:rsidRPr="00865381">
        <w:rPr>
          <w:rFonts w:ascii="Times New Roman" w:hAnsi="Times New Roman" w:cs="Times New Roman"/>
          <w:sz w:val="24"/>
          <w:szCs w:val="24"/>
        </w:rPr>
        <w:t xml:space="preserve">ausencia de </w:t>
      </w:r>
      <w:r w:rsidRPr="00865381">
        <w:rPr>
          <w:rFonts w:ascii="Times New Roman" w:hAnsi="Times New Roman" w:cs="Times New Roman"/>
          <w:sz w:val="24"/>
          <w:szCs w:val="24"/>
        </w:rPr>
        <w:t xml:space="preserve">multicolinealidad, los cuales han arrojado valores adecuados, esto no garantiza que los resultados de la regresión sean confiables y válidos, y generalizables a la población de las UUNN. </w:t>
      </w:r>
    </w:p>
    <w:p w14:paraId="2E2F6ACA" w14:textId="77777777" w:rsidR="004B0BE0" w:rsidRPr="00865381" w:rsidRDefault="00736FDF" w:rsidP="001F3A96">
      <w:pPr>
        <w:spacing w:line="360" w:lineRule="auto"/>
        <w:jc w:val="both"/>
        <w:rPr>
          <w:rFonts w:ascii="Times New Roman" w:hAnsi="Times New Roman" w:cs="Times New Roman"/>
          <w:sz w:val="24"/>
          <w:szCs w:val="24"/>
        </w:rPr>
      </w:pPr>
      <w:r w:rsidRPr="00865381">
        <w:rPr>
          <w:rFonts w:ascii="Times New Roman" w:hAnsi="Times New Roman" w:cs="Times New Roman"/>
          <w:sz w:val="24"/>
          <w:szCs w:val="24"/>
        </w:rPr>
        <w:t xml:space="preserve">Como consecuencia se considera más oportuno para realizar el estudio empírico de asociación, </w:t>
      </w:r>
      <w:r w:rsidR="001F3A96" w:rsidRPr="00865381">
        <w:rPr>
          <w:rFonts w:ascii="Times New Roman" w:hAnsi="Times New Roman" w:cs="Times New Roman"/>
          <w:sz w:val="24"/>
          <w:szCs w:val="24"/>
        </w:rPr>
        <w:t xml:space="preserve">un análisis </w:t>
      </w:r>
      <w:r w:rsidR="00597A56" w:rsidRPr="00865381">
        <w:rPr>
          <w:rFonts w:ascii="Times New Roman" w:hAnsi="Times New Roman" w:cs="Times New Roman"/>
          <w:sz w:val="24"/>
          <w:szCs w:val="24"/>
        </w:rPr>
        <w:t xml:space="preserve">exploratorio </w:t>
      </w:r>
      <w:r w:rsidR="001F3A96" w:rsidRPr="00865381">
        <w:rPr>
          <w:rFonts w:ascii="Times New Roman" w:hAnsi="Times New Roman" w:cs="Times New Roman"/>
          <w:sz w:val="24"/>
          <w:szCs w:val="24"/>
        </w:rPr>
        <w:t>basado en una estrategia comparativa</w:t>
      </w:r>
      <w:r w:rsidR="000227E0" w:rsidRPr="00865381">
        <w:rPr>
          <w:rFonts w:ascii="Times New Roman" w:hAnsi="Times New Roman" w:cs="Times New Roman"/>
          <w:sz w:val="24"/>
          <w:szCs w:val="24"/>
        </w:rPr>
        <w:t xml:space="preserve"> y descriptiva</w:t>
      </w:r>
      <w:r w:rsidR="001F3A96" w:rsidRPr="00865381">
        <w:rPr>
          <w:rFonts w:ascii="Times New Roman" w:hAnsi="Times New Roman" w:cs="Times New Roman"/>
          <w:sz w:val="24"/>
          <w:szCs w:val="24"/>
        </w:rPr>
        <w:t xml:space="preserve">, adecuada al reducido número de unidades de análisis (n=6). </w:t>
      </w:r>
      <w:r w:rsidRPr="00865381">
        <w:rPr>
          <w:rFonts w:ascii="Times New Roman" w:hAnsi="Times New Roman" w:cs="Times New Roman"/>
          <w:sz w:val="24"/>
          <w:szCs w:val="24"/>
        </w:rPr>
        <w:t xml:space="preserve">Complementándolo, para el caso de las </w:t>
      </w:r>
      <w:r w:rsidR="001F3A96" w:rsidRPr="00865381">
        <w:rPr>
          <w:rFonts w:ascii="Times New Roman" w:hAnsi="Times New Roman" w:cs="Times New Roman"/>
          <w:sz w:val="24"/>
          <w:szCs w:val="24"/>
        </w:rPr>
        <w:t xml:space="preserve">variables continuas </w:t>
      </w:r>
      <w:r w:rsidRPr="00865381">
        <w:rPr>
          <w:rFonts w:ascii="Times New Roman" w:hAnsi="Times New Roman" w:cs="Times New Roman"/>
          <w:sz w:val="24"/>
          <w:szCs w:val="24"/>
        </w:rPr>
        <w:t xml:space="preserve">con </w:t>
      </w:r>
      <w:r w:rsidR="004B0BE0" w:rsidRPr="00865381">
        <w:rPr>
          <w:rFonts w:ascii="Times New Roman" w:hAnsi="Times New Roman" w:cs="Times New Roman"/>
          <w:sz w:val="24"/>
          <w:szCs w:val="24"/>
        </w:rPr>
        <w:t>estudios</w:t>
      </w:r>
      <w:r w:rsidRPr="00865381">
        <w:rPr>
          <w:rFonts w:ascii="Times New Roman" w:hAnsi="Times New Roman" w:cs="Times New Roman"/>
          <w:sz w:val="24"/>
          <w:szCs w:val="24"/>
        </w:rPr>
        <w:t xml:space="preserve"> no paramétricos. </w:t>
      </w:r>
      <w:r w:rsidR="004B0BE0" w:rsidRPr="00865381">
        <w:rPr>
          <w:rFonts w:ascii="Times New Roman" w:hAnsi="Times New Roman" w:cs="Times New Roman"/>
          <w:sz w:val="24"/>
          <w:szCs w:val="24"/>
        </w:rPr>
        <w:t>Para ello, s</w:t>
      </w:r>
      <w:r w:rsidR="001F3A96" w:rsidRPr="00865381">
        <w:rPr>
          <w:rFonts w:ascii="Times New Roman" w:hAnsi="Times New Roman" w:cs="Times New Roman"/>
          <w:sz w:val="24"/>
          <w:szCs w:val="24"/>
        </w:rPr>
        <w:t xml:space="preserve">e calcularon </w:t>
      </w:r>
      <w:r w:rsidR="001F3A96" w:rsidRPr="00865381">
        <w:rPr>
          <w:rFonts w:ascii="Times New Roman" w:hAnsi="Times New Roman" w:cs="Times New Roman"/>
          <w:bCs/>
          <w:sz w:val="24"/>
          <w:szCs w:val="24"/>
        </w:rPr>
        <w:t>correlaciones de Spearman</w:t>
      </w:r>
      <w:r w:rsidR="001F3A96" w:rsidRPr="00865381">
        <w:rPr>
          <w:rFonts w:ascii="Times New Roman" w:hAnsi="Times New Roman" w:cs="Times New Roman"/>
          <w:sz w:val="24"/>
          <w:szCs w:val="24"/>
        </w:rPr>
        <w:t xml:space="preserve">, con el objetivo de identificar posibles asociaciones entre el índice de divulgación y los factores seleccionados. </w:t>
      </w:r>
    </w:p>
    <w:p w14:paraId="6C20A3FE" w14:textId="6AB58BAF" w:rsidR="00EF5B33" w:rsidRPr="00865381" w:rsidRDefault="001F3A96" w:rsidP="001F3A96">
      <w:pPr>
        <w:spacing w:line="360" w:lineRule="auto"/>
        <w:jc w:val="both"/>
        <w:rPr>
          <w:rFonts w:ascii="Times New Roman" w:hAnsi="Times New Roman" w:cs="Times New Roman"/>
          <w:sz w:val="24"/>
          <w:szCs w:val="24"/>
        </w:rPr>
      </w:pPr>
      <w:r w:rsidRPr="00865381">
        <w:rPr>
          <w:rFonts w:ascii="Times New Roman" w:hAnsi="Times New Roman" w:cs="Times New Roman"/>
          <w:sz w:val="24"/>
          <w:szCs w:val="24"/>
        </w:rPr>
        <w:t>Si bien el número reducido de casos impide realizar inferencias estadísticas generalizables, es</w:t>
      </w:r>
      <w:r w:rsidR="00E756B4">
        <w:rPr>
          <w:rFonts w:ascii="Times New Roman" w:hAnsi="Times New Roman" w:cs="Times New Roman"/>
          <w:sz w:val="24"/>
          <w:szCs w:val="24"/>
        </w:rPr>
        <w:t>te abordaje exploratorio permitirá</w:t>
      </w:r>
      <w:r w:rsidRPr="00865381">
        <w:rPr>
          <w:rFonts w:ascii="Times New Roman" w:hAnsi="Times New Roman" w:cs="Times New Roman"/>
          <w:sz w:val="24"/>
          <w:szCs w:val="24"/>
        </w:rPr>
        <w:t xml:space="preserve"> detectar regularidades y orientar futuras investigaciones sobre los determinantes institucionales de las políticas de divulgaci</w:t>
      </w:r>
      <w:r w:rsidR="004B4E3D">
        <w:rPr>
          <w:rFonts w:ascii="Times New Roman" w:hAnsi="Times New Roman" w:cs="Times New Roman"/>
          <w:sz w:val="24"/>
          <w:szCs w:val="24"/>
        </w:rPr>
        <w:t>ón del CR</w:t>
      </w:r>
      <w:r w:rsidRPr="00865381">
        <w:rPr>
          <w:rFonts w:ascii="Times New Roman" w:hAnsi="Times New Roman" w:cs="Times New Roman"/>
          <w:sz w:val="24"/>
          <w:szCs w:val="24"/>
        </w:rPr>
        <w:t>.</w:t>
      </w:r>
    </w:p>
    <w:p w14:paraId="3B403498" w14:textId="77777777" w:rsidR="001F3A96" w:rsidRPr="00865381" w:rsidRDefault="00B035E0" w:rsidP="001F3A96">
      <w:pPr>
        <w:spacing w:line="360" w:lineRule="auto"/>
        <w:jc w:val="both"/>
        <w:rPr>
          <w:rFonts w:ascii="Times New Roman" w:eastAsia="Times New Roman" w:hAnsi="Times New Roman" w:cs="Times New Roman"/>
          <w:b/>
          <w:bCs/>
          <w:sz w:val="24"/>
          <w:szCs w:val="24"/>
          <w:lang w:eastAsia="es-AR"/>
        </w:rPr>
      </w:pPr>
      <w:r w:rsidRPr="00865381">
        <w:rPr>
          <w:rFonts w:ascii="Times New Roman" w:eastAsia="Times New Roman" w:hAnsi="Times New Roman" w:cs="Times New Roman"/>
          <w:b/>
          <w:bCs/>
          <w:sz w:val="24"/>
          <w:szCs w:val="24"/>
          <w:lang w:eastAsia="es-AR"/>
        </w:rPr>
        <w:t xml:space="preserve">Cuadro 4: </w:t>
      </w:r>
      <w:r w:rsidR="004B0BE0" w:rsidRPr="00865381">
        <w:rPr>
          <w:rFonts w:ascii="Times New Roman" w:eastAsia="Times New Roman" w:hAnsi="Times New Roman" w:cs="Times New Roman"/>
          <w:b/>
          <w:bCs/>
          <w:sz w:val="24"/>
          <w:szCs w:val="24"/>
          <w:lang w:eastAsia="es-AR"/>
        </w:rPr>
        <w:t>Valores de las variables</w:t>
      </w:r>
    </w:p>
    <w:tbl>
      <w:tblPr>
        <w:tblStyle w:val="Tablanormal51"/>
        <w:tblW w:w="0" w:type="auto"/>
        <w:tblLayout w:type="fixed"/>
        <w:tblLook w:val="04A0" w:firstRow="1" w:lastRow="0" w:firstColumn="1" w:lastColumn="0" w:noHBand="0" w:noVBand="1"/>
      </w:tblPr>
      <w:tblGrid>
        <w:gridCol w:w="945"/>
        <w:gridCol w:w="1295"/>
        <w:gridCol w:w="1296"/>
        <w:gridCol w:w="1296"/>
        <w:gridCol w:w="1296"/>
        <w:gridCol w:w="1296"/>
        <w:gridCol w:w="1296"/>
      </w:tblGrid>
      <w:tr w:rsidR="00BC7C01" w:rsidRPr="005F5161" w14:paraId="33158C39" w14:textId="77777777" w:rsidTr="003B4164">
        <w:trPr>
          <w:cnfStyle w:val="100000000000" w:firstRow="1" w:lastRow="0" w:firstColumn="0" w:lastColumn="0" w:oddVBand="0" w:evenVBand="0" w:oddHBand="0" w:evenHBand="0" w:firstRowFirstColumn="0" w:firstRowLastColumn="0" w:lastRowFirstColumn="0" w:lastRowLastColumn="0"/>
          <w:trHeight w:val="285"/>
        </w:trPr>
        <w:tc>
          <w:tcPr>
            <w:cnfStyle w:val="001000000100" w:firstRow="0" w:lastRow="0" w:firstColumn="1" w:lastColumn="0" w:oddVBand="0" w:evenVBand="0" w:oddHBand="0" w:evenHBand="0" w:firstRowFirstColumn="1" w:firstRowLastColumn="0" w:lastRowFirstColumn="0" w:lastRowLastColumn="0"/>
            <w:tcW w:w="945" w:type="dxa"/>
            <w:noWrap/>
            <w:vAlign w:val="center"/>
            <w:hideMark/>
          </w:tcPr>
          <w:p w14:paraId="292E85A9" w14:textId="77777777" w:rsidR="00BC7C01" w:rsidRPr="005F5161" w:rsidRDefault="00BC7C01" w:rsidP="003B4164">
            <w:pPr>
              <w:spacing w:line="276" w:lineRule="auto"/>
              <w:jc w:val="center"/>
              <w:rPr>
                <w:rFonts w:ascii="Times New Roman" w:hAnsi="Times New Roman" w:cs="Times New Roman"/>
                <w:b/>
                <w:bCs/>
                <w:sz w:val="20"/>
                <w:szCs w:val="20"/>
              </w:rPr>
            </w:pPr>
            <w:r w:rsidRPr="005F5161">
              <w:rPr>
                <w:rFonts w:ascii="Times New Roman" w:eastAsia="Times New Roman" w:hAnsi="Times New Roman" w:cs="Times New Roman"/>
                <w:b/>
                <w:color w:val="000000"/>
                <w:sz w:val="20"/>
                <w:szCs w:val="20"/>
                <w:lang w:eastAsia="es-ES"/>
              </w:rPr>
              <w:lastRenderedPageBreak/>
              <w:t>Región</w:t>
            </w:r>
          </w:p>
        </w:tc>
        <w:tc>
          <w:tcPr>
            <w:tcW w:w="1295" w:type="dxa"/>
            <w:noWrap/>
            <w:vAlign w:val="center"/>
            <w:hideMark/>
          </w:tcPr>
          <w:p w14:paraId="78CA6115" w14:textId="77777777" w:rsidR="00BC7C01" w:rsidRPr="005F5161" w:rsidRDefault="00BC7C01" w:rsidP="003B4164">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5F5161">
              <w:rPr>
                <w:rFonts w:ascii="Times New Roman" w:hAnsi="Times New Roman" w:cs="Times New Roman"/>
                <w:b/>
                <w:bCs/>
                <w:sz w:val="20"/>
                <w:szCs w:val="20"/>
              </w:rPr>
              <w:t>UUNN</w:t>
            </w:r>
          </w:p>
        </w:tc>
        <w:tc>
          <w:tcPr>
            <w:tcW w:w="1296" w:type="dxa"/>
            <w:noWrap/>
            <w:vAlign w:val="center"/>
            <w:hideMark/>
          </w:tcPr>
          <w:p w14:paraId="06FB67C8" w14:textId="77777777" w:rsidR="00BC7C01" w:rsidRPr="005F5161" w:rsidRDefault="00BC7C01" w:rsidP="003B4164">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5F5161">
              <w:rPr>
                <w:rFonts w:ascii="Times New Roman" w:hAnsi="Times New Roman" w:cs="Times New Roman"/>
                <w:b/>
                <w:bCs/>
                <w:sz w:val="20"/>
                <w:szCs w:val="20"/>
              </w:rPr>
              <w:t>IDCRT</w:t>
            </w:r>
          </w:p>
        </w:tc>
        <w:tc>
          <w:tcPr>
            <w:tcW w:w="1296" w:type="dxa"/>
            <w:noWrap/>
            <w:vAlign w:val="center"/>
            <w:hideMark/>
          </w:tcPr>
          <w:p w14:paraId="75C90E96" w14:textId="77777777" w:rsidR="00EF5B33" w:rsidRPr="005F5161" w:rsidRDefault="00BC7C01" w:rsidP="003B4164">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14"/>
                <w:szCs w:val="20"/>
              </w:rPr>
            </w:pPr>
            <w:r w:rsidRPr="005F5161">
              <w:rPr>
                <w:rFonts w:ascii="Times New Roman" w:hAnsi="Times New Roman" w:cs="Times New Roman"/>
                <w:b/>
                <w:bCs/>
                <w:sz w:val="14"/>
                <w:szCs w:val="20"/>
              </w:rPr>
              <w:t>TAMAÑO</w:t>
            </w:r>
          </w:p>
          <w:p w14:paraId="3D4193C4" w14:textId="77777777" w:rsidR="00BC7C01" w:rsidRPr="005F5161" w:rsidRDefault="00BC7C01" w:rsidP="003B4164">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14"/>
                <w:szCs w:val="20"/>
              </w:rPr>
            </w:pPr>
            <w:r w:rsidRPr="005F5161">
              <w:rPr>
                <w:rFonts w:ascii="Times New Roman" w:hAnsi="Times New Roman" w:cs="Times New Roman"/>
                <w:b/>
                <w:bCs/>
                <w:sz w:val="14"/>
                <w:szCs w:val="20"/>
              </w:rPr>
              <w:t>(LN)</w:t>
            </w:r>
          </w:p>
        </w:tc>
        <w:tc>
          <w:tcPr>
            <w:tcW w:w="1296" w:type="dxa"/>
            <w:noWrap/>
            <w:vAlign w:val="center"/>
            <w:hideMark/>
          </w:tcPr>
          <w:p w14:paraId="17CEA909" w14:textId="77777777" w:rsidR="00BC7C01" w:rsidRPr="005F5161" w:rsidRDefault="009A14FD" w:rsidP="003B4164">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14"/>
                <w:szCs w:val="20"/>
              </w:rPr>
            </w:pPr>
            <w:r w:rsidRPr="005F5161">
              <w:rPr>
                <w:rFonts w:ascii="Times New Roman" w:hAnsi="Times New Roman" w:cs="Times New Roman"/>
                <w:b/>
                <w:bCs/>
                <w:sz w:val="14"/>
                <w:szCs w:val="20"/>
              </w:rPr>
              <w:t>CAP</w:t>
            </w:r>
            <w:r w:rsidR="00BC7C01" w:rsidRPr="005F5161">
              <w:rPr>
                <w:rFonts w:ascii="Times New Roman" w:hAnsi="Times New Roman" w:cs="Times New Roman"/>
                <w:b/>
                <w:bCs/>
                <w:sz w:val="14"/>
                <w:szCs w:val="20"/>
              </w:rPr>
              <w:t xml:space="preserve"> INV</w:t>
            </w:r>
          </w:p>
        </w:tc>
        <w:tc>
          <w:tcPr>
            <w:tcW w:w="1296" w:type="dxa"/>
            <w:noWrap/>
            <w:vAlign w:val="center"/>
            <w:hideMark/>
          </w:tcPr>
          <w:p w14:paraId="6E378825" w14:textId="77777777" w:rsidR="00BC7C01" w:rsidRPr="005F5161" w:rsidRDefault="00BC7C01" w:rsidP="003B4164">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14"/>
                <w:szCs w:val="20"/>
              </w:rPr>
            </w:pPr>
            <w:r w:rsidRPr="005F5161">
              <w:rPr>
                <w:rFonts w:ascii="Times New Roman" w:hAnsi="Times New Roman" w:cs="Times New Roman"/>
                <w:b/>
                <w:bCs/>
                <w:sz w:val="14"/>
                <w:szCs w:val="20"/>
              </w:rPr>
              <w:t>GENERO</w:t>
            </w:r>
          </w:p>
        </w:tc>
        <w:tc>
          <w:tcPr>
            <w:tcW w:w="1296" w:type="dxa"/>
            <w:noWrap/>
            <w:vAlign w:val="center"/>
            <w:hideMark/>
          </w:tcPr>
          <w:p w14:paraId="636EF763" w14:textId="77777777" w:rsidR="00BC7C01" w:rsidRPr="005F5161" w:rsidRDefault="00BC7C01" w:rsidP="003B4164">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14"/>
                <w:szCs w:val="20"/>
              </w:rPr>
            </w:pPr>
            <w:r w:rsidRPr="005F5161">
              <w:rPr>
                <w:rFonts w:ascii="Times New Roman" w:hAnsi="Times New Roman" w:cs="Times New Roman"/>
                <w:b/>
                <w:bCs/>
                <w:sz w:val="14"/>
                <w:szCs w:val="20"/>
              </w:rPr>
              <w:t>COMP</w:t>
            </w:r>
            <w:r w:rsidR="00EF5B33" w:rsidRPr="005F5161">
              <w:rPr>
                <w:rFonts w:ascii="Times New Roman" w:hAnsi="Times New Roman" w:cs="Times New Roman"/>
                <w:b/>
                <w:bCs/>
                <w:sz w:val="14"/>
                <w:szCs w:val="20"/>
              </w:rPr>
              <w:t>LE</w:t>
            </w:r>
            <w:r w:rsidRPr="005F5161">
              <w:rPr>
                <w:rFonts w:ascii="Times New Roman" w:hAnsi="Times New Roman" w:cs="Times New Roman"/>
                <w:b/>
                <w:bCs/>
                <w:sz w:val="14"/>
                <w:szCs w:val="20"/>
              </w:rPr>
              <w:t>J</w:t>
            </w:r>
          </w:p>
        </w:tc>
      </w:tr>
      <w:tr w:rsidR="00BC7C01" w:rsidRPr="005F5161" w14:paraId="29636A04" w14:textId="77777777" w:rsidTr="003B4164">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945" w:type="dxa"/>
            <w:vMerge w:val="restart"/>
            <w:textDirection w:val="btLr"/>
            <w:vAlign w:val="center"/>
            <w:hideMark/>
          </w:tcPr>
          <w:p w14:paraId="5CB138D4" w14:textId="77777777" w:rsidR="00BC7C01" w:rsidRPr="005F5161" w:rsidRDefault="00BC7C01" w:rsidP="003B4164">
            <w:pPr>
              <w:spacing w:line="360" w:lineRule="auto"/>
              <w:jc w:val="center"/>
              <w:rPr>
                <w:rFonts w:ascii="Times New Roman" w:hAnsi="Times New Roman" w:cs="Times New Roman"/>
                <w:b/>
                <w:bCs/>
                <w:sz w:val="20"/>
                <w:szCs w:val="20"/>
              </w:rPr>
            </w:pPr>
            <w:r w:rsidRPr="005F5161">
              <w:rPr>
                <w:rFonts w:ascii="Times New Roman" w:hAnsi="Times New Roman" w:cs="Times New Roman"/>
                <w:b/>
                <w:bCs/>
                <w:sz w:val="20"/>
                <w:szCs w:val="20"/>
              </w:rPr>
              <w:t>BONAERENSE</w:t>
            </w:r>
          </w:p>
        </w:tc>
        <w:tc>
          <w:tcPr>
            <w:tcW w:w="1295" w:type="dxa"/>
            <w:noWrap/>
            <w:vAlign w:val="center"/>
            <w:hideMark/>
          </w:tcPr>
          <w:p w14:paraId="15DDF9DB" w14:textId="77777777" w:rsidR="00BC7C01" w:rsidRPr="005F5161" w:rsidRDefault="00BC7C01" w:rsidP="003B416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5F5161">
              <w:rPr>
                <w:rFonts w:ascii="Times New Roman" w:hAnsi="Times New Roman" w:cs="Times New Roman"/>
                <w:b/>
                <w:bCs/>
                <w:sz w:val="20"/>
                <w:szCs w:val="20"/>
              </w:rPr>
              <w:t>UNLP</w:t>
            </w:r>
          </w:p>
        </w:tc>
        <w:tc>
          <w:tcPr>
            <w:tcW w:w="1296" w:type="dxa"/>
            <w:noWrap/>
            <w:vAlign w:val="center"/>
            <w:hideMark/>
          </w:tcPr>
          <w:p w14:paraId="7FC6FC0E" w14:textId="77777777" w:rsidR="00BC7C01" w:rsidRPr="005F5161" w:rsidRDefault="00BC7C01" w:rsidP="003B416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F5161">
              <w:rPr>
                <w:rFonts w:ascii="Times New Roman" w:hAnsi="Times New Roman" w:cs="Times New Roman"/>
                <w:sz w:val="20"/>
                <w:szCs w:val="20"/>
              </w:rPr>
              <w:t>0,81</w:t>
            </w:r>
          </w:p>
        </w:tc>
        <w:tc>
          <w:tcPr>
            <w:tcW w:w="1296" w:type="dxa"/>
            <w:noWrap/>
            <w:vAlign w:val="center"/>
            <w:hideMark/>
          </w:tcPr>
          <w:p w14:paraId="0FC09974" w14:textId="77777777" w:rsidR="00BC7C01" w:rsidRPr="005F5161" w:rsidRDefault="00BC7C01" w:rsidP="003B416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F5161">
              <w:rPr>
                <w:rFonts w:ascii="Times New Roman" w:hAnsi="Times New Roman" w:cs="Times New Roman"/>
                <w:sz w:val="20"/>
                <w:szCs w:val="20"/>
              </w:rPr>
              <w:t>11,66</w:t>
            </w:r>
          </w:p>
        </w:tc>
        <w:tc>
          <w:tcPr>
            <w:tcW w:w="1296" w:type="dxa"/>
            <w:noWrap/>
            <w:vAlign w:val="center"/>
            <w:hideMark/>
          </w:tcPr>
          <w:p w14:paraId="6ACBAE10" w14:textId="77777777" w:rsidR="00BC7C01" w:rsidRPr="005F5161" w:rsidRDefault="00BC7C01" w:rsidP="003B416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F5161">
              <w:rPr>
                <w:rFonts w:ascii="Times New Roman" w:hAnsi="Times New Roman" w:cs="Times New Roman"/>
                <w:sz w:val="20"/>
                <w:szCs w:val="20"/>
              </w:rPr>
              <w:t>0,14</w:t>
            </w:r>
          </w:p>
        </w:tc>
        <w:tc>
          <w:tcPr>
            <w:tcW w:w="1296" w:type="dxa"/>
            <w:noWrap/>
            <w:vAlign w:val="center"/>
            <w:hideMark/>
          </w:tcPr>
          <w:p w14:paraId="22E17B20" w14:textId="77777777" w:rsidR="00BC7C01" w:rsidRPr="005F5161" w:rsidRDefault="00BC7C01" w:rsidP="003B416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F5161">
              <w:rPr>
                <w:rFonts w:ascii="Times New Roman" w:hAnsi="Times New Roman" w:cs="Times New Roman"/>
                <w:sz w:val="20"/>
                <w:szCs w:val="20"/>
              </w:rPr>
              <w:t>0</w:t>
            </w:r>
          </w:p>
        </w:tc>
        <w:tc>
          <w:tcPr>
            <w:tcW w:w="1296" w:type="dxa"/>
            <w:noWrap/>
            <w:vAlign w:val="center"/>
            <w:hideMark/>
          </w:tcPr>
          <w:p w14:paraId="3F3D2FE6" w14:textId="77777777" w:rsidR="00BC7C01" w:rsidRPr="005F5161" w:rsidRDefault="00BC7C01" w:rsidP="003B416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F5161">
              <w:rPr>
                <w:rFonts w:ascii="Times New Roman" w:hAnsi="Times New Roman" w:cs="Times New Roman"/>
                <w:sz w:val="20"/>
                <w:szCs w:val="20"/>
              </w:rPr>
              <w:t>408</w:t>
            </w:r>
          </w:p>
        </w:tc>
      </w:tr>
      <w:tr w:rsidR="00BC7C01" w:rsidRPr="005F5161" w14:paraId="179672C9" w14:textId="77777777" w:rsidTr="003B4164">
        <w:trPr>
          <w:trHeight w:val="285"/>
        </w:trPr>
        <w:tc>
          <w:tcPr>
            <w:cnfStyle w:val="001000000000" w:firstRow="0" w:lastRow="0" w:firstColumn="1" w:lastColumn="0" w:oddVBand="0" w:evenVBand="0" w:oddHBand="0" w:evenHBand="0" w:firstRowFirstColumn="0" w:firstRowLastColumn="0" w:lastRowFirstColumn="0" w:lastRowLastColumn="0"/>
            <w:tcW w:w="945" w:type="dxa"/>
            <w:vMerge/>
            <w:vAlign w:val="center"/>
            <w:hideMark/>
          </w:tcPr>
          <w:p w14:paraId="65E6DEA9" w14:textId="77777777" w:rsidR="00BC7C01" w:rsidRPr="005F5161" w:rsidRDefault="00BC7C01" w:rsidP="003B4164">
            <w:pPr>
              <w:spacing w:line="360" w:lineRule="auto"/>
              <w:jc w:val="center"/>
              <w:rPr>
                <w:rFonts w:ascii="Times New Roman" w:hAnsi="Times New Roman" w:cs="Times New Roman"/>
                <w:b/>
                <w:bCs/>
                <w:sz w:val="20"/>
                <w:szCs w:val="20"/>
              </w:rPr>
            </w:pPr>
          </w:p>
        </w:tc>
        <w:tc>
          <w:tcPr>
            <w:tcW w:w="1295" w:type="dxa"/>
            <w:noWrap/>
            <w:vAlign w:val="center"/>
            <w:hideMark/>
          </w:tcPr>
          <w:p w14:paraId="64F8F6F9" w14:textId="77777777" w:rsidR="00BC7C01" w:rsidRPr="005F5161" w:rsidRDefault="00BC7C01" w:rsidP="003B416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5F5161">
              <w:rPr>
                <w:rFonts w:ascii="Times New Roman" w:hAnsi="Times New Roman" w:cs="Times New Roman"/>
                <w:b/>
                <w:bCs/>
                <w:sz w:val="20"/>
                <w:szCs w:val="20"/>
              </w:rPr>
              <w:t>UNMdP</w:t>
            </w:r>
          </w:p>
        </w:tc>
        <w:tc>
          <w:tcPr>
            <w:tcW w:w="1296" w:type="dxa"/>
            <w:noWrap/>
            <w:vAlign w:val="center"/>
            <w:hideMark/>
          </w:tcPr>
          <w:p w14:paraId="3E2798C8" w14:textId="77777777" w:rsidR="00BC7C01" w:rsidRPr="005F5161" w:rsidRDefault="00BC7C01" w:rsidP="003B416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F5161">
              <w:rPr>
                <w:rFonts w:ascii="Times New Roman" w:hAnsi="Times New Roman" w:cs="Times New Roman"/>
                <w:sz w:val="20"/>
                <w:szCs w:val="20"/>
              </w:rPr>
              <w:t>0,88</w:t>
            </w:r>
          </w:p>
        </w:tc>
        <w:tc>
          <w:tcPr>
            <w:tcW w:w="1296" w:type="dxa"/>
            <w:noWrap/>
            <w:vAlign w:val="center"/>
            <w:hideMark/>
          </w:tcPr>
          <w:p w14:paraId="101D00D5" w14:textId="77777777" w:rsidR="00BC7C01" w:rsidRPr="005F5161" w:rsidRDefault="00BC7C01" w:rsidP="003B416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F5161">
              <w:rPr>
                <w:rFonts w:ascii="Times New Roman" w:hAnsi="Times New Roman" w:cs="Times New Roman"/>
                <w:sz w:val="20"/>
                <w:szCs w:val="20"/>
              </w:rPr>
              <w:t>10,66</w:t>
            </w:r>
          </w:p>
        </w:tc>
        <w:tc>
          <w:tcPr>
            <w:tcW w:w="1296" w:type="dxa"/>
            <w:noWrap/>
            <w:vAlign w:val="center"/>
            <w:hideMark/>
          </w:tcPr>
          <w:p w14:paraId="43B5AC7E" w14:textId="77777777" w:rsidR="00BC7C01" w:rsidRPr="005F5161" w:rsidRDefault="00BC7C01" w:rsidP="003B416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F5161">
              <w:rPr>
                <w:rFonts w:ascii="Times New Roman" w:hAnsi="Times New Roman" w:cs="Times New Roman"/>
                <w:sz w:val="20"/>
                <w:szCs w:val="20"/>
              </w:rPr>
              <w:t>0,13</w:t>
            </w:r>
          </w:p>
        </w:tc>
        <w:tc>
          <w:tcPr>
            <w:tcW w:w="1296" w:type="dxa"/>
            <w:noWrap/>
            <w:vAlign w:val="center"/>
            <w:hideMark/>
          </w:tcPr>
          <w:p w14:paraId="2BA731B2" w14:textId="77777777" w:rsidR="00BC7C01" w:rsidRPr="005F5161" w:rsidRDefault="00BC7C01" w:rsidP="003B416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F5161">
              <w:rPr>
                <w:rFonts w:ascii="Times New Roman" w:hAnsi="Times New Roman" w:cs="Times New Roman"/>
                <w:sz w:val="20"/>
                <w:szCs w:val="20"/>
              </w:rPr>
              <w:t>0</w:t>
            </w:r>
          </w:p>
        </w:tc>
        <w:tc>
          <w:tcPr>
            <w:tcW w:w="1296" w:type="dxa"/>
            <w:noWrap/>
            <w:vAlign w:val="center"/>
            <w:hideMark/>
          </w:tcPr>
          <w:p w14:paraId="482A3DEC" w14:textId="77777777" w:rsidR="00BC7C01" w:rsidRPr="005F5161" w:rsidRDefault="00BC7C01" w:rsidP="003B416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F5161">
              <w:rPr>
                <w:rFonts w:ascii="Times New Roman" w:hAnsi="Times New Roman" w:cs="Times New Roman"/>
                <w:sz w:val="20"/>
                <w:szCs w:val="20"/>
              </w:rPr>
              <w:t>68</w:t>
            </w:r>
          </w:p>
        </w:tc>
      </w:tr>
      <w:tr w:rsidR="00BC7C01" w:rsidRPr="00780C5B" w14:paraId="1844F008" w14:textId="77777777" w:rsidTr="003B4164">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945" w:type="dxa"/>
            <w:vMerge/>
            <w:vAlign w:val="center"/>
            <w:hideMark/>
          </w:tcPr>
          <w:p w14:paraId="01BE39A7" w14:textId="77777777" w:rsidR="00BC7C01" w:rsidRPr="005F5161" w:rsidRDefault="00BC7C01" w:rsidP="003B4164">
            <w:pPr>
              <w:spacing w:line="360" w:lineRule="auto"/>
              <w:jc w:val="center"/>
              <w:rPr>
                <w:rFonts w:ascii="Times New Roman" w:hAnsi="Times New Roman" w:cs="Times New Roman"/>
                <w:b/>
                <w:bCs/>
                <w:sz w:val="20"/>
                <w:szCs w:val="20"/>
              </w:rPr>
            </w:pPr>
          </w:p>
        </w:tc>
        <w:tc>
          <w:tcPr>
            <w:tcW w:w="1295" w:type="dxa"/>
            <w:noWrap/>
            <w:vAlign w:val="center"/>
            <w:hideMark/>
          </w:tcPr>
          <w:p w14:paraId="79B66AB8" w14:textId="77777777" w:rsidR="00BC7C01" w:rsidRPr="005F5161" w:rsidRDefault="00BC7C01" w:rsidP="003B416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5F5161">
              <w:rPr>
                <w:rFonts w:ascii="Times New Roman" w:hAnsi="Times New Roman" w:cs="Times New Roman"/>
                <w:b/>
                <w:bCs/>
                <w:sz w:val="20"/>
                <w:szCs w:val="20"/>
              </w:rPr>
              <w:t>UNSAdA</w:t>
            </w:r>
          </w:p>
        </w:tc>
        <w:tc>
          <w:tcPr>
            <w:tcW w:w="1296" w:type="dxa"/>
            <w:noWrap/>
            <w:vAlign w:val="center"/>
            <w:hideMark/>
          </w:tcPr>
          <w:p w14:paraId="662917BE" w14:textId="77777777" w:rsidR="00BC7C01" w:rsidRPr="00780C5B" w:rsidRDefault="00BC7C01" w:rsidP="003B416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80C5B">
              <w:rPr>
                <w:rFonts w:ascii="Times New Roman" w:hAnsi="Times New Roman" w:cs="Times New Roman"/>
                <w:sz w:val="20"/>
                <w:szCs w:val="20"/>
              </w:rPr>
              <w:t>0,63</w:t>
            </w:r>
          </w:p>
        </w:tc>
        <w:tc>
          <w:tcPr>
            <w:tcW w:w="1296" w:type="dxa"/>
            <w:noWrap/>
            <w:vAlign w:val="center"/>
            <w:hideMark/>
          </w:tcPr>
          <w:p w14:paraId="5180D161" w14:textId="77777777" w:rsidR="00BC7C01" w:rsidRPr="00780C5B" w:rsidRDefault="00BC7C01" w:rsidP="003B416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80C5B">
              <w:rPr>
                <w:rFonts w:ascii="Times New Roman" w:hAnsi="Times New Roman" w:cs="Times New Roman"/>
                <w:sz w:val="20"/>
                <w:szCs w:val="20"/>
              </w:rPr>
              <w:t>7,06</w:t>
            </w:r>
          </w:p>
        </w:tc>
        <w:tc>
          <w:tcPr>
            <w:tcW w:w="1296" w:type="dxa"/>
            <w:noWrap/>
            <w:vAlign w:val="center"/>
            <w:hideMark/>
          </w:tcPr>
          <w:p w14:paraId="55ED4BA8" w14:textId="77777777" w:rsidR="00BC7C01" w:rsidRPr="00780C5B" w:rsidRDefault="00BC7C01" w:rsidP="003B416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80C5B">
              <w:rPr>
                <w:rFonts w:ascii="Times New Roman" w:hAnsi="Times New Roman" w:cs="Times New Roman"/>
                <w:sz w:val="20"/>
                <w:szCs w:val="20"/>
              </w:rPr>
              <w:t>0,06</w:t>
            </w:r>
          </w:p>
        </w:tc>
        <w:tc>
          <w:tcPr>
            <w:tcW w:w="1296" w:type="dxa"/>
            <w:noWrap/>
            <w:vAlign w:val="center"/>
            <w:hideMark/>
          </w:tcPr>
          <w:p w14:paraId="0B7C4892" w14:textId="77777777" w:rsidR="00BC7C01" w:rsidRPr="00780C5B" w:rsidRDefault="00BC7C01" w:rsidP="003B416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80C5B">
              <w:rPr>
                <w:rFonts w:ascii="Times New Roman" w:hAnsi="Times New Roman" w:cs="Times New Roman"/>
                <w:sz w:val="20"/>
                <w:szCs w:val="20"/>
              </w:rPr>
              <w:t>0</w:t>
            </w:r>
          </w:p>
        </w:tc>
        <w:tc>
          <w:tcPr>
            <w:tcW w:w="1296" w:type="dxa"/>
            <w:noWrap/>
            <w:vAlign w:val="center"/>
            <w:hideMark/>
          </w:tcPr>
          <w:p w14:paraId="39F8C907" w14:textId="77777777" w:rsidR="00BC7C01" w:rsidRPr="00780C5B" w:rsidRDefault="00BC7C01" w:rsidP="003B416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80C5B">
              <w:rPr>
                <w:rFonts w:ascii="Times New Roman" w:hAnsi="Times New Roman" w:cs="Times New Roman"/>
                <w:sz w:val="20"/>
                <w:szCs w:val="20"/>
              </w:rPr>
              <w:t>21</w:t>
            </w:r>
          </w:p>
        </w:tc>
      </w:tr>
      <w:tr w:rsidR="00BC7C01" w:rsidRPr="00780C5B" w14:paraId="661352C5" w14:textId="77777777" w:rsidTr="003B4164">
        <w:trPr>
          <w:trHeight w:val="285"/>
        </w:trPr>
        <w:tc>
          <w:tcPr>
            <w:cnfStyle w:val="001000000000" w:firstRow="0" w:lastRow="0" w:firstColumn="1" w:lastColumn="0" w:oddVBand="0" w:evenVBand="0" w:oddHBand="0" w:evenHBand="0" w:firstRowFirstColumn="0" w:firstRowLastColumn="0" w:lastRowFirstColumn="0" w:lastRowLastColumn="0"/>
            <w:tcW w:w="945" w:type="dxa"/>
            <w:vMerge/>
            <w:vAlign w:val="center"/>
            <w:hideMark/>
          </w:tcPr>
          <w:p w14:paraId="27B91842" w14:textId="77777777" w:rsidR="00BC7C01" w:rsidRPr="005F5161" w:rsidRDefault="00BC7C01" w:rsidP="003B4164">
            <w:pPr>
              <w:spacing w:line="360" w:lineRule="auto"/>
              <w:jc w:val="center"/>
              <w:rPr>
                <w:rFonts w:ascii="Times New Roman" w:hAnsi="Times New Roman" w:cs="Times New Roman"/>
                <w:b/>
                <w:bCs/>
                <w:sz w:val="20"/>
                <w:szCs w:val="20"/>
              </w:rPr>
            </w:pPr>
          </w:p>
        </w:tc>
        <w:tc>
          <w:tcPr>
            <w:tcW w:w="1295" w:type="dxa"/>
            <w:noWrap/>
            <w:vAlign w:val="center"/>
            <w:hideMark/>
          </w:tcPr>
          <w:p w14:paraId="02E45C0B" w14:textId="77777777" w:rsidR="00BC7C01" w:rsidRPr="005F5161" w:rsidRDefault="00BC7C01" w:rsidP="003B416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5F5161">
              <w:rPr>
                <w:rFonts w:ascii="Times New Roman" w:hAnsi="Times New Roman" w:cs="Times New Roman"/>
                <w:b/>
                <w:bCs/>
                <w:sz w:val="20"/>
                <w:szCs w:val="20"/>
              </w:rPr>
              <w:t>UNICEN</w:t>
            </w:r>
          </w:p>
        </w:tc>
        <w:tc>
          <w:tcPr>
            <w:tcW w:w="1296" w:type="dxa"/>
            <w:noWrap/>
            <w:vAlign w:val="center"/>
            <w:hideMark/>
          </w:tcPr>
          <w:p w14:paraId="0DABD117" w14:textId="77777777" w:rsidR="00BC7C01" w:rsidRPr="00780C5B" w:rsidRDefault="00BC7C01" w:rsidP="003B416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80C5B">
              <w:rPr>
                <w:rFonts w:ascii="Times New Roman" w:hAnsi="Times New Roman" w:cs="Times New Roman"/>
                <w:sz w:val="20"/>
                <w:szCs w:val="20"/>
              </w:rPr>
              <w:t>0,75</w:t>
            </w:r>
          </w:p>
        </w:tc>
        <w:tc>
          <w:tcPr>
            <w:tcW w:w="1296" w:type="dxa"/>
            <w:noWrap/>
            <w:vAlign w:val="center"/>
            <w:hideMark/>
          </w:tcPr>
          <w:p w14:paraId="13811097" w14:textId="77777777" w:rsidR="00BC7C01" w:rsidRPr="00780C5B" w:rsidRDefault="00BC7C01" w:rsidP="003B416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80C5B">
              <w:rPr>
                <w:rFonts w:ascii="Times New Roman" w:hAnsi="Times New Roman" w:cs="Times New Roman"/>
                <w:sz w:val="20"/>
                <w:szCs w:val="20"/>
              </w:rPr>
              <w:t>9,85</w:t>
            </w:r>
          </w:p>
        </w:tc>
        <w:tc>
          <w:tcPr>
            <w:tcW w:w="1296" w:type="dxa"/>
            <w:noWrap/>
            <w:vAlign w:val="center"/>
            <w:hideMark/>
          </w:tcPr>
          <w:p w14:paraId="596621EF" w14:textId="77777777" w:rsidR="00BC7C01" w:rsidRPr="00780C5B" w:rsidRDefault="00BC7C01" w:rsidP="003B416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80C5B">
              <w:rPr>
                <w:rFonts w:ascii="Times New Roman" w:hAnsi="Times New Roman" w:cs="Times New Roman"/>
                <w:sz w:val="20"/>
                <w:szCs w:val="20"/>
              </w:rPr>
              <w:t>0,17</w:t>
            </w:r>
          </w:p>
        </w:tc>
        <w:tc>
          <w:tcPr>
            <w:tcW w:w="1296" w:type="dxa"/>
            <w:noWrap/>
            <w:vAlign w:val="center"/>
            <w:hideMark/>
          </w:tcPr>
          <w:p w14:paraId="3E30A6B1" w14:textId="77777777" w:rsidR="00BC7C01" w:rsidRPr="00780C5B" w:rsidRDefault="00BC7C01" w:rsidP="003B416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80C5B">
              <w:rPr>
                <w:rFonts w:ascii="Times New Roman" w:hAnsi="Times New Roman" w:cs="Times New Roman"/>
                <w:sz w:val="20"/>
                <w:szCs w:val="20"/>
              </w:rPr>
              <w:t>0</w:t>
            </w:r>
          </w:p>
        </w:tc>
        <w:tc>
          <w:tcPr>
            <w:tcW w:w="1296" w:type="dxa"/>
            <w:noWrap/>
            <w:vAlign w:val="center"/>
            <w:hideMark/>
          </w:tcPr>
          <w:p w14:paraId="6B77981C" w14:textId="77777777" w:rsidR="00BC7C01" w:rsidRPr="00780C5B" w:rsidRDefault="00BC7C01" w:rsidP="003B416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80C5B">
              <w:rPr>
                <w:rFonts w:ascii="Times New Roman" w:hAnsi="Times New Roman" w:cs="Times New Roman"/>
                <w:sz w:val="20"/>
                <w:szCs w:val="20"/>
              </w:rPr>
              <w:t>84</w:t>
            </w:r>
          </w:p>
        </w:tc>
      </w:tr>
      <w:tr w:rsidR="00BC7C01" w:rsidRPr="00780C5B" w14:paraId="2312E87C" w14:textId="77777777" w:rsidTr="003B4164">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945" w:type="dxa"/>
            <w:vMerge/>
            <w:vAlign w:val="center"/>
            <w:hideMark/>
          </w:tcPr>
          <w:p w14:paraId="0E5B3F4A" w14:textId="77777777" w:rsidR="00BC7C01" w:rsidRPr="005F5161" w:rsidRDefault="00BC7C01" w:rsidP="003B4164">
            <w:pPr>
              <w:spacing w:line="360" w:lineRule="auto"/>
              <w:jc w:val="center"/>
              <w:rPr>
                <w:rFonts w:ascii="Times New Roman" w:hAnsi="Times New Roman" w:cs="Times New Roman"/>
                <w:b/>
                <w:bCs/>
                <w:sz w:val="20"/>
                <w:szCs w:val="20"/>
              </w:rPr>
            </w:pPr>
          </w:p>
        </w:tc>
        <w:tc>
          <w:tcPr>
            <w:tcW w:w="1295" w:type="dxa"/>
            <w:noWrap/>
            <w:vAlign w:val="center"/>
            <w:hideMark/>
          </w:tcPr>
          <w:p w14:paraId="5D97A6B0" w14:textId="77777777" w:rsidR="00BC7C01" w:rsidRPr="005F5161" w:rsidRDefault="00BC7C01" w:rsidP="003B416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5F5161">
              <w:rPr>
                <w:rFonts w:ascii="Times New Roman" w:hAnsi="Times New Roman" w:cs="Times New Roman"/>
                <w:b/>
                <w:bCs/>
                <w:sz w:val="20"/>
                <w:szCs w:val="20"/>
              </w:rPr>
              <w:t>UNS</w:t>
            </w:r>
          </w:p>
        </w:tc>
        <w:tc>
          <w:tcPr>
            <w:tcW w:w="1296" w:type="dxa"/>
            <w:noWrap/>
            <w:vAlign w:val="center"/>
            <w:hideMark/>
          </w:tcPr>
          <w:p w14:paraId="1DE29F9B" w14:textId="77777777" w:rsidR="00BC7C01" w:rsidRPr="00780C5B" w:rsidRDefault="00BC7C01" w:rsidP="003B416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80C5B">
              <w:rPr>
                <w:rFonts w:ascii="Times New Roman" w:hAnsi="Times New Roman" w:cs="Times New Roman"/>
                <w:sz w:val="20"/>
                <w:szCs w:val="20"/>
              </w:rPr>
              <w:t>0,31</w:t>
            </w:r>
          </w:p>
        </w:tc>
        <w:tc>
          <w:tcPr>
            <w:tcW w:w="1296" w:type="dxa"/>
            <w:noWrap/>
            <w:vAlign w:val="center"/>
            <w:hideMark/>
          </w:tcPr>
          <w:p w14:paraId="1A11C5D8" w14:textId="77777777" w:rsidR="00BC7C01" w:rsidRPr="00780C5B" w:rsidRDefault="00BC7C01" w:rsidP="003B416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80C5B">
              <w:rPr>
                <w:rFonts w:ascii="Times New Roman" w:hAnsi="Times New Roman" w:cs="Times New Roman"/>
                <w:sz w:val="20"/>
                <w:szCs w:val="20"/>
              </w:rPr>
              <w:t>10,16</w:t>
            </w:r>
          </w:p>
        </w:tc>
        <w:tc>
          <w:tcPr>
            <w:tcW w:w="1296" w:type="dxa"/>
            <w:noWrap/>
            <w:vAlign w:val="center"/>
            <w:hideMark/>
          </w:tcPr>
          <w:p w14:paraId="36DF9C5A" w14:textId="77777777" w:rsidR="00BC7C01" w:rsidRPr="00780C5B" w:rsidRDefault="00BC7C01" w:rsidP="003B416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80C5B">
              <w:rPr>
                <w:rFonts w:ascii="Times New Roman" w:hAnsi="Times New Roman" w:cs="Times New Roman"/>
                <w:sz w:val="20"/>
                <w:szCs w:val="20"/>
              </w:rPr>
              <w:t>0,25</w:t>
            </w:r>
          </w:p>
        </w:tc>
        <w:tc>
          <w:tcPr>
            <w:tcW w:w="1296" w:type="dxa"/>
            <w:noWrap/>
            <w:vAlign w:val="center"/>
            <w:hideMark/>
          </w:tcPr>
          <w:p w14:paraId="3B7DFAF8" w14:textId="77777777" w:rsidR="00BC7C01" w:rsidRPr="00780C5B" w:rsidRDefault="00BC7C01" w:rsidP="003B416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80C5B">
              <w:rPr>
                <w:rFonts w:ascii="Times New Roman" w:hAnsi="Times New Roman" w:cs="Times New Roman"/>
                <w:sz w:val="20"/>
                <w:szCs w:val="20"/>
              </w:rPr>
              <w:t>0</w:t>
            </w:r>
          </w:p>
        </w:tc>
        <w:tc>
          <w:tcPr>
            <w:tcW w:w="1296" w:type="dxa"/>
            <w:noWrap/>
            <w:vAlign w:val="center"/>
            <w:hideMark/>
          </w:tcPr>
          <w:p w14:paraId="6B11C080" w14:textId="77777777" w:rsidR="00BC7C01" w:rsidRPr="00780C5B" w:rsidRDefault="00BC7C01" w:rsidP="003B416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80C5B">
              <w:rPr>
                <w:rFonts w:ascii="Times New Roman" w:hAnsi="Times New Roman" w:cs="Times New Roman"/>
                <w:sz w:val="20"/>
                <w:szCs w:val="20"/>
              </w:rPr>
              <w:t>66</w:t>
            </w:r>
          </w:p>
        </w:tc>
      </w:tr>
      <w:tr w:rsidR="00BC7C01" w:rsidRPr="00780C5B" w14:paraId="58D04268" w14:textId="77777777" w:rsidTr="003B4164">
        <w:trPr>
          <w:trHeight w:val="285"/>
        </w:trPr>
        <w:tc>
          <w:tcPr>
            <w:cnfStyle w:val="001000000000" w:firstRow="0" w:lastRow="0" w:firstColumn="1" w:lastColumn="0" w:oddVBand="0" w:evenVBand="0" w:oddHBand="0" w:evenHBand="0" w:firstRowFirstColumn="0" w:firstRowLastColumn="0" w:lastRowFirstColumn="0" w:lastRowLastColumn="0"/>
            <w:tcW w:w="945" w:type="dxa"/>
            <w:vMerge/>
            <w:vAlign w:val="center"/>
            <w:hideMark/>
          </w:tcPr>
          <w:p w14:paraId="276DABCC" w14:textId="77777777" w:rsidR="00BC7C01" w:rsidRPr="005F5161" w:rsidRDefault="00BC7C01" w:rsidP="003B4164">
            <w:pPr>
              <w:spacing w:line="360" w:lineRule="auto"/>
              <w:jc w:val="center"/>
              <w:rPr>
                <w:rFonts w:ascii="Times New Roman" w:hAnsi="Times New Roman" w:cs="Times New Roman"/>
                <w:b/>
                <w:bCs/>
                <w:sz w:val="20"/>
                <w:szCs w:val="20"/>
              </w:rPr>
            </w:pPr>
          </w:p>
        </w:tc>
        <w:tc>
          <w:tcPr>
            <w:tcW w:w="1295" w:type="dxa"/>
            <w:noWrap/>
            <w:vAlign w:val="center"/>
            <w:hideMark/>
          </w:tcPr>
          <w:p w14:paraId="35648747" w14:textId="77777777" w:rsidR="00BC7C01" w:rsidRPr="005F5161" w:rsidRDefault="00BC7C01" w:rsidP="003B416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5F5161">
              <w:rPr>
                <w:rFonts w:ascii="Times New Roman" w:hAnsi="Times New Roman" w:cs="Times New Roman"/>
                <w:b/>
                <w:bCs/>
                <w:sz w:val="20"/>
                <w:szCs w:val="20"/>
              </w:rPr>
              <w:t>UTN-FRLP</w:t>
            </w:r>
          </w:p>
        </w:tc>
        <w:tc>
          <w:tcPr>
            <w:tcW w:w="1296" w:type="dxa"/>
            <w:noWrap/>
            <w:vAlign w:val="center"/>
            <w:hideMark/>
          </w:tcPr>
          <w:p w14:paraId="6CA68449" w14:textId="77777777" w:rsidR="00BC7C01" w:rsidRPr="00780C5B" w:rsidRDefault="00BC7C01" w:rsidP="003B416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80C5B">
              <w:rPr>
                <w:rFonts w:ascii="Times New Roman" w:hAnsi="Times New Roman" w:cs="Times New Roman"/>
                <w:sz w:val="20"/>
                <w:szCs w:val="20"/>
              </w:rPr>
              <w:t>0,56</w:t>
            </w:r>
          </w:p>
        </w:tc>
        <w:tc>
          <w:tcPr>
            <w:tcW w:w="1296" w:type="dxa"/>
            <w:noWrap/>
            <w:vAlign w:val="center"/>
            <w:hideMark/>
          </w:tcPr>
          <w:p w14:paraId="4B2DC806" w14:textId="77777777" w:rsidR="00BC7C01" w:rsidRPr="00780C5B" w:rsidRDefault="00BC7C01" w:rsidP="003B416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80C5B">
              <w:rPr>
                <w:rFonts w:ascii="Times New Roman" w:hAnsi="Times New Roman" w:cs="Times New Roman"/>
                <w:sz w:val="20"/>
                <w:szCs w:val="20"/>
              </w:rPr>
              <w:t>11,44</w:t>
            </w:r>
          </w:p>
        </w:tc>
        <w:tc>
          <w:tcPr>
            <w:tcW w:w="1296" w:type="dxa"/>
            <w:noWrap/>
            <w:vAlign w:val="center"/>
            <w:hideMark/>
          </w:tcPr>
          <w:p w14:paraId="365F7069" w14:textId="77777777" w:rsidR="00BC7C01" w:rsidRPr="00780C5B" w:rsidRDefault="00BC7C01" w:rsidP="003B416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80C5B">
              <w:rPr>
                <w:rFonts w:ascii="Times New Roman" w:hAnsi="Times New Roman" w:cs="Times New Roman"/>
                <w:sz w:val="20"/>
                <w:szCs w:val="20"/>
              </w:rPr>
              <w:t>0,04</w:t>
            </w:r>
          </w:p>
        </w:tc>
        <w:tc>
          <w:tcPr>
            <w:tcW w:w="1296" w:type="dxa"/>
            <w:noWrap/>
            <w:vAlign w:val="center"/>
            <w:hideMark/>
          </w:tcPr>
          <w:p w14:paraId="06684B02" w14:textId="77777777" w:rsidR="00BC7C01" w:rsidRPr="00780C5B" w:rsidRDefault="00BC7C01" w:rsidP="003B416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80C5B">
              <w:rPr>
                <w:rFonts w:ascii="Times New Roman" w:hAnsi="Times New Roman" w:cs="Times New Roman"/>
                <w:sz w:val="20"/>
                <w:szCs w:val="20"/>
              </w:rPr>
              <w:t>0</w:t>
            </w:r>
          </w:p>
        </w:tc>
        <w:tc>
          <w:tcPr>
            <w:tcW w:w="1296" w:type="dxa"/>
            <w:noWrap/>
            <w:vAlign w:val="center"/>
            <w:hideMark/>
          </w:tcPr>
          <w:p w14:paraId="6A123D8D" w14:textId="77777777" w:rsidR="00BC7C01" w:rsidRPr="00780C5B" w:rsidRDefault="00BC7C01" w:rsidP="003B416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80C5B">
              <w:rPr>
                <w:rFonts w:ascii="Times New Roman" w:hAnsi="Times New Roman" w:cs="Times New Roman"/>
                <w:sz w:val="20"/>
                <w:szCs w:val="20"/>
              </w:rPr>
              <w:t>18</w:t>
            </w:r>
          </w:p>
        </w:tc>
      </w:tr>
    </w:tbl>
    <w:p w14:paraId="4890771B" w14:textId="77777777" w:rsidR="00B035E0" w:rsidRPr="005F5161" w:rsidRDefault="00B035E0" w:rsidP="003B4164">
      <w:pPr>
        <w:spacing w:after="100" w:afterAutospacing="1" w:line="240" w:lineRule="auto"/>
        <w:outlineLvl w:val="3"/>
        <w:rPr>
          <w:rFonts w:ascii="Times New Roman" w:eastAsia="Times New Roman" w:hAnsi="Times New Roman" w:cs="Times New Roman"/>
          <w:bCs/>
          <w:lang w:eastAsia="es-AR"/>
        </w:rPr>
      </w:pPr>
      <w:r w:rsidRPr="005F5161">
        <w:rPr>
          <w:rFonts w:ascii="Times New Roman" w:eastAsia="Times New Roman" w:hAnsi="Times New Roman" w:cs="Times New Roman"/>
          <w:bCs/>
          <w:lang w:eastAsia="es-AR"/>
        </w:rPr>
        <w:t>Fuente: elaboración propia</w:t>
      </w:r>
    </w:p>
    <w:p w14:paraId="69363327" w14:textId="77777777" w:rsidR="00E756B4" w:rsidRPr="00E756B4" w:rsidRDefault="00E756B4" w:rsidP="00E756B4">
      <w:pPr>
        <w:spacing w:before="100" w:beforeAutospacing="1" w:after="100" w:afterAutospacing="1" w:line="240" w:lineRule="auto"/>
        <w:outlineLvl w:val="3"/>
        <w:rPr>
          <w:rFonts w:ascii="Times New Roman" w:eastAsia="Times New Roman" w:hAnsi="Times New Roman" w:cs="Times New Roman"/>
          <w:b/>
          <w:bCs/>
          <w:sz w:val="24"/>
          <w:szCs w:val="24"/>
          <w:lang w:eastAsia="es-AR"/>
        </w:rPr>
      </w:pPr>
      <w:r>
        <w:rPr>
          <w:rFonts w:ascii="Times New Roman" w:eastAsia="Times New Roman" w:hAnsi="Times New Roman" w:cs="Times New Roman"/>
          <w:b/>
          <w:bCs/>
          <w:sz w:val="24"/>
          <w:szCs w:val="24"/>
          <w:lang w:eastAsia="es-AR"/>
        </w:rPr>
        <w:t>1</w:t>
      </w:r>
      <w:r w:rsidRPr="00E756B4">
        <w:rPr>
          <w:rFonts w:ascii="Times New Roman" w:eastAsia="Times New Roman" w:hAnsi="Times New Roman" w:cs="Times New Roman"/>
          <w:b/>
          <w:bCs/>
          <w:sz w:val="24"/>
          <w:szCs w:val="24"/>
          <w:lang w:eastAsia="es-AR"/>
        </w:rPr>
        <w:t>. Tamaño (LN)</w:t>
      </w:r>
    </w:p>
    <w:p w14:paraId="5F555208" w14:textId="77777777" w:rsidR="00E756B4" w:rsidRPr="00E756B4" w:rsidRDefault="00E756B4" w:rsidP="00E756B4">
      <w:pPr>
        <w:spacing w:line="360" w:lineRule="auto"/>
        <w:jc w:val="both"/>
        <w:rPr>
          <w:rFonts w:ascii="Times New Roman" w:hAnsi="Times New Roman" w:cs="Times New Roman"/>
          <w:sz w:val="24"/>
          <w:szCs w:val="24"/>
        </w:rPr>
      </w:pPr>
      <w:r w:rsidRPr="00E756B4">
        <w:rPr>
          <w:rFonts w:ascii="Times New Roman" w:hAnsi="Times New Roman" w:cs="Times New Roman"/>
          <w:sz w:val="24"/>
          <w:szCs w:val="24"/>
        </w:rPr>
        <w:t>Las universidades con mayor tamaño (UNLP, UTN-FRLP, UNMdP) tienden a tener IDCRT más alto, aunque hay excepciones. UNS tiene un tamaño alto (10,16), pero el IDCRT más bajo</w:t>
      </w:r>
      <w:r>
        <w:rPr>
          <w:rFonts w:ascii="Times New Roman" w:hAnsi="Times New Roman" w:cs="Times New Roman"/>
          <w:sz w:val="24"/>
          <w:szCs w:val="24"/>
        </w:rPr>
        <w:t xml:space="preserve"> (0,31)</w:t>
      </w:r>
      <w:r w:rsidRPr="00E756B4">
        <w:rPr>
          <w:rFonts w:ascii="Times New Roman" w:hAnsi="Times New Roman" w:cs="Times New Roman"/>
          <w:sz w:val="24"/>
          <w:szCs w:val="24"/>
        </w:rPr>
        <w:t>.</w:t>
      </w:r>
    </w:p>
    <w:p w14:paraId="6738E834" w14:textId="22139414" w:rsidR="00E756B4" w:rsidRPr="00E756B4" w:rsidRDefault="00E756B4" w:rsidP="00E756B4">
      <w:pPr>
        <w:spacing w:line="360" w:lineRule="auto"/>
        <w:jc w:val="both"/>
        <w:rPr>
          <w:rFonts w:ascii="Times New Roman" w:hAnsi="Times New Roman" w:cs="Times New Roman"/>
          <w:sz w:val="24"/>
          <w:szCs w:val="24"/>
        </w:rPr>
      </w:pPr>
      <w:r w:rsidRPr="00E756B4">
        <w:rPr>
          <w:rFonts w:ascii="Times New Roman" w:hAnsi="Times New Roman" w:cs="Times New Roman"/>
          <w:sz w:val="24"/>
          <w:szCs w:val="24"/>
        </w:rPr>
        <w:t xml:space="preserve">Conclusión preliminar: </w:t>
      </w:r>
      <w:r w:rsidR="00B24353" w:rsidRPr="004C2B05">
        <w:rPr>
          <w:rFonts w:ascii="Times New Roman" w:hAnsi="Times New Roman" w:cs="Times New Roman"/>
          <w:sz w:val="24"/>
          <w:szCs w:val="24"/>
        </w:rPr>
        <w:t xml:space="preserve">existe </w:t>
      </w:r>
      <w:r w:rsidRPr="004C2B05">
        <w:rPr>
          <w:rFonts w:ascii="Times New Roman" w:hAnsi="Times New Roman" w:cs="Times New Roman"/>
          <w:sz w:val="24"/>
          <w:szCs w:val="24"/>
        </w:rPr>
        <w:t xml:space="preserve">una tendencia leve, pero no </w:t>
      </w:r>
      <w:r w:rsidR="004C2B05" w:rsidRPr="004C2B05">
        <w:rPr>
          <w:rFonts w:ascii="Times New Roman" w:hAnsi="Times New Roman" w:cs="Times New Roman"/>
          <w:sz w:val="24"/>
          <w:szCs w:val="24"/>
        </w:rPr>
        <w:t>concluyente</w:t>
      </w:r>
      <w:r w:rsidRPr="00E756B4">
        <w:rPr>
          <w:rFonts w:ascii="Times New Roman" w:hAnsi="Times New Roman" w:cs="Times New Roman"/>
          <w:sz w:val="24"/>
          <w:szCs w:val="24"/>
        </w:rPr>
        <w:t>.</w:t>
      </w:r>
    </w:p>
    <w:p w14:paraId="0D30F0EE" w14:textId="77777777" w:rsidR="001F3A96" w:rsidRPr="00865381" w:rsidRDefault="00E756B4" w:rsidP="001F3A96">
      <w:pPr>
        <w:spacing w:before="100" w:beforeAutospacing="1" w:after="100" w:afterAutospacing="1" w:line="240" w:lineRule="auto"/>
        <w:outlineLvl w:val="3"/>
        <w:rPr>
          <w:rFonts w:ascii="Times New Roman" w:eastAsia="Times New Roman" w:hAnsi="Times New Roman" w:cs="Times New Roman"/>
          <w:b/>
          <w:bCs/>
          <w:sz w:val="24"/>
          <w:szCs w:val="24"/>
          <w:lang w:eastAsia="es-AR"/>
        </w:rPr>
      </w:pPr>
      <w:r>
        <w:rPr>
          <w:rFonts w:ascii="Times New Roman" w:eastAsia="Times New Roman" w:hAnsi="Times New Roman" w:cs="Times New Roman"/>
          <w:b/>
          <w:bCs/>
          <w:sz w:val="24"/>
          <w:szCs w:val="24"/>
          <w:lang w:eastAsia="es-AR"/>
        </w:rPr>
        <w:t>2</w:t>
      </w:r>
      <w:r w:rsidR="00B035E0" w:rsidRPr="00865381">
        <w:rPr>
          <w:rFonts w:ascii="Times New Roman" w:eastAsia="Times New Roman" w:hAnsi="Times New Roman" w:cs="Times New Roman"/>
          <w:b/>
          <w:bCs/>
          <w:sz w:val="24"/>
          <w:szCs w:val="24"/>
          <w:lang w:eastAsia="es-AR"/>
        </w:rPr>
        <w:t xml:space="preserve">. </w:t>
      </w:r>
      <w:r w:rsidR="009A14FD" w:rsidRPr="00865381">
        <w:rPr>
          <w:rFonts w:ascii="Times New Roman" w:eastAsia="Times New Roman" w:hAnsi="Times New Roman" w:cs="Times New Roman"/>
          <w:b/>
          <w:bCs/>
          <w:sz w:val="24"/>
          <w:szCs w:val="24"/>
          <w:lang w:eastAsia="es-AR"/>
        </w:rPr>
        <w:t>Capacidad de investigación (CAP</w:t>
      </w:r>
      <w:r w:rsidR="001F3A96" w:rsidRPr="00865381">
        <w:rPr>
          <w:rFonts w:ascii="Times New Roman" w:eastAsia="Times New Roman" w:hAnsi="Times New Roman" w:cs="Times New Roman"/>
          <w:b/>
          <w:bCs/>
          <w:sz w:val="24"/>
          <w:szCs w:val="24"/>
          <w:lang w:eastAsia="es-AR"/>
        </w:rPr>
        <w:t xml:space="preserve"> INV)</w:t>
      </w:r>
    </w:p>
    <w:p w14:paraId="29978C5D" w14:textId="77777777" w:rsidR="001F3A96" w:rsidRPr="00865381" w:rsidRDefault="001F3A96" w:rsidP="00A93A98">
      <w:pPr>
        <w:spacing w:line="360" w:lineRule="auto"/>
        <w:jc w:val="both"/>
        <w:rPr>
          <w:rFonts w:ascii="Times New Roman" w:hAnsi="Times New Roman" w:cs="Times New Roman"/>
          <w:sz w:val="24"/>
          <w:szCs w:val="24"/>
        </w:rPr>
      </w:pPr>
      <w:r w:rsidRPr="00865381">
        <w:rPr>
          <w:rFonts w:ascii="Times New Roman" w:hAnsi="Times New Roman" w:cs="Times New Roman"/>
          <w:sz w:val="24"/>
          <w:szCs w:val="24"/>
        </w:rPr>
        <w:t xml:space="preserve">No se observa una relación directa entre </w:t>
      </w:r>
      <w:r w:rsidR="004B7220" w:rsidRPr="00865381">
        <w:rPr>
          <w:rFonts w:ascii="Times New Roman" w:hAnsi="Times New Roman" w:cs="Times New Roman"/>
          <w:sz w:val="24"/>
          <w:szCs w:val="24"/>
        </w:rPr>
        <w:t xml:space="preserve">el </w:t>
      </w:r>
      <w:r w:rsidRPr="00865381">
        <w:rPr>
          <w:rFonts w:ascii="Times New Roman" w:hAnsi="Times New Roman" w:cs="Times New Roman"/>
          <w:sz w:val="24"/>
          <w:szCs w:val="24"/>
        </w:rPr>
        <w:t>mayor % de docentes con doctorado y mayor nivel de divulgación.</w:t>
      </w:r>
      <w:r w:rsidR="00A93A98" w:rsidRPr="00865381">
        <w:rPr>
          <w:rFonts w:ascii="Times New Roman" w:hAnsi="Times New Roman" w:cs="Times New Roman"/>
          <w:sz w:val="24"/>
          <w:szCs w:val="24"/>
        </w:rPr>
        <w:t xml:space="preserve"> </w:t>
      </w:r>
      <w:r w:rsidRPr="00865381">
        <w:rPr>
          <w:rFonts w:ascii="Times New Roman" w:hAnsi="Times New Roman" w:cs="Times New Roman"/>
          <w:sz w:val="24"/>
          <w:szCs w:val="24"/>
        </w:rPr>
        <w:t>Ejemplo: la UNS, con 25,1% de doctores (el valor más alto), tiene el IDCRT más bajo (0,31).</w:t>
      </w:r>
      <w:r w:rsidR="00A93A98" w:rsidRPr="00865381">
        <w:rPr>
          <w:rFonts w:ascii="Times New Roman" w:hAnsi="Times New Roman" w:cs="Times New Roman"/>
          <w:sz w:val="24"/>
          <w:szCs w:val="24"/>
        </w:rPr>
        <w:t xml:space="preserve"> </w:t>
      </w:r>
      <w:r w:rsidRPr="00865381">
        <w:rPr>
          <w:rFonts w:ascii="Times New Roman" w:hAnsi="Times New Roman" w:cs="Times New Roman"/>
          <w:sz w:val="24"/>
          <w:szCs w:val="24"/>
        </w:rPr>
        <w:t>En cambio, la UNMdP, con un nivel medio de doctores (13,35%), presenta el IDCRT más alto (0,88).</w:t>
      </w:r>
    </w:p>
    <w:p w14:paraId="35F0A493" w14:textId="277C2CC0" w:rsidR="001F3A96" w:rsidRPr="00865381" w:rsidRDefault="00BC7C01" w:rsidP="00A93A98">
      <w:pPr>
        <w:spacing w:line="360" w:lineRule="auto"/>
        <w:jc w:val="both"/>
        <w:rPr>
          <w:rFonts w:ascii="Times New Roman" w:hAnsi="Times New Roman" w:cs="Times New Roman"/>
          <w:sz w:val="24"/>
          <w:szCs w:val="24"/>
        </w:rPr>
      </w:pPr>
      <w:r w:rsidRPr="00865381">
        <w:rPr>
          <w:rFonts w:ascii="Times New Roman" w:hAnsi="Times New Roman" w:cs="Times New Roman"/>
          <w:sz w:val="24"/>
          <w:szCs w:val="24"/>
        </w:rPr>
        <w:t xml:space="preserve">Conclusión preliminar: </w:t>
      </w:r>
      <w:r w:rsidR="001F3A96" w:rsidRPr="004C2B05">
        <w:rPr>
          <w:rFonts w:ascii="Times New Roman" w:hAnsi="Times New Roman" w:cs="Times New Roman"/>
          <w:sz w:val="24"/>
          <w:szCs w:val="24"/>
        </w:rPr>
        <w:t xml:space="preserve">no </w:t>
      </w:r>
      <w:r w:rsidR="00B24353" w:rsidRPr="004C2B05">
        <w:rPr>
          <w:rFonts w:ascii="Times New Roman" w:hAnsi="Times New Roman" w:cs="Times New Roman"/>
          <w:sz w:val="24"/>
          <w:szCs w:val="24"/>
        </w:rPr>
        <w:t xml:space="preserve">existe </w:t>
      </w:r>
      <w:r w:rsidR="001F3A96" w:rsidRPr="00865381">
        <w:rPr>
          <w:rFonts w:ascii="Times New Roman" w:hAnsi="Times New Roman" w:cs="Times New Roman"/>
          <w:sz w:val="24"/>
          <w:szCs w:val="24"/>
        </w:rPr>
        <w:t xml:space="preserve">una asociación lineal entre </w:t>
      </w:r>
      <w:r w:rsidRPr="00865381">
        <w:rPr>
          <w:rFonts w:ascii="Times New Roman" w:hAnsi="Times New Roman" w:cs="Times New Roman"/>
          <w:sz w:val="24"/>
          <w:szCs w:val="24"/>
        </w:rPr>
        <w:t>capacidad de investigación y divulgación de información sobre CR</w:t>
      </w:r>
      <w:r w:rsidR="0094637A">
        <w:rPr>
          <w:rFonts w:ascii="Times New Roman" w:hAnsi="Times New Roman" w:cs="Times New Roman"/>
          <w:sz w:val="24"/>
          <w:szCs w:val="24"/>
        </w:rPr>
        <w:t>.</w:t>
      </w:r>
    </w:p>
    <w:p w14:paraId="6BE67E9B" w14:textId="77777777" w:rsidR="000508D6" w:rsidRPr="00865381" w:rsidRDefault="000508D6" w:rsidP="000508D6">
      <w:pPr>
        <w:spacing w:before="100" w:beforeAutospacing="1" w:after="100" w:afterAutospacing="1" w:line="240" w:lineRule="auto"/>
        <w:rPr>
          <w:rFonts w:ascii="Times New Roman" w:eastAsia="Times New Roman" w:hAnsi="Times New Roman" w:cs="Times New Roman"/>
          <w:b/>
          <w:bCs/>
          <w:sz w:val="24"/>
          <w:szCs w:val="24"/>
          <w:lang w:eastAsia="es-AR"/>
        </w:rPr>
      </w:pPr>
      <w:r w:rsidRPr="00865381">
        <w:rPr>
          <w:rFonts w:ascii="Times New Roman" w:eastAsia="Times New Roman" w:hAnsi="Times New Roman" w:cs="Times New Roman"/>
          <w:b/>
          <w:bCs/>
          <w:sz w:val="24"/>
          <w:szCs w:val="24"/>
          <w:lang w:eastAsia="es-AR"/>
        </w:rPr>
        <w:t>3. Género</w:t>
      </w:r>
    </w:p>
    <w:p w14:paraId="0493ED09" w14:textId="7547C0EE" w:rsidR="000508D6" w:rsidRPr="00865381" w:rsidRDefault="000508D6" w:rsidP="004B7220">
      <w:pPr>
        <w:spacing w:line="360" w:lineRule="auto"/>
        <w:jc w:val="both"/>
        <w:rPr>
          <w:rFonts w:ascii="Times New Roman" w:hAnsi="Times New Roman" w:cs="Times New Roman"/>
          <w:sz w:val="24"/>
          <w:szCs w:val="24"/>
        </w:rPr>
      </w:pPr>
      <w:r w:rsidRPr="00865381">
        <w:rPr>
          <w:rFonts w:ascii="Times New Roman" w:hAnsi="Times New Roman" w:cs="Times New Roman"/>
          <w:sz w:val="24"/>
          <w:szCs w:val="24"/>
        </w:rPr>
        <w:t>Todas las universidades de la muestra tienen autoridades de género masculino (valor = 0), po</w:t>
      </w:r>
      <w:r w:rsidR="004C2B05">
        <w:rPr>
          <w:rFonts w:ascii="Times New Roman" w:hAnsi="Times New Roman" w:cs="Times New Roman"/>
          <w:sz w:val="24"/>
          <w:szCs w:val="24"/>
        </w:rPr>
        <w:t>r lo que no es posible analizar</w:t>
      </w:r>
      <w:r w:rsidR="00B24353">
        <w:rPr>
          <w:rFonts w:ascii="Times New Roman" w:hAnsi="Times New Roman" w:cs="Times New Roman"/>
          <w:sz w:val="24"/>
          <w:szCs w:val="24"/>
        </w:rPr>
        <w:t xml:space="preserve"> la </w:t>
      </w:r>
      <w:r w:rsidRPr="00865381">
        <w:rPr>
          <w:rFonts w:ascii="Times New Roman" w:hAnsi="Times New Roman" w:cs="Times New Roman"/>
          <w:sz w:val="24"/>
          <w:szCs w:val="24"/>
        </w:rPr>
        <w:t>variable en este caso.</w:t>
      </w:r>
    </w:p>
    <w:p w14:paraId="39F914F6" w14:textId="77777777" w:rsidR="001F3A96" w:rsidRPr="00865381" w:rsidRDefault="000508D6" w:rsidP="001F3A96">
      <w:pPr>
        <w:spacing w:before="100" w:beforeAutospacing="1" w:after="100" w:afterAutospacing="1" w:line="240" w:lineRule="auto"/>
        <w:outlineLvl w:val="3"/>
        <w:rPr>
          <w:rFonts w:ascii="Times New Roman" w:eastAsia="Times New Roman" w:hAnsi="Times New Roman" w:cs="Times New Roman"/>
          <w:b/>
          <w:bCs/>
          <w:sz w:val="24"/>
          <w:szCs w:val="24"/>
          <w:lang w:eastAsia="es-AR"/>
        </w:rPr>
      </w:pPr>
      <w:r w:rsidRPr="00865381">
        <w:rPr>
          <w:rFonts w:ascii="Times New Roman" w:eastAsia="Times New Roman" w:hAnsi="Times New Roman" w:cs="Times New Roman"/>
          <w:b/>
          <w:bCs/>
          <w:sz w:val="24"/>
          <w:szCs w:val="24"/>
          <w:lang w:eastAsia="es-AR"/>
        </w:rPr>
        <w:t>4</w:t>
      </w:r>
      <w:r w:rsidR="001F3A96" w:rsidRPr="00865381">
        <w:rPr>
          <w:rFonts w:ascii="Times New Roman" w:eastAsia="Times New Roman" w:hAnsi="Times New Roman" w:cs="Times New Roman"/>
          <w:b/>
          <w:bCs/>
          <w:sz w:val="24"/>
          <w:szCs w:val="24"/>
          <w:lang w:eastAsia="es-AR"/>
        </w:rPr>
        <w:t>. Complejidad institucional</w:t>
      </w:r>
    </w:p>
    <w:p w14:paraId="23A5FF08" w14:textId="77777777" w:rsidR="001F3A96" w:rsidRPr="00865381" w:rsidRDefault="00A93A98" w:rsidP="00A93A98">
      <w:pPr>
        <w:spacing w:line="360" w:lineRule="auto"/>
        <w:jc w:val="both"/>
        <w:rPr>
          <w:rFonts w:ascii="Times New Roman" w:hAnsi="Times New Roman" w:cs="Times New Roman"/>
          <w:sz w:val="24"/>
          <w:szCs w:val="24"/>
        </w:rPr>
      </w:pPr>
      <w:r w:rsidRPr="00865381">
        <w:rPr>
          <w:rFonts w:ascii="Times New Roman" w:hAnsi="Times New Roman" w:cs="Times New Roman"/>
          <w:sz w:val="24"/>
          <w:szCs w:val="24"/>
        </w:rPr>
        <w:t xml:space="preserve">La </w:t>
      </w:r>
      <w:r w:rsidR="001F3A96" w:rsidRPr="00865381">
        <w:rPr>
          <w:rFonts w:ascii="Times New Roman" w:hAnsi="Times New Roman" w:cs="Times New Roman"/>
          <w:sz w:val="24"/>
          <w:szCs w:val="24"/>
        </w:rPr>
        <w:t>UNLP, con la mayor cantidad de carreras (408), presenta un alto IDCRT (0,81).</w:t>
      </w:r>
      <w:r w:rsidRPr="00865381">
        <w:rPr>
          <w:rFonts w:ascii="Times New Roman" w:hAnsi="Times New Roman" w:cs="Times New Roman"/>
          <w:sz w:val="24"/>
          <w:szCs w:val="24"/>
        </w:rPr>
        <w:t xml:space="preserve"> </w:t>
      </w:r>
      <w:r w:rsidR="001F3A96" w:rsidRPr="00865381">
        <w:rPr>
          <w:rFonts w:ascii="Times New Roman" w:hAnsi="Times New Roman" w:cs="Times New Roman"/>
          <w:sz w:val="24"/>
          <w:szCs w:val="24"/>
        </w:rPr>
        <w:t xml:space="preserve">UTN-FRLP, con solo </w:t>
      </w:r>
      <w:r w:rsidR="004B7220" w:rsidRPr="00865381">
        <w:rPr>
          <w:rFonts w:ascii="Times New Roman" w:hAnsi="Times New Roman" w:cs="Times New Roman"/>
          <w:sz w:val="24"/>
          <w:szCs w:val="24"/>
        </w:rPr>
        <w:t>18 carreras, tiene un IDCRT medio</w:t>
      </w:r>
      <w:r w:rsidR="001F3A96" w:rsidRPr="00865381">
        <w:rPr>
          <w:rFonts w:ascii="Times New Roman" w:hAnsi="Times New Roman" w:cs="Times New Roman"/>
          <w:sz w:val="24"/>
          <w:szCs w:val="24"/>
        </w:rPr>
        <w:t xml:space="preserve"> (0,56).</w:t>
      </w:r>
      <w:r w:rsidRPr="00865381">
        <w:rPr>
          <w:rFonts w:ascii="Times New Roman" w:hAnsi="Times New Roman" w:cs="Times New Roman"/>
          <w:sz w:val="24"/>
          <w:szCs w:val="24"/>
        </w:rPr>
        <w:t xml:space="preserve"> </w:t>
      </w:r>
      <w:r w:rsidR="001F3A96" w:rsidRPr="00865381">
        <w:rPr>
          <w:rFonts w:ascii="Times New Roman" w:hAnsi="Times New Roman" w:cs="Times New Roman"/>
          <w:sz w:val="24"/>
          <w:szCs w:val="24"/>
        </w:rPr>
        <w:t xml:space="preserve">UNMdP y UNICEN, con niveles medios de complejidad, también presentan IDCRT </w:t>
      </w:r>
      <w:r w:rsidR="00E756B4" w:rsidRPr="00865381">
        <w:rPr>
          <w:rFonts w:ascii="Times New Roman" w:hAnsi="Times New Roman" w:cs="Times New Roman"/>
          <w:sz w:val="24"/>
          <w:szCs w:val="24"/>
        </w:rPr>
        <w:t>alto-</w:t>
      </w:r>
      <w:r w:rsidR="001F3A96" w:rsidRPr="00865381">
        <w:rPr>
          <w:rFonts w:ascii="Times New Roman" w:hAnsi="Times New Roman" w:cs="Times New Roman"/>
          <w:sz w:val="24"/>
          <w:szCs w:val="24"/>
        </w:rPr>
        <w:t>medio.</w:t>
      </w:r>
    </w:p>
    <w:p w14:paraId="32358B55" w14:textId="00F546A7" w:rsidR="001F3A96" w:rsidRPr="004C2B05" w:rsidRDefault="001F3A96" w:rsidP="00A93A98">
      <w:pPr>
        <w:spacing w:line="360" w:lineRule="auto"/>
        <w:jc w:val="both"/>
        <w:rPr>
          <w:rFonts w:ascii="Times New Roman" w:hAnsi="Times New Roman" w:cs="Times New Roman"/>
          <w:sz w:val="24"/>
          <w:szCs w:val="24"/>
        </w:rPr>
      </w:pPr>
      <w:r w:rsidRPr="004C2B05">
        <w:rPr>
          <w:rFonts w:ascii="Times New Roman" w:hAnsi="Times New Roman" w:cs="Times New Roman"/>
          <w:sz w:val="24"/>
          <w:szCs w:val="24"/>
        </w:rPr>
        <w:t xml:space="preserve">Conclusión preliminar: la complejidad institucional </w:t>
      </w:r>
      <w:r w:rsidR="00B24353" w:rsidRPr="004C2B05">
        <w:rPr>
          <w:rFonts w:ascii="Times New Roman" w:hAnsi="Times New Roman" w:cs="Times New Roman"/>
          <w:sz w:val="24"/>
          <w:szCs w:val="24"/>
        </w:rPr>
        <w:t xml:space="preserve">es </w:t>
      </w:r>
      <w:r w:rsidRPr="004C2B05">
        <w:rPr>
          <w:rFonts w:ascii="Times New Roman" w:hAnsi="Times New Roman" w:cs="Times New Roman"/>
          <w:sz w:val="24"/>
          <w:szCs w:val="24"/>
        </w:rPr>
        <w:t xml:space="preserve">la variable </w:t>
      </w:r>
      <w:r w:rsidR="00B24353" w:rsidRPr="004C2B05">
        <w:rPr>
          <w:rFonts w:ascii="Times New Roman" w:hAnsi="Times New Roman" w:cs="Times New Roman"/>
          <w:sz w:val="24"/>
          <w:szCs w:val="24"/>
        </w:rPr>
        <w:t xml:space="preserve">que </w:t>
      </w:r>
      <w:r w:rsidRPr="004C2B05">
        <w:rPr>
          <w:rFonts w:ascii="Times New Roman" w:hAnsi="Times New Roman" w:cs="Times New Roman"/>
          <w:sz w:val="24"/>
          <w:szCs w:val="24"/>
        </w:rPr>
        <w:t xml:space="preserve">más </w:t>
      </w:r>
      <w:r w:rsidR="00B24353" w:rsidRPr="004C2B05">
        <w:rPr>
          <w:rFonts w:ascii="Times New Roman" w:hAnsi="Times New Roman" w:cs="Times New Roman"/>
          <w:sz w:val="24"/>
          <w:szCs w:val="24"/>
        </w:rPr>
        <w:t xml:space="preserve">se </w:t>
      </w:r>
      <w:r w:rsidRPr="004C2B05">
        <w:rPr>
          <w:rFonts w:ascii="Times New Roman" w:hAnsi="Times New Roman" w:cs="Times New Roman"/>
          <w:sz w:val="24"/>
          <w:szCs w:val="24"/>
        </w:rPr>
        <w:t>asocia positivamente al nivel de divulgación.</w:t>
      </w:r>
    </w:p>
    <w:p w14:paraId="4B2F02E9" w14:textId="77777777" w:rsidR="000508D6" w:rsidRPr="00865381" w:rsidRDefault="000508D6" w:rsidP="00A93A98">
      <w:pPr>
        <w:spacing w:line="360" w:lineRule="auto"/>
        <w:jc w:val="both"/>
        <w:rPr>
          <w:rFonts w:ascii="Times New Roman" w:hAnsi="Times New Roman" w:cs="Times New Roman"/>
          <w:b/>
          <w:sz w:val="24"/>
          <w:szCs w:val="24"/>
        </w:rPr>
      </w:pPr>
      <w:r w:rsidRPr="00865381">
        <w:rPr>
          <w:rFonts w:ascii="Times New Roman" w:hAnsi="Times New Roman" w:cs="Times New Roman"/>
          <w:sz w:val="24"/>
          <w:szCs w:val="24"/>
        </w:rPr>
        <w:lastRenderedPageBreak/>
        <w:t xml:space="preserve">Podemos analizar esta relación a través de un </w:t>
      </w:r>
      <w:r w:rsidRPr="00865381">
        <w:rPr>
          <w:rFonts w:ascii="Times New Roman" w:hAnsi="Times New Roman" w:cs="Times New Roman"/>
          <w:b/>
          <w:sz w:val="24"/>
          <w:szCs w:val="24"/>
        </w:rPr>
        <w:t>gráfico de dispersión</w:t>
      </w:r>
    </w:p>
    <w:p w14:paraId="658F85F9" w14:textId="77777777" w:rsidR="00436ED8" w:rsidRPr="00865381" w:rsidRDefault="00436ED8" w:rsidP="00A93A98">
      <w:pPr>
        <w:spacing w:line="360" w:lineRule="auto"/>
        <w:jc w:val="both"/>
        <w:rPr>
          <w:rFonts w:ascii="Times New Roman" w:hAnsi="Times New Roman" w:cs="Times New Roman"/>
          <w:b/>
          <w:sz w:val="24"/>
          <w:szCs w:val="24"/>
        </w:rPr>
      </w:pPr>
      <w:r w:rsidRPr="00865381">
        <w:rPr>
          <w:rFonts w:ascii="Times New Roman" w:hAnsi="Times New Roman" w:cs="Times New Roman"/>
          <w:b/>
          <w:sz w:val="24"/>
          <w:szCs w:val="24"/>
        </w:rPr>
        <w:t>Gráfico 2: Asociación Complejidad- IDCRT</w:t>
      </w:r>
    </w:p>
    <w:p w14:paraId="4E139FC9" w14:textId="77777777" w:rsidR="000508D6" w:rsidRPr="005F5161" w:rsidRDefault="0059154B" w:rsidP="00A93A98">
      <w:pPr>
        <w:spacing w:line="360" w:lineRule="auto"/>
        <w:jc w:val="both"/>
        <w:rPr>
          <w:rFonts w:ascii="Times New Roman" w:hAnsi="Times New Roman" w:cs="Times New Roman"/>
        </w:rPr>
      </w:pPr>
      <w:r w:rsidRPr="005F5161">
        <w:rPr>
          <w:rFonts w:ascii="Times New Roman" w:hAnsi="Times New Roman" w:cs="Times New Roman"/>
          <w:noProof/>
          <w:lang w:eastAsia="es-AR"/>
        </w:rPr>
        <w:drawing>
          <wp:inline distT="0" distB="0" distL="0" distR="0" wp14:anchorId="5C7A1222" wp14:editId="52169AC3">
            <wp:extent cx="3622012" cy="2087033"/>
            <wp:effectExtent l="0" t="0" r="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648706" cy="2102414"/>
                    </a:xfrm>
                    <a:prstGeom prst="rect">
                      <a:avLst/>
                    </a:prstGeom>
                  </pic:spPr>
                </pic:pic>
              </a:graphicData>
            </a:graphic>
          </wp:inline>
        </w:drawing>
      </w:r>
    </w:p>
    <w:p w14:paraId="61E5C54C" w14:textId="77777777" w:rsidR="00436ED8" w:rsidRPr="00865381" w:rsidRDefault="00436ED8" w:rsidP="00436ED8">
      <w:pPr>
        <w:spacing w:line="360" w:lineRule="auto"/>
        <w:jc w:val="both"/>
        <w:rPr>
          <w:rFonts w:ascii="Times New Roman" w:hAnsi="Times New Roman" w:cs="Times New Roman"/>
          <w:sz w:val="24"/>
          <w:szCs w:val="24"/>
        </w:rPr>
      </w:pPr>
      <w:r w:rsidRPr="00865381">
        <w:rPr>
          <w:rFonts w:ascii="Times New Roman" w:hAnsi="Times New Roman" w:cs="Times New Roman"/>
          <w:sz w:val="24"/>
          <w:szCs w:val="24"/>
        </w:rPr>
        <w:t>El gráfico de dispersión muestra una tendencia lineal positiva moderada: a mayor complejidad institucional, tiende a incrementarse el IDCRT. No obstante, se observa una variabilidad considerable en los valores intermedios. Por ejemplo, la UNMdP y la UNS presentan niveles de complejidad similares, pero difieren significativamente en su nivel de divulgación. La universidad con mayor complejidad (UNLP) exhibe también un IDCRT alto, mientras que la de menor complejidad (UTN-FRLP) presenta un valor medio.</w:t>
      </w:r>
    </w:p>
    <w:p w14:paraId="46CEE84C" w14:textId="77777777" w:rsidR="00436ED8" w:rsidRPr="00865381" w:rsidRDefault="00436ED8" w:rsidP="00436ED8">
      <w:pPr>
        <w:spacing w:line="360" w:lineRule="auto"/>
        <w:jc w:val="both"/>
        <w:rPr>
          <w:rFonts w:ascii="Times New Roman" w:hAnsi="Times New Roman" w:cs="Times New Roman"/>
          <w:sz w:val="24"/>
          <w:szCs w:val="24"/>
        </w:rPr>
      </w:pPr>
      <w:r w:rsidRPr="00865381">
        <w:rPr>
          <w:rFonts w:ascii="Times New Roman" w:hAnsi="Times New Roman" w:cs="Times New Roman"/>
          <w:sz w:val="24"/>
          <w:szCs w:val="24"/>
        </w:rPr>
        <w:t xml:space="preserve">Con el objetivo de explorar más profundamente esta relación, se incorporó un análisis no paramétrico mediante suavizamiento LOESS. Este tipo de regresión permite detectar patrones que no necesariamente responden a un comportamiento lineal estricto, lo cual resulta pertinente dada la baja cantidad de casos. </w:t>
      </w:r>
    </w:p>
    <w:p w14:paraId="0AB296D6" w14:textId="77777777" w:rsidR="00436ED8" w:rsidRPr="005F5161" w:rsidRDefault="00436ED8" w:rsidP="009B5D8A">
      <w:pPr>
        <w:spacing w:line="360" w:lineRule="auto"/>
        <w:rPr>
          <w:rFonts w:ascii="Times New Roman" w:hAnsi="Times New Roman" w:cs="Times New Roman"/>
          <w:b/>
        </w:rPr>
      </w:pPr>
      <w:r w:rsidRPr="00865381">
        <w:rPr>
          <w:rFonts w:ascii="Times New Roman" w:hAnsi="Times New Roman" w:cs="Times New Roman"/>
          <w:b/>
          <w:sz w:val="24"/>
          <w:szCs w:val="24"/>
        </w:rPr>
        <w:t>Gráfico 3: LOESS</w:t>
      </w:r>
      <w:r w:rsidR="004D4D8D" w:rsidRPr="00865381">
        <w:rPr>
          <w:rFonts w:ascii="Times New Roman" w:hAnsi="Times New Roman" w:cs="Times New Roman"/>
          <w:b/>
          <w:sz w:val="24"/>
          <w:szCs w:val="24"/>
        </w:rPr>
        <w:t>- Relación IDCRT- Complejidad institucional</w:t>
      </w:r>
      <w:r w:rsidR="004D4D8D" w:rsidRPr="005F5161">
        <w:rPr>
          <w:rFonts w:ascii="Times New Roman" w:hAnsi="Times New Roman" w:cs="Times New Roman"/>
          <w:b/>
          <w:noProof/>
          <w:lang w:eastAsia="es-AR"/>
        </w:rPr>
        <w:drawing>
          <wp:inline distT="0" distB="0" distL="0" distR="0" wp14:anchorId="483C00B5" wp14:editId="40F3FFBD">
            <wp:extent cx="3869267" cy="2430693"/>
            <wp:effectExtent l="0" t="0" r="0" b="825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886874" cy="2441753"/>
                    </a:xfrm>
                    <a:prstGeom prst="rect">
                      <a:avLst/>
                    </a:prstGeom>
                  </pic:spPr>
                </pic:pic>
              </a:graphicData>
            </a:graphic>
          </wp:inline>
        </w:drawing>
      </w:r>
    </w:p>
    <w:p w14:paraId="00514073" w14:textId="77777777" w:rsidR="00436ED8" w:rsidRPr="00865381" w:rsidRDefault="00436ED8" w:rsidP="00436ED8">
      <w:pPr>
        <w:spacing w:line="360" w:lineRule="auto"/>
        <w:jc w:val="both"/>
        <w:rPr>
          <w:rFonts w:ascii="Times New Roman" w:hAnsi="Times New Roman" w:cs="Times New Roman"/>
          <w:sz w:val="24"/>
          <w:szCs w:val="24"/>
        </w:rPr>
      </w:pPr>
      <w:r w:rsidRPr="00865381">
        <w:rPr>
          <w:rFonts w:ascii="Times New Roman" w:hAnsi="Times New Roman" w:cs="Times New Roman"/>
          <w:sz w:val="24"/>
          <w:szCs w:val="24"/>
        </w:rPr>
        <w:lastRenderedPageBreak/>
        <w:t>El gráfico LOESS muestra una tendencia general ascendente en tramos medios de complejidad, pero con cierta estabilización e incluso caída leve en los extremos. Esto sugiere que la relación entre complejidad institucional y nivel de divulgación podría no ser estrictamente lineal, y que otros factores podrían estar incidiendo en los casos más altos o más bajos de complejidad.</w:t>
      </w:r>
    </w:p>
    <w:p w14:paraId="482231CD" w14:textId="77777777" w:rsidR="004D4D8D" w:rsidRPr="00865381" w:rsidRDefault="00436ED8" w:rsidP="00202BE4">
      <w:pPr>
        <w:spacing w:line="360" w:lineRule="auto"/>
        <w:jc w:val="both"/>
        <w:rPr>
          <w:rFonts w:ascii="Times New Roman" w:hAnsi="Times New Roman" w:cs="Times New Roman"/>
          <w:sz w:val="24"/>
          <w:szCs w:val="24"/>
        </w:rPr>
      </w:pPr>
      <w:r w:rsidRPr="00865381">
        <w:rPr>
          <w:rFonts w:ascii="Times New Roman" w:hAnsi="Times New Roman" w:cs="Times New Roman"/>
          <w:sz w:val="24"/>
          <w:szCs w:val="24"/>
        </w:rPr>
        <w:t>La combinación de ambos análisis —lineal y no paramétrico— permite visualizar mejor la heterogeneidad en la muestra y aporta elementos relevantes para matizar las conclusiones respecto de la posible influencia de la complejidad institucional sobre las políticas de divulgación.</w:t>
      </w:r>
    </w:p>
    <w:p w14:paraId="62DD5DE3" w14:textId="77777777" w:rsidR="004C55DE" w:rsidRPr="005F5161" w:rsidRDefault="00BC7C01" w:rsidP="00F36C7C">
      <w:pPr>
        <w:spacing w:before="100" w:beforeAutospacing="1" w:after="100" w:afterAutospacing="1" w:line="240" w:lineRule="auto"/>
        <w:outlineLvl w:val="2"/>
        <w:rPr>
          <w:rFonts w:ascii="Times New Roman" w:eastAsia="Times New Roman" w:hAnsi="Times New Roman" w:cs="Times New Roman"/>
          <w:b/>
          <w:bCs/>
          <w:lang w:eastAsia="es-AR"/>
        </w:rPr>
      </w:pPr>
      <w:r w:rsidRPr="00865381">
        <w:rPr>
          <w:rFonts w:ascii="Times New Roman" w:eastAsia="Times New Roman" w:hAnsi="Times New Roman" w:cs="Times New Roman"/>
          <w:b/>
          <w:bCs/>
          <w:sz w:val="24"/>
          <w:szCs w:val="24"/>
          <w:lang w:eastAsia="es-AR"/>
        </w:rPr>
        <w:t>I</w:t>
      </w:r>
      <w:r w:rsidR="001F3A96" w:rsidRPr="00865381">
        <w:rPr>
          <w:rFonts w:ascii="Times New Roman" w:eastAsia="Times New Roman" w:hAnsi="Times New Roman" w:cs="Times New Roman"/>
          <w:b/>
          <w:bCs/>
          <w:sz w:val="24"/>
          <w:szCs w:val="24"/>
          <w:lang w:eastAsia="es-AR"/>
        </w:rPr>
        <w:t>nterpretación de resultados</w:t>
      </w:r>
      <w:r w:rsidR="00597A56" w:rsidRPr="00865381">
        <w:rPr>
          <w:rFonts w:ascii="Times New Roman" w:eastAsia="Times New Roman" w:hAnsi="Times New Roman" w:cs="Times New Roman"/>
          <w:b/>
          <w:bCs/>
          <w:sz w:val="24"/>
          <w:szCs w:val="24"/>
          <w:lang w:eastAsia="es-AR"/>
        </w:rPr>
        <w:t xml:space="preserve"> </w:t>
      </w:r>
      <w:r w:rsidR="004D4D8D" w:rsidRPr="00865381">
        <w:rPr>
          <w:rFonts w:ascii="Times New Roman" w:eastAsia="Times New Roman" w:hAnsi="Times New Roman" w:cs="Times New Roman"/>
          <w:b/>
          <w:bCs/>
          <w:sz w:val="24"/>
          <w:szCs w:val="24"/>
          <w:lang w:eastAsia="es-AR"/>
        </w:rPr>
        <w:t>del análisis descriptivo</w:t>
      </w:r>
    </w:p>
    <w:p w14:paraId="6167C293" w14:textId="1C133244" w:rsidR="001F3A96" w:rsidRPr="00865381" w:rsidRDefault="001F3A96" w:rsidP="004C55DE">
      <w:pPr>
        <w:spacing w:before="240" w:line="360" w:lineRule="auto"/>
        <w:jc w:val="both"/>
        <w:rPr>
          <w:rFonts w:ascii="Times New Roman" w:hAnsi="Times New Roman" w:cs="Times New Roman"/>
          <w:sz w:val="24"/>
          <w:szCs w:val="24"/>
        </w:rPr>
      </w:pPr>
      <w:r w:rsidRPr="00865381">
        <w:rPr>
          <w:rFonts w:ascii="Times New Roman" w:hAnsi="Times New Roman" w:cs="Times New Roman"/>
          <w:sz w:val="24"/>
          <w:szCs w:val="24"/>
        </w:rPr>
        <w:t xml:space="preserve">El análisis comparativo de las seis universidades de la Región Bonaerense muestra variaciones significativas en los niveles del índice de divulgación del </w:t>
      </w:r>
      <w:r w:rsidR="0094637A">
        <w:rPr>
          <w:rFonts w:ascii="Times New Roman" w:hAnsi="Times New Roman" w:cs="Times New Roman"/>
          <w:sz w:val="24"/>
          <w:szCs w:val="24"/>
        </w:rPr>
        <w:t>CR</w:t>
      </w:r>
      <w:r w:rsidRPr="00865381">
        <w:rPr>
          <w:rFonts w:ascii="Times New Roman" w:hAnsi="Times New Roman" w:cs="Times New Roman"/>
          <w:sz w:val="24"/>
          <w:szCs w:val="24"/>
        </w:rPr>
        <w:t xml:space="preserve"> (IDCRT). Al contrastarlos con las variables institucionales seleccionadas, se observa que la complejidad institucional es la que presenta una asociación más consistente con mayores niveles de divulgación. En particular, la UNLP, que cuenta con la mayor oferta académica, registra un IDCRT alto (0,81), mientras que las universidades con menor complejidad —como UTN-FRLP o UNSAdA— exhiben valores más bajos.</w:t>
      </w:r>
    </w:p>
    <w:p w14:paraId="64A07DEE" w14:textId="77777777" w:rsidR="001F3A96" w:rsidRPr="00865381" w:rsidRDefault="001F3A96" w:rsidP="00A93A98">
      <w:pPr>
        <w:spacing w:line="360" w:lineRule="auto"/>
        <w:jc w:val="both"/>
        <w:rPr>
          <w:rFonts w:ascii="Times New Roman" w:hAnsi="Times New Roman" w:cs="Times New Roman"/>
          <w:sz w:val="24"/>
          <w:szCs w:val="24"/>
        </w:rPr>
      </w:pPr>
      <w:r w:rsidRPr="00865381">
        <w:rPr>
          <w:rFonts w:ascii="Times New Roman" w:hAnsi="Times New Roman" w:cs="Times New Roman"/>
          <w:sz w:val="24"/>
          <w:szCs w:val="24"/>
        </w:rPr>
        <w:t>Por el contrario, no se observó una relación clara entre el IDCRT y el porcentaje de docentes con doctorado. Ejemplo de ello es la UNS, que presenta el mayor valor en esta variable (25,1%) pero el IDCRT más bajo (0,31). Tampoco se evidencian patrones consistentes en relación con el tamaño institucional, y no fue posible analizar la variable género, dado que todas las universidades de la muestra presentan autoridades masculinas.</w:t>
      </w:r>
    </w:p>
    <w:p w14:paraId="7C0C0F50" w14:textId="670D5C6C" w:rsidR="001F3A96" w:rsidRDefault="001F3A96" w:rsidP="00A93A98">
      <w:pPr>
        <w:spacing w:line="360" w:lineRule="auto"/>
        <w:jc w:val="both"/>
        <w:rPr>
          <w:rFonts w:ascii="Times New Roman" w:hAnsi="Times New Roman" w:cs="Times New Roman"/>
          <w:sz w:val="24"/>
          <w:szCs w:val="24"/>
        </w:rPr>
      </w:pPr>
      <w:r w:rsidRPr="00865381">
        <w:rPr>
          <w:rFonts w:ascii="Times New Roman" w:hAnsi="Times New Roman" w:cs="Times New Roman"/>
          <w:sz w:val="24"/>
          <w:szCs w:val="24"/>
        </w:rPr>
        <w:t>En suma, estos resultados, si bien exploratorios y no generalizables debido al tamaño reducido</w:t>
      </w:r>
      <w:r w:rsidR="00092682">
        <w:rPr>
          <w:rFonts w:ascii="Times New Roman" w:hAnsi="Times New Roman" w:cs="Times New Roman"/>
          <w:sz w:val="24"/>
          <w:szCs w:val="24"/>
        </w:rPr>
        <w:t xml:space="preserve"> de la muestra</w:t>
      </w:r>
      <w:r w:rsidRPr="00865381">
        <w:rPr>
          <w:rFonts w:ascii="Times New Roman" w:hAnsi="Times New Roman" w:cs="Times New Roman"/>
          <w:sz w:val="24"/>
          <w:szCs w:val="24"/>
        </w:rPr>
        <w:t>, permiten identificar ciertas regularidades que sugieren que la complejidad institucional podría estar asociada a políticas más ac</w:t>
      </w:r>
      <w:r w:rsidR="0094637A">
        <w:rPr>
          <w:rFonts w:ascii="Times New Roman" w:hAnsi="Times New Roman" w:cs="Times New Roman"/>
          <w:sz w:val="24"/>
          <w:szCs w:val="24"/>
        </w:rPr>
        <w:t>tivas de divulgación del CR</w:t>
      </w:r>
      <w:r w:rsidRPr="00865381">
        <w:rPr>
          <w:rFonts w:ascii="Times New Roman" w:hAnsi="Times New Roman" w:cs="Times New Roman"/>
          <w:sz w:val="24"/>
          <w:szCs w:val="24"/>
        </w:rPr>
        <w:t>.</w:t>
      </w:r>
    </w:p>
    <w:p w14:paraId="75B479ED" w14:textId="20460962" w:rsidR="00092682" w:rsidRPr="004C2B05" w:rsidRDefault="00092682" w:rsidP="00597A56">
      <w:pPr>
        <w:spacing w:line="360" w:lineRule="auto"/>
        <w:jc w:val="both"/>
        <w:rPr>
          <w:rFonts w:ascii="Times New Roman" w:hAnsi="Times New Roman" w:cs="Times New Roman"/>
          <w:sz w:val="24"/>
          <w:szCs w:val="24"/>
        </w:rPr>
      </w:pPr>
      <w:r w:rsidRPr="00092682">
        <w:rPr>
          <w:rFonts w:ascii="Times New Roman" w:hAnsi="Times New Roman" w:cs="Times New Roman"/>
          <w:sz w:val="24"/>
          <w:szCs w:val="24"/>
        </w:rPr>
        <w:t>Como complemento del análisis descriptivo —y con el propósito de contrastar las conclusiones preliminares antes señaladas— se calcularon correlaciones de Spearman entre el índice de d</w:t>
      </w:r>
      <w:r w:rsidR="00B24353">
        <w:rPr>
          <w:rFonts w:ascii="Times New Roman" w:hAnsi="Times New Roman" w:cs="Times New Roman"/>
          <w:sz w:val="24"/>
          <w:szCs w:val="24"/>
        </w:rPr>
        <w:t>ivulgación y las variables conti</w:t>
      </w:r>
      <w:r w:rsidRPr="00092682">
        <w:rPr>
          <w:rFonts w:ascii="Times New Roman" w:hAnsi="Times New Roman" w:cs="Times New Roman"/>
          <w:sz w:val="24"/>
          <w:szCs w:val="24"/>
        </w:rPr>
        <w:t xml:space="preserve">nuas seleccionadas. Este estudio no </w:t>
      </w:r>
      <w:r w:rsidRPr="004C2B05">
        <w:rPr>
          <w:rFonts w:ascii="Times New Roman" w:hAnsi="Times New Roman" w:cs="Times New Roman"/>
          <w:sz w:val="24"/>
          <w:szCs w:val="24"/>
        </w:rPr>
        <w:t>paramétrico permite explorar posibles asociaciones entre dichas variables, aun con las limitaci</w:t>
      </w:r>
      <w:r w:rsidR="00B24353" w:rsidRPr="004C2B05">
        <w:rPr>
          <w:rFonts w:ascii="Times New Roman" w:hAnsi="Times New Roman" w:cs="Times New Roman"/>
          <w:sz w:val="24"/>
          <w:szCs w:val="24"/>
        </w:rPr>
        <w:t>ones propias del tamaño de la muestra</w:t>
      </w:r>
      <w:r w:rsidRPr="004C2B05">
        <w:rPr>
          <w:rFonts w:ascii="Times New Roman" w:hAnsi="Times New Roman" w:cs="Times New Roman"/>
          <w:sz w:val="24"/>
          <w:szCs w:val="24"/>
        </w:rPr>
        <w:t>.</w:t>
      </w:r>
    </w:p>
    <w:p w14:paraId="27B681B2" w14:textId="77777777" w:rsidR="00597A56" w:rsidRPr="00865381" w:rsidRDefault="00454A33" w:rsidP="00597A56">
      <w:pPr>
        <w:spacing w:line="360" w:lineRule="auto"/>
        <w:jc w:val="both"/>
        <w:rPr>
          <w:rFonts w:ascii="Times New Roman" w:hAnsi="Times New Roman" w:cs="Times New Roman"/>
          <w:b/>
          <w:sz w:val="24"/>
          <w:szCs w:val="24"/>
        </w:rPr>
      </w:pPr>
      <w:r w:rsidRPr="00865381">
        <w:rPr>
          <w:rFonts w:ascii="Times New Roman" w:hAnsi="Times New Roman" w:cs="Times New Roman"/>
          <w:b/>
          <w:sz w:val="24"/>
          <w:szCs w:val="24"/>
        </w:rPr>
        <w:lastRenderedPageBreak/>
        <w:t xml:space="preserve">Cuadro 5: </w:t>
      </w:r>
      <w:r w:rsidR="00597A56" w:rsidRPr="00865381">
        <w:rPr>
          <w:rFonts w:ascii="Times New Roman" w:hAnsi="Times New Roman" w:cs="Times New Roman"/>
          <w:b/>
          <w:sz w:val="24"/>
          <w:szCs w:val="24"/>
        </w:rPr>
        <w:t>correlación de Spearman entre el IDCRT y las tres variables institucionales continuas:</w:t>
      </w:r>
    </w:p>
    <w:tbl>
      <w:tblPr>
        <w:tblStyle w:val="Tablanormal51"/>
        <w:tblW w:w="8188" w:type="dxa"/>
        <w:tblInd w:w="108" w:type="dxa"/>
        <w:tblLook w:val="04A0" w:firstRow="1" w:lastRow="0" w:firstColumn="1" w:lastColumn="0" w:noHBand="0" w:noVBand="1"/>
      </w:tblPr>
      <w:tblGrid>
        <w:gridCol w:w="1326"/>
        <w:gridCol w:w="1861"/>
        <w:gridCol w:w="906"/>
        <w:gridCol w:w="4095"/>
      </w:tblGrid>
      <w:tr w:rsidR="009A14FD" w:rsidRPr="005F5161" w14:paraId="5515CA0D" w14:textId="77777777" w:rsidTr="0037101E">
        <w:trPr>
          <w:cnfStyle w:val="100000000000" w:firstRow="1" w:lastRow="0" w:firstColumn="0" w:lastColumn="0" w:oddVBand="0" w:evenVBand="0" w:oddHBand="0" w:evenHBand="0" w:firstRowFirstColumn="0" w:firstRowLastColumn="0" w:lastRowFirstColumn="0" w:lastRowLastColumn="0"/>
          <w:trHeight w:val="285"/>
        </w:trPr>
        <w:tc>
          <w:tcPr>
            <w:cnfStyle w:val="001000000100" w:firstRow="0" w:lastRow="0" w:firstColumn="1" w:lastColumn="0" w:oddVBand="0" w:evenVBand="0" w:oddHBand="0" w:evenHBand="0" w:firstRowFirstColumn="1" w:firstRowLastColumn="0" w:lastRowFirstColumn="0" w:lastRowLastColumn="0"/>
            <w:tcW w:w="1326" w:type="dxa"/>
            <w:vAlign w:val="center"/>
            <w:hideMark/>
          </w:tcPr>
          <w:p w14:paraId="1F9A423D" w14:textId="77777777" w:rsidR="00597A56" w:rsidRPr="005F5161" w:rsidRDefault="00597A56" w:rsidP="0037101E">
            <w:pPr>
              <w:jc w:val="center"/>
              <w:rPr>
                <w:rFonts w:ascii="Times New Roman" w:eastAsia="Times New Roman" w:hAnsi="Times New Roman" w:cs="Times New Roman"/>
                <w:b/>
                <w:bCs/>
                <w:color w:val="000000"/>
                <w:sz w:val="20"/>
                <w:szCs w:val="20"/>
                <w:lang w:eastAsia="es-AR"/>
              </w:rPr>
            </w:pPr>
            <w:r w:rsidRPr="005F5161">
              <w:rPr>
                <w:rFonts w:ascii="Times New Roman" w:eastAsia="Times New Roman" w:hAnsi="Times New Roman" w:cs="Times New Roman"/>
                <w:b/>
                <w:bCs/>
                <w:color w:val="000000"/>
                <w:sz w:val="20"/>
                <w:szCs w:val="20"/>
                <w:lang w:eastAsia="es-AR"/>
              </w:rPr>
              <w:t>Variable</w:t>
            </w:r>
          </w:p>
        </w:tc>
        <w:tc>
          <w:tcPr>
            <w:tcW w:w="1861" w:type="dxa"/>
            <w:vAlign w:val="center"/>
            <w:hideMark/>
          </w:tcPr>
          <w:p w14:paraId="7BEBD6F4" w14:textId="77777777" w:rsidR="00597A56" w:rsidRPr="005F5161" w:rsidRDefault="00597A56" w:rsidP="0037101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s-AR"/>
              </w:rPr>
            </w:pPr>
            <w:r w:rsidRPr="005F5161">
              <w:rPr>
                <w:rFonts w:ascii="Times New Roman" w:eastAsia="Times New Roman" w:hAnsi="Times New Roman" w:cs="Times New Roman"/>
                <w:b/>
                <w:bCs/>
                <w:color w:val="000000"/>
                <w:sz w:val="20"/>
                <w:szCs w:val="20"/>
                <w:lang w:eastAsia="es-AR"/>
              </w:rPr>
              <w:t>Rho de Spearman</w:t>
            </w:r>
          </w:p>
        </w:tc>
        <w:tc>
          <w:tcPr>
            <w:tcW w:w="906" w:type="dxa"/>
            <w:vAlign w:val="center"/>
            <w:hideMark/>
          </w:tcPr>
          <w:p w14:paraId="21A242B5" w14:textId="77777777" w:rsidR="00597A56" w:rsidRPr="005F5161" w:rsidRDefault="00597A56" w:rsidP="0037101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s-AR"/>
              </w:rPr>
            </w:pPr>
            <w:r w:rsidRPr="005F5161">
              <w:rPr>
                <w:rFonts w:ascii="Times New Roman" w:eastAsia="Times New Roman" w:hAnsi="Times New Roman" w:cs="Times New Roman"/>
                <w:b/>
                <w:bCs/>
                <w:color w:val="000000"/>
                <w:sz w:val="20"/>
                <w:szCs w:val="20"/>
                <w:lang w:eastAsia="es-AR"/>
              </w:rPr>
              <w:t>Valor p</w:t>
            </w:r>
          </w:p>
        </w:tc>
        <w:tc>
          <w:tcPr>
            <w:tcW w:w="4095" w:type="dxa"/>
            <w:vAlign w:val="center"/>
            <w:hideMark/>
          </w:tcPr>
          <w:p w14:paraId="68E5DB2A" w14:textId="77777777" w:rsidR="00597A56" w:rsidRPr="005F5161" w:rsidRDefault="00597A56" w:rsidP="0037101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s-AR"/>
              </w:rPr>
            </w:pPr>
            <w:r w:rsidRPr="005F5161">
              <w:rPr>
                <w:rFonts w:ascii="Times New Roman" w:eastAsia="Times New Roman" w:hAnsi="Times New Roman" w:cs="Times New Roman"/>
                <w:b/>
                <w:bCs/>
                <w:color w:val="000000"/>
                <w:sz w:val="20"/>
                <w:szCs w:val="20"/>
                <w:lang w:eastAsia="es-AR"/>
              </w:rPr>
              <w:t>Interpretación preliminar</w:t>
            </w:r>
          </w:p>
        </w:tc>
      </w:tr>
      <w:tr w:rsidR="009A14FD" w:rsidRPr="005F5161" w14:paraId="31BE9FBD" w14:textId="77777777" w:rsidTr="0037101E">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326" w:type="dxa"/>
            <w:vAlign w:val="center"/>
            <w:hideMark/>
          </w:tcPr>
          <w:p w14:paraId="3FF52EDD" w14:textId="77777777" w:rsidR="00597A56" w:rsidRPr="005F5161" w:rsidRDefault="00597A56" w:rsidP="0037101E">
            <w:pPr>
              <w:jc w:val="center"/>
              <w:rPr>
                <w:rFonts w:ascii="Times New Roman" w:eastAsia="Times New Roman" w:hAnsi="Times New Roman" w:cs="Times New Roman"/>
                <w:color w:val="000000"/>
                <w:sz w:val="20"/>
                <w:szCs w:val="20"/>
                <w:lang w:eastAsia="es-AR"/>
              </w:rPr>
            </w:pPr>
            <w:r w:rsidRPr="005F5161">
              <w:rPr>
                <w:rFonts w:ascii="Times New Roman" w:eastAsia="Times New Roman" w:hAnsi="Times New Roman" w:cs="Times New Roman"/>
                <w:color w:val="000000"/>
                <w:sz w:val="20"/>
                <w:szCs w:val="20"/>
                <w:lang w:eastAsia="es-AR"/>
              </w:rPr>
              <w:t>Tamaño (LN)</w:t>
            </w:r>
          </w:p>
        </w:tc>
        <w:tc>
          <w:tcPr>
            <w:tcW w:w="1861" w:type="dxa"/>
            <w:vAlign w:val="center"/>
            <w:hideMark/>
          </w:tcPr>
          <w:p w14:paraId="3C139B78" w14:textId="77777777" w:rsidR="00597A56" w:rsidRPr="005F5161" w:rsidRDefault="00597A56" w:rsidP="0037101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AR"/>
              </w:rPr>
            </w:pPr>
            <w:r w:rsidRPr="005F5161">
              <w:rPr>
                <w:rFonts w:ascii="Times New Roman" w:eastAsia="Times New Roman" w:hAnsi="Times New Roman" w:cs="Times New Roman"/>
                <w:color w:val="000000"/>
                <w:sz w:val="20"/>
                <w:szCs w:val="20"/>
                <w:lang w:eastAsia="es-AR"/>
              </w:rPr>
              <w:t>0,26</w:t>
            </w:r>
          </w:p>
        </w:tc>
        <w:tc>
          <w:tcPr>
            <w:tcW w:w="906" w:type="dxa"/>
            <w:vAlign w:val="center"/>
            <w:hideMark/>
          </w:tcPr>
          <w:p w14:paraId="5740137F" w14:textId="77777777" w:rsidR="00597A56" w:rsidRPr="005F5161" w:rsidRDefault="00597A56" w:rsidP="0037101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AR"/>
              </w:rPr>
            </w:pPr>
            <w:r w:rsidRPr="005F5161">
              <w:rPr>
                <w:rFonts w:ascii="Times New Roman" w:eastAsia="Times New Roman" w:hAnsi="Times New Roman" w:cs="Times New Roman"/>
                <w:color w:val="000000"/>
                <w:sz w:val="20"/>
                <w:szCs w:val="20"/>
                <w:lang w:eastAsia="es-AR"/>
              </w:rPr>
              <w:t>0,6228</w:t>
            </w:r>
          </w:p>
        </w:tc>
        <w:tc>
          <w:tcPr>
            <w:tcW w:w="4095" w:type="dxa"/>
            <w:vAlign w:val="center"/>
            <w:hideMark/>
          </w:tcPr>
          <w:p w14:paraId="5038E539" w14:textId="77777777" w:rsidR="00597A56" w:rsidRPr="005F5161" w:rsidRDefault="00597A56" w:rsidP="0037101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AR"/>
              </w:rPr>
            </w:pPr>
            <w:r w:rsidRPr="005F5161">
              <w:rPr>
                <w:rFonts w:ascii="Times New Roman" w:eastAsia="Times New Roman" w:hAnsi="Times New Roman" w:cs="Times New Roman"/>
                <w:color w:val="000000"/>
                <w:sz w:val="20"/>
                <w:szCs w:val="20"/>
                <w:lang w:eastAsia="es-AR"/>
              </w:rPr>
              <w:t>Asociación débil y no significativa</w:t>
            </w:r>
          </w:p>
        </w:tc>
      </w:tr>
      <w:tr w:rsidR="009A14FD" w:rsidRPr="005F5161" w14:paraId="76640CA6" w14:textId="77777777" w:rsidTr="0037101E">
        <w:trPr>
          <w:trHeight w:val="285"/>
        </w:trPr>
        <w:tc>
          <w:tcPr>
            <w:cnfStyle w:val="001000000000" w:firstRow="0" w:lastRow="0" w:firstColumn="1" w:lastColumn="0" w:oddVBand="0" w:evenVBand="0" w:oddHBand="0" w:evenHBand="0" w:firstRowFirstColumn="0" w:firstRowLastColumn="0" w:lastRowFirstColumn="0" w:lastRowLastColumn="0"/>
            <w:tcW w:w="1326" w:type="dxa"/>
            <w:vAlign w:val="center"/>
            <w:hideMark/>
          </w:tcPr>
          <w:p w14:paraId="7902DBF1" w14:textId="77777777" w:rsidR="00597A56" w:rsidRPr="005F5161" w:rsidRDefault="00597A56" w:rsidP="0037101E">
            <w:pPr>
              <w:jc w:val="center"/>
              <w:rPr>
                <w:rFonts w:ascii="Times New Roman" w:eastAsia="Times New Roman" w:hAnsi="Times New Roman" w:cs="Times New Roman"/>
                <w:color w:val="000000"/>
                <w:sz w:val="20"/>
                <w:szCs w:val="20"/>
                <w:lang w:eastAsia="es-AR"/>
              </w:rPr>
            </w:pPr>
            <w:r w:rsidRPr="005F5161">
              <w:rPr>
                <w:rFonts w:ascii="Times New Roman" w:eastAsia="Times New Roman" w:hAnsi="Times New Roman" w:cs="Times New Roman"/>
                <w:color w:val="000000"/>
                <w:sz w:val="20"/>
                <w:szCs w:val="20"/>
                <w:lang w:eastAsia="es-AR"/>
              </w:rPr>
              <w:t>Cap</w:t>
            </w:r>
            <w:r w:rsidR="009A14FD" w:rsidRPr="005F5161">
              <w:rPr>
                <w:rFonts w:ascii="Times New Roman" w:eastAsia="Times New Roman" w:hAnsi="Times New Roman" w:cs="Times New Roman"/>
                <w:color w:val="000000"/>
                <w:sz w:val="20"/>
                <w:szCs w:val="20"/>
                <w:lang w:eastAsia="es-AR"/>
              </w:rPr>
              <w:t>acidad</w:t>
            </w:r>
            <w:r w:rsidR="0006642A" w:rsidRPr="005F5161">
              <w:rPr>
                <w:rFonts w:ascii="Times New Roman" w:eastAsia="Times New Roman" w:hAnsi="Times New Roman" w:cs="Times New Roman"/>
                <w:color w:val="000000"/>
                <w:sz w:val="20"/>
                <w:szCs w:val="20"/>
                <w:lang w:eastAsia="es-AR"/>
              </w:rPr>
              <w:t xml:space="preserve"> I</w:t>
            </w:r>
            <w:r w:rsidRPr="005F5161">
              <w:rPr>
                <w:rFonts w:ascii="Times New Roman" w:eastAsia="Times New Roman" w:hAnsi="Times New Roman" w:cs="Times New Roman"/>
                <w:color w:val="000000"/>
                <w:sz w:val="20"/>
                <w:szCs w:val="20"/>
                <w:lang w:eastAsia="es-AR"/>
              </w:rPr>
              <w:t>nv</w:t>
            </w:r>
            <w:r w:rsidR="009A14FD" w:rsidRPr="005F5161">
              <w:rPr>
                <w:rFonts w:ascii="Times New Roman" w:eastAsia="Times New Roman" w:hAnsi="Times New Roman" w:cs="Times New Roman"/>
                <w:color w:val="000000"/>
                <w:sz w:val="20"/>
                <w:szCs w:val="20"/>
                <w:lang w:eastAsia="es-AR"/>
              </w:rPr>
              <w:t>estigación</w:t>
            </w:r>
          </w:p>
        </w:tc>
        <w:tc>
          <w:tcPr>
            <w:tcW w:w="1861" w:type="dxa"/>
            <w:vAlign w:val="center"/>
            <w:hideMark/>
          </w:tcPr>
          <w:p w14:paraId="7DBC94EC" w14:textId="77777777" w:rsidR="00597A56" w:rsidRPr="005F5161" w:rsidRDefault="00597A56" w:rsidP="0037101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AR"/>
              </w:rPr>
            </w:pPr>
            <w:r w:rsidRPr="005F5161">
              <w:rPr>
                <w:rFonts w:ascii="Times New Roman" w:eastAsia="Times New Roman" w:hAnsi="Times New Roman" w:cs="Times New Roman"/>
                <w:color w:val="000000"/>
                <w:sz w:val="20"/>
                <w:szCs w:val="20"/>
                <w:lang w:eastAsia="es-AR"/>
              </w:rPr>
              <w:t>-0,14</w:t>
            </w:r>
          </w:p>
        </w:tc>
        <w:tc>
          <w:tcPr>
            <w:tcW w:w="906" w:type="dxa"/>
            <w:vAlign w:val="center"/>
            <w:hideMark/>
          </w:tcPr>
          <w:p w14:paraId="46AA22FC" w14:textId="77777777" w:rsidR="00597A56" w:rsidRPr="005F5161" w:rsidRDefault="00597A56" w:rsidP="0037101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AR"/>
              </w:rPr>
            </w:pPr>
            <w:r w:rsidRPr="005F5161">
              <w:rPr>
                <w:rFonts w:ascii="Times New Roman" w:eastAsia="Times New Roman" w:hAnsi="Times New Roman" w:cs="Times New Roman"/>
                <w:color w:val="000000"/>
                <w:sz w:val="20"/>
                <w:szCs w:val="20"/>
                <w:lang w:eastAsia="es-AR"/>
              </w:rPr>
              <w:t>0,7872</w:t>
            </w:r>
          </w:p>
        </w:tc>
        <w:tc>
          <w:tcPr>
            <w:tcW w:w="4095" w:type="dxa"/>
            <w:vAlign w:val="center"/>
            <w:hideMark/>
          </w:tcPr>
          <w:p w14:paraId="080D0421" w14:textId="77777777" w:rsidR="00597A56" w:rsidRPr="005F5161" w:rsidRDefault="00597A56" w:rsidP="0037101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AR"/>
              </w:rPr>
            </w:pPr>
            <w:r w:rsidRPr="005F5161">
              <w:rPr>
                <w:rFonts w:ascii="Times New Roman" w:eastAsia="Times New Roman" w:hAnsi="Times New Roman" w:cs="Times New Roman"/>
                <w:color w:val="000000"/>
                <w:sz w:val="20"/>
                <w:szCs w:val="20"/>
                <w:lang w:eastAsia="es-AR"/>
              </w:rPr>
              <w:t>Asociación negativa muy débil; sin relación aparente</w:t>
            </w:r>
          </w:p>
        </w:tc>
      </w:tr>
      <w:tr w:rsidR="009A14FD" w:rsidRPr="005F5161" w14:paraId="15E0F544" w14:textId="77777777" w:rsidTr="0037101E">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326" w:type="dxa"/>
            <w:vAlign w:val="center"/>
            <w:hideMark/>
          </w:tcPr>
          <w:p w14:paraId="77463204" w14:textId="77777777" w:rsidR="00597A56" w:rsidRPr="005F5161" w:rsidRDefault="00597A56" w:rsidP="0037101E">
            <w:pPr>
              <w:jc w:val="center"/>
              <w:rPr>
                <w:rFonts w:ascii="Times New Roman" w:eastAsia="Times New Roman" w:hAnsi="Times New Roman" w:cs="Times New Roman"/>
                <w:color w:val="000000"/>
                <w:sz w:val="20"/>
                <w:szCs w:val="20"/>
                <w:lang w:eastAsia="es-AR"/>
              </w:rPr>
            </w:pPr>
            <w:r w:rsidRPr="005F5161">
              <w:rPr>
                <w:rFonts w:ascii="Times New Roman" w:eastAsia="Times New Roman" w:hAnsi="Times New Roman" w:cs="Times New Roman"/>
                <w:color w:val="000000"/>
                <w:sz w:val="20"/>
                <w:szCs w:val="20"/>
                <w:lang w:eastAsia="es-AR"/>
              </w:rPr>
              <w:t>Complejidad</w:t>
            </w:r>
          </w:p>
        </w:tc>
        <w:tc>
          <w:tcPr>
            <w:tcW w:w="1861" w:type="dxa"/>
            <w:vAlign w:val="center"/>
            <w:hideMark/>
          </w:tcPr>
          <w:p w14:paraId="5AF9AB14" w14:textId="77777777" w:rsidR="00597A56" w:rsidRPr="005F5161" w:rsidRDefault="00597A56" w:rsidP="0037101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AR"/>
              </w:rPr>
            </w:pPr>
            <w:r w:rsidRPr="005F5161">
              <w:rPr>
                <w:rFonts w:ascii="Times New Roman" w:eastAsia="Times New Roman" w:hAnsi="Times New Roman" w:cs="Times New Roman"/>
                <w:color w:val="000000"/>
                <w:sz w:val="20"/>
                <w:szCs w:val="20"/>
                <w:lang w:eastAsia="es-AR"/>
              </w:rPr>
              <w:t>0,66</w:t>
            </w:r>
          </w:p>
        </w:tc>
        <w:tc>
          <w:tcPr>
            <w:tcW w:w="906" w:type="dxa"/>
            <w:vAlign w:val="center"/>
            <w:hideMark/>
          </w:tcPr>
          <w:p w14:paraId="37250033" w14:textId="77777777" w:rsidR="00597A56" w:rsidRPr="005F5161" w:rsidRDefault="00597A56" w:rsidP="0037101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AR"/>
              </w:rPr>
            </w:pPr>
            <w:r w:rsidRPr="005F5161">
              <w:rPr>
                <w:rFonts w:ascii="Times New Roman" w:eastAsia="Times New Roman" w:hAnsi="Times New Roman" w:cs="Times New Roman"/>
                <w:color w:val="000000"/>
                <w:sz w:val="20"/>
                <w:szCs w:val="20"/>
                <w:lang w:eastAsia="es-AR"/>
              </w:rPr>
              <w:t>0,1562</w:t>
            </w:r>
          </w:p>
        </w:tc>
        <w:tc>
          <w:tcPr>
            <w:tcW w:w="4095" w:type="dxa"/>
            <w:vAlign w:val="center"/>
            <w:hideMark/>
          </w:tcPr>
          <w:p w14:paraId="21856784" w14:textId="77777777" w:rsidR="00597A56" w:rsidRPr="005F5161" w:rsidRDefault="00597A56" w:rsidP="0037101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AR"/>
              </w:rPr>
            </w:pPr>
            <w:r w:rsidRPr="005F5161">
              <w:rPr>
                <w:rFonts w:ascii="Times New Roman" w:eastAsia="Times New Roman" w:hAnsi="Times New Roman" w:cs="Times New Roman"/>
                <w:color w:val="000000"/>
                <w:sz w:val="20"/>
                <w:szCs w:val="20"/>
                <w:lang w:eastAsia="es-AR"/>
              </w:rPr>
              <w:t>Asociación positiva moderada; sugiere una tendencia consistente</w:t>
            </w:r>
          </w:p>
        </w:tc>
      </w:tr>
    </w:tbl>
    <w:p w14:paraId="722E0206" w14:textId="77777777" w:rsidR="00454A33" w:rsidRPr="005F5161" w:rsidRDefault="00454A33" w:rsidP="00454A33">
      <w:pPr>
        <w:spacing w:after="200" w:line="276" w:lineRule="auto"/>
        <w:rPr>
          <w:rFonts w:ascii="Times New Roman" w:eastAsia="Calibri" w:hAnsi="Times New Roman" w:cs="Times New Roman"/>
        </w:rPr>
      </w:pPr>
      <w:r w:rsidRPr="005F5161">
        <w:rPr>
          <w:rFonts w:ascii="Times New Roman" w:eastAsia="Calibri" w:hAnsi="Times New Roman" w:cs="Times New Roman"/>
        </w:rPr>
        <w:t>Fuente: elaboración propia</w:t>
      </w:r>
    </w:p>
    <w:p w14:paraId="6A109597" w14:textId="0FFE4F4C" w:rsidR="00454A33" w:rsidRPr="00865381" w:rsidRDefault="00454A33" w:rsidP="00883470">
      <w:pPr>
        <w:spacing w:line="360" w:lineRule="auto"/>
        <w:jc w:val="both"/>
        <w:rPr>
          <w:rFonts w:ascii="Times New Roman" w:hAnsi="Times New Roman" w:cs="Times New Roman"/>
          <w:sz w:val="24"/>
          <w:szCs w:val="24"/>
        </w:rPr>
      </w:pPr>
      <w:r w:rsidRPr="00865381">
        <w:rPr>
          <w:rFonts w:ascii="Times New Roman" w:hAnsi="Times New Roman" w:cs="Times New Roman"/>
          <w:sz w:val="24"/>
          <w:szCs w:val="24"/>
        </w:rPr>
        <w:t>De las tres variables analizada</w:t>
      </w:r>
      <w:r w:rsidR="00092682">
        <w:rPr>
          <w:rFonts w:ascii="Times New Roman" w:hAnsi="Times New Roman" w:cs="Times New Roman"/>
          <w:sz w:val="24"/>
          <w:szCs w:val="24"/>
        </w:rPr>
        <w:t>s, la complejidad institucional</w:t>
      </w:r>
      <w:r w:rsidRPr="00865381">
        <w:rPr>
          <w:rFonts w:ascii="Times New Roman" w:hAnsi="Times New Roman" w:cs="Times New Roman"/>
          <w:sz w:val="24"/>
          <w:szCs w:val="24"/>
        </w:rPr>
        <w:t xml:space="preserve"> muestra la asociación más alta con el índice de di</w:t>
      </w:r>
      <w:r w:rsidR="0094637A">
        <w:rPr>
          <w:rFonts w:ascii="Times New Roman" w:hAnsi="Times New Roman" w:cs="Times New Roman"/>
          <w:sz w:val="24"/>
          <w:szCs w:val="24"/>
        </w:rPr>
        <w:t>vulgación del CR</w:t>
      </w:r>
      <w:r w:rsidRPr="00865381">
        <w:rPr>
          <w:rFonts w:ascii="Times New Roman" w:hAnsi="Times New Roman" w:cs="Times New Roman"/>
          <w:sz w:val="24"/>
          <w:szCs w:val="24"/>
        </w:rPr>
        <w:t xml:space="preserve"> (ρ = 0,66). Aunque el resultado no alcanza significación estadística </w:t>
      </w:r>
      <w:r w:rsidRPr="004D1E4D">
        <w:rPr>
          <w:rFonts w:ascii="Times New Roman" w:hAnsi="Times New Roman" w:cs="Times New Roman"/>
          <w:sz w:val="24"/>
          <w:szCs w:val="24"/>
        </w:rPr>
        <w:t xml:space="preserve">(p </w:t>
      </w:r>
      <w:r w:rsidR="004C6920" w:rsidRPr="004D1E4D">
        <w:rPr>
          <w:rFonts w:ascii="Times New Roman" w:hAnsi="Times New Roman" w:cs="Times New Roman"/>
          <w:sz w:val="24"/>
          <w:szCs w:val="24"/>
        </w:rPr>
        <w:t>&lt;</w:t>
      </w:r>
      <w:r w:rsidRPr="004D1E4D">
        <w:rPr>
          <w:rFonts w:ascii="Times New Roman" w:hAnsi="Times New Roman" w:cs="Times New Roman"/>
          <w:sz w:val="24"/>
          <w:szCs w:val="24"/>
        </w:rPr>
        <w:t xml:space="preserve"> 0,05),</w:t>
      </w:r>
      <w:r w:rsidRPr="00865381">
        <w:rPr>
          <w:rFonts w:ascii="Times New Roman" w:hAnsi="Times New Roman" w:cs="Times New Roman"/>
          <w:sz w:val="24"/>
          <w:szCs w:val="24"/>
        </w:rPr>
        <w:t xml:space="preserve"> lo cual era esperable por el tamaño de la muestra (n=6), sugiere una tendencia positiva moderada, coherente con lo observado en el análisis cualitativo.</w:t>
      </w:r>
    </w:p>
    <w:p w14:paraId="1947B3F9" w14:textId="77777777" w:rsidR="00454A33" w:rsidRDefault="00454A33" w:rsidP="00883470">
      <w:pPr>
        <w:spacing w:line="360" w:lineRule="auto"/>
        <w:jc w:val="both"/>
        <w:rPr>
          <w:rFonts w:ascii="Times New Roman" w:hAnsi="Times New Roman" w:cs="Times New Roman"/>
          <w:sz w:val="24"/>
          <w:szCs w:val="24"/>
        </w:rPr>
      </w:pPr>
      <w:r w:rsidRPr="00865381">
        <w:rPr>
          <w:rFonts w:ascii="Times New Roman" w:hAnsi="Times New Roman" w:cs="Times New Roman"/>
          <w:sz w:val="24"/>
          <w:szCs w:val="24"/>
        </w:rPr>
        <w:t>Las demás variables —tamaño institucional y capacidad de investigación— presentan asociaciones débiles (ρ = 0,26 y ρ = -0,14 respectivamente), sin evidencia de relación consistente con los niveles de divulgación.</w:t>
      </w:r>
    </w:p>
    <w:p w14:paraId="6ED0236F" w14:textId="371CFCB6" w:rsidR="009A2DA6" w:rsidRPr="00865381" w:rsidRDefault="009A2DA6" w:rsidP="009A2DA6">
      <w:pPr>
        <w:spacing w:line="360" w:lineRule="auto"/>
        <w:jc w:val="both"/>
        <w:rPr>
          <w:rFonts w:ascii="Times New Roman" w:hAnsi="Times New Roman" w:cs="Times New Roman"/>
          <w:noProof/>
          <w:sz w:val="24"/>
          <w:szCs w:val="24"/>
        </w:rPr>
      </w:pPr>
      <w:r w:rsidRPr="00865381">
        <w:rPr>
          <w:rFonts w:ascii="Times New Roman" w:hAnsi="Times New Roman" w:cs="Times New Roman"/>
          <w:noProof/>
          <w:sz w:val="24"/>
          <w:szCs w:val="24"/>
        </w:rPr>
        <w:t xml:space="preserve">Estos resultados son comparables con los obtenidos en otros contextos. Estudios como los de Bisogno et al. (2014) y Manes et al. (2018) muestran una relación positiva y significativa entre la complejidad institucional y el nivel de divulgación de los distintos componentes del capital intelectual </w:t>
      </w:r>
      <w:r w:rsidR="0094637A">
        <w:rPr>
          <w:rFonts w:ascii="Times New Roman" w:hAnsi="Times New Roman" w:cs="Times New Roman"/>
          <w:noProof/>
          <w:sz w:val="24"/>
          <w:szCs w:val="24"/>
        </w:rPr>
        <w:t>—incluido el CR</w:t>
      </w:r>
      <w:r w:rsidR="001327B2" w:rsidRPr="001327B2">
        <w:rPr>
          <w:rFonts w:ascii="Times New Roman" w:hAnsi="Times New Roman" w:cs="Times New Roman"/>
          <w:noProof/>
          <w:sz w:val="24"/>
          <w:szCs w:val="24"/>
        </w:rPr>
        <w:t>—</w:t>
      </w:r>
      <w:r w:rsidR="001327B2">
        <w:rPr>
          <w:rFonts w:ascii="Times New Roman" w:hAnsi="Times New Roman" w:cs="Times New Roman"/>
          <w:noProof/>
          <w:sz w:val="24"/>
          <w:szCs w:val="24"/>
        </w:rPr>
        <w:t xml:space="preserve"> </w:t>
      </w:r>
      <w:r w:rsidRPr="00865381">
        <w:rPr>
          <w:rFonts w:ascii="Times New Roman" w:hAnsi="Times New Roman" w:cs="Times New Roman"/>
          <w:noProof/>
          <w:sz w:val="24"/>
          <w:szCs w:val="24"/>
        </w:rPr>
        <w:t xml:space="preserve">en los sitios web universitarios. Por su parte, </w:t>
      </w:r>
      <w:r w:rsidR="001327B2" w:rsidRPr="001327B2">
        <w:rPr>
          <w:rFonts w:ascii="Times New Roman" w:hAnsi="Times New Roman" w:cs="Times New Roman"/>
          <w:noProof/>
          <w:sz w:val="24"/>
          <w:szCs w:val="24"/>
        </w:rPr>
        <w:t xml:space="preserve">y en sintonía con los hallazgos de este estudio, </w:t>
      </w:r>
      <w:r w:rsidRPr="00865381">
        <w:rPr>
          <w:rFonts w:ascii="Times New Roman" w:hAnsi="Times New Roman" w:cs="Times New Roman"/>
          <w:noProof/>
          <w:sz w:val="24"/>
          <w:szCs w:val="24"/>
        </w:rPr>
        <w:t xml:space="preserve">Gallego et al. (2011) </w:t>
      </w:r>
      <w:r w:rsidR="00292ABA" w:rsidRPr="00865381">
        <w:rPr>
          <w:rFonts w:ascii="Times New Roman" w:hAnsi="Times New Roman" w:cs="Times New Roman"/>
          <w:noProof/>
          <w:sz w:val="24"/>
          <w:szCs w:val="24"/>
        </w:rPr>
        <w:t xml:space="preserve">y Católico Segura (2023) </w:t>
      </w:r>
      <w:r w:rsidRPr="00865381">
        <w:rPr>
          <w:rFonts w:ascii="Times New Roman" w:hAnsi="Times New Roman" w:cs="Times New Roman"/>
          <w:noProof/>
          <w:sz w:val="24"/>
          <w:szCs w:val="24"/>
        </w:rPr>
        <w:t xml:space="preserve">reportan una relación positiva, aunque no </w:t>
      </w:r>
      <w:r w:rsidR="001327B2">
        <w:rPr>
          <w:rFonts w:ascii="Times New Roman" w:hAnsi="Times New Roman" w:cs="Times New Roman"/>
          <w:noProof/>
          <w:sz w:val="24"/>
          <w:szCs w:val="24"/>
        </w:rPr>
        <w:t xml:space="preserve">estadísticamente </w:t>
      </w:r>
      <w:r w:rsidRPr="00865381">
        <w:rPr>
          <w:rFonts w:ascii="Times New Roman" w:hAnsi="Times New Roman" w:cs="Times New Roman"/>
          <w:noProof/>
          <w:sz w:val="24"/>
          <w:szCs w:val="24"/>
        </w:rPr>
        <w:t>significativa.</w:t>
      </w:r>
    </w:p>
    <w:p w14:paraId="41EC3A35" w14:textId="77777777" w:rsidR="009A2DA6" w:rsidRPr="00865381" w:rsidRDefault="009A2DA6" w:rsidP="009A2DA6">
      <w:pPr>
        <w:spacing w:line="360" w:lineRule="auto"/>
        <w:jc w:val="both"/>
        <w:rPr>
          <w:rFonts w:ascii="Times New Roman" w:hAnsi="Times New Roman" w:cs="Times New Roman"/>
          <w:noProof/>
          <w:sz w:val="24"/>
          <w:szCs w:val="24"/>
        </w:rPr>
      </w:pPr>
      <w:r w:rsidRPr="00865381">
        <w:rPr>
          <w:rFonts w:ascii="Times New Roman" w:hAnsi="Times New Roman" w:cs="Times New Roman"/>
          <w:noProof/>
          <w:sz w:val="24"/>
          <w:szCs w:val="24"/>
        </w:rPr>
        <w:t>En cuanto a la capacidad de investigación, investigaciones como las de Gall</w:t>
      </w:r>
      <w:r w:rsidR="00AB7544" w:rsidRPr="00865381">
        <w:rPr>
          <w:rFonts w:ascii="Times New Roman" w:hAnsi="Times New Roman" w:cs="Times New Roman"/>
          <w:noProof/>
          <w:sz w:val="24"/>
          <w:szCs w:val="24"/>
        </w:rPr>
        <w:t xml:space="preserve">ego et al. (2011), Católico </w:t>
      </w:r>
      <w:r w:rsidR="00292ABA" w:rsidRPr="00865381">
        <w:rPr>
          <w:rFonts w:ascii="Times New Roman" w:hAnsi="Times New Roman" w:cs="Times New Roman"/>
          <w:noProof/>
          <w:sz w:val="24"/>
          <w:szCs w:val="24"/>
        </w:rPr>
        <w:t xml:space="preserve">Segura </w:t>
      </w:r>
      <w:r w:rsidR="00AB7544" w:rsidRPr="00865381">
        <w:rPr>
          <w:rFonts w:ascii="Times New Roman" w:hAnsi="Times New Roman" w:cs="Times New Roman"/>
          <w:noProof/>
          <w:sz w:val="24"/>
          <w:szCs w:val="24"/>
        </w:rPr>
        <w:t>(202</w:t>
      </w:r>
      <w:r w:rsidRPr="00865381">
        <w:rPr>
          <w:rFonts w:ascii="Times New Roman" w:hAnsi="Times New Roman" w:cs="Times New Roman"/>
          <w:noProof/>
          <w:sz w:val="24"/>
          <w:szCs w:val="24"/>
        </w:rPr>
        <w:t>2) y Bisogno et al. (2014) tampoco han encontrado un vínculo claro entre esta variable y el nivel de divulgación de información voluntaria en las universidades. Incluso, algunos trabajos evidencian una relación inversa y significativa entre producción científica y transparencia.</w:t>
      </w:r>
    </w:p>
    <w:p w14:paraId="1E81D7DA" w14:textId="77777777" w:rsidR="00054E68" w:rsidRDefault="009A2DA6" w:rsidP="005E3958">
      <w:pPr>
        <w:spacing w:line="360" w:lineRule="auto"/>
        <w:jc w:val="both"/>
        <w:rPr>
          <w:rFonts w:ascii="Times New Roman" w:hAnsi="Times New Roman" w:cs="Times New Roman"/>
          <w:noProof/>
          <w:sz w:val="24"/>
          <w:szCs w:val="24"/>
        </w:rPr>
      </w:pPr>
      <w:r w:rsidRPr="00865381">
        <w:rPr>
          <w:rFonts w:ascii="Times New Roman" w:hAnsi="Times New Roman" w:cs="Times New Roman"/>
          <w:noProof/>
          <w:sz w:val="24"/>
          <w:szCs w:val="24"/>
        </w:rPr>
        <w:t>Finalmente, el tamaño institucional no ha mostrado un poder explicativo contundente respecto de las políticas de divulgación</w:t>
      </w:r>
      <w:r w:rsidR="00054E68">
        <w:rPr>
          <w:rFonts w:ascii="Times New Roman" w:hAnsi="Times New Roman" w:cs="Times New Roman"/>
          <w:noProof/>
          <w:sz w:val="24"/>
          <w:szCs w:val="24"/>
        </w:rPr>
        <w:t xml:space="preserve">. </w:t>
      </w:r>
      <w:r w:rsidR="00054E68" w:rsidRPr="00054E68">
        <w:rPr>
          <w:rFonts w:ascii="Times New Roman" w:hAnsi="Times New Roman" w:cs="Times New Roman"/>
          <w:noProof/>
          <w:sz w:val="24"/>
          <w:szCs w:val="24"/>
        </w:rPr>
        <w:t xml:space="preserve">Por ejemplo, Flórez-Parra et al. (2017) —en el contexto de la divulgación de información vinculada a los ODS—, Vitolla et al. (2023) y Larrán et al. (2019) —en relación con informes de sostenibilidad—, así como Católico </w:t>
      </w:r>
      <w:r w:rsidR="00054E68" w:rsidRPr="00054E68">
        <w:rPr>
          <w:rFonts w:ascii="Times New Roman" w:hAnsi="Times New Roman" w:cs="Times New Roman"/>
          <w:noProof/>
          <w:sz w:val="24"/>
          <w:szCs w:val="24"/>
        </w:rPr>
        <w:lastRenderedPageBreak/>
        <w:t>(2023), centrado en la divulgación de capital intelectual, coinciden en señalar una influencia limitada de esta variable.</w:t>
      </w:r>
    </w:p>
    <w:p w14:paraId="76427C71" w14:textId="77777777" w:rsidR="00950DEE" w:rsidRPr="00865381" w:rsidRDefault="009A2DA6" w:rsidP="005E3958">
      <w:pPr>
        <w:spacing w:line="360" w:lineRule="auto"/>
        <w:jc w:val="both"/>
        <w:rPr>
          <w:rFonts w:ascii="Times New Roman" w:hAnsi="Times New Roman" w:cs="Times New Roman"/>
          <w:noProof/>
          <w:sz w:val="24"/>
          <w:szCs w:val="24"/>
        </w:rPr>
      </w:pPr>
      <w:r w:rsidRPr="00865381">
        <w:rPr>
          <w:rFonts w:ascii="Times New Roman" w:hAnsi="Times New Roman" w:cs="Times New Roman"/>
          <w:noProof/>
          <w:sz w:val="24"/>
          <w:szCs w:val="24"/>
        </w:rPr>
        <w:t xml:space="preserve">Estos hallazgos, al igual que lo </w:t>
      </w:r>
      <w:r w:rsidR="005E3958" w:rsidRPr="00865381">
        <w:rPr>
          <w:rFonts w:ascii="Times New Roman" w:hAnsi="Times New Roman" w:cs="Times New Roman"/>
          <w:noProof/>
          <w:sz w:val="24"/>
          <w:szCs w:val="24"/>
        </w:rPr>
        <w:t>evidenciado</w:t>
      </w:r>
      <w:r w:rsidRPr="00865381">
        <w:rPr>
          <w:rFonts w:ascii="Times New Roman" w:hAnsi="Times New Roman" w:cs="Times New Roman"/>
          <w:noProof/>
          <w:sz w:val="24"/>
          <w:szCs w:val="24"/>
        </w:rPr>
        <w:t xml:space="preserve"> en la revisión empírica previa, </w:t>
      </w:r>
      <w:r w:rsidR="00950DEE" w:rsidRPr="00865381">
        <w:rPr>
          <w:rFonts w:ascii="Times New Roman" w:hAnsi="Times New Roman" w:cs="Times New Roman"/>
          <w:noProof/>
          <w:sz w:val="24"/>
          <w:szCs w:val="24"/>
        </w:rPr>
        <w:t>no permiten establecer conclusiones contundentes.</w:t>
      </w:r>
      <w:r w:rsidRPr="00865381">
        <w:rPr>
          <w:rFonts w:ascii="Times New Roman" w:hAnsi="Times New Roman" w:cs="Times New Roman"/>
          <w:noProof/>
          <w:sz w:val="24"/>
          <w:szCs w:val="24"/>
        </w:rPr>
        <w:t xml:space="preserve"> Si bien será nec</w:t>
      </w:r>
      <w:r w:rsidR="00AC7738" w:rsidRPr="00865381">
        <w:rPr>
          <w:rFonts w:ascii="Times New Roman" w:hAnsi="Times New Roman" w:cs="Times New Roman"/>
          <w:noProof/>
          <w:sz w:val="24"/>
          <w:szCs w:val="24"/>
        </w:rPr>
        <w:t>esario ampliar la muestra, e imc</w:t>
      </w:r>
      <w:r w:rsidR="00B8360B">
        <w:rPr>
          <w:rFonts w:ascii="Times New Roman" w:hAnsi="Times New Roman" w:cs="Times New Roman"/>
          <w:noProof/>
          <w:sz w:val="24"/>
          <w:szCs w:val="24"/>
        </w:rPr>
        <w:t>orporar otras</w:t>
      </w:r>
      <w:r w:rsidRPr="00865381">
        <w:rPr>
          <w:rFonts w:ascii="Times New Roman" w:hAnsi="Times New Roman" w:cs="Times New Roman"/>
          <w:noProof/>
          <w:sz w:val="24"/>
          <w:szCs w:val="24"/>
        </w:rPr>
        <w:t xml:space="preserve"> variables que reflejen característica inst</w:t>
      </w:r>
      <w:r w:rsidR="00950DEE" w:rsidRPr="00865381">
        <w:rPr>
          <w:rFonts w:ascii="Times New Roman" w:hAnsi="Times New Roman" w:cs="Times New Roman"/>
          <w:noProof/>
          <w:sz w:val="24"/>
          <w:szCs w:val="24"/>
        </w:rPr>
        <w:t xml:space="preserve">itucionales que han sido </w:t>
      </w:r>
      <w:r w:rsidRPr="00865381">
        <w:rPr>
          <w:rFonts w:ascii="Times New Roman" w:hAnsi="Times New Roman" w:cs="Times New Roman"/>
          <w:noProof/>
          <w:sz w:val="24"/>
          <w:szCs w:val="24"/>
        </w:rPr>
        <w:t>estudiandas</w:t>
      </w:r>
      <w:r w:rsidR="00950DEE" w:rsidRPr="00865381">
        <w:rPr>
          <w:rFonts w:ascii="Times New Roman" w:hAnsi="Times New Roman" w:cs="Times New Roman"/>
          <w:noProof/>
          <w:sz w:val="24"/>
          <w:szCs w:val="24"/>
        </w:rPr>
        <w:t xml:space="preserve"> por la comunidad científica</w:t>
      </w:r>
      <w:r w:rsidR="005E3958" w:rsidRPr="00865381">
        <w:rPr>
          <w:rFonts w:ascii="Times New Roman" w:hAnsi="Times New Roman" w:cs="Times New Roman"/>
          <w:noProof/>
          <w:sz w:val="24"/>
          <w:szCs w:val="24"/>
        </w:rPr>
        <w:t xml:space="preserve"> en otros contextos</w:t>
      </w:r>
      <w:r w:rsidRPr="00865381">
        <w:rPr>
          <w:rFonts w:ascii="Times New Roman" w:hAnsi="Times New Roman" w:cs="Times New Roman"/>
          <w:noProof/>
          <w:sz w:val="24"/>
          <w:szCs w:val="24"/>
        </w:rPr>
        <w:t xml:space="preserve">, resulta posible anticipar que las prácticas de divulgación pueden estar influenciadas por otros factores </w:t>
      </w:r>
      <w:r w:rsidR="00950DEE" w:rsidRPr="00865381">
        <w:rPr>
          <w:rFonts w:ascii="Times New Roman" w:hAnsi="Times New Roman" w:cs="Times New Roman"/>
          <w:noProof/>
          <w:sz w:val="24"/>
          <w:szCs w:val="24"/>
        </w:rPr>
        <w:t xml:space="preserve">menos visibles, </w:t>
      </w:r>
      <w:r w:rsidRPr="00865381">
        <w:rPr>
          <w:rFonts w:ascii="Times New Roman" w:hAnsi="Times New Roman" w:cs="Times New Roman"/>
          <w:noProof/>
          <w:sz w:val="24"/>
          <w:szCs w:val="24"/>
        </w:rPr>
        <w:t>como la cultura institucional, el compromiso de los equipos de gestión o las políticas públicas.</w:t>
      </w:r>
      <w:r w:rsidR="00950DEE" w:rsidRPr="00865381">
        <w:rPr>
          <w:rFonts w:ascii="Times New Roman" w:hAnsi="Times New Roman" w:cs="Times New Roman"/>
          <w:noProof/>
          <w:sz w:val="24"/>
          <w:szCs w:val="24"/>
        </w:rPr>
        <w:t xml:space="preserve"> Indagar en estas dimensiones podría ofrecer claves más precisas para comprender —y eventualmente fortalecer— las estrategias institucionales de comunicación del capital intelectual.</w:t>
      </w:r>
    </w:p>
    <w:p w14:paraId="6FACE85E" w14:textId="77777777" w:rsidR="001F3A96" w:rsidRPr="005F5161" w:rsidRDefault="001F3A96" w:rsidP="00A95F75">
      <w:pPr>
        <w:spacing w:line="360" w:lineRule="auto"/>
        <w:jc w:val="both"/>
        <w:rPr>
          <w:rFonts w:ascii="Times New Roman" w:hAnsi="Times New Roman" w:cs="Times New Roman"/>
          <w:b/>
        </w:rPr>
      </w:pPr>
    </w:p>
    <w:p w14:paraId="575B5EF3" w14:textId="77777777" w:rsidR="001F3A96" w:rsidRPr="00865381" w:rsidRDefault="001F3A96" w:rsidP="00A95F75">
      <w:pPr>
        <w:spacing w:line="360" w:lineRule="auto"/>
        <w:jc w:val="both"/>
        <w:rPr>
          <w:rFonts w:ascii="Times New Roman" w:hAnsi="Times New Roman" w:cs="Times New Roman"/>
          <w:b/>
          <w:sz w:val="24"/>
          <w:szCs w:val="24"/>
        </w:rPr>
      </w:pPr>
      <w:r w:rsidRPr="00865381">
        <w:rPr>
          <w:rFonts w:ascii="Times New Roman" w:hAnsi="Times New Roman" w:cs="Times New Roman"/>
          <w:b/>
          <w:sz w:val="24"/>
          <w:szCs w:val="24"/>
        </w:rPr>
        <w:t>Conclusión</w:t>
      </w:r>
    </w:p>
    <w:p w14:paraId="67567368" w14:textId="4F7267DB" w:rsidR="00401DD4" w:rsidRPr="00865381" w:rsidRDefault="00401DD4" w:rsidP="00401DD4">
      <w:pPr>
        <w:spacing w:line="360" w:lineRule="auto"/>
        <w:jc w:val="both"/>
        <w:rPr>
          <w:rFonts w:ascii="Times New Roman" w:hAnsi="Times New Roman" w:cs="Times New Roman"/>
          <w:sz w:val="24"/>
          <w:szCs w:val="24"/>
        </w:rPr>
      </w:pPr>
      <w:r w:rsidRPr="00865381">
        <w:rPr>
          <w:rFonts w:ascii="Times New Roman" w:hAnsi="Times New Roman" w:cs="Times New Roman"/>
          <w:sz w:val="24"/>
          <w:szCs w:val="24"/>
        </w:rPr>
        <w:t>Este estudio tuvo como propósito identificar qué características institucionales podrían asociarse con políticas o prácticas más activas de divulgación de inform</w:t>
      </w:r>
      <w:r w:rsidR="005963F2">
        <w:rPr>
          <w:rFonts w:ascii="Times New Roman" w:hAnsi="Times New Roman" w:cs="Times New Roman"/>
          <w:sz w:val="24"/>
          <w:szCs w:val="24"/>
        </w:rPr>
        <w:t>ación sobre CR</w:t>
      </w:r>
      <w:r w:rsidRPr="00865381">
        <w:rPr>
          <w:rFonts w:ascii="Times New Roman" w:hAnsi="Times New Roman" w:cs="Times New Roman"/>
          <w:sz w:val="24"/>
          <w:szCs w:val="24"/>
        </w:rPr>
        <w:t xml:space="preserve"> en las universidades nacionales de la región bonaerense. Para ello, se realizó un análisis exploratorio de asociación, en atención a la limitación que representó el tamaño reducido de la muestra, lo cual impidió avanzar hacia modelos correlacionales más robustos.</w:t>
      </w:r>
    </w:p>
    <w:p w14:paraId="7A964288" w14:textId="541880E1" w:rsidR="00401DD4" w:rsidRPr="00865381" w:rsidRDefault="00401DD4" w:rsidP="00401DD4">
      <w:pPr>
        <w:spacing w:line="360" w:lineRule="auto"/>
        <w:jc w:val="both"/>
        <w:rPr>
          <w:rFonts w:ascii="Times New Roman" w:hAnsi="Times New Roman" w:cs="Times New Roman"/>
          <w:sz w:val="24"/>
          <w:szCs w:val="24"/>
        </w:rPr>
      </w:pPr>
      <w:r w:rsidRPr="00865381">
        <w:rPr>
          <w:rFonts w:ascii="Times New Roman" w:hAnsi="Times New Roman" w:cs="Times New Roman"/>
          <w:sz w:val="24"/>
          <w:szCs w:val="24"/>
        </w:rPr>
        <w:t>En conjunto, los resultados —aunque aún parciales— parecen reforzar la idea de que los factores institucionales no operan de forma aislada ni determinan por sí solos las decisiones vinculadas a la transparencia</w:t>
      </w:r>
      <w:r w:rsidRPr="002D47E0">
        <w:rPr>
          <w:rFonts w:ascii="Times New Roman" w:hAnsi="Times New Roman" w:cs="Times New Roman"/>
          <w:sz w:val="24"/>
          <w:szCs w:val="24"/>
        </w:rPr>
        <w:t xml:space="preserve">. Si bien la complejidad organizacional muestra </w:t>
      </w:r>
      <w:r w:rsidR="007C4D58" w:rsidRPr="002D47E0">
        <w:rPr>
          <w:rFonts w:ascii="Times New Roman" w:hAnsi="Times New Roman" w:cs="Times New Roman"/>
          <w:sz w:val="24"/>
          <w:szCs w:val="24"/>
        </w:rPr>
        <w:t xml:space="preserve">una mayor </w:t>
      </w:r>
      <w:r w:rsidRPr="002D47E0">
        <w:rPr>
          <w:rFonts w:ascii="Times New Roman" w:hAnsi="Times New Roman" w:cs="Times New Roman"/>
          <w:sz w:val="24"/>
          <w:szCs w:val="24"/>
        </w:rPr>
        <w:t>incidencia en los niveles de divulgación</w:t>
      </w:r>
      <w:r w:rsidR="007C4D58" w:rsidRPr="002D47E0">
        <w:rPr>
          <w:rFonts w:ascii="Times New Roman" w:hAnsi="Times New Roman" w:cs="Times New Roman"/>
          <w:sz w:val="24"/>
          <w:szCs w:val="24"/>
        </w:rPr>
        <w:t xml:space="preserve"> respecto de las otras variables</w:t>
      </w:r>
      <w:r w:rsidRPr="002D47E0">
        <w:rPr>
          <w:rFonts w:ascii="Times New Roman" w:hAnsi="Times New Roman" w:cs="Times New Roman"/>
          <w:sz w:val="24"/>
          <w:szCs w:val="24"/>
        </w:rPr>
        <w:t xml:space="preserve">, los </w:t>
      </w:r>
      <w:r w:rsidRPr="00865381">
        <w:rPr>
          <w:rFonts w:ascii="Times New Roman" w:hAnsi="Times New Roman" w:cs="Times New Roman"/>
          <w:sz w:val="24"/>
          <w:szCs w:val="24"/>
        </w:rPr>
        <w:t xml:space="preserve">vínculos observados no son significativos. Esto sugiere que hay otras fuerzas en juego, como la cultura institucional, el compromiso de los equipos de gestión, el alcance de determinadas políticas públicas. Es posible que los compromisos asumidos con el entorno, con los </w:t>
      </w:r>
      <w:r w:rsidR="005963F2">
        <w:rPr>
          <w:rFonts w:ascii="Times New Roman" w:hAnsi="Times New Roman" w:cs="Times New Roman"/>
          <w:sz w:val="24"/>
          <w:szCs w:val="24"/>
        </w:rPr>
        <w:t>ODS</w:t>
      </w:r>
      <w:r w:rsidRPr="00865381">
        <w:rPr>
          <w:rFonts w:ascii="Times New Roman" w:hAnsi="Times New Roman" w:cs="Times New Roman"/>
          <w:sz w:val="24"/>
          <w:szCs w:val="24"/>
        </w:rPr>
        <w:t xml:space="preserve"> o simplemente una convicción ética sobre la rendición de cuentas estén incidiendo más de lo que las variables estructurales logran mostrar.</w:t>
      </w:r>
    </w:p>
    <w:p w14:paraId="71834EDE" w14:textId="23449AB2" w:rsidR="00401DD4" w:rsidRPr="00865381" w:rsidRDefault="00401DD4" w:rsidP="00401DD4">
      <w:pPr>
        <w:spacing w:line="360" w:lineRule="auto"/>
        <w:jc w:val="both"/>
        <w:rPr>
          <w:rFonts w:ascii="Times New Roman" w:hAnsi="Times New Roman" w:cs="Times New Roman"/>
          <w:sz w:val="24"/>
          <w:szCs w:val="24"/>
        </w:rPr>
      </w:pPr>
      <w:r w:rsidRPr="00865381">
        <w:rPr>
          <w:rFonts w:ascii="Times New Roman" w:hAnsi="Times New Roman" w:cs="Times New Roman"/>
          <w:sz w:val="24"/>
          <w:szCs w:val="24"/>
        </w:rPr>
        <w:t xml:space="preserve">La evidencia reunida no solo da cuenta de la heterogeneidad de prácticas entre universidades, sino que también invita —casi obliga— a avanzar hacia enfoques más integrales, que permitan comprender con mayor profundidad las dinámicas detrás de la </w:t>
      </w:r>
      <w:r w:rsidRPr="00865381">
        <w:rPr>
          <w:rFonts w:ascii="Times New Roman" w:hAnsi="Times New Roman" w:cs="Times New Roman"/>
          <w:sz w:val="24"/>
          <w:szCs w:val="24"/>
        </w:rPr>
        <w:lastRenderedPageBreak/>
        <w:t>di</w:t>
      </w:r>
      <w:r w:rsidR="0094637A">
        <w:rPr>
          <w:rFonts w:ascii="Times New Roman" w:hAnsi="Times New Roman" w:cs="Times New Roman"/>
          <w:sz w:val="24"/>
          <w:szCs w:val="24"/>
        </w:rPr>
        <w:t>vulgación del CR</w:t>
      </w:r>
      <w:r w:rsidR="00F63608" w:rsidRPr="00865381">
        <w:rPr>
          <w:rFonts w:ascii="Times New Roman" w:hAnsi="Times New Roman" w:cs="Times New Roman"/>
          <w:sz w:val="24"/>
          <w:szCs w:val="24"/>
        </w:rPr>
        <w:t xml:space="preserve"> — así como de las demás dimensiones del CI—</w:t>
      </w:r>
      <w:r w:rsidRPr="00865381">
        <w:rPr>
          <w:rFonts w:ascii="Times New Roman" w:hAnsi="Times New Roman" w:cs="Times New Roman"/>
          <w:sz w:val="24"/>
          <w:szCs w:val="24"/>
        </w:rPr>
        <w:t xml:space="preserve"> en el sistema universitario argentino.</w:t>
      </w:r>
    </w:p>
    <w:p w14:paraId="55759767" w14:textId="549F11F8" w:rsidR="00401DD4" w:rsidRPr="00865381" w:rsidRDefault="00401DD4" w:rsidP="00401DD4">
      <w:pPr>
        <w:spacing w:line="360" w:lineRule="auto"/>
        <w:jc w:val="both"/>
        <w:rPr>
          <w:rFonts w:ascii="Times New Roman" w:hAnsi="Times New Roman" w:cs="Times New Roman"/>
          <w:sz w:val="24"/>
          <w:szCs w:val="24"/>
        </w:rPr>
      </w:pPr>
      <w:r w:rsidRPr="00865381">
        <w:rPr>
          <w:rFonts w:ascii="Times New Roman" w:hAnsi="Times New Roman" w:cs="Times New Roman"/>
          <w:sz w:val="24"/>
          <w:szCs w:val="24"/>
        </w:rPr>
        <w:t xml:space="preserve">De cara a futuras investigaciones, será necesario ampliar la muestra para contrastar, en nuestro contexto, los hallazgos empíricos reportados en la literatura internacional sobre estos y otros factores institucionales que inciden en la divulgación del </w:t>
      </w:r>
      <w:r w:rsidR="00871267">
        <w:rPr>
          <w:rFonts w:ascii="Times New Roman" w:hAnsi="Times New Roman" w:cs="Times New Roman"/>
          <w:sz w:val="24"/>
          <w:szCs w:val="24"/>
        </w:rPr>
        <w:t>CI</w:t>
      </w:r>
      <w:r w:rsidRPr="00865381">
        <w:rPr>
          <w:rFonts w:ascii="Times New Roman" w:hAnsi="Times New Roman" w:cs="Times New Roman"/>
          <w:sz w:val="24"/>
          <w:szCs w:val="24"/>
        </w:rPr>
        <w:t xml:space="preserve">. Pero también será clave incorporar al análisis otras dimensiones menos </w:t>
      </w:r>
      <w:r w:rsidR="00865381" w:rsidRPr="00865381">
        <w:rPr>
          <w:rFonts w:ascii="Times New Roman" w:hAnsi="Times New Roman" w:cs="Times New Roman"/>
          <w:sz w:val="24"/>
          <w:szCs w:val="24"/>
        </w:rPr>
        <w:t>visibles,</w:t>
      </w:r>
      <w:r w:rsidRPr="00865381">
        <w:rPr>
          <w:rFonts w:ascii="Times New Roman" w:hAnsi="Times New Roman" w:cs="Times New Roman"/>
          <w:sz w:val="24"/>
          <w:szCs w:val="24"/>
        </w:rPr>
        <w:t xml:space="preserve"> pero potencialmente decisivas: la cultura organizacional, el compromiso de quienes gestionan y los condicionamientos que pueden estar introduciendo ciertas políticas públicas. </w:t>
      </w:r>
    </w:p>
    <w:p w14:paraId="1B3E34E5" w14:textId="77777777" w:rsidR="00057108" w:rsidRPr="00865381" w:rsidRDefault="00057108" w:rsidP="004C2ACC">
      <w:pPr>
        <w:spacing w:line="360" w:lineRule="auto"/>
        <w:jc w:val="both"/>
        <w:rPr>
          <w:rFonts w:ascii="Times New Roman" w:hAnsi="Times New Roman" w:cs="Times New Roman"/>
          <w:b/>
          <w:sz w:val="24"/>
          <w:szCs w:val="24"/>
        </w:rPr>
      </w:pPr>
    </w:p>
    <w:p w14:paraId="3C7FECF0" w14:textId="77777777" w:rsidR="004C2ACC" w:rsidRPr="002A43E6" w:rsidRDefault="004C2ACC" w:rsidP="004C2ACC">
      <w:pPr>
        <w:spacing w:line="360" w:lineRule="auto"/>
        <w:jc w:val="both"/>
        <w:rPr>
          <w:rFonts w:ascii="Times New Roman" w:hAnsi="Times New Roman" w:cs="Times New Roman"/>
          <w:b/>
          <w:sz w:val="24"/>
          <w:szCs w:val="24"/>
        </w:rPr>
      </w:pPr>
      <w:r w:rsidRPr="002A43E6">
        <w:rPr>
          <w:rFonts w:ascii="Times New Roman" w:hAnsi="Times New Roman" w:cs="Times New Roman"/>
          <w:b/>
          <w:sz w:val="24"/>
          <w:szCs w:val="24"/>
        </w:rPr>
        <w:t>Referencias bibliográficas</w:t>
      </w:r>
    </w:p>
    <w:p w14:paraId="12B1926D" w14:textId="77777777" w:rsidR="00AE589F" w:rsidRPr="002A43E6" w:rsidRDefault="00AE589F" w:rsidP="003C3082">
      <w:pPr>
        <w:spacing w:line="360" w:lineRule="auto"/>
        <w:ind w:left="709" w:hanging="709"/>
        <w:jc w:val="both"/>
        <w:rPr>
          <w:rFonts w:ascii="Times New Roman" w:hAnsi="Times New Roman" w:cs="Times New Roman"/>
        </w:rPr>
      </w:pPr>
      <w:r w:rsidRPr="002A43E6">
        <w:rPr>
          <w:rFonts w:ascii="Times New Roman" w:hAnsi="Times New Roman" w:cs="Times New Roman"/>
        </w:rPr>
        <w:t xml:space="preserve">Abello-Romero, J. B., Mancilla, C., Ganga-Contreras, F., &amp; Estay-Sepúlveda, J. G. (2019). Determinantes de la divulgación de información en las universidades latinoamericanas para un buen gobierno corporativo. </w:t>
      </w:r>
      <w:r w:rsidRPr="002A43E6">
        <w:rPr>
          <w:rFonts w:ascii="Times New Roman" w:hAnsi="Times New Roman" w:cs="Times New Roman"/>
          <w:i/>
          <w:iCs/>
        </w:rPr>
        <w:t>Contaduría y administración</w:t>
      </w:r>
      <w:r w:rsidRPr="002A43E6">
        <w:rPr>
          <w:rFonts w:ascii="Times New Roman" w:hAnsi="Times New Roman" w:cs="Times New Roman"/>
        </w:rPr>
        <w:t xml:space="preserve">, 64(Extra 4), 1-28. </w:t>
      </w:r>
      <w:hyperlink r:id="rId12" w:tgtFrame="_new" w:history="1">
        <w:r w:rsidRPr="002A43E6">
          <w:rPr>
            <w:rStyle w:val="Hipervnculo"/>
            <w:rFonts w:ascii="Times New Roman" w:hAnsi="Times New Roman" w:cs="Times New Roman"/>
          </w:rPr>
          <w:t>https://dialnet.unirioja.es/servlet/articulo?codigo=7724989</w:t>
        </w:r>
      </w:hyperlink>
    </w:p>
    <w:p w14:paraId="414B0DE7" w14:textId="77777777" w:rsidR="00AE589F" w:rsidRPr="002A43E6" w:rsidRDefault="00AE589F" w:rsidP="003C3082">
      <w:pPr>
        <w:spacing w:line="360" w:lineRule="auto"/>
        <w:ind w:left="709" w:hanging="709"/>
        <w:jc w:val="both"/>
        <w:rPr>
          <w:rFonts w:ascii="Times New Roman" w:hAnsi="Times New Roman" w:cs="Times New Roman"/>
        </w:rPr>
      </w:pPr>
      <w:r w:rsidRPr="002A43E6">
        <w:rPr>
          <w:rFonts w:ascii="Times New Roman" w:hAnsi="Times New Roman" w:cs="Times New Roman"/>
        </w:rPr>
        <w:t>Abello-Romero, J., Mancilla, C., Molina, C., &amp; Palma, A. (2018). Relación entre divulgación de información y características de universidades latinoamericanas. </w:t>
      </w:r>
      <w:r w:rsidRPr="002A43E6">
        <w:rPr>
          <w:rFonts w:ascii="Times New Roman" w:hAnsi="Times New Roman" w:cs="Times New Roman"/>
          <w:i/>
          <w:iCs/>
        </w:rPr>
        <w:t>Revista Venezolana de Gerencia</w:t>
      </w:r>
      <w:r w:rsidRPr="002A43E6">
        <w:rPr>
          <w:rFonts w:ascii="Times New Roman" w:hAnsi="Times New Roman" w:cs="Times New Roman"/>
        </w:rPr>
        <w:t>, </w:t>
      </w:r>
      <w:r w:rsidRPr="002A43E6">
        <w:rPr>
          <w:rFonts w:ascii="Times New Roman" w:hAnsi="Times New Roman" w:cs="Times New Roman"/>
          <w:i/>
          <w:iCs/>
        </w:rPr>
        <w:t>23</w:t>
      </w:r>
      <w:r w:rsidRPr="002A43E6">
        <w:rPr>
          <w:rFonts w:ascii="Times New Roman" w:hAnsi="Times New Roman" w:cs="Times New Roman"/>
        </w:rPr>
        <w:t>, 67-89.</w:t>
      </w:r>
    </w:p>
    <w:p w14:paraId="77613A7F" w14:textId="16802ED3" w:rsidR="005372CB" w:rsidRDefault="005372CB" w:rsidP="003C3082">
      <w:pPr>
        <w:spacing w:line="360" w:lineRule="auto"/>
        <w:ind w:left="709" w:hanging="709"/>
        <w:jc w:val="both"/>
        <w:rPr>
          <w:rFonts w:ascii="Times New Roman" w:hAnsi="Times New Roman" w:cs="Times New Roman"/>
          <w:lang w:val="en-US"/>
        </w:rPr>
      </w:pPr>
      <w:r w:rsidRPr="00511DF7">
        <w:rPr>
          <w:rFonts w:ascii="Times New Roman" w:hAnsi="Times New Roman" w:cs="Times New Roman"/>
          <w:lang w:val="es-ES"/>
        </w:rPr>
        <w:t xml:space="preserve">Bisogno, M., Citro, F. y Tommasetti, A. (2014). </w:t>
      </w:r>
      <w:r w:rsidRPr="002A43E6">
        <w:rPr>
          <w:rFonts w:ascii="Times New Roman" w:hAnsi="Times New Roman" w:cs="Times New Roman"/>
          <w:lang w:val="en-US"/>
        </w:rPr>
        <w:t>Disclosure of university websites. Evidence from Italian data. Global Business and Economics Review, 16(4), pp. 452-471.</w:t>
      </w:r>
    </w:p>
    <w:p w14:paraId="4E91044E" w14:textId="72BB73E7" w:rsidR="00F04A4A" w:rsidRPr="00F04A4A" w:rsidRDefault="00F04A4A" w:rsidP="003C3082">
      <w:pPr>
        <w:spacing w:line="360" w:lineRule="auto"/>
        <w:ind w:left="709" w:hanging="709"/>
        <w:jc w:val="both"/>
        <w:rPr>
          <w:rFonts w:ascii="Times New Roman" w:hAnsi="Times New Roman" w:cs="Times New Roman"/>
        </w:rPr>
      </w:pPr>
      <w:r w:rsidRPr="00F04A4A">
        <w:rPr>
          <w:rFonts w:ascii="Times New Roman" w:hAnsi="Times New Roman" w:cs="Times New Roman"/>
        </w:rPr>
        <w:t xml:space="preserve">Brundiers, K., Barth, M., Cebrián, G., Cohen, M., Diaz, L., Doucette-Remington, S., ... &amp; Zint, M. (2021). </w:t>
      </w:r>
      <w:r w:rsidRPr="00F04A4A">
        <w:rPr>
          <w:rFonts w:ascii="Times New Roman" w:hAnsi="Times New Roman" w:cs="Times New Roman"/>
          <w:i/>
        </w:rPr>
        <w:t>Key competencies in sustainability in higher education—Towards an agreed-upon reference framework</w:t>
      </w:r>
      <w:r w:rsidRPr="00F04A4A">
        <w:rPr>
          <w:rFonts w:ascii="Times New Roman" w:hAnsi="Times New Roman" w:cs="Times New Roman"/>
        </w:rPr>
        <w:t>. Sustainability Science, 16(1), 13–29.</w:t>
      </w:r>
    </w:p>
    <w:p w14:paraId="680E0355" w14:textId="0E596EDE" w:rsidR="00AE589F" w:rsidRDefault="00AE589F" w:rsidP="003C3082">
      <w:pPr>
        <w:spacing w:line="360" w:lineRule="auto"/>
        <w:ind w:left="709" w:hanging="709"/>
        <w:jc w:val="both"/>
        <w:rPr>
          <w:rFonts w:ascii="Times New Roman" w:hAnsi="Times New Roman" w:cs="Times New Roman"/>
        </w:rPr>
      </w:pPr>
      <w:r w:rsidRPr="00511DF7">
        <w:rPr>
          <w:rFonts w:ascii="Times New Roman" w:hAnsi="Times New Roman" w:cs="Times New Roman"/>
          <w:lang w:val="en-US"/>
        </w:rPr>
        <w:t xml:space="preserve">Bueno, E. et al. </w:t>
      </w:r>
      <w:r w:rsidRPr="002A43E6">
        <w:rPr>
          <w:rFonts w:ascii="Times New Roman" w:hAnsi="Times New Roman" w:cs="Times New Roman"/>
        </w:rPr>
        <w:t>(2002). Indicadores de capital intelectual aplicados a la actividad investigadora y de gestión del conocimiento en las universidades y centros públicos de investigación de la comunidad de Madrid. En A. Modrego (Ed.), Capital intelectual y producción científica (pp. 19-69). Madrid: Dirección General de Investigación, Comunidad de Madrid.</w:t>
      </w:r>
    </w:p>
    <w:p w14:paraId="17FF01C2" w14:textId="0AF6165B" w:rsidR="006812A5" w:rsidRPr="002A43E6" w:rsidRDefault="006812A5" w:rsidP="00CD18A0">
      <w:pPr>
        <w:spacing w:line="360" w:lineRule="auto"/>
        <w:ind w:left="709" w:hanging="709"/>
        <w:jc w:val="both"/>
        <w:rPr>
          <w:rFonts w:ascii="Times New Roman" w:hAnsi="Times New Roman" w:cs="Times New Roman"/>
        </w:rPr>
      </w:pPr>
      <w:r w:rsidRPr="006812A5">
        <w:rPr>
          <w:rFonts w:ascii="Times New Roman" w:hAnsi="Times New Roman" w:cs="Times New Roman"/>
        </w:rPr>
        <w:t xml:space="preserve">Católico, D. (2021). Las nuevas tecnologías en la divulgación del capital intelectual: Análisis en universidades colombianas. </w:t>
      </w:r>
      <w:r w:rsidRPr="006812A5">
        <w:rPr>
          <w:rFonts w:ascii="Times New Roman" w:hAnsi="Times New Roman" w:cs="Times New Roman"/>
          <w:i/>
        </w:rPr>
        <w:t>Apuntes Contables</w:t>
      </w:r>
      <w:r w:rsidRPr="006812A5">
        <w:rPr>
          <w:rFonts w:ascii="Times New Roman" w:hAnsi="Times New Roman" w:cs="Times New Roman"/>
        </w:rPr>
        <w:t>, 28, 41-58.</w:t>
      </w:r>
    </w:p>
    <w:p w14:paraId="7CA2D4FA" w14:textId="77777777" w:rsidR="00AE589F" w:rsidRPr="002A43E6" w:rsidRDefault="00AE589F" w:rsidP="003C3082">
      <w:pPr>
        <w:spacing w:line="360" w:lineRule="auto"/>
        <w:ind w:left="709" w:hanging="709"/>
        <w:jc w:val="both"/>
        <w:rPr>
          <w:rFonts w:ascii="Times New Roman" w:hAnsi="Times New Roman" w:cs="Times New Roman"/>
        </w:rPr>
      </w:pPr>
      <w:r w:rsidRPr="002A43E6">
        <w:rPr>
          <w:rFonts w:ascii="Times New Roman" w:hAnsi="Times New Roman" w:cs="Times New Roman"/>
        </w:rPr>
        <w:t xml:space="preserve">Católico Segura, D. F. (2022). Divulgación del capital intelectual y diversidad de género: Evidencia empírica en universidades colombianas. </w:t>
      </w:r>
      <w:r w:rsidRPr="002A43E6">
        <w:rPr>
          <w:rFonts w:ascii="Times New Roman" w:hAnsi="Times New Roman" w:cs="Times New Roman"/>
          <w:i/>
          <w:iCs/>
        </w:rPr>
        <w:t>Criterio Libre</w:t>
      </w:r>
      <w:r w:rsidRPr="002A43E6">
        <w:rPr>
          <w:rFonts w:ascii="Times New Roman" w:hAnsi="Times New Roman" w:cs="Times New Roman"/>
        </w:rPr>
        <w:t xml:space="preserve">, </w:t>
      </w:r>
      <w:r w:rsidRPr="002A43E6">
        <w:rPr>
          <w:rFonts w:ascii="Times New Roman" w:hAnsi="Times New Roman" w:cs="Times New Roman"/>
          <w:i/>
          <w:iCs/>
        </w:rPr>
        <w:t>20</w:t>
      </w:r>
      <w:r w:rsidRPr="002A43E6">
        <w:rPr>
          <w:rFonts w:ascii="Times New Roman" w:hAnsi="Times New Roman" w:cs="Times New Roman"/>
        </w:rPr>
        <w:t xml:space="preserve">(37), [Número especial en contabilidad y control]. </w:t>
      </w:r>
      <w:hyperlink r:id="rId13" w:tgtFrame="_new" w:history="1">
        <w:r w:rsidRPr="002A43E6">
          <w:rPr>
            <w:rStyle w:val="Hipervnculo"/>
            <w:rFonts w:ascii="Times New Roman" w:hAnsi="Times New Roman" w:cs="Times New Roman"/>
          </w:rPr>
          <w:t>https://dialnet.unirioja.es/servlet/articulo?codigo=8676244</w:t>
        </w:r>
      </w:hyperlink>
    </w:p>
    <w:p w14:paraId="0DD179C1" w14:textId="517078D2" w:rsidR="00AE589F" w:rsidRDefault="00AE589F" w:rsidP="003C3082">
      <w:pPr>
        <w:spacing w:line="360" w:lineRule="auto"/>
        <w:ind w:left="709" w:hanging="709"/>
        <w:jc w:val="both"/>
        <w:rPr>
          <w:rFonts w:ascii="Times New Roman" w:hAnsi="Times New Roman" w:cs="Times New Roman"/>
        </w:rPr>
      </w:pPr>
      <w:r w:rsidRPr="002A43E6">
        <w:rPr>
          <w:rFonts w:ascii="Times New Roman" w:hAnsi="Times New Roman" w:cs="Times New Roman"/>
        </w:rPr>
        <w:lastRenderedPageBreak/>
        <w:t>Católico Segura, D.F. (2023). La práctica de la divulgación del capital intelectual on-line y sus determinantes en universidades colombianas. </w:t>
      </w:r>
      <w:r w:rsidRPr="002A43E6">
        <w:rPr>
          <w:rFonts w:ascii="Times New Roman" w:hAnsi="Times New Roman" w:cs="Times New Roman"/>
          <w:i/>
          <w:iCs/>
        </w:rPr>
        <w:t>Apuntes Contables</w:t>
      </w:r>
      <w:r w:rsidRPr="002A43E6">
        <w:rPr>
          <w:rFonts w:ascii="Times New Roman" w:hAnsi="Times New Roman" w:cs="Times New Roman"/>
        </w:rPr>
        <w:t>. 33 (nov. 2023), 109–131. DOI:https://doi.org/10.18601/16577175.n33.06.</w:t>
      </w:r>
    </w:p>
    <w:p w14:paraId="62D7EF4C" w14:textId="67C7C719" w:rsidR="00F04A4A" w:rsidRPr="002A43E6" w:rsidRDefault="00F04A4A" w:rsidP="003C3082">
      <w:pPr>
        <w:spacing w:line="360" w:lineRule="auto"/>
        <w:ind w:left="709" w:hanging="709"/>
        <w:jc w:val="both"/>
        <w:rPr>
          <w:rFonts w:ascii="Times New Roman" w:hAnsi="Times New Roman" w:cs="Times New Roman"/>
        </w:rPr>
      </w:pPr>
      <w:r w:rsidRPr="00F04A4A">
        <w:rPr>
          <w:rFonts w:ascii="Times New Roman" w:hAnsi="Times New Roman" w:cs="Times New Roman"/>
        </w:rPr>
        <w:t xml:space="preserve">Cortese, A. D. (2003). </w:t>
      </w:r>
      <w:r w:rsidRPr="00F04A4A">
        <w:rPr>
          <w:rFonts w:ascii="Times New Roman" w:hAnsi="Times New Roman" w:cs="Times New Roman"/>
          <w:i/>
        </w:rPr>
        <w:t>The critical role of higher education in creating a sustainable future.</w:t>
      </w:r>
      <w:r w:rsidRPr="00F04A4A">
        <w:rPr>
          <w:rFonts w:ascii="Times New Roman" w:hAnsi="Times New Roman" w:cs="Times New Roman"/>
        </w:rPr>
        <w:t xml:space="preserve"> Planning for Higher Education, 31(3), 15–22.</w:t>
      </w:r>
    </w:p>
    <w:p w14:paraId="38388933" w14:textId="77777777" w:rsidR="00AE589F" w:rsidRPr="002A43E6" w:rsidRDefault="00AE589F" w:rsidP="003C3082">
      <w:pPr>
        <w:spacing w:line="360" w:lineRule="auto"/>
        <w:ind w:left="709" w:hanging="709"/>
        <w:jc w:val="both"/>
        <w:rPr>
          <w:rFonts w:ascii="Times New Roman" w:hAnsi="Times New Roman" w:cs="Times New Roman"/>
          <w:bCs/>
        </w:rPr>
      </w:pPr>
      <w:r w:rsidRPr="002A43E6">
        <w:rPr>
          <w:rFonts w:ascii="Times New Roman" w:hAnsi="Times New Roman" w:cs="Times New Roman"/>
        </w:rPr>
        <w:t xml:space="preserve">Flórez-Parra, J. M., López-Pérez, M. V., López-Hernández, A. M., &amp; Arco‐Castro, M. L. (2023). </w:t>
      </w:r>
      <w:r w:rsidRPr="002A43E6">
        <w:rPr>
          <w:rFonts w:ascii="Times New Roman" w:hAnsi="Times New Roman" w:cs="Times New Roman"/>
          <w:i/>
          <w:iCs/>
        </w:rPr>
        <w:t>Determinantes de la difusión de información económica, social y ambiental en el ámbito universitario en el contexto del compromiso con los Objetivos de Desarrollo Sostenible</w:t>
      </w:r>
      <w:r w:rsidRPr="002A43E6">
        <w:rPr>
          <w:rFonts w:ascii="Times New Roman" w:hAnsi="Times New Roman" w:cs="Times New Roman"/>
        </w:rPr>
        <w:t xml:space="preserve">. </w:t>
      </w:r>
      <w:r w:rsidRPr="002A43E6">
        <w:rPr>
          <w:rFonts w:ascii="Times New Roman" w:hAnsi="Times New Roman" w:cs="Times New Roman"/>
          <w:bCs/>
        </w:rPr>
        <w:t>Sustainable Development</w:t>
      </w:r>
      <w:r w:rsidRPr="002A43E6">
        <w:rPr>
          <w:rFonts w:ascii="Times New Roman" w:hAnsi="Times New Roman" w:cs="Times New Roman"/>
        </w:rPr>
        <w:t>. https://doi.org/10.1002/sd.2760</w:t>
      </w:r>
    </w:p>
    <w:p w14:paraId="6BF44A2F" w14:textId="77777777" w:rsidR="00AE589F" w:rsidRPr="002A43E6" w:rsidRDefault="00AE589F" w:rsidP="003C3082">
      <w:pPr>
        <w:spacing w:line="360" w:lineRule="auto"/>
        <w:ind w:left="709" w:hanging="709"/>
        <w:jc w:val="both"/>
        <w:rPr>
          <w:rFonts w:ascii="Times New Roman" w:hAnsi="Times New Roman" w:cs="Times New Roman"/>
        </w:rPr>
      </w:pPr>
      <w:r w:rsidRPr="002A43E6">
        <w:rPr>
          <w:rFonts w:ascii="Times New Roman" w:hAnsi="Times New Roman" w:cs="Times New Roman"/>
        </w:rPr>
        <w:t xml:space="preserve">Gallego‐Álvarez, I., Rodríguez‐Domínguez, L., &amp; García‐Sánchez, I.‐M. (2011). Información divulgada en línea por las universidades españolas: Contenido y factores explicativos. </w:t>
      </w:r>
      <w:r w:rsidRPr="002A43E6">
        <w:rPr>
          <w:rFonts w:ascii="Times New Roman" w:hAnsi="Times New Roman" w:cs="Times New Roman"/>
          <w:i/>
          <w:iCs/>
        </w:rPr>
        <w:t>Online Information Review</w:t>
      </w:r>
      <w:r w:rsidRPr="002A43E6">
        <w:rPr>
          <w:rFonts w:ascii="Times New Roman" w:hAnsi="Times New Roman" w:cs="Times New Roman"/>
        </w:rPr>
        <w:t xml:space="preserve">, </w:t>
      </w:r>
      <w:r w:rsidRPr="002A43E6">
        <w:rPr>
          <w:rFonts w:ascii="Times New Roman" w:hAnsi="Times New Roman" w:cs="Times New Roman"/>
          <w:i/>
          <w:iCs/>
        </w:rPr>
        <w:t>35</w:t>
      </w:r>
      <w:r w:rsidRPr="002A43E6">
        <w:rPr>
          <w:rFonts w:ascii="Times New Roman" w:hAnsi="Times New Roman" w:cs="Times New Roman"/>
        </w:rPr>
        <w:t xml:space="preserve">(3), 360–385. </w:t>
      </w:r>
      <w:hyperlink r:id="rId14" w:tgtFrame="_new" w:history="1">
        <w:r w:rsidRPr="002A43E6">
          <w:rPr>
            <w:rStyle w:val="Hipervnculo"/>
            <w:rFonts w:ascii="Times New Roman" w:hAnsi="Times New Roman" w:cs="Times New Roman"/>
          </w:rPr>
          <w:t>https://doi.org/10.1108/14684521111151423</w:t>
        </w:r>
      </w:hyperlink>
    </w:p>
    <w:p w14:paraId="15CED30E" w14:textId="058390B4" w:rsidR="00950DEE" w:rsidRPr="00511DF7" w:rsidRDefault="00950DEE" w:rsidP="003C3082">
      <w:pPr>
        <w:spacing w:line="360" w:lineRule="auto"/>
        <w:ind w:left="709" w:hanging="709"/>
        <w:jc w:val="both"/>
        <w:rPr>
          <w:rFonts w:ascii="Times New Roman" w:hAnsi="Times New Roman" w:cs="Times New Roman"/>
          <w:bCs/>
          <w:lang w:val="en-US"/>
        </w:rPr>
      </w:pPr>
      <w:r w:rsidRPr="002A43E6">
        <w:rPr>
          <w:rFonts w:ascii="Times New Roman" w:hAnsi="Times New Roman" w:cs="Times New Roman"/>
          <w:bCs/>
        </w:rPr>
        <w:t>Larrán Jorge, M., Andrades Peña, F.J., y Herrera Madueño, J. (2019). Análisis de informes de sostenibilidad universitaria de la base de datos GRI: análisis de variables influyentes. </w:t>
      </w:r>
      <w:r w:rsidRPr="00511DF7">
        <w:rPr>
          <w:rFonts w:ascii="Times New Roman" w:hAnsi="Times New Roman" w:cs="Times New Roman"/>
          <w:bCs/>
          <w:i/>
          <w:iCs/>
          <w:lang w:val="en-US"/>
        </w:rPr>
        <w:t>Journal of Environmental Planning and Management</w:t>
      </w:r>
      <w:r w:rsidRPr="00511DF7">
        <w:rPr>
          <w:rFonts w:ascii="Times New Roman" w:hAnsi="Times New Roman" w:cs="Times New Roman"/>
          <w:bCs/>
          <w:lang w:val="en-US"/>
        </w:rPr>
        <w:t>, </w:t>
      </w:r>
      <w:r w:rsidRPr="00511DF7">
        <w:rPr>
          <w:rFonts w:ascii="Times New Roman" w:hAnsi="Times New Roman" w:cs="Times New Roman"/>
          <w:bCs/>
          <w:i/>
          <w:iCs/>
          <w:lang w:val="en-US"/>
        </w:rPr>
        <w:t>62</w:t>
      </w:r>
      <w:r w:rsidRPr="00511DF7">
        <w:rPr>
          <w:rFonts w:ascii="Times New Roman" w:hAnsi="Times New Roman" w:cs="Times New Roman"/>
          <w:bCs/>
          <w:lang w:val="en-US"/>
        </w:rPr>
        <w:t> (6), 1019-1044.</w:t>
      </w:r>
    </w:p>
    <w:p w14:paraId="3A837BCE" w14:textId="77777777" w:rsidR="00AE589F" w:rsidRPr="002A43E6" w:rsidRDefault="00AE589F" w:rsidP="003C3082">
      <w:pPr>
        <w:spacing w:line="360" w:lineRule="auto"/>
        <w:ind w:left="709" w:hanging="709"/>
        <w:jc w:val="both"/>
        <w:rPr>
          <w:rFonts w:ascii="Times New Roman" w:hAnsi="Times New Roman" w:cs="Times New Roman"/>
          <w:bCs/>
        </w:rPr>
      </w:pPr>
      <w:r w:rsidRPr="00511DF7">
        <w:rPr>
          <w:rFonts w:ascii="Times New Roman" w:hAnsi="Times New Roman" w:cs="Times New Roman"/>
          <w:bCs/>
          <w:lang w:val="en-US"/>
        </w:rPr>
        <w:t xml:space="preserve">Manes, F., Nicolò, G., &amp; Tartaglia, P. (2018). “New trends in intellectual capital reporting: Exploring online intellectual capital disclosure in Italian universities”, </w:t>
      </w:r>
      <w:r w:rsidRPr="00511DF7">
        <w:rPr>
          <w:rFonts w:ascii="Times New Roman" w:hAnsi="Times New Roman" w:cs="Times New Roman"/>
          <w:bCs/>
          <w:i/>
          <w:iCs/>
          <w:lang w:val="en-US"/>
        </w:rPr>
        <w:t>Journal of Intellectual Capital</w:t>
      </w:r>
      <w:r w:rsidRPr="00511DF7">
        <w:rPr>
          <w:rFonts w:ascii="Times New Roman" w:hAnsi="Times New Roman" w:cs="Times New Roman"/>
          <w:bCs/>
          <w:lang w:val="en-US"/>
        </w:rPr>
        <w:t xml:space="preserve">. </w:t>
      </w:r>
      <w:r w:rsidRPr="002A43E6">
        <w:rPr>
          <w:rFonts w:ascii="Times New Roman" w:hAnsi="Times New Roman" w:cs="Times New Roman"/>
          <w:bCs/>
          <w:i/>
          <w:iCs/>
        </w:rPr>
        <w:t>19</w:t>
      </w:r>
      <w:r w:rsidRPr="002A43E6">
        <w:rPr>
          <w:rFonts w:ascii="Times New Roman" w:hAnsi="Times New Roman" w:cs="Times New Roman"/>
          <w:bCs/>
        </w:rPr>
        <w:t>(4), 814-835. https://doi.org/10.1108/jic-09-2017-0119. DOI: 10.1108/jic-09-2017-0119.</w:t>
      </w:r>
    </w:p>
    <w:p w14:paraId="61315EC2" w14:textId="77777777" w:rsidR="00AE589F" w:rsidRPr="002A43E6" w:rsidRDefault="00AE589F" w:rsidP="003C3082">
      <w:pPr>
        <w:spacing w:line="360" w:lineRule="auto"/>
        <w:ind w:left="709" w:hanging="709"/>
        <w:jc w:val="both"/>
        <w:rPr>
          <w:rFonts w:ascii="Times New Roman" w:hAnsi="Times New Roman" w:cs="Times New Roman"/>
        </w:rPr>
      </w:pPr>
      <w:r w:rsidRPr="002A43E6">
        <w:rPr>
          <w:rFonts w:ascii="Times New Roman" w:hAnsi="Times New Roman" w:cs="Times New Roman"/>
        </w:rPr>
        <w:t xml:space="preserve">Quintero, W., Blanco, A., y Garzón-Castrillón, M. (2021). </w:t>
      </w:r>
      <w:r w:rsidRPr="00511DF7">
        <w:rPr>
          <w:rFonts w:ascii="Times New Roman" w:hAnsi="Times New Roman" w:cs="Times New Roman"/>
          <w:lang w:val="en-US"/>
        </w:rPr>
        <w:t xml:space="preserve">Intellectual capital: A review and bibliometric analysis. </w:t>
      </w:r>
      <w:r w:rsidRPr="002A43E6">
        <w:rPr>
          <w:rFonts w:ascii="Times New Roman" w:hAnsi="Times New Roman" w:cs="Times New Roman"/>
        </w:rPr>
        <w:t>Publications, 9(4), 46.</w:t>
      </w:r>
    </w:p>
    <w:p w14:paraId="3E0D18E9" w14:textId="7C4A53A8" w:rsidR="00AE589F" w:rsidRPr="002A43E6" w:rsidRDefault="00AE589F" w:rsidP="003C3082">
      <w:pPr>
        <w:spacing w:line="360" w:lineRule="auto"/>
        <w:ind w:left="709" w:hanging="709"/>
        <w:jc w:val="both"/>
        <w:rPr>
          <w:rFonts w:ascii="Times New Roman" w:hAnsi="Times New Roman" w:cs="Times New Roman"/>
          <w:bCs/>
        </w:rPr>
      </w:pPr>
      <w:r w:rsidRPr="002A43E6">
        <w:rPr>
          <w:rFonts w:ascii="Times New Roman" w:hAnsi="Times New Roman" w:cs="Times New Roman"/>
          <w:bCs/>
        </w:rPr>
        <w:t xml:space="preserve">Rahayu, NE y Setiawan, D. ( 2023 ). Divulgación del capital intelectual y el factor que lo afecta en el sitio web oficial de la </w:t>
      </w:r>
      <w:r w:rsidR="00B20D2A">
        <w:rPr>
          <w:rFonts w:ascii="Times New Roman" w:hAnsi="Times New Roman" w:cs="Times New Roman"/>
          <w:bCs/>
        </w:rPr>
        <w:t>educación superior en Indonesia</w:t>
      </w:r>
      <w:r w:rsidRPr="002A43E6">
        <w:rPr>
          <w:rFonts w:ascii="Times New Roman" w:hAnsi="Times New Roman" w:cs="Times New Roman"/>
          <w:bCs/>
        </w:rPr>
        <w:t>. </w:t>
      </w:r>
      <w:r w:rsidRPr="002A43E6">
        <w:rPr>
          <w:rFonts w:ascii="Times New Roman" w:hAnsi="Times New Roman" w:cs="Times New Roman"/>
          <w:bCs/>
          <w:i/>
          <w:iCs/>
        </w:rPr>
        <w:t>Atestasi: Jurnal Ilmiah Akuntansi</w:t>
      </w:r>
      <w:r w:rsidRPr="002A43E6">
        <w:rPr>
          <w:rFonts w:ascii="Times New Roman" w:hAnsi="Times New Roman" w:cs="Times New Roman"/>
          <w:bCs/>
        </w:rPr>
        <w:t> . </w:t>
      </w:r>
      <w:hyperlink r:id="rId15" w:history="1">
        <w:r w:rsidRPr="002A43E6">
          <w:rPr>
            <w:rStyle w:val="Hipervnculo"/>
            <w:rFonts w:ascii="Times New Roman" w:hAnsi="Times New Roman" w:cs="Times New Roman"/>
            <w:bCs/>
          </w:rPr>
          <w:t>https://doi.org/10.57178/atestasi.v6i2.488</w:t>
        </w:r>
      </w:hyperlink>
      <w:r w:rsidRPr="002A43E6">
        <w:rPr>
          <w:rFonts w:ascii="Times New Roman" w:hAnsi="Times New Roman" w:cs="Times New Roman"/>
          <w:bCs/>
        </w:rPr>
        <w:t>.</w:t>
      </w:r>
    </w:p>
    <w:p w14:paraId="178173B8" w14:textId="77777777" w:rsidR="00AE589F" w:rsidRPr="002A43E6" w:rsidRDefault="00AE589F" w:rsidP="003C3082">
      <w:pPr>
        <w:spacing w:line="360" w:lineRule="auto"/>
        <w:ind w:left="709" w:hanging="709"/>
        <w:jc w:val="both"/>
        <w:rPr>
          <w:rFonts w:ascii="Times New Roman" w:hAnsi="Times New Roman" w:cs="Times New Roman"/>
        </w:rPr>
      </w:pPr>
      <w:r w:rsidRPr="002A43E6">
        <w:rPr>
          <w:rFonts w:ascii="Times New Roman" w:hAnsi="Times New Roman" w:cs="Times New Roman"/>
        </w:rPr>
        <w:t>Ramírez, Y. y Santos, J. (2013). Propuesta de un informe de CI para las instituciones de educación superior españolas. </w:t>
      </w:r>
      <w:r w:rsidRPr="002A43E6">
        <w:rPr>
          <w:rFonts w:ascii="Times New Roman" w:hAnsi="Times New Roman" w:cs="Times New Roman"/>
          <w:i/>
          <w:iCs/>
        </w:rPr>
        <w:t>Estudios de Economía Aplicada</w:t>
      </w:r>
      <w:r w:rsidRPr="002A43E6">
        <w:rPr>
          <w:rFonts w:ascii="Times New Roman" w:hAnsi="Times New Roman" w:cs="Times New Roman"/>
        </w:rPr>
        <w:t>, </w:t>
      </w:r>
      <w:r w:rsidRPr="002A43E6">
        <w:rPr>
          <w:rFonts w:ascii="Times New Roman" w:hAnsi="Times New Roman" w:cs="Times New Roman"/>
          <w:i/>
          <w:iCs/>
        </w:rPr>
        <w:t>31</w:t>
      </w:r>
      <w:r w:rsidRPr="002A43E6">
        <w:rPr>
          <w:rFonts w:ascii="Times New Roman" w:hAnsi="Times New Roman" w:cs="Times New Roman"/>
        </w:rPr>
        <w:t>(2), 525-554.</w:t>
      </w:r>
    </w:p>
    <w:p w14:paraId="5C4121D9" w14:textId="77777777" w:rsidR="00AE589F" w:rsidRPr="00511DF7" w:rsidRDefault="00AE589F" w:rsidP="003C3082">
      <w:pPr>
        <w:spacing w:line="360" w:lineRule="auto"/>
        <w:ind w:left="709" w:hanging="709"/>
        <w:jc w:val="both"/>
        <w:rPr>
          <w:rFonts w:ascii="Times New Roman" w:hAnsi="Times New Roman" w:cs="Times New Roman"/>
          <w:lang w:val="en-US"/>
        </w:rPr>
      </w:pPr>
      <w:r w:rsidRPr="002A43E6">
        <w:rPr>
          <w:rFonts w:ascii="Times New Roman" w:hAnsi="Times New Roman" w:cs="Times New Roman"/>
        </w:rPr>
        <w:t xml:space="preserve">Sariene, L. S., Rodríguez, M. D. M. G., &amp; de Rosario, A. H. (2018). Explorando los factores determinantes de la transparencia en la web de las mejores universidades del mundo. </w:t>
      </w:r>
      <w:r w:rsidRPr="00511DF7">
        <w:rPr>
          <w:rFonts w:ascii="Times New Roman" w:hAnsi="Times New Roman" w:cs="Times New Roman"/>
          <w:i/>
          <w:iCs/>
          <w:lang w:val="en-US"/>
        </w:rPr>
        <w:t>Revista de Contabilidad – Spanish Accounting Review</w:t>
      </w:r>
      <w:r w:rsidRPr="00511DF7">
        <w:rPr>
          <w:rFonts w:ascii="Times New Roman" w:hAnsi="Times New Roman" w:cs="Times New Roman"/>
          <w:lang w:val="en-US"/>
        </w:rPr>
        <w:t xml:space="preserve">, </w:t>
      </w:r>
      <w:r w:rsidRPr="00511DF7">
        <w:rPr>
          <w:rFonts w:ascii="Times New Roman" w:hAnsi="Times New Roman" w:cs="Times New Roman"/>
          <w:i/>
          <w:iCs/>
          <w:lang w:val="en-US"/>
        </w:rPr>
        <w:t>21</w:t>
      </w:r>
      <w:r w:rsidRPr="00511DF7">
        <w:rPr>
          <w:rFonts w:ascii="Times New Roman" w:hAnsi="Times New Roman" w:cs="Times New Roman"/>
          <w:lang w:val="en-US"/>
        </w:rPr>
        <w:t xml:space="preserve">(1), 63–72. </w:t>
      </w:r>
      <w:hyperlink r:id="rId16" w:tgtFrame="_new" w:history="1">
        <w:r w:rsidRPr="00511DF7">
          <w:rPr>
            <w:rStyle w:val="Hipervnculo"/>
            <w:rFonts w:ascii="Times New Roman" w:hAnsi="Times New Roman" w:cs="Times New Roman"/>
            <w:lang w:val="en-US"/>
          </w:rPr>
          <w:t>https://doi.org/10.1016/j.rcsar.2017.07.004</w:t>
        </w:r>
      </w:hyperlink>
    </w:p>
    <w:p w14:paraId="49BC7106" w14:textId="77777777" w:rsidR="00AE589F" w:rsidRPr="009B5D8A" w:rsidRDefault="00AE589F" w:rsidP="003C3082">
      <w:pPr>
        <w:spacing w:line="360" w:lineRule="auto"/>
        <w:ind w:left="709" w:hanging="709"/>
        <w:jc w:val="both"/>
        <w:rPr>
          <w:rFonts w:ascii="Times New Roman" w:hAnsi="Times New Roman" w:cs="Times New Roman"/>
        </w:rPr>
      </w:pPr>
      <w:r w:rsidRPr="002A43E6">
        <w:rPr>
          <w:rFonts w:ascii="Times New Roman" w:hAnsi="Times New Roman" w:cs="Times New Roman"/>
        </w:rPr>
        <w:t xml:space="preserve">Vitolla, F., Raimo, N., Nicolò, G., &amp; Ricciardelli, A. (2023). Explorando la divulgación del capital intelectual y sus determinantes en instituciones basadas en el conocimiento: Evidencia </w:t>
      </w:r>
      <w:r w:rsidRPr="002A43E6">
        <w:rPr>
          <w:rFonts w:ascii="Times New Roman" w:hAnsi="Times New Roman" w:cs="Times New Roman"/>
        </w:rPr>
        <w:lastRenderedPageBreak/>
        <w:t xml:space="preserve">empírica de universidades internacionales. </w:t>
      </w:r>
      <w:r w:rsidRPr="002A43E6">
        <w:rPr>
          <w:rFonts w:ascii="Times New Roman" w:hAnsi="Times New Roman" w:cs="Times New Roman"/>
          <w:i/>
          <w:iCs/>
        </w:rPr>
        <w:t>Medición de la Excelencia Empresarial</w:t>
      </w:r>
      <w:r w:rsidRPr="002A43E6">
        <w:rPr>
          <w:rFonts w:ascii="Times New Roman" w:hAnsi="Times New Roman" w:cs="Times New Roman"/>
        </w:rPr>
        <w:t xml:space="preserve">, </w:t>
      </w:r>
      <w:r w:rsidRPr="002A43E6">
        <w:rPr>
          <w:rFonts w:ascii="Times New Roman" w:hAnsi="Times New Roman" w:cs="Times New Roman"/>
          <w:i/>
          <w:iCs/>
        </w:rPr>
        <w:t>27</w:t>
      </w:r>
      <w:r w:rsidRPr="002A43E6">
        <w:rPr>
          <w:rFonts w:ascii="Times New Roman" w:hAnsi="Times New Roman" w:cs="Times New Roman"/>
        </w:rPr>
        <w:t xml:space="preserve">(2), 227–245. </w:t>
      </w:r>
      <w:hyperlink r:id="rId17" w:tgtFrame="_new" w:history="1">
        <w:r w:rsidRPr="002A43E6">
          <w:rPr>
            <w:rStyle w:val="Hipervnculo"/>
            <w:rFonts w:ascii="Times New Roman" w:hAnsi="Times New Roman" w:cs="Times New Roman"/>
          </w:rPr>
          <w:t>https://doi.org/10.1108/MBE-01-2022-0020</w:t>
        </w:r>
      </w:hyperlink>
    </w:p>
    <w:p w14:paraId="5D48E24C" w14:textId="77777777" w:rsidR="00AE589F" w:rsidRDefault="00AE589F" w:rsidP="00A95F75">
      <w:pPr>
        <w:spacing w:line="360" w:lineRule="auto"/>
        <w:jc w:val="both"/>
        <w:rPr>
          <w:rFonts w:ascii="Times New Roman" w:hAnsi="Times New Roman" w:cs="Times New Roman"/>
          <w:u w:val="single"/>
        </w:rPr>
      </w:pPr>
    </w:p>
    <w:p w14:paraId="501E65C2" w14:textId="77777777" w:rsidR="00A679FD" w:rsidRPr="00865381" w:rsidRDefault="003B4164" w:rsidP="009F3AE9">
      <w:pPr>
        <w:spacing w:line="360" w:lineRule="auto"/>
        <w:jc w:val="center"/>
        <w:rPr>
          <w:rFonts w:ascii="Times New Roman" w:hAnsi="Times New Roman" w:cs="Times New Roman"/>
          <w:b/>
          <w:sz w:val="24"/>
          <w:szCs w:val="24"/>
          <w:u w:val="single"/>
        </w:rPr>
      </w:pPr>
      <w:r w:rsidRPr="00865381">
        <w:rPr>
          <w:rFonts w:ascii="Times New Roman" w:hAnsi="Times New Roman" w:cs="Times New Roman"/>
          <w:b/>
          <w:sz w:val="24"/>
          <w:szCs w:val="24"/>
          <w:u w:val="single"/>
        </w:rPr>
        <w:t>ANEXO 1</w:t>
      </w:r>
    </w:p>
    <w:p w14:paraId="0B575FBF" w14:textId="4E56861C" w:rsidR="009F3AE9" w:rsidRPr="00D12135" w:rsidRDefault="009F3AE9" w:rsidP="009F3AE9">
      <w:pPr>
        <w:spacing w:before="120" w:after="120" w:line="360" w:lineRule="auto"/>
        <w:jc w:val="both"/>
        <w:rPr>
          <w:rFonts w:ascii="Times New Roman" w:eastAsia="Times New Roman" w:hAnsi="Times New Roman" w:cs="Times New Roman"/>
          <w:iCs/>
          <w:lang w:eastAsia="es-ES"/>
        </w:rPr>
      </w:pPr>
      <w:r>
        <w:rPr>
          <w:rFonts w:ascii="Times New Roman" w:eastAsia="Times New Roman" w:hAnsi="Times New Roman" w:cs="Times New Roman"/>
          <w:iCs/>
          <w:lang w:eastAsia="es-ES"/>
        </w:rPr>
        <w:t xml:space="preserve">A continuación se presentan los </w:t>
      </w:r>
      <w:r w:rsidRPr="00D12135">
        <w:rPr>
          <w:rFonts w:ascii="Times New Roman" w:eastAsia="Times New Roman" w:hAnsi="Times New Roman" w:cs="Times New Roman"/>
          <w:iCs/>
          <w:lang w:eastAsia="es-ES"/>
        </w:rPr>
        <w:t>componentes e indicadores propuestos para el CR</w:t>
      </w:r>
      <w:r>
        <w:rPr>
          <w:rFonts w:ascii="Times New Roman" w:eastAsia="Times New Roman" w:hAnsi="Times New Roman" w:cs="Times New Roman"/>
          <w:iCs/>
          <w:lang w:eastAsia="es-ES"/>
        </w:rPr>
        <w:t xml:space="preserve"> total, integrado por el CR propiamente dicho, el capital de procesos de extensión y los </w:t>
      </w:r>
      <w:r w:rsidRPr="00D12135">
        <w:rPr>
          <w:rFonts w:ascii="Times New Roman" w:eastAsia="Times New Roman" w:hAnsi="Times New Roman" w:cs="Times New Roman"/>
          <w:iCs/>
          <w:lang w:eastAsia="es-ES"/>
        </w:rPr>
        <w:t>resultados de las actividades de extensión (CP.Ex, RI.Ex):</w:t>
      </w:r>
    </w:p>
    <w:p w14:paraId="3200DEDB" w14:textId="77777777" w:rsidR="009F3AE9" w:rsidRPr="00D12135" w:rsidRDefault="009F3AE9" w:rsidP="009F3AE9">
      <w:pPr>
        <w:spacing w:before="120" w:after="120" w:line="360" w:lineRule="auto"/>
        <w:jc w:val="center"/>
        <w:rPr>
          <w:rFonts w:ascii="Times New Roman" w:eastAsia="Times New Roman" w:hAnsi="Times New Roman" w:cs="Times New Roman"/>
          <w:iCs/>
          <w:lang w:eastAsia="es-ES"/>
        </w:rPr>
      </w:pPr>
      <w:r w:rsidRPr="00D12135">
        <w:rPr>
          <w:rFonts w:ascii="Times New Roman" w:eastAsia="Times New Roman" w:hAnsi="Times New Roman" w:cs="Times New Roman"/>
          <w:iCs/>
          <w:lang w:eastAsia="es-ES"/>
        </w:rPr>
        <w:t xml:space="preserve">Tabla 1. Componentes e indicadores </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6939"/>
      </w:tblGrid>
      <w:tr w:rsidR="009F3AE9" w:rsidRPr="00D12135" w14:paraId="2432A940" w14:textId="77777777" w:rsidTr="00ED301F">
        <w:trPr>
          <w:trHeight w:val="270"/>
        </w:trPr>
        <w:tc>
          <w:tcPr>
            <w:tcW w:w="1555" w:type="dxa"/>
            <w:tcBorders>
              <w:top w:val="single" w:sz="4" w:space="0" w:color="auto"/>
              <w:bottom w:val="single" w:sz="4" w:space="0" w:color="auto"/>
            </w:tcBorders>
            <w:shd w:val="clear" w:color="auto" w:fill="auto"/>
          </w:tcPr>
          <w:p w14:paraId="66724170" w14:textId="77777777" w:rsidR="009F3AE9" w:rsidRPr="00C26DEA" w:rsidRDefault="009F3AE9" w:rsidP="00ED301F">
            <w:pPr>
              <w:jc w:val="center"/>
              <w:rPr>
                <w:rFonts w:ascii="Times New Roman" w:hAnsi="Times New Roman" w:cs="Times New Roman"/>
                <w:b/>
                <w:bCs/>
                <w:lang w:eastAsia="es-AR"/>
              </w:rPr>
            </w:pPr>
            <w:r w:rsidRPr="00C26DEA">
              <w:rPr>
                <w:rFonts w:ascii="Times New Roman" w:hAnsi="Times New Roman" w:cs="Times New Roman"/>
                <w:b/>
                <w:bCs/>
                <w:lang w:eastAsia="es-AR"/>
              </w:rPr>
              <w:t>Componente del CI</w:t>
            </w:r>
          </w:p>
        </w:tc>
        <w:tc>
          <w:tcPr>
            <w:tcW w:w="6939" w:type="dxa"/>
            <w:tcBorders>
              <w:top w:val="single" w:sz="4" w:space="0" w:color="auto"/>
              <w:bottom w:val="single" w:sz="4" w:space="0" w:color="auto"/>
            </w:tcBorders>
            <w:shd w:val="clear" w:color="auto" w:fill="auto"/>
            <w:noWrap/>
          </w:tcPr>
          <w:p w14:paraId="48454346" w14:textId="77777777" w:rsidR="009F3AE9" w:rsidRPr="00C26DEA" w:rsidRDefault="009F3AE9" w:rsidP="00ED301F">
            <w:pPr>
              <w:autoSpaceDE w:val="0"/>
              <w:autoSpaceDN w:val="0"/>
              <w:adjustRightInd w:val="0"/>
              <w:jc w:val="center"/>
              <w:rPr>
                <w:rFonts w:ascii="Times New Roman" w:hAnsi="Times New Roman" w:cs="Times New Roman"/>
                <w:b/>
                <w:bCs/>
              </w:rPr>
            </w:pPr>
            <w:r w:rsidRPr="00C26DEA">
              <w:rPr>
                <w:rFonts w:ascii="Times New Roman" w:hAnsi="Times New Roman" w:cs="Times New Roman"/>
                <w:b/>
                <w:bCs/>
              </w:rPr>
              <w:t>Indicadores</w:t>
            </w:r>
          </w:p>
        </w:tc>
      </w:tr>
      <w:tr w:rsidR="009F3AE9" w:rsidRPr="00D12135" w14:paraId="25368D5D" w14:textId="77777777" w:rsidTr="00ED301F">
        <w:trPr>
          <w:trHeight w:val="270"/>
        </w:trPr>
        <w:tc>
          <w:tcPr>
            <w:tcW w:w="1555" w:type="dxa"/>
            <w:vMerge w:val="restart"/>
            <w:vAlign w:val="center"/>
          </w:tcPr>
          <w:p w14:paraId="4693C767" w14:textId="77777777" w:rsidR="009F3AE9" w:rsidRPr="00C26DEA" w:rsidRDefault="009F3AE9" w:rsidP="00ED301F">
            <w:pPr>
              <w:autoSpaceDE w:val="0"/>
              <w:autoSpaceDN w:val="0"/>
              <w:adjustRightInd w:val="0"/>
              <w:jc w:val="both"/>
              <w:rPr>
                <w:rFonts w:ascii="Times New Roman" w:hAnsi="Times New Roman" w:cs="Times New Roman"/>
              </w:rPr>
            </w:pPr>
            <w:r w:rsidRPr="00C26DEA">
              <w:rPr>
                <w:rFonts w:ascii="Times New Roman" w:hAnsi="Times New Roman" w:cs="Times New Roman"/>
                <w:b/>
                <w:bCs/>
              </w:rPr>
              <w:t>Capital relacional</w:t>
            </w:r>
          </w:p>
        </w:tc>
        <w:tc>
          <w:tcPr>
            <w:tcW w:w="6939" w:type="dxa"/>
            <w:noWrap/>
            <w:hideMark/>
          </w:tcPr>
          <w:p w14:paraId="2E559B60" w14:textId="77777777" w:rsidR="009F3AE9" w:rsidRPr="00C26DEA" w:rsidRDefault="009F3AE9" w:rsidP="00ED301F">
            <w:pPr>
              <w:autoSpaceDE w:val="0"/>
              <w:autoSpaceDN w:val="0"/>
              <w:adjustRightInd w:val="0"/>
              <w:jc w:val="both"/>
              <w:rPr>
                <w:rFonts w:ascii="Times New Roman" w:hAnsi="Times New Roman" w:cs="Times New Roman"/>
              </w:rPr>
            </w:pPr>
            <w:r w:rsidRPr="00C26DEA">
              <w:rPr>
                <w:rFonts w:ascii="Times New Roman" w:hAnsi="Times New Roman" w:cs="Times New Roman"/>
              </w:rPr>
              <w:t>CR1 Promoción institucional</w:t>
            </w:r>
          </w:p>
        </w:tc>
      </w:tr>
      <w:tr w:rsidR="009F3AE9" w:rsidRPr="00D12135" w14:paraId="31C8D2A3" w14:textId="77777777" w:rsidTr="00ED301F">
        <w:trPr>
          <w:trHeight w:val="270"/>
        </w:trPr>
        <w:tc>
          <w:tcPr>
            <w:tcW w:w="1555" w:type="dxa"/>
            <w:vMerge/>
          </w:tcPr>
          <w:p w14:paraId="38D9FA4F" w14:textId="77777777" w:rsidR="009F3AE9" w:rsidRPr="00C26DEA" w:rsidRDefault="009F3AE9" w:rsidP="00ED301F">
            <w:pPr>
              <w:autoSpaceDE w:val="0"/>
              <w:autoSpaceDN w:val="0"/>
              <w:adjustRightInd w:val="0"/>
              <w:jc w:val="both"/>
              <w:rPr>
                <w:rFonts w:ascii="Times New Roman" w:hAnsi="Times New Roman" w:cs="Times New Roman"/>
              </w:rPr>
            </w:pPr>
          </w:p>
        </w:tc>
        <w:tc>
          <w:tcPr>
            <w:tcW w:w="6939" w:type="dxa"/>
            <w:noWrap/>
            <w:hideMark/>
          </w:tcPr>
          <w:p w14:paraId="1D647428" w14:textId="77777777" w:rsidR="009F3AE9" w:rsidRPr="00C26DEA" w:rsidRDefault="009F3AE9" w:rsidP="00ED301F">
            <w:pPr>
              <w:autoSpaceDE w:val="0"/>
              <w:autoSpaceDN w:val="0"/>
              <w:adjustRightInd w:val="0"/>
              <w:jc w:val="both"/>
              <w:rPr>
                <w:rFonts w:ascii="Times New Roman" w:hAnsi="Times New Roman" w:cs="Times New Roman"/>
              </w:rPr>
            </w:pPr>
            <w:r w:rsidRPr="00C26DEA">
              <w:rPr>
                <w:rFonts w:ascii="Times New Roman" w:hAnsi="Times New Roman" w:cs="Times New Roman"/>
              </w:rPr>
              <w:t xml:space="preserve">CR2 Movilidad de estudiantes </w:t>
            </w:r>
          </w:p>
        </w:tc>
      </w:tr>
      <w:tr w:rsidR="009F3AE9" w:rsidRPr="00D12135" w14:paraId="1D86E085" w14:textId="77777777" w:rsidTr="00ED301F">
        <w:trPr>
          <w:trHeight w:val="270"/>
        </w:trPr>
        <w:tc>
          <w:tcPr>
            <w:tcW w:w="1555" w:type="dxa"/>
            <w:vMerge/>
          </w:tcPr>
          <w:p w14:paraId="00458239" w14:textId="77777777" w:rsidR="009F3AE9" w:rsidRPr="00C26DEA" w:rsidRDefault="009F3AE9" w:rsidP="00ED301F">
            <w:pPr>
              <w:autoSpaceDE w:val="0"/>
              <w:autoSpaceDN w:val="0"/>
              <w:adjustRightInd w:val="0"/>
              <w:jc w:val="both"/>
              <w:rPr>
                <w:rFonts w:ascii="Times New Roman" w:hAnsi="Times New Roman" w:cs="Times New Roman"/>
              </w:rPr>
            </w:pPr>
          </w:p>
        </w:tc>
        <w:tc>
          <w:tcPr>
            <w:tcW w:w="6939" w:type="dxa"/>
            <w:noWrap/>
            <w:hideMark/>
          </w:tcPr>
          <w:p w14:paraId="05A1715E" w14:textId="77777777" w:rsidR="009F3AE9" w:rsidRPr="00C26DEA" w:rsidRDefault="009F3AE9" w:rsidP="00ED301F">
            <w:pPr>
              <w:autoSpaceDE w:val="0"/>
              <w:autoSpaceDN w:val="0"/>
              <w:adjustRightInd w:val="0"/>
              <w:jc w:val="both"/>
              <w:rPr>
                <w:rFonts w:ascii="Times New Roman" w:hAnsi="Times New Roman" w:cs="Times New Roman"/>
              </w:rPr>
            </w:pPr>
            <w:r w:rsidRPr="00C26DEA">
              <w:rPr>
                <w:rFonts w:ascii="Times New Roman" w:hAnsi="Times New Roman" w:cs="Times New Roman"/>
              </w:rPr>
              <w:t>CR3 Personal académico con títulos obtenidos en otra institución nacional o extranjera</w:t>
            </w:r>
          </w:p>
        </w:tc>
      </w:tr>
      <w:tr w:rsidR="009F3AE9" w:rsidRPr="00D12135" w14:paraId="7AD7D09C" w14:textId="77777777" w:rsidTr="00ED301F">
        <w:trPr>
          <w:trHeight w:val="270"/>
        </w:trPr>
        <w:tc>
          <w:tcPr>
            <w:tcW w:w="1555" w:type="dxa"/>
            <w:vMerge/>
          </w:tcPr>
          <w:p w14:paraId="5A600719" w14:textId="77777777" w:rsidR="009F3AE9" w:rsidRPr="00C26DEA" w:rsidRDefault="009F3AE9" w:rsidP="00ED301F">
            <w:pPr>
              <w:autoSpaceDE w:val="0"/>
              <w:autoSpaceDN w:val="0"/>
              <w:adjustRightInd w:val="0"/>
              <w:jc w:val="both"/>
              <w:rPr>
                <w:rFonts w:ascii="Times New Roman" w:hAnsi="Times New Roman" w:cs="Times New Roman"/>
              </w:rPr>
            </w:pPr>
          </w:p>
        </w:tc>
        <w:tc>
          <w:tcPr>
            <w:tcW w:w="6939" w:type="dxa"/>
            <w:noWrap/>
            <w:hideMark/>
          </w:tcPr>
          <w:p w14:paraId="30FD2742" w14:textId="77777777" w:rsidR="009F3AE9" w:rsidRPr="00C26DEA" w:rsidRDefault="009F3AE9" w:rsidP="00ED301F">
            <w:pPr>
              <w:autoSpaceDE w:val="0"/>
              <w:autoSpaceDN w:val="0"/>
              <w:adjustRightInd w:val="0"/>
              <w:jc w:val="both"/>
              <w:rPr>
                <w:rFonts w:ascii="Times New Roman" w:hAnsi="Times New Roman" w:cs="Times New Roman"/>
              </w:rPr>
            </w:pPr>
            <w:r w:rsidRPr="00C26DEA">
              <w:rPr>
                <w:rFonts w:ascii="Times New Roman" w:hAnsi="Times New Roman" w:cs="Times New Roman"/>
              </w:rPr>
              <w:t>CR4 Profesores visitantes</w:t>
            </w:r>
          </w:p>
        </w:tc>
      </w:tr>
      <w:tr w:rsidR="009F3AE9" w:rsidRPr="00D12135" w14:paraId="7144BE0E" w14:textId="77777777" w:rsidTr="00ED301F">
        <w:trPr>
          <w:trHeight w:val="270"/>
        </w:trPr>
        <w:tc>
          <w:tcPr>
            <w:tcW w:w="1555" w:type="dxa"/>
            <w:vMerge/>
          </w:tcPr>
          <w:p w14:paraId="446AF55F" w14:textId="77777777" w:rsidR="009F3AE9" w:rsidRPr="00C26DEA" w:rsidRDefault="009F3AE9" w:rsidP="00ED301F">
            <w:pPr>
              <w:autoSpaceDE w:val="0"/>
              <w:autoSpaceDN w:val="0"/>
              <w:adjustRightInd w:val="0"/>
              <w:jc w:val="both"/>
              <w:rPr>
                <w:rFonts w:ascii="Times New Roman" w:hAnsi="Times New Roman" w:cs="Times New Roman"/>
              </w:rPr>
            </w:pPr>
          </w:p>
        </w:tc>
        <w:tc>
          <w:tcPr>
            <w:tcW w:w="6939" w:type="dxa"/>
            <w:noWrap/>
            <w:hideMark/>
          </w:tcPr>
          <w:p w14:paraId="56540B5C" w14:textId="77777777" w:rsidR="009F3AE9" w:rsidRPr="00C26DEA" w:rsidRDefault="009F3AE9" w:rsidP="00ED301F">
            <w:pPr>
              <w:autoSpaceDE w:val="0"/>
              <w:autoSpaceDN w:val="0"/>
              <w:adjustRightInd w:val="0"/>
              <w:jc w:val="both"/>
              <w:rPr>
                <w:rFonts w:ascii="Times New Roman" w:hAnsi="Times New Roman" w:cs="Times New Roman"/>
              </w:rPr>
            </w:pPr>
            <w:r w:rsidRPr="00C26DEA">
              <w:rPr>
                <w:rFonts w:ascii="Times New Roman" w:hAnsi="Times New Roman" w:cs="Times New Roman"/>
              </w:rPr>
              <w:t>CR5 Programas académicos en convenio con otras universidades</w:t>
            </w:r>
          </w:p>
        </w:tc>
      </w:tr>
      <w:tr w:rsidR="009F3AE9" w:rsidRPr="00D12135" w14:paraId="541CDA14" w14:textId="77777777" w:rsidTr="00ED301F">
        <w:trPr>
          <w:trHeight w:val="270"/>
        </w:trPr>
        <w:tc>
          <w:tcPr>
            <w:tcW w:w="1555" w:type="dxa"/>
            <w:vMerge/>
          </w:tcPr>
          <w:p w14:paraId="753C2607" w14:textId="77777777" w:rsidR="009F3AE9" w:rsidRPr="00C26DEA" w:rsidRDefault="009F3AE9" w:rsidP="00ED301F">
            <w:pPr>
              <w:autoSpaceDE w:val="0"/>
              <w:autoSpaceDN w:val="0"/>
              <w:adjustRightInd w:val="0"/>
              <w:jc w:val="both"/>
              <w:rPr>
                <w:rFonts w:ascii="Times New Roman" w:hAnsi="Times New Roman" w:cs="Times New Roman"/>
              </w:rPr>
            </w:pPr>
          </w:p>
        </w:tc>
        <w:tc>
          <w:tcPr>
            <w:tcW w:w="6939" w:type="dxa"/>
            <w:noWrap/>
            <w:hideMark/>
          </w:tcPr>
          <w:p w14:paraId="1F8BDFFE" w14:textId="77777777" w:rsidR="009F3AE9" w:rsidRPr="00C26DEA" w:rsidRDefault="009F3AE9" w:rsidP="00ED301F">
            <w:pPr>
              <w:autoSpaceDE w:val="0"/>
              <w:autoSpaceDN w:val="0"/>
              <w:adjustRightInd w:val="0"/>
              <w:jc w:val="both"/>
              <w:rPr>
                <w:rFonts w:ascii="Times New Roman" w:hAnsi="Times New Roman" w:cs="Times New Roman"/>
              </w:rPr>
            </w:pPr>
            <w:r w:rsidRPr="00C26DEA">
              <w:rPr>
                <w:rFonts w:ascii="Times New Roman" w:hAnsi="Times New Roman" w:cs="Times New Roman"/>
              </w:rPr>
              <w:t xml:space="preserve">CR6 Estudiantes extranjeros </w:t>
            </w:r>
          </w:p>
        </w:tc>
      </w:tr>
      <w:tr w:rsidR="009F3AE9" w:rsidRPr="00D12135" w14:paraId="6E0ED8AF" w14:textId="77777777" w:rsidTr="00ED301F">
        <w:trPr>
          <w:trHeight w:val="270"/>
        </w:trPr>
        <w:tc>
          <w:tcPr>
            <w:tcW w:w="1555" w:type="dxa"/>
            <w:vMerge w:val="restart"/>
            <w:tcBorders>
              <w:top w:val="single" w:sz="4" w:space="0" w:color="auto"/>
            </w:tcBorders>
            <w:vAlign w:val="center"/>
          </w:tcPr>
          <w:p w14:paraId="45E5BE85" w14:textId="77777777" w:rsidR="009F3AE9" w:rsidRPr="00C26DEA" w:rsidRDefault="009F3AE9" w:rsidP="00ED301F">
            <w:pPr>
              <w:autoSpaceDE w:val="0"/>
              <w:autoSpaceDN w:val="0"/>
              <w:adjustRightInd w:val="0"/>
              <w:rPr>
                <w:rFonts w:ascii="Times New Roman" w:hAnsi="Times New Roman" w:cs="Times New Roman"/>
              </w:rPr>
            </w:pPr>
            <w:r w:rsidRPr="00C26DEA">
              <w:rPr>
                <w:rFonts w:ascii="Times New Roman" w:hAnsi="Times New Roman" w:cs="Times New Roman"/>
                <w:b/>
                <w:bCs/>
              </w:rPr>
              <w:t>Capital de procesos: extensión</w:t>
            </w:r>
          </w:p>
        </w:tc>
        <w:tc>
          <w:tcPr>
            <w:tcW w:w="6939" w:type="dxa"/>
            <w:tcBorders>
              <w:top w:val="single" w:sz="4" w:space="0" w:color="auto"/>
            </w:tcBorders>
            <w:noWrap/>
            <w:hideMark/>
          </w:tcPr>
          <w:p w14:paraId="1414690D" w14:textId="31304C7E" w:rsidR="009F3AE9" w:rsidRPr="00C26DEA" w:rsidRDefault="009F3AE9" w:rsidP="00ED301F">
            <w:pPr>
              <w:autoSpaceDE w:val="0"/>
              <w:autoSpaceDN w:val="0"/>
              <w:adjustRightInd w:val="0"/>
              <w:jc w:val="both"/>
              <w:rPr>
                <w:rFonts w:ascii="Times New Roman" w:hAnsi="Times New Roman" w:cs="Times New Roman"/>
              </w:rPr>
            </w:pPr>
            <w:r w:rsidRPr="00C26DEA">
              <w:rPr>
                <w:rFonts w:ascii="Times New Roman" w:hAnsi="Times New Roman" w:cs="Times New Roman"/>
              </w:rPr>
              <w:t>CP.Ex1 Organización de eventos culturales y sociales</w:t>
            </w:r>
          </w:p>
        </w:tc>
      </w:tr>
      <w:tr w:rsidR="009F3AE9" w:rsidRPr="00D12135" w14:paraId="3BEE2FD6" w14:textId="77777777" w:rsidTr="00ED301F">
        <w:trPr>
          <w:trHeight w:val="270"/>
        </w:trPr>
        <w:tc>
          <w:tcPr>
            <w:tcW w:w="1555" w:type="dxa"/>
            <w:vMerge/>
          </w:tcPr>
          <w:p w14:paraId="4A9B9DEC" w14:textId="77777777" w:rsidR="009F3AE9" w:rsidRPr="00C26DEA" w:rsidRDefault="009F3AE9" w:rsidP="00ED301F">
            <w:pPr>
              <w:autoSpaceDE w:val="0"/>
              <w:autoSpaceDN w:val="0"/>
              <w:adjustRightInd w:val="0"/>
              <w:jc w:val="both"/>
              <w:rPr>
                <w:rFonts w:ascii="Times New Roman" w:hAnsi="Times New Roman" w:cs="Times New Roman"/>
              </w:rPr>
            </w:pPr>
          </w:p>
        </w:tc>
        <w:tc>
          <w:tcPr>
            <w:tcW w:w="6939" w:type="dxa"/>
            <w:noWrap/>
            <w:hideMark/>
          </w:tcPr>
          <w:p w14:paraId="4F063363" w14:textId="77777777" w:rsidR="009F3AE9" w:rsidRPr="00C26DEA" w:rsidRDefault="009F3AE9" w:rsidP="00ED301F">
            <w:pPr>
              <w:autoSpaceDE w:val="0"/>
              <w:autoSpaceDN w:val="0"/>
              <w:adjustRightInd w:val="0"/>
              <w:jc w:val="both"/>
              <w:rPr>
                <w:rFonts w:ascii="Times New Roman" w:hAnsi="Times New Roman" w:cs="Times New Roman"/>
              </w:rPr>
            </w:pPr>
            <w:r w:rsidRPr="00C26DEA">
              <w:rPr>
                <w:rFonts w:ascii="Times New Roman" w:hAnsi="Times New Roman" w:cs="Times New Roman"/>
              </w:rPr>
              <w:t>CP.Ex2 Relaciones con medios de comunicación</w:t>
            </w:r>
          </w:p>
        </w:tc>
      </w:tr>
      <w:tr w:rsidR="009F3AE9" w:rsidRPr="00D12135" w14:paraId="3DB61AC4" w14:textId="77777777" w:rsidTr="00ED301F">
        <w:trPr>
          <w:trHeight w:val="270"/>
        </w:trPr>
        <w:tc>
          <w:tcPr>
            <w:tcW w:w="1555" w:type="dxa"/>
            <w:vMerge/>
          </w:tcPr>
          <w:p w14:paraId="3BADFA89" w14:textId="77777777" w:rsidR="009F3AE9" w:rsidRPr="00C26DEA" w:rsidRDefault="009F3AE9" w:rsidP="00ED301F">
            <w:pPr>
              <w:autoSpaceDE w:val="0"/>
              <w:autoSpaceDN w:val="0"/>
              <w:adjustRightInd w:val="0"/>
              <w:jc w:val="both"/>
              <w:rPr>
                <w:rFonts w:ascii="Times New Roman" w:hAnsi="Times New Roman" w:cs="Times New Roman"/>
              </w:rPr>
            </w:pPr>
          </w:p>
        </w:tc>
        <w:tc>
          <w:tcPr>
            <w:tcW w:w="6939" w:type="dxa"/>
            <w:noWrap/>
            <w:hideMark/>
          </w:tcPr>
          <w:p w14:paraId="1C7132C9" w14:textId="77777777" w:rsidR="009F3AE9" w:rsidRPr="00C26DEA" w:rsidRDefault="009F3AE9" w:rsidP="00ED301F">
            <w:pPr>
              <w:autoSpaceDE w:val="0"/>
              <w:autoSpaceDN w:val="0"/>
              <w:adjustRightInd w:val="0"/>
              <w:jc w:val="both"/>
              <w:rPr>
                <w:rFonts w:ascii="Times New Roman" w:hAnsi="Times New Roman" w:cs="Times New Roman"/>
              </w:rPr>
            </w:pPr>
            <w:r w:rsidRPr="00C26DEA">
              <w:rPr>
                <w:rFonts w:ascii="Times New Roman" w:hAnsi="Times New Roman" w:cs="Times New Roman"/>
              </w:rPr>
              <w:t>CP.Ex3 Relaciones con otras universidades</w:t>
            </w:r>
          </w:p>
        </w:tc>
      </w:tr>
      <w:tr w:rsidR="009F3AE9" w:rsidRPr="00D12135" w14:paraId="7D19F3FF" w14:textId="77777777" w:rsidTr="00ED301F">
        <w:trPr>
          <w:trHeight w:val="270"/>
        </w:trPr>
        <w:tc>
          <w:tcPr>
            <w:tcW w:w="1555" w:type="dxa"/>
            <w:vMerge/>
          </w:tcPr>
          <w:p w14:paraId="0E2DB190" w14:textId="77777777" w:rsidR="009F3AE9" w:rsidRPr="00C26DEA" w:rsidRDefault="009F3AE9" w:rsidP="00ED301F">
            <w:pPr>
              <w:autoSpaceDE w:val="0"/>
              <w:autoSpaceDN w:val="0"/>
              <w:adjustRightInd w:val="0"/>
              <w:jc w:val="both"/>
              <w:rPr>
                <w:rFonts w:ascii="Times New Roman" w:hAnsi="Times New Roman" w:cs="Times New Roman"/>
              </w:rPr>
            </w:pPr>
          </w:p>
        </w:tc>
        <w:tc>
          <w:tcPr>
            <w:tcW w:w="6939" w:type="dxa"/>
            <w:noWrap/>
            <w:hideMark/>
          </w:tcPr>
          <w:p w14:paraId="0A01AB6C" w14:textId="77777777" w:rsidR="009F3AE9" w:rsidRPr="00C26DEA" w:rsidRDefault="009F3AE9" w:rsidP="00ED301F">
            <w:pPr>
              <w:autoSpaceDE w:val="0"/>
              <w:autoSpaceDN w:val="0"/>
              <w:adjustRightInd w:val="0"/>
              <w:jc w:val="both"/>
              <w:rPr>
                <w:rFonts w:ascii="Times New Roman" w:hAnsi="Times New Roman" w:cs="Times New Roman"/>
              </w:rPr>
            </w:pPr>
            <w:r w:rsidRPr="00C26DEA">
              <w:rPr>
                <w:rFonts w:ascii="Times New Roman" w:hAnsi="Times New Roman" w:cs="Times New Roman"/>
              </w:rPr>
              <w:t>CP.Ex4 Relaciones con la sociedad en general</w:t>
            </w:r>
          </w:p>
        </w:tc>
      </w:tr>
      <w:tr w:rsidR="009F3AE9" w:rsidRPr="00D12135" w14:paraId="2E7CFEEC" w14:textId="77777777" w:rsidTr="00ED301F">
        <w:trPr>
          <w:trHeight w:val="270"/>
        </w:trPr>
        <w:tc>
          <w:tcPr>
            <w:tcW w:w="1555" w:type="dxa"/>
            <w:vMerge/>
          </w:tcPr>
          <w:p w14:paraId="67B26C74" w14:textId="77777777" w:rsidR="009F3AE9" w:rsidRPr="00C26DEA" w:rsidRDefault="009F3AE9" w:rsidP="00ED301F">
            <w:pPr>
              <w:autoSpaceDE w:val="0"/>
              <w:autoSpaceDN w:val="0"/>
              <w:adjustRightInd w:val="0"/>
              <w:jc w:val="both"/>
              <w:rPr>
                <w:rFonts w:ascii="Times New Roman" w:hAnsi="Times New Roman" w:cs="Times New Roman"/>
              </w:rPr>
            </w:pPr>
          </w:p>
        </w:tc>
        <w:tc>
          <w:tcPr>
            <w:tcW w:w="6939" w:type="dxa"/>
            <w:noWrap/>
            <w:hideMark/>
          </w:tcPr>
          <w:p w14:paraId="42F790DB" w14:textId="77777777" w:rsidR="009F3AE9" w:rsidRPr="00C26DEA" w:rsidRDefault="009F3AE9" w:rsidP="00ED301F">
            <w:pPr>
              <w:autoSpaceDE w:val="0"/>
              <w:autoSpaceDN w:val="0"/>
              <w:adjustRightInd w:val="0"/>
              <w:jc w:val="both"/>
              <w:rPr>
                <w:rFonts w:ascii="Times New Roman" w:hAnsi="Times New Roman" w:cs="Times New Roman"/>
              </w:rPr>
            </w:pPr>
            <w:r w:rsidRPr="00C26DEA">
              <w:rPr>
                <w:rFonts w:ascii="Times New Roman" w:hAnsi="Times New Roman" w:cs="Times New Roman"/>
              </w:rPr>
              <w:t>CP.Ex5 Relaciones con el mundo empresarial y organismos públicos</w:t>
            </w:r>
          </w:p>
        </w:tc>
      </w:tr>
      <w:tr w:rsidR="009F3AE9" w:rsidRPr="00D12135" w14:paraId="6932D9F0" w14:textId="77777777" w:rsidTr="00ED301F">
        <w:trPr>
          <w:trHeight w:val="270"/>
        </w:trPr>
        <w:tc>
          <w:tcPr>
            <w:tcW w:w="1555" w:type="dxa"/>
            <w:vMerge w:val="restart"/>
            <w:tcBorders>
              <w:top w:val="single" w:sz="4" w:space="0" w:color="auto"/>
            </w:tcBorders>
            <w:vAlign w:val="center"/>
          </w:tcPr>
          <w:p w14:paraId="44CB2150" w14:textId="77777777" w:rsidR="009F3AE9" w:rsidRPr="00C26DEA" w:rsidRDefault="009F3AE9" w:rsidP="00ED301F">
            <w:pPr>
              <w:autoSpaceDE w:val="0"/>
              <w:autoSpaceDN w:val="0"/>
              <w:adjustRightInd w:val="0"/>
              <w:rPr>
                <w:rFonts w:ascii="Times New Roman" w:hAnsi="Times New Roman" w:cs="Times New Roman"/>
              </w:rPr>
            </w:pPr>
            <w:r w:rsidRPr="00C26DEA">
              <w:rPr>
                <w:rFonts w:ascii="Times New Roman" w:hAnsi="Times New Roman" w:cs="Times New Roman"/>
                <w:b/>
                <w:bCs/>
              </w:rPr>
              <w:t>Resultados e impactos: extensión</w:t>
            </w:r>
          </w:p>
        </w:tc>
        <w:tc>
          <w:tcPr>
            <w:tcW w:w="6939" w:type="dxa"/>
            <w:tcBorders>
              <w:top w:val="single" w:sz="4" w:space="0" w:color="auto"/>
            </w:tcBorders>
            <w:noWrap/>
            <w:hideMark/>
          </w:tcPr>
          <w:p w14:paraId="3F1D7C35" w14:textId="24F35C2F" w:rsidR="009F3AE9" w:rsidRPr="00C26DEA" w:rsidRDefault="009F3AE9" w:rsidP="00ED301F">
            <w:pPr>
              <w:autoSpaceDE w:val="0"/>
              <w:autoSpaceDN w:val="0"/>
              <w:adjustRightInd w:val="0"/>
              <w:jc w:val="both"/>
              <w:rPr>
                <w:rFonts w:ascii="Times New Roman" w:hAnsi="Times New Roman" w:cs="Times New Roman"/>
              </w:rPr>
            </w:pPr>
            <w:r w:rsidRPr="00C26DEA">
              <w:rPr>
                <w:rFonts w:ascii="Times New Roman" w:hAnsi="Times New Roman" w:cs="Times New Roman"/>
              </w:rPr>
              <w:t>RI.Ex1 Cantidad de intervenciones al medio (cursos, asesoramiento, actividades/acciones)</w:t>
            </w:r>
          </w:p>
        </w:tc>
      </w:tr>
      <w:tr w:rsidR="009F3AE9" w:rsidRPr="00D12135" w14:paraId="025216C7" w14:textId="77777777" w:rsidTr="00ED301F">
        <w:trPr>
          <w:trHeight w:val="270"/>
        </w:trPr>
        <w:tc>
          <w:tcPr>
            <w:tcW w:w="1555" w:type="dxa"/>
            <w:vMerge/>
          </w:tcPr>
          <w:p w14:paraId="5EDFC07A" w14:textId="77777777" w:rsidR="009F3AE9" w:rsidRPr="00C26DEA" w:rsidRDefault="009F3AE9" w:rsidP="00ED301F">
            <w:pPr>
              <w:autoSpaceDE w:val="0"/>
              <w:autoSpaceDN w:val="0"/>
              <w:adjustRightInd w:val="0"/>
              <w:jc w:val="both"/>
              <w:rPr>
                <w:rFonts w:ascii="Times New Roman" w:hAnsi="Times New Roman" w:cs="Times New Roman"/>
              </w:rPr>
            </w:pPr>
          </w:p>
        </w:tc>
        <w:tc>
          <w:tcPr>
            <w:tcW w:w="6939" w:type="dxa"/>
            <w:noWrap/>
            <w:hideMark/>
          </w:tcPr>
          <w:p w14:paraId="48E7DE90" w14:textId="77777777" w:rsidR="009F3AE9" w:rsidRPr="00C26DEA" w:rsidRDefault="009F3AE9" w:rsidP="00ED301F">
            <w:pPr>
              <w:autoSpaceDE w:val="0"/>
              <w:autoSpaceDN w:val="0"/>
              <w:adjustRightInd w:val="0"/>
              <w:jc w:val="both"/>
              <w:rPr>
                <w:rFonts w:ascii="Times New Roman" w:hAnsi="Times New Roman" w:cs="Times New Roman"/>
              </w:rPr>
            </w:pPr>
            <w:r w:rsidRPr="00C26DEA">
              <w:rPr>
                <w:rFonts w:ascii="Times New Roman" w:hAnsi="Times New Roman" w:cs="Times New Roman"/>
              </w:rPr>
              <w:t>RI.Ex2 Patentes concedidas</w:t>
            </w:r>
          </w:p>
        </w:tc>
      </w:tr>
      <w:tr w:rsidR="009F3AE9" w:rsidRPr="00D12135" w14:paraId="651A2676" w14:textId="77777777" w:rsidTr="00ED301F">
        <w:trPr>
          <w:trHeight w:val="270"/>
        </w:trPr>
        <w:tc>
          <w:tcPr>
            <w:tcW w:w="1555" w:type="dxa"/>
            <w:vMerge/>
          </w:tcPr>
          <w:p w14:paraId="22408951" w14:textId="77777777" w:rsidR="009F3AE9" w:rsidRPr="00C26DEA" w:rsidRDefault="009F3AE9" w:rsidP="00ED301F">
            <w:pPr>
              <w:autoSpaceDE w:val="0"/>
              <w:autoSpaceDN w:val="0"/>
              <w:adjustRightInd w:val="0"/>
              <w:jc w:val="both"/>
              <w:rPr>
                <w:rFonts w:ascii="Times New Roman" w:hAnsi="Times New Roman" w:cs="Times New Roman"/>
              </w:rPr>
            </w:pPr>
          </w:p>
        </w:tc>
        <w:tc>
          <w:tcPr>
            <w:tcW w:w="6939" w:type="dxa"/>
            <w:noWrap/>
            <w:hideMark/>
          </w:tcPr>
          <w:p w14:paraId="20E0A4AC" w14:textId="77777777" w:rsidR="009F3AE9" w:rsidRPr="00C26DEA" w:rsidRDefault="009F3AE9" w:rsidP="00ED301F">
            <w:pPr>
              <w:autoSpaceDE w:val="0"/>
              <w:autoSpaceDN w:val="0"/>
              <w:adjustRightInd w:val="0"/>
              <w:jc w:val="both"/>
              <w:rPr>
                <w:rFonts w:ascii="Times New Roman" w:hAnsi="Times New Roman" w:cs="Times New Roman"/>
              </w:rPr>
            </w:pPr>
            <w:r w:rsidRPr="00C26DEA">
              <w:rPr>
                <w:rFonts w:ascii="Times New Roman" w:hAnsi="Times New Roman" w:cs="Times New Roman"/>
              </w:rPr>
              <w:t>RI.Ex3 Ingresos por licencias y patentes</w:t>
            </w:r>
          </w:p>
        </w:tc>
      </w:tr>
      <w:tr w:rsidR="009F3AE9" w:rsidRPr="00D12135" w14:paraId="6AD423B5" w14:textId="77777777" w:rsidTr="00ED301F">
        <w:trPr>
          <w:trHeight w:val="270"/>
        </w:trPr>
        <w:tc>
          <w:tcPr>
            <w:tcW w:w="1555" w:type="dxa"/>
            <w:vMerge/>
          </w:tcPr>
          <w:p w14:paraId="37425DC0" w14:textId="77777777" w:rsidR="009F3AE9" w:rsidRPr="00C26DEA" w:rsidRDefault="009F3AE9" w:rsidP="00ED301F">
            <w:pPr>
              <w:autoSpaceDE w:val="0"/>
              <w:autoSpaceDN w:val="0"/>
              <w:adjustRightInd w:val="0"/>
              <w:jc w:val="both"/>
              <w:rPr>
                <w:rFonts w:ascii="Times New Roman" w:hAnsi="Times New Roman" w:cs="Times New Roman"/>
              </w:rPr>
            </w:pPr>
          </w:p>
        </w:tc>
        <w:tc>
          <w:tcPr>
            <w:tcW w:w="6939" w:type="dxa"/>
            <w:noWrap/>
            <w:hideMark/>
          </w:tcPr>
          <w:p w14:paraId="08136346" w14:textId="77777777" w:rsidR="009F3AE9" w:rsidRPr="00C26DEA" w:rsidRDefault="009F3AE9" w:rsidP="00ED301F">
            <w:pPr>
              <w:autoSpaceDE w:val="0"/>
              <w:autoSpaceDN w:val="0"/>
              <w:adjustRightInd w:val="0"/>
              <w:jc w:val="both"/>
              <w:rPr>
                <w:rFonts w:ascii="Times New Roman" w:hAnsi="Times New Roman" w:cs="Times New Roman"/>
              </w:rPr>
            </w:pPr>
            <w:r w:rsidRPr="00C26DEA">
              <w:rPr>
                <w:rFonts w:ascii="Times New Roman" w:hAnsi="Times New Roman" w:cs="Times New Roman"/>
              </w:rPr>
              <w:t>RI.Ex4 Coediciones público-privadas (obras artísticas, libros, publicaciones científicas)</w:t>
            </w:r>
          </w:p>
        </w:tc>
      </w:tr>
      <w:tr w:rsidR="009F3AE9" w:rsidRPr="00D12135" w14:paraId="4DF4F239" w14:textId="77777777" w:rsidTr="00ED301F">
        <w:trPr>
          <w:trHeight w:val="270"/>
        </w:trPr>
        <w:tc>
          <w:tcPr>
            <w:tcW w:w="1555" w:type="dxa"/>
            <w:vMerge/>
            <w:tcBorders>
              <w:bottom w:val="single" w:sz="4" w:space="0" w:color="auto"/>
            </w:tcBorders>
          </w:tcPr>
          <w:p w14:paraId="676AC831" w14:textId="77777777" w:rsidR="009F3AE9" w:rsidRPr="00C26DEA" w:rsidRDefault="009F3AE9" w:rsidP="00ED301F">
            <w:pPr>
              <w:autoSpaceDE w:val="0"/>
              <w:autoSpaceDN w:val="0"/>
              <w:adjustRightInd w:val="0"/>
              <w:jc w:val="both"/>
              <w:rPr>
                <w:rFonts w:ascii="Times New Roman" w:hAnsi="Times New Roman" w:cs="Times New Roman"/>
              </w:rPr>
            </w:pPr>
          </w:p>
        </w:tc>
        <w:tc>
          <w:tcPr>
            <w:tcW w:w="6939" w:type="dxa"/>
            <w:tcBorders>
              <w:bottom w:val="single" w:sz="4" w:space="0" w:color="auto"/>
            </w:tcBorders>
            <w:noWrap/>
            <w:hideMark/>
          </w:tcPr>
          <w:p w14:paraId="370B7785" w14:textId="367D7B7A" w:rsidR="009F3AE9" w:rsidRPr="00C26DEA" w:rsidRDefault="009F3AE9" w:rsidP="00ED301F">
            <w:pPr>
              <w:autoSpaceDE w:val="0"/>
              <w:autoSpaceDN w:val="0"/>
              <w:adjustRightInd w:val="0"/>
              <w:jc w:val="both"/>
              <w:rPr>
                <w:rFonts w:ascii="Times New Roman" w:hAnsi="Times New Roman" w:cs="Times New Roman"/>
              </w:rPr>
            </w:pPr>
            <w:r w:rsidRPr="00C26DEA">
              <w:rPr>
                <w:rFonts w:ascii="Times New Roman" w:hAnsi="Times New Roman" w:cs="Times New Roman"/>
              </w:rPr>
              <w:t>RI.Ex5 Premios y reconocimientos recibidos</w:t>
            </w:r>
          </w:p>
        </w:tc>
      </w:tr>
    </w:tbl>
    <w:p w14:paraId="48FD446E" w14:textId="3DC13E43" w:rsidR="009F3AE9" w:rsidRPr="00D12135" w:rsidRDefault="009F3AE9" w:rsidP="009F3AE9">
      <w:pPr>
        <w:autoSpaceDE w:val="0"/>
        <w:autoSpaceDN w:val="0"/>
        <w:adjustRightInd w:val="0"/>
        <w:spacing w:before="120" w:after="120" w:line="360" w:lineRule="auto"/>
        <w:jc w:val="right"/>
        <w:rPr>
          <w:rFonts w:ascii="Times New Roman" w:hAnsi="Times New Roman" w:cs="Times New Roman"/>
        </w:rPr>
      </w:pPr>
      <w:r w:rsidRPr="00D12135">
        <w:rPr>
          <w:rFonts w:ascii="Times New Roman" w:eastAsia="Times New Roman" w:hAnsi="Times New Roman" w:cs="Times New Roman"/>
          <w:iCs/>
          <w:lang w:eastAsia="es-ES"/>
        </w:rPr>
        <w:t xml:space="preserve">Fuente: elaboración propia, </w:t>
      </w:r>
      <w:r w:rsidRPr="00D12135">
        <w:rPr>
          <w:rFonts w:ascii="Times New Roman" w:hAnsi="Times New Roman" w:cs="Times New Roman"/>
        </w:rPr>
        <w:t>a partir del modelo propuesto por Católico</w:t>
      </w:r>
      <w:r w:rsidR="007B5582">
        <w:rPr>
          <w:rFonts w:ascii="Times New Roman" w:hAnsi="Times New Roman" w:cs="Times New Roman"/>
        </w:rPr>
        <w:t xml:space="preserve"> Segura</w:t>
      </w:r>
      <w:r w:rsidRPr="00D12135">
        <w:rPr>
          <w:rFonts w:ascii="Times New Roman" w:hAnsi="Times New Roman" w:cs="Times New Roman"/>
        </w:rPr>
        <w:t xml:space="preserve"> (2021)</w:t>
      </w:r>
    </w:p>
    <w:p w14:paraId="66B479FE" w14:textId="77777777" w:rsidR="003B4164" w:rsidRPr="00FC01F7" w:rsidRDefault="003B4164" w:rsidP="00A95F75">
      <w:pPr>
        <w:spacing w:line="360" w:lineRule="auto"/>
        <w:jc w:val="both"/>
        <w:rPr>
          <w:rFonts w:ascii="Times New Roman" w:hAnsi="Times New Roman" w:cs="Times New Roman"/>
          <w:noProof/>
        </w:rPr>
      </w:pPr>
    </w:p>
    <w:sectPr w:rsidR="003B4164" w:rsidRPr="00FC01F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943450" w14:textId="77777777" w:rsidR="00547D31" w:rsidRDefault="00547D31" w:rsidP="002509DA">
      <w:pPr>
        <w:spacing w:after="0" w:line="240" w:lineRule="auto"/>
      </w:pPr>
      <w:r>
        <w:separator/>
      </w:r>
    </w:p>
  </w:endnote>
  <w:endnote w:type="continuationSeparator" w:id="0">
    <w:p w14:paraId="59DCD70F" w14:textId="77777777" w:rsidR="00547D31" w:rsidRDefault="00547D31" w:rsidP="002509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7B24A5" w14:textId="77777777" w:rsidR="00547D31" w:rsidRDefault="00547D31" w:rsidP="002509DA">
      <w:pPr>
        <w:spacing w:after="0" w:line="240" w:lineRule="auto"/>
      </w:pPr>
      <w:r>
        <w:separator/>
      </w:r>
    </w:p>
  </w:footnote>
  <w:footnote w:type="continuationSeparator" w:id="0">
    <w:p w14:paraId="160A4FDC" w14:textId="77777777" w:rsidR="00547D31" w:rsidRDefault="00547D31" w:rsidP="002509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518F3"/>
    <w:multiLevelType w:val="multilevel"/>
    <w:tmpl w:val="B3D23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C514C8"/>
    <w:multiLevelType w:val="multilevel"/>
    <w:tmpl w:val="C4E29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84075B"/>
    <w:multiLevelType w:val="multilevel"/>
    <w:tmpl w:val="BB7E8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9C3440"/>
    <w:multiLevelType w:val="multilevel"/>
    <w:tmpl w:val="63F8A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607058"/>
    <w:multiLevelType w:val="multilevel"/>
    <w:tmpl w:val="49CA3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523976"/>
    <w:multiLevelType w:val="multilevel"/>
    <w:tmpl w:val="5F1E7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5C2E15"/>
    <w:multiLevelType w:val="multilevel"/>
    <w:tmpl w:val="1206BD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D4600C"/>
    <w:multiLevelType w:val="multilevel"/>
    <w:tmpl w:val="D6587B24"/>
    <w:lvl w:ilvl="0">
      <w:start w:val="1"/>
      <w:numFmt w:val="decimal"/>
      <w:lvlText w:val="%1."/>
      <w:lvlJc w:val="left"/>
      <w:pPr>
        <w:tabs>
          <w:tab w:val="num" w:pos="1777"/>
        </w:tabs>
        <w:ind w:left="1777" w:hanging="360"/>
      </w:pPr>
    </w:lvl>
    <w:lvl w:ilvl="1">
      <w:start w:val="1"/>
      <w:numFmt w:val="bullet"/>
      <w:lvlText w:val="o"/>
      <w:lvlJc w:val="left"/>
      <w:pPr>
        <w:tabs>
          <w:tab w:val="num" w:pos="2497"/>
        </w:tabs>
        <w:ind w:left="2497" w:hanging="360"/>
      </w:pPr>
      <w:rPr>
        <w:rFonts w:ascii="Courier New" w:hAnsi="Courier New" w:hint="default"/>
        <w:sz w:val="20"/>
      </w:rPr>
    </w:lvl>
    <w:lvl w:ilvl="2" w:tentative="1">
      <w:start w:val="1"/>
      <w:numFmt w:val="decimal"/>
      <w:lvlText w:val="%3."/>
      <w:lvlJc w:val="left"/>
      <w:pPr>
        <w:tabs>
          <w:tab w:val="num" w:pos="3217"/>
        </w:tabs>
        <w:ind w:left="3217" w:hanging="360"/>
      </w:pPr>
    </w:lvl>
    <w:lvl w:ilvl="3" w:tentative="1">
      <w:start w:val="1"/>
      <w:numFmt w:val="decimal"/>
      <w:lvlText w:val="%4."/>
      <w:lvlJc w:val="left"/>
      <w:pPr>
        <w:tabs>
          <w:tab w:val="num" w:pos="3937"/>
        </w:tabs>
        <w:ind w:left="3937" w:hanging="360"/>
      </w:pPr>
    </w:lvl>
    <w:lvl w:ilvl="4" w:tentative="1">
      <w:start w:val="1"/>
      <w:numFmt w:val="decimal"/>
      <w:lvlText w:val="%5."/>
      <w:lvlJc w:val="left"/>
      <w:pPr>
        <w:tabs>
          <w:tab w:val="num" w:pos="4657"/>
        </w:tabs>
        <w:ind w:left="4657" w:hanging="360"/>
      </w:pPr>
    </w:lvl>
    <w:lvl w:ilvl="5" w:tentative="1">
      <w:start w:val="1"/>
      <w:numFmt w:val="decimal"/>
      <w:lvlText w:val="%6."/>
      <w:lvlJc w:val="left"/>
      <w:pPr>
        <w:tabs>
          <w:tab w:val="num" w:pos="5377"/>
        </w:tabs>
        <w:ind w:left="5377" w:hanging="360"/>
      </w:pPr>
    </w:lvl>
    <w:lvl w:ilvl="6" w:tentative="1">
      <w:start w:val="1"/>
      <w:numFmt w:val="decimal"/>
      <w:lvlText w:val="%7."/>
      <w:lvlJc w:val="left"/>
      <w:pPr>
        <w:tabs>
          <w:tab w:val="num" w:pos="6097"/>
        </w:tabs>
        <w:ind w:left="6097" w:hanging="360"/>
      </w:pPr>
    </w:lvl>
    <w:lvl w:ilvl="7" w:tentative="1">
      <w:start w:val="1"/>
      <w:numFmt w:val="decimal"/>
      <w:lvlText w:val="%8."/>
      <w:lvlJc w:val="left"/>
      <w:pPr>
        <w:tabs>
          <w:tab w:val="num" w:pos="6817"/>
        </w:tabs>
        <w:ind w:left="6817" w:hanging="360"/>
      </w:pPr>
    </w:lvl>
    <w:lvl w:ilvl="8" w:tentative="1">
      <w:start w:val="1"/>
      <w:numFmt w:val="decimal"/>
      <w:lvlText w:val="%9."/>
      <w:lvlJc w:val="left"/>
      <w:pPr>
        <w:tabs>
          <w:tab w:val="num" w:pos="7537"/>
        </w:tabs>
        <w:ind w:left="7537" w:hanging="360"/>
      </w:pPr>
    </w:lvl>
  </w:abstractNum>
  <w:abstractNum w:abstractNumId="8" w15:restartNumberingAfterBreak="0">
    <w:nsid w:val="5D5549F8"/>
    <w:multiLevelType w:val="multilevel"/>
    <w:tmpl w:val="F7E82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2A4556"/>
    <w:multiLevelType w:val="multilevel"/>
    <w:tmpl w:val="5AC6E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846695"/>
    <w:multiLevelType w:val="multilevel"/>
    <w:tmpl w:val="5EA2E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AE7DFE"/>
    <w:multiLevelType w:val="multilevel"/>
    <w:tmpl w:val="810A0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8"/>
  </w:num>
  <w:num w:numId="3">
    <w:abstractNumId w:val="0"/>
  </w:num>
  <w:num w:numId="4">
    <w:abstractNumId w:val="5"/>
  </w:num>
  <w:num w:numId="5">
    <w:abstractNumId w:val="11"/>
  </w:num>
  <w:num w:numId="6">
    <w:abstractNumId w:val="9"/>
  </w:num>
  <w:num w:numId="7">
    <w:abstractNumId w:val="7"/>
  </w:num>
  <w:num w:numId="8">
    <w:abstractNumId w:val="6"/>
  </w:num>
  <w:num w:numId="9">
    <w:abstractNumId w:val="1"/>
  </w:num>
  <w:num w:numId="10">
    <w:abstractNumId w:val="4"/>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1"/>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153"/>
    <w:rsid w:val="000008FD"/>
    <w:rsid w:val="00021D70"/>
    <w:rsid w:val="000227E0"/>
    <w:rsid w:val="000244EF"/>
    <w:rsid w:val="000300F6"/>
    <w:rsid w:val="00037861"/>
    <w:rsid w:val="00044A09"/>
    <w:rsid w:val="000508D6"/>
    <w:rsid w:val="00054E68"/>
    <w:rsid w:val="00056C76"/>
    <w:rsid w:val="00057108"/>
    <w:rsid w:val="00061838"/>
    <w:rsid w:val="0006642A"/>
    <w:rsid w:val="00091681"/>
    <w:rsid w:val="00092682"/>
    <w:rsid w:val="00097BC1"/>
    <w:rsid w:val="000A0DA4"/>
    <w:rsid w:val="000A1879"/>
    <w:rsid w:val="000A3E14"/>
    <w:rsid w:val="000A42FB"/>
    <w:rsid w:val="000C160B"/>
    <w:rsid w:val="000C1D86"/>
    <w:rsid w:val="000D00E0"/>
    <w:rsid w:val="000E2EE0"/>
    <w:rsid w:val="001110F3"/>
    <w:rsid w:val="00127527"/>
    <w:rsid w:val="00130377"/>
    <w:rsid w:val="001327B2"/>
    <w:rsid w:val="00136663"/>
    <w:rsid w:val="00136CD8"/>
    <w:rsid w:val="00137370"/>
    <w:rsid w:val="001544CC"/>
    <w:rsid w:val="00161174"/>
    <w:rsid w:val="001803FB"/>
    <w:rsid w:val="00187DEE"/>
    <w:rsid w:val="001923B7"/>
    <w:rsid w:val="001A6126"/>
    <w:rsid w:val="001A6690"/>
    <w:rsid w:val="001A7496"/>
    <w:rsid w:val="001C576C"/>
    <w:rsid w:val="001D5273"/>
    <w:rsid w:val="001F3341"/>
    <w:rsid w:val="001F3A96"/>
    <w:rsid w:val="00202BE4"/>
    <w:rsid w:val="00230A72"/>
    <w:rsid w:val="002352E7"/>
    <w:rsid w:val="00236D25"/>
    <w:rsid w:val="002509DA"/>
    <w:rsid w:val="00253C04"/>
    <w:rsid w:val="002618ED"/>
    <w:rsid w:val="00264D48"/>
    <w:rsid w:val="0026643E"/>
    <w:rsid w:val="0028069F"/>
    <w:rsid w:val="00280AD9"/>
    <w:rsid w:val="00285097"/>
    <w:rsid w:val="00290A2C"/>
    <w:rsid w:val="0029164D"/>
    <w:rsid w:val="00292ABA"/>
    <w:rsid w:val="0029693A"/>
    <w:rsid w:val="002A000C"/>
    <w:rsid w:val="002A241B"/>
    <w:rsid w:val="002A43E6"/>
    <w:rsid w:val="002B03D8"/>
    <w:rsid w:val="002B7D44"/>
    <w:rsid w:val="002C5A77"/>
    <w:rsid w:val="002D2682"/>
    <w:rsid w:val="002D47E0"/>
    <w:rsid w:val="002F4B20"/>
    <w:rsid w:val="0032515B"/>
    <w:rsid w:val="003507FE"/>
    <w:rsid w:val="0037101E"/>
    <w:rsid w:val="00376B04"/>
    <w:rsid w:val="00391F2A"/>
    <w:rsid w:val="00393153"/>
    <w:rsid w:val="003A76A8"/>
    <w:rsid w:val="003B4164"/>
    <w:rsid w:val="003C0110"/>
    <w:rsid w:val="003C3082"/>
    <w:rsid w:val="003C6880"/>
    <w:rsid w:val="003D4297"/>
    <w:rsid w:val="003E186A"/>
    <w:rsid w:val="00401168"/>
    <w:rsid w:val="0040137C"/>
    <w:rsid w:val="00401DD4"/>
    <w:rsid w:val="004031EB"/>
    <w:rsid w:val="00406247"/>
    <w:rsid w:val="00406A8D"/>
    <w:rsid w:val="00414688"/>
    <w:rsid w:val="0041649B"/>
    <w:rsid w:val="00431771"/>
    <w:rsid w:val="00436ED8"/>
    <w:rsid w:val="004372A6"/>
    <w:rsid w:val="004462E8"/>
    <w:rsid w:val="00450716"/>
    <w:rsid w:val="00454A33"/>
    <w:rsid w:val="004574AF"/>
    <w:rsid w:val="00460D2D"/>
    <w:rsid w:val="00462EB7"/>
    <w:rsid w:val="00490477"/>
    <w:rsid w:val="004B0BE0"/>
    <w:rsid w:val="004B0EBB"/>
    <w:rsid w:val="004B4E3D"/>
    <w:rsid w:val="004B55DA"/>
    <w:rsid w:val="004B7220"/>
    <w:rsid w:val="004C2ACC"/>
    <w:rsid w:val="004C2B05"/>
    <w:rsid w:val="004C55DE"/>
    <w:rsid w:val="004C6920"/>
    <w:rsid w:val="004D1E4D"/>
    <w:rsid w:val="004D4D8D"/>
    <w:rsid w:val="004D7B56"/>
    <w:rsid w:val="004E6445"/>
    <w:rsid w:val="004F0785"/>
    <w:rsid w:val="004F20A0"/>
    <w:rsid w:val="004F62AF"/>
    <w:rsid w:val="00503D56"/>
    <w:rsid w:val="00511DF7"/>
    <w:rsid w:val="00532FBA"/>
    <w:rsid w:val="005336DF"/>
    <w:rsid w:val="005372CB"/>
    <w:rsid w:val="005406BB"/>
    <w:rsid w:val="005440C5"/>
    <w:rsid w:val="00547D31"/>
    <w:rsid w:val="005519CA"/>
    <w:rsid w:val="0056096D"/>
    <w:rsid w:val="005744CF"/>
    <w:rsid w:val="0058385A"/>
    <w:rsid w:val="0059154B"/>
    <w:rsid w:val="005963F2"/>
    <w:rsid w:val="005969C3"/>
    <w:rsid w:val="00597A56"/>
    <w:rsid w:val="005A4089"/>
    <w:rsid w:val="005D7CDB"/>
    <w:rsid w:val="005E3958"/>
    <w:rsid w:val="005E403A"/>
    <w:rsid w:val="005E61AA"/>
    <w:rsid w:val="005E646C"/>
    <w:rsid w:val="005F5161"/>
    <w:rsid w:val="005F526F"/>
    <w:rsid w:val="0061158C"/>
    <w:rsid w:val="00624063"/>
    <w:rsid w:val="006420EC"/>
    <w:rsid w:val="00646C3F"/>
    <w:rsid w:val="00671E12"/>
    <w:rsid w:val="00676A74"/>
    <w:rsid w:val="006812A5"/>
    <w:rsid w:val="00686150"/>
    <w:rsid w:val="0069420D"/>
    <w:rsid w:val="006A078C"/>
    <w:rsid w:val="006C16A8"/>
    <w:rsid w:val="006C228C"/>
    <w:rsid w:val="006C6289"/>
    <w:rsid w:val="00701275"/>
    <w:rsid w:val="007018A8"/>
    <w:rsid w:val="00717285"/>
    <w:rsid w:val="0072450A"/>
    <w:rsid w:val="007256C7"/>
    <w:rsid w:val="00726A72"/>
    <w:rsid w:val="00732A1A"/>
    <w:rsid w:val="00735D92"/>
    <w:rsid w:val="00736FDF"/>
    <w:rsid w:val="00740B45"/>
    <w:rsid w:val="00760BF5"/>
    <w:rsid w:val="007751D0"/>
    <w:rsid w:val="00780C5B"/>
    <w:rsid w:val="007868A7"/>
    <w:rsid w:val="00796644"/>
    <w:rsid w:val="007A17FC"/>
    <w:rsid w:val="007A3DAA"/>
    <w:rsid w:val="007B5582"/>
    <w:rsid w:val="007C11A6"/>
    <w:rsid w:val="007C4A04"/>
    <w:rsid w:val="007C4D58"/>
    <w:rsid w:val="007D3D3D"/>
    <w:rsid w:val="007E037F"/>
    <w:rsid w:val="007E2414"/>
    <w:rsid w:val="007E341A"/>
    <w:rsid w:val="0080210D"/>
    <w:rsid w:val="00813BC6"/>
    <w:rsid w:val="0082068B"/>
    <w:rsid w:val="00846FED"/>
    <w:rsid w:val="00865381"/>
    <w:rsid w:val="00871267"/>
    <w:rsid w:val="00883470"/>
    <w:rsid w:val="008843B3"/>
    <w:rsid w:val="008853A1"/>
    <w:rsid w:val="00886F6E"/>
    <w:rsid w:val="00897AD4"/>
    <w:rsid w:val="00897F77"/>
    <w:rsid w:val="008B0443"/>
    <w:rsid w:val="008B379A"/>
    <w:rsid w:val="008B5B09"/>
    <w:rsid w:val="008B795E"/>
    <w:rsid w:val="008C5746"/>
    <w:rsid w:val="008D6DF7"/>
    <w:rsid w:val="008E0A6E"/>
    <w:rsid w:val="008E1A53"/>
    <w:rsid w:val="008F61F7"/>
    <w:rsid w:val="00911153"/>
    <w:rsid w:val="0094637A"/>
    <w:rsid w:val="009478E7"/>
    <w:rsid w:val="009503EC"/>
    <w:rsid w:val="00950DEE"/>
    <w:rsid w:val="0095171D"/>
    <w:rsid w:val="0096204D"/>
    <w:rsid w:val="00970917"/>
    <w:rsid w:val="00970F70"/>
    <w:rsid w:val="00977C8F"/>
    <w:rsid w:val="00980A2F"/>
    <w:rsid w:val="00982152"/>
    <w:rsid w:val="0099141D"/>
    <w:rsid w:val="0099446D"/>
    <w:rsid w:val="009955D9"/>
    <w:rsid w:val="009A14FD"/>
    <w:rsid w:val="009A2DA6"/>
    <w:rsid w:val="009A3948"/>
    <w:rsid w:val="009A54D8"/>
    <w:rsid w:val="009B5D8A"/>
    <w:rsid w:val="009B7F12"/>
    <w:rsid w:val="009D1784"/>
    <w:rsid w:val="009D47D2"/>
    <w:rsid w:val="009E48C0"/>
    <w:rsid w:val="009F3AE9"/>
    <w:rsid w:val="009F7D93"/>
    <w:rsid w:val="00A21BDF"/>
    <w:rsid w:val="00A25C54"/>
    <w:rsid w:val="00A26135"/>
    <w:rsid w:val="00A57C1F"/>
    <w:rsid w:val="00A66141"/>
    <w:rsid w:val="00A679FD"/>
    <w:rsid w:val="00A74A8D"/>
    <w:rsid w:val="00A85A69"/>
    <w:rsid w:val="00A86096"/>
    <w:rsid w:val="00A93A98"/>
    <w:rsid w:val="00A95F75"/>
    <w:rsid w:val="00A9759A"/>
    <w:rsid w:val="00AA14C6"/>
    <w:rsid w:val="00AB1512"/>
    <w:rsid w:val="00AB7544"/>
    <w:rsid w:val="00AC7738"/>
    <w:rsid w:val="00AD5B9B"/>
    <w:rsid w:val="00AD61DB"/>
    <w:rsid w:val="00AE5086"/>
    <w:rsid w:val="00AE589F"/>
    <w:rsid w:val="00AE61FA"/>
    <w:rsid w:val="00B035E0"/>
    <w:rsid w:val="00B072E6"/>
    <w:rsid w:val="00B20D2A"/>
    <w:rsid w:val="00B22E4A"/>
    <w:rsid w:val="00B22EE3"/>
    <w:rsid w:val="00B23939"/>
    <w:rsid w:val="00B24353"/>
    <w:rsid w:val="00B313C2"/>
    <w:rsid w:val="00B3797F"/>
    <w:rsid w:val="00B37E42"/>
    <w:rsid w:val="00B46168"/>
    <w:rsid w:val="00B81B75"/>
    <w:rsid w:val="00B8360B"/>
    <w:rsid w:val="00BA53A4"/>
    <w:rsid w:val="00BA763A"/>
    <w:rsid w:val="00BB0FFD"/>
    <w:rsid w:val="00BB4296"/>
    <w:rsid w:val="00BC7C01"/>
    <w:rsid w:val="00BD1563"/>
    <w:rsid w:val="00BD259B"/>
    <w:rsid w:val="00BD4C00"/>
    <w:rsid w:val="00BD560F"/>
    <w:rsid w:val="00BE6BB6"/>
    <w:rsid w:val="00C022AC"/>
    <w:rsid w:val="00C03DB9"/>
    <w:rsid w:val="00C046C1"/>
    <w:rsid w:val="00C1450E"/>
    <w:rsid w:val="00C25D8C"/>
    <w:rsid w:val="00C26DEA"/>
    <w:rsid w:val="00C3196E"/>
    <w:rsid w:val="00C62297"/>
    <w:rsid w:val="00C80007"/>
    <w:rsid w:val="00C8031A"/>
    <w:rsid w:val="00CC6E83"/>
    <w:rsid w:val="00CD18A0"/>
    <w:rsid w:val="00CD293B"/>
    <w:rsid w:val="00CE2A7E"/>
    <w:rsid w:val="00CF6FA7"/>
    <w:rsid w:val="00D23BE4"/>
    <w:rsid w:val="00D412A7"/>
    <w:rsid w:val="00D412EA"/>
    <w:rsid w:val="00D43E2E"/>
    <w:rsid w:val="00D47CA1"/>
    <w:rsid w:val="00D547EE"/>
    <w:rsid w:val="00D67F47"/>
    <w:rsid w:val="00D711B1"/>
    <w:rsid w:val="00D848F0"/>
    <w:rsid w:val="00D93714"/>
    <w:rsid w:val="00D94190"/>
    <w:rsid w:val="00DB1567"/>
    <w:rsid w:val="00DB1736"/>
    <w:rsid w:val="00DC597A"/>
    <w:rsid w:val="00DC7C04"/>
    <w:rsid w:val="00DD17E8"/>
    <w:rsid w:val="00DD41A7"/>
    <w:rsid w:val="00DD78E8"/>
    <w:rsid w:val="00DE2EF1"/>
    <w:rsid w:val="00DF585B"/>
    <w:rsid w:val="00E00A17"/>
    <w:rsid w:val="00E06781"/>
    <w:rsid w:val="00E206D8"/>
    <w:rsid w:val="00E26A3D"/>
    <w:rsid w:val="00E27343"/>
    <w:rsid w:val="00E523C1"/>
    <w:rsid w:val="00E63E4E"/>
    <w:rsid w:val="00E713DC"/>
    <w:rsid w:val="00E72D6B"/>
    <w:rsid w:val="00E756B4"/>
    <w:rsid w:val="00E87BB2"/>
    <w:rsid w:val="00E91C50"/>
    <w:rsid w:val="00EA7E35"/>
    <w:rsid w:val="00EC4C9F"/>
    <w:rsid w:val="00ED57CA"/>
    <w:rsid w:val="00EE12B1"/>
    <w:rsid w:val="00EF5B33"/>
    <w:rsid w:val="00F0138F"/>
    <w:rsid w:val="00F04A4A"/>
    <w:rsid w:val="00F06F40"/>
    <w:rsid w:val="00F3544C"/>
    <w:rsid w:val="00F36C7C"/>
    <w:rsid w:val="00F446FE"/>
    <w:rsid w:val="00F506B1"/>
    <w:rsid w:val="00F53C06"/>
    <w:rsid w:val="00F61393"/>
    <w:rsid w:val="00F62D4B"/>
    <w:rsid w:val="00F63608"/>
    <w:rsid w:val="00FA292E"/>
    <w:rsid w:val="00FB0A46"/>
    <w:rsid w:val="00FB1B03"/>
    <w:rsid w:val="00FC01F7"/>
    <w:rsid w:val="00FC2DD4"/>
    <w:rsid w:val="00FE2080"/>
    <w:rsid w:val="00FF28E2"/>
    <w:rsid w:val="00FF4C42"/>
    <w:rsid w:val="00FF723B"/>
    <w:rsid w:val="00FF7ED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66C00E8"/>
  <w15:docId w15:val="{E9C82292-9306-4F7F-A249-DC58DC528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D4C00"/>
    <w:rPr>
      <w:color w:val="0563C1" w:themeColor="hyperlink"/>
      <w:u w:val="single"/>
    </w:rPr>
  </w:style>
  <w:style w:type="paragraph" w:styleId="Encabezado">
    <w:name w:val="header"/>
    <w:basedOn w:val="Normal"/>
    <w:link w:val="EncabezadoCar"/>
    <w:uiPriority w:val="99"/>
    <w:unhideWhenUsed/>
    <w:rsid w:val="002509D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509DA"/>
  </w:style>
  <w:style w:type="paragraph" w:styleId="Piedepgina">
    <w:name w:val="footer"/>
    <w:basedOn w:val="Normal"/>
    <w:link w:val="PiedepginaCar"/>
    <w:uiPriority w:val="99"/>
    <w:unhideWhenUsed/>
    <w:rsid w:val="002509D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509DA"/>
  </w:style>
  <w:style w:type="table" w:styleId="Tablaconcuadrcula">
    <w:name w:val="Table Grid"/>
    <w:basedOn w:val="Tablanormal"/>
    <w:uiPriority w:val="59"/>
    <w:rsid w:val="00BC7C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41">
    <w:name w:val="Tabla normal 41"/>
    <w:basedOn w:val="Tablanormal"/>
    <w:uiPriority w:val="44"/>
    <w:rsid w:val="00FC01F7"/>
    <w:pPr>
      <w:spacing w:after="0" w:line="240" w:lineRule="auto"/>
    </w:pPr>
    <w:rPr>
      <w:rFonts w:ascii="Arial" w:eastAsia="Arial" w:hAnsi="Arial" w:cs="Times New Roman"/>
      <w:sz w:val="20"/>
      <w:szCs w:val="20"/>
      <w:lang w:eastAsia="es-AR"/>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42">
    <w:name w:val="Tabla normal 42"/>
    <w:basedOn w:val="Tablanormal"/>
    <w:uiPriority w:val="44"/>
    <w:rsid w:val="00B035E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decuadrcula1clara1">
    <w:name w:val="Tabla de cuadrícula 1 clara1"/>
    <w:basedOn w:val="Tablanormal"/>
    <w:uiPriority w:val="46"/>
    <w:rsid w:val="00B035E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normal51">
    <w:name w:val="Tabla normal 51"/>
    <w:basedOn w:val="Tablanormal"/>
    <w:uiPriority w:val="45"/>
    <w:rsid w:val="00B035E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odeglobo">
    <w:name w:val="Balloon Text"/>
    <w:basedOn w:val="Normal"/>
    <w:link w:val="TextodegloboCar"/>
    <w:uiPriority w:val="99"/>
    <w:semiHidden/>
    <w:unhideWhenUsed/>
    <w:rsid w:val="007868A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868A7"/>
    <w:rPr>
      <w:rFonts w:ascii="Tahoma" w:hAnsi="Tahoma" w:cs="Tahoma"/>
      <w:sz w:val="16"/>
      <w:szCs w:val="16"/>
    </w:rPr>
  </w:style>
  <w:style w:type="paragraph" w:styleId="NormalWeb">
    <w:name w:val="Normal (Web)"/>
    <w:basedOn w:val="Normal"/>
    <w:uiPriority w:val="99"/>
    <w:unhideWhenUsed/>
    <w:rsid w:val="0045071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Refdecomentario">
    <w:name w:val="annotation reference"/>
    <w:basedOn w:val="Fuentedeprrafopredeter"/>
    <w:uiPriority w:val="99"/>
    <w:semiHidden/>
    <w:unhideWhenUsed/>
    <w:rsid w:val="00E713DC"/>
    <w:rPr>
      <w:sz w:val="16"/>
      <w:szCs w:val="16"/>
    </w:rPr>
  </w:style>
  <w:style w:type="paragraph" w:styleId="Textocomentario">
    <w:name w:val="annotation text"/>
    <w:basedOn w:val="Normal"/>
    <w:link w:val="TextocomentarioCar"/>
    <w:uiPriority w:val="99"/>
    <w:semiHidden/>
    <w:unhideWhenUsed/>
    <w:rsid w:val="00E713D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713DC"/>
    <w:rPr>
      <w:sz w:val="20"/>
      <w:szCs w:val="20"/>
    </w:rPr>
  </w:style>
  <w:style w:type="paragraph" w:styleId="Asuntodelcomentario">
    <w:name w:val="annotation subject"/>
    <w:basedOn w:val="Textocomentario"/>
    <w:next w:val="Textocomentario"/>
    <w:link w:val="AsuntodelcomentarioCar"/>
    <w:uiPriority w:val="99"/>
    <w:semiHidden/>
    <w:unhideWhenUsed/>
    <w:rsid w:val="00E713DC"/>
    <w:rPr>
      <w:b/>
      <w:bCs/>
    </w:rPr>
  </w:style>
  <w:style w:type="character" w:customStyle="1" w:styleId="AsuntodelcomentarioCar">
    <w:name w:val="Asunto del comentario Car"/>
    <w:basedOn w:val="TextocomentarioCar"/>
    <w:link w:val="Asuntodelcomentario"/>
    <w:uiPriority w:val="99"/>
    <w:semiHidden/>
    <w:rsid w:val="00E713DC"/>
    <w:rPr>
      <w:b/>
      <w:bCs/>
      <w:sz w:val="20"/>
      <w:szCs w:val="20"/>
    </w:rPr>
  </w:style>
  <w:style w:type="paragraph" w:styleId="Textonotapie">
    <w:name w:val="footnote text"/>
    <w:basedOn w:val="Normal"/>
    <w:link w:val="TextonotapieCar"/>
    <w:uiPriority w:val="99"/>
    <w:semiHidden/>
    <w:unhideWhenUsed/>
    <w:rsid w:val="007C4D5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C4D58"/>
    <w:rPr>
      <w:sz w:val="20"/>
      <w:szCs w:val="20"/>
    </w:rPr>
  </w:style>
  <w:style w:type="character" w:styleId="Refdenotaalpie">
    <w:name w:val="footnote reference"/>
    <w:basedOn w:val="Fuentedeprrafopredeter"/>
    <w:uiPriority w:val="99"/>
    <w:semiHidden/>
    <w:unhideWhenUsed/>
    <w:rsid w:val="007C4D58"/>
    <w:rPr>
      <w:vertAlign w:val="superscript"/>
    </w:rPr>
  </w:style>
  <w:style w:type="table" w:styleId="Tablanormal4">
    <w:name w:val="Plain Table 4"/>
    <w:basedOn w:val="Tablanormal"/>
    <w:uiPriority w:val="44"/>
    <w:rsid w:val="007751D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5">
    <w:name w:val="Plain Table 5"/>
    <w:basedOn w:val="Tablanormal"/>
    <w:uiPriority w:val="45"/>
    <w:rsid w:val="007751D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3">
    <w:name w:val="Plain Table 3"/>
    <w:basedOn w:val="Tablanormal"/>
    <w:uiPriority w:val="43"/>
    <w:rsid w:val="00FA292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1">
    <w:name w:val="Plain Table 1"/>
    <w:basedOn w:val="Tablanormal"/>
    <w:uiPriority w:val="41"/>
    <w:rsid w:val="00FA292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concuadrcula1">
    <w:name w:val="Tabla con cuadrícula1"/>
    <w:basedOn w:val="Tablanormal"/>
    <w:next w:val="Tablaconcuadrcula"/>
    <w:uiPriority w:val="39"/>
    <w:rsid w:val="009F3AE9"/>
    <w:pPr>
      <w:spacing w:before="100"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335786">
      <w:bodyDiv w:val="1"/>
      <w:marLeft w:val="0"/>
      <w:marRight w:val="0"/>
      <w:marTop w:val="0"/>
      <w:marBottom w:val="0"/>
      <w:divBdr>
        <w:top w:val="none" w:sz="0" w:space="0" w:color="auto"/>
        <w:left w:val="none" w:sz="0" w:space="0" w:color="auto"/>
        <w:bottom w:val="none" w:sz="0" w:space="0" w:color="auto"/>
        <w:right w:val="none" w:sz="0" w:space="0" w:color="auto"/>
      </w:divBdr>
    </w:div>
    <w:div w:id="173619582">
      <w:bodyDiv w:val="1"/>
      <w:marLeft w:val="0"/>
      <w:marRight w:val="0"/>
      <w:marTop w:val="0"/>
      <w:marBottom w:val="0"/>
      <w:divBdr>
        <w:top w:val="none" w:sz="0" w:space="0" w:color="auto"/>
        <w:left w:val="none" w:sz="0" w:space="0" w:color="auto"/>
        <w:bottom w:val="none" w:sz="0" w:space="0" w:color="auto"/>
        <w:right w:val="none" w:sz="0" w:space="0" w:color="auto"/>
      </w:divBdr>
    </w:div>
    <w:div w:id="230163716">
      <w:bodyDiv w:val="1"/>
      <w:marLeft w:val="0"/>
      <w:marRight w:val="0"/>
      <w:marTop w:val="0"/>
      <w:marBottom w:val="0"/>
      <w:divBdr>
        <w:top w:val="none" w:sz="0" w:space="0" w:color="auto"/>
        <w:left w:val="none" w:sz="0" w:space="0" w:color="auto"/>
        <w:bottom w:val="none" w:sz="0" w:space="0" w:color="auto"/>
        <w:right w:val="none" w:sz="0" w:space="0" w:color="auto"/>
      </w:divBdr>
    </w:div>
    <w:div w:id="244194493">
      <w:bodyDiv w:val="1"/>
      <w:marLeft w:val="0"/>
      <w:marRight w:val="0"/>
      <w:marTop w:val="0"/>
      <w:marBottom w:val="0"/>
      <w:divBdr>
        <w:top w:val="none" w:sz="0" w:space="0" w:color="auto"/>
        <w:left w:val="none" w:sz="0" w:space="0" w:color="auto"/>
        <w:bottom w:val="none" w:sz="0" w:space="0" w:color="auto"/>
        <w:right w:val="none" w:sz="0" w:space="0" w:color="auto"/>
      </w:divBdr>
    </w:div>
    <w:div w:id="449324230">
      <w:bodyDiv w:val="1"/>
      <w:marLeft w:val="0"/>
      <w:marRight w:val="0"/>
      <w:marTop w:val="0"/>
      <w:marBottom w:val="0"/>
      <w:divBdr>
        <w:top w:val="none" w:sz="0" w:space="0" w:color="auto"/>
        <w:left w:val="none" w:sz="0" w:space="0" w:color="auto"/>
        <w:bottom w:val="none" w:sz="0" w:space="0" w:color="auto"/>
        <w:right w:val="none" w:sz="0" w:space="0" w:color="auto"/>
      </w:divBdr>
    </w:div>
    <w:div w:id="495459189">
      <w:bodyDiv w:val="1"/>
      <w:marLeft w:val="0"/>
      <w:marRight w:val="0"/>
      <w:marTop w:val="0"/>
      <w:marBottom w:val="0"/>
      <w:divBdr>
        <w:top w:val="none" w:sz="0" w:space="0" w:color="auto"/>
        <w:left w:val="none" w:sz="0" w:space="0" w:color="auto"/>
        <w:bottom w:val="none" w:sz="0" w:space="0" w:color="auto"/>
        <w:right w:val="none" w:sz="0" w:space="0" w:color="auto"/>
      </w:divBdr>
      <w:divsChild>
        <w:div w:id="876503885">
          <w:marLeft w:val="0"/>
          <w:marRight w:val="0"/>
          <w:marTop w:val="0"/>
          <w:marBottom w:val="0"/>
          <w:divBdr>
            <w:top w:val="none" w:sz="0" w:space="0" w:color="auto"/>
            <w:left w:val="none" w:sz="0" w:space="0" w:color="auto"/>
            <w:bottom w:val="none" w:sz="0" w:space="0" w:color="auto"/>
            <w:right w:val="none" w:sz="0" w:space="0" w:color="auto"/>
          </w:divBdr>
          <w:divsChild>
            <w:div w:id="1207568486">
              <w:marLeft w:val="0"/>
              <w:marRight w:val="0"/>
              <w:marTop w:val="0"/>
              <w:marBottom w:val="0"/>
              <w:divBdr>
                <w:top w:val="none" w:sz="0" w:space="0" w:color="auto"/>
                <w:left w:val="none" w:sz="0" w:space="0" w:color="auto"/>
                <w:bottom w:val="none" w:sz="0" w:space="0" w:color="auto"/>
                <w:right w:val="none" w:sz="0" w:space="0" w:color="auto"/>
              </w:divBdr>
            </w:div>
          </w:divsChild>
        </w:div>
        <w:div w:id="428817766">
          <w:marLeft w:val="0"/>
          <w:marRight w:val="0"/>
          <w:marTop w:val="0"/>
          <w:marBottom w:val="0"/>
          <w:divBdr>
            <w:top w:val="none" w:sz="0" w:space="0" w:color="auto"/>
            <w:left w:val="none" w:sz="0" w:space="0" w:color="auto"/>
            <w:bottom w:val="none" w:sz="0" w:space="0" w:color="auto"/>
            <w:right w:val="none" w:sz="0" w:space="0" w:color="auto"/>
          </w:divBdr>
        </w:div>
      </w:divsChild>
    </w:div>
    <w:div w:id="533929025">
      <w:bodyDiv w:val="1"/>
      <w:marLeft w:val="0"/>
      <w:marRight w:val="0"/>
      <w:marTop w:val="0"/>
      <w:marBottom w:val="0"/>
      <w:divBdr>
        <w:top w:val="none" w:sz="0" w:space="0" w:color="auto"/>
        <w:left w:val="none" w:sz="0" w:space="0" w:color="auto"/>
        <w:bottom w:val="none" w:sz="0" w:space="0" w:color="auto"/>
        <w:right w:val="none" w:sz="0" w:space="0" w:color="auto"/>
      </w:divBdr>
    </w:div>
    <w:div w:id="539512448">
      <w:bodyDiv w:val="1"/>
      <w:marLeft w:val="0"/>
      <w:marRight w:val="0"/>
      <w:marTop w:val="0"/>
      <w:marBottom w:val="0"/>
      <w:divBdr>
        <w:top w:val="none" w:sz="0" w:space="0" w:color="auto"/>
        <w:left w:val="none" w:sz="0" w:space="0" w:color="auto"/>
        <w:bottom w:val="none" w:sz="0" w:space="0" w:color="auto"/>
        <w:right w:val="none" w:sz="0" w:space="0" w:color="auto"/>
      </w:divBdr>
      <w:divsChild>
        <w:div w:id="1415831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3855028">
      <w:bodyDiv w:val="1"/>
      <w:marLeft w:val="0"/>
      <w:marRight w:val="0"/>
      <w:marTop w:val="0"/>
      <w:marBottom w:val="0"/>
      <w:divBdr>
        <w:top w:val="none" w:sz="0" w:space="0" w:color="auto"/>
        <w:left w:val="none" w:sz="0" w:space="0" w:color="auto"/>
        <w:bottom w:val="none" w:sz="0" w:space="0" w:color="auto"/>
        <w:right w:val="none" w:sz="0" w:space="0" w:color="auto"/>
      </w:divBdr>
    </w:div>
    <w:div w:id="606351195">
      <w:bodyDiv w:val="1"/>
      <w:marLeft w:val="0"/>
      <w:marRight w:val="0"/>
      <w:marTop w:val="0"/>
      <w:marBottom w:val="0"/>
      <w:divBdr>
        <w:top w:val="none" w:sz="0" w:space="0" w:color="auto"/>
        <w:left w:val="none" w:sz="0" w:space="0" w:color="auto"/>
        <w:bottom w:val="none" w:sz="0" w:space="0" w:color="auto"/>
        <w:right w:val="none" w:sz="0" w:space="0" w:color="auto"/>
      </w:divBdr>
    </w:div>
    <w:div w:id="725301996">
      <w:bodyDiv w:val="1"/>
      <w:marLeft w:val="0"/>
      <w:marRight w:val="0"/>
      <w:marTop w:val="0"/>
      <w:marBottom w:val="0"/>
      <w:divBdr>
        <w:top w:val="none" w:sz="0" w:space="0" w:color="auto"/>
        <w:left w:val="none" w:sz="0" w:space="0" w:color="auto"/>
        <w:bottom w:val="none" w:sz="0" w:space="0" w:color="auto"/>
        <w:right w:val="none" w:sz="0" w:space="0" w:color="auto"/>
      </w:divBdr>
    </w:div>
    <w:div w:id="755322936">
      <w:bodyDiv w:val="1"/>
      <w:marLeft w:val="0"/>
      <w:marRight w:val="0"/>
      <w:marTop w:val="0"/>
      <w:marBottom w:val="0"/>
      <w:divBdr>
        <w:top w:val="none" w:sz="0" w:space="0" w:color="auto"/>
        <w:left w:val="none" w:sz="0" w:space="0" w:color="auto"/>
        <w:bottom w:val="none" w:sz="0" w:space="0" w:color="auto"/>
        <w:right w:val="none" w:sz="0" w:space="0" w:color="auto"/>
      </w:divBdr>
    </w:div>
    <w:div w:id="796215914">
      <w:bodyDiv w:val="1"/>
      <w:marLeft w:val="0"/>
      <w:marRight w:val="0"/>
      <w:marTop w:val="0"/>
      <w:marBottom w:val="0"/>
      <w:divBdr>
        <w:top w:val="none" w:sz="0" w:space="0" w:color="auto"/>
        <w:left w:val="none" w:sz="0" w:space="0" w:color="auto"/>
        <w:bottom w:val="none" w:sz="0" w:space="0" w:color="auto"/>
        <w:right w:val="none" w:sz="0" w:space="0" w:color="auto"/>
      </w:divBdr>
    </w:div>
    <w:div w:id="909196504">
      <w:bodyDiv w:val="1"/>
      <w:marLeft w:val="0"/>
      <w:marRight w:val="0"/>
      <w:marTop w:val="0"/>
      <w:marBottom w:val="0"/>
      <w:divBdr>
        <w:top w:val="none" w:sz="0" w:space="0" w:color="auto"/>
        <w:left w:val="none" w:sz="0" w:space="0" w:color="auto"/>
        <w:bottom w:val="none" w:sz="0" w:space="0" w:color="auto"/>
        <w:right w:val="none" w:sz="0" w:space="0" w:color="auto"/>
      </w:divBdr>
    </w:div>
    <w:div w:id="910386345">
      <w:bodyDiv w:val="1"/>
      <w:marLeft w:val="0"/>
      <w:marRight w:val="0"/>
      <w:marTop w:val="0"/>
      <w:marBottom w:val="0"/>
      <w:divBdr>
        <w:top w:val="none" w:sz="0" w:space="0" w:color="auto"/>
        <w:left w:val="none" w:sz="0" w:space="0" w:color="auto"/>
        <w:bottom w:val="none" w:sz="0" w:space="0" w:color="auto"/>
        <w:right w:val="none" w:sz="0" w:space="0" w:color="auto"/>
      </w:divBdr>
      <w:divsChild>
        <w:div w:id="345979158">
          <w:marLeft w:val="0"/>
          <w:marRight w:val="0"/>
          <w:marTop w:val="300"/>
          <w:marBottom w:val="0"/>
          <w:divBdr>
            <w:top w:val="none" w:sz="0" w:space="0" w:color="auto"/>
            <w:left w:val="none" w:sz="0" w:space="0" w:color="auto"/>
            <w:bottom w:val="none" w:sz="0" w:space="0" w:color="auto"/>
            <w:right w:val="none" w:sz="0" w:space="0" w:color="auto"/>
          </w:divBdr>
        </w:div>
        <w:div w:id="1634630579">
          <w:marLeft w:val="-450"/>
          <w:marRight w:val="-450"/>
          <w:marTop w:val="450"/>
          <w:marBottom w:val="0"/>
          <w:divBdr>
            <w:top w:val="single" w:sz="6" w:space="0" w:color="FFFFFF"/>
            <w:left w:val="none" w:sz="0" w:space="0" w:color="auto"/>
            <w:bottom w:val="single" w:sz="6" w:space="0" w:color="FFFFFF"/>
            <w:right w:val="none" w:sz="0" w:space="0" w:color="auto"/>
          </w:divBdr>
          <w:divsChild>
            <w:div w:id="711466789">
              <w:marLeft w:val="0"/>
              <w:marRight w:val="0"/>
              <w:marTop w:val="0"/>
              <w:marBottom w:val="0"/>
              <w:divBdr>
                <w:top w:val="none" w:sz="0" w:space="0" w:color="auto"/>
                <w:left w:val="none" w:sz="0" w:space="0" w:color="auto"/>
                <w:bottom w:val="none" w:sz="0" w:space="0" w:color="auto"/>
                <w:right w:val="single" w:sz="6" w:space="0" w:color="FFFFFF"/>
              </w:divBdr>
            </w:div>
          </w:divsChild>
        </w:div>
      </w:divsChild>
    </w:div>
    <w:div w:id="1177698952">
      <w:bodyDiv w:val="1"/>
      <w:marLeft w:val="0"/>
      <w:marRight w:val="0"/>
      <w:marTop w:val="0"/>
      <w:marBottom w:val="0"/>
      <w:divBdr>
        <w:top w:val="none" w:sz="0" w:space="0" w:color="auto"/>
        <w:left w:val="none" w:sz="0" w:space="0" w:color="auto"/>
        <w:bottom w:val="none" w:sz="0" w:space="0" w:color="auto"/>
        <w:right w:val="none" w:sz="0" w:space="0" w:color="auto"/>
      </w:divBdr>
      <w:divsChild>
        <w:div w:id="12174258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0233063">
      <w:bodyDiv w:val="1"/>
      <w:marLeft w:val="0"/>
      <w:marRight w:val="0"/>
      <w:marTop w:val="0"/>
      <w:marBottom w:val="0"/>
      <w:divBdr>
        <w:top w:val="none" w:sz="0" w:space="0" w:color="auto"/>
        <w:left w:val="none" w:sz="0" w:space="0" w:color="auto"/>
        <w:bottom w:val="none" w:sz="0" w:space="0" w:color="auto"/>
        <w:right w:val="none" w:sz="0" w:space="0" w:color="auto"/>
      </w:divBdr>
      <w:divsChild>
        <w:div w:id="465707169">
          <w:marLeft w:val="0"/>
          <w:marRight w:val="0"/>
          <w:marTop w:val="0"/>
          <w:marBottom w:val="0"/>
          <w:divBdr>
            <w:top w:val="none" w:sz="0" w:space="0" w:color="auto"/>
            <w:left w:val="none" w:sz="0" w:space="0" w:color="auto"/>
            <w:bottom w:val="none" w:sz="0" w:space="0" w:color="auto"/>
            <w:right w:val="none" w:sz="0" w:space="0" w:color="auto"/>
          </w:divBdr>
          <w:divsChild>
            <w:div w:id="2119517156">
              <w:marLeft w:val="0"/>
              <w:marRight w:val="0"/>
              <w:marTop w:val="0"/>
              <w:marBottom w:val="0"/>
              <w:divBdr>
                <w:top w:val="none" w:sz="0" w:space="0" w:color="auto"/>
                <w:left w:val="none" w:sz="0" w:space="0" w:color="auto"/>
                <w:bottom w:val="none" w:sz="0" w:space="0" w:color="auto"/>
                <w:right w:val="none" w:sz="0" w:space="0" w:color="auto"/>
              </w:divBdr>
            </w:div>
          </w:divsChild>
        </w:div>
        <w:div w:id="1656840621">
          <w:marLeft w:val="0"/>
          <w:marRight w:val="0"/>
          <w:marTop w:val="0"/>
          <w:marBottom w:val="0"/>
          <w:divBdr>
            <w:top w:val="none" w:sz="0" w:space="0" w:color="auto"/>
            <w:left w:val="none" w:sz="0" w:space="0" w:color="auto"/>
            <w:bottom w:val="none" w:sz="0" w:space="0" w:color="auto"/>
            <w:right w:val="none" w:sz="0" w:space="0" w:color="auto"/>
          </w:divBdr>
          <w:divsChild>
            <w:div w:id="111701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635360">
      <w:bodyDiv w:val="1"/>
      <w:marLeft w:val="0"/>
      <w:marRight w:val="0"/>
      <w:marTop w:val="0"/>
      <w:marBottom w:val="0"/>
      <w:divBdr>
        <w:top w:val="none" w:sz="0" w:space="0" w:color="auto"/>
        <w:left w:val="none" w:sz="0" w:space="0" w:color="auto"/>
        <w:bottom w:val="none" w:sz="0" w:space="0" w:color="auto"/>
        <w:right w:val="none" w:sz="0" w:space="0" w:color="auto"/>
      </w:divBdr>
    </w:div>
    <w:div w:id="1393768302">
      <w:bodyDiv w:val="1"/>
      <w:marLeft w:val="0"/>
      <w:marRight w:val="0"/>
      <w:marTop w:val="0"/>
      <w:marBottom w:val="0"/>
      <w:divBdr>
        <w:top w:val="none" w:sz="0" w:space="0" w:color="auto"/>
        <w:left w:val="none" w:sz="0" w:space="0" w:color="auto"/>
        <w:bottom w:val="none" w:sz="0" w:space="0" w:color="auto"/>
        <w:right w:val="none" w:sz="0" w:space="0" w:color="auto"/>
      </w:divBdr>
      <w:divsChild>
        <w:div w:id="658457993">
          <w:marLeft w:val="0"/>
          <w:marRight w:val="0"/>
          <w:marTop w:val="0"/>
          <w:marBottom w:val="0"/>
          <w:divBdr>
            <w:top w:val="single" w:sz="2" w:space="0" w:color="E4E6E8"/>
            <w:left w:val="single" w:sz="2" w:space="0" w:color="E4E6E8"/>
            <w:bottom w:val="single" w:sz="2" w:space="0" w:color="E4E6E8"/>
            <w:right w:val="single" w:sz="2" w:space="0" w:color="E4E6E8"/>
          </w:divBdr>
          <w:divsChild>
            <w:div w:id="1291664813">
              <w:marLeft w:val="0"/>
              <w:marRight w:val="0"/>
              <w:marTop w:val="0"/>
              <w:marBottom w:val="0"/>
              <w:divBdr>
                <w:top w:val="single" w:sz="2" w:space="0" w:color="E4E6E8"/>
                <w:left w:val="single" w:sz="2" w:space="0" w:color="E4E6E8"/>
                <w:bottom w:val="single" w:sz="2" w:space="0" w:color="E4E6E8"/>
                <w:right w:val="single" w:sz="2" w:space="0" w:color="E4E6E8"/>
              </w:divBdr>
            </w:div>
          </w:divsChild>
        </w:div>
        <w:div w:id="966814873">
          <w:marLeft w:val="0"/>
          <w:marRight w:val="0"/>
          <w:marTop w:val="0"/>
          <w:marBottom w:val="0"/>
          <w:divBdr>
            <w:top w:val="single" w:sz="2" w:space="0" w:color="E4E6E8"/>
            <w:left w:val="single" w:sz="2" w:space="0" w:color="E4E6E8"/>
            <w:bottom w:val="single" w:sz="2" w:space="0" w:color="E4E6E8"/>
            <w:right w:val="single" w:sz="2" w:space="0" w:color="E4E6E8"/>
          </w:divBdr>
          <w:divsChild>
            <w:div w:id="959803231">
              <w:marLeft w:val="0"/>
              <w:marRight w:val="0"/>
              <w:marTop w:val="0"/>
              <w:marBottom w:val="0"/>
              <w:divBdr>
                <w:top w:val="single" w:sz="2" w:space="0" w:color="E4E6E8"/>
                <w:left w:val="single" w:sz="2" w:space="0" w:color="E4E6E8"/>
                <w:bottom w:val="single" w:sz="2" w:space="0" w:color="E4E6E8"/>
                <w:right w:val="single" w:sz="2" w:space="0" w:color="E4E6E8"/>
              </w:divBdr>
            </w:div>
          </w:divsChild>
        </w:div>
      </w:divsChild>
    </w:div>
    <w:div w:id="1467773454">
      <w:bodyDiv w:val="1"/>
      <w:marLeft w:val="0"/>
      <w:marRight w:val="0"/>
      <w:marTop w:val="0"/>
      <w:marBottom w:val="0"/>
      <w:divBdr>
        <w:top w:val="none" w:sz="0" w:space="0" w:color="auto"/>
        <w:left w:val="none" w:sz="0" w:space="0" w:color="auto"/>
        <w:bottom w:val="none" w:sz="0" w:space="0" w:color="auto"/>
        <w:right w:val="none" w:sz="0" w:space="0" w:color="auto"/>
      </w:divBdr>
    </w:div>
    <w:div w:id="1585601482">
      <w:bodyDiv w:val="1"/>
      <w:marLeft w:val="0"/>
      <w:marRight w:val="0"/>
      <w:marTop w:val="0"/>
      <w:marBottom w:val="0"/>
      <w:divBdr>
        <w:top w:val="none" w:sz="0" w:space="0" w:color="auto"/>
        <w:left w:val="none" w:sz="0" w:space="0" w:color="auto"/>
        <w:bottom w:val="none" w:sz="0" w:space="0" w:color="auto"/>
        <w:right w:val="none" w:sz="0" w:space="0" w:color="auto"/>
      </w:divBdr>
    </w:div>
    <w:div w:id="1593080149">
      <w:bodyDiv w:val="1"/>
      <w:marLeft w:val="0"/>
      <w:marRight w:val="0"/>
      <w:marTop w:val="0"/>
      <w:marBottom w:val="0"/>
      <w:divBdr>
        <w:top w:val="none" w:sz="0" w:space="0" w:color="auto"/>
        <w:left w:val="none" w:sz="0" w:space="0" w:color="auto"/>
        <w:bottom w:val="none" w:sz="0" w:space="0" w:color="auto"/>
        <w:right w:val="none" w:sz="0" w:space="0" w:color="auto"/>
      </w:divBdr>
    </w:div>
    <w:div w:id="1867399143">
      <w:bodyDiv w:val="1"/>
      <w:marLeft w:val="0"/>
      <w:marRight w:val="0"/>
      <w:marTop w:val="0"/>
      <w:marBottom w:val="0"/>
      <w:divBdr>
        <w:top w:val="none" w:sz="0" w:space="0" w:color="auto"/>
        <w:left w:val="none" w:sz="0" w:space="0" w:color="auto"/>
        <w:bottom w:val="none" w:sz="0" w:space="0" w:color="auto"/>
        <w:right w:val="none" w:sz="0" w:space="0" w:color="auto"/>
      </w:divBdr>
    </w:div>
    <w:div w:id="2141023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garcia@fce.unrc.edu.ar" TargetMode="External"/><Relationship Id="rId13" Type="http://schemas.openxmlformats.org/officeDocument/2006/relationships/hyperlink" Target="https://dialnet.unirioja.es/servlet/articulo?codigo=867624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ialnet.unirioja.es/servlet/articulo?codigo=7724989" TargetMode="External"/><Relationship Id="rId17" Type="http://schemas.openxmlformats.org/officeDocument/2006/relationships/hyperlink" Target="https://doi.org/10.1108/MBE-01-2022-0020" TargetMode="External"/><Relationship Id="rId2" Type="http://schemas.openxmlformats.org/officeDocument/2006/relationships/numbering" Target="numbering.xml"/><Relationship Id="rId16" Type="http://schemas.openxmlformats.org/officeDocument/2006/relationships/hyperlink" Target="https://doi.org/10.1016/j.rcsar.2017.07.00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doi.org/10.57178/atestasi.v6i2.488"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1108/1468452111115142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AD3539-2D6B-4390-AE86-34CFD125A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18</Pages>
  <Words>5583</Words>
  <Characters>30709</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72</cp:revision>
  <dcterms:created xsi:type="dcterms:W3CDTF">2025-08-01T22:57:00Z</dcterms:created>
  <dcterms:modified xsi:type="dcterms:W3CDTF">2025-08-05T19:53:00Z</dcterms:modified>
</cp:coreProperties>
</file>