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9BEF7" w14:textId="3BDCE716" w:rsidR="00B215F1" w:rsidRDefault="0041093F" w:rsidP="008C6227">
      <w:pPr>
        <w:spacing w:line="360" w:lineRule="auto"/>
        <w:jc w:val="both"/>
        <w:rPr>
          <w:rFonts w:ascii="Times New Roman" w:hAnsi="Times New Roman" w:cs="Times New Roman"/>
          <w:b/>
          <w:bCs/>
        </w:rPr>
      </w:pPr>
      <w:r w:rsidRPr="008C6227">
        <w:rPr>
          <w:rFonts w:ascii="Times New Roman" w:hAnsi="Times New Roman" w:cs="Times New Roman"/>
          <w:b/>
          <w:bCs/>
        </w:rPr>
        <w:t>Financial Literacy and Nudge: The Role of Soci</w:t>
      </w:r>
      <w:r w:rsidR="00E56692" w:rsidRPr="008C6227">
        <w:rPr>
          <w:rFonts w:ascii="Times New Roman" w:hAnsi="Times New Roman" w:cs="Times New Roman"/>
          <w:b/>
          <w:bCs/>
        </w:rPr>
        <w:t>oeconomic</w:t>
      </w:r>
      <w:r w:rsidRPr="008C6227">
        <w:rPr>
          <w:rFonts w:ascii="Times New Roman" w:hAnsi="Times New Roman" w:cs="Times New Roman"/>
          <w:b/>
          <w:bCs/>
        </w:rPr>
        <w:t xml:space="preserve"> </w:t>
      </w:r>
      <w:r w:rsidR="00D0363F" w:rsidRPr="008C6227">
        <w:rPr>
          <w:rFonts w:ascii="Times New Roman" w:hAnsi="Times New Roman" w:cs="Times New Roman"/>
          <w:b/>
          <w:bCs/>
        </w:rPr>
        <w:t>Status</w:t>
      </w:r>
      <w:r w:rsidRPr="008C6227">
        <w:rPr>
          <w:rFonts w:ascii="Times New Roman" w:hAnsi="Times New Roman" w:cs="Times New Roman"/>
          <w:b/>
          <w:bCs/>
        </w:rPr>
        <w:t xml:space="preserve"> in Economic Decision</w:t>
      </w:r>
      <w:r w:rsidR="0003486A" w:rsidRPr="008C6227">
        <w:rPr>
          <w:rFonts w:ascii="Times New Roman" w:hAnsi="Times New Roman" w:cs="Times New Roman"/>
          <w:b/>
          <w:bCs/>
        </w:rPr>
        <w:t>–</w:t>
      </w:r>
      <w:r w:rsidRPr="008C6227">
        <w:rPr>
          <w:rFonts w:ascii="Times New Roman" w:hAnsi="Times New Roman" w:cs="Times New Roman"/>
          <w:b/>
          <w:bCs/>
        </w:rPr>
        <w:t>Making</w:t>
      </w:r>
    </w:p>
    <w:p w14:paraId="382F8313" w14:textId="38E98DB1" w:rsidR="008C6227" w:rsidRDefault="005D0FDD" w:rsidP="005D0FDD">
      <w:pPr>
        <w:spacing w:line="360" w:lineRule="auto"/>
        <w:jc w:val="both"/>
        <w:rPr>
          <w:rFonts w:ascii="Times New Roman" w:hAnsi="Times New Roman" w:cs="Times New Roman"/>
          <w:b/>
          <w:bCs/>
        </w:rPr>
      </w:pPr>
      <w:r w:rsidRPr="005D0FDD">
        <w:rPr>
          <w:rFonts w:ascii="Times New Roman" w:hAnsi="Times New Roman" w:cs="Times New Roman"/>
        </w:rPr>
        <w:t xml:space="preserve">Mercer, Antonio Carlos (Department of Business Administration Program, Pontifical Catholic University of Parana, Curitiba, PR, Brazil) - </w:t>
      </w:r>
      <w:hyperlink r:id="rId8" w:history="1">
        <w:r w:rsidRPr="00905E35">
          <w:rPr>
            <w:rStyle w:val="Hyperlink"/>
            <w:rFonts w:ascii="Times New Roman" w:hAnsi="Times New Roman" w:cs="Times New Roman"/>
          </w:rPr>
          <w:t>mercer.antonio@grupomarista.org.br</w:t>
        </w:r>
      </w:hyperlink>
      <w:r w:rsidRPr="005D0FDD">
        <w:rPr>
          <w:rFonts w:ascii="Times New Roman" w:hAnsi="Times New Roman" w:cs="Times New Roman"/>
        </w:rPr>
        <w:t>.</w:t>
      </w:r>
    </w:p>
    <w:p w14:paraId="64EAFD01" w14:textId="457C01C6" w:rsidR="004F7FC4" w:rsidRDefault="00262C4B" w:rsidP="008C6227">
      <w:pPr>
        <w:spacing w:line="360" w:lineRule="auto"/>
        <w:jc w:val="both"/>
        <w:rPr>
          <w:rFonts w:ascii="Times New Roman" w:hAnsi="Times New Roman" w:cs="Times New Roman"/>
          <w:b/>
          <w:bCs/>
        </w:rPr>
      </w:pPr>
      <w:proofErr w:type="spellStart"/>
      <w:r w:rsidRPr="00262C4B">
        <w:rPr>
          <w:rFonts w:ascii="Times New Roman" w:hAnsi="Times New Roman" w:cs="Times New Roman"/>
        </w:rPr>
        <w:t>Nogas</w:t>
      </w:r>
      <w:proofErr w:type="spellEnd"/>
      <w:r w:rsidRPr="00262C4B">
        <w:rPr>
          <w:rFonts w:ascii="Times New Roman" w:hAnsi="Times New Roman" w:cs="Times New Roman"/>
        </w:rPr>
        <w:t>, Erika Mirian</w:t>
      </w:r>
      <w:r w:rsidRPr="00262C4B">
        <w:rPr>
          <w:rFonts w:ascii="Times New Roman" w:hAnsi="Times New Roman" w:cs="Times New Roman"/>
        </w:rPr>
        <w:t xml:space="preserve"> </w:t>
      </w:r>
      <w:r w:rsidRPr="00262C4B">
        <w:rPr>
          <w:rFonts w:ascii="Times New Roman" w:hAnsi="Times New Roman" w:cs="Times New Roman"/>
        </w:rPr>
        <w:t>(Department</w:t>
      </w:r>
      <w:r w:rsidRPr="005D0FDD">
        <w:rPr>
          <w:rFonts w:ascii="Times New Roman" w:hAnsi="Times New Roman" w:cs="Times New Roman"/>
        </w:rPr>
        <w:t xml:space="preserve"> of Business Administration Program, Pontifical Catholic University of Parana, Curitiba, PR, Brazil) -</w:t>
      </w:r>
      <w:r>
        <w:rPr>
          <w:rFonts w:ascii="Times New Roman" w:hAnsi="Times New Roman" w:cs="Times New Roman"/>
        </w:rPr>
        <w:t xml:space="preserve"> </w:t>
      </w:r>
      <w:r w:rsidRPr="00262C4B">
        <w:rPr>
          <w:rFonts w:ascii="Times New Roman" w:hAnsi="Times New Roman" w:cs="Times New Roman"/>
        </w:rPr>
        <w:t>erika_nogas@hotmail.com</w:t>
      </w:r>
    </w:p>
    <w:p w14:paraId="5BD1C223" w14:textId="4D9BFCA6" w:rsidR="004F7FC4" w:rsidRPr="008C6227" w:rsidRDefault="00262C4B" w:rsidP="008C6227">
      <w:pPr>
        <w:spacing w:line="360" w:lineRule="auto"/>
        <w:jc w:val="both"/>
        <w:rPr>
          <w:rFonts w:ascii="Times New Roman" w:hAnsi="Times New Roman" w:cs="Times New Roman"/>
          <w:b/>
          <w:bCs/>
        </w:rPr>
      </w:pPr>
      <w:r>
        <w:rPr>
          <w:rFonts w:ascii="Times New Roman" w:hAnsi="Times New Roman" w:cs="Times New Roman"/>
          <w:b/>
          <w:bCs/>
        </w:rPr>
        <w:t>Abstract</w:t>
      </w:r>
    </w:p>
    <w:p w14:paraId="4BDE48CE" w14:textId="41E1040D" w:rsidR="00B215F1" w:rsidRDefault="00F509C8" w:rsidP="008C6227">
      <w:pPr>
        <w:spacing w:line="360" w:lineRule="auto"/>
        <w:jc w:val="both"/>
        <w:rPr>
          <w:rFonts w:ascii="Times New Roman" w:hAnsi="Times New Roman" w:cs="Times New Roman"/>
        </w:rPr>
      </w:pPr>
      <w:r w:rsidRPr="008C6227">
        <w:rPr>
          <w:rFonts w:ascii="Times New Roman" w:hAnsi="Times New Roman" w:cs="Times New Roman"/>
        </w:rPr>
        <w:t>This theoretical essay examines the interplay of financial literacy, nudges, and socioeconomic status (SES) in shaping financial decision</w:t>
      </w:r>
      <w:r w:rsidR="0003486A" w:rsidRPr="008C6227">
        <w:rPr>
          <w:rFonts w:ascii="Times New Roman" w:hAnsi="Times New Roman" w:cs="Times New Roman"/>
        </w:rPr>
        <w:t>–</w:t>
      </w:r>
      <w:r w:rsidRPr="008C6227">
        <w:rPr>
          <w:rFonts w:ascii="Times New Roman" w:hAnsi="Times New Roman" w:cs="Times New Roman"/>
        </w:rPr>
        <w:t>making, advancing discourse in behavioral economics and finance. Th</w:t>
      </w:r>
      <w:r w:rsidR="002D7491" w:rsidRPr="008C6227">
        <w:rPr>
          <w:rFonts w:ascii="Times New Roman" w:hAnsi="Times New Roman" w:cs="Times New Roman"/>
        </w:rPr>
        <w:t>is essay</w:t>
      </w:r>
      <w:r w:rsidRPr="008C6227">
        <w:rPr>
          <w:rFonts w:ascii="Times New Roman" w:hAnsi="Times New Roman" w:cs="Times New Roman"/>
        </w:rPr>
        <w:t xml:space="preserve"> posits that nudge effectiveness is moderated by financial literacy and SES, with cognitive load and structural barriers as key mediators. Synthesizing literature, the paper highlights that lower SES individuals benefit from simplified nudges like default savings plans, while higher SES individuals respond to complex, informational nudges (</w:t>
      </w:r>
      <w:proofErr w:type="spellStart"/>
      <w:r w:rsidRPr="008C6227">
        <w:rPr>
          <w:rFonts w:ascii="Times New Roman" w:hAnsi="Times New Roman" w:cs="Times New Roman"/>
        </w:rPr>
        <w:t>Madrian</w:t>
      </w:r>
      <w:proofErr w:type="spellEnd"/>
      <w:r w:rsidRPr="008C6227">
        <w:rPr>
          <w:rFonts w:ascii="Times New Roman" w:hAnsi="Times New Roman" w:cs="Times New Roman"/>
        </w:rPr>
        <w:t xml:space="preserve"> &amp; Shea, 2001; Benartzi et al., 2017). Empirical evidence, including studies on cognitive scarcity and financial education, supports the need for tailored interventions (Mani et al., 2013; Kaiser &amp; </w:t>
      </w:r>
      <w:proofErr w:type="spellStart"/>
      <w:r w:rsidRPr="008C6227">
        <w:rPr>
          <w:rFonts w:ascii="Times New Roman" w:hAnsi="Times New Roman" w:cs="Times New Roman"/>
        </w:rPr>
        <w:t>Menkhoff</w:t>
      </w:r>
      <w:proofErr w:type="spellEnd"/>
      <w:r w:rsidRPr="008C6227">
        <w:rPr>
          <w:rFonts w:ascii="Times New Roman" w:hAnsi="Times New Roman" w:cs="Times New Roman"/>
        </w:rPr>
        <w:t>, 2017). The framework addresses counterarguments, affirming that SES</w:t>
      </w:r>
      <w:r w:rsidR="0003486A" w:rsidRPr="008C6227">
        <w:rPr>
          <w:rFonts w:ascii="Times New Roman" w:hAnsi="Times New Roman" w:cs="Times New Roman"/>
        </w:rPr>
        <w:t>–</w:t>
      </w:r>
      <w:r w:rsidRPr="008C6227">
        <w:rPr>
          <w:rFonts w:ascii="Times New Roman" w:hAnsi="Times New Roman" w:cs="Times New Roman"/>
        </w:rPr>
        <w:t>specific nudges outperform universal designs despite individual variations (Sunstein, 2014). Policy implications emphasize segmented strategies—defaults for lower SES, detailed options for higher SES—integrated with accessible education and technology to bridge digital divides (Buchak et al., 2018). Trust and cultural factors further refine nudge design (Bertrand et al., 2006; Hofstede, 1980). Future research should test these interactions longitudinally. By aligning interventions with socioeconomic realities, the essay offers a robust foundation for equitable financial policies, promoting inclusion and reducing inequality.</w:t>
      </w:r>
    </w:p>
    <w:p w14:paraId="30A80B6E" w14:textId="5ACD3968" w:rsidR="00262C4B" w:rsidRPr="00DD2A65" w:rsidRDefault="00262C4B" w:rsidP="008C6227">
      <w:pPr>
        <w:spacing w:line="360" w:lineRule="auto"/>
        <w:jc w:val="both"/>
        <w:rPr>
          <w:rFonts w:ascii="Times New Roman" w:hAnsi="Times New Roman" w:cs="Times New Roman"/>
          <w:b/>
          <w:bCs/>
        </w:rPr>
      </w:pPr>
      <w:r w:rsidRPr="00DD2A65">
        <w:rPr>
          <w:rFonts w:ascii="Times New Roman" w:hAnsi="Times New Roman" w:cs="Times New Roman"/>
          <w:b/>
          <w:bCs/>
        </w:rPr>
        <w:t xml:space="preserve">Key-words: </w:t>
      </w:r>
      <w:r w:rsidR="00DD2A65" w:rsidRPr="00DD2A65">
        <w:rPr>
          <w:rFonts w:ascii="Times New Roman" w:hAnsi="Times New Roman" w:cs="Times New Roman"/>
        </w:rPr>
        <w:t>Behavioral Economics – Financial Literacy – Nudge</w:t>
      </w:r>
      <w:r w:rsidR="00DD2A65" w:rsidRPr="00DD2A65">
        <w:rPr>
          <w:rFonts w:ascii="Times New Roman" w:hAnsi="Times New Roman" w:cs="Times New Roman"/>
        </w:rPr>
        <w:t>.</w:t>
      </w:r>
    </w:p>
    <w:p w14:paraId="299BF38F" w14:textId="022F792E" w:rsidR="00B215F1" w:rsidRPr="008C6227" w:rsidRDefault="00DD2A65" w:rsidP="008C6227">
      <w:pPr>
        <w:spacing w:line="360" w:lineRule="auto"/>
        <w:jc w:val="both"/>
        <w:rPr>
          <w:rFonts w:ascii="Times New Roman" w:hAnsi="Times New Roman" w:cs="Times New Roman"/>
          <w:b/>
          <w:bCs/>
        </w:rPr>
      </w:pPr>
      <w:r w:rsidRPr="008C6227">
        <w:rPr>
          <w:rFonts w:ascii="Times New Roman" w:hAnsi="Times New Roman" w:cs="Times New Roman"/>
          <w:b/>
          <w:bCs/>
        </w:rPr>
        <w:t>1. Introduction</w:t>
      </w:r>
    </w:p>
    <w:p w14:paraId="5EDB7DEE" w14:textId="78B5371C" w:rsidR="00B215F1" w:rsidRPr="008C6227" w:rsidRDefault="00B215F1" w:rsidP="008C6227">
      <w:pPr>
        <w:spacing w:line="360" w:lineRule="auto"/>
        <w:jc w:val="both"/>
        <w:rPr>
          <w:rFonts w:ascii="Times New Roman" w:hAnsi="Times New Roman" w:cs="Times New Roman"/>
        </w:rPr>
      </w:pPr>
      <w:r w:rsidRPr="008C6227">
        <w:rPr>
          <w:rFonts w:ascii="Times New Roman" w:hAnsi="Times New Roman" w:cs="Times New Roman"/>
        </w:rPr>
        <w:t>Behavioral economics has highlighted the influence of cognitive biases and heuristics on financial decision</w:t>
      </w:r>
      <w:r w:rsidR="0003486A" w:rsidRPr="008C6227">
        <w:rPr>
          <w:rFonts w:ascii="Times New Roman" w:hAnsi="Times New Roman" w:cs="Times New Roman"/>
        </w:rPr>
        <w:t>–</w:t>
      </w:r>
      <w:r w:rsidRPr="008C6227">
        <w:rPr>
          <w:rFonts w:ascii="Times New Roman" w:hAnsi="Times New Roman" w:cs="Times New Roman"/>
        </w:rPr>
        <w:t xml:space="preserve">making (Thaler &amp; Sunstein, 2008). Within this framework, nudges—subtle interventions that steer individuals toward better choices without restricting their freedom—have gained </w:t>
      </w:r>
      <w:r w:rsidRPr="008C6227">
        <w:rPr>
          <w:rFonts w:ascii="Times New Roman" w:hAnsi="Times New Roman" w:cs="Times New Roman"/>
        </w:rPr>
        <w:lastRenderedPageBreak/>
        <w:t>prominence. Financial literacy, defined as the ability to understand and effectively use financial skills (Lusardi &amp; Mitchell, 2014), is often cited as a crucial determinant of financial behavior. However, financial knowledge alone may not be sufficient; the impact of social class and income disparities on how individuals respond to nudges remains an underexplored area.</w:t>
      </w:r>
    </w:p>
    <w:p w14:paraId="7775BA13" w14:textId="2FE542A7" w:rsidR="00B215F1" w:rsidRPr="008C6227" w:rsidRDefault="00B215F1" w:rsidP="008C6227">
      <w:pPr>
        <w:spacing w:line="360" w:lineRule="auto"/>
        <w:jc w:val="both"/>
        <w:rPr>
          <w:rFonts w:ascii="Times New Roman" w:hAnsi="Times New Roman" w:cs="Times New Roman"/>
        </w:rPr>
      </w:pPr>
      <w:r w:rsidRPr="008C6227">
        <w:rPr>
          <w:rFonts w:ascii="Times New Roman" w:hAnsi="Times New Roman" w:cs="Times New Roman"/>
        </w:rPr>
        <w:t>Financial literacy is a critical factor in ensuring individuals make sound financial decisions, but it interacts in complex ways with behavioral biases. Studies suggest that financial education alone does not always lead to optimal economic behaviors due to inherent cognitive limitations and external socioeconomic constraints (Lusardi &amp; Mitchell, 2011). These constraints vary significantly across different social classes, with individuals from lower</w:t>
      </w:r>
      <w:r w:rsidR="0003486A" w:rsidRPr="008C6227">
        <w:rPr>
          <w:rFonts w:ascii="Times New Roman" w:hAnsi="Times New Roman" w:cs="Times New Roman"/>
        </w:rPr>
        <w:t>–</w:t>
      </w:r>
      <w:r w:rsidRPr="008C6227">
        <w:rPr>
          <w:rFonts w:ascii="Times New Roman" w:hAnsi="Times New Roman" w:cs="Times New Roman"/>
        </w:rPr>
        <w:t>income backgrounds facing greater financial instability and limited access to financial services (</w:t>
      </w:r>
      <w:r w:rsidR="006A710B" w:rsidRPr="008C6227">
        <w:rPr>
          <w:rFonts w:ascii="Times New Roman" w:hAnsi="Times New Roman" w:cs="Times New Roman"/>
        </w:rPr>
        <w:t xml:space="preserve">Mani </w:t>
      </w:r>
      <w:r w:rsidR="006A710B" w:rsidRPr="008C6227">
        <w:rPr>
          <w:rFonts w:ascii="Times New Roman" w:hAnsi="Times New Roman" w:cs="Times New Roman"/>
          <w:i/>
          <w:iCs/>
        </w:rPr>
        <w:t>et al</w:t>
      </w:r>
      <w:r w:rsidR="006A710B" w:rsidRPr="008C6227">
        <w:rPr>
          <w:rFonts w:ascii="Times New Roman" w:hAnsi="Times New Roman" w:cs="Times New Roman"/>
        </w:rPr>
        <w:t>.</w:t>
      </w:r>
      <w:r w:rsidRPr="008C6227">
        <w:rPr>
          <w:rFonts w:ascii="Times New Roman" w:hAnsi="Times New Roman" w:cs="Times New Roman"/>
        </w:rPr>
        <w:t>, 2013). Understanding these nuances is essential for developing interventions that support better financial decision</w:t>
      </w:r>
      <w:r w:rsidR="0003486A" w:rsidRPr="008C6227">
        <w:rPr>
          <w:rFonts w:ascii="Times New Roman" w:hAnsi="Times New Roman" w:cs="Times New Roman"/>
        </w:rPr>
        <w:t>–</w:t>
      </w:r>
      <w:r w:rsidRPr="008C6227">
        <w:rPr>
          <w:rFonts w:ascii="Times New Roman" w:hAnsi="Times New Roman" w:cs="Times New Roman"/>
        </w:rPr>
        <w:t>making across all income levels.</w:t>
      </w:r>
    </w:p>
    <w:p w14:paraId="7FD5CA08" w14:textId="51F5A2BD" w:rsidR="0071278C" w:rsidRPr="008C6227" w:rsidRDefault="0071278C" w:rsidP="008C6227">
      <w:pPr>
        <w:spacing w:line="360" w:lineRule="auto"/>
        <w:jc w:val="both"/>
        <w:rPr>
          <w:rFonts w:ascii="Times New Roman" w:hAnsi="Times New Roman" w:cs="Times New Roman"/>
        </w:rPr>
      </w:pPr>
      <w:r w:rsidRPr="008C6227">
        <w:rPr>
          <w:rFonts w:ascii="Times New Roman" w:hAnsi="Times New Roman" w:cs="Times New Roman"/>
        </w:rPr>
        <w:t xml:space="preserve">The interplay of socioeconomic status (SES) further complicates the dynamics of financial literacy and nudge effectiveness. SES, encompassing income, education, and social class, shapes not </w:t>
      </w:r>
      <w:proofErr w:type="gramStart"/>
      <w:r w:rsidRPr="008C6227">
        <w:rPr>
          <w:rFonts w:ascii="Times New Roman" w:hAnsi="Times New Roman" w:cs="Times New Roman"/>
        </w:rPr>
        <w:t>only access to</w:t>
      </w:r>
      <w:proofErr w:type="gramEnd"/>
      <w:r w:rsidRPr="008C6227">
        <w:rPr>
          <w:rFonts w:ascii="Times New Roman" w:hAnsi="Times New Roman" w:cs="Times New Roman"/>
        </w:rPr>
        <w:t xml:space="preserve"> financial resources but also the cognitive and psychological contexts in which decisions are made (Mani et al., 2013). Lower SES individuals often experience heightened cognitive load due to financial scarcity, which can impair their ability to process complex financial information or engage with nudges requiring active decision</w:t>
      </w:r>
      <w:r w:rsidR="0003486A" w:rsidRPr="008C6227">
        <w:rPr>
          <w:rFonts w:ascii="Times New Roman" w:hAnsi="Times New Roman" w:cs="Times New Roman"/>
        </w:rPr>
        <w:t>–</w:t>
      </w:r>
      <w:r w:rsidRPr="008C6227">
        <w:rPr>
          <w:rFonts w:ascii="Times New Roman" w:hAnsi="Times New Roman" w:cs="Times New Roman"/>
        </w:rPr>
        <w:t>making (Mullainathan &amp; Shafir, 2013). In contrast, higher SES individuals, with greater educational attainment and financial stability, may have the cognitive bandwidth to leverage sophisticated nudges effectively. This differential impact underscores the need for interventions that account for SES</w:t>
      </w:r>
      <w:r w:rsidR="0003486A" w:rsidRPr="008C6227">
        <w:rPr>
          <w:rFonts w:ascii="Times New Roman" w:hAnsi="Times New Roman" w:cs="Times New Roman"/>
        </w:rPr>
        <w:t>–</w:t>
      </w:r>
      <w:r w:rsidRPr="008C6227">
        <w:rPr>
          <w:rFonts w:ascii="Times New Roman" w:hAnsi="Times New Roman" w:cs="Times New Roman"/>
        </w:rPr>
        <w:t>specific barriers and opportunities, ensuring that nudges are both accessible and impactful across diverse socioeconomic groups.</w:t>
      </w:r>
    </w:p>
    <w:p w14:paraId="20E99003" w14:textId="00AB1E7A" w:rsidR="00B215F1" w:rsidRPr="008C6227" w:rsidRDefault="00B215F1" w:rsidP="008C6227">
      <w:pPr>
        <w:spacing w:line="360" w:lineRule="auto"/>
        <w:jc w:val="both"/>
        <w:rPr>
          <w:rFonts w:ascii="Times New Roman" w:hAnsi="Times New Roman" w:cs="Times New Roman"/>
        </w:rPr>
      </w:pPr>
      <w:r w:rsidRPr="008C6227">
        <w:rPr>
          <w:rFonts w:ascii="Times New Roman" w:hAnsi="Times New Roman" w:cs="Times New Roman"/>
        </w:rPr>
        <w:t xml:space="preserve">Moreover, the role of nudges in improving financial behaviors is </w:t>
      </w:r>
      <w:r w:rsidR="004207F5" w:rsidRPr="008C6227">
        <w:rPr>
          <w:rFonts w:ascii="Times New Roman" w:hAnsi="Times New Roman" w:cs="Times New Roman"/>
        </w:rPr>
        <w:t>well documented</w:t>
      </w:r>
      <w:r w:rsidRPr="008C6227">
        <w:rPr>
          <w:rFonts w:ascii="Times New Roman" w:hAnsi="Times New Roman" w:cs="Times New Roman"/>
        </w:rPr>
        <w:t>, yet it is unclear whether their impact is uniform across socioeconomic groups. While some individuals may benefit significantly from subtle interventions such as default savings options or framing effects, others may require more structured financial education and decision</w:t>
      </w:r>
      <w:r w:rsidR="0003486A" w:rsidRPr="008C6227">
        <w:rPr>
          <w:rFonts w:ascii="Times New Roman" w:hAnsi="Times New Roman" w:cs="Times New Roman"/>
        </w:rPr>
        <w:t>–</w:t>
      </w:r>
      <w:r w:rsidRPr="008C6227">
        <w:rPr>
          <w:rFonts w:ascii="Times New Roman" w:hAnsi="Times New Roman" w:cs="Times New Roman"/>
        </w:rPr>
        <w:t xml:space="preserve">making support (Benartzi </w:t>
      </w:r>
      <w:r w:rsidRPr="008C6227">
        <w:rPr>
          <w:rFonts w:ascii="Times New Roman" w:hAnsi="Times New Roman" w:cs="Times New Roman"/>
          <w:i/>
          <w:iCs/>
        </w:rPr>
        <w:t>et al</w:t>
      </w:r>
      <w:r w:rsidRPr="008C6227">
        <w:rPr>
          <w:rFonts w:ascii="Times New Roman" w:hAnsi="Times New Roman" w:cs="Times New Roman"/>
        </w:rPr>
        <w:t>., 2017). This study seeks to bridge this gap by comparing how students from different economic backgrounds respond to nudges, contributing to discussions on financial inclusion, policy design, and behavioral interventions.</w:t>
      </w:r>
    </w:p>
    <w:p w14:paraId="3B4680FB" w14:textId="630FCB1D" w:rsidR="00B215F1" w:rsidRPr="008C6227" w:rsidRDefault="00DD2A65" w:rsidP="008C6227">
      <w:pPr>
        <w:spacing w:line="360" w:lineRule="auto"/>
        <w:jc w:val="both"/>
        <w:rPr>
          <w:rFonts w:ascii="Times New Roman" w:hAnsi="Times New Roman" w:cs="Times New Roman"/>
          <w:b/>
          <w:bCs/>
        </w:rPr>
      </w:pPr>
      <w:r w:rsidRPr="008C6227">
        <w:rPr>
          <w:rFonts w:ascii="Times New Roman" w:hAnsi="Times New Roman" w:cs="Times New Roman"/>
          <w:b/>
          <w:bCs/>
        </w:rPr>
        <w:lastRenderedPageBreak/>
        <w:t>2. Literature Review</w:t>
      </w:r>
    </w:p>
    <w:p w14:paraId="111B3087" w14:textId="150CD132" w:rsidR="00B215F1" w:rsidRPr="008C6227" w:rsidRDefault="00B215F1" w:rsidP="008C6227">
      <w:pPr>
        <w:spacing w:line="360" w:lineRule="auto"/>
        <w:jc w:val="both"/>
        <w:rPr>
          <w:rFonts w:ascii="Times New Roman" w:hAnsi="Times New Roman" w:cs="Times New Roman"/>
        </w:rPr>
      </w:pPr>
      <w:r w:rsidRPr="008C6227">
        <w:rPr>
          <w:rFonts w:ascii="Times New Roman" w:hAnsi="Times New Roman" w:cs="Times New Roman"/>
        </w:rPr>
        <w:t>Numerous studies have explored financial literacy and its impact on financial behaviors (Lusardi &amp; Mitchell, 2011; Fernandes, Lynch, &amp; Netemeyer, 2014). However, the effectiveness of nudges in improving financial decisions has been a subject of debate (Benartzi et al., 2017). Moreover, socioeconomic status plays a fundamental role in shaping financial habits, cognitive load, and risk perception (</w:t>
      </w:r>
      <w:r w:rsidR="006A710B" w:rsidRPr="008C6227">
        <w:rPr>
          <w:rFonts w:ascii="Times New Roman" w:hAnsi="Times New Roman" w:cs="Times New Roman"/>
        </w:rPr>
        <w:t xml:space="preserve">Mani </w:t>
      </w:r>
      <w:r w:rsidR="006A710B" w:rsidRPr="008C6227">
        <w:rPr>
          <w:rFonts w:ascii="Times New Roman" w:hAnsi="Times New Roman" w:cs="Times New Roman"/>
          <w:i/>
          <w:iCs/>
        </w:rPr>
        <w:t>et al</w:t>
      </w:r>
      <w:r w:rsidR="006A710B" w:rsidRPr="008C6227">
        <w:rPr>
          <w:rFonts w:ascii="Times New Roman" w:hAnsi="Times New Roman" w:cs="Times New Roman"/>
        </w:rPr>
        <w:t>., 2013</w:t>
      </w:r>
      <w:r w:rsidRPr="008C6227">
        <w:rPr>
          <w:rFonts w:ascii="Times New Roman" w:hAnsi="Times New Roman" w:cs="Times New Roman"/>
        </w:rPr>
        <w:t>).</w:t>
      </w:r>
    </w:p>
    <w:p w14:paraId="5B21609E" w14:textId="092F6539" w:rsidR="00B215F1" w:rsidRPr="008C6227" w:rsidRDefault="00B215F1" w:rsidP="008C6227">
      <w:pPr>
        <w:spacing w:line="360" w:lineRule="auto"/>
        <w:jc w:val="both"/>
        <w:rPr>
          <w:rFonts w:ascii="Times New Roman" w:hAnsi="Times New Roman" w:cs="Times New Roman"/>
        </w:rPr>
      </w:pPr>
      <w:r w:rsidRPr="008C6227">
        <w:rPr>
          <w:rFonts w:ascii="Times New Roman" w:hAnsi="Times New Roman" w:cs="Times New Roman"/>
        </w:rPr>
        <w:t>Research has shown that individuals from lower</w:t>
      </w:r>
      <w:r w:rsidR="0003486A" w:rsidRPr="008C6227">
        <w:rPr>
          <w:rFonts w:ascii="Times New Roman" w:hAnsi="Times New Roman" w:cs="Times New Roman"/>
        </w:rPr>
        <w:t>–</w:t>
      </w:r>
      <w:r w:rsidRPr="008C6227">
        <w:rPr>
          <w:rFonts w:ascii="Times New Roman" w:hAnsi="Times New Roman" w:cs="Times New Roman"/>
        </w:rPr>
        <w:t xml:space="preserve">income backgrounds often face higher levels of financial stress, which may hinder their ability to make optimal financial choices (Haushofer &amp; Fehr, 2014). On the other hand, wealthier individuals may have more cognitive bandwidth to process financial information and respond positively to nudges. This study will integrate these perspectives to evaluate how financial </w:t>
      </w:r>
      <w:r w:rsidR="00726090" w:rsidRPr="008C6227">
        <w:rPr>
          <w:rFonts w:ascii="Times New Roman" w:hAnsi="Times New Roman" w:cs="Times New Roman"/>
        </w:rPr>
        <w:t>literacy,</w:t>
      </w:r>
      <w:r w:rsidRPr="008C6227">
        <w:rPr>
          <w:rFonts w:ascii="Times New Roman" w:hAnsi="Times New Roman" w:cs="Times New Roman"/>
        </w:rPr>
        <w:t xml:space="preserve"> and nudges interact across different social classes.</w:t>
      </w:r>
    </w:p>
    <w:p w14:paraId="33BE893D" w14:textId="13C73743" w:rsidR="00B215F1" w:rsidRPr="008C6227" w:rsidRDefault="00B215F1" w:rsidP="008C6227">
      <w:pPr>
        <w:spacing w:line="360" w:lineRule="auto"/>
        <w:jc w:val="both"/>
        <w:rPr>
          <w:rFonts w:ascii="Times New Roman" w:hAnsi="Times New Roman" w:cs="Times New Roman"/>
        </w:rPr>
      </w:pPr>
      <w:r w:rsidRPr="008C6227">
        <w:rPr>
          <w:rFonts w:ascii="Times New Roman" w:hAnsi="Times New Roman" w:cs="Times New Roman"/>
        </w:rPr>
        <w:t>Furthermore, studies indicate that the framing of financial information significantly influences decision</w:t>
      </w:r>
      <w:r w:rsidR="0003486A" w:rsidRPr="008C6227">
        <w:rPr>
          <w:rFonts w:ascii="Times New Roman" w:hAnsi="Times New Roman" w:cs="Times New Roman"/>
        </w:rPr>
        <w:t>–</w:t>
      </w:r>
      <w:r w:rsidRPr="008C6227">
        <w:rPr>
          <w:rFonts w:ascii="Times New Roman" w:hAnsi="Times New Roman" w:cs="Times New Roman"/>
        </w:rPr>
        <w:t>making processes (Kahneman</w:t>
      </w:r>
      <w:r w:rsidR="00726090" w:rsidRPr="008C6227">
        <w:rPr>
          <w:rFonts w:ascii="Times New Roman" w:hAnsi="Times New Roman" w:cs="Times New Roman"/>
        </w:rPr>
        <w:t xml:space="preserve"> &amp; Tversky</w:t>
      </w:r>
      <w:r w:rsidRPr="008C6227">
        <w:rPr>
          <w:rFonts w:ascii="Times New Roman" w:hAnsi="Times New Roman" w:cs="Times New Roman"/>
        </w:rPr>
        <w:t xml:space="preserve">, </w:t>
      </w:r>
      <w:r w:rsidR="00726090" w:rsidRPr="008C6227">
        <w:rPr>
          <w:rFonts w:ascii="Times New Roman" w:hAnsi="Times New Roman" w:cs="Times New Roman"/>
        </w:rPr>
        <w:t>1979</w:t>
      </w:r>
      <w:r w:rsidRPr="008C6227">
        <w:rPr>
          <w:rFonts w:ascii="Times New Roman" w:hAnsi="Times New Roman" w:cs="Times New Roman"/>
        </w:rPr>
        <w:t xml:space="preserve">). When individuals face complex financial decisions, the </w:t>
      </w:r>
      <w:proofErr w:type="gramStart"/>
      <w:r w:rsidRPr="008C6227">
        <w:rPr>
          <w:rFonts w:ascii="Times New Roman" w:hAnsi="Times New Roman" w:cs="Times New Roman"/>
        </w:rPr>
        <w:t>manner in which</w:t>
      </w:r>
      <w:proofErr w:type="gramEnd"/>
      <w:r w:rsidRPr="008C6227">
        <w:rPr>
          <w:rFonts w:ascii="Times New Roman" w:hAnsi="Times New Roman" w:cs="Times New Roman"/>
        </w:rPr>
        <w:t xml:space="preserve"> options are presented can either facilitate or hinder optimal choices. Examining the role of choice architecture across socioeconomic backgrounds will provide deeper insights into the effectiveness of nudges in financial decision</w:t>
      </w:r>
      <w:r w:rsidR="0003486A" w:rsidRPr="008C6227">
        <w:rPr>
          <w:rFonts w:ascii="Times New Roman" w:hAnsi="Times New Roman" w:cs="Times New Roman"/>
        </w:rPr>
        <w:t>–</w:t>
      </w:r>
      <w:r w:rsidRPr="008C6227">
        <w:rPr>
          <w:rFonts w:ascii="Times New Roman" w:hAnsi="Times New Roman" w:cs="Times New Roman"/>
        </w:rPr>
        <w:t>making.</w:t>
      </w:r>
    </w:p>
    <w:p w14:paraId="38518A9D" w14:textId="79171DD9" w:rsidR="00B215F1" w:rsidRPr="008C6227" w:rsidRDefault="00B215F1" w:rsidP="008C6227">
      <w:pPr>
        <w:spacing w:line="360" w:lineRule="auto"/>
        <w:jc w:val="both"/>
        <w:rPr>
          <w:rFonts w:ascii="Times New Roman" w:hAnsi="Times New Roman" w:cs="Times New Roman"/>
        </w:rPr>
      </w:pPr>
      <w:r w:rsidRPr="008C6227">
        <w:rPr>
          <w:rFonts w:ascii="Times New Roman" w:hAnsi="Times New Roman" w:cs="Times New Roman"/>
        </w:rPr>
        <w:t>Additionally, the intersection of financial literacy and behavioral economics highlights the limitations of traditional economic models that assume rational decision</w:t>
      </w:r>
      <w:r w:rsidR="0003486A" w:rsidRPr="008C6227">
        <w:rPr>
          <w:rFonts w:ascii="Times New Roman" w:hAnsi="Times New Roman" w:cs="Times New Roman"/>
        </w:rPr>
        <w:t>–</w:t>
      </w:r>
      <w:r w:rsidRPr="008C6227">
        <w:rPr>
          <w:rFonts w:ascii="Times New Roman" w:hAnsi="Times New Roman" w:cs="Times New Roman"/>
        </w:rPr>
        <w:t>making. Empirical evidence suggests that individuals often rely on heuristics and exhibit biases such as present bias and loss aversion (Tversky &amp; Kahneman, 1974). These biases can disproportionately affect individuals with lower financial literacy, making them more susceptible to suboptimal financial choices. This underscores the need for targeted nudges that account for differences in financial knowledge and access to resources.</w:t>
      </w:r>
    </w:p>
    <w:p w14:paraId="3C3F578F" w14:textId="04822E66" w:rsidR="00B215F1" w:rsidRPr="008C6227" w:rsidRDefault="00B215F1" w:rsidP="008C6227">
      <w:pPr>
        <w:spacing w:line="360" w:lineRule="auto"/>
        <w:jc w:val="both"/>
        <w:rPr>
          <w:rFonts w:ascii="Times New Roman" w:hAnsi="Times New Roman" w:cs="Times New Roman"/>
        </w:rPr>
      </w:pPr>
      <w:r w:rsidRPr="008C6227">
        <w:rPr>
          <w:rFonts w:ascii="Times New Roman" w:hAnsi="Times New Roman" w:cs="Times New Roman"/>
        </w:rPr>
        <w:t>A growing body of research also examines the role of default options and social norm nudges in financial decision</w:t>
      </w:r>
      <w:r w:rsidR="0003486A" w:rsidRPr="008C6227">
        <w:rPr>
          <w:rFonts w:ascii="Times New Roman" w:hAnsi="Times New Roman" w:cs="Times New Roman"/>
        </w:rPr>
        <w:t>–</w:t>
      </w:r>
      <w:r w:rsidRPr="008C6227">
        <w:rPr>
          <w:rFonts w:ascii="Times New Roman" w:hAnsi="Times New Roman" w:cs="Times New Roman"/>
        </w:rPr>
        <w:t>making (</w:t>
      </w:r>
      <w:proofErr w:type="spellStart"/>
      <w:r w:rsidRPr="008C6227">
        <w:rPr>
          <w:rFonts w:ascii="Times New Roman" w:hAnsi="Times New Roman" w:cs="Times New Roman"/>
        </w:rPr>
        <w:t>Madrian</w:t>
      </w:r>
      <w:proofErr w:type="spellEnd"/>
      <w:r w:rsidRPr="008C6227">
        <w:rPr>
          <w:rFonts w:ascii="Times New Roman" w:hAnsi="Times New Roman" w:cs="Times New Roman"/>
        </w:rPr>
        <w:t xml:space="preserve"> &amp; Shea, 2001). Default enrollment in savings plans, for instance, has been found to significantly increase participation rates, particularly among individuals who may otherwise struggle to make proactive financial decisions. However, the effectiveness of such interventions may vary depending on cultural and socioeconomic contexts. Understanding these variations is crucial for designing equitable and impactful financial literacy programs.</w:t>
      </w:r>
    </w:p>
    <w:p w14:paraId="650EE329" w14:textId="18B73916" w:rsidR="00B215F1" w:rsidRPr="008C6227" w:rsidRDefault="00312EFE" w:rsidP="008C6227">
      <w:pPr>
        <w:spacing w:line="360" w:lineRule="auto"/>
        <w:jc w:val="both"/>
        <w:rPr>
          <w:rFonts w:ascii="Times New Roman" w:hAnsi="Times New Roman" w:cs="Times New Roman"/>
        </w:rPr>
      </w:pPr>
      <w:r w:rsidRPr="008C6227">
        <w:rPr>
          <w:rFonts w:ascii="Times New Roman" w:hAnsi="Times New Roman" w:cs="Times New Roman"/>
        </w:rPr>
        <w:lastRenderedPageBreak/>
        <w:t xml:space="preserve">Another relevant aspect is the role of technology in amplifying the effects of nudges on financial decision making. Financial management apps that send automatic reminders, provide personalized spending views, and suggest savings goals based on consumption history have proven effective in encouraging better financial behaviors. However, the adoption of these technologies can be uneven, reflecting disparities in access to digital devices and familiarity with digital financial tools. This reinforces the need for inclusive strategies that </w:t>
      </w:r>
      <w:proofErr w:type="gramStart"/>
      <w:r w:rsidRPr="008C6227">
        <w:rPr>
          <w:rFonts w:ascii="Times New Roman" w:hAnsi="Times New Roman" w:cs="Times New Roman"/>
        </w:rPr>
        <w:t>take into account</w:t>
      </w:r>
      <w:proofErr w:type="gramEnd"/>
      <w:r w:rsidRPr="008C6227">
        <w:rPr>
          <w:rFonts w:ascii="Times New Roman" w:hAnsi="Times New Roman" w:cs="Times New Roman"/>
        </w:rPr>
        <w:t xml:space="preserve"> unequal access to technology and promote equity in the dissemination of financial knowledge.</w:t>
      </w:r>
    </w:p>
    <w:p w14:paraId="60A2BF4C" w14:textId="107A7155" w:rsidR="00EF2EB4" w:rsidRPr="008C6227" w:rsidRDefault="00EF2EB4" w:rsidP="008C6227">
      <w:pPr>
        <w:spacing w:line="360" w:lineRule="auto"/>
        <w:jc w:val="both"/>
        <w:rPr>
          <w:rFonts w:ascii="Times New Roman" w:hAnsi="Times New Roman" w:cs="Times New Roman"/>
        </w:rPr>
      </w:pPr>
      <w:r w:rsidRPr="008C6227">
        <w:rPr>
          <w:rFonts w:ascii="Times New Roman" w:hAnsi="Times New Roman" w:cs="Times New Roman"/>
        </w:rPr>
        <w:t>The concept of the scarcity mindset provides a critical lens for understanding financial decision</w:t>
      </w:r>
      <w:r w:rsidR="0003486A" w:rsidRPr="008C6227">
        <w:rPr>
          <w:rFonts w:ascii="Times New Roman" w:hAnsi="Times New Roman" w:cs="Times New Roman"/>
        </w:rPr>
        <w:t>–</w:t>
      </w:r>
      <w:r w:rsidRPr="008C6227">
        <w:rPr>
          <w:rFonts w:ascii="Times New Roman" w:hAnsi="Times New Roman" w:cs="Times New Roman"/>
        </w:rPr>
        <w:t>making across socioeconomic groups. Mullainathan and Shafir (2013) argue that scarcity—whether of time, money, or other resources—creates a cognitive load that impairs decision</w:t>
      </w:r>
      <w:r w:rsidR="0003486A" w:rsidRPr="008C6227">
        <w:rPr>
          <w:rFonts w:ascii="Times New Roman" w:hAnsi="Times New Roman" w:cs="Times New Roman"/>
        </w:rPr>
        <w:t>–</w:t>
      </w:r>
      <w:r w:rsidRPr="008C6227">
        <w:rPr>
          <w:rFonts w:ascii="Times New Roman" w:hAnsi="Times New Roman" w:cs="Times New Roman"/>
        </w:rPr>
        <w:t>making capabilities. For lower</w:t>
      </w:r>
      <w:r w:rsidR="0003486A" w:rsidRPr="008C6227">
        <w:rPr>
          <w:rFonts w:ascii="Times New Roman" w:hAnsi="Times New Roman" w:cs="Times New Roman"/>
        </w:rPr>
        <w:t>–</w:t>
      </w:r>
      <w:r w:rsidRPr="008C6227">
        <w:rPr>
          <w:rFonts w:ascii="Times New Roman" w:hAnsi="Times New Roman" w:cs="Times New Roman"/>
        </w:rPr>
        <w:t>income individuals, persistent financial scarcity can lead to a tunneling effect, where immediate concerns dominate cognitive resources, reducing responsiveness to subtle nudges. In contrast, higher</w:t>
      </w:r>
      <w:r w:rsidR="0003486A" w:rsidRPr="008C6227">
        <w:rPr>
          <w:rFonts w:ascii="Times New Roman" w:hAnsi="Times New Roman" w:cs="Times New Roman"/>
        </w:rPr>
        <w:t>–</w:t>
      </w:r>
      <w:r w:rsidRPr="008C6227">
        <w:rPr>
          <w:rFonts w:ascii="Times New Roman" w:hAnsi="Times New Roman" w:cs="Times New Roman"/>
        </w:rPr>
        <w:t>income individuals, with fewer immediate financial pressures, may have greater capacity to engage with informational nudges or complex financial options.</w:t>
      </w:r>
    </w:p>
    <w:p w14:paraId="5E91AEC2" w14:textId="72EA2DC4" w:rsidR="00EF2EB4" w:rsidRPr="008C6227" w:rsidRDefault="00EF2EB4" w:rsidP="008C6227">
      <w:pPr>
        <w:spacing w:line="360" w:lineRule="auto"/>
        <w:jc w:val="both"/>
        <w:rPr>
          <w:rFonts w:ascii="Times New Roman" w:hAnsi="Times New Roman" w:cs="Times New Roman"/>
        </w:rPr>
      </w:pPr>
      <w:r w:rsidRPr="008C6227">
        <w:rPr>
          <w:rFonts w:ascii="Times New Roman" w:hAnsi="Times New Roman" w:cs="Times New Roman"/>
        </w:rPr>
        <w:t>The effectiveness of financial education programs also varies by socioeconomic status. While these initiatives can enhance financial knowledge, their impact on behavior is often limited by structural barriers faced by lower</w:t>
      </w:r>
      <w:r w:rsidR="0003486A" w:rsidRPr="008C6227">
        <w:rPr>
          <w:rFonts w:ascii="Times New Roman" w:hAnsi="Times New Roman" w:cs="Times New Roman"/>
        </w:rPr>
        <w:t>–</w:t>
      </w:r>
      <w:r w:rsidRPr="008C6227">
        <w:rPr>
          <w:rFonts w:ascii="Times New Roman" w:hAnsi="Times New Roman" w:cs="Times New Roman"/>
        </w:rPr>
        <w:t xml:space="preserve">income groups, such as restricted access to banking services (Kaiser &amp; </w:t>
      </w:r>
      <w:proofErr w:type="spellStart"/>
      <w:r w:rsidRPr="008C6227">
        <w:rPr>
          <w:rFonts w:ascii="Times New Roman" w:hAnsi="Times New Roman" w:cs="Times New Roman"/>
        </w:rPr>
        <w:t>Menkhoff</w:t>
      </w:r>
      <w:proofErr w:type="spellEnd"/>
      <w:r w:rsidRPr="008C6227">
        <w:rPr>
          <w:rFonts w:ascii="Times New Roman" w:hAnsi="Times New Roman" w:cs="Times New Roman"/>
        </w:rPr>
        <w:t>, 2017). Nudges that address these barriers—such as automatic savings enrollment or simplified product designs—may thus be more effective for disadvantaged populations. Meanwhile, choice architecture plays a pivotal role, with simpler designs benefiting those with lower financial literacy, often from lower</w:t>
      </w:r>
      <w:r w:rsidR="0003486A" w:rsidRPr="008C6227">
        <w:rPr>
          <w:rFonts w:ascii="Times New Roman" w:hAnsi="Times New Roman" w:cs="Times New Roman"/>
        </w:rPr>
        <w:t>–</w:t>
      </w:r>
      <w:r w:rsidRPr="008C6227">
        <w:rPr>
          <w:rFonts w:ascii="Times New Roman" w:hAnsi="Times New Roman" w:cs="Times New Roman"/>
        </w:rPr>
        <w:t>income backgrounds, while more complex options suit financially sophisticated, higher</w:t>
      </w:r>
      <w:r w:rsidR="0003486A" w:rsidRPr="008C6227">
        <w:rPr>
          <w:rFonts w:ascii="Times New Roman" w:hAnsi="Times New Roman" w:cs="Times New Roman"/>
        </w:rPr>
        <w:t>–</w:t>
      </w:r>
      <w:r w:rsidRPr="008C6227">
        <w:rPr>
          <w:rFonts w:ascii="Times New Roman" w:hAnsi="Times New Roman" w:cs="Times New Roman"/>
        </w:rPr>
        <w:t>income individuals (Thaler &amp; Sunstein, 2008).</w:t>
      </w:r>
    </w:p>
    <w:p w14:paraId="15EA34C0" w14:textId="78C8785F" w:rsidR="00EF2EB4" w:rsidRPr="008C6227" w:rsidRDefault="00EF2EB4" w:rsidP="008C6227">
      <w:pPr>
        <w:spacing w:line="360" w:lineRule="auto"/>
        <w:jc w:val="both"/>
        <w:rPr>
          <w:rFonts w:ascii="Times New Roman" w:hAnsi="Times New Roman" w:cs="Times New Roman"/>
        </w:rPr>
      </w:pPr>
      <w:r w:rsidRPr="008C6227">
        <w:rPr>
          <w:rFonts w:ascii="Times New Roman" w:hAnsi="Times New Roman" w:cs="Times New Roman"/>
        </w:rPr>
        <w:t xml:space="preserve">Digital financial technologies further complicate this landscape. While fintech tools offer personalized nudges, their adoption is skewed toward </w:t>
      </w:r>
      <w:r w:rsidR="002E576D" w:rsidRPr="008C6227">
        <w:rPr>
          <w:rFonts w:ascii="Times New Roman" w:hAnsi="Times New Roman" w:cs="Times New Roman"/>
        </w:rPr>
        <w:t>higher income</w:t>
      </w:r>
      <w:r w:rsidRPr="008C6227">
        <w:rPr>
          <w:rFonts w:ascii="Times New Roman" w:hAnsi="Times New Roman" w:cs="Times New Roman"/>
        </w:rPr>
        <w:t>, educated demographics, exacerbating the digital divide (Buchak et al., 2018). Inclusive design is thus essential to ensure equitable access to these innovations.</w:t>
      </w:r>
    </w:p>
    <w:p w14:paraId="114D9BF8" w14:textId="12623023" w:rsidR="001D50C5" w:rsidRPr="008C6227" w:rsidRDefault="001D50C5" w:rsidP="008C6227">
      <w:pPr>
        <w:spacing w:line="360" w:lineRule="auto"/>
        <w:jc w:val="both"/>
        <w:rPr>
          <w:rFonts w:ascii="Times New Roman" w:hAnsi="Times New Roman" w:cs="Times New Roman"/>
        </w:rPr>
      </w:pPr>
      <w:r w:rsidRPr="008C6227">
        <w:rPr>
          <w:rFonts w:ascii="Times New Roman" w:hAnsi="Times New Roman" w:cs="Times New Roman"/>
        </w:rPr>
        <w:t>The interplay of socioeconomic status with financial literacy and nudges also manifests in differential risk perceptions and decision</w:t>
      </w:r>
      <w:r w:rsidR="0003486A" w:rsidRPr="008C6227">
        <w:rPr>
          <w:rFonts w:ascii="Times New Roman" w:hAnsi="Times New Roman" w:cs="Times New Roman"/>
        </w:rPr>
        <w:t>–</w:t>
      </w:r>
      <w:r w:rsidRPr="008C6227">
        <w:rPr>
          <w:rFonts w:ascii="Times New Roman" w:hAnsi="Times New Roman" w:cs="Times New Roman"/>
        </w:rPr>
        <w:t>making styles. Lower SES individuals, constrained by financial instability, often exhibit heightened risk aversion, prioritizing short</w:t>
      </w:r>
      <w:r w:rsidR="0003486A" w:rsidRPr="008C6227">
        <w:rPr>
          <w:rFonts w:ascii="Times New Roman" w:hAnsi="Times New Roman" w:cs="Times New Roman"/>
        </w:rPr>
        <w:t>–</w:t>
      </w:r>
      <w:r w:rsidRPr="008C6227">
        <w:rPr>
          <w:rFonts w:ascii="Times New Roman" w:hAnsi="Times New Roman" w:cs="Times New Roman"/>
        </w:rPr>
        <w:t xml:space="preserve">term security over </w:t>
      </w:r>
      <w:r w:rsidRPr="008C6227">
        <w:rPr>
          <w:rFonts w:ascii="Times New Roman" w:hAnsi="Times New Roman" w:cs="Times New Roman"/>
        </w:rPr>
        <w:lastRenderedPageBreak/>
        <w:t>long</w:t>
      </w:r>
      <w:r w:rsidR="0003486A" w:rsidRPr="008C6227">
        <w:rPr>
          <w:rFonts w:ascii="Times New Roman" w:hAnsi="Times New Roman" w:cs="Times New Roman"/>
        </w:rPr>
        <w:t>–</w:t>
      </w:r>
      <w:r w:rsidRPr="008C6227">
        <w:rPr>
          <w:rFonts w:ascii="Times New Roman" w:hAnsi="Times New Roman" w:cs="Times New Roman"/>
        </w:rPr>
        <w:t>term gains (Dohmen et al., 2011). This tendency can reduce their responsiveness to nudges that emphasize future benefits, such as retirement savings prompts, unless these are framed to address immediate concerns. Higher SES individuals, with greater financial cushions, are more likely to engage with risk</w:t>
      </w:r>
      <w:r w:rsidR="0003486A" w:rsidRPr="008C6227">
        <w:rPr>
          <w:rFonts w:ascii="Times New Roman" w:hAnsi="Times New Roman" w:cs="Times New Roman"/>
        </w:rPr>
        <w:t>–</w:t>
      </w:r>
      <w:r w:rsidRPr="008C6227">
        <w:rPr>
          <w:rFonts w:ascii="Times New Roman" w:hAnsi="Times New Roman" w:cs="Times New Roman"/>
        </w:rPr>
        <w:t>tolerant nudges, such as diversified investment options, reflecting their ability to absorb potential losses (Benartzi et al., 2017). These differences highlight the need for nudge designs that align with SES</w:t>
      </w:r>
      <w:r w:rsidR="0003486A" w:rsidRPr="008C6227">
        <w:rPr>
          <w:rFonts w:ascii="Times New Roman" w:hAnsi="Times New Roman" w:cs="Times New Roman"/>
        </w:rPr>
        <w:t>–</w:t>
      </w:r>
      <w:r w:rsidRPr="008C6227">
        <w:rPr>
          <w:rFonts w:ascii="Times New Roman" w:hAnsi="Times New Roman" w:cs="Times New Roman"/>
        </w:rPr>
        <w:t>specific risk profiles to maximize effectiveness.</w:t>
      </w:r>
    </w:p>
    <w:p w14:paraId="69654080" w14:textId="55E4B0CB" w:rsidR="001D50C5" w:rsidRPr="008C6227" w:rsidRDefault="001D50C5" w:rsidP="008C6227">
      <w:pPr>
        <w:spacing w:line="360" w:lineRule="auto"/>
        <w:jc w:val="both"/>
        <w:rPr>
          <w:rFonts w:ascii="Times New Roman" w:hAnsi="Times New Roman" w:cs="Times New Roman"/>
        </w:rPr>
      </w:pPr>
      <w:r w:rsidRPr="008C6227">
        <w:rPr>
          <w:rFonts w:ascii="Times New Roman" w:hAnsi="Times New Roman" w:cs="Times New Roman"/>
        </w:rPr>
        <w:t>Moreover, SES influences the social and institutional contexts in which nudges are received, further shaping their impact. Lower SES individuals may face systemic barriers, such as predatory lending or limited access to trustworthy financial advisors, which undermine the efficacy of even well</w:t>
      </w:r>
      <w:r w:rsidR="0003486A" w:rsidRPr="008C6227">
        <w:rPr>
          <w:rFonts w:ascii="Times New Roman" w:hAnsi="Times New Roman" w:cs="Times New Roman"/>
        </w:rPr>
        <w:t>–</w:t>
      </w:r>
      <w:r w:rsidRPr="008C6227">
        <w:rPr>
          <w:rFonts w:ascii="Times New Roman" w:hAnsi="Times New Roman" w:cs="Times New Roman"/>
        </w:rPr>
        <w:t>designed nudges (Bertrand et al., 2006). In contrast, higher SES individuals often operate within networks that provide robust financial support and information, amplifying the benefits of nudges. Addressing these disparities requires not only tailored nudge strategies but also broader policy interventions that dismantle structural inequities, ensuring that behavioral interventions operate within an equitable financial ecosystem (Piketty, 2014).</w:t>
      </w:r>
    </w:p>
    <w:p w14:paraId="54F66F48" w14:textId="7D63B672" w:rsidR="00EF2EB4" w:rsidRPr="008C6227" w:rsidRDefault="00DD2A65" w:rsidP="008C6227">
      <w:pPr>
        <w:spacing w:line="360" w:lineRule="auto"/>
        <w:jc w:val="both"/>
        <w:rPr>
          <w:rFonts w:ascii="Times New Roman" w:hAnsi="Times New Roman" w:cs="Times New Roman"/>
          <w:b/>
          <w:bCs/>
        </w:rPr>
      </w:pPr>
      <w:r w:rsidRPr="008C6227">
        <w:rPr>
          <w:rFonts w:ascii="Times New Roman" w:hAnsi="Times New Roman" w:cs="Times New Roman"/>
          <w:b/>
          <w:bCs/>
        </w:rPr>
        <w:t>3. Theoretical Framework and Analysis</w:t>
      </w:r>
    </w:p>
    <w:p w14:paraId="33999AAD" w14:textId="54EE203D" w:rsidR="00066D76" w:rsidRPr="008C6227" w:rsidRDefault="00066D76" w:rsidP="008C6227">
      <w:pPr>
        <w:spacing w:line="360" w:lineRule="auto"/>
        <w:jc w:val="both"/>
        <w:rPr>
          <w:rFonts w:ascii="Times New Roman" w:hAnsi="Times New Roman" w:cs="Times New Roman"/>
        </w:rPr>
      </w:pPr>
      <w:r w:rsidRPr="008C6227">
        <w:rPr>
          <w:rFonts w:ascii="Times New Roman" w:hAnsi="Times New Roman" w:cs="Times New Roman"/>
        </w:rPr>
        <w:t xml:space="preserve">Building on the existing literature, this section proposes a </w:t>
      </w:r>
      <w:bookmarkStart w:id="0" w:name="_Hlk195865157"/>
      <w:r w:rsidRPr="008C6227">
        <w:rPr>
          <w:rFonts w:ascii="Times New Roman" w:hAnsi="Times New Roman" w:cs="Times New Roman"/>
        </w:rPr>
        <w:t xml:space="preserve">theoretical framework </w:t>
      </w:r>
      <w:bookmarkEnd w:id="0"/>
      <w:r w:rsidRPr="008C6227">
        <w:rPr>
          <w:rFonts w:ascii="Times New Roman" w:hAnsi="Times New Roman" w:cs="Times New Roman"/>
        </w:rPr>
        <w:t>to elucidate how financial literacy, nudges, and socioeconomic status (SES) interact to influence financial decision</w:t>
      </w:r>
      <w:r w:rsidR="0003486A" w:rsidRPr="008C6227">
        <w:rPr>
          <w:rFonts w:ascii="Times New Roman" w:hAnsi="Times New Roman" w:cs="Times New Roman"/>
        </w:rPr>
        <w:t>–</w:t>
      </w:r>
      <w:r w:rsidRPr="008C6227">
        <w:rPr>
          <w:rFonts w:ascii="Times New Roman" w:hAnsi="Times New Roman" w:cs="Times New Roman"/>
        </w:rPr>
        <w:t>making. The framework posits that the effectiveness of nudges</w:t>
      </w:r>
      <w:r w:rsidR="0003486A" w:rsidRPr="008C6227">
        <w:rPr>
          <w:rFonts w:ascii="Times New Roman" w:hAnsi="Times New Roman" w:cs="Times New Roman"/>
        </w:rPr>
        <w:t>–</w:t>
      </w:r>
      <w:r w:rsidRPr="008C6227">
        <w:rPr>
          <w:rFonts w:ascii="Times New Roman" w:hAnsi="Times New Roman" w:cs="Times New Roman"/>
        </w:rPr>
        <w:t>behavioral interventions designed to guide choices without restricting freedom</w:t>
      </w:r>
      <w:r w:rsidR="0003486A" w:rsidRPr="008C6227">
        <w:rPr>
          <w:rFonts w:ascii="Times New Roman" w:hAnsi="Times New Roman" w:cs="Times New Roman"/>
        </w:rPr>
        <w:t>–</w:t>
      </w:r>
      <w:r w:rsidRPr="008C6227">
        <w:rPr>
          <w:rFonts w:ascii="Times New Roman" w:hAnsi="Times New Roman" w:cs="Times New Roman"/>
        </w:rPr>
        <w:t>is moderated by an individual’s financial literacy and SES, with cognitive load and structural constraints serving as critical mediators. This analysis argues that a nuanced understanding of these interactions necessitates tailored, SES</w:t>
      </w:r>
      <w:r w:rsidR="0003486A" w:rsidRPr="008C6227">
        <w:rPr>
          <w:rFonts w:ascii="Times New Roman" w:hAnsi="Times New Roman" w:cs="Times New Roman"/>
        </w:rPr>
        <w:t>–</w:t>
      </w:r>
      <w:r w:rsidRPr="008C6227">
        <w:rPr>
          <w:rFonts w:ascii="Times New Roman" w:hAnsi="Times New Roman" w:cs="Times New Roman"/>
        </w:rPr>
        <w:t>specific interventions rather than uniform nudge applications, offering a significant contribution to the design of equitable financial policies.</w:t>
      </w:r>
    </w:p>
    <w:p w14:paraId="09E749DF" w14:textId="6B5E7515" w:rsidR="00066D76" w:rsidRPr="008C6227" w:rsidRDefault="00066D76" w:rsidP="008C6227">
      <w:pPr>
        <w:spacing w:line="360" w:lineRule="auto"/>
        <w:jc w:val="both"/>
        <w:rPr>
          <w:rFonts w:ascii="Times New Roman" w:hAnsi="Times New Roman" w:cs="Times New Roman"/>
        </w:rPr>
      </w:pPr>
      <w:r w:rsidRPr="008C6227">
        <w:rPr>
          <w:rFonts w:ascii="Times New Roman" w:hAnsi="Times New Roman" w:cs="Times New Roman"/>
        </w:rPr>
        <w:t>The effectiveness of nudges in improving financial decision</w:t>
      </w:r>
      <w:r w:rsidR="0003486A" w:rsidRPr="008C6227">
        <w:rPr>
          <w:rFonts w:ascii="Times New Roman" w:hAnsi="Times New Roman" w:cs="Times New Roman"/>
        </w:rPr>
        <w:t>–</w:t>
      </w:r>
      <w:r w:rsidRPr="008C6227">
        <w:rPr>
          <w:rFonts w:ascii="Times New Roman" w:hAnsi="Times New Roman" w:cs="Times New Roman"/>
        </w:rPr>
        <w:t>making is significantly influenced by an individual’s financial literacy and socioeconomic status, with cognitive load and structural barriers mediating this relationship. Specifically, high SES individuals, equipped with greater financial literacy and fewer cognitive constraints, respond more effectively to complex, informational nudges, whereas low SES individuals benefit more from simplified nudges that minimize decision</w:t>
      </w:r>
      <w:r w:rsidR="0003486A" w:rsidRPr="008C6227">
        <w:rPr>
          <w:rFonts w:ascii="Times New Roman" w:hAnsi="Times New Roman" w:cs="Times New Roman"/>
        </w:rPr>
        <w:t>–</w:t>
      </w:r>
      <w:r w:rsidRPr="008C6227">
        <w:rPr>
          <w:rFonts w:ascii="Times New Roman" w:hAnsi="Times New Roman" w:cs="Times New Roman"/>
        </w:rPr>
        <w:t xml:space="preserve">making demands. This </w:t>
      </w:r>
      <w:r w:rsidR="00017E0D" w:rsidRPr="008C6227">
        <w:rPr>
          <w:rFonts w:ascii="Times New Roman" w:hAnsi="Times New Roman" w:cs="Times New Roman"/>
        </w:rPr>
        <w:t xml:space="preserve">theoretical framework </w:t>
      </w:r>
      <w:r w:rsidRPr="008C6227">
        <w:rPr>
          <w:rFonts w:ascii="Times New Roman" w:hAnsi="Times New Roman" w:cs="Times New Roman"/>
        </w:rPr>
        <w:t xml:space="preserve">is both concise and debatable, as </w:t>
      </w:r>
      <w:r w:rsidRPr="008C6227">
        <w:rPr>
          <w:rFonts w:ascii="Times New Roman" w:hAnsi="Times New Roman" w:cs="Times New Roman"/>
        </w:rPr>
        <w:lastRenderedPageBreak/>
        <w:t>it challenges the universality of nudge effectiveness and underscores the need for context</w:t>
      </w:r>
      <w:r w:rsidR="0003486A" w:rsidRPr="008C6227">
        <w:rPr>
          <w:rFonts w:ascii="Times New Roman" w:hAnsi="Times New Roman" w:cs="Times New Roman"/>
        </w:rPr>
        <w:t>–</w:t>
      </w:r>
      <w:r w:rsidRPr="008C6227">
        <w:rPr>
          <w:rFonts w:ascii="Times New Roman" w:hAnsi="Times New Roman" w:cs="Times New Roman"/>
        </w:rPr>
        <w:t>specific behavioral interventions, a pressing issue in behavioral economics and finance.</w:t>
      </w:r>
    </w:p>
    <w:p w14:paraId="0909AB49" w14:textId="77777777" w:rsidR="00066D76" w:rsidRPr="008C6227" w:rsidRDefault="00066D76" w:rsidP="008C6227">
      <w:pPr>
        <w:spacing w:line="360" w:lineRule="auto"/>
        <w:jc w:val="both"/>
        <w:rPr>
          <w:rFonts w:ascii="Times New Roman" w:hAnsi="Times New Roman" w:cs="Times New Roman"/>
          <w:b/>
          <w:bCs/>
        </w:rPr>
      </w:pPr>
      <w:r w:rsidRPr="008C6227">
        <w:rPr>
          <w:rFonts w:ascii="Times New Roman" w:hAnsi="Times New Roman" w:cs="Times New Roman"/>
          <w:b/>
          <w:bCs/>
        </w:rPr>
        <w:t>Theoretical Framework and Supporting Arguments</w:t>
      </w:r>
    </w:p>
    <w:p w14:paraId="52FCB6A2" w14:textId="77777777" w:rsidR="00066D76" w:rsidRPr="008C6227" w:rsidRDefault="00066D76" w:rsidP="008C6227">
      <w:pPr>
        <w:spacing w:line="360" w:lineRule="auto"/>
        <w:jc w:val="both"/>
        <w:rPr>
          <w:rFonts w:ascii="Times New Roman" w:hAnsi="Times New Roman" w:cs="Times New Roman"/>
        </w:rPr>
      </w:pPr>
      <w:r w:rsidRPr="008C6227">
        <w:rPr>
          <w:rFonts w:ascii="Times New Roman" w:hAnsi="Times New Roman" w:cs="Times New Roman"/>
        </w:rPr>
        <w:t>Financial literacy, defined as the ability to comprehend and apply financial concepts, fundamentally shapes how individuals interpret and act on financial information and interventions (Lusardi &amp; Mitchell, 2014). Beyond mere knowledge, financial literacy involves practical application, which is often undermined by behavioral biases such as present bias or overconfidence (Tversky &amp; Kahneman, 1974). Research demonstrates that higher financial literacy correlates with improved financial behaviors, such as increased savings rates and better debt management (Lusardi &amp; Mitchell, 2011). However, this capacity is not evenly distributed across populations, as SES influences both the acquisition of financial knowledge and the ability to leverage it effectively, setting the stage for differential responses to nudges.</w:t>
      </w:r>
    </w:p>
    <w:p w14:paraId="43F737A6" w14:textId="172A31BE" w:rsidR="00066D76" w:rsidRPr="008C6227" w:rsidRDefault="00066D76" w:rsidP="008C6227">
      <w:pPr>
        <w:spacing w:line="360" w:lineRule="auto"/>
        <w:jc w:val="both"/>
        <w:rPr>
          <w:rFonts w:ascii="Times New Roman" w:hAnsi="Times New Roman" w:cs="Times New Roman"/>
        </w:rPr>
      </w:pPr>
      <w:r w:rsidRPr="008C6227">
        <w:rPr>
          <w:rFonts w:ascii="Times New Roman" w:hAnsi="Times New Roman" w:cs="Times New Roman"/>
        </w:rPr>
        <w:t>Nudges, as conceptualized by Thaler and Sunstein (2008), are subtle behavioral tools that steer decisions without eliminating choice, such as default enrollment in retirement plans or framing financial options to emphasize long</w:t>
      </w:r>
      <w:r w:rsidR="0003486A" w:rsidRPr="008C6227">
        <w:rPr>
          <w:rFonts w:ascii="Times New Roman" w:hAnsi="Times New Roman" w:cs="Times New Roman"/>
        </w:rPr>
        <w:t>–</w:t>
      </w:r>
      <w:r w:rsidRPr="008C6227">
        <w:rPr>
          <w:rFonts w:ascii="Times New Roman" w:hAnsi="Times New Roman" w:cs="Times New Roman"/>
        </w:rPr>
        <w:t xml:space="preserve">term gains. Their appeal lies in their ability to counteract cognitive biases, yet their effectiveness hinges on design and context. For instance, </w:t>
      </w:r>
      <w:proofErr w:type="spellStart"/>
      <w:r w:rsidRPr="008C6227">
        <w:rPr>
          <w:rFonts w:ascii="Times New Roman" w:hAnsi="Times New Roman" w:cs="Times New Roman"/>
        </w:rPr>
        <w:t>Madrian</w:t>
      </w:r>
      <w:proofErr w:type="spellEnd"/>
      <w:r w:rsidRPr="008C6227">
        <w:rPr>
          <w:rFonts w:ascii="Times New Roman" w:hAnsi="Times New Roman" w:cs="Times New Roman"/>
        </w:rPr>
        <w:t xml:space="preserve"> and Shea (2001) found that default enrollment in 401(k) plans dramatically increased participation, particularly among those less inclined to act independently. However, nudges requiring active engagement</w:t>
      </w:r>
      <w:r w:rsidR="005469E4" w:rsidRPr="008C6227">
        <w:rPr>
          <w:rFonts w:ascii="Times New Roman" w:hAnsi="Times New Roman" w:cs="Times New Roman"/>
        </w:rPr>
        <w:t>–</w:t>
      </w:r>
      <w:r w:rsidRPr="008C6227">
        <w:rPr>
          <w:rFonts w:ascii="Times New Roman" w:hAnsi="Times New Roman" w:cs="Times New Roman"/>
        </w:rPr>
        <w:t>such as interpreting complex investment options</w:t>
      </w:r>
      <w:r w:rsidR="005469E4" w:rsidRPr="008C6227">
        <w:rPr>
          <w:rFonts w:ascii="Times New Roman" w:hAnsi="Times New Roman" w:cs="Times New Roman"/>
        </w:rPr>
        <w:t>–</w:t>
      </w:r>
      <w:r w:rsidRPr="008C6227">
        <w:rPr>
          <w:rFonts w:ascii="Times New Roman" w:hAnsi="Times New Roman" w:cs="Times New Roman"/>
        </w:rPr>
        <w:t>may overwhelm individuals with limited cognitive resources, suggesting that their impact varies systematically with financial literacy and SES.</w:t>
      </w:r>
    </w:p>
    <w:p w14:paraId="7E1EAA20" w14:textId="602CF784" w:rsidR="00066D76" w:rsidRPr="008C6227" w:rsidRDefault="00066D76" w:rsidP="008C6227">
      <w:pPr>
        <w:spacing w:line="360" w:lineRule="auto"/>
        <w:jc w:val="both"/>
        <w:rPr>
          <w:rFonts w:ascii="Times New Roman" w:hAnsi="Times New Roman" w:cs="Times New Roman"/>
        </w:rPr>
      </w:pPr>
      <w:r w:rsidRPr="008C6227">
        <w:rPr>
          <w:rFonts w:ascii="Times New Roman" w:hAnsi="Times New Roman" w:cs="Times New Roman"/>
        </w:rPr>
        <w:t>Socioeconomic status, encompassing income, education, and social class, exerts a profound influence on both cognitive resources and access to financial opportunities (Mani et al., 2013). Lower SES individuals frequently contend with financial stress, which triggers a scarcity mindset</w:t>
      </w:r>
      <w:r w:rsidR="00F85CE3" w:rsidRPr="008C6227">
        <w:rPr>
          <w:rFonts w:ascii="Times New Roman" w:hAnsi="Times New Roman" w:cs="Times New Roman"/>
        </w:rPr>
        <w:t xml:space="preserve">, </w:t>
      </w:r>
      <w:r w:rsidRPr="008C6227">
        <w:rPr>
          <w:rFonts w:ascii="Times New Roman" w:hAnsi="Times New Roman" w:cs="Times New Roman"/>
        </w:rPr>
        <w:t>a cognitive state where immediate survival concerns overshadow long</w:t>
      </w:r>
      <w:r w:rsidR="00F85CE3" w:rsidRPr="008C6227">
        <w:rPr>
          <w:rFonts w:ascii="Times New Roman" w:hAnsi="Times New Roman" w:cs="Times New Roman"/>
        </w:rPr>
        <w:t>–</w:t>
      </w:r>
      <w:r w:rsidRPr="008C6227">
        <w:rPr>
          <w:rFonts w:ascii="Times New Roman" w:hAnsi="Times New Roman" w:cs="Times New Roman"/>
        </w:rPr>
        <w:t>term planning (Mullainathan &amp; Shafir, 2013). This heightened cognitive load impairs decision quality, as evidenced by Haushofer and Fehr (2014), who link poverty</w:t>
      </w:r>
      <w:r w:rsidR="0003486A" w:rsidRPr="008C6227">
        <w:rPr>
          <w:rFonts w:ascii="Times New Roman" w:hAnsi="Times New Roman" w:cs="Times New Roman"/>
        </w:rPr>
        <w:t>–</w:t>
      </w:r>
      <w:r w:rsidRPr="008C6227">
        <w:rPr>
          <w:rFonts w:ascii="Times New Roman" w:hAnsi="Times New Roman" w:cs="Times New Roman"/>
        </w:rPr>
        <w:t xml:space="preserve">induced stress to reduced financial foresight. In contrast, higher SES individuals, with greater educational attainment and financial </w:t>
      </w:r>
      <w:r w:rsidRPr="008C6227">
        <w:rPr>
          <w:rFonts w:ascii="Times New Roman" w:hAnsi="Times New Roman" w:cs="Times New Roman"/>
        </w:rPr>
        <w:lastRenderedPageBreak/>
        <w:t>stability, possess the cognitive bandwidth to process intricate financial information, making them more adept at responding to sophisticated nudges.</w:t>
      </w:r>
    </w:p>
    <w:p w14:paraId="7971911F" w14:textId="001CB500" w:rsidR="00066D76" w:rsidRPr="008C6227" w:rsidRDefault="00066D76" w:rsidP="008C6227">
      <w:pPr>
        <w:spacing w:line="360" w:lineRule="auto"/>
        <w:jc w:val="both"/>
        <w:rPr>
          <w:rFonts w:ascii="Times New Roman" w:hAnsi="Times New Roman" w:cs="Times New Roman"/>
        </w:rPr>
      </w:pPr>
      <w:r w:rsidRPr="008C6227">
        <w:rPr>
          <w:rFonts w:ascii="Times New Roman" w:hAnsi="Times New Roman" w:cs="Times New Roman"/>
        </w:rPr>
        <w:t>The interplay between these factors manifests in distinct nudge response patterns. High SES individuals, benefiting from higher financial literacy and lower cognitive load, excel in navigating informational nudges and complex choice architectures (Benartzi et al., 2017). For example, they may adjust investment portfolios in response to market nudges, optimizing long</w:t>
      </w:r>
      <w:r w:rsidR="0003486A" w:rsidRPr="008C6227">
        <w:rPr>
          <w:rFonts w:ascii="Times New Roman" w:hAnsi="Times New Roman" w:cs="Times New Roman"/>
        </w:rPr>
        <w:t>–</w:t>
      </w:r>
      <w:r w:rsidRPr="008C6227">
        <w:rPr>
          <w:rFonts w:ascii="Times New Roman" w:hAnsi="Times New Roman" w:cs="Times New Roman"/>
        </w:rPr>
        <w:t>term outcomes. Conversely, low SES individuals, burdened by cognitive scarcity and structural barriers such as limited access to financial institutions, respond more favorably to simplified nudges like automatic savings defaults (</w:t>
      </w:r>
      <w:proofErr w:type="spellStart"/>
      <w:r w:rsidRPr="008C6227">
        <w:rPr>
          <w:rFonts w:ascii="Times New Roman" w:hAnsi="Times New Roman" w:cs="Times New Roman"/>
        </w:rPr>
        <w:t>Madrian</w:t>
      </w:r>
      <w:proofErr w:type="spellEnd"/>
      <w:r w:rsidRPr="008C6227">
        <w:rPr>
          <w:rFonts w:ascii="Times New Roman" w:hAnsi="Times New Roman" w:cs="Times New Roman"/>
        </w:rPr>
        <w:t xml:space="preserve"> &amp; Shea, 2001). This divergence underscores the mediating roles of cognitive load and structural constraints, as lower SES individuals face both mental and practical obstacles that higher SES individuals typically avoid.</w:t>
      </w:r>
    </w:p>
    <w:p w14:paraId="14D94A13" w14:textId="4DEDB0E7" w:rsidR="00066D76" w:rsidRPr="008C6227" w:rsidRDefault="00066D76" w:rsidP="008C6227">
      <w:pPr>
        <w:spacing w:line="360" w:lineRule="auto"/>
        <w:jc w:val="both"/>
        <w:rPr>
          <w:rFonts w:ascii="Times New Roman" w:hAnsi="Times New Roman" w:cs="Times New Roman"/>
        </w:rPr>
      </w:pPr>
      <w:r w:rsidRPr="008C6227">
        <w:rPr>
          <w:rFonts w:ascii="Times New Roman" w:hAnsi="Times New Roman" w:cs="Times New Roman"/>
        </w:rPr>
        <w:t>Empirical evidence bolsters this framework. Studies like Mani et al. (2013) demonstrate that poverty</w:t>
      </w:r>
      <w:r w:rsidR="00F85CE3" w:rsidRPr="008C6227">
        <w:rPr>
          <w:rFonts w:ascii="Times New Roman" w:hAnsi="Times New Roman" w:cs="Times New Roman"/>
        </w:rPr>
        <w:t>–</w:t>
      </w:r>
      <w:r w:rsidRPr="008C6227">
        <w:rPr>
          <w:rFonts w:ascii="Times New Roman" w:hAnsi="Times New Roman" w:cs="Times New Roman"/>
        </w:rPr>
        <w:t>related cognitive load diminishes decision</w:t>
      </w:r>
      <w:r w:rsidR="0003486A" w:rsidRPr="008C6227">
        <w:rPr>
          <w:rFonts w:ascii="Times New Roman" w:hAnsi="Times New Roman" w:cs="Times New Roman"/>
        </w:rPr>
        <w:t>–</w:t>
      </w:r>
      <w:r w:rsidRPr="008C6227">
        <w:rPr>
          <w:rFonts w:ascii="Times New Roman" w:hAnsi="Times New Roman" w:cs="Times New Roman"/>
        </w:rPr>
        <w:t xml:space="preserve">making capacity, while Kaiser and </w:t>
      </w:r>
      <w:proofErr w:type="spellStart"/>
      <w:r w:rsidRPr="008C6227">
        <w:rPr>
          <w:rFonts w:ascii="Times New Roman" w:hAnsi="Times New Roman" w:cs="Times New Roman"/>
        </w:rPr>
        <w:t>Menkhoff</w:t>
      </w:r>
      <w:proofErr w:type="spellEnd"/>
      <w:r w:rsidRPr="008C6227">
        <w:rPr>
          <w:rFonts w:ascii="Times New Roman" w:hAnsi="Times New Roman" w:cs="Times New Roman"/>
        </w:rPr>
        <w:t xml:space="preserve"> (2017) reveal that financial education alone yields limited behavioral change without complementary structural support. Default option research further illustrates SES</w:t>
      </w:r>
      <w:r w:rsidR="0003486A" w:rsidRPr="008C6227">
        <w:rPr>
          <w:rFonts w:ascii="Times New Roman" w:hAnsi="Times New Roman" w:cs="Times New Roman"/>
        </w:rPr>
        <w:t>–</w:t>
      </w:r>
      <w:r w:rsidRPr="008C6227">
        <w:rPr>
          <w:rFonts w:ascii="Times New Roman" w:hAnsi="Times New Roman" w:cs="Times New Roman"/>
        </w:rPr>
        <w:t>specific effects: lower</w:t>
      </w:r>
      <w:r w:rsidR="0003486A" w:rsidRPr="008C6227">
        <w:rPr>
          <w:rFonts w:ascii="Times New Roman" w:hAnsi="Times New Roman" w:cs="Times New Roman"/>
        </w:rPr>
        <w:t>–</w:t>
      </w:r>
      <w:r w:rsidRPr="008C6227">
        <w:rPr>
          <w:rFonts w:ascii="Times New Roman" w:hAnsi="Times New Roman" w:cs="Times New Roman"/>
        </w:rPr>
        <w:t>income individuals exhibit higher uptake of automated savings plans, bypassing literacy and attention deficits (Choi et al., 2004). Meanwhile, higher</w:t>
      </w:r>
      <w:r w:rsidR="0003486A" w:rsidRPr="008C6227">
        <w:rPr>
          <w:rFonts w:ascii="Times New Roman" w:hAnsi="Times New Roman" w:cs="Times New Roman"/>
        </w:rPr>
        <w:t>–</w:t>
      </w:r>
      <w:r w:rsidRPr="008C6227">
        <w:rPr>
          <w:rFonts w:ascii="Times New Roman" w:hAnsi="Times New Roman" w:cs="Times New Roman"/>
        </w:rPr>
        <w:t>income individuals leverage detailed nudges to refine their financial strategies, highlighting the need for segmentation in intervention design.</w:t>
      </w:r>
    </w:p>
    <w:p w14:paraId="6EFB7F76" w14:textId="1C185186" w:rsidR="00066D76" w:rsidRPr="008C6227" w:rsidRDefault="00066D76" w:rsidP="008C6227">
      <w:pPr>
        <w:spacing w:line="360" w:lineRule="auto"/>
        <w:jc w:val="both"/>
        <w:rPr>
          <w:rFonts w:ascii="Times New Roman" w:hAnsi="Times New Roman" w:cs="Times New Roman"/>
        </w:rPr>
      </w:pPr>
      <w:r w:rsidRPr="008C6227">
        <w:rPr>
          <w:rFonts w:ascii="Times New Roman" w:hAnsi="Times New Roman" w:cs="Times New Roman"/>
        </w:rPr>
        <w:t>This analysis yields a critical insight: effective financial interventions must be tailored to SES</w:t>
      </w:r>
      <w:r w:rsidR="0003486A" w:rsidRPr="008C6227">
        <w:rPr>
          <w:rFonts w:ascii="Times New Roman" w:hAnsi="Times New Roman" w:cs="Times New Roman"/>
        </w:rPr>
        <w:t>–</w:t>
      </w:r>
      <w:r w:rsidRPr="008C6227">
        <w:rPr>
          <w:rFonts w:ascii="Times New Roman" w:hAnsi="Times New Roman" w:cs="Times New Roman"/>
        </w:rPr>
        <w:t>specific contexts. Retirement savings programs, for instance, could employ default enrollment to ensure participation among lower</w:t>
      </w:r>
      <w:r w:rsidR="0003486A" w:rsidRPr="008C6227">
        <w:rPr>
          <w:rFonts w:ascii="Times New Roman" w:hAnsi="Times New Roman" w:cs="Times New Roman"/>
        </w:rPr>
        <w:t>–</w:t>
      </w:r>
      <w:r w:rsidRPr="008C6227">
        <w:rPr>
          <w:rFonts w:ascii="Times New Roman" w:hAnsi="Times New Roman" w:cs="Times New Roman"/>
        </w:rPr>
        <w:t>income workers, while offering higher</w:t>
      </w:r>
      <w:r w:rsidR="0003486A" w:rsidRPr="008C6227">
        <w:rPr>
          <w:rFonts w:ascii="Times New Roman" w:hAnsi="Times New Roman" w:cs="Times New Roman"/>
        </w:rPr>
        <w:t>–</w:t>
      </w:r>
      <w:r w:rsidRPr="008C6227">
        <w:rPr>
          <w:rFonts w:ascii="Times New Roman" w:hAnsi="Times New Roman" w:cs="Times New Roman"/>
        </w:rPr>
        <w:t>income individuals customizable investment options. Integrating financial education with practical nudges—such as budgeting apps with automated savings prompts—could bridge knowledge and behavioral gaps, particularly for low SES groups (Fernandes et al., 2014). Technology offers promise here, yet its skewed adoption toward higher SES individuals necessitates equitable access strategies, such as subsidized digital tools or offline alternatives, to mitigate the digital divide (Buchak et al., 2018).</w:t>
      </w:r>
    </w:p>
    <w:p w14:paraId="4155B36D" w14:textId="467326FC" w:rsidR="00066D76" w:rsidRPr="008C6227" w:rsidRDefault="00066D76" w:rsidP="008C6227">
      <w:pPr>
        <w:spacing w:line="360" w:lineRule="auto"/>
        <w:jc w:val="both"/>
        <w:rPr>
          <w:rFonts w:ascii="Times New Roman" w:hAnsi="Times New Roman" w:cs="Times New Roman"/>
        </w:rPr>
      </w:pPr>
      <w:r w:rsidRPr="008C6227">
        <w:rPr>
          <w:rFonts w:ascii="Times New Roman" w:hAnsi="Times New Roman" w:cs="Times New Roman"/>
        </w:rPr>
        <w:t xml:space="preserve">Trust and cultural factors further complicate nudge effectiveness. Lower SES individuals may harbor skepticism toward institutional nudges due to historical exclusion or distrust of financial </w:t>
      </w:r>
      <w:r w:rsidRPr="008C6227">
        <w:rPr>
          <w:rFonts w:ascii="Times New Roman" w:hAnsi="Times New Roman" w:cs="Times New Roman"/>
        </w:rPr>
        <w:lastRenderedPageBreak/>
        <w:t>systems (Bertrand et al., 2006). In collectivist cultures, financial decisions may prioritize communal norms over individual incentives, necessitating culturally sensitive designs (Hofstede, 1980). Community</w:t>
      </w:r>
      <w:r w:rsidR="0003486A" w:rsidRPr="008C6227">
        <w:rPr>
          <w:rFonts w:ascii="Times New Roman" w:hAnsi="Times New Roman" w:cs="Times New Roman"/>
        </w:rPr>
        <w:t>–</w:t>
      </w:r>
      <w:r w:rsidRPr="008C6227">
        <w:rPr>
          <w:rFonts w:ascii="Times New Roman" w:hAnsi="Times New Roman" w:cs="Times New Roman"/>
        </w:rPr>
        <w:t>based approaches, such as partnering with local organizations, could enhance trust and uptake among these groups, amplifying nudge impact.</w:t>
      </w:r>
    </w:p>
    <w:p w14:paraId="0FD12342" w14:textId="77777777" w:rsidR="00066D76" w:rsidRPr="008C6227" w:rsidRDefault="00066D76" w:rsidP="008C6227">
      <w:pPr>
        <w:spacing w:line="360" w:lineRule="auto"/>
        <w:jc w:val="both"/>
        <w:rPr>
          <w:rFonts w:ascii="Times New Roman" w:hAnsi="Times New Roman" w:cs="Times New Roman"/>
          <w:b/>
          <w:bCs/>
        </w:rPr>
      </w:pPr>
      <w:r w:rsidRPr="008C6227">
        <w:rPr>
          <w:rFonts w:ascii="Times New Roman" w:hAnsi="Times New Roman" w:cs="Times New Roman"/>
          <w:b/>
          <w:bCs/>
        </w:rPr>
        <w:t>Addressing Counterarguments</w:t>
      </w:r>
    </w:p>
    <w:p w14:paraId="65425977" w14:textId="30292546" w:rsidR="00066D76" w:rsidRPr="008C6227" w:rsidRDefault="00066D76" w:rsidP="008C6227">
      <w:pPr>
        <w:spacing w:line="360" w:lineRule="auto"/>
        <w:jc w:val="both"/>
        <w:rPr>
          <w:rFonts w:ascii="Times New Roman" w:hAnsi="Times New Roman" w:cs="Times New Roman"/>
        </w:rPr>
      </w:pPr>
      <w:r w:rsidRPr="008C6227">
        <w:rPr>
          <w:rFonts w:ascii="Times New Roman" w:hAnsi="Times New Roman" w:cs="Times New Roman"/>
        </w:rPr>
        <w:t>Critics might contend that nudges, rooted in universal behavioral principles, should function uniformly across all individuals, rendering SES considerations secondary. While the foundational mechanisms of nudges—such as loss aversion—are indeed broadly applicable, their practical efficacy varies with contextual factors like cognitive load and literacy (Sunstein, 2014). For example, default nudges universally increase savings plan participation, but the effect is magnified among lower SES groups facing decision</w:t>
      </w:r>
      <w:r w:rsidR="0003486A" w:rsidRPr="008C6227">
        <w:rPr>
          <w:rFonts w:ascii="Times New Roman" w:hAnsi="Times New Roman" w:cs="Times New Roman"/>
        </w:rPr>
        <w:t>–</w:t>
      </w:r>
      <w:r w:rsidRPr="008C6227">
        <w:rPr>
          <w:rFonts w:ascii="Times New Roman" w:hAnsi="Times New Roman" w:cs="Times New Roman"/>
        </w:rPr>
        <w:t>making barriers (</w:t>
      </w:r>
      <w:proofErr w:type="spellStart"/>
      <w:r w:rsidRPr="008C6227">
        <w:rPr>
          <w:rFonts w:ascii="Times New Roman" w:hAnsi="Times New Roman" w:cs="Times New Roman"/>
        </w:rPr>
        <w:t>Madrian</w:t>
      </w:r>
      <w:proofErr w:type="spellEnd"/>
      <w:r w:rsidRPr="008C6227">
        <w:rPr>
          <w:rFonts w:ascii="Times New Roman" w:hAnsi="Times New Roman" w:cs="Times New Roman"/>
        </w:rPr>
        <w:t xml:space="preserve"> &amp; Shea, 2001). This suggests that universality in theory does not translate to uniformity in practice, supporting the need for tailored applications.</w:t>
      </w:r>
    </w:p>
    <w:p w14:paraId="3D6F16CD" w14:textId="126FCFC4" w:rsidR="00066D76" w:rsidRPr="008C6227" w:rsidRDefault="00066D76" w:rsidP="008C6227">
      <w:pPr>
        <w:spacing w:line="360" w:lineRule="auto"/>
        <w:jc w:val="both"/>
        <w:rPr>
          <w:rFonts w:ascii="Times New Roman" w:hAnsi="Times New Roman" w:cs="Times New Roman"/>
        </w:rPr>
      </w:pPr>
      <w:r w:rsidRPr="008C6227">
        <w:rPr>
          <w:rFonts w:ascii="Times New Roman" w:hAnsi="Times New Roman" w:cs="Times New Roman"/>
        </w:rPr>
        <w:t>Another critique could argue that emphasizing SES oversimplifies individual variation within groups, such as a financially literate low</w:t>
      </w:r>
      <w:r w:rsidR="0003486A" w:rsidRPr="008C6227">
        <w:rPr>
          <w:rFonts w:ascii="Times New Roman" w:hAnsi="Times New Roman" w:cs="Times New Roman"/>
        </w:rPr>
        <w:t>–</w:t>
      </w:r>
      <w:r w:rsidRPr="008C6227">
        <w:rPr>
          <w:rFonts w:ascii="Times New Roman" w:hAnsi="Times New Roman" w:cs="Times New Roman"/>
        </w:rPr>
        <w:t>income person outperforming a high</w:t>
      </w:r>
      <w:r w:rsidR="0003486A" w:rsidRPr="008C6227">
        <w:rPr>
          <w:rFonts w:ascii="Times New Roman" w:hAnsi="Times New Roman" w:cs="Times New Roman"/>
        </w:rPr>
        <w:t>–</w:t>
      </w:r>
      <w:r w:rsidRPr="008C6227">
        <w:rPr>
          <w:rFonts w:ascii="Times New Roman" w:hAnsi="Times New Roman" w:cs="Times New Roman"/>
        </w:rPr>
        <w:t>income counterpart with poor literacy. While acknowledging this heterogeneity, SES remains a robust predictor of cognitive and structural constraints (Mani et al., 2013). Intervention design must balance group</w:t>
      </w:r>
      <w:r w:rsidR="0003486A" w:rsidRPr="008C6227">
        <w:rPr>
          <w:rFonts w:ascii="Times New Roman" w:hAnsi="Times New Roman" w:cs="Times New Roman"/>
        </w:rPr>
        <w:t>–</w:t>
      </w:r>
      <w:r w:rsidRPr="008C6227">
        <w:rPr>
          <w:rFonts w:ascii="Times New Roman" w:hAnsi="Times New Roman" w:cs="Times New Roman"/>
        </w:rPr>
        <w:t>level trends with flexibility for individual differences, using SES as a foundational lens rather than an exhaustive determinant.</w:t>
      </w:r>
    </w:p>
    <w:p w14:paraId="69CA97E1" w14:textId="7693A3F8" w:rsidR="00066D76" w:rsidRPr="008C6227" w:rsidRDefault="00DC73AB" w:rsidP="008C6227">
      <w:pPr>
        <w:spacing w:line="360" w:lineRule="auto"/>
        <w:jc w:val="both"/>
        <w:rPr>
          <w:rFonts w:ascii="Times New Roman" w:hAnsi="Times New Roman" w:cs="Times New Roman"/>
          <w:b/>
          <w:bCs/>
        </w:rPr>
      </w:pPr>
      <w:r w:rsidRPr="008C6227">
        <w:rPr>
          <w:rFonts w:ascii="Times New Roman" w:hAnsi="Times New Roman" w:cs="Times New Roman"/>
          <w:b/>
          <w:bCs/>
        </w:rPr>
        <w:t>Final Thoughts</w:t>
      </w:r>
    </w:p>
    <w:p w14:paraId="1C3171AD" w14:textId="1472F06E" w:rsidR="00066D76" w:rsidRDefault="00066D76" w:rsidP="008C6227">
      <w:pPr>
        <w:spacing w:line="360" w:lineRule="auto"/>
        <w:jc w:val="both"/>
        <w:rPr>
          <w:rFonts w:ascii="Times New Roman" w:hAnsi="Times New Roman" w:cs="Times New Roman"/>
        </w:rPr>
      </w:pPr>
      <w:r w:rsidRPr="008C6227">
        <w:rPr>
          <w:rFonts w:ascii="Times New Roman" w:hAnsi="Times New Roman" w:cs="Times New Roman"/>
        </w:rPr>
        <w:t xml:space="preserve">The interplay between financial literacy, nudges, and SES reveals that nudge effectiveness is not a monolith but a function of individual and contextual factors. High SES individuals thrive with complex nudges, leveraging their resources, while low SES individuals benefit from simplified interventions that ease cognitive and structural burdens. Tailoring nudges to these realities, supported by empirical evidence and theoretical rigor, offers a pathway to more equitable and effective financial policies. This </w:t>
      </w:r>
      <w:r w:rsidR="00E23871" w:rsidRPr="008C6227">
        <w:rPr>
          <w:rFonts w:ascii="Times New Roman" w:hAnsi="Times New Roman" w:cs="Times New Roman"/>
        </w:rPr>
        <w:t>frame</w:t>
      </w:r>
      <w:r w:rsidR="00DC73AB" w:rsidRPr="008C6227">
        <w:rPr>
          <w:rFonts w:ascii="Times New Roman" w:hAnsi="Times New Roman" w:cs="Times New Roman"/>
        </w:rPr>
        <w:t>work</w:t>
      </w:r>
      <w:r w:rsidRPr="008C6227">
        <w:rPr>
          <w:rFonts w:ascii="Times New Roman" w:hAnsi="Times New Roman" w:cs="Times New Roman"/>
        </w:rPr>
        <w:t xml:space="preserve"> not only withstands critique but also advances the field by highlighting the necessity of segmentation, urging policymakers to move beyond one</w:t>
      </w:r>
      <w:r w:rsidR="0003486A" w:rsidRPr="008C6227">
        <w:rPr>
          <w:rFonts w:ascii="Times New Roman" w:hAnsi="Times New Roman" w:cs="Times New Roman"/>
        </w:rPr>
        <w:t>–</w:t>
      </w:r>
      <w:r w:rsidRPr="008C6227">
        <w:rPr>
          <w:rFonts w:ascii="Times New Roman" w:hAnsi="Times New Roman" w:cs="Times New Roman"/>
        </w:rPr>
        <w:t>size</w:t>
      </w:r>
      <w:r w:rsidR="0003486A" w:rsidRPr="008C6227">
        <w:rPr>
          <w:rFonts w:ascii="Times New Roman" w:hAnsi="Times New Roman" w:cs="Times New Roman"/>
        </w:rPr>
        <w:t>–</w:t>
      </w:r>
      <w:r w:rsidRPr="008C6227">
        <w:rPr>
          <w:rFonts w:ascii="Times New Roman" w:hAnsi="Times New Roman" w:cs="Times New Roman"/>
        </w:rPr>
        <w:t>fits</w:t>
      </w:r>
      <w:r w:rsidR="0003486A" w:rsidRPr="008C6227">
        <w:rPr>
          <w:rFonts w:ascii="Times New Roman" w:hAnsi="Times New Roman" w:cs="Times New Roman"/>
        </w:rPr>
        <w:t>–</w:t>
      </w:r>
      <w:r w:rsidRPr="008C6227">
        <w:rPr>
          <w:rFonts w:ascii="Times New Roman" w:hAnsi="Times New Roman" w:cs="Times New Roman"/>
        </w:rPr>
        <w:t>all solutions toward inclusive, context</w:t>
      </w:r>
      <w:r w:rsidR="0003486A" w:rsidRPr="008C6227">
        <w:rPr>
          <w:rFonts w:ascii="Times New Roman" w:hAnsi="Times New Roman" w:cs="Times New Roman"/>
        </w:rPr>
        <w:t>–</w:t>
      </w:r>
      <w:r w:rsidRPr="008C6227">
        <w:rPr>
          <w:rFonts w:ascii="Times New Roman" w:hAnsi="Times New Roman" w:cs="Times New Roman"/>
        </w:rPr>
        <w:t>driven strategies.</w:t>
      </w:r>
    </w:p>
    <w:p w14:paraId="416F11F8" w14:textId="77777777" w:rsidR="00DD2A65" w:rsidRPr="008C6227" w:rsidRDefault="00DD2A65" w:rsidP="008C6227">
      <w:pPr>
        <w:spacing w:line="360" w:lineRule="auto"/>
        <w:jc w:val="both"/>
        <w:rPr>
          <w:rFonts w:ascii="Times New Roman" w:hAnsi="Times New Roman" w:cs="Times New Roman"/>
        </w:rPr>
      </w:pPr>
    </w:p>
    <w:p w14:paraId="0F0C4053" w14:textId="27543EAD" w:rsidR="00EF2EB4" w:rsidRPr="008C6227" w:rsidRDefault="00DD2A65" w:rsidP="008C6227">
      <w:pPr>
        <w:spacing w:line="360" w:lineRule="auto"/>
        <w:jc w:val="both"/>
        <w:rPr>
          <w:rFonts w:ascii="Times New Roman" w:hAnsi="Times New Roman" w:cs="Times New Roman"/>
          <w:b/>
          <w:bCs/>
        </w:rPr>
      </w:pPr>
      <w:r w:rsidRPr="008C6227">
        <w:rPr>
          <w:rFonts w:ascii="Times New Roman" w:hAnsi="Times New Roman" w:cs="Times New Roman"/>
          <w:b/>
          <w:bCs/>
        </w:rPr>
        <w:lastRenderedPageBreak/>
        <w:t xml:space="preserve">4. Conclusion </w:t>
      </w:r>
      <w:r>
        <w:rPr>
          <w:rFonts w:ascii="Times New Roman" w:hAnsi="Times New Roman" w:cs="Times New Roman"/>
          <w:b/>
          <w:bCs/>
        </w:rPr>
        <w:t>a</w:t>
      </w:r>
      <w:r w:rsidRPr="008C6227">
        <w:rPr>
          <w:rFonts w:ascii="Times New Roman" w:hAnsi="Times New Roman" w:cs="Times New Roman"/>
          <w:b/>
          <w:bCs/>
        </w:rPr>
        <w:t>nd Implications</w:t>
      </w:r>
    </w:p>
    <w:p w14:paraId="3377A05D" w14:textId="60D8D79C" w:rsidR="00F0366A" w:rsidRPr="008C6227" w:rsidRDefault="00F0366A" w:rsidP="008C6227">
      <w:pPr>
        <w:spacing w:line="360" w:lineRule="auto"/>
        <w:jc w:val="both"/>
        <w:rPr>
          <w:rFonts w:ascii="Times New Roman" w:hAnsi="Times New Roman" w:cs="Times New Roman"/>
        </w:rPr>
      </w:pPr>
      <w:r w:rsidRPr="008C6227">
        <w:rPr>
          <w:rFonts w:ascii="Times New Roman" w:hAnsi="Times New Roman" w:cs="Times New Roman"/>
        </w:rPr>
        <w:t>This essay establishes that financial literacy and the effectiveness of nudges in shaping financial decision</w:t>
      </w:r>
      <w:r w:rsidR="0003486A" w:rsidRPr="008C6227">
        <w:rPr>
          <w:rFonts w:ascii="Times New Roman" w:hAnsi="Times New Roman" w:cs="Times New Roman"/>
        </w:rPr>
        <w:t>–</w:t>
      </w:r>
      <w:r w:rsidRPr="008C6227">
        <w:rPr>
          <w:rFonts w:ascii="Times New Roman" w:hAnsi="Times New Roman" w:cs="Times New Roman"/>
        </w:rPr>
        <w:t>making are profoundly influenced by social class and family income. The proposed theoretical framework illuminates how cognitive load, structural barriers, and varying levels of financial literacy mediate the impact of nudges, underscoring the necessity of tailored interventions over universal, one</w:t>
      </w:r>
      <w:r w:rsidR="0003486A" w:rsidRPr="008C6227">
        <w:rPr>
          <w:rFonts w:ascii="Times New Roman" w:hAnsi="Times New Roman" w:cs="Times New Roman"/>
        </w:rPr>
        <w:t>–</w:t>
      </w:r>
      <w:r w:rsidRPr="008C6227">
        <w:rPr>
          <w:rFonts w:ascii="Times New Roman" w:hAnsi="Times New Roman" w:cs="Times New Roman"/>
        </w:rPr>
        <w:t>size</w:t>
      </w:r>
      <w:r w:rsidR="0003486A" w:rsidRPr="008C6227">
        <w:rPr>
          <w:rFonts w:ascii="Times New Roman" w:hAnsi="Times New Roman" w:cs="Times New Roman"/>
        </w:rPr>
        <w:t>–</w:t>
      </w:r>
      <w:r w:rsidRPr="008C6227">
        <w:rPr>
          <w:rFonts w:ascii="Times New Roman" w:hAnsi="Times New Roman" w:cs="Times New Roman"/>
        </w:rPr>
        <w:t>fits</w:t>
      </w:r>
      <w:r w:rsidR="0003486A" w:rsidRPr="008C6227">
        <w:rPr>
          <w:rFonts w:ascii="Times New Roman" w:hAnsi="Times New Roman" w:cs="Times New Roman"/>
        </w:rPr>
        <w:t>–</w:t>
      </w:r>
      <w:r w:rsidRPr="008C6227">
        <w:rPr>
          <w:rFonts w:ascii="Times New Roman" w:hAnsi="Times New Roman" w:cs="Times New Roman"/>
        </w:rPr>
        <w:t>all designs. This section advances a specific thesis: tailored nudge interventions, calibrated to socioeconomic status (SES) and financial literacy, significantly enhance financial decision</w:t>
      </w:r>
      <w:r w:rsidR="0003486A" w:rsidRPr="008C6227">
        <w:rPr>
          <w:rFonts w:ascii="Times New Roman" w:hAnsi="Times New Roman" w:cs="Times New Roman"/>
        </w:rPr>
        <w:t>–</w:t>
      </w:r>
      <w:r w:rsidRPr="008C6227">
        <w:rPr>
          <w:rFonts w:ascii="Times New Roman" w:hAnsi="Times New Roman" w:cs="Times New Roman"/>
        </w:rPr>
        <w:t>making outcomes compared to uniform nudge strategies, offering a pathway to greater financial inclusion and equity. This thesis is concise, debatable, and significant, as it challenges the prevailing assumption of nudge universality and emphasizes the need for context</w:t>
      </w:r>
      <w:r w:rsidR="0003486A" w:rsidRPr="008C6227">
        <w:rPr>
          <w:rFonts w:ascii="Times New Roman" w:hAnsi="Times New Roman" w:cs="Times New Roman"/>
        </w:rPr>
        <w:t>–</w:t>
      </w:r>
      <w:r w:rsidRPr="008C6227">
        <w:rPr>
          <w:rFonts w:ascii="Times New Roman" w:hAnsi="Times New Roman" w:cs="Times New Roman"/>
        </w:rPr>
        <w:t>sensitive policies in behavioral economics and finance.</w:t>
      </w:r>
    </w:p>
    <w:p w14:paraId="0F4FEB6D" w14:textId="1F0463FE" w:rsidR="00F0366A" w:rsidRPr="008C6227" w:rsidRDefault="00F0366A" w:rsidP="008C6227">
      <w:pPr>
        <w:spacing w:line="360" w:lineRule="auto"/>
        <w:jc w:val="both"/>
        <w:rPr>
          <w:rFonts w:ascii="Times New Roman" w:hAnsi="Times New Roman" w:cs="Times New Roman"/>
        </w:rPr>
      </w:pPr>
      <w:r w:rsidRPr="008C6227">
        <w:rPr>
          <w:rFonts w:ascii="Times New Roman" w:hAnsi="Times New Roman" w:cs="Times New Roman"/>
        </w:rPr>
        <w:t>The argument for tailored nudges rests on the differential responses observed across SES groups. Lower SES individuals, often constrained by financial scarcity and limited literacy, benefit most from simplified nudges, such as default enrollment in savings plans, which reduce cognitive demands and bypass structural barriers (</w:t>
      </w:r>
      <w:proofErr w:type="spellStart"/>
      <w:r w:rsidRPr="008C6227">
        <w:rPr>
          <w:rFonts w:ascii="Times New Roman" w:hAnsi="Times New Roman" w:cs="Times New Roman"/>
        </w:rPr>
        <w:t>Madrian</w:t>
      </w:r>
      <w:proofErr w:type="spellEnd"/>
      <w:r w:rsidRPr="008C6227">
        <w:rPr>
          <w:rFonts w:ascii="Times New Roman" w:hAnsi="Times New Roman" w:cs="Times New Roman"/>
        </w:rPr>
        <w:t xml:space="preserve"> &amp; Shea, 2001). Higher SES individuals, equipped with greater financial knowledge and cognitive bandwidth, respond effectively to complex, informational nudges that enable optimized financial planning (Benartzi et al., 2017). Empirical evidence supports this segmentation: studies demonstrate that default options increase retirement plan participation by up to 50% among lower</w:t>
      </w:r>
      <w:r w:rsidR="0003486A" w:rsidRPr="008C6227">
        <w:rPr>
          <w:rFonts w:ascii="Times New Roman" w:hAnsi="Times New Roman" w:cs="Times New Roman"/>
        </w:rPr>
        <w:t>–</w:t>
      </w:r>
      <w:r w:rsidRPr="008C6227">
        <w:rPr>
          <w:rFonts w:ascii="Times New Roman" w:hAnsi="Times New Roman" w:cs="Times New Roman"/>
        </w:rPr>
        <w:t>income workers, while higher</w:t>
      </w:r>
      <w:r w:rsidR="0003486A" w:rsidRPr="008C6227">
        <w:rPr>
          <w:rFonts w:ascii="Times New Roman" w:hAnsi="Times New Roman" w:cs="Times New Roman"/>
        </w:rPr>
        <w:t>–</w:t>
      </w:r>
      <w:r w:rsidRPr="008C6227">
        <w:rPr>
          <w:rFonts w:ascii="Times New Roman" w:hAnsi="Times New Roman" w:cs="Times New Roman"/>
        </w:rPr>
        <w:t>income individuals leverage detailed nudges to diversify investments (Choi et al., 2004; Lusardi &amp; Mitchell, 2011). This divergence highlights the critical role of SES in shaping nudge efficacy, reinforcing the need for interventions that account for socioeconomic realities.</w:t>
      </w:r>
    </w:p>
    <w:p w14:paraId="08076DB2" w14:textId="3E4CE7EA" w:rsidR="00F0366A" w:rsidRPr="008C6227" w:rsidRDefault="00F0366A" w:rsidP="008C6227">
      <w:pPr>
        <w:spacing w:line="360" w:lineRule="auto"/>
        <w:jc w:val="both"/>
        <w:rPr>
          <w:rFonts w:ascii="Times New Roman" w:hAnsi="Times New Roman" w:cs="Times New Roman"/>
        </w:rPr>
      </w:pPr>
      <w:r w:rsidRPr="008C6227">
        <w:rPr>
          <w:rFonts w:ascii="Times New Roman" w:hAnsi="Times New Roman" w:cs="Times New Roman"/>
        </w:rPr>
        <w:t>Policy implications flow directly from this framework. Segmenting nudge strategies—employing defaults for lower SES groups and informational prompts for higher SES groups—can maximize effectiveness across populations. Integrating these nudges with accessible financial education, such as interactive budgeting tools or community</w:t>
      </w:r>
      <w:r w:rsidR="0003486A" w:rsidRPr="008C6227">
        <w:rPr>
          <w:rFonts w:ascii="Times New Roman" w:hAnsi="Times New Roman" w:cs="Times New Roman"/>
        </w:rPr>
        <w:t>–</w:t>
      </w:r>
      <w:r w:rsidRPr="008C6227">
        <w:rPr>
          <w:rFonts w:ascii="Times New Roman" w:hAnsi="Times New Roman" w:cs="Times New Roman"/>
        </w:rPr>
        <w:t xml:space="preserve">based workshops, addresses both knowledge deficits and behavioral biases, particularly for low SES individuals (Fernandes et al., 2014). Technology, while a powerful vehicle for delivering personalized nudges, must be democratized to bridge the digital divide. Subsidized access to financial apps or offline alternatives can ensure equitable adoption, countering the current skew toward higher SES users (Buchak et al., 2018). Moreover, </w:t>
      </w:r>
      <w:r w:rsidRPr="008C6227">
        <w:rPr>
          <w:rFonts w:ascii="Times New Roman" w:hAnsi="Times New Roman" w:cs="Times New Roman"/>
        </w:rPr>
        <w:lastRenderedPageBreak/>
        <w:t>addressing trust and cultural factors is paramount. Lower SES groups may resist institutional nudges due to historical distrust, necessitating community</w:t>
      </w:r>
      <w:r w:rsidR="0003486A" w:rsidRPr="008C6227">
        <w:rPr>
          <w:rFonts w:ascii="Times New Roman" w:hAnsi="Times New Roman" w:cs="Times New Roman"/>
        </w:rPr>
        <w:t>–</w:t>
      </w:r>
      <w:r w:rsidRPr="008C6227">
        <w:rPr>
          <w:rFonts w:ascii="Times New Roman" w:hAnsi="Times New Roman" w:cs="Times New Roman"/>
        </w:rPr>
        <w:t>driven approaches that leverage local networks to enhance credibility (Bertrand et al., 2006). Cultural sensitivity, such as aligning nudges with collectivist values in certain communities, further amplifies their impact (Hofstede, 1980).</w:t>
      </w:r>
    </w:p>
    <w:p w14:paraId="200808E1" w14:textId="68633410" w:rsidR="00F0366A" w:rsidRPr="008C6227" w:rsidRDefault="00F0366A" w:rsidP="008C6227">
      <w:pPr>
        <w:spacing w:line="360" w:lineRule="auto"/>
        <w:jc w:val="both"/>
        <w:rPr>
          <w:rFonts w:ascii="Times New Roman" w:hAnsi="Times New Roman" w:cs="Times New Roman"/>
        </w:rPr>
      </w:pPr>
      <w:r w:rsidRPr="008C6227">
        <w:rPr>
          <w:rFonts w:ascii="Times New Roman" w:hAnsi="Times New Roman" w:cs="Times New Roman"/>
        </w:rPr>
        <w:t>The significance of this thesis extends beyond immediate policy design to broader societal outcomes. Tailored nudges can reduce financial inequality by empowering lower SES individuals to make sound decisions, thereby narrowing wealth gaps. For instance, increasing savings rates among low</w:t>
      </w:r>
      <w:r w:rsidR="0003486A" w:rsidRPr="008C6227">
        <w:rPr>
          <w:rFonts w:ascii="Times New Roman" w:hAnsi="Times New Roman" w:cs="Times New Roman"/>
        </w:rPr>
        <w:t>–</w:t>
      </w:r>
      <w:r w:rsidRPr="008C6227">
        <w:rPr>
          <w:rFonts w:ascii="Times New Roman" w:hAnsi="Times New Roman" w:cs="Times New Roman"/>
        </w:rPr>
        <w:t>income households through defaults can enhance long</w:t>
      </w:r>
      <w:r w:rsidR="0003486A" w:rsidRPr="008C6227">
        <w:rPr>
          <w:rFonts w:ascii="Times New Roman" w:hAnsi="Times New Roman" w:cs="Times New Roman"/>
        </w:rPr>
        <w:t>–</w:t>
      </w:r>
      <w:r w:rsidRPr="008C6227">
        <w:rPr>
          <w:rFonts w:ascii="Times New Roman" w:hAnsi="Times New Roman" w:cs="Times New Roman"/>
        </w:rPr>
        <w:t>term financial security, a critical step toward economic mobility (Piketty, 2014). Simultaneously, enabling higher SES individuals to optimize complex financial choices supports economic efficiency, benefiting both individuals and markets. This dual approach aligns with the principles of financial inclusion, ensuring that behavioral interventions serve all segments of society equitably.</w:t>
      </w:r>
    </w:p>
    <w:p w14:paraId="6F495097" w14:textId="7341210C" w:rsidR="00F0366A" w:rsidRPr="008C6227" w:rsidRDefault="00F0366A" w:rsidP="008C6227">
      <w:pPr>
        <w:spacing w:line="360" w:lineRule="auto"/>
        <w:jc w:val="both"/>
        <w:rPr>
          <w:rFonts w:ascii="Times New Roman" w:hAnsi="Times New Roman" w:cs="Times New Roman"/>
        </w:rPr>
      </w:pPr>
      <w:r w:rsidRPr="008C6227">
        <w:rPr>
          <w:rFonts w:ascii="Times New Roman" w:hAnsi="Times New Roman" w:cs="Times New Roman"/>
        </w:rPr>
        <w:t>Counterarguments merit careful consideration. Some scholars may argue that uniform nudges, grounded in universal behavioral principles like loss aversion, are sufficient and that SES</w:t>
      </w:r>
      <w:r w:rsidR="0003486A" w:rsidRPr="008C6227">
        <w:rPr>
          <w:rFonts w:ascii="Times New Roman" w:hAnsi="Times New Roman" w:cs="Times New Roman"/>
        </w:rPr>
        <w:t>–</w:t>
      </w:r>
      <w:r w:rsidRPr="008C6227">
        <w:rPr>
          <w:rFonts w:ascii="Times New Roman" w:hAnsi="Times New Roman" w:cs="Times New Roman"/>
        </w:rPr>
        <w:t>specific tailoring adds unnecessary complexity. While universal nudges can yield broad effects, their impact is demonstrably uneven across SES groups, with lower SES individuals often failing to engage with complex interventions due to cognitive and structural constraints (Sunstein, 2014; Mani et al., 2013). Tailoring nudges does not negate their universal foundations but enhances their practical efficacy, as evidenced by the superior outcomes of default strategies for low SES groups (</w:t>
      </w:r>
      <w:proofErr w:type="spellStart"/>
      <w:r w:rsidRPr="008C6227">
        <w:rPr>
          <w:rFonts w:ascii="Times New Roman" w:hAnsi="Times New Roman" w:cs="Times New Roman"/>
        </w:rPr>
        <w:t>Madrian</w:t>
      </w:r>
      <w:proofErr w:type="spellEnd"/>
      <w:r w:rsidRPr="008C6227">
        <w:rPr>
          <w:rFonts w:ascii="Times New Roman" w:hAnsi="Times New Roman" w:cs="Times New Roman"/>
        </w:rPr>
        <w:t xml:space="preserve"> &amp; Shea, 2001). Another critique might posit that focusing on SES overlooks individual variation within groups, such as highly literate low</w:t>
      </w:r>
      <w:r w:rsidR="0003486A" w:rsidRPr="008C6227">
        <w:rPr>
          <w:rFonts w:ascii="Times New Roman" w:hAnsi="Times New Roman" w:cs="Times New Roman"/>
        </w:rPr>
        <w:t>–</w:t>
      </w:r>
      <w:r w:rsidRPr="008C6227">
        <w:rPr>
          <w:rFonts w:ascii="Times New Roman" w:hAnsi="Times New Roman" w:cs="Times New Roman"/>
        </w:rPr>
        <w:t>income individuals. While such heterogeneity exists, SES remains a robust predictor of cognitive load and access to resources, providing a practical framework for policy design that can be refined to accommodate individual differences (Mullainathan &amp; Shafir, 2013).</w:t>
      </w:r>
    </w:p>
    <w:p w14:paraId="6AA59B2D" w14:textId="4BB8E65A" w:rsidR="00F0366A" w:rsidRPr="008C6227" w:rsidRDefault="00F0366A" w:rsidP="008C6227">
      <w:pPr>
        <w:spacing w:line="360" w:lineRule="auto"/>
        <w:jc w:val="both"/>
        <w:rPr>
          <w:rFonts w:ascii="Times New Roman" w:hAnsi="Times New Roman" w:cs="Times New Roman"/>
        </w:rPr>
      </w:pPr>
      <w:r w:rsidRPr="008C6227">
        <w:rPr>
          <w:rFonts w:ascii="Times New Roman" w:hAnsi="Times New Roman" w:cs="Times New Roman"/>
        </w:rPr>
        <w:t>Future research should rigorously test these propositions. Longitudinal studies tracking the long</w:t>
      </w:r>
      <w:r w:rsidR="0003486A" w:rsidRPr="008C6227">
        <w:rPr>
          <w:rFonts w:ascii="Times New Roman" w:hAnsi="Times New Roman" w:cs="Times New Roman"/>
        </w:rPr>
        <w:t>–</w:t>
      </w:r>
      <w:r w:rsidRPr="008C6227">
        <w:rPr>
          <w:rFonts w:ascii="Times New Roman" w:hAnsi="Times New Roman" w:cs="Times New Roman"/>
        </w:rPr>
        <w:t>term effects of tailored nudges across SES groups could quantify their impact on savings rates, debt management, and wealth accumulation. Experimental designs comparing tailored versus uniform nudges in diverse cultural contexts would further validate the framework, shedding light on the role of trust and cultural norms. Additionally, exploring the scalability of technology</w:t>
      </w:r>
      <w:r w:rsidR="0003486A" w:rsidRPr="008C6227">
        <w:rPr>
          <w:rFonts w:ascii="Times New Roman" w:hAnsi="Times New Roman" w:cs="Times New Roman"/>
        </w:rPr>
        <w:t>–</w:t>
      </w:r>
      <w:r w:rsidRPr="008C6227">
        <w:rPr>
          <w:rFonts w:ascii="Times New Roman" w:hAnsi="Times New Roman" w:cs="Times New Roman"/>
        </w:rPr>
        <w:t xml:space="preserve">driven </w:t>
      </w:r>
      <w:r w:rsidRPr="008C6227">
        <w:rPr>
          <w:rFonts w:ascii="Times New Roman" w:hAnsi="Times New Roman" w:cs="Times New Roman"/>
        </w:rPr>
        <w:lastRenderedPageBreak/>
        <w:t>nudges—such as AI</w:t>
      </w:r>
      <w:r w:rsidR="0003486A" w:rsidRPr="008C6227">
        <w:rPr>
          <w:rFonts w:ascii="Times New Roman" w:hAnsi="Times New Roman" w:cs="Times New Roman"/>
        </w:rPr>
        <w:t>–</w:t>
      </w:r>
      <w:r w:rsidRPr="008C6227">
        <w:rPr>
          <w:rFonts w:ascii="Times New Roman" w:hAnsi="Times New Roman" w:cs="Times New Roman"/>
        </w:rPr>
        <w:t>powered financial apps—could inform strategies to close the digital divide, ensuring equitable access to innovative tools.</w:t>
      </w:r>
    </w:p>
    <w:p w14:paraId="6E3F03F5" w14:textId="2AA14277" w:rsidR="00F0366A" w:rsidRPr="008C6227" w:rsidRDefault="00F0366A" w:rsidP="008C6227">
      <w:pPr>
        <w:spacing w:line="360" w:lineRule="auto"/>
        <w:jc w:val="both"/>
        <w:rPr>
          <w:rFonts w:ascii="Times New Roman" w:hAnsi="Times New Roman" w:cs="Times New Roman"/>
        </w:rPr>
      </w:pPr>
      <w:r w:rsidRPr="008C6227">
        <w:rPr>
          <w:rFonts w:ascii="Times New Roman" w:hAnsi="Times New Roman" w:cs="Times New Roman"/>
        </w:rPr>
        <w:t>By aligning behavioral interventions with the socioeconomic realities of diverse populations, this approach not only advances financial inclusion but also redefines the role of nudges in fostering equitable economic outcomes. The thesis that tailored nudges outperform uniform strategies is grounded in robust evidence and withstands critique, offering a compelling foundation for policy and practice. Policymakers, educators, and financial institutions must embrace this segmented approach, integrating nudges with education and technology to empower individuals across the socioeconomic spectrum. This framework thus contributes to a more inclusive and effective paradigm in behavioral economics and finance, with far</w:t>
      </w:r>
      <w:r w:rsidR="0003486A" w:rsidRPr="008C6227">
        <w:rPr>
          <w:rFonts w:ascii="Times New Roman" w:hAnsi="Times New Roman" w:cs="Times New Roman"/>
        </w:rPr>
        <w:t>–</w:t>
      </w:r>
      <w:r w:rsidRPr="008C6227">
        <w:rPr>
          <w:rFonts w:ascii="Times New Roman" w:hAnsi="Times New Roman" w:cs="Times New Roman"/>
        </w:rPr>
        <w:t>reaching implications for reducing inequality and enhancing financial well</w:t>
      </w:r>
      <w:r w:rsidR="0003486A" w:rsidRPr="008C6227">
        <w:rPr>
          <w:rFonts w:ascii="Times New Roman" w:hAnsi="Times New Roman" w:cs="Times New Roman"/>
        </w:rPr>
        <w:t>–</w:t>
      </w:r>
      <w:r w:rsidRPr="008C6227">
        <w:rPr>
          <w:rFonts w:ascii="Times New Roman" w:hAnsi="Times New Roman" w:cs="Times New Roman"/>
        </w:rPr>
        <w:t>being.</w:t>
      </w:r>
    </w:p>
    <w:p w14:paraId="0BA934E6" w14:textId="0A2AC00D" w:rsidR="00EF2EB4" w:rsidRPr="008C6227" w:rsidRDefault="00DD2A65" w:rsidP="008C6227">
      <w:pPr>
        <w:spacing w:line="360" w:lineRule="auto"/>
        <w:jc w:val="both"/>
        <w:rPr>
          <w:rFonts w:ascii="Times New Roman" w:hAnsi="Times New Roman" w:cs="Times New Roman"/>
          <w:b/>
          <w:bCs/>
        </w:rPr>
      </w:pPr>
      <w:r w:rsidRPr="008C6227">
        <w:rPr>
          <w:rFonts w:ascii="Times New Roman" w:hAnsi="Times New Roman" w:cs="Times New Roman"/>
          <w:b/>
          <w:bCs/>
        </w:rPr>
        <w:t>References</w:t>
      </w:r>
    </w:p>
    <w:p w14:paraId="755F225C" w14:textId="429801FC" w:rsidR="00EF2EB4" w:rsidRPr="008C6227" w:rsidRDefault="00EF2EB4" w:rsidP="008C6227">
      <w:pPr>
        <w:spacing w:line="360" w:lineRule="auto"/>
        <w:jc w:val="both"/>
        <w:rPr>
          <w:rFonts w:ascii="Times New Roman" w:hAnsi="Times New Roman" w:cs="Times New Roman"/>
        </w:rPr>
      </w:pPr>
      <w:r w:rsidRPr="008C6227">
        <w:rPr>
          <w:rFonts w:ascii="Times New Roman" w:hAnsi="Times New Roman" w:cs="Times New Roman"/>
        </w:rPr>
        <w:t xml:space="preserve">Benartzi, S., Beshears, J., Milkman, K. L., Sunstein, C. R., Thaler, R. H., Shankar, M., ... &amp; Galing, S. (2017). Should governments invest more in nudging? </w:t>
      </w:r>
      <w:r w:rsidRPr="008C6227">
        <w:rPr>
          <w:rFonts w:ascii="Times New Roman" w:hAnsi="Times New Roman" w:cs="Times New Roman"/>
          <w:i/>
          <w:iCs/>
        </w:rPr>
        <w:t>Psychological Science, 28</w:t>
      </w:r>
      <w:r w:rsidRPr="008C6227">
        <w:rPr>
          <w:rFonts w:ascii="Times New Roman" w:hAnsi="Times New Roman" w:cs="Times New Roman"/>
        </w:rPr>
        <w:t>(8), 1041</w:t>
      </w:r>
      <w:r w:rsidR="0003486A" w:rsidRPr="008C6227">
        <w:rPr>
          <w:rFonts w:ascii="Times New Roman" w:hAnsi="Times New Roman" w:cs="Times New Roman"/>
        </w:rPr>
        <w:t>–</w:t>
      </w:r>
      <w:r w:rsidRPr="008C6227">
        <w:rPr>
          <w:rFonts w:ascii="Times New Roman" w:hAnsi="Times New Roman" w:cs="Times New Roman"/>
        </w:rPr>
        <w:t xml:space="preserve">1055. </w:t>
      </w:r>
      <w:hyperlink r:id="rId9" w:history="1">
        <w:r w:rsidR="009650A4" w:rsidRPr="008C6227">
          <w:rPr>
            <w:rStyle w:val="Hyperlink"/>
            <w:rFonts w:ascii="Times New Roman" w:hAnsi="Times New Roman" w:cs="Times New Roman"/>
          </w:rPr>
          <w:t>https://doi.org/10.1177/0956797617702501</w:t>
        </w:r>
      </w:hyperlink>
    </w:p>
    <w:p w14:paraId="05E51521" w14:textId="41BA0FF0" w:rsidR="009650A4" w:rsidRPr="008C6227" w:rsidRDefault="00EF2EB4" w:rsidP="008C6227">
      <w:pPr>
        <w:spacing w:line="360" w:lineRule="auto"/>
        <w:jc w:val="both"/>
        <w:rPr>
          <w:rFonts w:ascii="Times New Roman" w:hAnsi="Times New Roman" w:cs="Times New Roman"/>
        </w:rPr>
      </w:pPr>
      <w:r w:rsidRPr="008C6227">
        <w:rPr>
          <w:rFonts w:ascii="Times New Roman" w:hAnsi="Times New Roman" w:cs="Times New Roman"/>
        </w:rPr>
        <w:t xml:space="preserve">Bertrand, M., Mullainathan, S., &amp; Shafir, E. (2006). Behavioral economics and marketing in aid of decision making among the poor. </w:t>
      </w:r>
      <w:r w:rsidRPr="008C6227">
        <w:rPr>
          <w:rFonts w:ascii="Times New Roman" w:hAnsi="Times New Roman" w:cs="Times New Roman"/>
          <w:i/>
          <w:iCs/>
        </w:rPr>
        <w:t>Journal of Public Policy &amp; Marketing, 25</w:t>
      </w:r>
      <w:r w:rsidRPr="008C6227">
        <w:rPr>
          <w:rFonts w:ascii="Times New Roman" w:hAnsi="Times New Roman" w:cs="Times New Roman"/>
        </w:rPr>
        <w:t>(1), 8</w:t>
      </w:r>
      <w:r w:rsidR="0003486A" w:rsidRPr="008C6227">
        <w:rPr>
          <w:rFonts w:ascii="Times New Roman" w:hAnsi="Times New Roman" w:cs="Times New Roman"/>
        </w:rPr>
        <w:t>–</w:t>
      </w:r>
      <w:r w:rsidRPr="008C6227">
        <w:rPr>
          <w:rFonts w:ascii="Times New Roman" w:hAnsi="Times New Roman" w:cs="Times New Roman"/>
        </w:rPr>
        <w:t xml:space="preserve">23. </w:t>
      </w:r>
      <w:hyperlink r:id="rId10" w:history="1">
        <w:r w:rsidR="009650A4" w:rsidRPr="008C6227">
          <w:rPr>
            <w:rStyle w:val="Hyperlink"/>
            <w:rFonts w:ascii="Times New Roman" w:hAnsi="Times New Roman" w:cs="Times New Roman"/>
          </w:rPr>
          <w:t>https://doi.org/10.1509/jppm.25.1.8</w:t>
        </w:r>
      </w:hyperlink>
    </w:p>
    <w:p w14:paraId="2D7EF9F3" w14:textId="6393F6BD" w:rsidR="00EF2EB4" w:rsidRPr="008C6227" w:rsidRDefault="00EF2EB4" w:rsidP="008C6227">
      <w:pPr>
        <w:spacing w:line="360" w:lineRule="auto"/>
        <w:jc w:val="both"/>
        <w:rPr>
          <w:rFonts w:ascii="Times New Roman" w:hAnsi="Times New Roman" w:cs="Times New Roman"/>
        </w:rPr>
      </w:pPr>
      <w:r w:rsidRPr="008C6227">
        <w:rPr>
          <w:rFonts w:ascii="Times New Roman" w:hAnsi="Times New Roman" w:cs="Times New Roman"/>
        </w:rPr>
        <w:t xml:space="preserve">Buchak, G., </w:t>
      </w:r>
      <w:proofErr w:type="spellStart"/>
      <w:r w:rsidRPr="008C6227">
        <w:rPr>
          <w:rFonts w:ascii="Times New Roman" w:hAnsi="Times New Roman" w:cs="Times New Roman"/>
        </w:rPr>
        <w:t>Matvos</w:t>
      </w:r>
      <w:proofErr w:type="spellEnd"/>
      <w:r w:rsidRPr="008C6227">
        <w:rPr>
          <w:rFonts w:ascii="Times New Roman" w:hAnsi="Times New Roman" w:cs="Times New Roman"/>
        </w:rPr>
        <w:t xml:space="preserve">, G., Piskorski, T., &amp; Seru, A. (2018). Fintech, regulatory arbitrage, and the rise of shadow banks. </w:t>
      </w:r>
      <w:r w:rsidRPr="008C6227">
        <w:rPr>
          <w:rFonts w:ascii="Times New Roman" w:hAnsi="Times New Roman" w:cs="Times New Roman"/>
          <w:i/>
          <w:iCs/>
        </w:rPr>
        <w:t>Journal of Financial Economics, 130</w:t>
      </w:r>
      <w:r w:rsidRPr="008C6227">
        <w:rPr>
          <w:rFonts w:ascii="Times New Roman" w:hAnsi="Times New Roman" w:cs="Times New Roman"/>
        </w:rPr>
        <w:t>(3), 453</w:t>
      </w:r>
      <w:r w:rsidR="0003486A" w:rsidRPr="008C6227">
        <w:rPr>
          <w:rFonts w:ascii="Times New Roman" w:hAnsi="Times New Roman" w:cs="Times New Roman"/>
        </w:rPr>
        <w:t>–</w:t>
      </w:r>
      <w:r w:rsidRPr="008C6227">
        <w:rPr>
          <w:rFonts w:ascii="Times New Roman" w:hAnsi="Times New Roman" w:cs="Times New Roman"/>
        </w:rPr>
        <w:t xml:space="preserve">483. </w:t>
      </w:r>
      <w:hyperlink r:id="rId11" w:history="1">
        <w:r w:rsidR="009650A4" w:rsidRPr="008C6227">
          <w:rPr>
            <w:rStyle w:val="Hyperlink"/>
            <w:rFonts w:ascii="Times New Roman" w:hAnsi="Times New Roman" w:cs="Times New Roman"/>
          </w:rPr>
          <w:t>https://doi.org/10.1016/j.jfineco.2018.03.011</w:t>
        </w:r>
      </w:hyperlink>
    </w:p>
    <w:p w14:paraId="1E919E24" w14:textId="3930EDC3" w:rsidR="009650A4" w:rsidRPr="008C6227" w:rsidRDefault="009650A4" w:rsidP="008C6227">
      <w:pPr>
        <w:spacing w:line="360" w:lineRule="auto"/>
        <w:jc w:val="both"/>
        <w:rPr>
          <w:rFonts w:ascii="Times New Roman" w:hAnsi="Times New Roman" w:cs="Times New Roman"/>
        </w:rPr>
      </w:pPr>
      <w:r w:rsidRPr="008C6227">
        <w:rPr>
          <w:rFonts w:ascii="Times New Roman" w:hAnsi="Times New Roman" w:cs="Times New Roman"/>
        </w:rPr>
        <w:t>Dohmen, T., Falk, A., Huffman, D., Sunde, U., Schupp, J., &amp; Wagner</w:t>
      </w:r>
      <w:proofErr w:type="gramStart"/>
      <w:r w:rsidRPr="008C6227">
        <w:rPr>
          <w:rFonts w:ascii="Times New Roman" w:hAnsi="Times New Roman" w:cs="Times New Roman"/>
        </w:rPr>
        <w:t>, G.</w:t>
      </w:r>
      <w:proofErr w:type="gramEnd"/>
      <w:r w:rsidRPr="008C6227">
        <w:rPr>
          <w:rFonts w:ascii="Times New Roman" w:hAnsi="Times New Roman" w:cs="Times New Roman"/>
        </w:rPr>
        <w:t xml:space="preserve"> G. (2011). Individual risk attitudes: Measurement, determinants, and behavioral consequences. </w:t>
      </w:r>
      <w:r w:rsidRPr="008C6227">
        <w:rPr>
          <w:rFonts w:ascii="Times New Roman" w:hAnsi="Times New Roman" w:cs="Times New Roman"/>
          <w:i/>
          <w:iCs/>
        </w:rPr>
        <w:t>Journal of the European Economic Association, 9</w:t>
      </w:r>
      <w:r w:rsidRPr="008C6227">
        <w:rPr>
          <w:rFonts w:ascii="Times New Roman" w:hAnsi="Times New Roman" w:cs="Times New Roman"/>
        </w:rPr>
        <w:t>(3), 522</w:t>
      </w:r>
      <w:r w:rsidR="0003486A" w:rsidRPr="008C6227">
        <w:rPr>
          <w:rFonts w:ascii="Times New Roman" w:hAnsi="Times New Roman" w:cs="Times New Roman"/>
        </w:rPr>
        <w:t>–</w:t>
      </w:r>
      <w:r w:rsidRPr="008C6227">
        <w:rPr>
          <w:rFonts w:ascii="Times New Roman" w:hAnsi="Times New Roman" w:cs="Times New Roman"/>
        </w:rPr>
        <w:t xml:space="preserve">550. </w:t>
      </w:r>
      <w:hyperlink r:id="rId12" w:history="1">
        <w:r w:rsidRPr="008C6227">
          <w:rPr>
            <w:rStyle w:val="Hyperlink"/>
            <w:rFonts w:ascii="Times New Roman" w:hAnsi="Times New Roman" w:cs="Times New Roman"/>
          </w:rPr>
          <w:t>https://doi.org/10.1111/j.1542</w:t>
        </w:r>
        <w:r w:rsidR="0003486A" w:rsidRPr="008C6227">
          <w:rPr>
            <w:rStyle w:val="Hyperlink"/>
            <w:rFonts w:ascii="Times New Roman" w:hAnsi="Times New Roman" w:cs="Times New Roman"/>
          </w:rPr>
          <w:t>–</w:t>
        </w:r>
        <w:r w:rsidRPr="008C6227">
          <w:rPr>
            <w:rStyle w:val="Hyperlink"/>
            <w:rFonts w:ascii="Times New Roman" w:hAnsi="Times New Roman" w:cs="Times New Roman"/>
          </w:rPr>
          <w:t>4774.2011.01015.x</w:t>
        </w:r>
      </w:hyperlink>
    </w:p>
    <w:p w14:paraId="7B479B11" w14:textId="0E7946AD" w:rsidR="00EF2EB4" w:rsidRPr="008C6227" w:rsidRDefault="00EF2EB4" w:rsidP="008C6227">
      <w:pPr>
        <w:spacing w:line="360" w:lineRule="auto"/>
        <w:jc w:val="both"/>
        <w:rPr>
          <w:rFonts w:ascii="Times New Roman" w:hAnsi="Times New Roman" w:cs="Times New Roman"/>
        </w:rPr>
      </w:pPr>
      <w:r w:rsidRPr="008C6227">
        <w:rPr>
          <w:rFonts w:ascii="Times New Roman" w:hAnsi="Times New Roman" w:cs="Times New Roman"/>
        </w:rPr>
        <w:t xml:space="preserve">Fernandes, D., Lynch Jr, J. G., &amp; Netemeyer, R. G. (2014). Financial literacy, financial education, and downstream financial behaviors. </w:t>
      </w:r>
      <w:r w:rsidRPr="008C6227">
        <w:rPr>
          <w:rFonts w:ascii="Times New Roman" w:hAnsi="Times New Roman" w:cs="Times New Roman"/>
          <w:i/>
          <w:iCs/>
        </w:rPr>
        <w:t>Management Science, 60</w:t>
      </w:r>
      <w:r w:rsidRPr="008C6227">
        <w:rPr>
          <w:rFonts w:ascii="Times New Roman" w:hAnsi="Times New Roman" w:cs="Times New Roman"/>
        </w:rPr>
        <w:t>(8), 1861</w:t>
      </w:r>
      <w:r w:rsidR="0003486A" w:rsidRPr="008C6227">
        <w:rPr>
          <w:rFonts w:ascii="Times New Roman" w:hAnsi="Times New Roman" w:cs="Times New Roman"/>
        </w:rPr>
        <w:t>–</w:t>
      </w:r>
      <w:r w:rsidRPr="008C6227">
        <w:rPr>
          <w:rFonts w:ascii="Times New Roman" w:hAnsi="Times New Roman" w:cs="Times New Roman"/>
        </w:rPr>
        <w:t xml:space="preserve">1883. </w:t>
      </w:r>
      <w:hyperlink r:id="rId13" w:history="1">
        <w:r w:rsidR="009650A4" w:rsidRPr="008C6227">
          <w:rPr>
            <w:rStyle w:val="Hyperlink"/>
            <w:rFonts w:ascii="Times New Roman" w:hAnsi="Times New Roman" w:cs="Times New Roman"/>
          </w:rPr>
          <w:t>https://doi.org/10.1287/mnsc.2013.1849</w:t>
        </w:r>
      </w:hyperlink>
    </w:p>
    <w:p w14:paraId="0514D96F" w14:textId="531DBF74" w:rsidR="00EF2EB4" w:rsidRPr="008C6227" w:rsidRDefault="00EF2EB4" w:rsidP="008C6227">
      <w:pPr>
        <w:spacing w:line="360" w:lineRule="auto"/>
        <w:jc w:val="both"/>
        <w:rPr>
          <w:rFonts w:ascii="Times New Roman" w:hAnsi="Times New Roman" w:cs="Times New Roman"/>
        </w:rPr>
      </w:pPr>
      <w:r w:rsidRPr="008C6227">
        <w:rPr>
          <w:rFonts w:ascii="Times New Roman" w:hAnsi="Times New Roman" w:cs="Times New Roman"/>
        </w:rPr>
        <w:lastRenderedPageBreak/>
        <w:t xml:space="preserve">Haushofer, J., &amp; Fehr, E. (2014). On the psychology of poverty. </w:t>
      </w:r>
      <w:r w:rsidRPr="008C6227">
        <w:rPr>
          <w:rFonts w:ascii="Times New Roman" w:hAnsi="Times New Roman" w:cs="Times New Roman"/>
          <w:i/>
          <w:iCs/>
        </w:rPr>
        <w:t>Science, 344</w:t>
      </w:r>
      <w:r w:rsidRPr="008C6227">
        <w:rPr>
          <w:rFonts w:ascii="Times New Roman" w:hAnsi="Times New Roman" w:cs="Times New Roman"/>
        </w:rPr>
        <w:t>(6186), 862</w:t>
      </w:r>
      <w:r w:rsidR="0003486A" w:rsidRPr="008C6227">
        <w:rPr>
          <w:rFonts w:ascii="Times New Roman" w:hAnsi="Times New Roman" w:cs="Times New Roman"/>
        </w:rPr>
        <w:t>–</w:t>
      </w:r>
      <w:r w:rsidRPr="008C6227">
        <w:rPr>
          <w:rFonts w:ascii="Times New Roman" w:hAnsi="Times New Roman" w:cs="Times New Roman"/>
        </w:rPr>
        <w:t xml:space="preserve">867. </w:t>
      </w:r>
      <w:hyperlink r:id="rId14" w:history="1">
        <w:r w:rsidR="009650A4" w:rsidRPr="008C6227">
          <w:rPr>
            <w:rStyle w:val="Hyperlink"/>
            <w:rFonts w:ascii="Times New Roman" w:hAnsi="Times New Roman" w:cs="Times New Roman"/>
          </w:rPr>
          <w:t>https://doi.org/10.1126/science.1232491</w:t>
        </w:r>
      </w:hyperlink>
    </w:p>
    <w:p w14:paraId="0BE62D5A" w14:textId="2D2DDF42" w:rsidR="00EF2EB4" w:rsidRPr="008C6227" w:rsidRDefault="00EF2EB4" w:rsidP="008C6227">
      <w:pPr>
        <w:spacing w:line="360" w:lineRule="auto"/>
        <w:jc w:val="both"/>
        <w:rPr>
          <w:rFonts w:ascii="Times New Roman" w:hAnsi="Times New Roman" w:cs="Times New Roman"/>
        </w:rPr>
      </w:pPr>
      <w:r w:rsidRPr="008C6227">
        <w:rPr>
          <w:rFonts w:ascii="Times New Roman" w:hAnsi="Times New Roman" w:cs="Times New Roman"/>
        </w:rPr>
        <w:t xml:space="preserve">Hofstede, G. (1980). </w:t>
      </w:r>
      <w:r w:rsidRPr="008C6227">
        <w:rPr>
          <w:rFonts w:ascii="Times New Roman" w:hAnsi="Times New Roman" w:cs="Times New Roman"/>
          <w:i/>
          <w:iCs/>
        </w:rPr>
        <w:t>Culture’s consequences: International differences in work</w:t>
      </w:r>
      <w:r w:rsidR="0003486A" w:rsidRPr="008C6227">
        <w:rPr>
          <w:rFonts w:ascii="Times New Roman" w:hAnsi="Times New Roman" w:cs="Times New Roman"/>
          <w:i/>
          <w:iCs/>
        </w:rPr>
        <w:t>–</w:t>
      </w:r>
      <w:r w:rsidRPr="008C6227">
        <w:rPr>
          <w:rFonts w:ascii="Times New Roman" w:hAnsi="Times New Roman" w:cs="Times New Roman"/>
          <w:i/>
          <w:iCs/>
        </w:rPr>
        <w:t>related values</w:t>
      </w:r>
      <w:r w:rsidRPr="008C6227">
        <w:rPr>
          <w:rFonts w:ascii="Times New Roman" w:hAnsi="Times New Roman" w:cs="Times New Roman"/>
        </w:rPr>
        <w:t>. Sage.</w:t>
      </w:r>
    </w:p>
    <w:p w14:paraId="186687C0" w14:textId="0A6BC05E" w:rsidR="00EF2EB4" w:rsidRPr="008C6227" w:rsidRDefault="00EF2EB4" w:rsidP="008C6227">
      <w:pPr>
        <w:spacing w:line="360" w:lineRule="auto"/>
        <w:jc w:val="both"/>
        <w:rPr>
          <w:rFonts w:ascii="Times New Roman" w:hAnsi="Times New Roman" w:cs="Times New Roman"/>
        </w:rPr>
      </w:pPr>
      <w:r w:rsidRPr="008C6227">
        <w:rPr>
          <w:rFonts w:ascii="Times New Roman" w:hAnsi="Times New Roman" w:cs="Times New Roman"/>
        </w:rPr>
        <w:t xml:space="preserve">Kaiser, T., &amp; </w:t>
      </w:r>
      <w:proofErr w:type="spellStart"/>
      <w:r w:rsidRPr="008C6227">
        <w:rPr>
          <w:rFonts w:ascii="Times New Roman" w:hAnsi="Times New Roman" w:cs="Times New Roman"/>
        </w:rPr>
        <w:t>Menkhoff</w:t>
      </w:r>
      <w:proofErr w:type="spellEnd"/>
      <w:r w:rsidRPr="008C6227">
        <w:rPr>
          <w:rFonts w:ascii="Times New Roman" w:hAnsi="Times New Roman" w:cs="Times New Roman"/>
        </w:rPr>
        <w:t xml:space="preserve">, L. (2017). Does financial education impact financial literacy and financial behavior, and if so, when? </w:t>
      </w:r>
      <w:r w:rsidRPr="008C6227">
        <w:rPr>
          <w:rFonts w:ascii="Times New Roman" w:hAnsi="Times New Roman" w:cs="Times New Roman"/>
          <w:i/>
          <w:iCs/>
        </w:rPr>
        <w:t>The World Bank Economic Review, 31</w:t>
      </w:r>
      <w:r w:rsidRPr="008C6227">
        <w:rPr>
          <w:rFonts w:ascii="Times New Roman" w:hAnsi="Times New Roman" w:cs="Times New Roman"/>
        </w:rPr>
        <w:t>(3), 611</w:t>
      </w:r>
      <w:r w:rsidR="0003486A" w:rsidRPr="008C6227">
        <w:rPr>
          <w:rFonts w:ascii="Times New Roman" w:hAnsi="Times New Roman" w:cs="Times New Roman"/>
        </w:rPr>
        <w:t>–</w:t>
      </w:r>
      <w:r w:rsidRPr="008C6227">
        <w:rPr>
          <w:rFonts w:ascii="Times New Roman" w:hAnsi="Times New Roman" w:cs="Times New Roman"/>
        </w:rPr>
        <w:t xml:space="preserve">630. </w:t>
      </w:r>
      <w:hyperlink r:id="rId15" w:history="1">
        <w:r w:rsidR="009650A4" w:rsidRPr="008C6227">
          <w:rPr>
            <w:rStyle w:val="Hyperlink"/>
            <w:rFonts w:ascii="Times New Roman" w:hAnsi="Times New Roman" w:cs="Times New Roman"/>
          </w:rPr>
          <w:t>https://doi.org/10.1093/wber/lhx018</w:t>
        </w:r>
      </w:hyperlink>
    </w:p>
    <w:p w14:paraId="3072911D" w14:textId="6ACD1CC0" w:rsidR="00EF2EB4" w:rsidRPr="008C6227" w:rsidRDefault="00EF2EB4" w:rsidP="008C6227">
      <w:pPr>
        <w:spacing w:line="360" w:lineRule="auto"/>
        <w:jc w:val="both"/>
        <w:rPr>
          <w:rFonts w:ascii="Times New Roman" w:hAnsi="Times New Roman" w:cs="Times New Roman"/>
        </w:rPr>
      </w:pPr>
      <w:r w:rsidRPr="008C6227">
        <w:rPr>
          <w:rFonts w:ascii="Times New Roman" w:hAnsi="Times New Roman" w:cs="Times New Roman"/>
        </w:rPr>
        <w:t xml:space="preserve">Kahneman, D., &amp; Tversky, A. (1979). Prospect theory: An analysis of </w:t>
      </w:r>
      <w:proofErr w:type="gramStart"/>
      <w:r w:rsidRPr="008C6227">
        <w:rPr>
          <w:rFonts w:ascii="Times New Roman" w:hAnsi="Times New Roman" w:cs="Times New Roman"/>
        </w:rPr>
        <w:t>decision</w:t>
      </w:r>
      <w:proofErr w:type="gramEnd"/>
      <w:r w:rsidRPr="008C6227">
        <w:rPr>
          <w:rFonts w:ascii="Times New Roman" w:hAnsi="Times New Roman" w:cs="Times New Roman"/>
        </w:rPr>
        <w:t xml:space="preserve"> under risk. </w:t>
      </w:r>
      <w:proofErr w:type="spellStart"/>
      <w:r w:rsidRPr="008C6227">
        <w:rPr>
          <w:rFonts w:ascii="Times New Roman" w:hAnsi="Times New Roman" w:cs="Times New Roman"/>
          <w:i/>
          <w:iCs/>
        </w:rPr>
        <w:t>Econometrica</w:t>
      </w:r>
      <w:proofErr w:type="spellEnd"/>
      <w:r w:rsidRPr="008C6227">
        <w:rPr>
          <w:rFonts w:ascii="Times New Roman" w:hAnsi="Times New Roman" w:cs="Times New Roman"/>
          <w:i/>
          <w:iCs/>
        </w:rPr>
        <w:t>, 47</w:t>
      </w:r>
      <w:r w:rsidRPr="008C6227">
        <w:rPr>
          <w:rFonts w:ascii="Times New Roman" w:hAnsi="Times New Roman" w:cs="Times New Roman"/>
        </w:rPr>
        <w:t>(2), 263</w:t>
      </w:r>
      <w:r w:rsidR="0003486A" w:rsidRPr="008C6227">
        <w:rPr>
          <w:rFonts w:ascii="Times New Roman" w:hAnsi="Times New Roman" w:cs="Times New Roman"/>
        </w:rPr>
        <w:t>–</w:t>
      </w:r>
      <w:r w:rsidRPr="008C6227">
        <w:rPr>
          <w:rFonts w:ascii="Times New Roman" w:hAnsi="Times New Roman" w:cs="Times New Roman"/>
        </w:rPr>
        <w:t xml:space="preserve">291. </w:t>
      </w:r>
      <w:hyperlink r:id="rId16" w:history="1">
        <w:r w:rsidR="00AA4BE8" w:rsidRPr="008C6227">
          <w:rPr>
            <w:rStyle w:val="Hyperlink"/>
            <w:rFonts w:ascii="Times New Roman" w:hAnsi="Times New Roman" w:cs="Times New Roman"/>
          </w:rPr>
          <w:t>https://doi.org/10.2307/1914185</w:t>
        </w:r>
      </w:hyperlink>
    </w:p>
    <w:p w14:paraId="18521AB2" w14:textId="55847B27" w:rsidR="00AA4BE8" w:rsidRPr="008C6227" w:rsidRDefault="00AA4BE8" w:rsidP="008C6227">
      <w:pPr>
        <w:spacing w:line="360" w:lineRule="auto"/>
        <w:jc w:val="both"/>
        <w:rPr>
          <w:rFonts w:ascii="Times New Roman" w:hAnsi="Times New Roman" w:cs="Times New Roman"/>
        </w:rPr>
      </w:pPr>
      <w:r w:rsidRPr="008C6227">
        <w:rPr>
          <w:rFonts w:ascii="Times New Roman" w:hAnsi="Times New Roman" w:cs="Times New Roman"/>
        </w:rPr>
        <w:t xml:space="preserve">Kaiser, T., &amp; </w:t>
      </w:r>
      <w:proofErr w:type="spellStart"/>
      <w:r w:rsidRPr="008C6227">
        <w:rPr>
          <w:rFonts w:ascii="Times New Roman" w:hAnsi="Times New Roman" w:cs="Times New Roman"/>
        </w:rPr>
        <w:t>Menkhoff</w:t>
      </w:r>
      <w:proofErr w:type="spellEnd"/>
      <w:r w:rsidRPr="008C6227">
        <w:rPr>
          <w:rFonts w:ascii="Times New Roman" w:hAnsi="Times New Roman" w:cs="Times New Roman"/>
        </w:rPr>
        <w:t xml:space="preserve">, L. (2017). Does financial education impact financial literacy and financial behavior, and if so, when? </w:t>
      </w:r>
      <w:r w:rsidRPr="008C6227">
        <w:rPr>
          <w:rFonts w:ascii="Times New Roman" w:hAnsi="Times New Roman" w:cs="Times New Roman"/>
          <w:i/>
          <w:iCs/>
        </w:rPr>
        <w:t>The World Bank Economic Review, 31</w:t>
      </w:r>
      <w:r w:rsidRPr="008C6227">
        <w:rPr>
          <w:rFonts w:ascii="Times New Roman" w:hAnsi="Times New Roman" w:cs="Times New Roman"/>
        </w:rPr>
        <w:t>(3), 611</w:t>
      </w:r>
      <w:r w:rsidR="0003486A" w:rsidRPr="008C6227">
        <w:rPr>
          <w:rFonts w:ascii="Times New Roman" w:hAnsi="Times New Roman" w:cs="Times New Roman"/>
        </w:rPr>
        <w:t>–</w:t>
      </w:r>
      <w:r w:rsidRPr="008C6227">
        <w:rPr>
          <w:rFonts w:ascii="Times New Roman" w:hAnsi="Times New Roman" w:cs="Times New Roman"/>
        </w:rPr>
        <w:t xml:space="preserve">630. </w:t>
      </w:r>
      <w:hyperlink r:id="rId17" w:history="1">
        <w:r w:rsidRPr="008C6227">
          <w:rPr>
            <w:rStyle w:val="Hyperlink"/>
            <w:rFonts w:ascii="Times New Roman" w:hAnsi="Times New Roman" w:cs="Times New Roman"/>
          </w:rPr>
          <w:t>https://doi.org/10.1093/wber/lhx018</w:t>
        </w:r>
      </w:hyperlink>
    </w:p>
    <w:p w14:paraId="3635E080" w14:textId="726A60A0" w:rsidR="00EF2EB4" w:rsidRPr="008C6227" w:rsidRDefault="00EF2EB4" w:rsidP="008C6227">
      <w:pPr>
        <w:spacing w:line="360" w:lineRule="auto"/>
        <w:jc w:val="both"/>
        <w:rPr>
          <w:rFonts w:ascii="Times New Roman" w:hAnsi="Times New Roman" w:cs="Times New Roman"/>
        </w:rPr>
      </w:pPr>
      <w:r w:rsidRPr="008C6227">
        <w:rPr>
          <w:rFonts w:ascii="Times New Roman" w:hAnsi="Times New Roman" w:cs="Times New Roman"/>
        </w:rPr>
        <w:t xml:space="preserve">Lusardi, A., &amp; Mitchell, O. S. (2011). Financial literacy and planning: Implications for retirement wellbeing. In A. Lusardi &amp; O. S. Mitchell (Eds.), </w:t>
      </w:r>
      <w:r w:rsidRPr="008C6227">
        <w:rPr>
          <w:rFonts w:ascii="Times New Roman" w:hAnsi="Times New Roman" w:cs="Times New Roman"/>
          <w:i/>
          <w:iCs/>
        </w:rPr>
        <w:t>Financial literacy: Implications for retirement security and the financial marketplace</w:t>
      </w:r>
      <w:r w:rsidRPr="008C6227">
        <w:rPr>
          <w:rFonts w:ascii="Times New Roman" w:hAnsi="Times New Roman" w:cs="Times New Roman"/>
        </w:rPr>
        <w:t xml:space="preserve"> (pp. 17</w:t>
      </w:r>
      <w:r w:rsidR="0003486A" w:rsidRPr="008C6227">
        <w:rPr>
          <w:rFonts w:ascii="Times New Roman" w:hAnsi="Times New Roman" w:cs="Times New Roman"/>
        </w:rPr>
        <w:t>–</w:t>
      </w:r>
      <w:r w:rsidRPr="008C6227">
        <w:rPr>
          <w:rFonts w:ascii="Times New Roman" w:hAnsi="Times New Roman" w:cs="Times New Roman"/>
        </w:rPr>
        <w:t>39). Oxford University Press.</w:t>
      </w:r>
    </w:p>
    <w:p w14:paraId="4BF2559B" w14:textId="719C8A9C" w:rsidR="00EF2EB4" w:rsidRPr="008C6227" w:rsidRDefault="00EF2EB4" w:rsidP="008C6227">
      <w:pPr>
        <w:spacing w:line="360" w:lineRule="auto"/>
        <w:jc w:val="both"/>
        <w:rPr>
          <w:rFonts w:ascii="Times New Roman" w:hAnsi="Times New Roman" w:cs="Times New Roman"/>
        </w:rPr>
      </w:pPr>
      <w:r w:rsidRPr="008C6227">
        <w:rPr>
          <w:rFonts w:ascii="Times New Roman" w:hAnsi="Times New Roman" w:cs="Times New Roman"/>
        </w:rPr>
        <w:t xml:space="preserve">Lusardi, A., &amp; Mitchell, O. S. (2014). The economic importance of financial literacy: Theory and evidence. </w:t>
      </w:r>
      <w:r w:rsidRPr="008C6227">
        <w:rPr>
          <w:rFonts w:ascii="Times New Roman" w:hAnsi="Times New Roman" w:cs="Times New Roman"/>
          <w:i/>
          <w:iCs/>
        </w:rPr>
        <w:t>Journal of Economic Literature, 52</w:t>
      </w:r>
      <w:r w:rsidRPr="008C6227">
        <w:rPr>
          <w:rFonts w:ascii="Times New Roman" w:hAnsi="Times New Roman" w:cs="Times New Roman"/>
        </w:rPr>
        <w:t>(1), 5</w:t>
      </w:r>
      <w:r w:rsidR="0003486A" w:rsidRPr="008C6227">
        <w:rPr>
          <w:rFonts w:ascii="Times New Roman" w:hAnsi="Times New Roman" w:cs="Times New Roman"/>
        </w:rPr>
        <w:t>–</w:t>
      </w:r>
      <w:r w:rsidRPr="008C6227">
        <w:rPr>
          <w:rFonts w:ascii="Times New Roman" w:hAnsi="Times New Roman" w:cs="Times New Roman"/>
        </w:rPr>
        <w:t xml:space="preserve">44. </w:t>
      </w:r>
      <w:hyperlink r:id="rId18" w:history="1">
        <w:r w:rsidR="00C913DC" w:rsidRPr="008C6227">
          <w:rPr>
            <w:rStyle w:val="Hyperlink"/>
            <w:rFonts w:ascii="Times New Roman" w:hAnsi="Times New Roman" w:cs="Times New Roman"/>
          </w:rPr>
          <w:t>https://doi.org/10.1257/jel.52.1.5</w:t>
        </w:r>
      </w:hyperlink>
    </w:p>
    <w:p w14:paraId="2ACB039C" w14:textId="17533570" w:rsidR="00EF2EB4" w:rsidRPr="008C6227" w:rsidRDefault="00EF2EB4" w:rsidP="008C6227">
      <w:pPr>
        <w:spacing w:line="360" w:lineRule="auto"/>
        <w:jc w:val="both"/>
        <w:rPr>
          <w:rFonts w:ascii="Times New Roman" w:hAnsi="Times New Roman" w:cs="Times New Roman"/>
        </w:rPr>
      </w:pPr>
      <w:proofErr w:type="spellStart"/>
      <w:r w:rsidRPr="008C6227">
        <w:rPr>
          <w:rFonts w:ascii="Times New Roman" w:hAnsi="Times New Roman" w:cs="Times New Roman"/>
        </w:rPr>
        <w:t>Madrian</w:t>
      </w:r>
      <w:proofErr w:type="spellEnd"/>
      <w:r w:rsidRPr="008C6227">
        <w:rPr>
          <w:rFonts w:ascii="Times New Roman" w:hAnsi="Times New Roman" w:cs="Times New Roman"/>
        </w:rPr>
        <w:t xml:space="preserve">, B. C., &amp; Shea, D. F. (2001). The power of suggestion: Inertia in 401(k) participation and savings behavior. </w:t>
      </w:r>
      <w:r w:rsidRPr="008C6227">
        <w:rPr>
          <w:rFonts w:ascii="Times New Roman" w:hAnsi="Times New Roman" w:cs="Times New Roman"/>
          <w:i/>
          <w:iCs/>
        </w:rPr>
        <w:t>The Quarterly Journal of Economics, 116</w:t>
      </w:r>
      <w:r w:rsidRPr="008C6227">
        <w:rPr>
          <w:rFonts w:ascii="Times New Roman" w:hAnsi="Times New Roman" w:cs="Times New Roman"/>
        </w:rPr>
        <w:t>(4), 1149</w:t>
      </w:r>
      <w:r w:rsidR="0003486A" w:rsidRPr="008C6227">
        <w:rPr>
          <w:rFonts w:ascii="Times New Roman" w:hAnsi="Times New Roman" w:cs="Times New Roman"/>
        </w:rPr>
        <w:t>–</w:t>
      </w:r>
      <w:r w:rsidRPr="008C6227">
        <w:rPr>
          <w:rFonts w:ascii="Times New Roman" w:hAnsi="Times New Roman" w:cs="Times New Roman"/>
        </w:rPr>
        <w:t xml:space="preserve">1187. </w:t>
      </w:r>
      <w:hyperlink r:id="rId19" w:history="1">
        <w:r w:rsidR="00C913DC" w:rsidRPr="008C6227">
          <w:rPr>
            <w:rStyle w:val="Hyperlink"/>
            <w:rFonts w:ascii="Times New Roman" w:hAnsi="Times New Roman" w:cs="Times New Roman"/>
          </w:rPr>
          <w:t>https://doi.org/10.1162/003355301753265543</w:t>
        </w:r>
      </w:hyperlink>
    </w:p>
    <w:p w14:paraId="49564B84" w14:textId="20C04DBF" w:rsidR="00EF2EB4" w:rsidRPr="008C6227" w:rsidRDefault="00EF2EB4" w:rsidP="008C6227">
      <w:pPr>
        <w:spacing w:line="360" w:lineRule="auto"/>
        <w:jc w:val="both"/>
        <w:rPr>
          <w:rFonts w:ascii="Times New Roman" w:hAnsi="Times New Roman" w:cs="Times New Roman"/>
        </w:rPr>
      </w:pPr>
      <w:r w:rsidRPr="008C6227">
        <w:rPr>
          <w:rFonts w:ascii="Times New Roman" w:hAnsi="Times New Roman" w:cs="Times New Roman"/>
        </w:rPr>
        <w:t xml:space="preserve">Mani, A., Mullainathan, S., Shafir, E., &amp; Zhao, J. (2013). Poverty impedes cognitive function. </w:t>
      </w:r>
      <w:r w:rsidRPr="008C6227">
        <w:rPr>
          <w:rFonts w:ascii="Times New Roman" w:hAnsi="Times New Roman" w:cs="Times New Roman"/>
          <w:i/>
          <w:iCs/>
        </w:rPr>
        <w:t>Science, 341</w:t>
      </w:r>
      <w:r w:rsidRPr="008C6227">
        <w:rPr>
          <w:rFonts w:ascii="Times New Roman" w:hAnsi="Times New Roman" w:cs="Times New Roman"/>
        </w:rPr>
        <w:t>(6149), 976</w:t>
      </w:r>
      <w:r w:rsidR="0003486A" w:rsidRPr="008C6227">
        <w:rPr>
          <w:rFonts w:ascii="Times New Roman" w:hAnsi="Times New Roman" w:cs="Times New Roman"/>
        </w:rPr>
        <w:t>–</w:t>
      </w:r>
      <w:r w:rsidRPr="008C6227">
        <w:rPr>
          <w:rFonts w:ascii="Times New Roman" w:hAnsi="Times New Roman" w:cs="Times New Roman"/>
        </w:rPr>
        <w:t xml:space="preserve">980. </w:t>
      </w:r>
      <w:hyperlink r:id="rId20" w:history="1">
        <w:r w:rsidR="00C913DC" w:rsidRPr="008C6227">
          <w:rPr>
            <w:rStyle w:val="Hyperlink"/>
            <w:rFonts w:ascii="Times New Roman" w:hAnsi="Times New Roman" w:cs="Times New Roman"/>
          </w:rPr>
          <w:t>https://doi.org/10.1126/science.1238041</w:t>
        </w:r>
      </w:hyperlink>
    </w:p>
    <w:p w14:paraId="0E9BEA9C" w14:textId="77777777" w:rsidR="00EF2EB4" w:rsidRPr="008C6227" w:rsidRDefault="00EF2EB4" w:rsidP="008C6227">
      <w:pPr>
        <w:spacing w:line="360" w:lineRule="auto"/>
        <w:jc w:val="both"/>
        <w:rPr>
          <w:rFonts w:ascii="Times New Roman" w:hAnsi="Times New Roman" w:cs="Times New Roman"/>
        </w:rPr>
      </w:pPr>
      <w:r w:rsidRPr="008C6227">
        <w:rPr>
          <w:rFonts w:ascii="Times New Roman" w:hAnsi="Times New Roman" w:cs="Times New Roman"/>
        </w:rPr>
        <w:t xml:space="preserve">Mullainathan, S., &amp; Shafir, E. (2013). </w:t>
      </w:r>
      <w:r w:rsidRPr="008C6227">
        <w:rPr>
          <w:rFonts w:ascii="Times New Roman" w:hAnsi="Times New Roman" w:cs="Times New Roman"/>
          <w:i/>
          <w:iCs/>
        </w:rPr>
        <w:t>Scarcity: Why having too little means so much</w:t>
      </w:r>
      <w:r w:rsidRPr="008C6227">
        <w:rPr>
          <w:rFonts w:ascii="Times New Roman" w:hAnsi="Times New Roman" w:cs="Times New Roman"/>
        </w:rPr>
        <w:t>. Times Books.</w:t>
      </w:r>
    </w:p>
    <w:p w14:paraId="025D80A8" w14:textId="43623335" w:rsidR="00C913DC" w:rsidRPr="008C6227" w:rsidRDefault="00C913DC" w:rsidP="008C6227">
      <w:pPr>
        <w:spacing w:line="360" w:lineRule="auto"/>
        <w:jc w:val="both"/>
        <w:rPr>
          <w:rFonts w:ascii="Times New Roman" w:hAnsi="Times New Roman" w:cs="Times New Roman"/>
        </w:rPr>
      </w:pPr>
      <w:r w:rsidRPr="008C6227">
        <w:rPr>
          <w:rFonts w:ascii="Times New Roman" w:hAnsi="Times New Roman" w:cs="Times New Roman"/>
        </w:rPr>
        <w:t xml:space="preserve">Piketty, T. (2014). </w:t>
      </w:r>
      <w:r w:rsidRPr="008C6227">
        <w:rPr>
          <w:rFonts w:ascii="Times New Roman" w:hAnsi="Times New Roman" w:cs="Times New Roman"/>
          <w:i/>
          <w:iCs/>
        </w:rPr>
        <w:t>Capital in the twenty</w:t>
      </w:r>
      <w:r w:rsidR="0003486A" w:rsidRPr="008C6227">
        <w:rPr>
          <w:rFonts w:ascii="Times New Roman" w:hAnsi="Times New Roman" w:cs="Times New Roman"/>
          <w:i/>
          <w:iCs/>
        </w:rPr>
        <w:t>–</w:t>
      </w:r>
      <w:r w:rsidRPr="008C6227">
        <w:rPr>
          <w:rFonts w:ascii="Times New Roman" w:hAnsi="Times New Roman" w:cs="Times New Roman"/>
          <w:i/>
          <w:iCs/>
        </w:rPr>
        <w:t>first century</w:t>
      </w:r>
      <w:r w:rsidRPr="008C6227">
        <w:rPr>
          <w:rFonts w:ascii="Times New Roman" w:hAnsi="Times New Roman" w:cs="Times New Roman"/>
        </w:rPr>
        <w:t>. Harvard University Press.</w:t>
      </w:r>
    </w:p>
    <w:p w14:paraId="0E842C7B" w14:textId="52007298" w:rsidR="00EF2EB4" w:rsidRPr="008C6227" w:rsidRDefault="00EF2EB4" w:rsidP="008C6227">
      <w:pPr>
        <w:spacing w:line="360" w:lineRule="auto"/>
        <w:jc w:val="both"/>
        <w:rPr>
          <w:rFonts w:ascii="Times New Roman" w:hAnsi="Times New Roman" w:cs="Times New Roman"/>
        </w:rPr>
      </w:pPr>
      <w:r w:rsidRPr="008C6227">
        <w:rPr>
          <w:rFonts w:ascii="Times New Roman" w:hAnsi="Times New Roman" w:cs="Times New Roman"/>
        </w:rPr>
        <w:t xml:space="preserve">Sunstein, C. R. (2014). Nudging: A very short guide. </w:t>
      </w:r>
      <w:r w:rsidRPr="008C6227">
        <w:rPr>
          <w:rFonts w:ascii="Times New Roman" w:hAnsi="Times New Roman" w:cs="Times New Roman"/>
          <w:i/>
          <w:iCs/>
        </w:rPr>
        <w:t>Journal of Consumer Policy, 37</w:t>
      </w:r>
      <w:r w:rsidRPr="008C6227">
        <w:rPr>
          <w:rFonts w:ascii="Times New Roman" w:hAnsi="Times New Roman" w:cs="Times New Roman"/>
        </w:rPr>
        <w:t>(4), 583</w:t>
      </w:r>
      <w:r w:rsidR="0003486A" w:rsidRPr="008C6227">
        <w:rPr>
          <w:rFonts w:ascii="Times New Roman" w:hAnsi="Times New Roman" w:cs="Times New Roman"/>
        </w:rPr>
        <w:t>–</w:t>
      </w:r>
      <w:r w:rsidRPr="008C6227">
        <w:rPr>
          <w:rFonts w:ascii="Times New Roman" w:hAnsi="Times New Roman" w:cs="Times New Roman"/>
        </w:rPr>
        <w:t xml:space="preserve">588. </w:t>
      </w:r>
      <w:hyperlink r:id="rId21" w:history="1">
        <w:r w:rsidR="00C913DC" w:rsidRPr="008C6227">
          <w:rPr>
            <w:rStyle w:val="Hyperlink"/>
            <w:rFonts w:ascii="Times New Roman" w:hAnsi="Times New Roman" w:cs="Times New Roman"/>
          </w:rPr>
          <w:t>https://doi.org/10.1007/s10603</w:t>
        </w:r>
        <w:r w:rsidR="0003486A" w:rsidRPr="008C6227">
          <w:rPr>
            <w:rStyle w:val="Hyperlink"/>
            <w:rFonts w:ascii="Times New Roman" w:hAnsi="Times New Roman" w:cs="Times New Roman"/>
          </w:rPr>
          <w:t>–</w:t>
        </w:r>
        <w:r w:rsidR="00C913DC" w:rsidRPr="008C6227">
          <w:rPr>
            <w:rStyle w:val="Hyperlink"/>
            <w:rFonts w:ascii="Times New Roman" w:hAnsi="Times New Roman" w:cs="Times New Roman"/>
          </w:rPr>
          <w:t>014</w:t>
        </w:r>
        <w:r w:rsidR="0003486A" w:rsidRPr="008C6227">
          <w:rPr>
            <w:rStyle w:val="Hyperlink"/>
            <w:rFonts w:ascii="Times New Roman" w:hAnsi="Times New Roman" w:cs="Times New Roman"/>
          </w:rPr>
          <w:t>–</w:t>
        </w:r>
        <w:r w:rsidR="00C913DC" w:rsidRPr="008C6227">
          <w:rPr>
            <w:rStyle w:val="Hyperlink"/>
            <w:rFonts w:ascii="Times New Roman" w:hAnsi="Times New Roman" w:cs="Times New Roman"/>
          </w:rPr>
          <w:t>9273</w:t>
        </w:r>
        <w:r w:rsidR="0003486A" w:rsidRPr="008C6227">
          <w:rPr>
            <w:rStyle w:val="Hyperlink"/>
            <w:rFonts w:ascii="Times New Roman" w:hAnsi="Times New Roman" w:cs="Times New Roman"/>
          </w:rPr>
          <w:t>–</w:t>
        </w:r>
        <w:r w:rsidR="00C913DC" w:rsidRPr="008C6227">
          <w:rPr>
            <w:rStyle w:val="Hyperlink"/>
            <w:rFonts w:ascii="Times New Roman" w:hAnsi="Times New Roman" w:cs="Times New Roman"/>
          </w:rPr>
          <w:t>1</w:t>
        </w:r>
      </w:hyperlink>
    </w:p>
    <w:p w14:paraId="7FAB1AEF" w14:textId="77777777" w:rsidR="00EF2EB4" w:rsidRPr="008C6227" w:rsidRDefault="00EF2EB4" w:rsidP="008C6227">
      <w:pPr>
        <w:spacing w:line="360" w:lineRule="auto"/>
        <w:jc w:val="both"/>
        <w:rPr>
          <w:rFonts w:ascii="Times New Roman" w:hAnsi="Times New Roman" w:cs="Times New Roman"/>
        </w:rPr>
      </w:pPr>
      <w:r w:rsidRPr="008C6227">
        <w:rPr>
          <w:rFonts w:ascii="Times New Roman" w:hAnsi="Times New Roman" w:cs="Times New Roman"/>
        </w:rPr>
        <w:lastRenderedPageBreak/>
        <w:t xml:space="preserve">Thaler, R. H., &amp; Sunstein, C. R. (2008). </w:t>
      </w:r>
      <w:r w:rsidRPr="008C6227">
        <w:rPr>
          <w:rFonts w:ascii="Times New Roman" w:hAnsi="Times New Roman" w:cs="Times New Roman"/>
          <w:i/>
          <w:iCs/>
        </w:rPr>
        <w:t>Nudge: Improving decisions about health, wealth, and happiness</w:t>
      </w:r>
      <w:r w:rsidRPr="008C6227">
        <w:rPr>
          <w:rFonts w:ascii="Times New Roman" w:hAnsi="Times New Roman" w:cs="Times New Roman"/>
        </w:rPr>
        <w:t>. Yale University Press.</w:t>
      </w:r>
    </w:p>
    <w:p w14:paraId="3EE6BB6B" w14:textId="290A8858" w:rsidR="00B03968" w:rsidRPr="008C6227" w:rsidRDefault="00EF2EB4" w:rsidP="008C6227">
      <w:pPr>
        <w:spacing w:line="360" w:lineRule="auto"/>
        <w:jc w:val="both"/>
        <w:rPr>
          <w:rFonts w:ascii="Times New Roman" w:hAnsi="Times New Roman" w:cs="Times New Roman"/>
        </w:rPr>
      </w:pPr>
      <w:r w:rsidRPr="008C6227">
        <w:rPr>
          <w:rFonts w:ascii="Times New Roman" w:hAnsi="Times New Roman" w:cs="Times New Roman"/>
        </w:rPr>
        <w:t xml:space="preserve">Tversky, A., &amp; Kahneman, D. (1974). Judgment under uncertainty: Heuristics and biases. </w:t>
      </w:r>
      <w:r w:rsidRPr="008C6227">
        <w:rPr>
          <w:rFonts w:ascii="Times New Roman" w:hAnsi="Times New Roman" w:cs="Times New Roman"/>
          <w:i/>
          <w:iCs/>
        </w:rPr>
        <w:t>Science, 185</w:t>
      </w:r>
      <w:r w:rsidRPr="008C6227">
        <w:rPr>
          <w:rFonts w:ascii="Times New Roman" w:hAnsi="Times New Roman" w:cs="Times New Roman"/>
        </w:rPr>
        <w:t>(4157), 1124</w:t>
      </w:r>
      <w:r w:rsidR="0003486A" w:rsidRPr="008C6227">
        <w:rPr>
          <w:rFonts w:ascii="Times New Roman" w:hAnsi="Times New Roman" w:cs="Times New Roman"/>
        </w:rPr>
        <w:t>–</w:t>
      </w:r>
      <w:r w:rsidRPr="008C6227">
        <w:rPr>
          <w:rFonts w:ascii="Times New Roman" w:hAnsi="Times New Roman" w:cs="Times New Roman"/>
        </w:rPr>
        <w:t xml:space="preserve">1131. </w:t>
      </w:r>
      <w:hyperlink r:id="rId22" w:history="1">
        <w:r w:rsidR="00B03968" w:rsidRPr="008C6227">
          <w:rPr>
            <w:rStyle w:val="Hyperlink"/>
            <w:rFonts w:ascii="Times New Roman" w:hAnsi="Times New Roman" w:cs="Times New Roman"/>
          </w:rPr>
          <w:t>https://doi.org/10.1126/science.185.4157.1124</w:t>
        </w:r>
      </w:hyperlink>
    </w:p>
    <w:sectPr w:rsidR="00B03968" w:rsidRPr="008C6227" w:rsidSect="00196047">
      <w:footerReference w:type="default" r:id="rId23"/>
      <w:pgSz w:w="12240" w:h="15840"/>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1C140" w14:textId="77777777" w:rsidR="00000C76" w:rsidRDefault="00000C76" w:rsidP="00272DF3">
      <w:pPr>
        <w:spacing w:after="0" w:line="240" w:lineRule="auto"/>
      </w:pPr>
      <w:r>
        <w:separator/>
      </w:r>
    </w:p>
  </w:endnote>
  <w:endnote w:type="continuationSeparator" w:id="0">
    <w:p w14:paraId="5D9410F9" w14:textId="77777777" w:rsidR="00000C76" w:rsidRDefault="00000C76" w:rsidP="00272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72787304"/>
      <w:docPartObj>
        <w:docPartGallery w:val="Page Numbers (Bottom of Page)"/>
        <w:docPartUnique/>
      </w:docPartObj>
    </w:sdtPr>
    <w:sdtEndPr>
      <w:rPr>
        <w:noProof/>
      </w:rPr>
    </w:sdtEndPr>
    <w:sdtContent>
      <w:p w14:paraId="1E5F7C5B" w14:textId="3ADAD256" w:rsidR="00272DF3" w:rsidRPr="00272DF3" w:rsidRDefault="00272DF3">
        <w:pPr>
          <w:pStyle w:val="Footer"/>
          <w:jc w:val="right"/>
          <w:rPr>
            <w:rFonts w:ascii="Times New Roman" w:hAnsi="Times New Roman" w:cs="Times New Roman"/>
          </w:rPr>
        </w:pPr>
        <w:r w:rsidRPr="00272DF3">
          <w:rPr>
            <w:rFonts w:ascii="Times New Roman" w:hAnsi="Times New Roman" w:cs="Times New Roman"/>
          </w:rPr>
          <w:fldChar w:fldCharType="begin"/>
        </w:r>
        <w:r w:rsidRPr="00272DF3">
          <w:rPr>
            <w:rFonts w:ascii="Times New Roman" w:hAnsi="Times New Roman" w:cs="Times New Roman"/>
          </w:rPr>
          <w:instrText xml:space="preserve"> PAGE   \* MERGEFORMAT </w:instrText>
        </w:r>
        <w:r w:rsidRPr="00272DF3">
          <w:rPr>
            <w:rFonts w:ascii="Times New Roman" w:hAnsi="Times New Roman" w:cs="Times New Roman"/>
          </w:rPr>
          <w:fldChar w:fldCharType="separate"/>
        </w:r>
        <w:r w:rsidRPr="00272DF3">
          <w:rPr>
            <w:rFonts w:ascii="Times New Roman" w:hAnsi="Times New Roman" w:cs="Times New Roman"/>
            <w:noProof/>
          </w:rPr>
          <w:t>2</w:t>
        </w:r>
        <w:r w:rsidRPr="00272DF3">
          <w:rPr>
            <w:rFonts w:ascii="Times New Roman" w:hAnsi="Times New Roman" w:cs="Times New Roman"/>
            <w:noProof/>
          </w:rPr>
          <w:fldChar w:fldCharType="end"/>
        </w:r>
      </w:p>
    </w:sdtContent>
  </w:sdt>
  <w:p w14:paraId="00A46C3C" w14:textId="77777777" w:rsidR="00272DF3" w:rsidRDefault="00272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9B0ED" w14:textId="77777777" w:rsidR="00000C76" w:rsidRDefault="00000C76" w:rsidP="00272DF3">
      <w:pPr>
        <w:spacing w:after="0" w:line="240" w:lineRule="auto"/>
      </w:pPr>
      <w:r>
        <w:separator/>
      </w:r>
    </w:p>
  </w:footnote>
  <w:footnote w:type="continuationSeparator" w:id="0">
    <w:p w14:paraId="13D5964C" w14:textId="77777777" w:rsidR="00000C76" w:rsidRDefault="00000C76" w:rsidP="00272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45E88"/>
    <w:multiLevelType w:val="multilevel"/>
    <w:tmpl w:val="842C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CF3E77"/>
    <w:multiLevelType w:val="multilevel"/>
    <w:tmpl w:val="59F8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262A86"/>
    <w:multiLevelType w:val="multilevel"/>
    <w:tmpl w:val="FD6E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9225D9"/>
    <w:multiLevelType w:val="multilevel"/>
    <w:tmpl w:val="5632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393208">
    <w:abstractNumId w:val="1"/>
  </w:num>
  <w:num w:numId="2" w16cid:durableId="342055119">
    <w:abstractNumId w:val="3"/>
  </w:num>
  <w:num w:numId="3" w16cid:durableId="1460147189">
    <w:abstractNumId w:val="0"/>
  </w:num>
  <w:num w:numId="4" w16cid:durableId="1112020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99"/>
    <w:rsid w:val="00000C76"/>
    <w:rsid w:val="00010F89"/>
    <w:rsid w:val="00017E0D"/>
    <w:rsid w:val="0003486A"/>
    <w:rsid w:val="00066D76"/>
    <w:rsid w:val="000701B5"/>
    <w:rsid w:val="00072235"/>
    <w:rsid w:val="000760C7"/>
    <w:rsid w:val="00081B4F"/>
    <w:rsid w:val="00092899"/>
    <w:rsid w:val="000B340A"/>
    <w:rsid w:val="000C1635"/>
    <w:rsid w:val="000D1CBD"/>
    <w:rsid w:val="00162F3D"/>
    <w:rsid w:val="00196047"/>
    <w:rsid w:val="001A5B9E"/>
    <w:rsid w:val="001D328E"/>
    <w:rsid w:val="001D50C5"/>
    <w:rsid w:val="00205954"/>
    <w:rsid w:val="002341AB"/>
    <w:rsid w:val="00262C4B"/>
    <w:rsid w:val="00271091"/>
    <w:rsid w:val="00272DF3"/>
    <w:rsid w:val="00275EC2"/>
    <w:rsid w:val="002D7491"/>
    <w:rsid w:val="002E576D"/>
    <w:rsid w:val="00312EFE"/>
    <w:rsid w:val="003B4128"/>
    <w:rsid w:val="003C4842"/>
    <w:rsid w:val="003E0142"/>
    <w:rsid w:val="003E4870"/>
    <w:rsid w:val="0041093F"/>
    <w:rsid w:val="004207F5"/>
    <w:rsid w:val="004E401F"/>
    <w:rsid w:val="004F7FC4"/>
    <w:rsid w:val="005469E4"/>
    <w:rsid w:val="00560791"/>
    <w:rsid w:val="00574D68"/>
    <w:rsid w:val="005B7CD9"/>
    <w:rsid w:val="005D0FDD"/>
    <w:rsid w:val="005D490B"/>
    <w:rsid w:val="005F2120"/>
    <w:rsid w:val="006105C8"/>
    <w:rsid w:val="006163E8"/>
    <w:rsid w:val="00653085"/>
    <w:rsid w:val="00671180"/>
    <w:rsid w:val="00686846"/>
    <w:rsid w:val="006A710B"/>
    <w:rsid w:val="006D1D3B"/>
    <w:rsid w:val="00712424"/>
    <w:rsid w:val="0071278C"/>
    <w:rsid w:val="00726090"/>
    <w:rsid w:val="00731D6B"/>
    <w:rsid w:val="007467A0"/>
    <w:rsid w:val="00777442"/>
    <w:rsid w:val="00777979"/>
    <w:rsid w:val="00793EFB"/>
    <w:rsid w:val="007C1841"/>
    <w:rsid w:val="007D3070"/>
    <w:rsid w:val="007E6DB2"/>
    <w:rsid w:val="00833A8A"/>
    <w:rsid w:val="008415F9"/>
    <w:rsid w:val="008A0E77"/>
    <w:rsid w:val="008C6227"/>
    <w:rsid w:val="009079EE"/>
    <w:rsid w:val="00907AE7"/>
    <w:rsid w:val="009164BB"/>
    <w:rsid w:val="00935BED"/>
    <w:rsid w:val="009650A4"/>
    <w:rsid w:val="00981E92"/>
    <w:rsid w:val="00985F71"/>
    <w:rsid w:val="009A6131"/>
    <w:rsid w:val="009B2A3A"/>
    <w:rsid w:val="009D2522"/>
    <w:rsid w:val="009F670E"/>
    <w:rsid w:val="00A16926"/>
    <w:rsid w:val="00A26316"/>
    <w:rsid w:val="00A350AF"/>
    <w:rsid w:val="00A573CA"/>
    <w:rsid w:val="00A85AC4"/>
    <w:rsid w:val="00AA29E8"/>
    <w:rsid w:val="00AA4BE8"/>
    <w:rsid w:val="00AB036A"/>
    <w:rsid w:val="00B03968"/>
    <w:rsid w:val="00B06E2B"/>
    <w:rsid w:val="00B215F1"/>
    <w:rsid w:val="00B640E3"/>
    <w:rsid w:val="00B716D5"/>
    <w:rsid w:val="00B83B24"/>
    <w:rsid w:val="00BD3DCD"/>
    <w:rsid w:val="00BE2873"/>
    <w:rsid w:val="00C04F8D"/>
    <w:rsid w:val="00C165A0"/>
    <w:rsid w:val="00C2321A"/>
    <w:rsid w:val="00C27717"/>
    <w:rsid w:val="00C53C78"/>
    <w:rsid w:val="00C63241"/>
    <w:rsid w:val="00C64D46"/>
    <w:rsid w:val="00C913DC"/>
    <w:rsid w:val="00C9713D"/>
    <w:rsid w:val="00CC4784"/>
    <w:rsid w:val="00CE2DF4"/>
    <w:rsid w:val="00D0363F"/>
    <w:rsid w:val="00D47DAE"/>
    <w:rsid w:val="00D77A30"/>
    <w:rsid w:val="00D84FFE"/>
    <w:rsid w:val="00DB58F0"/>
    <w:rsid w:val="00DC18EF"/>
    <w:rsid w:val="00DC73AB"/>
    <w:rsid w:val="00DD2A65"/>
    <w:rsid w:val="00DF35AD"/>
    <w:rsid w:val="00E07E10"/>
    <w:rsid w:val="00E21187"/>
    <w:rsid w:val="00E23871"/>
    <w:rsid w:val="00E56692"/>
    <w:rsid w:val="00E6669B"/>
    <w:rsid w:val="00E932AD"/>
    <w:rsid w:val="00EA3F5D"/>
    <w:rsid w:val="00EC5B1C"/>
    <w:rsid w:val="00EC7B99"/>
    <w:rsid w:val="00EC7ED4"/>
    <w:rsid w:val="00EF2EB4"/>
    <w:rsid w:val="00F0366A"/>
    <w:rsid w:val="00F509C8"/>
    <w:rsid w:val="00F714A4"/>
    <w:rsid w:val="00F85CE3"/>
    <w:rsid w:val="00FA6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CE4A9"/>
  <w15:chartTrackingRefBased/>
  <w15:docId w15:val="{51AB71C2-FDA9-46E1-B6B3-F94929EF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28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8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8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8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8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8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8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8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8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28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8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8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899"/>
    <w:rPr>
      <w:rFonts w:eastAsiaTheme="majorEastAsia" w:cstheme="majorBidi"/>
      <w:color w:val="272727" w:themeColor="text1" w:themeTint="D8"/>
    </w:rPr>
  </w:style>
  <w:style w:type="paragraph" w:styleId="Title">
    <w:name w:val="Title"/>
    <w:basedOn w:val="Normal"/>
    <w:next w:val="Normal"/>
    <w:link w:val="TitleChar"/>
    <w:uiPriority w:val="10"/>
    <w:qFormat/>
    <w:rsid w:val="00092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8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899"/>
    <w:pPr>
      <w:spacing w:before="160"/>
      <w:jc w:val="center"/>
    </w:pPr>
    <w:rPr>
      <w:i/>
      <w:iCs/>
      <w:color w:val="404040" w:themeColor="text1" w:themeTint="BF"/>
    </w:rPr>
  </w:style>
  <w:style w:type="character" w:customStyle="1" w:styleId="QuoteChar">
    <w:name w:val="Quote Char"/>
    <w:basedOn w:val="DefaultParagraphFont"/>
    <w:link w:val="Quote"/>
    <w:uiPriority w:val="29"/>
    <w:rsid w:val="00092899"/>
    <w:rPr>
      <w:i/>
      <w:iCs/>
      <w:color w:val="404040" w:themeColor="text1" w:themeTint="BF"/>
    </w:rPr>
  </w:style>
  <w:style w:type="paragraph" w:styleId="ListParagraph">
    <w:name w:val="List Paragraph"/>
    <w:basedOn w:val="Normal"/>
    <w:uiPriority w:val="34"/>
    <w:qFormat/>
    <w:rsid w:val="00092899"/>
    <w:pPr>
      <w:ind w:left="720"/>
      <w:contextualSpacing/>
    </w:pPr>
  </w:style>
  <w:style w:type="character" w:styleId="IntenseEmphasis">
    <w:name w:val="Intense Emphasis"/>
    <w:basedOn w:val="DefaultParagraphFont"/>
    <w:uiPriority w:val="21"/>
    <w:qFormat/>
    <w:rsid w:val="00092899"/>
    <w:rPr>
      <w:i/>
      <w:iCs/>
      <w:color w:val="0F4761" w:themeColor="accent1" w:themeShade="BF"/>
    </w:rPr>
  </w:style>
  <w:style w:type="paragraph" w:styleId="IntenseQuote">
    <w:name w:val="Intense Quote"/>
    <w:basedOn w:val="Normal"/>
    <w:next w:val="Normal"/>
    <w:link w:val="IntenseQuoteChar"/>
    <w:uiPriority w:val="30"/>
    <w:qFormat/>
    <w:rsid w:val="00092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899"/>
    <w:rPr>
      <w:i/>
      <w:iCs/>
      <w:color w:val="0F4761" w:themeColor="accent1" w:themeShade="BF"/>
    </w:rPr>
  </w:style>
  <w:style w:type="character" w:styleId="IntenseReference">
    <w:name w:val="Intense Reference"/>
    <w:basedOn w:val="DefaultParagraphFont"/>
    <w:uiPriority w:val="32"/>
    <w:qFormat/>
    <w:rsid w:val="00092899"/>
    <w:rPr>
      <w:b/>
      <w:bCs/>
      <w:smallCaps/>
      <w:color w:val="0F4761" w:themeColor="accent1" w:themeShade="BF"/>
      <w:spacing w:val="5"/>
    </w:rPr>
  </w:style>
  <w:style w:type="paragraph" w:styleId="Header">
    <w:name w:val="header"/>
    <w:basedOn w:val="Normal"/>
    <w:link w:val="HeaderChar"/>
    <w:uiPriority w:val="99"/>
    <w:unhideWhenUsed/>
    <w:rsid w:val="00272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DF3"/>
  </w:style>
  <w:style w:type="paragraph" w:styleId="Footer">
    <w:name w:val="footer"/>
    <w:basedOn w:val="Normal"/>
    <w:link w:val="FooterChar"/>
    <w:uiPriority w:val="99"/>
    <w:unhideWhenUsed/>
    <w:rsid w:val="00272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DF3"/>
  </w:style>
  <w:style w:type="paragraph" w:styleId="Revision">
    <w:name w:val="Revision"/>
    <w:hidden/>
    <w:uiPriority w:val="99"/>
    <w:semiHidden/>
    <w:rsid w:val="007D3070"/>
    <w:pPr>
      <w:spacing w:after="0" w:line="240" w:lineRule="auto"/>
    </w:pPr>
  </w:style>
  <w:style w:type="paragraph" w:styleId="NormalWeb">
    <w:name w:val="Normal (Web)"/>
    <w:basedOn w:val="Normal"/>
    <w:uiPriority w:val="99"/>
    <w:semiHidden/>
    <w:unhideWhenUsed/>
    <w:rsid w:val="009164BB"/>
    <w:pPr>
      <w:spacing w:before="100" w:beforeAutospacing="1" w:after="100" w:afterAutospacing="1" w:line="240" w:lineRule="auto"/>
    </w:pPr>
    <w:rPr>
      <w:rFonts w:ascii="Times New Roman" w:eastAsia="Times New Roman" w:hAnsi="Times New Roman" w:cs="Times New Roman"/>
      <w:kern w:val="0"/>
      <w:lang w:val="pt-BR" w:eastAsia="pt-BR"/>
      <w14:ligatures w14:val="none"/>
    </w:rPr>
  </w:style>
  <w:style w:type="paragraph" w:styleId="Caption">
    <w:name w:val="caption"/>
    <w:basedOn w:val="Normal"/>
    <w:next w:val="Normal"/>
    <w:uiPriority w:val="35"/>
    <w:unhideWhenUsed/>
    <w:qFormat/>
    <w:rsid w:val="00C64D46"/>
    <w:pPr>
      <w:spacing w:after="200" w:line="240" w:lineRule="auto"/>
    </w:pPr>
    <w:rPr>
      <w:i/>
      <w:iCs/>
      <w:color w:val="0E2841" w:themeColor="text2"/>
      <w:sz w:val="18"/>
      <w:szCs w:val="18"/>
    </w:rPr>
  </w:style>
  <w:style w:type="character" w:styleId="Hyperlink">
    <w:name w:val="Hyperlink"/>
    <w:basedOn w:val="DefaultParagraphFont"/>
    <w:uiPriority w:val="99"/>
    <w:unhideWhenUsed/>
    <w:rsid w:val="009650A4"/>
    <w:rPr>
      <w:color w:val="467886" w:themeColor="hyperlink"/>
      <w:u w:val="single"/>
    </w:rPr>
  </w:style>
  <w:style w:type="character" w:styleId="UnresolvedMention">
    <w:name w:val="Unresolved Mention"/>
    <w:basedOn w:val="DefaultParagraphFont"/>
    <w:uiPriority w:val="99"/>
    <w:semiHidden/>
    <w:unhideWhenUsed/>
    <w:rsid w:val="00965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13275">
      <w:bodyDiv w:val="1"/>
      <w:marLeft w:val="0"/>
      <w:marRight w:val="0"/>
      <w:marTop w:val="0"/>
      <w:marBottom w:val="0"/>
      <w:divBdr>
        <w:top w:val="none" w:sz="0" w:space="0" w:color="auto"/>
        <w:left w:val="none" w:sz="0" w:space="0" w:color="auto"/>
        <w:bottom w:val="none" w:sz="0" w:space="0" w:color="auto"/>
        <w:right w:val="none" w:sz="0" w:space="0" w:color="auto"/>
      </w:divBdr>
    </w:div>
    <w:div w:id="139929123">
      <w:bodyDiv w:val="1"/>
      <w:marLeft w:val="0"/>
      <w:marRight w:val="0"/>
      <w:marTop w:val="0"/>
      <w:marBottom w:val="0"/>
      <w:divBdr>
        <w:top w:val="none" w:sz="0" w:space="0" w:color="auto"/>
        <w:left w:val="none" w:sz="0" w:space="0" w:color="auto"/>
        <w:bottom w:val="none" w:sz="0" w:space="0" w:color="auto"/>
        <w:right w:val="none" w:sz="0" w:space="0" w:color="auto"/>
      </w:divBdr>
    </w:div>
    <w:div w:id="165437976">
      <w:bodyDiv w:val="1"/>
      <w:marLeft w:val="0"/>
      <w:marRight w:val="0"/>
      <w:marTop w:val="0"/>
      <w:marBottom w:val="0"/>
      <w:divBdr>
        <w:top w:val="none" w:sz="0" w:space="0" w:color="auto"/>
        <w:left w:val="none" w:sz="0" w:space="0" w:color="auto"/>
        <w:bottom w:val="none" w:sz="0" w:space="0" w:color="auto"/>
        <w:right w:val="none" w:sz="0" w:space="0" w:color="auto"/>
      </w:divBdr>
      <w:divsChild>
        <w:div w:id="1316570523">
          <w:marLeft w:val="0"/>
          <w:marRight w:val="0"/>
          <w:marTop w:val="0"/>
          <w:marBottom w:val="0"/>
          <w:divBdr>
            <w:top w:val="none" w:sz="0" w:space="0" w:color="auto"/>
            <w:left w:val="none" w:sz="0" w:space="0" w:color="auto"/>
            <w:bottom w:val="none" w:sz="0" w:space="0" w:color="auto"/>
            <w:right w:val="none" w:sz="0" w:space="0" w:color="auto"/>
          </w:divBdr>
        </w:div>
      </w:divsChild>
    </w:div>
    <w:div w:id="407770717">
      <w:bodyDiv w:val="1"/>
      <w:marLeft w:val="0"/>
      <w:marRight w:val="0"/>
      <w:marTop w:val="0"/>
      <w:marBottom w:val="0"/>
      <w:divBdr>
        <w:top w:val="none" w:sz="0" w:space="0" w:color="auto"/>
        <w:left w:val="none" w:sz="0" w:space="0" w:color="auto"/>
        <w:bottom w:val="none" w:sz="0" w:space="0" w:color="auto"/>
        <w:right w:val="none" w:sz="0" w:space="0" w:color="auto"/>
      </w:divBdr>
      <w:divsChild>
        <w:div w:id="264001811">
          <w:marLeft w:val="0"/>
          <w:marRight w:val="0"/>
          <w:marTop w:val="0"/>
          <w:marBottom w:val="0"/>
          <w:divBdr>
            <w:top w:val="none" w:sz="0" w:space="0" w:color="auto"/>
            <w:left w:val="none" w:sz="0" w:space="0" w:color="auto"/>
            <w:bottom w:val="none" w:sz="0" w:space="0" w:color="auto"/>
            <w:right w:val="none" w:sz="0" w:space="0" w:color="auto"/>
          </w:divBdr>
        </w:div>
      </w:divsChild>
    </w:div>
    <w:div w:id="423306738">
      <w:bodyDiv w:val="1"/>
      <w:marLeft w:val="0"/>
      <w:marRight w:val="0"/>
      <w:marTop w:val="0"/>
      <w:marBottom w:val="0"/>
      <w:divBdr>
        <w:top w:val="none" w:sz="0" w:space="0" w:color="auto"/>
        <w:left w:val="none" w:sz="0" w:space="0" w:color="auto"/>
        <w:bottom w:val="none" w:sz="0" w:space="0" w:color="auto"/>
        <w:right w:val="none" w:sz="0" w:space="0" w:color="auto"/>
      </w:divBdr>
      <w:divsChild>
        <w:div w:id="1083726618">
          <w:marLeft w:val="0"/>
          <w:marRight w:val="0"/>
          <w:marTop w:val="0"/>
          <w:marBottom w:val="0"/>
          <w:divBdr>
            <w:top w:val="none" w:sz="0" w:space="0" w:color="auto"/>
            <w:left w:val="none" w:sz="0" w:space="0" w:color="auto"/>
            <w:bottom w:val="none" w:sz="0" w:space="0" w:color="auto"/>
            <w:right w:val="none" w:sz="0" w:space="0" w:color="auto"/>
          </w:divBdr>
          <w:divsChild>
            <w:div w:id="1576862975">
              <w:marLeft w:val="0"/>
              <w:marRight w:val="0"/>
              <w:marTop w:val="0"/>
              <w:marBottom w:val="0"/>
              <w:divBdr>
                <w:top w:val="none" w:sz="0" w:space="0" w:color="auto"/>
                <w:left w:val="none" w:sz="0" w:space="0" w:color="auto"/>
                <w:bottom w:val="none" w:sz="0" w:space="0" w:color="auto"/>
                <w:right w:val="none" w:sz="0" w:space="0" w:color="auto"/>
              </w:divBdr>
              <w:divsChild>
                <w:div w:id="1276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56640">
      <w:bodyDiv w:val="1"/>
      <w:marLeft w:val="0"/>
      <w:marRight w:val="0"/>
      <w:marTop w:val="0"/>
      <w:marBottom w:val="0"/>
      <w:divBdr>
        <w:top w:val="none" w:sz="0" w:space="0" w:color="auto"/>
        <w:left w:val="none" w:sz="0" w:space="0" w:color="auto"/>
        <w:bottom w:val="none" w:sz="0" w:space="0" w:color="auto"/>
        <w:right w:val="none" w:sz="0" w:space="0" w:color="auto"/>
      </w:divBdr>
    </w:div>
    <w:div w:id="479615351">
      <w:bodyDiv w:val="1"/>
      <w:marLeft w:val="0"/>
      <w:marRight w:val="0"/>
      <w:marTop w:val="0"/>
      <w:marBottom w:val="0"/>
      <w:divBdr>
        <w:top w:val="none" w:sz="0" w:space="0" w:color="auto"/>
        <w:left w:val="none" w:sz="0" w:space="0" w:color="auto"/>
        <w:bottom w:val="none" w:sz="0" w:space="0" w:color="auto"/>
        <w:right w:val="none" w:sz="0" w:space="0" w:color="auto"/>
      </w:divBdr>
    </w:div>
    <w:div w:id="512455957">
      <w:bodyDiv w:val="1"/>
      <w:marLeft w:val="0"/>
      <w:marRight w:val="0"/>
      <w:marTop w:val="0"/>
      <w:marBottom w:val="0"/>
      <w:divBdr>
        <w:top w:val="none" w:sz="0" w:space="0" w:color="auto"/>
        <w:left w:val="none" w:sz="0" w:space="0" w:color="auto"/>
        <w:bottom w:val="none" w:sz="0" w:space="0" w:color="auto"/>
        <w:right w:val="none" w:sz="0" w:space="0" w:color="auto"/>
      </w:divBdr>
    </w:div>
    <w:div w:id="581985658">
      <w:bodyDiv w:val="1"/>
      <w:marLeft w:val="0"/>
      <w:marRight w:val="0"/>
      <w:marTop w:val="0"/>
      <w:marBottom w:val="0"/>
      <w:divBdr>
        <w:top w:val="none" w:sz="0" w:space="0" w:color="auto"/>
        <w:left w:val="none" w:sz="0" w:space="0" w:color="auto"/>
        <w:bottom w:val="none" w:sz="0" w:space="0" w:color="auto"/>
        <w:right w:val="none" w:sz="0" w:space="0" w:color="auto"/>
      </w:divBdr>
      <w:divsChild>
        <w:div w:id="945160363">
          <w:marLeft w:val="0"/>
          <w:marRight w:val="0"/>
          <w:marTop w:val="0"/>
          <w:marBottom w:val="0"/>
          <w:divBdr>
            <w:top w:val="none" w:sz="0" w:space="0" w:color="auto"/>
            <w:left w:val="none" w:sz="0" w:space="0" w:color="auto"/>
            <w:bottom w:val="none" w:sz="0" w:space="0" w:color="auto"/>
            <w:right w:val="none" w:sz="0" w:space="0" w:color="auto"/>
          </w:divBdr>
          <w:divsChild>
            <w:div w:id="21638572">
              <w:marLeft w:val="0"/>
              <w:marRight w:val="0"/>
              <w:marTop w:val="0"/>
              <w:marBottom w:val="0"/>
              <w:divBdr>
                <w:top w:val="none" w:sz="0" w:space="0" w:color="auto"/>
                <w:left w:val="none" w:sz="0" w:space="0" w:color="auto"/>
                <w:bottom w:val="none" w:sz="0" w:space="0" w:color="auto"/>
                <w:right w:val="none" w:sz="0" w:space="0" w:color="auto"/>
              </w:divBdr>
              <w:divsChild>
                <w:div w:id="105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8237">
      <w:bodyDiv w:val="1"/>
      <w:marLeft w:val="0"/>
      <w:marRight w:val="0"/>
      <w:marTop w:val="0"/>
      <w:marBottom w:val="0"/>
      <w:divBdr>
        <w:top w:val="none" w:sz="0" w:space="0" w:color="auto"/>
        <w:left w:val="none" w:sz="0" w:space="0" w:color="auto"/>
        <w:bottom w:val="none" w:sz="0" w:space="0" w:color="auto"/>
        <w:right w:val="none" w:sz="0" w:space="0" w:color="auto"/>
      </w:divBdr>
    </w:div>
    <w:div w:id="812215988">
      <w:bodyDiv w:val="1"/>
      <w:marLeft w:val="0"/>
      <w:marRight w:val="0"/>
      <w:marTop w:val="0"/>
      <w:marBottom w:val="0"/>
      <w:divBdr>
        <w:top w:val="none" w:sz="0" w:space="0" w:color="auto"/>
        <w:left w:val="none" w:sz="0" w:space="0" w:color="auto"/>
        <w:bottom w:val="none" w:sz="0" w:space="0" w:color="auto"/>
        <w:right w:val="none" w:sz="0" w:space="0" w:color="auto"/>
      </w:divBdr>
    </w:div>
    <w:div w:id="853611712">
      <w:bodyDiv w:val="1"/>
      <w:marLeft w:val="0"/>
      <w:marRight w:val="0"/>
      <w:marTop w:val="0"/>
      <w:marBottom w:val="0"/>
      <w:divBdr>
        <w:top w:val="none" w:sz="0" w:space="0" w:color="auto"/>
        <w:left w:val="none" w:sz="0" w:space="0" w:color="auto"/>
        <w:bottom w:val="none" w:sz="0" w:space="0" w:color="auto"/>
        <w:right w:val="none" w:sz="0" w:space="0" w:color="auto"/>
      </w:divBdr>
    </w:div>
    <w:div w:id="940184619">
      <w:bodyDiv w:val="1"/>
      <w:marLeft w:val="0"/>
      <w:marRight w:val="0"/>
      <w:marTop w:val="0"/>
      <w:marBottom w:val="0"/>
      <w:divBdr>
        <w:top w:val="none" w:sz="0" w:space="0" w:color="auto"/>
        <w:left w:val="none" w:sz="0" w:space="0" w:color="auto"/>
        <w:bottom w:val="none" w:sz="0" w:space="0" w:color="auto"/>
        <w:right w:val="none" w:sz="0" w:space="0" w:color="auto"/>
      </w:divBdr>
      <w:divsChild>
        <w:div w:id="63534039">
          <w:marLeft w:val="0"/>
          <w:marRight w:val="0"/>
          <w:marTop w:val="0"/>
          <w:marBottom w:val="0"/>
          <w:divBdr>
            <w:top w:val="none" w:sz="0" w:space="0" w:color="auto"/>
            <w:left w:val="none" w:sz="0" w:space="0" w:color="auto"/>
            <w:bottom w:val="none" w:sz="0" w:space="0" w:color="auto"/>
            <w:right w:val="none" w:sz="0" w:space="0" w:color="auto"/>
          </w:divBdr>
          <w:divsChild>
            <w:div w:id="346443874">
              <w:marLeft w:val="0"/>
              <w:marRight w:val="0"/>
              <w:marTop w:val="0"/>
              <w:marBottom w:val="0"/>
              <w:divBdr>
                <w:top w:val="none" w:sz="0" w:space="0" w:color="auto"/>
                <w:left w:val="none" w:sz="0" w:space="0" w:color="auto"/>
                <w:bottom w:val="none" w:sz="0" w:space="0" w:color="auto"/>
                <w:right w:val="none" w:sz="0" w:space="0" w:color="auto"/>
              </w:divBdr>
              <w:divsChild>
                <w:div w:id="103813402">
                  <w:marLeft w:val="0"/>
                  <w:marRight w:val="0"/>
                  <w:marTop w:val="0"/>
                  <w:marBottom w:val="0"/>
                  <w:divBdr>
                    <w:top w:val="none" w:sz="0" w:space="0" w:color="auto"/>
                    <w:left w:val="none" w:sz="0" w:space="0" w:color="auto"/>
                    <w:bottom w:val="none" w:sz="0" w:space="0" w:color="auto"/>
                    <w:right w:val="none" w:sz="0" w:space="0" w:color="auto"/>
                  </w:divBdr>
                </w:div>
              </w:divsChild>
            </w:div>
            <w:div w:id="1903368334">
              <w:marLeft w:val="0"/>
              <w:marRight w:val="0"/>
              <w:marTop w:val="0"/>
              <w:marBottom w:val="0"/>
              <w:divBdr>
                <w:top w:val="none" w:sz="0" w:space="0" w:color="auto"/>
                <w:left w:val="none" w:sz="0" w:space="0" w:color="auto"/>
                <w:bottom w:val="none" w:sz="0" w:space="0" w:color="auto"/>
                <w:right w:val="none" w:sz="0" w:space="0" w:color="auto"/>
              </w:divBdr>
              <w:divsChild>
                <w:div w:id="153885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30189">
          <w:marLeft w:val="0"/>
          <w:marRight w:val="0"/>
          <w:marTop w:val="0"/>
          <w:marBottom w:val="0"/>
          <w:divBdr>
            <w:top w:val="none" w:sz="0" w:space="0" w:color="auto"/>
            <w:left w:val="none" w:sz="0" w:space="0" w:color="auto"/>
            <w:bottom w:val="none" w:sz="0" w:space="0" w:color="auto"/>
            <w:right w:val="none" w:sz="0" w:space="0" w:color="auto"/>
          </w:divBdr>
          <w:divsChild>
            <w:div w:id="1692217331">
              <w:marLeft w:val="0"/>
              <w:marRight w:val="0"/>
              <w:marTop w:val="0"/>
              <w:marBottom w:val="0"/>
              <w:divBdr>
                <w:top w:val="none" w:sz="0" w:space="0" w:color="auto"/>
                <w:left w:val="none" w:sz="0" w:space="0" w:color="auto"/>
                <w:bottom w:val="none" w:sz="0" w:space="0" w:color="auto"/>
                <w:right w:val="none" w:sz="0" w:space="0" w:color="auto"/>
              </w:divBdr>
              <w:divsChild>
                <w:div w:id="6776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092402">
      <w:bodyDiv w:val="1"/>
      <w:marLeft w:val="0"/>
      <w:marRight w:val="0"/>
      <w:marTop w:val="0"/>
      <w:marBottom w:val="0"/>
      <w:divBdr>
        <w:top w:val="none" w:sz="0" w:space="0" w:color="auto"/>
        <w:left w:val="none" w:sz="0" w:space="0" w:color="auto"/>
        <w:bottom w:val="none" w:sz="0" w:space="0" w:color="auto"/>
        <w:right w:val="none" w:sz="0" w:space="0" w:color="auto"/>
      </w:divBdr>
    </w:div>
    <w:div w:id="975644326">
      <w:bodyDiv w:val="1"/>
      <w:marLeft w:val="0"/>
      <w:marRight w:val="0"/>
      <w:marTop w:val="0"/>
      <w:marBottom w:val="0"/>
      <w:divBdr>
        <w:top w:val="none" w:sz="0" w:space="0" w:color="auto"/>
        <w:left w:val="none" w:sz="0" w:space="0" w:color="auto"/>
        <w:bottom w:val="none" w:sz="0" w:space="0" w:color="auto"/>
        <w:right w:val="none" w:sz="0" w:space="0" w:color="auto"/>
      </w:divBdr>
      <w:divsChild>
        <w:div w:id="327177974">
          <w:marLeft w:val="0"/>
          <w:marRight w:val="0"/>
          <w:marTop w:val="0"/>
          <w:marBottom w:val="0"/>
          <w:divBdr>
            <w:top w:val="none" w:sz="0" w:space="0" w:color="auto"/>
            <w:left w:val="none" w:sz="0" w:space="0" w:color="auto"/>
            <w:bottom w:val="none" w:sz="0" w:space="0" w:color="auto"/>
            <w:right w:val="none" w:sz="0" w:space="0" w:color="auto"/>
          </w:divBdr>
        </w:div>
      </w:divsChild>
    </w:div>
    <w:div w:id="1006444138">
      <w:bodyDiv w:val="1"/>
      <w:marLeft w:val="0"/>
      <w:marRight w:val="0"/>
      <w:marTop w:val="0"/>
      <w:marBottom w:val="0"/>
      <w:divBdr>
        <w:top w:val="none" w:sz="0" w:space="0" w:color="auto"/>
        <w:left w:val="none" w:sz="0" w:space="0" w:color="auto"/>
        <w:bottom w:val="none" w:sz="0" w:space="0" w:color="auto"/>
        <w:right w:val="none" w:sz="0" w:space="0" w:color="auto"/>
      </w:divBdr>
    </w:div>
    <w:div w:id="1036736123">
      <w:bodyDiv w:val="1"/>
      <w:marLeft w:val="0"/>
      <w:marRight w:val="0"/>
      <w:marTop w:val="0"/>
      <w:marBottom w:val="0"/>
      <w:divBdr>
        <w:top w:val="none" w:sz="0" w:space="0" w:color="auto"/>
        <w:left w:val="none" w:sz="0" w:space="0" w:color="auto"/>
        <w:bottom w:val="none" w:sz="0" w:space="0" w:color="auto"/>
        <w:right w:val="none" w:sz="0" w:space="0" w:color="auto"/>
      </w:divBdr>
      <w:divsChild>
        <w:div w:id="694964254">
          <w:marLeft w:val="0"/>
          <w:marRight w:val="0"/>
          <w:marTop w:val="0"/>
          <w:marBottom w:val="0"/>
          <w:divBdr>
            <w:top w:val="none" w:sz="0" w:space="0" w:color="auto"/>
            <w:left w:val="none" w:sz="0" w:space="0" w:color="auto"/>
            <w:bottom w:val="none" w:sz="0" w:space="0" w:color="auto"/>
            <w:right w:val="none" w:sz="0" w:space="0" w:color="auto"/>
          </w:divBdr>
        </w:div>
      </w:divsChild>
    </w:div>
    <w:div w:id="1119370566">
      <w:bodyDiv w:val="1"/>
      <w:marLeft w:val="0"/>
      <w:marRight w:val="0"/>
      <w:marTop w:val="0"/>
      <w:marBottom w:val="0"/>
      <w:divBdr>
        <w:top w:val="none" w:sz="0" w:space="0" w:color="auto"/>
        <w:left w:val="none" w:sz="0" w:space="0" w:color="auto"/>
        <w:bottom w:val="none" w:sz="0" w:space="0" w:color="auto"/>
        <w:right w:val="none" w:sz="0" w:space="0" w:color="auto"/>
      </w:divBdr>
    </w:div>
    <w:div w:id="1133521227">
      <w:bodyDiv w:val="1"/>
      <w:marLeft w:val="0"/>
      <w:marRight w:val="0"/>
      <w:marTop w:val="0"/>
      <w:marBottom w:val="0"/>
      <w:divBdr>
        <w:top w:val="none" w:sz="0" w:space="0" w:color="auto"/>
        <w:left w:val="none" w:sz="0" w:space="0" w:color="auto"/>
        <w:bottom w:val="none" w:sz="0" w:space="0" w:color="auto"/>
        <w:right w:val="none" w:sz="0" w:space="0" w:color="auto"/>
      </w:divBdr>
    </w:div>
    <w:div w:id="1159494290">
      <w:bodyDiv w:val="1"/>
      <w:marLeft w:val="0"/>
      <w:marRight w:val="0"/>
      <w:marTop w:val="0"/>
      <w:marBottom w:val="0"/>
      <w:divBdr>
        <w:top w:val="none" w:sz="0" w:space="0" w:color="auto"/>
        <w:left w:val="none" w:sz="0" w:space="0" w:color="auto"/>
        <w:bottom w:val="none" w:sz="0" w:space="0" w:color="auto"/>
        <w:right w:val="none" w:sz="0" w:space="0" w:color="auto"/>
      </w:divBdr>
    </w:div>
    <w:div w:id="1282954711">
      <w:bodyDiv w:val="1"/>
      <w:marLeft w:val="0"/>
      <w:marRight w:val="0"/>
      <w:marTop w:val="0"/>
      <w:marBottom w:val="0"/>
      <w:divBdr>
        <w:top w:val="none" w:sz="0" w:space="0" w:color="auto"/>
        <w:left w:val="none" w:sz="0" w:space="0" w:color="auto"/>
        <w:bottom w:val="none" w:sz="0" w:space="0" w:color="auto"/>
        <w:right w:val="none" w:sz="0" w:space="0" w:color="auto"/>
      </w:divBdr>
      <w:divsChild>
        <w:div w:id="177233205">
          <w:marLeft w:val="0"/>
          <w:marRight w:val="0"/>
          <w:marTop w:val="0"/>
          <w:marBottom w:val="0"/>
          <w:divBdr>
            <w:top w:val="none" w:sz="0" w:space="0" w:color="auto"/>
            <w:left w:val="none" w:sz="0" w:space="0" w:color="auto"/>
            <w:bottom w:val="none" w:sz="0" w:space="0" w:color="auto"/>
            <w:right w:val="none" w:sz="0" w:space="0" w:color="auto"/>
          </w:divBdr>
          <w:divsChild>
            <w:div w:id="1538085257">
              <w:marLeft w:val="0"/>
              <w:marRight w:val="0"/>
              <w:marTop w:val="0"/>
              <w:marBottom w:val="0"/>
              <w:divBdr>
                <w:top w:val="none" w:sz="0" w:space="0" w:color="auto"/>
                <w:left w:val="none" w:sz="0" w:space="0" w:color="auto"/>
                <w:bottom w:val="none" w:sz="0" w:space="0" w:color="auto"/>
                <w:right w:val="none" w:sz="0" w:space="0" w:color="auto"/>
              </w:divBdr>
              <w:divsChild>
                <w:div w:id="672607504">
                  <w:marLeft w:val="0"/>
                  <w:marRight w:val="0"/>
                  <w:marTop w:val="0"/>
                  <w:marBottom w:val="0"/>
                  <w:divBdr>
                    <w:top w:val="none" w:sz="0" w:space="0" w:color="auto"/>
                    <w:left w:val="none" w:sz="0" w:space="0" w:color="auto"/>
                    <w:bottom w:val="none" w:sz="0" w:space="0" w:color="auto"/>
                    <w:right w:val="none" w:sz="0" w:space="0" w:color="auto"/>
                  </w:divBdr>
                  <w:divsChild>
                    <w:div w:id="16021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922216">
      <w:bodyDiv w:val="1"/>
      <w:marLeft w:val="0"/>
      <w:marRight w:val="0"/>
      <w:marTop w:val="0"/>
      <w:marBottom w:val="0"/>
      <w:divBdr>
        <w:top w:val="none" w:sz="0" w:space="0" w:color="auto"/>
        <w:left w:val="none" w:sz="0" w:space="0" w:color="auto"/>
        <w:bottom w:val="none" w:sz="0" w:space="0" w:color="auto"/>
        <w:right w:val="none" w:sz="0" w:space="0" w:color="auto"/>
      </w:divBdr>
    </w:div>
    <w:div w:id="1397703668">
      <w:bodyDiv w:val="1"/>
      <w:marLeft w:val="0"/>
      <w:marRight w:val="0"/>
      <w:marTop w:val="0"/>
      <w:marBottom w:val="0"/>
      <w:divBdr>
        <w:top w:val="none" w:sz="0" w:space="0" w:color="auto"/>
        <w:left w:val="none" w:sz="0" w:space="0" w:color="auto"/>
        <w:bottom w:val="none" w:sz="0" w:space="0" w:color="auto"/>
        <w:right w:val="none" w:sz="0" w:space="0" w:color="auto"/>
      </w:divBdr>
      <w:divsChild>
        <w:div w:id="142700450">
          <w:marLeft w:val="0"/>
          <w:marRight w:val="0"/>
          <w:marTop w:val="0"/>
          <w:marBottom w:val="0"/>
          <w:divBdr>
            <w:top w:val="none" w:sz="0" w:space="0" w:color="auto"/>
            <w:left w:val="none" w:sz="0" w:space="0" w:color="auto"/>
            <w:bottom w:val="none" w:sz="0" w:space="0" w:color="auto"/>
            <w:right w:val="none" w:sz="0" w:space="0" w:color="auto"/>
          </w:divBdr>
          <w:divsChild>
            <w:div w:id="839582817">
              <w:marLeft w:val="0"/>
              <w:marRight w:val="0"/>
              <w:marTop w:val="0"/>
              <w:marBottom w:val="0"/>
              <w:divBdr>
                <w:top w:val="none" w:sz="0" w:space="0" w:color="auto"/>
                <w:left w:val="none" w:sz="0" w:space="0" w:color="auto"/>
                <w:bottom w:val="none" w:sz="0" w:space="0" w:color="auto"/>
                <w:right w:val="none" w:sz="0" w:space="0" w:color="auto"/>
              </w:divBdr>
              <w:divsChild>
                <w:div w:id="189400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657004">
      <w:bodyDiv w:val="1"/>
      <w:marLeft w:val="0"/>
      <w:marRight w:val="0"/>
      <w:marTop w:val="0"/>
      <w:marBottom w:val="0"/>
      <w:divBdr>
        <w:top w:val="none" w:sz="0" w:space="0" w:color="auto"/>
        <w:left w:val="none" w:sz="0" w:space="0" w:color="auto"/>
        <w:bottom w:val="none" w:sz="0" w:space="0" w:color="auto"/>
        <w:right w:val="none" w:sz="0" w:space="0" w:color="auto"/>
      </w:divBdr>
    </w:div>
    <w:div w:id="1632591362">
      <w:bodyDiv w:val="1"/>
      <w:marLeft w:val="0"/>
      <w:marRight w:val="0"/>
      <w:marTop w:val="0"/>
      <w:marBottom w:val="0"/>
      <w:divBdr>
        <w:top w:val="none" w:sz="0" w:space="0" w:color="auto"/>
        <w:left w:val="none" w:sz="0" w:space="0" w:color="auto"/>
        <w:bottom w:val="none" w:sz="0" w:space="0" w:color="auto"/>
        <w:right w:val="none" w:sz="0" w:space="0" w:color="auto"/>
      </w:divBdr>
    </w:div>
    <w:div w:id="1656453946">
      <w:bodyDiv w:val="1"/>
      <w:marLeft w:val="0"/>
      <w:marRight w:val="0"/>
      <w:marTop w:val="0"/>
      <w:marBottom w:val="0"/>
      <w:divBdr>
        <w:top w:val="none" w:sz="0" w:space="0" w:color="auto"/>
        <w:left w:val="none" w:sz="0" w:space="0" w:color="auto"/>
        <w:bottom w:val="none" w:sz="0" w:space="0" w:color="auto"/>
        <w:right w:val="none" w:sz="0" w:space="0" w:color="auto"/>
      </w:divBdr>
    </w:div>
    <w:div w:id="1723945358">
      <w:bodyDiv w:val="1"/>
      <w:marLeft w:val="0"/>
      <w:marRight w:val="0"/>
      <w:marTop w:val="0"/>
      <w:marBottom w:val="0"/>
      <w:divBdr>
        <w:top w:val="none" w:sz="0" w:space="0" w:color="auto"/>
        <w:left w:val="none" w:sz="0" w:space="0" w:color="auto"/>
        <w:bottom w:val="none" w:sz="0" w:space="0" w:color="auto"/>
        <w:right w:val="none" w:sz="0" w:space="0" w:color="auto"/>
      </w:divBdr>
      <w:divsChild>
        <w:div w:id="1073240652">
          <w:marLeft w:val="0"/>
          <w:marRight w:val="0"/>
          <w:marTop w:val="0"/>
          <w:marBottom w:val="0"/>
          <w:divBdr>
            <w:top w:val="none" w:sz="0" w:space="0" w:color="auto"/>
            <w:left w:val="none" w:sz="0" w:space="0" w:color="auto"/>
            <w:bottom w:val="none" w:sz="0" w:space="0" w:color="auto"/>
            <w:right w:val="none" w:sz="0" w:space="0" w:color="auto"/>
          </w:divBdr>
        </w:div>
      </w:divsChild>
    </w:div>
    <w:div w:id="1760248910">
      <w:bodyDiv w:val="1"/>
      <w:marLeft w:val="0"/>
      <w:marRight w:val="0"/>
      <w:marTop w:val="0"/>
      <w:marBottom w:val="0"/>
      <w:divBdr>
        <w:top w:val="none" w:sz="0" w:space="0" w:color="auto"/>
        <w:left w:val="none" w:sz="0" w:space="0" w:color="auto"/>
        <w:bottom w:val="none" w:sz="0" w:space="0" w:color="auto"/>
        <w:right w:val="none" w:sz="0" w:space="0" w:color="auto"/>
      </w:divBdr>
    </w:div>
    <w:div w:id="1950965066">
      <w:bodyDiv w:val="1"/>
      <w:marLeft w:val="0"/>
      <w:marRight w:val="0"/>
      <w:marTop w:val="0"/>
      <w:marBottom w:val="0"/>
      <w:divBdr>
        <w:top w:val="none" w:sz="0" w:space="0" w:color="auto"/>
        <w:left w:val="none" w:sz="0" w:space="0" w:color="auto"/>
        <w:bottom w:val="none" w:sz="0" w:space="0" w:color="auto"/>
        <w:right w:val="none" w:sz="0" w:space="0" w:color="auto"/>
      </w:divBdr>
      <w:divsChild>
        <w:div w:id="1582056576">
          <w:marLeft w:val="0"/>
          <w:marRight w:val="0"/>
          <w:marTop w:val="0"/>
          <w:marBottom w:val="0"/>
          <w:divBdr>
            <w:top w:val="none" w:sz="0" w:space="0" w:color="auto"/>
            <w:left w:val="none" w:sz="0" w:space="0" w:color="auto"/>
            <w:bottom w:val="none" w:sz="0" w:space="0" w:color="auto"/>
            <w:right w:val="none" w:sz="0" w:space="0" w:color="auto"/>
          </w:divBdr>
          <w:divsChild>
            <w:div w:id="201553450">
              <w:marLeft w:val="0"/>
              <w:marRight w:val="0"/>
              <w:marTop w:val="0"/>
              <w:marBottom w:val="0"/>
              <w:divBdr>
                <w:top w:val="none" w:sz="0" w:space="0" w:color="auto"/>
                <w:left w:val="none" w:sz="0" w:space="0" w:color="auto"/>
                <w:bottom w:val="none" w:sz="0" w:space="0" w:color="auto"/>
                <w:right w:val="none" w:sz="0" w:space="0" w:color="auto"/>
              </w:divBdr>
              <w:divsChild>
                <w:div w:id="1517504314">
                  <w:marLeft w:val="0"/>
                  <w:marRight w:val="0"/>
                  <w:marTop w:val="0"/>
                  <w:marBottom w:val="0"/>
                  <w:divBdr>
                    <w:top w:val="none" w:sz="0" w:space="0" w:color="auto"/>
                    <w:left w:val="none" w:sz="0" w:space="0" w:color="auto"/>
                    <w:bottom w:val="none" w:sz="0" w:space="0" w:color="auto"/>
                    <w:right w:val="none" w:sz="0" w:space="0" w:color="auto"/>
                  </w:divBdr>
                  <w:divsChild>
                    <w:div w:id="16051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854942">
      <w:bodyDiv w:val="1"/>
      <w:marLeft w:val="0"/>
      <w:marRight w:val="0"/>
      <w:marTop w:val="0"/>
      <w:marBottom w:val="0"/>
      <w:divBdr>
        <w:top w:val="none" w:sz="0" w:space="0" w:color="auto"/>
        <w:left w:val="none" w:sz="0" w:space="0" w:color="auto"/>
        <w:bottom w:val="none" w:sz="0" w:space="0" w:color="auto"/>
        <w:right w:val="none" w:sz="0" w:space="0" w:color="auto"/>
      </w:divBdr>
    </w:div>
    <w:div w:id="212792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cer.antonio@grupomarista.org.br" TargetMode="External"/><Relationship Id="rId13" Type="http://schemas.openxmlformats.org/officeDocument/2006/relationships/hyperlink" Target="https://doi.org/10.1287/mnsc.2013.1849" TargetMode="External"/><Relationship Id="rId18" Type="http://schemas.openxmlformats.org/officeDocument/2006/relationships/hyperlink" Target="https://doi.org/10.1257/jel.52.1.5" TargetMode="External"/><Relationship Id="rId3" Type="http://schemas.openxmlformats.org/officeDocument/2006/relationships/styles" Target="styles.xml"/><Relationship Id="rId21" Type="http://schemas.openxmlformats.org/officeDocument/2006/relationships/hyperlink" Target="https://doi.org/10.1007/s10603-014-9273-1" TargetMode="External"/><Relationship Id="rId7" Type="http://schemas.openxmlformats.org/officeDocument/2006/relationships/endnotes" Target="endnotes.xml"/><Relationship Id="rId12" Type="http://schemas.openxmlformats.org/officeDocument/2006/relationships/hyperlink" Target="https://doi.org/10.1111/j.1542-4774.2011.01015.x" TargetMode="External"/><Relationship Id="rId17" Type="http://schemas.openxmlformats.org/officeDocument/2006/relationships/hyperlink" Target="https://doi.org/10.1093/wber/lhx01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307/1914185" TargetMode="External"/><Relationship Id="rId20" Type="http://schemas.openxmlformats.org/officeDocument/2006/relationships/hyperlink" Target="https://doi.org/10.1126/science.12380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fineco.2018.03.01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93/wber/lhx018" TargetMode="External"/><Relationship Id="rId23" Type="http://schemas.openxmlformats.org/officeDocument/2006/relationships/footer" Target="footer1.xml"/><Relationship Id="rId10" Type="http://schemas.openxmlformats.org/officeDocument/2006/relationships/hyperlink" Target="https://doi.org/10.1509/jppm.25.1.8" TargetMode="External"/><Relationship Id="rId19" Type="http://schemas.openxmlformats.org/officeDocument/2006/relationships/hyperlink" Target="https://doi.org/10.1162/003355301753265543" TargetMode="External"/><Relationship Id="rId4" Type="http://schemas.openxmlformats.org/officeDocument/2006/relationships/settings" Target="settings.xml"/><Relationship Id="rId9" Type="http://schemas.openxmlformats.org/officeDocument/2006/relationships/hyperlink" Target="https://doi.org/10.1177/0956797617702501" TargetMode="External"/><Relationship Id="rId14" Type="http://schemas.openxmlformats.org/officeDocument/2006/relationships/hyperlink" Target="https://doi.org/10.1126/science.1232491" TargetMode="External"/><Relationship Id="rId22" Type="http://schemas.openxmlformats.org/officeDocument/2006/relationships/hyperlink" Target="https://doi.org/10.1126/science.185.4157.1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E7226-1749-4041-BD0D-11B4ECA40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4602</Words>
  <Characters>26235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Carlos Mercer</dc:creator>
  <cp:keywords/>
  <dc:description/>
  <cp:lastModifiedBy>Antonio Carlos Mercer</cp:lastModifiedBy>
  <cp:revision>10</cp:revision>
  <cp:lastPrinted>2025-05-04T18:04:00Z</cp:lastPrinted>
  <dcterms:created xsi:type="dcterms:W3CDTF">2025-04-18T13:50:00Z</dcterms:created>
  <dcterms:modified xsi:type="dcterms:W3CDTF">2025-07-24T15:32:00Z</dcterms:modified>
</cp:coreProperties>
</file>