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B4B6F" w14:textId="0DA88993" w:rsidR="002E1458" w:rsidRPr="00EA5FC4" w:rsidRDefault="002E1458" w:rsidP="00EA5FC4">
      <w:pPr>
        <w:shd w:val="clear" w:color="auto" w:fill="FFFFFF"/>
        <w:spacing w:line="276" w:lineRule="auto"/>
        <w:jc w:val="both"/>
        <w:rPr>
          <w:rFonts w:ascii="Times New Roman" w:eastAsia="Times New Roman" w:hAnsi="Times New Roman" w:cs="Times New Roman"/>
          <w:color w:val="001D35"/>
          <w:sz w:val="24"/>
          <w:szCs w:val="24"/>
          <w:lang w:eastAsia="es-AR"/>
        </w:rPr>
      </w:pPr>
      <w:proofErr w:type="spellStart"/>
      <w:r w:rsidRPr="00EA5FC4">
        <w:rPr>
          <w:rFonts w:ascii="Times New Roman" w:eastAsia="Times New Roman" w:hAnsi="Times New Roman" w:cs="Times New Roman"/>
          <w:color w:val="001D35"/>
          <w:sz w:val="24"/>
          <w:szCs w:val="24"/>
          <w:lang w:eastAsia="es-AR"/>
        </w:rPr>
        <w:t>E</w:t>
      </w:r>
      <w:r w:rsidR="00A62AE6" w:rsidRPr="00EA5FC4">
        <w:rPr>
          <w:rFonts w:ascii="Times New Roman" w:eastAsia="Times New Roman" w:hAnsi="Times New Roman" w:cs="Times New Roman"/>
          <w:color w:val="001D35"/>
          <w:sz w:val="24"/>
          <w:szCs w:val="24"/>
          <w:lang w:eastAsia="es-AR"/>
        </w:rPr>
        <w:t>nviromental</w:t>
      </w:r>
      <w:proofErr w:type="spellEnd"/>
      <w:r w:rsidR="00A62AE6" w:rsidRPr="00EA5FC4">
        <w:rPr>
          <w:rFonts w:ascii="Times New Roman" w:eastAsia="Times New Roman" w:hAnsi="Times New Roman" w:cs="Times New Roman"/>
          <w:color w:val="001D35"/>
          <w:sz w:val="24"/>
          <w:szCs w:val="24"/>
          <w:lang w:eastAsia="es-AR"/>
        </w:rPr>
        <w:t xml:space="preserve">, Social and </w:t>
      </w:r>
      <w:proofErr w:type="spellStart"/>
      <w:r w:rsidR="00A62AE6" w:rsidRPr="00EA5FC4">
        <w:rPr>
          <w:rFonts w:ascii="Times New Roman" w:eastAsia="Times New Roman" w:hAnsi="Times New Roman" w:cs="Times New Roman"/>
          <w:color w:val="001D35"/>
          <w:sz w:val="24"/>
          <w:szCs w:val="24"/>
          <w:lang w:eastAsia="es-AR"/>
        </w:rPr>
        <w:t>Governance</w:t>
      </w:r>
      <w:proofErr w:type="spellEnd"/>
      <w:r w:rsidR="00A62AE6" w:rsidRPr="00EA5FC4">
        <w:rPr>
          <w:rFonts w:ascii="Times New Roman" w:eastAsia="Times New Roman" w:hAnsi="Times New Roman" w:cs="Times New Roman"/>
          <w:color w:val="001D35"/>
          <w:sz w:val="24"/>
          <w:szCs w:val="24"/>
          <w:lang w:eastAsia="es-AR"/>
        </w:rPr>
        <w:t xml:space="preserve"> (E</w:t>
      </w:r>
      <w:r w:rsidRPr="00EA5FC4">
        <w:rPr>
          <w:rFonts w:ascii="Times New Roman" w:eastAsia="Times New Roman" w:hAnsi="Times New Roman" w:cs="Times New Roman"/>
          <w:color w:val="001D35"/>
          <w:sz w:val="24"/>
          <w:szCs w:val="24"/>
          <w:lang w:eastAsia="es-AR"/>
        </w:rPr>
        <w:t>SG</w:t>
      </w:r>
      <w:r w:rsidR="00A62AE6" w:rsidRPr="00EA5FC4">
        <w:rPr>
          <w:rFonts w:ascii="Times New Roman" w:eastAsia="Times New Roman" w:hAnsi="Times New Roman" w:cs="Times New Roman"/>
          <w:color w:val="001D35"/>
          <w:sz w:val="24"/>
          <w:szCs w:val="24"/>
          <w:lang w:eastAsia="es-AR"/>
        </w:rPr>
        <w:t>)</w:t>
      </w:r>
      <w:r w:rsidRPr="00EA5FC4">
        <w:rPr>
          <w:rFonts w:ascii="Times New Roman" w:eastAsia="Times New Roman" w:hAnsi="Times New Roman" w:cs="Times New Roman"/>
          <w:color w:val="001D35"/>
          <w:sz w:val="24"/>
          <w:szCs w:val="24"/>
          <w:lang w:eastAsia="es-AR"/>
        </w:rPr>
        <w:t xml:space="preserve">, </w:t>
      </w:r>
      <w:r w:rsidR="00A62AE6" w:rsidRPr="00EA5FC4">
        <w:rPr>
          <w:rFonts w:ascii="Times New Roman" w:eastAsia="Times New Roman" w:hAnsi="Times New Roman" w:cs="Times New Roman"/>
          <w:color w:val="001D35"/>
          <w:sz w:val="24"/>
          <w:szCs w:val="24"/>
          <w:lang w:eastAsia="es-AR"/>
        </w:rPr>
        <w:t>Transformación Digital (</w:t>
      </w:r>
      <w:r w:rsidRPr="00EA5FC4">
        <w:rPr>
          <w:rFonts w:ascii="Times New Roman" w:eastAsia="Times New Roman" w:hAnsi="Times New Roman" w:cs="Times New Roman"/>
          <w:color w:val="001D35"/>
          <w:sz w:val="24"/>
          <w:szCs w:val="24"/>
          <w:lang w:eastAsia="es-AR"/>
        </w:rPr>
        <w:t>TD</w:t>
      </w:r>
      <w:r w:rsidR="00A62AE6" w:rsidRPr="00EA5FC4">
        <w:rPr>
          <w:rFonts w:ascii="Times New Roman" w:eastAsia="Times New Roman" w:hAnsi="Times New Roman" w:cs="Times New Roman"/>
          <w:color w:val="001D35"/>
          <w:sz w:val="24"/>
          <w:szCs w:val="24"/>
          <w:lang w:eastAsia="es-AR"/>
        </w:rPr>
        <w:t>)</w:t>
      </w:r>
      <w:r w:rsidRPr="00EA5FC4">
        <w:rPr>
          <w:rFonts w:ascii="Times New Roman" w:eastAsia="Times New Roman" w:hAnsi="Times New Roman" w:cs="Times New Roman"/>
          <w:color w:val="001D35"/>
          <w:sz w:val="24"/>
          <w:szCs w:val="24"/>
          <w:lang w:eastAsia="es-AR"/>
        </w:rPr>
        <w:t xml:space="preserve"> e </w:t>
      </w:r>
      <w:r w:rsidR="00A62AE6" w:rsidRPr="00EA5FC4">
        <w:rPr>
          <w:rFonts w:ascii="Times New Roman" w:eastAsia="Times New Roman" w:hAnsi="Times New Roman" w:cs="Times New Roman"/>
          <w:color w:val="001D35"/>
          <w:sz w:val="24"/>
          <w:szCs w:val="24"/>
          <w:lang w:eastAsia="es-AR"/>
        </w:rPr>
        <w:t>Inteligencia Artificial (</w:t>
      </w:r>
      <w:r w:rsidRPr="00EA5FC4">
        <w:rPr>
          <w:rFonts w:ascii="Times New Roman" w:eastAsia="Times New Roman" w:hAnsi="Times New Roman" w:cs="Times New Roman"/>
          <w:color w:val="001D35"/>
          <w:sz w:val="24"/>
          <w:szCs w:val="24"/>
          <w:lang w:eastAsia="es-AR"/>
        </w:rPr>
        <w:t>IA</w:t>
      </w:r>
      <w:r w:rsidR="00A62AE6" w:rsidRPr="00EA5FC4">
        <w:rPr>
          <w:rFonts w:ascii="Times New Roman" w:eastAsia="Times New Roman" w:hAnsi="Times New Roman" w:cs="Times New Roman"/>
          <w:color w:val="001D35"/>
          <w:sz w:val="24"/>
          <w:szCs w:val="24"/>
          <w:lang w:eastAsia="es-AR"/>
        </w:rPr>
        <w:t>)</w:t>
      </w:r>
      <w:r w:rsidRPr="00EA5FC4">
        <w:rPr>
          <w:rFonts w:ascii="Times New Roman" w:eastAsia="Times New Roman" w:hAnsi="Times New Roman" w:cs="Times New Roman"/>
          <w:color w:val="001D35"/>
          <w:sz w:val="24"/>
          <w:szCs w:val="24"/>
          <w:lang w:eastAsia="es-AR"/>
        </w:rPr>
        <w:t xml:space="preserve"> en la sostenibilidad: Casos Argentina, Chile, Colombia</w:t>
      </w:r>
      <w:r w:rsidR="00A62AE6" w:rsidRPr="00EA5FC4">
        <w:rPr>
          <w:rFonts w:ascii="Times New Roman" w:eastAsia="Times New Roman" w:hAnsi="Times New Roman" w:cs="Times New Roman"/>
          <w:color w:val="001D35"/>
          <w:sz w:val="24"/>
          <w:szCs w:val="24"/>
          <w:lang w:eastAsia="es-AR"/>
        </w:rPr>
        <w:t>.</w:t>
      </w:r>
    </w:p>
    <w:p w14:paraId="798048FC" w14:textId="77777777" w:rsidR="00D016C6" w:rsidRPr="00EA5FC4" w:rsidRDefault="00D016C6" w:rsidP="00EA5FC4">
      <w:pPr>
        <w:shd w:val="clear" w:color="auto" w:fill="FFFFFF"/>
        <w:spacing w:line="276" w:lineRule="auto"/>
        <w:rPr>
          <w:rFonts w:ascii="Times New Roman" w:eastAsia="Times New Roman" w:hAnsi="Times New Roman" w:cs="Times New Roman"/>
          <w:color w:val="001D35"/>
          <w:sz w:val="24"/>
          <w:szCs w:val="24"/>
          <w:lang w:eastAsia="es-AR"/>
        </w:rPr>
      </w:pPr>
    </w:p>
    <w:p w14:paraId="23EB2BA9" w14:textId="55C81FFE" w:rsidR="00D016C6" w:rsidRPr="00EA5FC4" w:rsidRDefault="00D016C6" w:rsidP="00EA5FC4">
      <w:pPr>
        <w:shd w:val="clear" w:color="auto" w:fill="FFFFFF"/>
        <w:spacing w:line="276" w:lineRule="auto"/>
        <w:rPr>
          <w:rFonts w:ascii="Times New Roman" w:eastAsia="Times New Roman" w:hAnsi="Times New Roman" w:cs="Times New Roman"/>
          <w:color w:val="001D35"/>
          <w:sz w:val="24"/>
          <w:szCs w:val="24"/>
          <w:lang w:eastAsia="es-AR"/>
        </w:rPr>
      </w:pPr>
      <w:r w:rsidRPr="00EA5FC4">
        <w:rPr>
          <w:rFonts w:ascii="Times New Roman" w:eastAsia="Times New Roman" w:hAnsi="Times New Roman" w:cs="Times New Roman"/>
          <w:color w:val="001D35"/>
          <w:sz w:val="24"/>
          <w:szCs w:val="24"/>
          <w:lang w:eastAsia="es-AR"/>
        </w:rPr>
        <w:t xml:space="preserve">de Arteche, Mónica Regina </w:t>
      </w:r>
    </w:p>
    <w:p w14:paraId="06097962" w14:textId="77777777" w:rsidR="00D016C6" w:rsidRPr="00EA5FC4" w:rsidRDefault="00D016C6" w:rsidP="00EA5FC4">
      <w:pPr>
        <w:shd w:val="clear" w:color="auto" w:fill="FFFFFF"/>
        <w:spacing w:line="276" w:lineRule="auto"/>
        <w:rPr>
          <w:rFonts w:ascii="Times New Roman" w:eastAsia="Times New Roman" w:hAnsi="Times New Roman" w:cs="Times New Roman"/>
          <w:color w:val="001D35"/>
          <w:sz w:val="24"/>
          <w:szCs w:val="24"/>
          <w:lang w:eastAsia="es-AR"/>
        </w:rPr>
      </w:pPr>
      <w:r w:rsidRPr="00EA5FC4">
        <w:rPr>
          <w:rFonts w:ascii="Times New Roman" w:eastAsia="Times New Roman" w:hAnsi="Times New Roman" w:cs="Times New Roman"/>
          <w:color w:val="001D35"/>
          <w:sz w:val="24"/>
          <w:szCs w:val="24"/>
          <w:lang w:eastAsia="es-AR"/>
        </w:rPr>
        <w:t xml:space="preserve">Universidad Argentina de la Empresa- </w:t>
      </w:r>
    </w:p>
    <w:p w14:paraId="46EDB768" w14:textId="34825CCC" w:rsidR="00DB2F4D" w:rsidRPr="00EA5FC4" w:rsidRDefault="00D016C6" w:rsidP="00EA5FC4">
      <w:pPr>
        <w:shd w:val="clear" w:color="auto" w:fill="FFFFFF"/>
        <w:spacing w:line="276" w:lineRule="auto"/>
        <w:rPr>
          <w:rFonts w:ascii="Times New Roman" w:hAnsi="Times New Roman" w:cs="Times New Roman"/>
          <w:color w:val="001D35"/>
          <w:sz w:val="24"/>
          <w:szCs w:val="24"/>
          <w:shd w:val="clear" w:color="auto" w:fill="FFFFFF"/>
        </w:rPr>
      </w:pPr>
      <w:r w:rsidRPr="00EA5FC4">
        <w:rPr>
          <w:rFonts w:ascii="Times New Roman" w:eastAsia="Times New Roman" w:hAnsi="Times New Roman" w:cs="Times New Roman"/>
          <w:color w:val="001D35"/>
          <w:sz w:val="24"/>
          <w:szCs w:val="24"/>
          <w:lang w:eastAsia="es-AR"/>
        </w:rPr>
        <w:t xml:space="preserve">Lima 717 Ciudad Autónoma de Buenos Aires </w:t>
      </w:r>
      <w:r w:rsidRPr="00EA5FC4">
        <w:rPr>
          <w:rFonts w:ascii="Times New Roman" w:hAnsi="Times New Roman" w:cs="Times New Roman"/>
          <w:color w:val="001D35"/>
          <w:sz w:val="24"/>
          <w:szCs w:val="24"/>
          <w:shd w:val="clear" w:color="auto" w:fill="FFFFFF"/>
        </w:rPr>
        <w:t>C1073AAO</w:t>
      </w:r>
    </w:p>
    <w:p w14:paraId="082EE0CB" w14:textId="44AE2896" w:rsidR="00D016C6" w:rsidRPr="00EA5FC4" w:rsidRDefault="00D016C6" w:rsidP="00EA5FC4">
      <w:pPr>
        <w:shd w:val="clear" w:color="auto" w:fill="FFFFFF"/>
        <w:spacing w:line="276" w:lineRule="auto"/>
        <w:rPr>
          <w:rFonts w:ascii="Times New Roman" w:hAnsi="Times New Roman" w:cs="Times New Roman"/>
          <w:color w:val="001D35"/>
          <w:sz w:val="24"/>
          <w:szCs w:val="24"/>
          <w:shd w:val="clear" w:color="auto" w:fill="FFFFFF"/>
        </w:rPr>
      </w:pPr>
      <w:hyperlink r:id="rId8" w:history="1">
        <w:r w:rsidRPr="00EA5FC4">
          <w:rPr>
            <w:rStyle w:val="Hipervnculo"/>
            <w:rFonts w:ascii="Times New Roman" w:hAnsi="Times New Roman" w:cs="Times New Roman"/>
            <w:sz w:val="24"/>
            <w:szCs w:val="24"/>
            <w:shd w:val="clear" w:color="auto" w:fill="FFFFFF"/>
          </w:rPr>
          <w:t>mdearteche@uade.edu.ar</w:t>
        </w:r>
      </w:hyperlink>
    </w:p>
    <w:p w14:paraId="565C4B27" w14:textId="47E32488" w:rsidR="00D016C6" w:rsidRPr="00EA5FC4" w:rsidRDefault="00D016C6" w:rsidP="00EA5FC4">
      <w:pPr>
        <w:shd w:val="clear" w:color="auto" w:fill="FFFFFF"/>
        <w:spacing w:line="276" w:lineRule="auto"/>
        <w:rPr>
          <w:rFonts w:ascii="Times New Roman" w:hAnsi="Times New Roman" w:cs="Times New Roman"/>
          <w:color w:val="001D35"/>
          <w:sz w:val="24"/>
          <w:szCs w:val="24"/>
          <w:shd w:val="clear" w:color="auto" w:fill="FFFFFF"/>
        </w:rPr>
      </w:pPr>
      <w:proofErr w:type="spellStart"/>
      <w:r w:rsidRPr="00EA5FC4">
        <w:rPr>
          <w:rFonts w:ascii="Times New Roman" w:hAnsi="Times New Roman" w:cs="Times New Roman"/>
          <w:color w:val="001D35"/>
          <w:sz w:val="24"/>
          <w:szCs w:val="24"/>
          <w:shd w:val="clear" w:color="auto" w:fill="FFFFFF"/>
        </w:rPr>
        <w:t>Welsh</w:t>
      </w:r>
      <w:proofErr w:type="spellEnd"/>
      <w:r w:rsidRPr="00EA5FC4">
        <w:rPr>
          <w:rFonts w:ascii="Times New Roman" w:hAnsi="Times New Roman" w:cs="Times New Roman"/>
          <w:color w:val="001D35"/>
          <w:sz w:val="24"/>
          <w:szCs w:val="24"/>
          <w:shd w:val="clear" w:color="auto" w:fill="FFFFFF"/>
        </w:rPr>
        <w:t>, Sandra Vanessa</w:t>
      </w:r>
    </w:p>
    <w:p w14:paraId="7076A8DA" w14:textId="77777777" w:rsidR="00D016C6" w:rsidRPr="00EA5FC4" w:rsidRDefault="00D016C6" w:rsidP="00EA5FC4">
      <w:pPr>
        <w:shd w:val="clear" w:color="auto" w:fill="FFFFFF"/>
        <w:spacing w:line="276" w:lineRule="auto"/>
        <w:rPr>
          <w:rFonts w:ascii="Times New Roman" w:eastAsia="Times New Roman" w:hAnsi="Times New Roman" w:cs="Times New Roman"/>
          <w:color w:val="001D35"/>
          <w:sz w:val="24"/>
          <w:szCs w:val="24"/>
          <w:lang w:eastAsia="es-AR"/>
        </w:rPr>
      </w:pPr>
      <w:r w:rsidRPr="00EA5FC4">
        <w:rPr>
          <w:rFonts w:ascii="Times New Roman" w:eastAsia="Times New Roman" w:hAnsi="Times New Roman" w:cs="Times New Roman"/>
          <w:color w:val="001D35"/>
          <w:sz w:val="24"/>
          <w:szCs w:val="24"/>
          <w:lang w:eastAsia="es-AR"/>
        </w:rPr>
        <w:t xml:space="preserve">Universidad Argentina de la Empresa- </w:t>
      </w:r>
    </w:p>
    <w:p w14:paraId="1338AEE8" w14:textId="77777777" w:rsidR="00D016C6" w:rsidRPr="00EA5FC4" w:rsidRDefault="00D016C6" w:rsidP="00EA5FC4">
      <w:pPr>
        <w:shd w:val="clear" w:color="auto" w:fill="FFFFFF"/>
        <w:spacing w:line="276" w:lineRule="auto"/>
        <w:rPr>
          <w:rFonts w:ascii="Times New Roman" w:hAnsi="Times New Roman" w:cs="Times New Roman"/>
          <w:color w:val="001D35"/>
          <w:sz w:val="24"/>
          <w:szCs w:val="24"/>
          <w:shd w:val="clear" w:color="auto" w:fill="FFFFFF"/>
        </w:rPr>
      </w:pPr>
      <w:r w:rsidRPr="00EA5FC4">
        <w:rPr>
          <w:rFonts w:ascii="Times New Roman" w:eastAsia="Times New Roman" w:hAnsi="Times New Roman" w:cs="Times New Roman"/>
          <w:color w:val="001D35"/>
          <w:sz w:val="24"/>
          <w:szCs w:val="24"/>
          <w:lang w:eastAsia="es-AR"/>
        </w:rPr>
        <w:t xml:space="preserve">Lima 717 Ciudad Autónoma de Buenos Aires </w:t>
      </w:r>
      <w:r w:rsidRPr="00EA5FC4">
        <w:rPr>
          <w:rFonts w:ascii="Times New Roman" w:hAnsi="Times New Roman" w:cs="Times New Roman"/>
          <w:color w:val="001D35"/>
          <w:sz w:val="24"/>
          <w:szCs w:val="24"/>
          <w:shd w:val="clear" w:color="auto" w:fill="FFFFFF"/>
        </w:rPr>
        <w:t>C1073AAO</w:t>
      </w:r>
    </w:p>
    <w:p w14:paraId="009AA991" w14:textId="2F57F6F5" w:rsidR="00D016C6" w:rsidRPr="00EA5FC4" w:rsidRDefault="00D016C6" w:rsidP="00EA5FC4">
      <w:pPr>
        <w:shd w:val="clear" w:color="auto" w:fill="FFFFFF"/>
        <w:spacing w:line="276" w:lineRule="auto"/>
        <w:rPr>
          <w:rFonts w:ascii="Times New Roman" w:hAnsi="Times New Roman" w:cs="Times New Roman"/>
          <w:color w:val="001D35"/>
          <w:sz w:val="24"/>
          <w:szCs w:val="24"/>
          <w:shd w:val="clear" w:color="auto" w:fill="FFFFFF"/>
        </w:rPr>
      </w:pPr>
      <w:hyperlink r:id="rId9" w:history="1">
        <w:r w:rsidRPr="00EA5FC4">
          <w:rPr>
            <w:rStyle w:val="Hipervnculo"/>
            <w:rFonts w:ascii="Times New Roman" w:hAnsi="Times New Roman" w:cs="Times New Roman"/>
            <w:sz w:val="24"/>
            <w:szCs w:val="24"/>
            <w:shd w:val="clear" w:color="auto" w:fill="FFFFFF"/>
          </w:rPr>
          <w:t>swelsh@uade.edu.ar</w:t>
        </w:r>
      </w:hyperlink>
    </w:p>
    <w:p w14:paraId="6FFD5FCD" w14:textId="4823CF0A" w:rsidR="00D016C6" w:rsidRPr="00EA5FC4" w:rsidRDefault="00D016C6" w:rsidP="00EA5FC4">
      <w:pPr>
        <w:shd w:val="clear" w:color="auto" w:fill="FFFFFF"/>
        <w:spacing w:line="276" w:lineRule="auto"/>
        <w:rPr>
          <w:rFonts w:ascii="Times New Roman" w:eastAsia="Times New Roman" w:hAnsi="Times New Roman" w:cs="Times New Roman"/>
          <w:color w:val="001D35"/>
          <w:sz w:val="24"/>
          <w:szCs w:val="24"/>
          <w:lang w:eastAsia="es-AR"/>
        </w:rPr>
      </w:pPr>
      <w:r w:rsidRPr="00EA5FC4">
        <w:rPr>
          <w:rFonts w:ascii="Times New Roman" w:eastAsia="Times New Roman" w:hAnsi="Times New Roman" w:cs="Times New Roman"/>
          <w:color w:val="001D35"/>
          <w:sz w:val="24"/>
          <w:szCs w:val="24"/>
          <w:lang w:eastAsia="es-AR"/>
        </w:rPr>
        <w:t>ESG, Transformación digital e Inteligencia Artificial</w:t>
      </w:r>
    </w:p>
    <w:p w14:paraId="20CA7C37" w14:textId="77777777" w:rsidR="00D016C6" w:rsidRPr="00EA5FC4" w:rsidRDefault="00D016C6" w:rsidP="00EA5FC4">
      <w:pPr>
        <w:shd w:val="clear" w:color="auto" w:fill="FFFFFF"/>
        <w:spacing w:line="276" w:lineRule="auto"/>
        <w:rPr>
          <w:rFonts w:ascii="Times New Roman" w:eastAsia="Times New Roman" w:hAnsi="Times New Roman" w:cs="Times New Roman"/>
          <w:color w:val="001D35"/>
          <w:sz w:val="24"/>
          <w:szCs w:val="24"/>
          <w:lang w:eastAsia="es-AR"/>
        </w:rPr>
      </w:pPr>
    </w:p>
    <w:p w14:paraId="398BDF34" w14:textId="54284961" w:rsidR="00967ED5" w:rsidRPr="00EA5FC4" w:rsidRDefault="00967ED5" w:rsidP="00EA5FC4">
      <w:pPr>
        <w:pStyle w:val="Prrafodelista"/>
        <w:numPr>
          <w:ilvl w:val="0"/>
          <w:numId w:val="17"/>
        </w:numPr>
        <w:shd w:val="clear" w:color="auto" w:fill="FFFFFF"/>
        <w:spacing w:line="276" w:lineRule="auto"/>
        <w:rPr>
          <w:rFonts w:ascii="Times New Roman" w:eastAsia="Times New Roman" w:hAnsi="Times New Roman" w:cs="Times New Roman"/>
          <w:b/>
          <w:color w:val="001D35"/>
          <w:sz w:val="24"/>
          <w:szCs w:val="24"/>
          <w:lang w:eastAsia="es-AR"/>
        </w:rPr>
      </w:pPr>
      <w:r w:rsidRPr="00EA5FC4">
        <w:rPr>
          <w:rFonts w:ascii="Times New Roman" w:eastAsia="Times New Roman" w:hAnsi="Times New Roman" w:cs="Times New Roman"/>
          <w:b/>
          <w:color w:val="001D35"/>
          <w:sz w:val="24"/>
          <w:szCs w:val="24"/>
          <w:lang w:eastAsia="es-AR"/>
        </w:rPr>
        <w:t>ESG una nueva ola en las organizaciones</w:t>
      </w:r>
      <w:r w:rsidR="005A6769" w:rsidRPr="00EA5FC4">
        <w:rPr>
          <w:rFonts w:ascii="Times New Roman" w:eastAsia="Times New Roman" w:hAnsi="Times New Roman" w:cs="Times New Roman"/>
          <w:b/>
          <w:color w:val="001D35"/>
          <w:sz w:val="24"/>
          <w:szCs w:val="24"/>
          <w:lang w:eastAsia="es-AR"/>
        </w:rPr>
        <w:t xml:space="preserve"> con IA</w:t>
      </w:r>
    </w:p>
    <w:p w14:paraId="0C85EA33" w14:textId="0CCA72B4" w:rsidR="0041398D" w:rsidRPr="00EA5FC4" w:rsidRDefault="00967ED5" w:rsidP="00EA5FC4">
      <w:pPr>
        <w:pStyle w:val="NormalWeb"/>
        <w:shd w:val="clear" w:color="auto" w:fill="FFFFFF"/>
        <w:spacing w:before="0" w:beforeAutospacing="0" w:after="300" w:afterAutospacing="0" w:line="276" w:lineRule="auto"/>
        <w:jc w:val="both"/>
        <w:rPr>
          <w:color w:val="333333"/>
          <w:spacing w:val="4"/>
        </w:rPr>
      </w:pPr>
      <w:r w:rsidRPr="00EA5FC4">
        <w:t>Actualmente, las organizaciones se encuentran transitando un contexto de elevado dinamismo e incertidumbre, en donde, por un lado, el fenómeno de la Transformación Digital (TD) provocó un cambio profundo y radical en los modelos de negocio. Esto se debió al uso de tecnologías disruptivas agrupadas en el concepto Industria 4.0 (como, por ejemplo, aprendizaje automático, Data</w:t>
      </w:r>
      <w:r w:rsidRPr="00EA5FC4">
        <w:rPr>
          <w:i/>
        </w:rPr>
        <w:t xml:space="preserve"> &amp; </w:t>
      </w:r>
      <w:proofErr w:type="spellStart"/>
      <w:r w:rsidRPr="00EA5FC4">
        <w:rPr>
          <w:i/>
        </w:rPr>
        <w:t>Analytics</w:t>
      </w:r>
      <w:proofErr w:type="spellEnd"/>
      <w:r w:rsidRPr="00EA5FC4">
        <w:t>, robótica aplicada a procesos, internet de las cosas (</w:t>
      </w:r>
      <w:proofErr w:type="spellStart"/>
      <w:r w:rsidRPr="00EA5FC4">
        <w:t>IoT</w:t>
      </w:r>
      <w:proofErr w:type="spellEnd"/>
      <w:r w:rsidRPr="00EA5FC4">
        <w:t>), robótica, Inteligencia Artificial (IA) entre otras) empleadas para la creación de innovaciones. Y, por otro lado, las regulaciones globales vinculadas a la emisión de carbono y cambio climático llevaron a que las organizaciones adopten y divulguen indicadores ESG (</w:t>
      </w:r>
      <w:proofErr w:type="spellStart"/>
      <w:r w:rsidRPr="00EA5FC4">
        <w:rPr>
          <w:i/>
        </w:rPr>
        <w:t>Enviromental</w:t>
      </w:r>
      <w:proofErr w:type="spellEnd"/>
      <w:r w:rsidRPr="00EA5FC4">
        <w:rPr>
          <w:i/>
        </w:rPr>
        <w:t xml:space="preserve">, Social y </w:t>
      </w:r>
      <w:proofErr w:type="spellStart"/>
      <w:r w:rsidRPr="00EA5FC4">
        <w:rPr>
          <w:i/>
        </w:rPr>
        <w:t>Governance</w:t>
      </w:r>
      <w:proofErr w:type="spellEnd"/>
      <w:r w:rsidRPr="00EA5FC4">
        <w:t xml:space="preserve">) (Cormier </w:t>
      </w:r>
      <w:r w:rsidR="00520FFC">
        <w:t>&amp;</w:t>
      </w:r>
      <w:r w:rsidRPr="00EA5FC4">
        <w:t xml:space="preserve"> </w:t>
      </w:r>
      <w:proofErr w:type="spellStart"/>
      <w:r w:rsidRPr="00EA5FC4">
        <w:t>Magnan</w:t>
      </w:r>
      <w:proofErr w:type="spellEnd"/>
      <w:r w:rsidRPr="00EA5FC4">
        <w:t xml:space="preserve">, 2015) inspirados en diferentes acuerdos internacionales como los ODS (Comisión Europea [CE], 2019) que sirven para medir el grado de compromiso hacia la sostenibilidad de las organizaciones y cuyo cumplimiento acredita la confianza para inversores, consumidores y la sociedad. Dentro de este contexto la TD y IA son claves para lograr la sostenibilidad medio ambiental del sistema productivo, en donde los servicios en la nube y el intercambio electrónico de datos tienen impacto en el medio ambiente. Calle (2019) y la OCDE (2019) muestran a la tecnología como un aliado esencial en el proceso de transformación, no sólo porque constituye oportunidades de crecimiento, sino porque no ponderar su relevancia estratégica puede conducir a la obsolescencia y a la pérdida de competitividad. </w:t>
      </w:r>
      <w:r w:rsidRPr="00EA5FC4">
        <w:rPr>
          <w:color w:val="1D1F23"/>
          <w:spacing w:val="4"/>
          <w:shd w:val="clear" w:color="auto" w:fill="FFFFFF"/>
        </w:rPr>
        <w:t>Castilla Vida (2022) informó que nueve</w:t>
      </w:r>
      <w:r w:rsidRPr="00EA5FC4">
        <w:rPr>
          <w:color w:val="222222"/>
        </w:rPr>
        <w:t xml:space="preserve"> de cada diez inversores institucionales toman sus decisiones de inversión teniendo en cuenta los criterios ESG de </w:t>
      </w:r>
      <w:r w:rsidRPr="00EA5FC4">
        <w:rPr>
          <w:color w:val="000000"/>
        </w:rPr>
        <w:t xml:space="preserve">fondos responsables, donde los procesos de inversión combinan el </w:t>
      </w:r>
      <w:r w:rsidRPr="00EA5FC4">
        <w:rPr>
          <w:i/>
          <w:iCs/>
          <w:color w:val="000000"/>
        </w:rPr>
        <w:t>análisis fundamental</w:t>
      </w:r>
      <w:r w:rsidRPr="00EA5FC4">
        <w:rPr>
          <w:color w:val="000000"/>
        </w:rPr>
        <w:t xml:space="preserve"> y la evaluación de factores ambientales, sociales y de gobierno de la empresa, para buscar, de esa manera, identificar riesgos y oportunidades, </w:t>
      </w:r>
      <w:r w:rsidRPr="00EA5FC4">
        <w:rPr>
          <w:color w:val="000000"/>
        </w:rPr>
        <w:lastRenderedPageBreak/>
        <w:t>y alcanzar mejores rendimientos</w:t>
      </w:r>
      <w:r w:rsidRPr="00EA5FC4">
        <w:rPr>
          <w:color w:val="222222"/>
        </w:rPr>
        <w:t xml:space="preserve">. </w:t>
      </w:r>
      <w:r w:rsidRPr="00EA5FC4">
        <w:rPr>
          <w:color w:val="000000"/>
        </w:rPr>
        <w:t>Se privilegia la inversión socialmente responsable; es decir</w:t>
      </w:r>
      <w:r w:rsidR="00692DB7">
        <w:rPr>
          <w:color w:val="000000"/>
        </w:rPr>
        <w:t xml:space="preserve"> </w:t>
      </w:r>
      <w:r w:rsidR="0057701A" w:rsidRPr="00EA5FC4">
        <w:rPr>
          <w:color w:val="000000"/>
        </w:rPr>
        <w:t>aquella</w:t>
      </w:r>
      <w:r w:rsidRPr="00EA5FC4">
        <w:rPr>
          <w:color w:val="000000"/>
        </w:rPr>
        <w:t xml:space="preserve"> que también busca gestionar sus impactos en relación con los temas ambientales, sociales y de gobierno de las organizaciones (ESG).</w:t>
      </w:r>
      <w:r w:rsidR="0041398D" w:rsidRPr="00EA5FC4">
        <w:rPr>
          <w:color w:val="000000"/>
        </w:rPr>
        <w:t xml:space="preserve"> Dentro de este esquema la</w:t>
      </w:r>
      <w:r w:rsidR="0041398D" w:rsidRPr="00EA5FC4">
        <w:rPr>
          <w:color w:val="333333"/>
          <w:spacing w:val="4"/>
        </w:rPr>
        <w:t xml:space="preserve"> innovación abierta se define como un enfoque estratégico que abarca</w:t>
      </w:r>
      <w:r w:rsidR="0057701A" w:rsidRPr="00EA5FC4">
        <w:rPr>
          <w:color w:val="333333"/>
          <w:spacing w:val="4"/>
        </w:rPr>
        <w:t xml:space="preserve"> tanto</w:t>
      </w:r>
      <w:r w:rsidR="0041398D" w:rsidRPr="00EA5FC4">
        <w:rPr>
          <w:color w:val="333333"/>
          <w:spacing w:val="4"/>
        </w:rPr>
        <w:t xml:space="preserve"> los esfuerzos de colaboración, </w:t>
      </w:r>
      <w:r w:rsidR="0057701A" w:rsidRPr="00EA5FC4">
        <w:rPr>
          <w:color w:val="333333"/>
          <w:spacing w:val="4"/>
        </w:rPr>
        <w:t xml:space="preserve">como las </w:t>
      </w:r>
      <w:r w:rsidR="0041398D" w:rsidRPr="00EA5FC4">
        <w:rPr>
          <w:color w:val="333333"/>
          <w:spacing w:val="4"/>
        </w:rPr>
        <w:t xml:space="preserve">aportaciones externas, </w:t>
      </w:r>
      <w:r w:rsidR="0057701A" w:rsidRPr="00EA5FC4">
        <w:rPr>
          <w:color w:val="333333"/>
          <w:spacing w:val="4"/>
        </w:rPr>
        <w:t>en cuanto a</w:t>
      </w:r>
      <w:r w:rsidR="0041398D" w:rsidRPr="00EA5FC4">
        <w:rPr>
          <w:color w:val="333333"/>
          <w:spacing w:val="4"/>
        </w:rPr>
        <w:t xml:space="preserve"> ideas, tecnologías y conocimientos. Este marco dinámico de la ESG acelera la innovación y en el caso de a </w:t>
      </w:r>
      <w:proofErr w:type="spellStart"/>
      <w:r w:rsidR="0041398D" w:rsidRPr="00EA5FC4">
        <w:rPr>
          <w:color w:val="333333"/>
          <w:spacing w:val="4"/>
        </w:rPr>
        <w:t>InA</w:t>
      </w:r>
      <w:proofErr w:type="spellEnd"/>
      <w:r w:rsidR="0041398D" w:rsidRPr="00EA5FC4">
        <w:rPr>
          <w:color w:val="333333"/>
          <w:spacing w:val="4"/>
        </w:rPr>
        <w:t xml:space="preserve"> aprovecha una red diversa, reconociendo que las ideas rompedoras pueden surgir tanto internamente como de fuentes externas. Desde el fomento de la creatividad hasta el impulso del desarrollo rápido, la innovación abierta aprovecha el poder de la inteligencia colectiva.</w:t>
      </w:r>
    </w:p>
    <w:p w14:paraId="6E9B2024" w14:textId="76430999" w:rsidR="005A6769" w:rsidRPr="00EA5FC4" w:rsidRDefault="005A6769" w:rsidP="00EA5FC4">
      <w:pPr>
        <w:tabs>
          <w:tab w:val="left" w:pos="284"/>
        </w:tabs>
        <w:spacing w:before="100" w:beforeAutospacing="1" w:after="100" w:afterAutospacing="1" w:line="276" w:lineRule="auto"/>
        <w:contextualSpacing/>
        <w:jc w:val="both"/>
        <w:rPr>
          <w:rFonts w:ascii="Times New Roman" w:eastAsia="Times New Roman" w:hAnsi="Times New Roman" w:cs="Times New Roman"/>
          <w:color w:val="2E2E38"/>
          <w:sz w:val="24"/>
          <w:szCs w:val="24"/>
        </w:rPr>
      </w:pPr>
      <w:r w:rsidRPr="00EA5FC4">
        <w:rPr>
          <w:rFonts w:ascii="Times New Roman" w:eastAsia="Times New Roman" w:hAnsi="Times New Roman" w:cs="Times New Roman"/>
          <w:sz w:val="24"/>
          <w:szCs w:val="24"/>
          <w:lang w:eastAsia="es-AR"/>
        </w:rPr>
        <w:t xml:space="preserve">El factor ambiental (E), refleja cómo afectan las acciones de las empresas el medioambiente. Busca medir el impacto ya sea directo o indirecto de las acciones llevadas a cabo por las empresas considerando ciertos factores tales como: desarrollo de energías renovables, eficiencia energética, niveles de emisión de carbono, consumo responsable de agua, cambio climático y polución, la IA juego un rol preponderante en la vigilancia del cambio climático y la desforestación, como en la gestión de la energía.  El factor social (S) tiene en cuenta el impacto de las actividades de la empresa en la sociedad en términos de recursos humanos. Algunos de estos son: consumidores, empleados, grupos relacionados, comunidades locales y la sociedad en general. También tiene en cuenta aspectos más globales como los derechos humanos, las normas internacionales del trabajo, los riesgos políticos y otros, donde al igual que en el elemento anterior la IA puede colaborar en el análisis de contratos para evitar la discriminación, cumplimiento de las normas internacionales, entre otras.  El factor de gobierno (G), analiza el impacto que tienen la regulación, procesos, leyes e instituciones con las que se gestiona una empresa. Incluye la relación entre los accionistas y la administración. La IA puede ayudar en el </w:t>
      </w:r>
      <w:r w:rsidRPr="00EA5FC4">
        <w:rPr>
          <w:rFonts w:ascii="Times New Roman" w:eastAsia="Times New Roman" w:hAnsi="Times New Roman" w:cs="Times New Roman"/>
          <w:color w:val="2E2E38"/>
          <w:sz w:val="24"/>
          <w:szCs w:val="24"/>
        </w:rPr>
        <w:t>análisis mapa de riesgos no financieros; aseguramiento razonable de los principales indicadores de sostenibilidad (trazabilidad y homogeneidad de los datos); análisis del nivel de cumplimiento de las políticas corporativas, como también puede ayudar a estructurar toda la información que es requerida por los órganos de gobierno para su gestión y toma de decisiones.</w:t>
      </w:r>
    </w:p>
    <w:p w14:paraId="458BBBCE" w14:textId="15195C6A" w:rsidR="00967ED5" w:rsidRPr="00EA5FC4" w:rsidRDefault="00967ED5" w:rsidP="00EA5FC4">
      <w:pPr>
        <w:tabs>
          <w:tab w:val="left" w:pos="284"/>
        </w:tabs>
        <w:spacing w:before="100" w:beforeAutospacing="1" w:after="100" w:afterAutospacing="1" w:line="276" w:lineRule="auto"/>
        <w:jc w:val="both"/>
        <w:rPr>
          <w:rFonts w:ascii="Times New Roman" w:eastAsia="Times New Roman" w:hAnsi="Times New Roman" w:cs="Times New Roman"/>
          <w:sz w:val="24"/>
          <w:szCs w:val="24"/>
          <w:lang w:eastAsia="es-AR"/>
        </w:rPr>
      </w:pPr>
      <w:r w:rsidRPr="00EA5FC4">
        <w:rPr>
          <w:rFonts w:ascii="Times New Roman" w:eastAsia="Times New Roman" w:hAnsi="Times New Roman" w:cs="Times New Roman"/>
          <w:color w:val="333333"/>
          <w:sz w:val="24"/>
          <w:szCs w:val="24"/>
          <w:shd w:val="clear" w:color="auto" w:fill="FFFFFF"/>
          <w:lang w:eastAsia="es-AR"/>
        </w:rPr>
        <w:t>En base a estos antecedentes, el presente trabajo tuvo como objetivo evaluar los resultados de la aplicación de los criterios de ESG y TD en empresas de la región latinoamericana en cuanto a los beneficios y externalidades que éstos generan en la cadena de valor de las organizaciones.</w:t>
      </w:r>
    </w:p>
    <w:p w14:paraId="1AEAC80C" w14:textId="7D2C0DF3" w:rsidR="00967ED5" w:rsidRPr="00EA5FC4" w:rsidRDefault="00967ED5" w:rsidP="00EA5FC4">
      <w:pPr>
        <w:pStyle w:val="Prrafodelista"/>
        <w:numPr>
          <w:ilvl w:val="0"/>
          <w:numId w:val="17"/>
        </w:numPr>
        <w:tabs>
          <w:tab w:val="left" w:pos="284"/>
        </w:tabs>
        <w:spacing w:before="100" w:beforeAutospacing="1" w:after="100" w:afterAutospacing="1" w:line="276" w:lineRule="auto"/>
        <w:jc w:val="both"/>
        <w:rPr>
          <w:rFonts w:ascii="Times New Roman" w:hAnsi="Times New Roman" w:cs="Times New Roman"/>
          <w:kern w:val="2"/>
          <w:sz w:val="24"/>
          <w:szCs w:val="24"/>
          <w14:ligatures w14:val="standardContextual"/>
        </w:rPr>
      </w:pPr>
      <w:bookmarkStart w:id="0" w:name="_Hlk203344365"/>
      <w:r w:rsidRPr="00EA5FC4">
        <w:rPr>
          <w:rFonts w:ascii="Times New Roman" w:eastAsia="Times New Roman" w:hAnsi="Times New Roman" w:cs="Times New Roman"/>
          <w:b/>
          <w:sz w:val="24"/>
          <w:szCs w:val="24"/>
          <w:lang w:val="en-US" w:eastAsia="es-AR"/>
        </w:rPr>
        <w:t xml:space="preserve">Environmental, Social and Governance (ESG). </w:t>
      </w:r>
      <w:r w:rsidRPr="00EA5FC4">
        <w:rPr>
          <w:rFonts w:ascii="Times New Roman" w:eastAsia="Times New Roman" w:hAnsi="Times New Roman" w:cs="Times New Roman"/>
          <w:b/>
          <w:sz w:val="24"/>
          <w:szCs w:val="24"/>
          <w:lang w:eastAsia="es-AR"/>
        </w:rPr>
        <w:t xml:space="preserve">Principales características y su relación con la IA  </w:t>
      </w:r>
    </w:p>
    <w:bookmarkEnd w:id="0"/>
    <w:p w14:paraId="3C092DE8" w14:textId="558ED414" w:rsidR="00967ED5" w:rsidRPr="00EA5FC4" w:rsidRDefault="00706F5C" w:rsidP="00EA5FC4">
      <w:pPr>
        <w:tabs>
          <w:tab w:val="left" w:pos="284"/>
        </w:tabs>
        <w:spacing w:before="100" w:beforeAutospacing="1" w:after="100" w:afterAutospacing="1" w:line="276" w:lineRule="auto"/>
        <w:contextualSpacing/>
        <w:jc w:val="both"/>
        <w:rPr>
          <w:rFonts w:ascii="Times New Roman" w:eastAsia="Times New Roman" w:hAnsi="Times New Roman" w:cs="Times New Roman"/>
          <w:color w:val="2E2E38"/>
          <w:sz w:val="24"/>
          <w:szCs w:val="24"/>
        </w:rPr>
      </w:pPr>
      <w:r w:rsidRPr="00EA5FC4">
        <w:rPr>
          <w:rFonts w:ascii="Times New Roman" w:hAnsi="Times New Roman" w:cs="Times New Roman"/>
          <w:kern w:val="2"/>
          <w:sz w:val="24"/>
          <w:szCs w:val="24"/>
          <w:lang w:eastAsia="es-AR"/>
          <w14:ligatures w14:val="standardContextual"/>
        </w:rPr>
        <w:t xml:space="preserve"> L</w:t>
      </w:r>
      <w:r w:rsidR="00967ED5" w:rsidRPr="00EA5FC4">
        <w:rPr>
          <w:rFonts w:ascii="Times New Roman" w:hAnsi="Times New Roman" w:cs="Times New Roman"/>
          <w:kern w:val="2"/>
          <w:sz w:val="24"/>
          <w:szCs w:val="24"/>
          <w:lang w:eastAsia="es-AR"/>
          <w14:ligatures w14:val="standardContextual"/>
        </w:rPr>
        <w:t>a TD/IA impulsaron una ola</w:t>
      </w:r>
      <w:r w:rsidR="00A62AE6" w:rsidRPr="00EA5FC4">
        <w:rPr>
          <w:rFonts w:ascii="Times New Roman" w:hAnsi="Times New Roman" w:cs="Times New Roman"/>
          <w:kern w:val="2"/>
          <w:sz w:val="24"/>
          <w:szCs w:val="24"/>
          <w:lang w:eastAsia="es-AR"/>
          <w14:ligatures w14:val="standardContextual"/>
        </w:rPr>
        <w:t xml:space="preserve"> </w:t>
      </w:r>
      <w:r w:rsidR="00967ED5" w:rsidRPr="00EA5FC4">
        <w:rPr>
          <w:rFonts w:ascii="Times New Roman" w:hAnsi="Times New Roman" w:cs="Times New Roman"/>
          <w:kern w:val="2"/>
          <w:sz w:val="24"/>
          <w:szCs w:val="24"/>
          <w:lang w:eastAsia="es-AR"/>
          <w14:ligatures w14:val="standardContextual"/>
        </w:rPr>
        <w:t>de cambios tecnológicos</w:t>
      </w:r>
      <w:r w:rsidRPr="00EA5FC4">
        <w:rPr>
          <w:rFonts w:ascii="Times New Roman" w:hAnsi="Times New Roman" w:cs="Times New Roman"/>
          <w:kern w:val="2"/>
          <w:sz w:val="24"/>
          <w:szCs w:val="24"/>
          <w:lang w:eastAsia="es-AR"/>
          <w14:ligatures w14:val="standardContextual"/>
        </w:rPr>
        <w:t xml:space="preserve">. La próxima ola de transformación viene de </w:t>
      </w:r>
      <w:r w:rsidR="00A62AE6" w:rsidRPr="00EA5FC4">
        <w:rPr>
          <w:rFonts w:ascii="Times New Roman" w:hAnsi="Times New Roman" w:cs="Times New Roman"/>
          <w:kern w:val="2"/>
          <w:sz w:val="24"/>
          <w:szCs w:val="24"/>
          <w:lang w:eastAsia="es-AR"/>
          <w14:ligatures w14:val="standardContextual"/>
        </w:rPr>
        <w:t>la mano</w:t>
      </w:r>
      <w:r w:rsidRPr="00EA5FC4">
        <w:rPr>
          <w:rFonts w:ascii="Times New Roman" w:hAnsi="Times New Roman" w:cs="Times New Roman"/>
          <w:kern w:val="2"/>
          <w:sz w:val="24"/>
          <w:szCs w:val="24"/>
          <w:lang w:eastAsia="es-AR"/>
          <w14:ligatures w14:val="standardContextual"/>
        </w:rPr>
        <w:t xml:space="preserve"> </w:t>
      </w:r>
      <w:r w:rsidR="00A62AE6" w:rsidRPr="00EA5FC4">
        <w:rPr>
          <w:rFonts w:ascii="Times New Roman" w:hAnsi="Times New Roman" w:cs="Times New Roman"/>
          <w:kern w:val="2"/>
          <w:sz w:val="24"/>
          <w:szCs w:val="24"/>
          <w:lang w:eastAsia="es-AR"/>
          <w14:ligatures w14:val="standardContextual"/>
        </w:rPr>
        <w:t>de la</w:t>
      </w:r>
      <w:r w:rsidRPr="00EA5FC4">
        <w:rPr>
          <w:rFonts w:ascii="Times New Roman" w:hAnsi="Times New Roman" w:cs="Times New Roman"/>
          <w:kern w:val="2"/>
          <w:sz w:val="24"/>
          <w:szCs w:val="24"/>
          <w:lang w:eastAsia="es-AR"/>
          <w14:ligatures w14:val="standardContextual"/>
        </w:rPr>
        <w:t xml:space="preserve"> ESG a revolucionar el mundo de los negocios, la sociedad y el </w:t>
      </w:r>
      <w:r w:rsidR="00A62AE6" w:rsidRPr="00EA5FC4">
        <w:rPr>
          <w:rFonts w:ascii="Times New Roman" w:hAnsi="Times New Roman" w:cs="Times New Roman"/>
          <w:kern w:val="2"/>
          <w:sz w:val="24"/>
          <w:szCs w:val="24"/>
          <w:lang w:eastAsia="es-AR"/>
          <w14:ligatures w14:val="standardContextual"/>
        </w:rPr>
        <w:t>medioambiente (</w:t>
      </w:r>
      <w:r w:rsidR="00967ED5" w:rsidRPr="00EA5FC4">
        <w:rPr>
          <w:rFonts w:ascii="Times New Roman" w:hAnsi="Times New Roman" w:cs="Times New Roman"/>
          <w:kern w:val="2"/>
          <w:sz w:val="24"/>
          <w:szCs w:val="24"/>
          <w:lang w:eastAsia="es-AR"/>
          <w14:ligatures w14:val="standardContextual"/>
        </w:rPr>
        <w:t>Gassman &amp; Kelly, 2021). La ESG tiene el potencial de renovar la forma en que las organizaciones planifican, implementan y operan</w:t>
      </w:r>
      <w:r w:rsidRPr="00EA5FC4">
        <w:rPr>
          <w:rFonts w:ascii="Times New Roman" w:hAnsi="Times New Roman" w:cs="Times New Roman"/>
          <w:kern w:val="2"/>
          <w:sz w:val="24"/>
          <w:szCs w:val="24"/>
          <w:lang w:eastAsia="es-AR"/>
          <w14:ligatures w14:val="standardContextual"/>
        </w:rPr>
        <w:t>,</w:t>
      </w:r>
      <w:r w:rsidR="00967ED5" w:rsidRPr="00EA5FC4">
        <w:rPr>
          <w:rFonts w:ascii="Times New Roman" w:hAnsi="Times New Roman" w:cs="Times New Roman"/>
          <w:kern w:val="2"/>
          <w:sz w:val="24"/>
          <w:szCs w:val="24"/>
          <w:lang w:eastAsia="es-AR"/>
          <w14:ligatures w14:val="standardContextual"/>
        </w:rPr>
        <w:t xml:space="preserve"> </w:t>
      </w:r>
      <w:r w:rsidRPr="00EA5FC4">
        <w:rPr>
          <w:rFonts w:ascii="Times New Roman" w:eastAsia="Times New Roman" w:hAnsi="Times New Roman" w:cs="Times New Roman"/>
          <w:sz w:val="24"/>
          <w:szCs w:val="24"/>
          <w:lang w:eastAsia="es-AR"/>
        </w:rPr>
        <w:t>como afirman</w:t>
      </w:r>
      <w:r w:rsidR="00967ED5" w:rsidRPr="00EA5FC4">
        <w:rPr>
          <w:rFonts w:ascii="Times New Roman" w:eastAsia="Times New Roman" w:hAnsi="Times New Roman" w:cs="Times New Roman"/>
          <w:sz w:val="24"/>
          <w:szCs w:val="24"/>
          <w:lang w:eastAsia="es-AR"/>
        </w:rPr>
        <w:t xml:space="preserve"> Yagüe Funes y Navarro de la Rosa (2020) al decir que</w:t>
      </w:r>
      <w:proofErr w:type="gramStart"/>
      <w:r w:rsidR="00520FFC" w:rsidRPr="00EA5FC4">
        <w:rPr>
          <w:rFonts w:ascii="Times New Roman" w:eastAsia="Times New Roman" w:hAnsi="Times New Roman" w:cs="Times New Roman"/>
          <w:sz w:val="24"/>
          <w:szCs w:val="24"/>
          <w:lang w:eastAsia="es-AR"/>
        </w:rPr>
        <w:t>:</w:t>
      </w:r>
      <w:r w:rsidR="00520FFC">
        <w:rPr>
          <w:rFonts w:ascii="Times New Roman" w:eastAsia="Times New Roman" w:hAnsi="Times New Roman" w:cs="Times New Roman"/>
          <w:sz w:val="24"/>
          <w:szCs w:val="24"/>
          <w:lang w:eastAsia="es-AR"/>
        </w:rPr>
        <w:t xml:space="preserve"> ”Invertir</w:t>
      </w:r>
      <w:proofErr w:type="gramEnd"/>
      <w:r w:rsidR="00967ED5" w:rsidRPr="00EA5FC4">
        <w:rPr>
          <w:rFonts w:ascii="Times New Roman" w:eastAsia="Times New Roman" w:hAnsi="Times New Roman" w:cs="Times New Roman"/>
          <w:sz w:val="24"/>
          <w:szCs w:val="24"/>
          <w:lang w:eastAsia="es-AR"/>
        </w:rPr>
        <w:t xml:space="preserve"> de manera </w:t>
      </w:r>
      <w:r w:rsidR="00967ED5" w:rsidRPr="00EA5FC4">
        <w:rPr>
          <w:rFonts w:ascii="Times New Roman" w:eastAsia="Times New Roman" w:hAnsi="Times New Roman" w:cs="Times New Roman"/>
          <w:sz w:val="24"/>
          <w:szCs w:val="24"/>
          <w:lang w:eastAsia="es-AR"/>
        </w:rPr>
        <w:lastRenderedPageBreak/>
        <w:t>sostenible o con criterios éticos, va relacionado con tener en cuenta aspectos que no sólo tienen que ver con lo financiero, si no que entra en juego lo “extra financiero” (p.41</w:t>
      </w:r>
      <w:r w:rsidRPr="00EA5FC4">
        <w:rPr>
          <w:rFonts w:ascii="Times New Roman" w:eastAsia="Times New Roman" w:hAnsi="Times New Roman" w:cs="Times New Roman"/>
          <w:sz w:val="24"/>
          <w:szCs w:val="24"/>
          <w:lang w:eastAsia="es-AR"/>
        </w:rPr>
        <w:t>)</w:t>
      </w:r>
      <w:r w:rsidR="00967ED5" w:rsidRPr="00EA5FC4">
        <w:rPr>
          <w:rFonts w:ascii="Times New Roman" w:eastAsia="Times New Roman" w:hAnsi="Times New Roman" w:cs="Times New Roman"/>
          <w:sz w:val="24"/>
          <w:szCs w:val="24"/>
          <w:lang w:eastAsia="es-AR"/>
        </w:rPr>
        <w:t xml:space="preserve">. Una de las vías en las que se apuesta por las finanzas sostenibles es a través de la generación de índices ESG como el FTSE4Good IBEX® y el IBEX </w:t>
      </w:r>
      <w:proofErr w:type="spellStart"/>
      <w:r w:rsidR="00967ED5" w:rsidRPr="00EA5FC4">
        <w:rPr>
          <w:rFonts w:ascii="Times New Roman" w:eastAsia="Times New Roman" w:hAnsi="Times New Roman" w:cs="Times New Roman"/>
          <w:sz w:val="24"/>
          <w:szCs w:val="24"/>
          <w:lang w:eastAsia="es-AR"/>
        </w:rPr>
        <w:t>Gender</w:t>
      </w:r>
      <w:proofErr w:type="spellEnd"/>
      <w:r w:rsidR="00967ED5" w:rsidRPr="00EA5FC4">
        <w:rPr>
          <w:rFonts w:ascii="Times New Roman" w:eastAsia="Times New Roman" w:hAnsi="Times New Roman" w:cs="Times New Roman"/>
          <w:sz w:val="24"/>
          <w:szCs w:val="24"/>
          <w:lang w:eastAsia="es-AR"/>
        </w:rPr>
        <w:t xml:space="preserve"> </w:t>
      </w:r>
      <w:proofErr w:type="spellStart"/>
      <w:r w:rsidR="00967ED5" w:rsidRPr="00EA5FC4">
        <w:rPr>
          <w:rFonts w:ascii="Times New Roman" w:eastAsia="Times New Roman" w:hAnsi="Times New Roman" w:cs="Times New Roman"/>
          <w:sz w:val="24"/>
          <w:szCs w:val="24"/>
          <w:lang w:eastAsia="es-AR"/>
        </w:rPr>
        <w:t>Equality</w:t>
      </w:r>
      <w:proofErr w:type="spellEnd"/>
      <w:r w:rsidR="00967ED5" w:rsidRPr="00EA5FC4">
        <w:rPr>
          <w:rFonts w:ascii="Times New Roman" w:eastAsia="Times New Roman" w:hAnsi="Times New Roman" w:cs="Times New Roman"/>
          <w:sz w:val="24"/>
          <w:szCs w:val="24"/>
          <w:lang w:eastAsia="es-AR"/>
        </w:rPr>
        <w:t>®. Este último se lanzó en noviembre de 2021 para promover la igualdad de género entre las empresas cotizadas</w:t>
      </w:r>
      <w:r w:rsidR="00967ED5" w:rsidRPr="00EA5FC4">
        <w:rPr>
          <w:rFonts w:ascii="Times New Roman" w:hAnsi="Times New Roman" w:cs="Times New Roman"/>
          <w:kern w:val="2"/>
          <w:sz w:val="24"/>
          <w:szCs w:val="24"/>
          <w14:ligatures w14:val="standardContextual"/>
        </w:rPr>
        <w:t xml:space="preserve"> en línea con el Objetivo de Desarrollo Sostenible nº5 de Naciones Unidas</w:t>
      </w:r>
      <w:r w:rsidR="00305706">
        <w:rPr>
          <w:rFonts w:ascii="Times New Roman" w:hAnsi="Times New Roman" w:cs="Times New Roman"/>
          <w:kern w:val="2"/>
          <w:sz w:val="24"/>
          <w:szCs w:val="24"/>
          <w14:ligatures w14:val="standardContextual"/>
        </w:rPr>
        <w:t xml:space="preserve"> (Naciones Unidas, 2018)</w:t>
      </w:r>
      <w:r w:rsidR="00967ED5" w:rsidRPr="00EA5FC4">
        <w:rPr>
          <w:rFonts w:ascii="Times New Roman" w:eastAsia="Times New Roman" w:hAnsi="Times New Roman" w:cs="Times New Roman"/>
          <w:sz w:val="24"/>
          <w:szCs w:val="24"/>
          <w:lang w:eastAsia="es-AR"/>
        </w:rPr>
        <w:t>. Para determinar qué componentes forman parte de los criterios ESG es preciso analizarlos por separado (</w:t>
      </w:r>
      <w:proofErr w:type="spellStart"/>
      <w:r w:rsidR="00967ED5" w:rsidRPr="00EA5FC4">
        <w:rPr>
          <w:rFonts w:ascii="Times New Roman" w:eastAsia="Times New Roman" w:hAnsi="Times New Roman" w:cs="Times New Roman"/>
          <w:sz w:val="24"/>
          <w:szCs w:val="24"/>
          <w:lang w:eastAsia="es-AR"/>
        </w:rPr>
        <w:t>Kocmanová</w:t>
      </w:r>
      <w:proofErr w:type="spellEnd"/>
      <w:r w:rsidR="00967ED5" w:rsidRPr="00EA5FC4">
        <w:rPr>
          <w:rFonts w:ascii="Times New Roman" w:eastAsia="Times New Roman" w:hAnsi="Times New Roman" w:cs="Times New Roman"/>
          <w:sz w:val="24"/>
          <w:szCs w:val="24"/>
          <w:lang w:eastAsia="es-AR"/>
        </w:rPr>
        <w:t xml:space="preserve"> </w:t>
      </w:r>
      <w:r w:rsidR="00520FFC">
        <w:rPr>
          <w:rFonts w:ascii="Times New Roman" w:eastAsia="Times New Roman" w:hAnsi="Times New Roman" w:cs="Times New Roman"/>
          <w:sz w:val="24"/>
          <w:szCs w:val="24"/>
          <w:lang w:eastAsia="es-AR"/>
        </w:rPr>
        <w:t>&amp;</w:t>
      </w:r>
      <w:r w:rsidR="00967ED5" w:rsidRPr="00EA5FC4">
        <w:rPr>
          <w:rFonts w:ascii="Times New Roman" w:eastAsia="Times New Roman" w:hAnsi="Times New Roman" w:cs="Times New Roman"/>
          <w:sz w:val="24"/>
          <w:szCs w:val="24"/>
          <w:lang w:eastAsia="es-AR"/>
        </w:rPr>
        <w:t xml:space="preserve"> </w:t>
      </w:r>
      <w:proofErr w:type="spellStart"/>
      <w:r w:rsidR="00967ED5" w:rsidRPr="00EA5FC4">
        <w:rPr>
          <w:rFonts w:ascii="Times New Roman" w:eastAsia="Times New Roman" w:hAnsi="Times New Roman" w:cs="Times New Roman"/>
          <w:sz w:val="24"/>
          <w:szCs w:val="24"/>
          <w:lang w:eastAsia="es-AR"/>
        </w:rPr>
        <w:t>Dočekalová</w:t>
      </w:r>
      <w:proofErr w:type="spellEnd"/>
      <w:r w:rsidR="00967ED5" w:rsidRPr="00EA5FC4">
        <w:rPr>
          <w:rFonts w:ascii="Times New Roman" w:eastAsia="Times New Roman" w:hAnsi="Times New Roman" w:cs="Times New Roman"/>
          <w:sz w:val="24"/>
          <w:szCs w:val="24"/>
          <w:lang w:eastAsia="es-AR"/>
        </w:rPr>
        <w:t xml:space="preserve">, 2012). </w:t>
      </w:r>
    </w:p>
    <w:p w14:paraId="4732E3F0" w14:textId="4D9F100C" w:rsidR="00967ED5" w:rsidRPr="00EA5FC4" w:rsidRDefault="00967ED5" w:rsidP="00EA5FC4">
      <w:pPr>
        <w:tabs>
          <w:tab w:val="left" w:pos="284"/>
        </w:tabs>
        <w:spacing w:before="100" w:beforeAutospacing="1" w:after="100" w:afterAutospacing="1" w:line="276" w:lineRule="auto"/>
        <w:jc w:val="both"/>
        <w:rPr>
          <w:rFonts w:ascii="Times New Roman" w:eastAsia="Times New Roman" w:hAnsi="Times New Roman" w:cs="Times New Roman"/>
          <w:sz w:val="24"/>
          <w:szCs w:val="24"/>
          <w:lang w:eastAsia="es-AR"/>
        </w:rPr>
      </w:pPr>
      <w:r w:rsidRPr="00EA5FC4">
        <w:rPr>
          <w:rFonts w:ascii="Times New Roman" w:eastAsia="Times New Roman" w:hAnsi="Times New Roman" w:cs="Times New Roman"/>
          <w:sz w:val="24"/>
          <w:szCs w:val="24"/>
          <w:lang w:eastAsia="es-AR"/>
        </w:rPr>
        <w:t>Diferentes estudios como el MSCI</w:t>
      </w:r>
      <w:r w:rsidRPr="00EA5FC4">
        <w:rPr>
          <w:rFonts w:ascii="Times New Roman" w:hAnsi="Times New Roman" w:cs="Times New Roman"/>
          <w:b/>
          <w:color w:val="333333"/>
          <w:kern w:val="2"/>
          <w:sz w:val="24"/>
          <w:szCs w:val="24"/>
          <w:bdr w:val="none" w:sz="0" w:space="0" w:color="auto" w:frame="1"/>
          <w:shd w:val="clear" w:color="auto" w:fill="FFFFFF"/>
          <w14:ligatures w14:val="standardContextual"/>
        </w:rPr>
        <w:t xml:space="preserve"> (</w:t>
      </w:r>
      <w:proofErr w:type="spellStart"/>
      <w:r w:rsidRPr="00EA5FC4">
        <w:rPr>
          <w:rFonts w:ascii="Times New Roman" w:hAnsi="Times New Roman" w:cs="Times New Roman"/>
          <w:bCs/>
          <w:color w:val="333333"/>
          <w:kern w:val="2"/>
          <w:sz w:val="24"/>
          <w:szCs w:val="24"/>
          <w:bdr w:val="none" w:sz="0" w:space="0" w:color="auto" w:frame="1"/>
          <w:shd w:val="clear" w:color="auto" w:fill="FFFFFF"/>
          <w14:ligatures w14:val="standardContextual"/>
        </w:rPr>
        <w:t>Measuring</w:t>
      </w:r>
      <w:proofErr w:type="spellEnd"/>
      <w:r w:rsidRPr="00EA5FC4">
        <w:rPr>
          <w:rFonts w:ascii="Times New Roman" w:hAnsi="Times New Roman" w:cs="Times New Roman"/>
          <w:bCs/>
          <w:color w:val="333333"/>
          <w:kern w:val="2"/>
          <w:sz w:val="24"/>
          <w:szCs w:val="24"/>
          <w:bdr w:val="none" w:sz="0" w:space="0" w:color="auto" w:frame="1"/>
          <w:shd w:val="clear" w:color="auto" w:fill="FFFFFF"/>
          <w14:ligatures w14:val="standardContextual"/>
        </w:rPr>
        <w:t xml:space="preserve"> </w:t>
      </w:r>
      <w:proofErr w:type="spellStart"/>
      <w:r w:rsidRPr="00EA5FC4">
        <w:rPr>
          <w:rFonts w:ascii="Times New Roman" w:hAnsi="Times New Roman" w:cs="Times New Roman"/>
          <w:bCs/>
          <w:color w:val="333333"/>
          <w:kern w:val="2"/>
          <w:sz w:val="24"/>
          <w:szCs w:val="24"/>
          <w:bdr w:val="none" w:sz="0" w:space="0" w:color="auto" w:frame="1"/>
          <w:shd w:val="clear" w:color="auto" w:fill="FFFFFF"/>
          <w14:ligatures w14:val="standardContextual"/>
        </w:rPr>
        <w:t>Stakeholder</w:t>
      </w:r>
      <w:proofErr w:type="spellEnd"/>
      <w:r w:rsidRPr="00EA5FC4">
        <w:rPr>
          <w:rFonts w:ascii="Times New Roman" w:hAnsi="Times New Roman" w:cs="Times New Roman"/>
          <w:bCs/>
          <w:color w:val="333333"/>
          <w:kern w:val="2"/>
          <w:sz w:val="24"/>
          <w:szCs w:val="24"/>
          <w:bdr w:val="none" w:sz="0" w:space="0" w:color="auto" w:frame="1"/>
          <w:shd w:val="clear" w:color="auto" w:fill="FFFFFF"/>
          <w14:ligatures w14:val="standardContextual"/>
        </w:rPr>
        <w:t xml:space="preserve"> </w:t>
      </w:r>
      <w:proofErr w:type="spellStart"/>
      <w:r w:rsidRPr="00EA5FC4">
        <w:rPr>
          <w:rFonts w:ascii="Times New Roman" w:hAnsi="Times New Roman" w:cs="Times New Roman"/>
          <w:bCs/>
          <w:color w:val="333333"/>
          <w:kern w:val="2"/>
          <w:sz w:val="24"/>
          <w:szCs w:val="24"/>
          <w:bdr w:val="none" w:sz="0" w:space="0" w:color="auto" w:frame="1"/>
          <w:shd w:val="clear" w:color="auto" w:fill="FFFFFF"/>
          <w14:ligatures w14:val="standardContextual"/>
        </w:rPr>
        <w:t>Capitalism</w:t>
      </w:r>
      <w:proofErr w:type="spellEnd"/>
      <w:r w:rsidRPr="00EA5FC4">
        <w:rPr>
          <w:rFonts w:ascii="Times New Roman" w:hAnsi="Times New Roman" w:cs="Times New Roman"/>
          <w:bCs/>
          <w:color w:val="333333"/>
          <w:kern w:val="2"/>
          <w:sz w:val="24"/>
          <w:szCs w:val="24"/>
          <w:bdr w:val="none" w:sz="0" w:space="0" w:color="auto" w:frame="1"/>
          <w:shd w:val="clear" w:color="auto" w:fill="FFFFFF"/>
          <w14:ligatures w14:val="standardContextual"/>
        </w:rPr>
        <w:t xml:space="preserve"> </w:t>
      </w:r>
      <w:proofErr w:type="spellStart"/>
      <w:r w:rsidRPr="00EA5FC4">
        <w:rPr>
          <w:rFonts w:ascii="Times New Roman" w:hAnsi="Times New Roman" w:cs="Times New Roman"/>
          <w:bCs/>
          <w:color w:val="333333"/>
          <w:kern w:val="2"/>
          <w:sz w:val="24"/>
          <w:szCs w:val="24"/>
          <w:bdr w:val="none" w:sz="0" w:space="0" w:color="auto" w:frame="1"/>
          <w:shd w:val="clear" w:color="auto" w:fill="FFFFFF"/>
          <w14:ligatures w14:val="standardContextual"/>
        </w:rPr>
        <w:t>Initiative</w:t>
      </w:r>
      <w:proofErr w:type="spellEnd"/>
      <w:r w:rsidRPr="00EA5FC4">
        <w:rPr>
          <w:rFonts w:ascii="Times New Roman" w:hAnsi="Times New Roman" w:cs="Times New Roman"/>
          <w:bCs/>
          <w:color w:val="333333"/>
          <w:kern w:val="2"/>
          <w:sz w:val="24"/>
          <w:szCs w:val="24"/>
          <w:bdr w:val="none" w:sz="0" w:space="0" w:color="auto" w:frame="1"/>
          <w:shd w:val="clear" w:color="auto" w:fill="FFFFFF"/>
          <w14:ligatures w14:val="standardContextual"/>
        </w:rPr>
        <w:t>)</w:t>
      </w:r>
      <w:r w:rsidRPr="00EA5FC4">
        <w:rPr>
          <w:rFonts w:ascii="Times New Roman" w:eastAsia="Times New Roman" w:hAnsi="Times New Roman" w:cs="Times New Roman"/>
          <w:sz w:val="24"/>
          <w:szCs w:val="24"/>
          <w:lang w:eastAsia="es-AR"/>
        </w:rPr>
        <w:t xml:space="preserve"> ESG demostraron el impacto que los factores ESG tienen sobre los trabajadores al existir un sentimiento de unión y fuerza laboral, focalizándose en el impacto positivo que puede ejercer el sentimiento de la fuerza laboral sobre la compañía, convirtiéndose en una gran ventaja competitiva para la organización (</w:t>
      </w:r>
      <w:proofErr w:type="spellStart"/>
      <w:r w:rsidRPr="00EA5FC4">
        <w:rPr>
          <w:rFonts w:ascii="Times New Roman" w:eastAsia="Times New Roman" w:hAnsi="Times New Roman" w:cs="Times New Roman"/>
          <w:sz w:val="24"/>
          <w:szCs w:val="24"/>
          <w:lang w:eastAsia="es-AR"/>
        </w:rPr>
        <w:t>Jiang</w:t>
      </w:r>
      <w:proofErr w:type="spellEnd"/>
      <w:r w:rsidRPr="00EA5FC4">
        <w:rPr>
          <w:rFonts w:ascii="Times New Roman" w:eastAsia="Times New Roman" w:hAnsi="Times New Roman" w:cs="Times New Roman"/>
          <w:sz w:val="24"/>
          <w:szCs w:val="24"/>
          <w:lang w:eastAsia="es-AR"/>
        </w:rPr>
        <w:t xml:space="preserve"> et al.</w:t>
      </w:r>
      <w:r w:rsidR="00692DB7">
        <w:rPr>
          <w:rFonts w:ascii="Times New Roman" w:eastAsia="Times New Roman" w:hAnsi="Times New Roman" w:cs="Times New Roman"/>
          <w:sz w:val="24"/>
          <w:szCs w:val="24"/>
          <w:lang w:eastAsia="es-AR"/>
        </w:rPr>
        <w:t>,</w:t>
      </w:r>
      <w:r w:rsidRPr="00EA5FC4">
        <w:rPr>
          <w:rFonts w:ascii="Times New Roman" w:eastAsia="Times New Roman" w:hAnsi="Times New Roman" w:cs="Times New Roman"/>
          <w:sz w:val="24"/>
          <w:szCs w:val="24"/>
          <w:lang w:eastAsia="es-AR"/>
        </w:rPr>
        <w:t xml:space="preserve"> 2020). Algunos puntos a destacar son que a medida que los </w:t>
      </w:r>
      <w:proofErr w:type="spellStart"/>
      <w:r w:rsidRPr="00EA5FC4">
        <w:rPr>
          <w:rFonts w:ascii="Times New Roman" w:eastAsia="Times New Roman" w:hAnsi="Times New Roman" w:cs="Times New Roman"/>
          <w:sz w:val="24"/>
          <w:szCs w:val="24"/>
          <w:lang w:eastAsia="es-AR"/>
        </w:rPr>
        <w:t>Millennials</w:t>
      </w:r>
      <w:proofErr w:type="spellEnd"/>
      <w:r w:rsidRPr="00EA5FC4">
        <w:rPr>
          <w:rFonts w:ascii="Times New Roman" w:eastAsia="Times New Roman" w:hAnsi="Times New Roman" w:cs="Times New Roman"/>
          <w:sz w:val="24"/>
          <w:szCs w:val="24"/>
          <w:lang w:eastAsia="es-AR"/>
        </w:rPr>
        <w:t xml:space="preserve"> y la Generación Z constituyan la mayor parte del mercado laboral, el desempeño ESG será más importante para retener el talento, pues estas generaciones tienen un mayor compromiso con los problemas sociales y medioambientales. El desempeño ESG, es una gran ventaja competitiva tanto para involucrar a los trabajadores actuales y retener su talento, como para retener el talento de los empleados futuros (Rodríguez Garzón, 2021). Respecto al factor ambiental, en un informe Calle (2019) explica que los centros de datos tradicionales son responsables del 3% del consumo de energía global, por lo que el gobierno del Reino Unido alienta a las organizaciones a migrar la infraestructura de IT local a la nube pública en un intento de trabajar hacia emisiones cero, ya que los grandes proveedores de nube están acelerando su hoja de ruta cero netos. El alojamiento en la nube es un gran ejemplo de una tecnología alternativa que no sólo tiene ventajas claras para permitir la transformación empresarial, sino que también desbloquea una optimización más amplia de las emisiones de carbono. La nube y los centros de datos que la impulsan, tienen un papel fundamental que desempeñar en la reducción de las emisiones de CO2 a nivel global como así también desarrollar una infraestructura de IT centralizada de bajo consumo, monitoreada por modelos de IA, que faciliten configuraciones de uso optimizadas de manera tal que los gases de efecto invernadero se reduzcan, proporcionando la potencia informática necesaria para respaldar el mapeo ambiental y las estrategias de intervención. Para llevar adelante la TD es necesario realizar un cambio en el modelo de negocio, lo que implica trabajar sobre varias dimensiones a saber: Estrategia, Tecnología y sistemas, Buen gobierno y gestión de los riesgos, Recursos humanos, Excelencia operativa y experiencia del cliente (Hoang, 2018).</w:t>
      </w:r>
    </w:p>
    <w:p w14:paraId="6ED51300" w14:textId="694FD486" w:rsidR="00967ED5" w:rsidRPr="00EA5FC4" w:rsidRDefault="00967ED5" w:rsidP="00EA5FC4">
      <w:pPr>
        <w:pStyle w:val="Prrafodelista"/>
        <w:numPr>
          <w:ilvl w:val="0"/>
          <w:numId w:val="17"/>
        </w:numPr>
        <w:shd w:val="clear" w:color="auto" w:fill="FFFFFF"/>
        <w:tabs>
          <w:tab w:val="left" w:pos="284"/>
        </w:tabs>
        <w:spacing w:before="100" w:beforeAutospacing="1" w:after="100" w:afterAutospacing="1" w:line="276" w:lineRule="auto"/>
        <w:jc w:val="both"/>
        <w:rPr>
          <w:rFonts w:ascii="Times New Roman" w:eastAsia="Times New Roman" w:hAnsi="Times New Roman" w:cs="Times New Roman"/>
          <w:b/>
          <w:bCs/>
          <w:sz w:val="24"/>
          <w:szCs w:val="24"/>
          <w:lang w:val="es-ES" w:eastAsia="es-AR"/>
        </w:rPr>
      </w:pPr>
      <w:r w:rsidRPr="00EA5FC4">
        <w:rPr>
          <w:rFonts w:ascii="Times New Roman" w:eastAsia="Times New Roman" w:hAnsi="Times New Roman" w:cs="Times New Roman"/>
          <w:b/>
          <w:bCs/>
          <w:sz w:val="24"/>
          <w:szCs w:val="24"/>
          <w:lang w:val="es-ES" w:eastAsia="es-AR"/>
        </w:rPr>
        <w:t>Valuación de modelos sobre mediciones en materia ESG.</w:t>
      </w:r>
      <w:r w:rsidRPr="00EA5FC4">
        <w:rPr>
          <w:rFonts w:ascii="Times New Roman" w:eastAsia="Times New Roman" w:hAnsi="Times New Roman" w:cs="Times New Roman"/>
          <w:b/>
          <w:bCs/>
          <w:sz w:val="24"/>
          <w:szCs w:val="24"/>
          <w:lang w:eastAsia="es-AR"/>
        </w:rPr>
        <w:t> </w:t>
      </w:r>
    </w:p>
    <w:p w14:paraId="5F1CB42B" w14:textId="74603BFE" w:rsidR="00387B82" w:rsidRPr="00EA5FC4" w:rsidRDefault="00967ED5" w:rsidP="00EA5FC4">
      <w:pPr>
        <w:pStyle w:val="Default"/>
        <w:spacing w:after="200" w:line="276" w:lineRule="auto"/>
        <w:jc w:val="both"/>
      </w:pPr>
      <w:r w:rsidRPr="00EA5FC4">
        <w:rPr>
          <w:color w:val="000000" w:themeColor="text1"/>
          <w:lang w:val="es-ES" w:eastAsia="es-AR"/>
        </w:rPr>
        <w:t xml:space="preserve">A la hora de la valuación de las mediciones en materia de ESG, se cuenta con diferentes enfoques, metodologías e indicadores que, en la actualidad, son de utilidad a la hora de medir el desempeño e impacto del ESG en las organizaciones a. Modelo de Triple Cuenta de Resultados, el cual mantiene que una compañía a la hora de buscar el desarrollo sostenible no debe ser evaluada solamente a través de sus partes interesadas en términos </w:t>
      </w:r>
      <w:r w:rsidRPr="00EA5FC4">
        <w:rPr>
          <w:color w:val="000000" w:themeColor="text1"/>
          <w:lang w:val="es-ES" w:eastAsia="es-AR"/>
        </w:rPr>
        <w:lastRenderedPageBreak/>
        <w:t>de maximización de rentabilidad, sino que también debe ser evaluada en base a la equidad, la justicia social y por el cuidado ambiental al que se enfocan (</w:t>
      </w:r>
      <w:r w:rsidR="00520FFC">
        <w:rPr>
          <w:color w:val="000000" w:themeColor="text1"/>
          <w:lang w:val="es-ES" w:eastAsia="es-AR"/>
        </w:rPr>
        <w:t xml:space="preserve">Plascencia </w:t>
      </w:r>
      <w:r w:rsidRPr="00EA5FC4">
        <w:rPr>
          <w:color w:val="000000" w:themeColor="text1"/>
          <w:lang w:val="es-ES" w:eastAsia="es-AR"/>
        </w:rPr>
        <w:t>Soler et al., 2018). b. MODELO TBL Con el fin de estructurar aspectos relacionados con la ética, la responsabilidad social y la sostenibilidad de las empresas, el modelo TBL (Triple Bottom Line), es uno de los más aceptados por los estándares internacionales. (Plascencia Soler et al., 2018).</w:t>
      </w:r>
      <w:r w:rsidRPr="00EA5FC4">
        <w:rPr>
          <w:color w:val="000000" w:themeColor="text1"/>
          <w:lang w:eastAsia="es-AR"/>
        </w:rPr>
        <w:t xml:space="preserve"> </w:t>
      </w:r>
      <w:r w:rsidRPr="00EA5FC4">
        <w:rPr>
          <w:color w:val="000000" w:themeColor="text1"/>
          <w:lang w:val="es-ES" w:eastAsia="es-AR"/>
        </w:rPr>
        <w:t xml:space="preserve">c. Modelo de los Cuatro Pilares de la Sostenibilidad. El mismo, tiene en cuenta las tres dimensiones mencionadas anteriormente, pero también incluye una cuarta dimensión, conocida como dimensión institucional, la cual se relaciona con el marco de trabajo y la capacidad de los gobiernos (Plascencia Soler et al., 2018); </w:t>
      </w:r>
      <w:r w:rsidRPr="00EA5FC4">
        <w:rPr>
          <w:lang w:eastAsia="es-AR"/>
        </w:rPr>
        <w:t xml:space="preserve">d. </w:t>
      </w:r>
      <w:r w:rsidRPr="00EA5FC4">
        <w:rPr>
          <w:color w:val="000000" w:themeColor="text1"/>
          <w:lang w:val="es-ES" w:eastAsia="es-AR"/>
        </w:rPr>
        <w:t xml:space="preserve">Modelo SBCS (Social Balance Score </w:t>
      </w:r>
      <w:proofErr w:type="spellStart"/>
      <w:r w:rsidRPr="00EA5FC4">
        <w:rPr>
          <w:color w:val="000000" w:themeColor="text1"/>
          <w:lang w:val="es-ES" w:eastAsia="es-AR"/>
        </w:rPr>
        <w:t>Card</w:t>
      </w:r>
      <w:proofErr w:type="spellEnd"/>
      <w:r w:rsidRPr="00EA5FC4">
        <w:rPr>
          <w:color w:val="000000" w:themeColor="text1"/>
          <w:lang w:val="es-ES" w:eastAsia="es-AR"/>
        </w:rPr>
        <w:t>), se puede observar que el mismo es un facilitador de la conexión entre la estrategia de una firma y su sistema de medición mediante relaciones de causa y efecto entre los objetivos, incorporando indicadores que no son de naturaleza financiera. (</w:t>
      </w:r>
      <w:proofErr w:type="spellStart"/>
      <w:r w:rsidRPr="00EA5FC4">
        <w:rPr>
          <w:color w:val="000000" w:themeColor="text1"/>
          <w:lang w:val="es-ES" w:eastAsia="es-AR"/>
        </w:rPr>
        <w:t>Anjomshoae</w:t>
      </w:r>
      <w:proofErr w:type="spellEnd"/>
      <w:r w:rsidRPr="00EA5FC4">
        <w:rPr>
          <w:color w:val="000000" w:themeColor="text1"/>
          <w:lang w:val="es-ES" w:eastAsia="es-AR"/>
        </w:rPr>
        <w:t xml:space="preserve"> et al.</w:t>
      </w:r>
      <w:r w:rsidR="007E295D">
        <w:rPr>
          <w:color w:val="000000" w:themeColor="text1"/>
          <w:lang w:val="es-ES" w:eastAsia="es-AR"/>
        </w:rPr>
        <w:t>,</w:t>
      </w:r>
      <w:r w:rsidRPr="00EA5FC4">
        <w:rPr>
          <w:color w:val="000000" w:themeColor="text1"/>
          <w:lang w:val="es-ES" w:eastAsia="es-AR"/>
        </w:rPr>
        <w:t xml:space="preserve"> 2017).</w:t>
      </w:r>
      <w:r w:rsidRPr="00EA5FC4">
        <w:rPr>
          <w:color w:val="000000" w:themeColor="text1"/>
          <w:lang w:eastAsia="es-AR"/>
        </w:rPr>
        <w:t> </w:t>
      </w:r>
      <w:r w:rsidRPr="00EA5FC4">
        <w:rPr>
          <w:color w:val="000000" w:themeColor="text1"/>
          <w:lang w:val="es-ES" w:eastAsia="es-AR"/>
        </w:rPr>
        <w:t xml:space="preserve">El principal propósito del SBSC es la integración de elementos de índole ecológica, social y ética en la base estratégica de una entidad. </w:t>
      </w:r>
      <w:r w:rsidRPr="00EA5FC4">
        <w:rPr>
          <w:lang w:eastAsia="es-AR"/>
        </w:rPr>
        <w:t xml:space="preserve">e. </w:t>
      </w:r>
      <w:r w:rsidRPr="00EA5FC4">
        <w:t xml:space="preserve">El “Barómetro Corporativo ESG” es una herramienta de la empresa Deloitte que permite a las compañías tener una visualización general sobre su situación actual para poder afrontar los tres criterios de la ESG (Deloitte, 2022). Dicha empresa manifiesta que cuanto más crítica se vuelve la demanda de cumplir con los requisitos de sostenibilidad de diversos actores nacionales e internacionales, más necesario se vuelve administrar y priorizar la gestión de las empresas y las estrategias que implementarán para poder cumplir con los criterios antes mencionados. </w:t>
      </w:r>
      <w:r w:rsidR="00387B82" w:rsidRPr="00EA5FC4">
        <w:rPr>
          <w:rFonts w:eastAsia="Arial"/>
          <w:lang w:val="es-MX" w:eastAsia="es-AR"/>
        </w:rPr>
        <w:t xml:space="preserve">Se aplicó el modelo Métricas ESG con siete compañías de diversas industrias (Tecnológicas, servicios, industriales, minería, financiera, energía) 3 argentinas, 1 chilena, 1 colombiana y dos globales. </w:t>
      </w:r>
    </w:p>
    <w:p w14:paraId="026F6533" w14:textId="7121C5B0" w:rsidR="00C3338D" w:rsidRPr="00EA5FC4" w:rsidRDefault="00EA7B28" w:rsidP="00EA5FC4">
      <w:pPr>
        <w:shd w:val="clear" w:color="auto" w:fill="FFFFFF"/>
        <w:spacing w:after="300" w:line="276" w:lineRule="auto"/>
        <w:jc w:val="both"/>
        <w:rPr>
          <w:rFonts w:ascii="Times New Roman" w:hAnsi="Times New Roman" w:cs="Times New Roman"/>
          <w:b/>
          <w:sz w:val="24"/>
          <w:szCs w:val="24"/>
        </w:rPr>
      </w:pPr>
      <w:r w:rsidRPr="00EA5FC4">
        <w:rPr>
          <w:rFonts w:ascii="Times New Roman" w:hAnsi="Times New Roman" w:cs="Times New Roman"/>
          <w:b/>
          <w:sz w:val="24"/>
          <w:szCs w:val="24"/>
        </w:rPr>
        <w:t>4.</w:t>
      </w:r>
      <w:r w:rsidR="00C3338D" w:rsidRPr="00EA5FC4">
        <w:rPr>
          <w:rFonts w:ascii="Times New Roman" w:hAnsi="Times New Roman" w:cs="Times New Roman"/>
          <w:b/>
          <w:sz w:val="24"/>
          <w:szCs w:val="24"/>
        </w:rPr>
        <w:t xml:space="preserve"> </w:t>
      </w:r>
      <w:r w:rsidR="000A6E25" w:rsidRPr="00EA5FC4">
        <w:rPr>
          <w:rFonts w:ascii="Times New Roman" w:hAnsi="Times New Roman" w:cs="Times New Roman"/>
          <w:b/>
          <w:sz w:val="24"/>
          <w:szCs w:val="24"/>
        </w:rPr>
        <w:t>Innovación</w:t>
      </w:r>
      <w:r w:rsidR="00C3338D" w:rsidRPr="00EA5FC4">
        <w:rPr>
          <w:rFonts w:ascii="Times New Roman" w:hAnsi="Times New Roman" w:cs="Times New Roman"/>
          <w:b/>
          <w:sz w:val="24"/>
          <w:szCs w:val="24"/>
        </w:rPr>
        <w:t xml:space="preserve"> abierta </w:t>
      </w:r>
      <w:r w:rsidR="000A6E25" w:rsidRPr="00EA5FC4">
        <w:rPr>
          <w:rFonts w:ascii="Times New Roman" w:hAnsi="Times New Roman" w:cs="Times New Roman"/>
          <w:b/>
          <w:sz w:val="24"/>
          <w:szCs w:val="24"/>
        </w:rPr>
        <w:t>(</w:t>
      </w:r>
      <w:proofErr w:type="spellStart"/>
      <w:r w:rsidR="000A6E25" w:rsidRPr="00EA5FC4">
        <w:rPr>
          <w:rFonts w:ascii="Times New Roman" w:hAnsi="Times New Roman" w:cs="Times New Roman"/>
          <w:b/>
          <w:sz w:val="24"/>
          <w:szCs w:val="24"/>
        </w:rPr>
        <w:t>InA</w:t>
      </w:r>
      <w:proofErr w:type="spellEnd"/>
      <w:r w:rsidR="000A6E25" w:rsidRPr="00EA5FC4">
        <w:rPr>
          <w:rFonts w:ascii="Times New Roman" w:hAnsi="Times New Roman" w:cs="Times New Roman"/>
          <w:b/>
          <w:sz w:val="24"/>
          <w:szCs w:val="24"/>
        </w:rPr>
        <w:t>)</w:t>
      </w:r>
      <w:r w:rsidR="00C3338D" w:rsidRPr="00EA5FC4">
        <w:rPr>
          <w:rFonts w:ascii="Times New Roman" w:hAnsi="Times New Roman" w:cs="Times New Roman"/>
          <w:b/>
          <w:sz w:val="24"/>
          <w:szCs w:val="24"/>
        </w:rPr>
        <w:t>y ESG</w:t>
      </w:r>
    </w:p>
    <w:p w14:paraId="0026F708" w14:textId="09414FE6" w:rsidR="00A7281C" w:rsidRPr="00EA5FC4" w:rsidRDefault="00EA7B28" w:rsidP="00EA5FC4">
      <w:pPr>
        <w:shd w:val="clear" w:color="auto" w:fill="FFFFFF"/>
        <w:spacing w:after="0" w:line="276" w:lineRule="auto"/>
        <w:jc w:val="both"/>
        <w:rPr>
          <w:rFonts w:ascii="Times New Roman" w:eastAsia="Times New Roman" w:hAnsi="Times New Roman" w:cs="Times New Roman"/>
          <w:color w:val="000000" w:themeColor="text1"/>
          <w:sz w:val="24"/>
          <w:szCs w:val="24"/>
          <w:lang w:eastAsia="es-AR"/>
        </w:rPr>
      </w:pPr>
      <w:r w:rsidRPr="00EA5FC4">
        <w:rPr>
          <w:rFonts w:ascii="Times New Roman" w:eastAsia="Times New Roman" w:hAnsi="Times New Roman" w:cs="Times New Roman"/>
          <w:color w:val="000000" w:themeColor="text1"/>
          <w:spacing w:val="4"/>
          <w:sz w:val="24"/>
          <w:szCs w:val="24"/>
          <w:lang w:eastAsia="es-AR"/>
        </w:rPr>
        <w:t xml:space="preserve">La </w:t>
      </w:r>
      <w:proofErr w:type="spellStart"/>
      <w:r w:rsidR="00A7281C" w:rsidRPr="00EA5FC4">
        <w:rPr>
          <w:rFonts w:ascii="Times New Roman" w:eastAsia="Times New Roman" w:hAnsi="Times New Roman" w:cs="Times New Roman"/>
          <w:color w:val="000000" w:themeColor="text1"/>
          <w:spacing w:val="4"/>
          <w:sz w:val="24"/>
          <w:szCs w:val="24"/>
          <w:lang w:eastAsia="es-AR"/>
        </w:rPr>
        <w:t>InA</w:t>
      </w:r>
      <w:bookmarkStart w:id="1" w:name="_Hlk204437341"/>
      <w:proofErr w:type="spellEnd"/>
      <w:r w:rsidR="007B3C1C" w:rsidRPr="00EA5FC4">
        <w:rPr>
          <w:rFonts w:ascii="Times New Roman" w:eastAsia="Times New Roman" w:hAnsi="Times New Roman" w:cs="Times New Roman"/>
          <w:color w:val="000000" w:themeColor="text1"/>
          <w:spacing w:val="4"/>
          <w:sz w:val="24"/>
          <w:szCs w:val="24"/>
          <w:lang w:eastAsia="es-AR"/>
        </w:rPr>
        <w:t xml:space="preserve">, </w:t>
      </w:r>
      <w:bookmarkEnd w:id="1"/>
      <w:r w:rsidR="007B3C1C" w:rsidRPr="00EA5FC4">
        <w:rPr>
          <w:rFonts w:ascii="Times New Roman" w:eastAsia="Times New Roman" w:hAnsi="Times New Roman" w:cs="Times New Roman"/>
          <w:color w:val="000000" w:themeColor="text1"/>
          <w:spacing w:val="4"/>
          <w:sz w:val="24"/>
          <w:szCs w:val="24"/>
          <w:lang w:eastAsia="es-AR"/>
        </w:rPr>
        <w:t>es un indicador de prácticas sociales de las organizaciones</w:t>
      </w:r>
      <w:r w:rsidR="00A4529A" w:rsidRPr="00EA5FC4">
        <w:rPr>
          <w:rFonts w:ascii="Times New Roman" w:eastAsia="Times New Roman" w:hAnsi="Times New Roman" w:cs="Times New Roman"/>
          <w:color w:val="000000" w:themeColor="text1"/>
          <w:spacing w:val="4"/>
          <w:sz w:val="24"/>
          <w:szCs w:val="24"/>
          <w:lang w:eastAsia="es-AR"/>
        </w:rPr>
        <w:t xml:space="preserve"> (</w:t>
      </w:r>
      <w:proofErr w:type="spellStart"/>
      <w:r w:rsidR="00A4529A" w:rsidRPr="00EA5FC4">
        <w:rPr>
          <w:rFonts w:ascii="Times New Roman" w:eastAsia="Times New Roman" w:hAnsi="Times New Roman" w:cs="Times New Roman"/>
          <w:color w:val="000000" w:themeColor="text1"/>
          <w:sz w:val="24"/>
          <w:szCs w:val="24"/>
          <w:lang w:eastAsia="es-AR"/>
        </w:rPr>
        <w:t>Chesbrough</w:t>
      </w:r>
      <w:proofErr w:type="spellEnd"/>
      <w:r w:rsidR="00A4529A" w:rsidRPr="00EA5FC4">
        <w:rPr>
          <w:rFonts w:ascii="Times New Roman" w:eastAsia="Times New Roman" w:hAnsi="Times New Roman" w:cs="Times New Roman"/>
          <w:color w:val="000000" w:themeColor="text1"/>
          <w:sz w:val="24"/>
          <w:szCs w:val="24"/>
          <w:lang w:eastAsia="es-AR"/>
        </w:rPr>
        <w:t xml:space="preserve">, 2003), es decir </w:t>
      </w:r>
      <w:r w:rsidR="00A4529A" w:rsidRPr="00EA5FC4">
        <w:rPr>
          <w:rFonts w:ascii="Times New Roman" w:eastAsia="Times New Roman" w:hAnsi="Times New Roman" w:cs="Times New Roman"/>
          <w:color w:val="000000" w:themeColor="text1"/>
          <w:spacing w:val="4"/>
          <w:sz w:val="24"/>
          <w:szCs w:val="24"/>
          <w:lang w:eastAsia="es-AR"/>
        </w:rPr>
        <w:t>que</w:t>
      </w:r>
      <w:r w:rsidR="00A7281C" w:rsidRPr="00EA5FC4">
        <w:rPr>
          <w:rFonts w:ascii="Times New Roman" w:eastAsia="Times New Roman" w:hAnsi="Times New Roman" w:cs="Times New Roman"/>
          <w:color w:val="000000" w:themeColor="text1"/>
          <w:spacing w:val="4"/>
          <w:sz w:val="24"/>
          <w:szCs w:val="24"/>
          <w:lang w:eastAsia="es-AR"/>
        </w:rPr>
        <w:t xml:space="preserve"> aprovecha las ideas y </w:t>
      </w:r>
      <w:r w:rsidR="00A4529A" w:rsidRPr="00EA5FC4">
        <w:rPr>
          <w:rFonts w:ascii="Times New Roman" w:eastAsia="Times New Roman" w:hAnsi="Times New Roman" w:cs="Times New Roman"/>
          <w:color w:val="000000" w:themeColor="text1"/>
          <w:spacing w:val="4"/>
          <w:sz w:val="24"/>
          <w:szCs w:val="24"/>
          <w:lang w:eastAsia="es-AR"/>
        </w:rPr>
        <w:t>soluciones que</w:t>
      </w:r>
      <w:r w:rsidR="00345CD3" w:rsidRPr="00EA5FC4">
        <w:rPr>
          <w:rFonts w:ascii="Times New Roman" w:eastAsia="Times New Roman" w:hAnsi="Times New Roman" w:cs="Times New Roman"/>
          <w:color w:val="000000" w:themeColor="text1"/>
          <w:spacing w:val="4"/>
          <w:sz w:val="24"/>
          <w:szCs w:val="24"/>
          <w:lang w:eastAsia="es-AR"/>
        </w:rPr>
        <w:t xml:space="preserve"> pueden aportar múltiples individuos y organizaciones</w:t>
      </w:r>
      <w:r w:rsidR="00A4529A" w:rsidRPr="00EA5FC4">
        <w:rPr>
          <w:rFonts w:ascii="Times New Roman" w:eastAsia="Times New Roman" w:hAnsi="Times New Roman" w:cs="Times New Roman"/>
          <w:color w:val="000000" w:themeColor="text1"/>
          <w:spacing w:val="4"/>
          <w:sz w:val="24"/>
          <w:szCs w:val="24"/>
          <w:lang w:eastAsia="es-AR"/>
        </w:rPr>
        <w:t>.</w:t>
      </w:r>
      <w:r w:rsidR="00345CD3" w:rsidRPr="00EA5FC4">
        <w:rPr>
          <w:rFonts w:ascii="Times New Roman" w:eastAsia="Times New Roman" w:hAnsi="Times New Roman" w:cs="Times New Roman"/>
          <w:color w:val="000000" w:themeColor="text1"/>
          <w:spacing w:val="4"/>
          <w:sz w:val="24"/>
          <w:szCs w:val="24"/>
          <w:lang w:eastAsia="es-AR"/>
        </w:rPr>
        <w:t xml:space="preserve"> La em</w:t>
      </w:r>
      <w:r w:rsidR="007D3FE8" w:rsidRPr="00EA5FC4">
        <w:rPr>
          <w:rFonts w:ascii="Times New Roman" w:eastAsia="Times New Roman" w:hAnsi="Times New Roman" w:cs="Times New Roman"/>
          <w:color w:val="000000" w:themeColor="text1"/>
          <w:spacing w:val="4"/>
          <w:sz w:val="24"/>
          <w:szCs w:val="24"/>
          <w:lang w:eastAsia="es-AR"/>
        </w:rPr>
        <w:t>p</w:t>
      </w:r>
      <w:r w:rsidR="00345CD3" w:rsidRPr="00EA5FC4">
        <w:rPr>
          <w:rFonts w:ascii="Times New Roman" w:eastAsia="Times New Roman" w:hAnsi="Times New Roman" w:cs="Times New Roman"/>
          <w:color w:val="000000" w:themeColor="text1"/>
          <w:spacing w:val="4"/>
          <w:sz w:val="24"/>
          <w:szCs w:val="24"/>
          <w:lang w:eastAsia="es-AR"/>
        </w:rPr>
        <w:t xml:space="preserve">resa reconoce la oportunidad de </w:t>
      </w:r>
      <w:proofErr w:type="spellStart"/>
      <w:r w:rsidR="00345CD3" w:rsidRPr="00EA5FC4">
        <w:rPr>
          <w:rFonts w:ascii="Times New Roman" w:eastAsia="Times New Roman" w:hAnsi="Times New Roman" w:cs="Times New Roman"/>
          <w:color w:val="000000" w:themeColor="text1"/>
          <w:spacing w:val="4"/>
          <w:sz w:val="24"/>
          <w:szCs w:val="24"/>
          <w:lang w:eastAsia="es-AR"/>
        </w:rPr>
        <w:t>co</w:t>
      </w:r>
      <w:proofErr w:type="spellEnd"/>
      <w:r w:rsidR="00345CD3" w:rsidRPr="00EA5FC4">
        <w:rPr>
          <w:rFonts w:ascii="Times New Roman" w:eastAsia="Times New Roman" w:hAnsi="Times New Roman" w:cs="Times New Roman"/>
          <w:color w:val="000000" w:themeColor="text1"/>
          <w:spacing w:val="4"/>
          <w:sz w:val="24"/>
          <w:szCs w:val="24"/>
          <w:lang w:eastAsia="es-AR"/>
        </w:rPr>
        <w:t xml:space="preserve"> crear con organizaciones o personas dispuestos a compartir beneficios y colaborar (www.ennomotice.com)</w:t>
      </w:r>
    </w:p>
    <w:p w14:paraId="4F455CDE" w14:textId="6A378016" w:rsidR="00345CD3" w:rsidRPr="00EA5FC4" w:rsidRDefault="007B3C1C" w:rsidP="00EA5FC4">
      <w:pPr>
        <w:shd w:val="clear" w:color="auto" w:fill="FFFFFF"/>
        <w:spacing w:after="0" w:line="276" w:lineRule="auto"/>
        <w:jc w:val="both"/>
        <w:rPr>
          <w:rFonts w:ascii="Times New Roman" w:eastAsia="Times New Roman" w:hAnsi="Times New Roman" w:cs="Times New Roman"/>
          <w:color w:val="000000" w:themeColor="text1"/>
          <w:sz w:val="24"/>
          <w:szCs w:val="24"/>
          <w:lang w:eastAsia="es-AR"/>
        </w:rPr>
      </w:pPr>
      <w:r w:rsidRPr="00EA5FC4">
        <w:rPr>
          <w:rFonts w:ascii="Times New Roman" w:eastAsia="Times New Roman" w:hAnsi="Times New Roman" w:cs="Times New Roman"/>
          <w:color w:val="000000" w:themeColor="text1"/>
          <w:spacing w:val="4"/>
          <w:sz w:val="24"/>
          <w:szCs w:val="24"/>
          <w:lang w:eastAsia="es-AR"/>
        </w:rPr>
        <w:t xml:space="preserve">La </w:t>
      </w:r>
      <w:proofErr w:type="spellStart"/>
      <w:r w:rsidRPr="00EA5FC4">
        <w:rPr>
          <w:rFonts w:ascii="Times New Roman" w:eastAsia="Times New Roman" w:hAnsi="Times New Roman" w:cs="Times New Roman"/>
          <w:color w:val="000000" w:themeColor="text1"/>
          <w:spacing w:val="4"/>
          <w:sz w:val="24"/>
          <w:szCs w:val="24"/>
          <w:lang w:eastAsia="es-AR"/>
        </w:rPr>
        <w:t>InA</w:t>
      </w:r>
      <w:proofErr w:type="spellEnd"/>
      <w:r w:rsidR="00EA7B28" w:rsidRPr="00EA5FC4">
        <w:rPr>
          <w:rFonts w:ascii="Times New Roman" w:eastAsia="Times New Roman" w:hAnsi="Times New Roman" w:cs="Times New Roman"/>
          <w:color w:val="000000" w:themeColor="text1"/>
          <w:spacing w:val="4"/>
          <w:sz w:val="24"/>
          <w:szCs w:val="24"/>
          <w:lang w:eastAsia="es-AR"/>
        </w:rPr>
        <w:t xml:space="preserve"> puede aplicarse a través de diversos modelos o enfoques, en función de la naturaleza de la colaboración y el intercambio de conocimientos</w:t>
      </w:r>
      <w:r w:rsidRPr="00EA5FC4">
        <w:rPr>
          <w:rFonts w:ascii="Times New Roman" w:eastAsia="Times New Roman" w:hAnsi="Times New Roman" w:cs="Times New Roman"/>
          <w:color w:val="000000" w:themeColor="text1"/>
          <w:sz w:val="24"/>
          <w:szCs w:val="24"/>
          <w:lang w:eastAsia="es-AR"/>
        </w:rPr>
        <w:t xml:space="preserve"> (Dans,</w:t>
      </w:r>
      <w:r w:rsidR="00692DB7">
        <w:rPr>
          <w:rFonts w:ascii="Times New Roman" w:eastAsia="Times New Roman" w:hAnsi="Times New Roman" w:cs="Times New Roman"/>
          <w:color w:val="000000" w:themeColor="text1"/>
          <w:sz w:val="24"/>
          <w:szCs w:val="24"/>
          <w:lang w:eastAsia="es-AR"/>
        </w:rPr>
        <w:t xml:space="preserve"> </w:t>
      </w:r>
      <w:r w:rsidRPr="00EA5FC4">
        <w:rPr>
          <w:rFonts w:ascii="Times New Roman" w:eastAsia="Times New Roman" w:hAnsi="Times New Roman" w:cs="Times New Roman"/>
          <w:color w:val="000000" w:themeColor="text1"/>
          <w:sz w:val="24"/>
          <w:szCs w:val="24"/>
          <w:lang w:eastAsia="es-AR"/>
        </w:rPr>
        <w:t>2022)</w:t>
      </w:r>
      <w:r w:rsidR="00EA7B28" w:rsidRPr="00EA5FC4">
        <w:rPr>
          <w:rFonts w:ascii="Times New Roman" w:eastAsia="Times New Roman" w:hAnsi="Times New Roman" w:cs="Times New Roman"/>
          <w:color w:val="000000" w:themeColor="text1"/>
          <w:spacing w:val="4"/>
          <w:sz w:val="24"/>
          <w:szCs w:val="24"/>
          <w:lang w:eastAsia="es-AR"/>
        </w:rPr>
        <w:t xml:space="preserve">. </w:t>
      </w:r>
      <w:r w:rsidR="00A7281C" w:rsidRPr="00EA5FC4">
        <w:rPr>
          <w:rFonts w:ascii="Times New Roman" w:eastAsia="Times New Roman" w:hAnsi="Times New Roman" w:cs="Times New Roman"/>
          <w:color w:val="000000" w:themeColor="text1"/>
          <w:spacing w:val="4"/>
          <w:sz w:val="24"/>
          <w:szCs w:val="24"/>
          <w:lang w:eastAsia="es-AR"/>
        </w:rPr>
        <w:t>Los</w:t>
      </w:r>
      <w:r w:rsidR="00EA7B28" w:rsidRPr="00EA5FC4">
        <w:rPr>
          <w:rFonts w:ascii="Times New Roman" w:eastAsia="Times New Roman" w:hAnsi="Times New Roman" w:cs="Times New Roman"/>
          <w:color w:val="000000" w:themeColor="text1"/>
          <w:spacing w:val="4"/>
          <w:sz w:val="24"/>
          <w:szCs w:val="24"/>
          <w:lang w:eastAsia="es-AR"/>
        </w:rPr>
        <w:t xml:space="preserve"> cuatro tipos comunes de modelos de innovación abierta</w:t>
      </w:r>
      <w:r w:rsidR="00A7281C" w:rsidRPr="00EA5FC4">
        <w:rPr>
          <w:rFonts w:ascii="Times New Roman" w:eastAsia="Times New Roman" w:hAnsi="Times New Roman" w:cs="Times New Roman"/>
          <w:color w:val="000000" w:themeColor="text1"/>
          <w:spacing w:val="4"/>
          <w:sz w:val="24"/>
          <w:szCs w:val="24"/>
          <w:lang w:eastAsia="es-AR"/>
        </w:rPr>
        <w:t xml:space="preserve"> son</w:t>
      </w:r>
      <w:r w:rsidR="00EA7B28" w:rsidRPr="00EA5FC4">
        <w:rPr>
          <w:rFonts w:ascii="Times New Roman" w:eastAsia="Times New Roman" w:hAnsi="Times New Roman" w:cs="Times New Roman"/>
          <w:color w:val="000000" w:themeColor="text1"/>
          <w:spacing w:val="4"/>
          <w:sz w:val="24"/>
          <w:szCs w:val="24"/>
          <w:lang w:eastAsia="es-AR"/>
        </w:rPr>
        <w:t>:</w:t>
      </w:r>
      <w:r w:rsidR="00EA7B28" w:rsidRPr="00EA5FC4">
        <w:rPr>
          <w:rFonts w:ascii="Times New Roman" w:eastAsia="Times New Roman" w:hAnsi="Times New Roman" w:cs="Times New Roman"/>
          <w:b/>
          <w:bCs/>
          <w:color w:val="000000" w:themeColor="text1"/>
          <w:spacing w:val="4"/>
          <w:sz w:val="24"/>
          <w:szCs w:val="24"/>
          <w:lang w:eastAsia="es-AR"/>
        </w:rPr>
        <w:t xml:space="preserve"> </w:t>
      </w:r>
      <w:r w:rsidR="007D3FE8" w:rsidRPr="00EA5FC4">
        <w:rPr>
          <w:rFonts w:ascii="Times New Roman" w:eastAsia="Times New Roman" w:hAnsi="Times New Roman" w:cs="Times New Roman"/>
          <w:bCs/>
          <w:color w:val="000000" w:themeColor="text1"/>
          <w:spacing w:val="4"/>
          <w:sz w:val="24"/>
          <w:szCs w:val="24"/>
          <w:lang w:eastAsia="es-AR"/>
        </w:rPr>
        <w:t>a)</w:t>
      </w:r>
      <w:r w:rsidR="00A4529A" w:rsidRPr="00EA5FC4">
        <w:rPr>
          <w:rFonts w:ascii="Times New Roman" w:eastAsia="Times New Roman" w:hAnsi="Times New Roman" w:cs="Times New Roman"/>
          <w:bCs/>
          <w:color w:val="000000" w:themeColor="text1"/>
          <w:spacing w:val="4"/>
          <w:sz w:val="24"/>
          <w:szCs w:val="24"/>
          <w:lang w:eastAsia="es-AR"/>
        </w:rPr>
        <w:t xml:space="preserve"> </w:t>
      </w:r>
      <w:r w:rsidR="00EA7B28" w:rsidRPr="00EA5FC4">
        <w:rPr>
          <w:rFonts w:ascii="Times New Roman" w:eastAsia="Times New Roman" w:hAnsi="Times New Roman" w:cs="Times New Roman"/>
          <w:bCs/>
          <w:color w:val="000000" w:themeColor="text1"/>
          <w:spacing w:val="4"/>
          <w:sz w:val="24"/>
          <w:szCs w:val="24"/>
          <w:lang w:eastAsia="es-AR"/>
        </w:rPr>
        <w:t>Innovación desde fuera</w:t>
      </w:r>
      <w:r w:rsidR="00A62AE6" w:rsidRPr="00EA5FC4">
        <w:rPr>
          <w:rFonts w:ascii="Times New Roman" w:eastAsia="Times New Roman" w:hAnsi="Times New Roman" w:cs="Times New Roman"/>
          <w:bCs/>
          <w:color w:val="000000" w:themeColor="text1"/>
          <w:spacing w:val="4"/>
          <w:sz w:val="24"/>
          <w:szCs w:val="24"/>
          <w:lang w:eastAsia="es-AR"/>
        </w:rPr>
        <w:t xml:space="preserve">; </w:t>
      </w:r>
      <w:r w:rsidR="007D3FE8" w:rsidRPr="00EA5FC4">
        <w:rPr>
          <w:rFonts w:ascii="Times New Roman" w:eastAsia="Times New Roman" w:hAnsi="Times New Roman" w:cs="Times New Roman"/>
          <w:color w:val="000000" w:themeColor="text1"/>
          <w:spacing w:val="4"/>
          <w:sz w:val="24"/>
          <w:szCs w:val="24"/>
          <w:lang w:eastAsia="es-AR"/>
        </w:rPr>
        <w:t xml:space="preserve">b) </w:t>
      </w:r>
      <w:r w:rsidR="00EA7B28" w:rsidRPr="00EA5FC4">
        <w:rPr>
          <w:rFonts w:ascii="Times New Roman" w:eastAsia="Times New Roman" w:hAnsi="Times New Roman" w:cs="Times New Roman"/>
          <w:bCs/>
          <w:color w:val="000000" w:themeColor="text1"/>
          <w:spacing w:val="4"/>
          <w:sz w:val="24"/>
          <w:szCs w:val="24"/>
          <w:lang w:eastAsia="es-AR"/>
        </w:rPr>
        <w:t xml:space="preserve">Innovación de dentro a </w:t>
      </w:r>
      <w:r w:rsidR="00A62AE6" w:rsidRPr="00EA5FC4">
        <w:rPr>
          <w:rFonts w:ascii="Times New Roman" w:eastAsia="Times New Roman" w:hAnsi="Times New Roman" w:cs="Times New Roman"/>
          <w:bCs/>
          <w:color w:val="000000" w:themeColor="text1"/>
          <w:spacing w:val="4"/>
          <w:sz w:val="24"/>
          <w:szCs w:val="24"/>
          <w:lang w:eastAsia="es-AR"/>
        </w:rPr>
        <w:t>fuera; c</w:t>
      </w:r>
      <w:r w:rsidR="00AA5572" w:rsidRPr="00EA5FC4">
        <w:rPr>
          <w:rFonts w:ascii="Times New Roman" w:eastAsia="Times New Roman" w:hAnsi="Times New Roman" w:cs="Times New Roman"/>
          <w:bCs/>
          <w:color w:val="000000" w:themeColor="text1"/>
          <w:spacing w:val="4"/>
          <w:sz w:val="24"/>
          <w:szCs w:val="24"/>
          <w:lang w:eastAsia="es-AR"/>
        </w:rPr>
        <w:t>)</w:t>
      </w:r>
      <w:r w:rsidR="00A4529A" w:rsidRPr="00EA5FC4">
        <w:rPr>
          <w:rFonts w:ascii="Times New Roman" w:eastAsia="Times New Roman" w:hAnsi="Times New Roman" w:cs="Times New Roman"/>
          <w:bCs/>
          <w:color w:val="000000" w:themeColor="text1"/>
          <w:spacing w:val="4"/>
          <w:sz w:val="24"/>
          <w:szCs w:val="24"/>
          <w:lang w:eastAsia="es-AR"/>
        </w:rPr>
        <w:t xml:space="preserve"> </w:t>
      </w:r>
      <w:r w:rsidR="00EA7B28" w:rsidRPr="00EA5FC4">
        <w:rPr>
          <w:rFonts w:ascii="Times New Roman" w:eastAsia="Times New Roman" w:hAnsi="Times New Roman" w:cs="Times New Roman"/>
          <w:bCs/>
          <w:color w:val="000000" w:themeColor="text1"/>
          <w:spacing w:val="4"/>
          <w:sz w:val="24"/>
          <w:szCs w:val="24"/>
          <w:lang w:eastAsia="es-AR"/>
        </w:rPr>
        <w:t xml:space="preserve">Innovación </w:t>
      </w:r>
      <w:r w:rsidR="00A62AE6" w:rsidRPr="00EA5FC4">
        <w:rPr>
          <w:rFonts w:ascii="Times New Roman" w:eastAsia="Times New Roman" w:hAnsi="Times New Roman" w:cs="Times New Roman"/>
          <w:bCs/>
          <w:color w:val="000000" w:themeColor="text1"/>
          <w:spacing w:val="4"/>
          <w:sz w:val="24"/>
          <w:szCs w:val="24"/>
          <w:lang w:eastAsia="es-AR"/>
        </w:rPr>
        <w:t>asociada; d</w:t>
      </w:r>
      <w:r w:rsidR="00AA5572" w:rsidRPr="00EA5FC4">
        <w:rPr>
          <w:rFonts w:ascii="Times New Roman" w:eastAsia="Times New Roman" w:hAnsi="Times New Roman" w:cs="Times New Roman"/>
          <w:color w:val="000000" w:themeColor="text1"/>
          <w:spacing w:val="4"/>
          <w:sz w:val="24"/>
          <w:szCs w:val="24"/>
          <w:lang w:eastAsia="es-AR"/>
        </w:rPr>
        <w:t>)</w:t>
      </w:r>
      <w:r w:rsidR="00C3338D" w:rsidRPr="00EA5FC4">
        <w:rPr>
          <w:rFonts w:ascii="Times New Roman" w:eastAsia="Times New Roman" w:hAnsi="Times New Roman" w:cs="Times New Roman"/>
          <w:color w:val="000000" w:themeColor="text1"/>
          <w:spacing w:val="4"/>
          <w:sz w:val="24"/>
          <w:szCs w:val="24"/>
          <w:lang w:eastAsia="es-AR"/>
        </w:rPr>
        <w:t xml:space="preserve"> </w:t>
      </w:r>
      <w:r w:rsidR="00EA7B28" w:rsidRPr="00EA5FC4">
        <w:rPr>
          <w:rFonts w:ascii="Times New Roman" w:eastAsia="Times New Roman" w:hAnsi="Times New Roman" w:cs="Times New Roman"/>
          <w:bCs/>
          <w:color w:val="000000" w:themeColor="text1"/>
          <w:spacing w:val="4"/>
          <w:sz w:val="24"/>
          <w:szCs w:val="24"/>
          <w:lang w:eastAsia="es-AR"/>
        </w:rPr>
        <w:t>Redes de innovación colaborativa</w:t>
      </w:r>
      <w:r w:rsidR="00A62AE6" w:rsidRPr="00EA5FC4">
        <w:rPr>
          <w:rFonts w:ascii="Times New Roman" w:eastAsia="Times New Roman" w:hAnsi="Times New Roman" w:cs="Times New Roman"/>
          <w:color w:val="000000" w:themeColor="text1"/>
          <w:spacing w:val="4"/>
          <w:sz w:val="24"/>
          <w:szCs w:val="24"/>
          <w:lang w:eastAsia="es-AR"/>
        </w:rPr>
        <w:t>.</w:t>
      </w:r>
    </w:p>
    <w:p w14:paraId="690EF695" w14:textId="77777777" w:rsidR="00345CD3" w:rsidRPr="00EA5FC4" w:rsidRDefault="00345CD3" w:rsidP="00EA5FC4">
      <w:pPr>
        <w:shd w:val="clear" w:color="auto" w:fill="FFFFFF"/>
        <w:spacing w:after="0" w:line="276" w:lineRule="auto"/>
        <w:jc w:val="both"/>
        <w:rPr>
          <w:rFonts w:ascii="Times New Roman" w:eastAsia="Times New Roman" w:hAnsi="Times New Roman" w:cs="Times New Roman"/>
          <w:color w:val="000000" w:themeColor="text1"/>
          <w:spacing w:val="4"/>
          <w:sz w:val="24"/>
          <w:szCs w:val="24"/>
          <w:lang w:eastAsia="es-AR"/>
        </w:rPr>
      </w:pPr>
    </w:p>
    <w:p w14:paraId="742D9284" w14:textId="34C05264" w:rsidR="00C3338D" w:rsidRPr="00EA5FC4" w:rsidRDefault="00345CD3" w:rsidP="00EA5FC4">
      <w:pPr>
        <w:shd w:val="clear" w:color="auto" w:fill="FFFFFF"/>
        <w:spacing w:after="0" w:line="276" w:lineRule="auto"/>
        <w:jc w:val="both"/>
        <w:rPr>
          <w:rFonts w:ascii="Times New Roman" w:eastAsia="Times New Roman" w:hAnsi="Times New Roman" w:cs="Times New Roman"/>
          <w:color w:val="000000" w:themeColor="text1"/>
          <w:spacing w:val="4"/>
          <w:sz w:val="24"/>
          <w:szCs w:val="24"/>
          <w:lang w:eastAsia="es-AR"/>
        </w:rPr>
      </w:pPr>
      <w:r w:rsidRPr="00EA5FC4">
        <w:rPr>
          <w:rFonts w:ascii="Times New Roman" w:eastAsia="Times New Roman" w:hAnsi="Times New Roman" w:cs="Times New Roman"/>
          <w:color w:val="000000" w:themeColor="text1"/>
          <w:spacing w:val="4"/>
          <w:sz w:val="24"/>
          <w:szCs w:val="24"/>
          <w:lang w:eastAsia="es-AR"/>
        </w:rPr>
        <w:t xml:space="preserve">La </w:t>
      </w:r>
      <w:proofErr w:type="spellStart"/>
      <w:r w:rsidRPr="00EA5FC4">
        <w:rPr>
          <w:rFonts w:ascii="Times New Roman" w:eastAsia="Times New Roman" w:hAnsi="Times New Roman" w:cs="Times New Roman"/>
          <w:color w:val="000000" w:themeColor="text1"/>
          <w:spacing w:val="4"/>
          <w:sz w:val="24"/>
          <w:szCs w:val="24"/>
          <w:lang w:eastAsia="es-AR"/>
        </w:rPr>
        <w:t>InA</w:t>
      </w:r>
      <w:proofErr w:type="spellEnd"/>
      <w:r w:rsidRPr="00EA5FC4">
        <w:rPr>
          <w:rFonts w:ascii="Times New Roman" w:eastAsia="Times New Roman" w:hAnsi="Times New Roman" w:cs="Times New Roman"/>
          <w:color w:val="000000" w:themeColor="text1"/>
          <w:spacing w:val="4"/>
          <w:sz w:val="24"/>
          <w:szCs w:val="24"/>
          <w:lang w:eastAsia="es-AR"/>
        </w:rPr>
        <w:t xml:space="preserve"> requiere </w:t>
      </w:r>
      <w:r w:rsidR="00AA5572" w:rsidRPr="00EA5FC4">
        <w:rPr>
          <w:rFonts w:ascii="Times New Roman" w:eastAsia="Times New Roman" w:hAnsi="Times New Roman" w:cs="Times New Roman"/>
          <w:color w:val="000000" w:themeColor="text1"/>
          <w:spacing w:val="4"/>
          <w:sz w:val="24"/>
          <w:szCs w:val="24"/>
          <w:lang w:eastAsia="es-AR"/>
        </w:rPr>
        <w:t xml:space="preserve">de </w:t>
      </w:r>
      <w:r w:rsidR="00E939C1" w:rsidRPr="00EA5FC4">
        <w:rPr>
          <w:rFonts w:ascii="Times New Roman" w:eastAsia="Times New Roman" w:hAnsi="Times New Roman" w:cs="Times New Roman"/>
          <w:color w:val="000000" w:themeColor="text1"/>
          <w:spacing w:val="4"/>
          <w:sz w:val="24"/>
          <w:szCs w:val="24"/>
          <w:lang w:eastAsia="es-AR"/>
        </w:rPr>
        <w:t>l</w:t>
      </w:r>
      <w:r w:rsidRPr="00EA5FC4">
        <w:rPr>
          <w:rFonts w:ascii="Times New Roman" w:eastAsia="Times New Roman" w:hAnsi="Times New Roman" w:cs="Times New Roman"/>
          <w:color w:val="000000" w:themeColor="text1"/>
          <w:spacing w:val="4"/>
          <w:sz w:val="24"/>
          <w:szCs w:val="24"/>
          <w:lang w:eastAsia="es-AR"/>
        </w:rPr>
        <w:t>a creación de</w:t>
      </w:r>
      <w:r w:rsidR="00EA7B28" w:rsidRPr="00EA5FC4">
        <w:rPr>
          <w:rFonts w:ascii="Times New Roman" w:eastAsia="Times New Roman" w:hAnsi="Times New Roman" w:cs="Times New Roman"/>
          <w:color w:val="000000" w:themeColor="text1"/>
          <w:spacing w:val="4"/>
          <w:sz w:val="24"/>
          <w:szCs w:val="24"/>
          <w:lang w:eastAsia="es-AR"/>
        </w:rPr>
        <w:t xml:space="preserve"> ecosistemas de innovación que reúnen a múltiples partes interesadas para fomentar la colaboración y el intercambio.</w:t>
      </w:r>
      <w:r w:rsidR="00C3338D" w:rsidRPr="00EA5FC4">
        <w:rPr>
          <w:rFonts w:ascii="Times New Roman" w:eastAsia="Times New Roman" w:hAnsi="Times New Roman" w:cs="Times New Roman"/>
          <w:color w:val="000000" w:themeColor="text1"/>
          <w:spacing w:val="4"/>
          <w:sz w:val="24"/>
          <w:szCs w:val="24"/>
          <w:lang w:eastAsia="es-AR"/>
        </w:rPr>
        <w:t xml:space="preserve"> </w:t>
      </w:r>
      <w:r w:rsidR="00E939C1" w:rsidRPr="00EA5FC4">
        <w:rPr>
          <w:rFonts w:ascii="Times New Roman" w:eastAsia="Times New Roman" w:hAnsi="Times New Roman" w:cs="Times New Roman"/>
          <w:color w:val="000000" w:themeColor="text1"/>
          <w:spacing w:val="4"/>
          <w:sz w:val="24"/>
          <w:szCs w:val="24"/>
          <w:lang w:eastAsia="es-AR"/>
        </w:rPr>
        <w:t xml:space="preserve">Entre las ventajas de la </w:t>
      </w:r>
      <w:proofErr w:type="spellStart"/>
      <w:r w:rsidR="00E939C1" w:rsidRPr="00EA5FC4">
        <w:rPr>
          <w:rFonts w:ascii="Times New Roman" w:eastAsia="Times New Roman" w:hAnsi="Times New Roman" w:cs="Times New Roman"/>
          <w:color w:val="000000" w:themeColor="text1"/>
          <w:spacing w:val="4"/>
          <w:sz w:val="24"/>
          <w:szCs w:val="24"/>
          <w:lang w:eastAsia="es-AR"/>
        </w:rPr>
        <w:t>InA</w:t>
      </w:r>
      <w:proofErr w:type="spellEnd"/>
      <w:r w:rsidR="00E939C1" w:rsidRPr="00EA5FC4">
        <w:rPr>
          <w:rFonts w:ascii="Times New Roman" w:eastAsia="Times New Roman" w:hAnsi="Times New Roman" w:cs="Times New Roman"/>
          <w:color w:val="000000" w:themeColor="text1"/>
          <w:spacing w:val="4"/>
          <w:sz w:val="24"/>
          <w:szCs w:val="24"/>
          <w:lang w:eastAsia="es-AR"/>
        </w:rPr>
        <w:t xml:space="preserve"> se destacan: el a</w:t>
      </w:r>
      <w:r w:rsidR="00E939C1" w:rsidRPr="00EA5FC4">
        <w:rPr>
          <w:rFonts w:ascii="Times New Roman" w:eastAsia="Times New Roman" w:hAnsi="Times New Roman" w:cs="Times New Roman"/>
          <w:color w:val="000000" w:themeColor="text1"/>
          <w:sz w:val="24"/>
          <w:szCs w:val="24"/>
          <w:lang w:eastAsia="es-AR"/>
        </w:rPr>
        <w:t>cceso a conocimientos y recursos externos que, de otro modo, podrían ser inaccesibles</w:t>
      </w:r>
      <w:r w:rsidR="00AA5572" w:rsidRPr="00EA5FC4">
        <w:rPr>
          <w:rFonts w:ascii="Times New Roman" w:eastAsia="Times New Roman" w:hAnsi="Times New Roman" w:cs="Times New Roman"/>
          <w:color w:val="000000" w:themeColor="text1"/>
          <w:sz w:val="24"/>
          <w:szCs w:val="24"/>
          <w:lang w:eastAsia="es-AR"/>
        </w:rPr>
        <w:t>, e</w:t>
      </w:r>
      <w:r w:rsidR="00E939C1" w:rsidRPr="00EA5FC4">
        <w:rPr>
          <w:rFonts w:ascii="Times New Roman" w:eastAsia="Times New Roman" w:hAnsi="Times New Roman" w:cs="Times New Roman"/>
          <w:color w:val="000000" w:themeColor="text1"/>
          <w:sz w:val="24"/>
          <w:szCs w:val="24"/>
          <w:lang w:eastAsia="es-AR"/>
        </w:rPr>
        <w:t>sto acelera el proceso de innovación y mejora la calidad de productos y servicios. Reducción de costes y riesgos</w:t>
      </w:r>
      <w:r w:rsidR="00AA5572" w:rsidRPr="00EA5FC4">
        <w:rPr>
          <w:rFonts w:ascii="Times New Roman" w:eastAsia="Times New Roman" w:hAnsi="Times New Roman" w:cs="Times New Roman"/>
          <w:color w:val="000000" w:themeColor="text1"/>
          <w:sz w:val="24"/>
          <w:szCs w:val="24"/>
          <w:lang w:eastAsia="es-AR"/>
        </w:rPr>
        <w:t>, a</w:t>
      </w:r>
      <w:r w:rsidR="00E939C1" w:rsidRPr="00EA5FC4">
        <w:rPr>
          <w:rFonts w:ascii="Times New Roman" w:eastAsia="Times New Roman" w:hAnsi="Times New Roman" w:cs="Times New Roman"/>
          <w:color w:val="000000" w:themeColor="text1"/>
          <w:sz w:val="24"/>
          <w:szCs w:val="24"/>
          <w:lang w:eastAsia="es-AR"/>
        </w:rPr>
        <w:t>l colaborar con otros, los riesgos asociados al desarrollo de nuevos productos y soluciones se reparten y minimizan.</w:t>
      </w:r>
      <w:r w:rsidR="00E939C1" w:rsidRPr="00EA5FC4">
        <w:rPr>
          <w:rFonts w:ascii="Times New Roman" w:eastAsia="Times New Roman" w:hAnsi="Times New Roman" w:cs="Times New Roman"/>
          <w:color w:val="000000" w:themeColor="text1"/>
          <w:spacing w:val="4"/>
          <w:sz w:val="24"/>
          <w:szCs w:val="24"/>
          <w:lang w:eastAsia="es-AR"/>
        </w:rPr>
        <w:t xml:space="preserve"> </w:t>
      </w:r>
      <w:r w:rsidR="00E939C1" w:rsidRPr="00EA5FC4">
        <w:rPr>
          <w:rFonts w:ascii="Times New Roman" w:eastAsia="Times New Roman" w:hAnsi="Times New Roman" w:cs="Times New Roman"/>
          <w:color w:val="000000" w:themeColor="text1"/>
          <w:sz w:val="24"/>
          <w:szCs w:val="24"/>
          <w:lang w:eastAsia="es-AR"/>
        </w:rPr>
        <w:t>Creación de valor compartido</w:t>
      </w:r>
      <w:r w:rsidR="00AA5572" w:rsidRPr="00EA5FC4">
        <w:rPr>
          <w:rFonts w:ascii="Times New Roman" w:eastAsia="Times New Roman" w:hAnsi="Times New Roman" w:cs="Times New Roman"/>
          <w:color w:val="000000" w:themeColor="text1"/>
          <w:sz w:val="24"/>
          <w:szCs w:val="24"/>
          <w:lang w:eastAsia="es-AR"/>
        </w:rPr>
        <w:t xml:space="preserve"> junto con l</w:t>
      </w:r>
      <w:r w:rsidR="00E939C1" w:rsidRPr="00EA5FC4">
        <w:rPr>
          <w:rFonts w:ascii="Times New Roman" w:eastAsia="Times New Roman" w:hAnsi="Times New Roman" w:cs="Times New Roman"/>
          <w:color w:val="000000" w:themeColor="text1"/>
          <w:sz w:val="24"/>
          <w:szCs w:val="24"/>
          <w:lang w:eastAsia="es-AR"/>
        </w:rPr>
        <w:t xml:space="preserve">a colaboración con </w:t>
      </w:r>
      <w:proofErr w:type="spellStart"/>
      <w:r w:rsidR="00E939C1" w:rsidRPr="00EA5FC4">
        <w:rPr>
          <w:rFonts w:ascii="Times New Roman" w:eastAsia="Times New Roman" w:hAnsi="Times New Roman" w:cs="Times New Roman"/>
          <w:i/>
          <w:iCs/>
          <w:color w:val="000000" w:themeColor="text1"/>
          <w:sz w:val="24"/>
          <w:szCs w:val="24"/>
          <w:lang w:eastAsia="es-AR"/>
        </w:rPr>
        <w:t>partners</w:t>
      </w:r>
      <w:proofErr w:type="spellEnd"/>
      <w:r w:rsidR="00E939C1" w:rsidRPr="00EA5FC4">
        <w:rPr>
          <w:rFonts w:ascii="Times New Roman" w:eastAsia="Times New Roman" w:hAnsi="Times New Roman" w:cs="Times New Roman"/>
          <w:color w:val="000000" w:themeColor="text1"/>
          <w:sz w:val="24"/>
          <w:szCs w:val="24"/>
          <w:lang w:eastAsia="es-AR"/>
        </w:rPr>
        <w:t xml:space="preserve"> puede ayudar a </w:t>
      </w:r>
      <w:r w:rsidR="00E939C1" w:rsidRPr="00EA5FC4">
        <w:rPr>
          <w:rFonts w:ascii="Times New Roman" w:eastAsia="Times New Roman" w:hAnsi="Times New Roman" w:cs="Times New Roman"/>
          <w:color w:val="000000" w:themeColor="text1"/>
          <w:sz w:val="24"/>
          <w:szCs w:val="24"/>
          <w:lang w:eastAsia="es-AR"/>
        </w:rPr>
        <w:lastRenderedPageBreak/>
        <w:t>incorporar al cliente y sus necesidades desde el inicio del desarrollo, mejorando su satisfacción y logrando una mayor lealtad</w:t>
      </w:r>
      <w:r w:rsidR="00E939C1" w:rsidRPr="00EA5FC4">
        <w:rPr>
          <w:rFonts w:ascii="Times New Roman" w:eastAsia="Times New Roman" w:hAnsi="Times New Roman" w:cs="Times New Roman"/>
          <w:color w:val="000000" w:themeColor="text1"/>
          <w:spacing w:val="4"/>
          <w:sz w:val="24"/>
          <w:szCs w:val="24"/>
          <w:lang w:eastAsia="es-AR"/>
        </w:rPr>
        <w:t xml:space="preserve"> (</w:t>
      </w:r>
      <w:proofErr w:type="spellStart"/>
      <w:r w:rsidR="00E939C1" w:rsidRPr="00EA5FC4">
        <w:rPr>
          <w:rFonts w:ascii="Times New Roman" w:eastAsia="Times New Roman" w:hAnsi="Times New Roman" w:cs="Times New Roman"/>
          <w:color w:val="000000" w:themeColor="text1"/>
          <w:sz w:val="24"/>
          <w:szCs w:val="24"/>
          <w:lang w:eastAsia="es-AR"/>
        </w:rPr>
        <w:t>Chesbrough</w:t>
      </w:r>
      <w:proofErr w:type="spellEnd"/>
      <w:r w:rsidR="00E939C1" w:rsidRPr="00EA5FC4">
        <w:rPr>
          <w:rFonts w:ascii="Times New Roman" w:eastAsia="Times New Roman" w:hAnsi="Times New Roman" w:cs="Times New Roman"/>
          <w:color w:val="000000" w:themeColor="text1"/>
          <w:sz w:val="24"/>
          <w:szCs w:val="24"/>
          <w:lang w:eastAsia="es-AR"/>
        </w:rPr>
        <w:t>, 2003)</w:t>
      </w:r>
      <w:r w:rsidR="001E2949" w:rsidRPr="00EA5FC4">
        <w:rPr>
          <w:rFonts w:ascii="Times New Roman" w:eastAsia="Times New Roman" w:hAnsi="Times New Roman" w:cs="Times New Roman"/>
          <w:color w:val="000000" w:themeColor="text1"/>
          <w:sz w:val="24"/>
          <w:szCs w:val="24"/>
          <w:lang w:eastAsia="es-AR"/>
        </w:rPr>
        <w:t>.</w:t>
      </w:r>
      <w:r w:rsidR="00E939C1" w:rsidRPr="00EA5FC4">
        <w:rPr>
          <w:rFonts w:ascii="Times New Roman" w:eastAsia="Times New Roman" w:hAnsi="Times New Roman" w:cs="Times New Roman"/>
          <w:color w:val="000000" w:themeColor="text1"/>
          <w:spacing w:val="4"/>
          <w:sz w:val="24"/>
          <w:szCs w:val="24"/>
          <w:lang w:eastAsia="es-AR"/>
        </w:rPr>
        <w:t xml:space="preserve"> Por otro lado, aspe</w:t>
      </w:r>
      <w:r w:rsidR="00A93CFD" w:rsidRPr="00EA5FC4">
        <w:rPr>
          <w:rFonts w:ascii="Times New Roman" w:eastAsia="Times New Roman" w:hAnsi="Times New Roman" w:cs="Times New Roman"/>
          <w:color w:val="000000" w:themeColor="text1"/>
          <w:spacing w:val="4"/>
          <w:sz w:val="24"/>
          <w:szCs w:val="24"/>
          <w:lang w:eastAsia="es-AR"/>
        </w:rPr>
        <w:t>c</w:t>
      </w:r>
      <w:r w:rsidR="00E939C1" w:rsidRPr="00EA5FC4">
        <w:rPr>
          <w:rFonts w:ascii="Times New Roman" w:eastAsia="Times New Roman" w:hAnsi="Times New Roman" w:cs="Times New Roman"/>
          <w:color w:val="000000" w:themeColor="text1"/>
          <w:spacing w:val="4"/>
          <w:sz w:val="24"/>
          <w:szCs w:val="24"/>
          <w:lang w:eastAsia="es-AR"/>
        </w:rPr>
        <w:t xml:space="preserve">tos </w:t>
      </w:r>
      <w:r w:rsidR="00AA5572" w:rsidRPr="00EA5FC4">
        <w:rPr>
          <w:rFonts w:ascii="Times New Roman" w:eastAsia="Times New Roman" w:hAnsi="Times New Roman" w:cs="Times New Roman"/>
          <w:color w:val="000000" w:themeColor="text1"/>
          <w:spacing w:val="4"/>
          <w:sz w:val="24"/>
          <w:szCs w:val="24"/>
          <w:lang w:eastAsia="es-AR"/>
        </w:rPr>
        <w:t xml:space="preserve">negativos </w:t>
      </w:r>
      <w:r w:rsidR="00E939C1" w:rsidRPr="00EA5FC4">
        <w:rPr>
          <w:rFonts w:ascii="Times New Roman" w:eastAsia="Times New Roman" w:hAnsi="Times New Roman" w:cs="Times New Roman"/>
          <w:color w:val="000000" w:themeColor="text1"/>
          <w:spacing w:val="4"/>
          <w:sz w:val="24"/>
          <w:szCs w:val="24"/>
          <w:lang w:eastAsia="es-AR"/>
        </w:rPr>
        <w:t>que hay que tener en cuenta son</w:t>
      </w:r>
      <w:r w:rsidR="00AA5572" w:rsidRPr="00EA5FC4">
        <w:rPr>
          <w:rFonts w:ascii="Times New Roman" w:eastAsia="Times New Roman" w:hAnsi="Times New Roman" w:cs="Times New Roman"/>
          <w:color w:val="000000" w:themeColor="text1"/>
          <w:spacing w:val="4"/>
          <w:sz w:val="24"/>
          <w:szCs w:val="24"/>
          <w:lang w:eastAsia="es-AR"/>
        </w:rPr>
        <w:t xml:space="preserve"> la f</w:t>
      </w:r>
      <w:r w:rsidR="00C3338D" w:rsidRPr="00EA5FC4">
        <w:rPr>
          <w:rFonts w:ascii="Times New Roman" w:eastAsia="Times New Roman" w:hAnsi="Times New Roman" w:cs="Times New Roman"/>
          <w:color w:val="000000" w:themeColor="text1"/>
          <w:sz w:val="24"/>
          <w:szCs w:val="24"/>
          <w:lang w:eastAsia="es-AR"/>
        </w:rPr>
        <w:t>alta de control</w:t>
      </w:r>
      <w:r w:rsidR="00AA5572" w:rsidRPr="00EA5FC4">
        <w:rPr>
          <w:rFonts w:ascii="Times New Roman" w:eastAsia="Times New Roman" w:hAnsi="Times New Roman" w:cs="Times New Roman"/>
          <w:color w:val="000000" w:themeColor="text1"/>
          <w:sz w:val="24"/>
          <w:szCs w:val="24"/>
          <w:lang w:eastAsia="es-AR"/>
        </w:rPr>
        <w:t xml:space="preserve"> y la</w:t>
      </w:r>
      <w:r w:rsidR="00C3338D" w:rsidRPr="00EA5FC4">
        <w:rPr>
          <w:rFonts w:ascii="Times New Roman" w:eastAsia="Times New Roman" w:hAnsi="Times New Roman" w:cs="Times New Roman"/>
          <w:color w:val="000000" w:themeColor="text1"/>
          <w:sz w:val="24"/>
          <w:szCs w:val="24"/>
          <w:lang w:eastAsia="es-AR"/>
        </w:rPr>
        <w:t xml:space="preserve"> cooperación con socios externos puede ir unida a la pérdida de cierto control sobre el proceso de innovación y los resultados, dificultando la gestión de la propiedad intelectual.</w:t>
      </w:r>
      <w:r w:rsidR="00E939C1" w:rsidRPr="00EA5FC4">
        <w:rPr>
          <w:rFonts w:ascii="Times New Roman" w:eastAsia="Times New Roman" w:hAnsi="Times New Roman" w:cs="Times New Roman"/>
          <w:color w:val="000000" w:themeColor="text1"/>
          <w:spacing w:val="4"/>
          <w:sz w:val="24"/>
          <w:szCs w:val="24"/>
          <w:lang w:eastAsia="es-AR"/>
        </w:rPr>
        <w:t xml:space="preserve"> </w:t>
      </w:r>
    </w:p>
    <w:p w14:paraId="58171357" w14:textId="77777777" w:rsidR="006C4F82" w:rsidRPr="00EA5FC4" w:rsidRDefault="006C4F82" w:rsidP="00EA5FC4">
      <w:pPr>
        <w:spacing w:after="0" w:line="276" w:lineRule="auto"/>
        <w:jc w:val="both"/>
        <w:rPr>
          <w:rFonts w:ascii="Times New Roman" w:hAnsi="Times New Roman" w:cs="Times New Roman"/>
          <w:b/>
          <w:sz w:val="24"/>
          <w:szCs w:val="24"/>
        </w:rPr>
      </w:pPr>
    </w:p>
    <w:p w14:paraId="113A9785" w14:textId="0D8F0416" w:rsidR="008529BB" w:rsidRPr="00EA5FC4" w:rsidRDefault="00C3338D" w:rsidP="00EA5FC4">
      <w:pPr>
        <w:spacing w:after="0" w:line="276" w:lineRule="auto"/>
        <w:jc w:val="both"/>
        <w:rPr>
          <w:rFonts w:ascii="Times New Roman" w:hAnsi="Times New Roman" w:cs="Times New Roman"/>
          <w:b/>
          <w:sz w:val="24"/>
          <w:szCs w:val="24"/>
        </w:rPr>
      </w:pPr>
      <w:r w:rsidRPr="00EA5FC4">
        <w:rPr>
          <w:rFonts w:ascii="Times New Roman" w:hAnsi="Times New Roman" w:cs="Times New Roman"/>
          <w:b/>
          <w:sz w:val="24"/>
          <w:szCs w:val="24"/>
        </w:rPr>
        <w:t>6</w:t>
      </w:r>
      <w:r w:rsidR="000A6E25" w:rsidRPr="00EA5FC4">
        <w:rPr>
          <w:rFonts w:ascii="Times New Roman" w:hAnsi="Times New Roman" w:cs="Times New Roman"/>
          <w:b/>
          <w:sz w:val="24"/>
          <w:szCs w:val="24"/>
        </w:rPr>
        <w:t xml:space="preserve">. </w:t>
      </w:r>
      <w:r w:rsidRPr="00EA5FC4">
        <w:rPr>
          <w:rFonts w:ascii="Times New Roman" w:hAnsi="Times New Roman" w:cs="Times New Roman"/>
          <w:b/>
          <w:sz w:val="24"/>
          <w:szCs w:val="24"/>
        </w:rPr>
        <w:t>Metodología</w:t>
      </w:r>
    </w:p>
    <w:p w14:paraId="0FD390BA" w14:textId="77777777" w:rsidR="008529BB" w:rsidRPr="00EA5FC4" w:rsidRDefault="008529BB" w:rsidP="00EA5FC4">
      <w:pPr>
        <w:tabs>
          <w:tab w:val="left" w:pos="284"/>
        </w:tabs>
        <w:autoSpaceDE w:val="0"/>
        <w:autoSpaceDN w:val="0"/>
        <w:adjustRightInd w:val="0"/>
        <w:spacing w:before="100" w:beforeAutospacing="1" w:after="100" w:afterAutospacing="1" w:line="276" w:lineRule="auto"/>
        <w:jc w:val="both"/>
        <w:rPr>
          <w:rFonts w:ascii="Times New Roman" w:eastAsia="Calibri" w:hAnsi="Times New Roman" w:cs="Times New Roman"/>
          <w:sz w:val="24"/>
          <w:szCs w:val="24"/>
          <w:lang w:eastAsia="es-AR"/>
        </w:rPr>
      </w:pPr>
      <w:r w:rsidRPr="00EA5FC4">
        <w:rPr>
          <w:rFonts w:ascii="Times New Roman" w:eastAsia="Times New Roman" w:hAnsi="Times New Roman" w:cs="Times New Roman"/>
          <w:color w:val="000000"/>
          <w:sz w:val="24"/>
          <w:szCs w:val="24"/>
          <w:lang w:eastAsia="es-AR"/>
        </w:rPr>
        <w:t xml:space="preserve">Este trabajo de investigación fue elaborado desde un paradigma </w:t>
      </w:r>
      <w:proofErr w:type="spellStart"/>
      <w:r w:rsidRPr="00EA5FC4">
        <w:rPr>
          <w:rFonts w:ascii="Times New Roman" w:eastAsia="Times New Roman" w:hAnsi="Times New Roman" w:cs="Times New Roman"/>
          <w:color w:val="000000"/>
          <w:sz w:val="24"/>
          <w:szCs w:val="24"/>
          <w:lang w:eastAsia="es-AR"/>
        </w:rPr>
        <w:t>cuali</w:t>
      </w:r>
      <w:proofErr w:type="spellEnd"/>
      <w:r w:rsidRPr="00EA5FC4">
        <w:rPr>
          <w:rFonts w:ascii="Times New Roman" w:eastAsia="Times New Roman" w:hAnsi="Times New Roman" w:cs="Times New Roman"/>
          <w:color w:val="000000"/>
          <w:sz w:val="24"/>
          <w:szCs w:val="24"/>
          <w:lang w:eastAsia="es-AR"/>
        </w:rPr>
        <w:t xml:space="preserve"> y cuantitativo, bajo un tipo de investigación descriptiva de estudios de casos transversales. </w:t>
      </w:r>
      <w:r w:rsidRPr="00EA5FC4">
        <w:rPr>
          <w:rFonts w:ascii="Times New Roman" w:eastAsia="Times New Roman" w:hAnsi="Times New Roman" w:cs="Times New Roman"/>
          <w:sz w:val="24"/>
          <w:szCs w:val="24"/>
          <w:lang w:eastAsia="es-AR"/>
        </w:rPr>
        <w:t xml:space="preserve">Los instrumentos fueron diseñados y validados teniendo en cuenta los diferentes modelos estudiados en el marco teórico de manera válida y confiable. </w:t>
      </w:r>
    </w:p>
    <w:p w14:paraId="296B2160" w14:textId="2679B0CB" w:rsidR="00C35219" w:rsidRPr="00EA5FC4" w:rsidRDefault="008529BB" w:rsidP="00EA5FC4">
      <w:pPr>
        <w:tabs>
          <w:tab w:val="left" w:pos="284"/>
        </w:tabs>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sz w:val="24"/>
          <w:szCs w:val="24"/>
          <w:lang w:eastAsia="es-AR"/>
        </w:rPr>
      </w:pPr>
      <w:r w:rsidRPr="00EA5FC4">
        <w:rPr>
          <w:rFonts w:ascii="Times New Roman" w:eastAsia="Times New Roman" w:hAnsi="Times New Roman" w:cs="Times New Roman"/>
          <w:sz w:val="24"/>
          <w:szCs w:val="24"/>
          <w:lang w:eastAsia="es-AR"/>
        </w:rPr>
        <w:t xml:space="preserve">-Análisis de documento público: Se analizaron los Balances (2019/2021/2022/2023) de las empresas estudiadas, especialmente los indicadores relacionados con el impacto de la ESG. </w:t>
      </w:r>
      <w:r w:rsidR="00C35219" w:rsidRPr="00EA5FC4">
        <w:rPr>
          <w:rFonts w:ascii="Times New Roman" w:eastAsia="Times New Roman" w:hAnsi="Times New Roman" w:cs="Times New Roman"/>
          <w:sz w:val="24"/>
          <w:szCs w:val="24"/>
          <w:lang w:eastAsia="es-AR"/>
        </w:rPr>
        <w:t xml:space="preserve">Ecopetrol, YPF, Exxon, Antofagasta </w:t>
      </w:r>
      <w:proofErr w:type="spellStart"/>
      <w:r w:rsidR="00C35219" w:rsidRPr="00EA5FC4">
        <w:rPr>
          <w:rFonts w:ascii="Times New Roman" w:eastAsia="Times New Roman" w:hAnsi="Times New Roman" w:cs="Times New Roman"/>
          <w:sz w:val="24"/>
          <w:szCs w:val="24"/>
          <w:lang w:eastAsia="es-AR"/>
        </w:rPr>
        <w:t>Minerals</w:t>
      </w:r>
      <w:proofErr w:type="spellEnd"/>
      <w:r w:rsidR="00C35219" w:rsidRPr="00EA5FC4">
        <w:rPr>
          <w:rFonts w:ascii="Times New Roman" w:eastAsia="Times New Roman" w:hAnsi="Times New Roman" w:cs="Times New Roman"/>
          <w:sz w:val="24"/>
          <w:szCs w:val="24"/>
          <w:lang w:eastAsia="es-AR"/>
        </w:rPr>
        <w:t xml:space="preserve">, Globant, </w:t>
      </w:r>
      <w:r w:rsidRPr="00EA5FC4">
        <w:rPr>
          <w:rFonts w:ascii="Times New Roman" w:eastAsia="Times New Roman" w:hAnsi="Times New Roman" w:cs="Times New Roman"/>
          <w:sz w:val="24"/>
          <w:szCs w:val="24"/>
          <w:lang w:eastAsia="es-AR"/>
        </w:rPr>
        <w:t xml:space="preserve">Mercado Libre, </w:t>
      </w:r>
      <w:r w:rsidR="00C35219" w:rsidRPr="00EA5FC4">
        <w:rPr>
          <w:rFonts w:ascii="Times New Roman" w:eastAsia="Times New Roman" w:hAnsi="Times New Roman" w:cs="Times New Roman"/>
          <w:sz w:val="24"/>
          <w:szCs w:val="24"/>
          <w:lang w:eastAsia="es-AR"/>
        </w:rPr>
        <w:t xml:space="preserve">Google, Toyota, Ford, L’Oreal y Marriott. </w:t>
      </w:r>
    </w:p>
    <w:p w14:paraId="0DA26E2E" w14:textId="03CA2700" w:rsidR="008529BB" w:rsidRPr="00EA5FC4" w:rsidRDefault="008529BB" w:rsidP="00EA5FC4">
      <w:pPr>
        <w:tabs>
          <w:tab w:val="left" w:pos="284"/>
        </w:tabs>
        <w:autoSpaceDE w:val="0"/>
        <w:autoSpaceDN w:val="0"/>
        <w:adjustRightInd w:val="0"/>
        <w:spacing w:before="100" w:beforeAutospacing="1" w:after="100" w:afterAutospacing="1" w:line="276" w:lineRule="auto"/>
        <w:contextualSpacing/>
        <w:jc w:val="both"/>
        <w:rPr>
          <w:rFonts w:ascii="Times New Roman" w:eastAsia="Times New Roman" w:hAnsi="Times New Roman" w:cs="Times New Roman"/>
          <w:color w:val="000000"/>
          <w:sz w:val="24"/>
          <w:szCs w:val="24"/>
          <w:lang w:eastAsia="es-AR"/>
        </w:rPr>
      </w:pPr>
      <w:r w:rsidRPr="00EA5FC4">
        <w:rPr>
          <w:rFonts w:ascii="Times New Roman" w:eastAsia="Times New Roman" w:hAnsi="Times New Roman" w:cs="Times New Roman"/>
          <w:sz w:val="24"/>
          <w:szCs w:val="24"/>
          <w:lang w:eastAsia="es-AR"/>
        </w:rPr>
        <w:t>-Análisis de Reportes de Sustentabilidad, publicados por la empresa en el período comprendidos entre 2020/21 y 2022/23.</w:t>
      </w:r>
      <w:r w:rsidRPr="00EA5FC4">
        <w:rPr>
          <w:rFonts w:ascii="Times New Roman" w:eastAsia="Times New Roman" w:hAnsi="Times New Roman" w:cs="Times New Roman"/>
          <w:color w:val="000000"/>
          <w:sz w:val="24"/>
          <w:szCs w:val="24"/>
          <w:lang w:eastAsia="es-AR"/>
        </w:rPr>
        <w:t xml:space="preserve"> Desde un enfoque interactivo y no lineal de análisis de una realidad compleja que considera a la ESG y TD y su evaluación como un proceso integrado por diferentes actores y </w:t>
      </w:r>
      <w:proofErr w:type="spellStart"/>
      <w:r w:rsidRPr="00EA5FC4">
        <w:rPr>
          <w:rFonts w:ascii="Times New Roman" w:eastAsia="Times New Roman" w:hAnsi="Times New Roman" w:cs="Times New Roman"/>
          <w:i/>
          <w:iCs/>
          <w:color w:val="000000"/>
          <w:sz w:val="24"/>
          <w:szCs w:val="24"/>
          <w:lang w:eastAsia="es-AR"/>
        </w:rPr>
        <w:t>stakeholders</w:t>
      </w:r>
      <w:proofErr w:type="spellEnd"/>
      <w:r w:rsidRPr="00EA5FC4">
        <w:rPr>
          <w:rFonts w:ascii="Times New Roman" w:eastAsia="Times New Roman" w:hAnsi="Times New Roman" w:cs="Times New Roman"/>
          <w:color w:val="000000"/>
          <w:sz w:val="24"/>
          <w:szCs w:val="24"/>
          <w:lang w:eastAsia="es-AR"/>
        </w:rPr>
        <w:t xml:space="preserve">. </w:t>
      </w:r>
      <w:r w:rsidR="00EA7B28" w:rsidRPr="00EA5FC4">
        <w:rPr>
          <w:rFonts w:ascii="Times New Roman" w:eastAsia="Times New Roman" w:hAnsi="Times New Roman" w:cs="Times New Roman"/>
          <w:color w:val="000000"/>
          <w:sz w:val="24"/>
          <w:szCs w:val="24"/>
          <w:lang w:eastAsia="es-AR"/>
        </w:rPr>
        <w:t xml:space="preserve"> Innovación abierta</w:t>
      </w:r>
    </w:p>
    <w:p w14:paraId="2B699981" w14:textId="6668218F" w:rsidR="008529BB" w:rsidRPr="00EA5FC4" w:rsidRDefault="008529BB" w:rsidP="00EA5FC4">
      <w:pPr>
        <w:tabs>
          <w:tab w:val="left" w:pos="284"/>
        </w:tabs>
        <w:spacing w:before="100" w:beforeAutospacing="1" w:after="100" w:afterAutospacing="1" w:line="276" w:lineRule="auto"/>
        <w:contextualSpacing/>
        <w:jc w:val="both"/>
        <w:rPr>
          <w:rFonts w:ascii="Times New Roman" w:eastAsia="Times New Roman" w:hAnsi="Times New Roman" w:cs="Times New Roman"/>
          <w:sz w:val="24"/>
          <w:szCs w:val="24"/>
          <w:lang w:val="es-ES" w:eastAsia="es-ES"/>
        </w:rPr>
      </w:pPr>
      <w:r w:rsidRPr="00EA5FC4">
        <w:rPr>
          <w:rFonts w:ascii="Times New Roman" w:eastAsia="Times New Roman" w:hAnsi="Times New Roman" w:cs="Times New Roman"/>
          <w:sz w:val="24"/>
          <w:szCs w:val="24"/>
          <w:lang w:eastAsia="es-AR"/>
        </w:rPr>
        <w:t xml:space="preserve">-Entrevistas a especialistas </w:t>
      </w:r>
      <w:r w:rsidRPr="00EA5FC4">
        <w:rPr>
          <w:rFonts w:ascii="Times New Roman" w:eastAsia="Times New Roman" w:hAnsi="Times New Roman" w:cs="Times New Roman"/>
          <w:sz w:val="24"/>
          <w:szCs w:val="24"/>
          <w:lang w:val="es-ES" w:eastAsia="es-ES"/>
        </w:rPr>
        <w:t>que, más allá de las particulares características de los países y que este tipo de investigación se aleja de las generalizaciones, se ha podido afirmar aspectos comunes que se presentan en las empresas a la hora de utilizar TD y ESG (</w:t>
      </w:r>
      <w:proofErr w:type="spellStart"/>
      <w:r w:rsidRPr="00EA5FC4">
        <w:rPr>
          <w:rFonts w:ascii="Times New Roman" w:eastAsia="Times New Roman" w:hAnsi="Times New Roman" w:cs="Times New Roman"/>
          <w:sz w:val="24"/>
          <w:szCs w:val="24"/>
          <w:lang w:val="es-ES" w:eastAsia="es-ES"/>
        </w:rPr>
        <w:t>Flyvberger</w:t>
      </w:r>
      <w:proofErr w:type="spellEnd"/>
      <w:r w:rsidR="007E295D">
        <w:rPr>
          <w:rFonts w:ascii="Times New Roman" w:eastAsia="Times New Roman" w:hAnsi="Times New Roman" w:cs="Times New Roman"/>
          <w:sz w:val="24"/>
          <w:szCs w:val="24"/>
          <w:lang w:val="es-ES" w:eastAsia="es-ES"/>
        </w:rPr>
        <w:t>,</w:t>
      </w:r>
      <w:r w:rsidRPr="00EA5FC4">
        <w:rPr>
          <w:rFonts w:ascii="Times New Roman" w:eastAsia="Times New Roman" w:hAnsi="Times New Roman" w:cs="Times New Roman"/>
          <w:sz w:val="24"/>
          <w:szCs w:val="24"/>
          <w:lang w:val="es-ES" w:eastAsia="es-ES"/>
        </w:rPr>
        <w:t xml:space="preserve"> 2006).</w:t>
      </w:r>
    </w:p>
    <w:p w14:paraId="0D32A596" w14:textId="77777777" w:rsidR="008529BB" w:rsidRPr="00EA5FC4" w:rsidRDefault="008529BB" w:rsidP="00EA5FC4">
      <w:pPr>
        <w:tabs>
          <w:tab w:val="left" w:pos="284"/>
        </w:tabs>
        <w:spacing w:before="100" w:beforeAutospacing="1" w:after="100" w:afterAutospacing="1" w:line="276" w:lineRule="auto"/>
        <w:contextualSpacing/>
        <w:jc w:val="both"/>
        <w:rPr>
          <w:rFonts w:ascii="Times New Roman" w:eastAsia="Times New Roman" w:hAnsi="Times New Roman" w:cs="Times New Roman"/>
          <w:sz w:val="24"/>
          <w:szCs w:val="24"/>
          <w:lang w:val="es-ES" w:eastAsia="es-ES"/>
        </w:rPr>
      </w:pPr>
    </w:p>
    <w:p w14:paraId="6B07160D" w14:textId="400AE11B" w:rsidR="008529BB" w:rsidRPr="00EA5FC4" w:rsidRDefault="008529BB" w:rsidP="00EA5FC4">
      <w:pPr>
        <w:tabs>
          <w:tab w:val="left" w:pos="284"/>
        </w:tabs>
        <w:spacing w:before="100" w:beforeAutospacing="1" w:after="100" w:afterAutospacing="1" w:line="276" w:lineRule="auto"/>
        <w:jc w:val="both"/>
        <w:rPr>
          <w:rFonts w:ascii="Times New Roman" w:eastAsia="Times New Roman" w:hAnsi="Times New Roman" w:cs="Times New Roman"/>
          <w:color w:val="000000" w:themeColor="text1"/>
          <w:sz w:val="24"/>
          <w:szCs w:val="24"/>
          <w:lang w:val="es-ES" w:eastAsia="es-AR"/>
        </w:rPr>
      </w:pPr>
      <w:r w:rsidRPr="00EA5FC4">
        <w:rPr>
          <w:rFonts w:ascii="Times New Roman" w:eastAsia="Times New Roman" w:hAnsi="Times New Roman" w:cs="Times New Roman"/>
          <w:color w:val="000000"/>
          <w:sz w:val="24"/>
          <w:szCs w:val="24"/>
          <w:lang w:eastAsia="es-AR"/>
        </w:rPr>
        <w:t xml:space="preserve">La saturación de datos se obtuvo con las respuestas de gerentes y expertos de las empresas analizadas y externos a las mismas, y con la consulta de documentos. Se realizaron entrevistas por </w:t>
      </w:r>
      <w:proofErr w:type="spellStart"/>
      <w:r w:rsidRPr="00EA5FC4">
        <w:rPr>
          <w:rFonts w:ascii="Times New Roman" w:eastAsia="Times New Roman" w:hAnsi="Times New Roman" w:cs="Times New Roman"/>
          <w:color w:val="000000"/>
          <w:sz w:val="24"/>
          <w:szCs w:val="24"/>
          <w:lang w:eastAsia="es-AR"/>
        </w:rPr>
        <w:t>Teams</w:t>
      </w:r>
      <w:proofErr w:type="spellEnd"/>
      <w:r w:rsidRPr="00EA5FC4">
        <w:rPr>
          <w:rFonts w:ascii="Times New Roman" w:eastAsia="Times New Roman" w:hAnsi="Times New Roman" w:cs="Times New Roman"/>
          <w:color w:val="000000"/>
          <w:sz w:val="24"/>
          <w:szCs w:val="24"/>
          <w:lang w:eastAsia="es-AR"/>
        </w:rPr>
        <w:t xml:space="preserve"> y Zoom. La entrevista estuvo integrada por quince preguntas dentro de las dimensiones ESG, IA, TD, Comunicación y Desempeño Financiero. </w:t>
      </w:r>
      <w:r w:rsidRPr="00EA5FC4">
        <w:rPr>
          <w:rFonts w:ascii="Times New Roman" w:eastAsia="Times New Roman" w:hAnsi="Times New Roman" w:cs="Times New Roman"/>
          <w:color w:val="000000" w:themeColor="text1"/>
          <w:sz w:val="24"/>
          <w:szCs w:val="24"/>
          <w:lang w:val="es-ES" w:eastAsia="es-AR"/>
        </w:rPr>
        <w:t>Se desarrolló un modelo propio para poder analizar adecuadamente el impacto que cada una de las dimensiones tiene sobre las empresas la ESG y TD/IA. Para el mismo se utilizó la base teórica de 2 modelos esenciales:</w:t>
      </w:r>
      <w:r w:rsidRPr="00EA5FC4">
        <w:rPr>
          <w:rFonts w:ascii="Times New Roman" w:eastAsia="Times New Roman" w:hAnsi="Times New Roman" w:cs="Times New Roman"/>
          <w:color w:val="000000" w:themeColor="text1"/>
          <w:sz w:val="24"/>
          <w:szCs w:val="24"/>
          <w:lang w:eastAsia="es-AR"/>
        </w:rPr>
        <w:t xml:space="preserve"> </w:t>
      </w:r>
      <w:r w:rsidRPr="00EA5FC4">
        <w:rPr>
          <w:rFonts w:ascii="Times New Roman" w:eastAsia="Times New Roman" w:hAnsi="Times New Roman" w:cs="Times New Roman"/>
          <w:color w:val="000000" w:themeColor="text1"/>
          <w:sz w:val="24"/>
          <w:szCs w:val="24"/>
          <w:lang w:val="es-ES" w:eastAsia="es-AR"/>
        </w:rPr>
        <w:t xml:space="preserve">Modelo P.E.R. (Presión - Estímulo - Respuesta) y </w:t>
      </w:r>
      <w:r w:rsidRPr="00EA5FC4">
        <w:rPr>
          <w:rFonts w:ascii="Times New Roman" w:eastAsia="Times New Roman" w:hAnsi="Times New Roman" w:cs="Times New Roman"/>
          <w:color w:val="000000" w:themeColor="text1"/>
          <w:sz w:val="24"/>
          <w:szCs w:val="24"/>
          <w:lang w:eastAsia="es-AR"/>
        </w:rPr>
        <w:t xml:space="preserve">Balance Score </w:t>
      </w:r>
      <w:proofErr w:type="spellStart"/>
      <w:r w:rsidRPr="00EA5FC4">
        <w:rPr>
          <w:rFonts w:ascii="Times New Roman" w:eastAsia="Times New Roman" w:hAnsi="Times New Roman" w:cs="Times New Roman"/>
          <w:color w:val="000000" w:themeColor="text1"/>
          <w:sz w:val="24"/>
          <w:szCs w:val="24"/>
          <w:lang w:eastAsia="es-AR"/>
        </w:rPr>
        <w:t>Card</w:t>
      </w:r>
      <w:proofErr w:type="spellEnd"/>
      <w:r w:rsidRPr="00EA5FC4">
        <w:rPr>
          <w:rFonts w:ascii="Times New Roman" w:eastAsia="Times New Roman" w:hAnsi="Times New Roman" w:cs="Times New Roman"/>
          <w:color w:val="000000" w:themeColor="text1"/>
          <w:sz w:val="24"/>
          <w:szCs w:val="24"/>
          <w:lang w:eastAsia="es-AR"/>
        </w:rPr>
        <w:t xml:space="preserve"> </w:t>
      </w:r>
      <w:proofErr w:type="spellStart"/>
      <w:r w:rsidRPr="00EA5FC4">
        <w:rPr>
          <w:rFonts w:ascii="Times New Roman" w:eastAsia="Times New Roman" w:hAnsi="Times New Roman" w:cs="Times New Roman"/>
          <w:color w:val="000000" w:themeColor="text1"/>
          <w:sz w:val="24"/>
          <w:szCs w:val="24"/>
          <w:lang w:eastAsia="es-AR"/>
        </w:rPr>
        <w:t>Sustainable</w:t>
      </w:r>
      <w:proofErr w:type="spellEnd"/>
      <w:r w:rsidRPr="00EA5FC4">
        <w:rPr>
          <w:rFonts w:ascii="Times New Roman" w:eastAsia="Times New Roman" w:hAnsi="Times New Roman" w:cs="Times New Roman"/>
          <w:color w:val="000000" w:themeColor="text1"/>
          <w:sz w:val="24"/>
          <w:szCs w:val="24"/>
          <w:lang w:eastAsia="es-AR"/>
        </w:rPr>
        <w:t xml:space="preserve"> (B.S.C.S)</w:t>
      </w:r>
      <w:r w:rsidR="00EB385C" w:rsidRPr="00EB385C">
        <w:rPr>
          <w:rFonts w:ascii="Times New Roman" w:eastAsia="Arial" w:hAnsi="Times New Roman" w:cs="Times New Roman"/>
          <w:sz w:val="24"/>
          <w:szCs w:val="24"/>
          <w:lang w:eastAsia="es-AR"/>
        </w:rPr>
        <w:t xml:space="preserve"> </w:t>
      </w:r>
      <w:r w:rsidR="00EB385C">
        <w:rPr>
          <w:rFonts w:ascii="Times New Roman" w:eastAsia="Arial" w:hAnsi="Times New Roman" w:cs="Times New Roman"/>
          <w:sz w:val="24"/>
          <w:szCs w:val="24"/>
          <w:lang w:eastAsia="es-AR"/>
        </w:rPr>
        <w:t>(</w:t>
      </w:r>
      <w:r w:rsidR="00EB385C" w:rsidRPr="00EA5FC4">
        <w:rPr>
          <w:rFonts w:ascii="Times New Roman" w:eastAsia="Arial" w:hAnsi="Times New Roman" w:cs="Times New Roman"/>
          <w:sz w:val="24"/>
          <w:szCs w:val="24"/>
          <w:lang w:eastAsia="es-AR"/>
        </w:rPr>
        <w:t>Kaplan</w:t>
      </w:r>
      <w:r w:rsidR="00EB385C">
        <w:rPr>
          <w:rFonts w:ascii="Times New Roman" w:eastAsia="Arial" w:hAnsi="Times New Roman" w:cs="Times New Roman"/>
          <w:sz w:val="24"/>
          <w:szCs w:val="24"/>
          <w:lang w:eastAsia="es-AR"/>
        </w:rPr>
        <w:t xml:space="preserve"> </w:t>
      </w:r>
      <w:r w:rsidR="00EB385C" w:rsidRPr="00EA5FC4">
        <w:rPr>
          <w:rFonts w:ascii="Times New Roman" w:eastAsia="Arial" w:hAnsi="Times New Roman" w:cs="Times New Roman"/>
          <w:sz w:val="24"/>
          <w:szCs w:val="24"/>
          <w:lang w:eastAsia="es-AR"/>
        </w:rPr>
        <w:t>&amp; Norton</w:t>
      </w:r>
      <w:r w:rsidR="00EB385C">
        <w:rPr>
          <w:rFonts w:ascii="Times New Roman" w:eastAsia="Arial" w:hAnsi="Times New Roman" w:cs="Times New Roman"/>
          <w:sz w:val="24"/>
          <w:szCs w:val="24"/>
          <w:lang w:eastAsia="es-AR"/>
        </w:rPr>
        <w:t xml:space="preserve"> </w:t>
      </w:r>
      <w:r w:rsidR="00EB385C" w:rsidRPr="00EA5FC4">
        <w:rPr>
          <w:rFonts w:ascii="Times New Roman" w:eastAsia="Arial" w:hAnsi="Times New Roman" w:cs="Times New Roman"/>
          <w:sz w:val="24"/>
          <w:szCs w:val="24"/>
          <w:lang w:eastAsia="es-AR"/>
        </w:rPr>
        <w:t>2005)</w:t>
      </w:r>
      <w:r w:rsidRPr="00EA5FC4">
        <w:rPr>
          <w:rFonts w:ascii="Times New Roman" w:eastAsia="Times New Roman" w:hAnsi="Times New Roman" w:cs="Times New Roman"/>
          <w:color w:val="000000" w:themeColor="text1"/>
          <w:sz w:val="24"/>
          <w:szCs w:val="24"/>
          <w:lang w:eastAsia="es-AR"/>
        </w:rPr>
        <w:t xml:space="preserve">. </w:t>
      </w:r>
    </w:p>
    <w:p w14:paraId="09E5D129" w14:textId="77777777" w:rsidR="008529BB" w:rsidRPr="00EA5FC4" w:rsidRDefault="008529BB" w:rsidP="00EA5FC4">
      <w:pPr>
        <w:tabs>
          <w:tab w:val="left" w:pos="284"/>
        </w:tabs>
        <w:spacing w:before="100" w:beforeAutospacing="1" w:after="100" w:afterAutospacing="1" w:line="276" w:lineRule="auto"/>
        <w:jc w:val="both"/>
        <w:textAlignment w:val="baseline"/>
        <w:rPr>
          <w:rFonts w:ascii="Times New Roman" w:eastAsia="Times New Roman" w:hAnsi="Times New Roman" w:cs="Times New Roman"/>
          <w:color w:val="000000" w:themeColor="text1"/>
          <w:sz w:val="24"/>
          <w:szCs w:val="24"/>
          <w:lang w:val="es-ES" w:eastAsia="es-AR"/>
        </w:rPr>
      </w:pPr>
      <w:r w:rsidRPr="00EA5FC4">
        <w:rPr>
          <w:rFonts w:ascii="Times New Roman" w:eastAsia="Times New Roman" w:hAnsi="Times New Roman" w:cs="Times New Roman"/>
          <w:color w:val="000000" w:themeColor="text1"/>
          <w:sz w:val="24"/>
          <w:szCs w:val="24"/>
          <w:lang w:val="es-ES" w:eastAsia="es-AR"/>
        </w:rPr>
        <w:t>Las dimensiones analizadas fueron: TD,</w:t>
      </w:r>
      <w:r w:rsidRPr="00EA5FC4">
        <w:rPr>
          <w:rFonts w:ascii="Times New Roman" w:eastAsia="Times New Roman" w:hAnsi="Times New Roman" w:cs="Times New Roman"/>
          <w:color w:val="000000" w:themeColor="text1"/>
          <w:sz w:val="24"/>
          <w:szCs w:val="24"/>
          <w:lang w:eastAsia="es-AR"/>
        </w:rPr>
        <w:t xml:space="preserve"> </w:t>
      </w:r>
      <w:r w:rsidRPr="00EA5FC4">
        <w:rPr>
          <w:rFonts w:ascii="Times New Roman" w:eastAsia="Times New Roman" w:hAnsi="Times New Roman" w:cs="Times New Roman"/>
          <w:color w:val="000000" w:themeColor="text1"/>
          <w:sz w:val="24"/>
          <w:szCs w:val="24"/>
          <w:lang w:val="es-ES" w:eastAsia="es-AR"/>
        </w:rPr>
        <w:t>Medio ambiente,</w:t>
      </w:r>
      <w:r w:rsidRPr="00EA5FC4">
        <w:rPr>
          <w:rFonts w:ascii="Times New Roman" w:eastAsia="Times New Roman" w:hAnsi="Times New Roman" w:cs="Times New Roman"/>
          <w:color w:val="000000" w:themeColor="text1"/>
          <w:sz w:val="24"/>
          <w:szCs w:val="24"/>
          <w:lang w:eastAsia="es-AR"/>
        </w:rPr>
        <w:t xml:space="preserve"> </w:t>
      </w:r>
      <w:r w:rsidRPr="00EA5FC4">
        <w:rPr>
          <w:rFonts w:ascii="Times New Roman" w:eastAsia="Times New Roman" w:hAnsi="Times New Roman" w:cs="Times New Roman"/>
          <w:color w:val="000000" w:themeColor="text1"/>
          <w:sz w:val="24"/>
          <w:szCs w:val="24"/>
          <w:lang w:val="es-ES" w:eastAsia="es-AR"/>
        </w:rPr>
        <w:t>Social, Gobierno corporativo, Comunicación,</w:t>
      </w:r>
      <w:r w:rsidRPr="00EA5FC4">
        <w:rPr>
          <w:rFonts w:ascii="Times New Roman" w:eastAsia="Times New Roman" w:hAnsi="Times New Roman" w:cs="Times New Roman"/>
          <w:color w:val="000000" w:themeColor="text1"/>
          <w:sz w:val="24"/>
          <w:szCs w:val="24"/>
          <w:lang w:eastAsia="es-AR"/>
        </w:rPr>
        <w:t xml:space="preserve"> </w:t>
      </w:r>
      <w:r w:rsidRPr="00EA5FC4">
        <w:rPr>
          <w:rFonts w:ascii="Times New Roman" w:eastAsia="Times New Roman" w:hAnsi="Times New Roman" w:cs="Times New Roman"/>
          <w:color w:val="000000" w:themeColor="text1"/>
          <w:sz w:val="24"/>
          <w:szCs w:val="24"/>
          <w:lang w:val="es-ES" w:eastAsia="es-AR"/>
        </w:rPr>
        <w:t>Rentabilidad de los estados financieros de las empresas.</w:t>
      </w:r>
    </w:p>
    <w:p w14:paraId="21A76DEE" w14:textId="77777777" w:rsidR="00EA7B28" w:rsidRPr="00EA5FC4" w:rsidRDefault="008529BB" w:rsidP="00EA5FC4">
      <w:pPr>
        <w:tabs>
          <w:tab w:val="left" w:pos="284"/>
        </w:tabs>
        <w:spacing w:before="100" w:beforeAutospacing="1" w:after="100" w:afterAutospacing="1" w:line="276" w:lineRule="auto"/>
        <w:jc w:val="both"/>
        <w:textAlignment w:val="baseline"/>
        <w:rPr>
          <w:rFonts w:ascii="Times New Roman" w:eastAsia="Times New Roman" w:hAnsi="Times New Roman" w:cs="Times New Roman"/>
          <w:color w:val="000000"/>
          <w:sz w:val="24"/>
          <w:szCs w:val="24"/>
          <w:lang w:eastAsia="es-AR"/>
        </w:rPr>
      </w:pPr>
      <w:r w:rsidRPr="00EA5FC4">
        <w:rPr>
          <w:rFonts w:ascii="Times New Roman" w:eastAsia="Times New Roman" w:hAnsi="Times New Roman" w:cs="Times New Roman"/>
          <w:color w:val="000000" w:themeColor="text1"/>
          <w:sz w:val="24"/>
          <w:szCs w:val="24"/>
          <w:lang w:val="es-ES" w:eastAsia="es-AR"/>
        </w:rPr>
        <w:t xml:space="preserve">Los indicadores utilizados fueron: E: la reducción de emisiones de gases de efecto invernadero, la cantidad de agua utilizada y reciclada, las inversiones en energías renovables, la reducción de costos de energía y recursos, el cumplimiento de regulaciones ambientales, la cantidad de residuos reciclados o reutilizados, S: la retención de empleados y atracción de talento, las inversiones en capacitación en sostenibilidad, el incremento de inversores, la participación en iniciativas de responsabilidad social </w:t>
      </w:r>
      <w:r w:rsidRPr="00EA5FC4">
        <w:rPr>
          <w:rFonts w:ascii="Times New Roman" w:eastAsia="Times New Roman" w:hAnsi="Times New Roman" w:cs="Times New Roman"/>
          <w:color w:val="000000" w:themeColor="text1"/>
          <w:sz w:val="24"/>
          <w:szCs w:val="24"/>
          <w:lang w:val="es-ES" w:eastAsia="es-AR"/>
        </w:rPr>
        <w:lastRenderedPageBreak/>
        <w:t>corporativa (interno), el desempeño en seguridad e higiene, el valor de marca relacionado con ESG (</w:t>
      </w:r>
      <w:proofErr w:type="spellStart"/>
      <w:r w:rsidRPr="00EA5FC4">
        <w:rPr>
          <w:rFonts w:ascii="Times New Roman" w:eastAsia="Times New Roman" w:hAnsi="Times New Roman" w:cs="Times New Roman"/>
          <w:color w:val="000000" w:themeColor="text1"/>
          <w:sz w:val="24"/>
          <w:szCs w:val="24"/>
          <w:lang w:val="es-ES" w:eastAsia="es-AR"/>
        </w:rPr>
        <w:t>Refinity</w:t>
      </w:r>
      <w:proofErr w:type="spellEnd"/>
      <w:r w:rsidRPr="00EA5FC4">
        <w:rPr>
          <w:rFonts w:ascii="Times New Roman" w:eastAsia="Times New Roman" w:hAnsi="Times New Roman" w:cs="Times New Roman"/>
          <w:color w:val="000000" w:themeColor="text1"/>
          <w:sz w:val="24"/>
          <w:szCs w:val="24"/>
          <w:lang w:val="es-ES" w:eastAsia="es-AR"/>
        </w:rPr>
        <w:t>),</w:t>
      </w:r>
      <w:r w:rsidR="00EA7B28" w:rsidRPr="00EA5FC4">
        <w:rPr>
          <w:rFonts w:ascii="Times New Roman" w:eastAsia="Times New Roman" w:hAnsi="Times New Roman" w:cs="Times New Roman"/>
          <w:color w:val="000000" w:themeColor="text1"/>
          <w:sz w:val="24"/>
          <w:szCs w:val="24"/>
          <w:lang w:val="es-ES" w:eastAsia="es-AR"/>
        </w:rPr>
        <w:t xml:space="preserve"> las acciones de innovación abierta que realiza cada empresa</w:t>
      </w:r>
      <w:r w:rsidRPr="00EA5FC4">
        <w:rPr>
          <w:rFonts w:ascii="Times New Roman" w:eastAsia="Times New Roman" w:hAnsi="Times New Roman" w:cs="Times New Roman"/>
          <w:color w:val="000000" w:themeColor="text1"/>
          <w:sz w:val="24"/>
          <w:szCs w:val="24"/>
          <w:lang w:val="es-ES" w:eastAsia="es-AR"/>
        </w:rPr>
        <w:t xml:space="preserve"> G: el rendimiento de las acciones de la empresa, el retorno sobre la inversión (ROI) en iniciativas ESG, la calificación ESG de las agencias de calificación, el índice de sostenibilidad de la empresa (comparando índices de diferentes años), la auditoría y comunicación de la sostenibilidad, y el índice de endeudamiento, y</w:t>
      </w:r>
      <w:r w:rsidRPr="00EA5FC4">
        <w:rPr>
          <w:rFonts w:ascii="Times New Roman" w:eastAsia="Times New Roman" w:hAnsi="Times New Roman" w:cs="Times New Roman"/>
          <w:color w:val="000000"/>
          <w:sz w:val="24"/>
          <w:szCs w:val="24"/>
          <w:lang w:eastAsia="es-AR"/>
        </w:rPr>
        <w:t xml:space="preserve"> el nivel de consolidación de la TD para la ESG.</w:t>
      </w:r>
      <w:r w:rsidR="00EA7B28" w:rsidRPr="00EA5FC4">
        <w:rPr>
          <w:rFonts w:ascii="Times New Roman" w:eastAsia="Times New Roman" w:hAnsi="Times New Roman" w:cs="Times New Roman"/>
          <w:color w:val="000000"/>
          <w:sz w:val="24"/>
          <w:szCs w:val="24"/>
          <w:lang w:eastAsia="es-AR"/>
        </w:rPr>
        <w:t xml:space="preserve"> </w:t>
      </w:r>
    </w:p>
    <w:p w14:paraId="467AC2DD" w14:textId="77777777" w:rsidR="00520FFC" w:rsidRDefault="008529BB" w:rsidP="00EA5FC4">
      <w:pPr>
        <w:tabs>
          <w:tab w:val="left" w:pos="284"/>
        </w:tabs>
        <w:spacing w:before="100" w:beforeAutospacing="1" w:after="100" w:afterAutospacing="1" w:line="276" w:lineRule="auto"/>
        <w:jc w:val="both"/>
        <w:textAlignment w:val="baseline"/>
        <w:rPr>
          <w:rFonts w:ascii="Times New Roman" w:hAnsi="Times New Roman" w:cs="Times New Roman"/>
          <w:sz w:val="24"/>
          <w:szCs w:val="24"/>
        </w:rPr>
      </w:pPr>
      <w:r w:rsidRPr="00EA5FC4">
        <w:rPr>
          <w:rFonts w:ascii="Times New Roman" w:eastAsia="Arial" w:hAnsi="Times New Roman" w:cs="Times New Roman"/>
          <w:sz w:val="24"/>
          <w:szCs w:val="24"/>
          <w:lang w:val="es-MX" w:eastAsia="es-AR"/>
        </w:rPr>
        <w:t xml:space="preserve">Se aplicó el modelo Métricas ESG con siete compañías de diversas industrias (Tecnológicas, servicios, industriales, minería, financiera, energía) 3 argentinas, 1 chilena, 1 colombiana y dos globales. </w:t>
      </w:r>
      <w:r w:rsidRPr="00EA5FC4">
        <w:rPr>
          <w:rFonts w:ascii="Times New Roman" w:hAnsi="Times New Roman" w:cs="Times New Roman"/>
          <w:sz w:val="24"/>
          <w:szCs w:val="24"/>
        </w:rPr>
        <w:t xml:space="preserve">La Figura1 muestra el tablero de Métricas de ESG y sus </w:t>
      </w:r>
      <w:proofErr w:type="spellStart"/>
      <w:r w:rsidRPr="00EA5FC4">
        <w:rPr>
          <w:rFonts w:ascii="Times New Roman" w:hAnsi="Times New Roman" w:cs="Times New Roman"/>
          <w:sz w:val="24"/>
          <w:szCs w:val="24"/>
        </w:rPr>
        <w:t>KPI’s</w:t>
      </w:r>
      <w:proofErr w:type="spellEnd"/>
      <w:r w:rsidRPr="00EA5FC4">
        <w:rPr>
          <w:rFonts w:ascii="Times New Roman" w:hAnsi="Times New Roman" w:cs="Times New Roman"/>
          <w:sz w:val="24"/>
          <w:szCs w:val="24"/>
        </w:rPr>
        <w:t xml:space="preserve">.  </w:t>
      </w:r>
    </w:p>
    <w:p w14:paraId="1B742E30" w14:textId="17C6F391" w:rsidR="008529BB" w:rsidRPr="00EA5FC4" w:rsidRDefault="00520FFC" w:rsidP="00EA5FC4">
      <w:pPr>
        <w:tabs>
          <w:tab w:val="left" w:pos="284"/>
        </w:tabs>
        <w:spacing w:before="100" w:beforeAutospacing="1" w:after="100" w:afterAutospacing="1" w:line="276" w:lineRule="auto"/>
        <w:jc w:val="both"/>
        <w:textAlignment w:val="baseline"/>
        <w:rPr>
          <w:rFonts w:ascii="Times New Roman" w:eastAsia="Times New Roman" w:hAnsi="Times New Roman" w:cs="Times New Roman"/>
          <w:color w:val="000000"/>
          <w:sz w:val="24"/>
          <w:szCs w:val="24"/>
          <w:lang w:eastAsia="es-AR"/>
        </w:rPr>
      </w:pPr>
      <w:r w:rsidRPr="00EA5FC4">
        <w:rPr>
          <w:rFonts w:ascii="Times New Roman" w:hAnsi="Times New Roman" w:cs="Times New Roman"/>
          <w:sz w:val="24"/>
          <w:szCs w:val="24"/>
        </w:rPr>
        <w:t xml:space="preserve">La Figura1 muestra el tablero de Métricas de ESG y sus </w:t>
      </w:r>
      <w:proofErr w:type="spellStart"/>
      <w:r w:rsidRPr="00EA5FC4">
        <w:rPr>
          <w:rFonts w:ascii="Times New Roman" w:hAnsi="Times New Roman" w:cs="Times New Roman"/>
          <w:sz w:val="24"/>
          <w:szCs w:val="24"/>
        </w:rPr>
        <w:t>KPI’s</w:t>
      </w:r>
      <w:proofErr w:type="spellEnd"/>
      <w:r w:rsidRPr="00EA5FC4">
        <w:rPr>
          <w:rFonts w:ascii="Times New Roman" w:hAnsi="Times New Roman" w:cs="Times New Roman"/>
          <w:sz w:val="24"/>
          <w:szCs w:val="24"/>
        </w:rPr>
        <w:t xml:space="preserve">.  </w:t>
      </w:r>
    </w:p>
    <w:p w14:paraId="4CA1CB06" w14:textId="2FB53902" w:rsidR="00A12531" w:rsidRPr="00EA5FC4" w:rsidRDefault="00A12531" w:rsidP="00EA5FC4">
      <w:pPr>
        <w:spacing w:line="276" w:lineRule="auto"/>
        <w:rPr>
          <w:rFonts w:ascii="Times New Roman" w:hAnsi="Times New Roman" w:cs="Times New Roman"/>
          <w:sz w:val="24"/>
          <w:szCs w:val="24"/>
        </w:rPr>
      </w:pPr>
      <w:r w:rsidRPr="00EA5FC4">
        <w:rPr>
          <w:rFonts w:ascii="Times New Roman" w:hAnsi="Times New Roman" w:cs="Times New Roman"/>
          <w:sz w:val="24"/>
          <w:szCs w:val="24"/>
        </w:rPr>
        <w:t xml:space="preserve">Figura N 1: Resultados de la aplicación del Modelo Métricas ESG </w:t>
      </w:r>
    </w:p>
    <w:tbl>
      <w:tblPr>
        <w:tblStyle w:val="Tablaconcuadrcula"/>
        <w:tblW w:w="9785" w:type="dxa"/>
        <w:jc w:val="center"/>
        <w:tblLayout w:type="fixed"/>
        <w:tblLook w:val="04A0" w:firstRow="1" w:lastRow="0" w:firstColumn="1" w:lastColumn="0" w:noHBand="0" w:noVBand="1"/>
      </w:tblPr>
      <w:tblGrid>
        <w:gridCol w:w="1333"/>
        <w:gridCol w:w="789"/>
        <w:gridCol w:w="790"/>
        <w:gridCol w:w="911"/>
        <w:gridCol w:w="770"/>
        <w:gridCol w:w="770"/>
        <w:gridCol w:w="811"/>
        <w:gridCol w:w="687"/>
        <w:gridCol w:w="793"/>
        <w:gridCol w:w="625"/>
        <w:gridCol w:w="748"/>
        <w:gridCol w:w="758"/>
      </w:tblGrid>
      <w:tr w:rsidR="00A12531" w:rsidRPr="00520FFC" w14:paraId="7DEFCBBD" w14:textId="77777777" w:rsidTr="00BA2136">
        <w:trPr>
          <w:jc w:val="center"/>
        </w:trPr>
        <w:tc>
          <w:tcPr>
            <w:tcW w:w="1333" w:type="dxa"/>
            <w:tcBorders>
              <w:bottom w:val="single" w:sz="4" w:space="0" w:color="auto"/>
            </w:tcBorders>
          </w:tcPr>
          <w:p w14:paraId="75F67F17" w14:textId="77777777" w:rsidR="00A12531" w:rsidRPr="00520FFC" w:rsidRDefault="00A12531" w:rsidP="00EA5FC4">
            <w:pPr>
              <w:spacing w:after="200" w:line="276" w:lineRule="auto"/>
              <w:rPr>
                <w:rFonts w:ascii="Times New Roman" w:hAnsi="Times New Roman" w:cs="Times New Roman"/>
                <w:color w:val="000000"/>
                <w:sz w:val="18"/>
                <w:szCs w:val="18"/>
                <w:lang w:val="es-AR"/>
              </w:rPr>
            </w:pPr>
            <w:bookmarkStart w:id="2" w:name="_Hlk204269000"/>
            <w:bookmarkStart w:id="3" w:name="_Hlk188119517"/>
            <w:r w:rsidRPr="00520FFC">
              <w:rPr>
                <w:rFonts w:ascii="Times New Roman" w:hAnsi="Times New Roman" w:cs="Times New Roman"/>
                <w:color w:val="000000"/>
                <w:sz w:val="18"/>
                <w:szCs w:val="18"/>
                <w:lang w:val="es-AR"/>
              </w:rPr>
              <w:t xml:space="preserve">Empresas / </w:t>
            </w:r>
            <w:proofErr w:type="spellStart"/>
            <w:r w:rsidRPr="00520FFC">
              <w:rPr>
                <w:rFonts w:ascii="Times New Roman" w:hAnsi="Times New Roman" w:cs="Times New Roman"/>
                <w:color w:val="000000"/>
                <w:sz w:val="18"/>
                <w:szCs w:val="18"/>
                <w:lang w:val="es-AR"/>
              </w:rPr>
              <w:t>KPI’s</w:t>
            </w:r>
            <w:proofErr w:type="spellEnd"/>
            <w:r w:rsidRPr="00520FFC">
              <w:rPr>
                <w:rFonts w:ascii="Times New Roman" w:hAnsi="Times New Roman" w:cs="Times New Roman"/>
                <w:color w:val="000000"/>
                <w:sz w:val="18"/>
                <w:szCs w:val="18"/>
                <w:lang w:val="es-AR"/>
              </w:rPr>
              <w:t xml:space="preserve"> (%)</w:t>
            </w:r>
          </w:p>
        </w:tc>
        <w:tc>
          <w:tcPr>
            <w:tcW w:w="3260" w:type="dxa"/>
            <w:gridSpan w:val="4"/>
            <w:tcBorders>
              <w:bottom w:val="single" w:sz="4" w:space="0" w:color="auto"/>
            </w:tcBorders>
          </w:tcPr>
          <w:p w14:paraId="0C76945D"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000000"/>
                <w:sz w:val="18"/>
                <w:szCs w:val="18"/>
              </w:rPr>
              <w:t>Sector Extractivo Recursos Naturales</w:t>
            </w:r>
          </w:p>
        </w:tc>
        <w:tc>
          <w:tcPr>
            <w:tcW w:w="2268" w:type="dxa"/>
            <w:gridSpan w:val="3"/>
            <w:tcBorders>
              <w:bottom w:val="single" w:sz="4" w:space="0" w:color="auto"/>
            </w:tcBorders>
          </w:tcPr>
          <w:p w14:paraId="3C2662C4"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Sector Tecnología</w:t>
            </w:r>
          </w:p>
        </w:tc>
        <w:tc>
          <w:tcPr>
            <w:tcW w:w="1418" w:type="dxa"/>
            <w:gridSpan w:val="2"/>
            <w:tcBorders>
              <w:bottom w:val="single" w:sz="4" w:space="0" w:color="auto"/>
            </w:tcBorders>
          </w:tcPr>
          <w:p w14:paraId="27A7CEC6"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Sector Producción Bienes Durables</w:t>
            </w:r>
          </w:p>
        </w:tc>
        <w:tc>
          <w:tcPr>
            <w:tcW w:w="1506" w:type="dxa"/>
            <w:gridSpan w:val="2"/>
            <w:tcBorders>
              <w:bottom w:val="single" w:sz="4" w:space="0" w:color="auto"/>
            </w:tcBorders>
          </w:tcPr>
          <w:p w14:paraId="6BB4460A"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Sector Servicios</w:t>
            </w:r>
          </w:p>
        </w:tc>
      </w:tr>
      <w:tr w:rsidR="00EA5FC4" w:rsidRPr="00520FFC" w14:paraId="05642E23" w14:textId="77777777" w:rsidTr="00BA2136">
        <w:trPr>
          <w:jc w:val="center"/>
        </w:trPr>
        <w:tc>
          <w:tcPr>
            <w:tcW w:w="1333" w:type="dxa"/>
            <w:tcBorders>
              <w:top w:val="nil"/>
            </w:tcBorders>
          </w:tcPr>
          <w:p w14:paraId="73681741" w14:textId="77777777" w:rsidR="00A12531" w:rsidRPr="00520FFC" w:rsidRDefault="00A12531" w:rsidP="00EA5FC4">
            <w:pPr>
              <w:spacing w:after="200" w:line="276" w:lineRule="auto"/>
              <w:rPr>
                <w:rFonts w:ascii="Times New Roman" w:hAnsi="Times New Roman" w:cs="Times New Roman"/>
                <w:color w:val="000000"/>
                <w:sz w:val="18"/>
                <w:szCs w:val="18"/>
              </w:rPr>
            </w:pPr>
            <w:bookmarkStart w:id="4" w:name="_Hlk204241294"/>
            <w:bookmarkEnd w:id="2"/>
          </w:p>
        </w:tc>
        <w:tc>
          <w:tcPr>
            <w:tcW w:w="789" w:type="dxa"/>
            <w:tcBorders>
              <w:bottom w:val="single" w:sz="4" w:space="0" w:color="auto"/>
            </w:tcBorders>
          </w:tcPr>
          <w:p w14:paraId="7B5113B8"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000000"/>
                <w:sz w:val="18"/>
                <w:szCs w:val="18"/>
                <w:lang w:val="es-AR"/>
              </w:rPr>
              <w:t>Eco-</w:t>
            </w:r>
            <w:proofErr w:type="spellStart"/>
            <w:r w:rsidRPr="00520FFC">
              <w:rPr>
                <w:rFonts w:ascii="Times New Roman" w:hAnsi="Times New Roman" w:cs="Times New Roman"/>
                <w:color w:val="000000"/>
                <w:sz w:val="18"/>
                <w:szCs w:val="18"/>
                <w:lang w:val="es-AR"/>
              </w:rPr>
              <w:t>petrol</w:t>
            </w:r>
            <w:proofErr w:type="spellEnd"/>
          </w:p>
        </w:tc>
        <w:tc>
          <w:tcPr>
            <w:tcW w:w="790" w:type="dxa"/>
            <w:tcBorders>
              <w:bottom w:val="single" w:sz="4" w:space="0" w:color="auto"/>
            </w:tcBorders>
          </w:tcPr>
          <w:p w14:paraId="706E6477"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000000"/>
                <w:sz w:val="18"/>
                <w:szCs w:val="18"/>
                <w:lang w:val="es-AR"/>
              </w:rPr>
              <w:t>YPF</w:t>
            </w:r>
          </w:p>
        </w:tc>
        <w:tc>
          <w:tcPr>
            <w:tcW w:w="911" w:type="dxa"/>
            <w:tcBorders>
              <w:bottom w:val="single" w:sz="4" w:space="0" w:color="auto"/>
            </w:tcBorders>
          </w:tcPr>
          <w:p w14:paraId="5611155A"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000000"/>
                <w:sz w:val="18"/>
                <w:szCs w:val="18"/>
                <w:lang w:val="es-AR"/>
              </w:rPr>
              <w:t>EXXON</w:t>
            </w:r>
          </w:p>
        </w:tc>
        <w:tc>
          <w:tcPr>
            <w:tcW w:w="770" w:type="dxa"/>
            <w:tcBorders>
              <w:bottom w:val="single" w:sz="4" w:space="0" w:color="auto"/>
            </w:tcBorders>
          </w:tcPr>
          <w:p w14:paraId="686CFBBA" w14:textId="77777777" w:rsidR="00A12531" w:rsidRPr="00520FFC" w:rsidRDefault="00A12531" w:rsidP="00EA5FC4">
            <w:pPr>
              <w:spacing w:after="200" w:line="276" w:lineRule="auto"/>
              <w:rPr>
                <w:rFonts w:ascii="Times New Roman" w:hAnsi="Times New Roman" w:cs="Times New Roman"/>
                <w:color w:val="FF0000"/>
                <w:sz w:val="18"/>
                <w:szCs w:val="18"/>
              </w:rPr>
            </w:pPr>
            <w:r w:rsidRPr="00520FFC">
              <w:rPr>
                <w:rFonts w:ascii="Times New Roman" w:hAnsi="Times New Roman" w:cs="Times New Roman"/>
                <w:color w:val="000000"/>
                <w:sz w:val="18"/>
                <w:szCs w:val="18"/>
                <w:lang w:val="es-AR"/>
              </w:rPr>
              <w:t>Antofagasta</w:t>
            </w:r>
          </w:p>
        </w:tc>
        <w:tc>
          <w:tcPr>
            <w:tcW w:w="770" w:type="dxa"/>
            <w:tcBorders>
              <w:bottom w:val="single" w:sz="4" w:space="0" w:color="auto"/>
            </w:tcBorders>
          </w:tcPr>
          <w:p w14:paraId="38020D33" w14:textId="77777777" w:rsidR="00A12531" w:rsidRPr="00520FFC" w:rsidRDefault="00A12531" w:rsidP="00EA5FC4">
            <w:pPr>
              <w:spacing w:after="200" w:line="276" w:lineRule="auto"/>
              <w:rPr>
                <w:rFonts w:ascii="Times New Roman" w:hAnsi="Times New Roman" w:cs="Times New Roman"/>
                <w:color w:val="FF0000"/>
                <w:sz w:val="18"/>
                <w:szCs w:val="18"/>
              </w:rPr>
            </w:pPr>
            <w:proofErr w:type="spellStart"/>
            <w:r w:rsidRPr="00520FFC">
              <w:rPr>
                <w:rFonts w:ascii="Times New Roman" w:hAnsi="Times New Roman" w:cs="Times New Roman"/>
                <w:color w:val="000000"/>
                <w:sz w:val="18"/>
                <w:szCs w:val="18"/>
                <w:lang w:val="es-AR"/>
              </w:rPr>
              <w:t>Glo-bant</w:t>
            </w:r>
            <w:proofErr w:type="spellEnd"/>
          </w:p>
        </w:tc>
        <w:tc>
          <w:tcPr>
            <w:tcW w:w="811" w:type="dxa"/>
            <w:tcBorders>
              <w:bottom w:val="single" w:sz="4" w:space="0" w:color="auto"/>
            </w:tcBorders>
          </w:tcPr>
          <w:p w14:paraId="41C13651"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000000"/>
                <w:sz w:val="18"/>
                <w:szCs w:val="18"/>
                <w:lang w:val="es-AR"/>
              </w:rPr>
              <w:t>Meli</w:t>
            </w:r>
          </w:p>
        </w:tc>
        <w:tc>
          <w:tcPr>
            <w:tcW w:w="687" w:type="dxa"/>
            <w:tcBorders>
              <w:bottom w:val="single" w:sz="4" w:space="0" w:color="auto"/>
            </w:tcBorders>
          </w:tcPr>
          <w:p w14:paraId="2C4DA4A2" w14:textId="77777777" w:rsidR="00A12531" w:rsidRPr="00520FFC" w:rsidRDefault="00A12531" w:rsidP="00EA5FC4">
            <w:pPr>
              <w:spacing w:after="200" w:line="276" w:lineRule="auto"/>
              <w:rPr>
                <w:rFonts w:ascii="Times New Roman" w:hAnsi="Times New Roman" w:cs="Times New Roman"/>
                <w:color w:val="FF0000"/>
                <w:sz w:val="18"/>
                <w:szCs w:val="18"/>
              </w:rPr>
            </w:pPr>
            <w:proofErr w:type="spellStart"/>
            <w:r w:rsidRPr="00520FFC">
              <w:rPr>
                <w:rFonts w:ascii="Times New Roman" w:hAnsi="Times New Roman" w:cs="Times New Roman"/>
                <w:color w:val="000000"/>
                <w:sz w:val="18"/>
                <w:szCs w:val="18"/>
                <w:lang w:val="es-AR"/>
              </w:rPr>
              <w:t>Goo-gle</w:t>
            </w:r>
            <w:proofErr w:type="spellEnd"/>
          </w:p>
        </w:tc>
        <w:tc>
          <w:tcPr>
            <w:tcW w:w="793" w:type="dxa"/>
            <w:tcBorders>
              <w:bottom w:val="single" w:sz="4" w:space="0" w:color="auto"/>
            </w:tcBorders>
          </w:tcPr>
          <w:p w14:paraId="39B1A136"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000000"/>
                <w:sz w:val="18"/>
                <w:szCs w:val="18"/>
                <w:lang w:val="es-AR"/>
              </w:rPr>
              <w:t>Toyota</w:t>
            </w:r>
          </w:p>
        </w:tc>
        <w:tc>
          <w:tcPr>
            <w:tcW w:w="625" w:type="dxa"/>
            <w:tcBorders>
              <w:bottom w:val="single" w:sz="4" w:space="0" w:color="auto"/>
            </w:tcBorders>
          </w:tcPr>
          <w:p w14:paraId="6E825D98"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000000"/>
                <w:sz w:val="18"/>
                <w:szCs w:val="18"/>
                <w:lang w:val="es-AR"/>
              </w:rPr>
              <w:t>Ford</w:t>
            </w:r>
          </w:p>
        </w:tc>
        <w:tc>
          <w:tcPr>
            <w:tcW w:w="748" w:type="dxa"/>
            <w:tcBorders>
              <w:bottom w:val="single" w:sz="4" w:space="0" w:color="auto"/>
            </w:tcBorders>
          </w:tcPr>
          <w:p w14:paraId="1A4D8D47" w14:textId="77777777" w:rsidR="00A12531" w:rsidRPr="00520FFC" w:rsidRDefault="00A12531" w:rsidP="00EA5FC4">
            <w:pPr>
              <w:spacing w:after="200" w:line="276" w:lineRule="auto"/>
              <w:rPr>
                <w:rFonts w:ascii="Times New Roman" w:hAnsi="Times New Roman" w:cs="Times New Roman"/>
                <w:color w:val="000000"/>
                <w:sz w:val="18"/>
                <w:szCs w:val="18"/>
              </w:rPr>
            </w:pPr>
            <w:proofErr w:type="spellStart"/>
            <w:r w:rsidRPr="00520FFC">
              <w:rPr>
                <w:rFonts w:ascii="Times New Roman" w:hAnsi="Times New Roman" w:cs="Times New Roman"/>
                <w:color w:val="000000"/>
                <w:sz w:val="18"/>
                <w:szCs w:val="18"/>
                <w:lang w:val="es-AR"/>
              </w:rPr>
              <w:t>L’oreal</w:t>
            </w:r>
            <w:proofErr w:type="spellEnd"/>
          </w:p>
        </w:tc>
        <w:tc>
          <w:tcPr>
            <w:tcW w:w="758" w:type="dxa"/>
            <w:tcBorders>
              <w:bottom w:val="single" w:sz="4" w:space="0" w:color="auto"/>
            </w:tcBorders>
          </w:tcPr>
          <w:p w14:paraId="2C31966A"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000000"/>
                <w:sz w:val="18"/>
                <w:szCs w:val="18"/>
                <w:lang w:val="es-AR"/>
              </w:rPr>
              <w:t>Mar-</w:t>
            </w:r>
            <w:proofErr w:type="spellStart"/>
            <w:r w:rsidRPr="00520FFC">
              <w:rPr>
                <w:rFonts w:ascii="Times New Roman" w:hAnsi="Times New Roman" w:cs="Times New Roman"/>
                <w:color w:val="000000"/>
                <w:sz w:val="18"/>
                <w:szCs w:val="18"/>
                <w:lang w:val="es-AR"/>
              </w:rPr>
              <w:t>riott</w:t>
            </w:r>
            <w:proofErr w:type="spellEnd"/>
          </w:p>
        </w:tc>
      </w:tr>
      <w:tr w:rsidR="00A12531" w:rsidRPr="00520FFC" w14:paraId="1F2BA594" w14:textId="77777777" w:rsidTr="00BA2136">
        <w:trPr>
          <w:jc w:val="center"/>
        </w:trPr>
        <w:tc>
          <w:tcPr>
            <w:tcW w:w="9785" w:type="dxa"/>
            <w:gridSpan w:val="12"/>
            <w:tcBorders>
              <w:top w:val="nil"/>
            </w:tcBorders>
            <w:shd w:val="clear" w:color="auto" w:fill="BFBFBF" w:themeFill="background1" w:themeFillShade="BF"/>
          </w:tcPr>
          <w:p w14:paraId="6F4AAF15" w14:textId="77777777" w:rsidR="00A12531" w:rsidRPr="00520FFC" w:rsidRDefault="00A12531" w:rsidP="00EA5FC4">
            <w:pPr>
              <w:spacing w:after="200" w:line="276" w:lineRule="auto"/>
              <w:jc w:val="center"/>
              <w:rPr>
                <w:rFonts w:ascii="Times New Roman" w:hAnsi="Times New Roman" w:cs="Times New Roman"/>
                <w:color w:val="000000"/>
                <w:sz w:val="18"/>
                <w:szCs w:val="18"/>
              </w:rPr>
            </w:pPr>
            <w:r w:rsidRPr="00520FFC">
              <w:rPr>
                <w:rFonts w:ascii="Times New Roman" w:hAnsi="Times New Roman" w:cs="Times New Roman"/>
                <w:color w:val="000000"/>
                <w:sz w:val="18"/>
                <w:szCs w:val="18"/>
                <w:lang w:val="es-AR"/>
              </w:rPr>
              <w:t>Ambiental</w:t>
            </w:r>
          </w:p>
        </w:tc>
      </w:tr>
      <w:tr w:rsidR="00A12531" w:rsidRPr="00520FFC" w14:paraId="7E745C3A" w14:textId="77777777" w:rsidTr="00BA2136">
        <w:trPr>
          <w:jc w:val="center"/>
        </w:trPr>
        <w:tc>
          <w:tcPr>
            <w:tcW w:w="1333" w:type="dxa"/>
            <w:tcBorders>
              <w:top w:val="nil"/>
            </w:tcBorders>
          </w:tcPr>
          <w:p w14:paraId="687BD66F"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Emisiones de GEI</w:t>
            </w:r>
          </w:p>
        </w:tc>
        <w:tc>
          <w:tcPr>
            <w:tcW w:w="789" w:type="dxa"/>
            <w:tcBorders>
              <w:top w:val="nil"/>
            </w:tcBorders>
          </w:tcPr>
          <w:p w14:paraId="71DE5EF3"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40</w:t>
            </w:r>
          </w:p>
        </w:tc>
        <w:tc>
          <w:tcPr>
            <w:tcW w:w="790" w:type="dxa"/>
            <w:tcBorders>
              <w:top w:val="nil"/>
            </w:tcBorders>
          </w:tcPr>
          <w:p w14:paraId="7AED8F6D"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32.99</w:t>
            </w:r>
          </w:p>
        </w:tc>
        <w:tc>
          <w:tcPr>
            <w:tcW w:w="911" w:type="dxa"/>
            <w:tcBorders>
              <w:top w:val="nil"/>
            </w:tcBorders>
          </w:tcPr>
          <w:p w14:paraId="06A4523F"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23</w:t>
            </w:r>
          </w:p>
        </w:tc>
        <w:tc>
          <w:tcPr>
            <w:tcW w:w="770" w:type="dxa"/>
            <w:tcBorders>
              <w:top w:val="nil"/>
            </w:tcBorders>
          </w:tcPr>
          <w:p w14:paraId="68F3E1EC" w14:textId="77777777" w:rsidR="00A12531" w:rsidRPr="00520FFC" w:rsidRDefault="00A12531" w:rsidP="00EA5FC4">
            <w:pPr>
              <w:spacing w:after="200" w:line="276" w:lineRule="auto"/>
              <w:rPr>
                <w:rFonts w:ascii="Times New Roman" w:hAnsi="Times New Roman" w:cs="Times New Roman"/>
                <w:color w:val="FF0000"/>
                <w:sz w:val="18"/>
                <w:szCs w:val="18"/>
              </w:rPr>
            </w:pPr>
            <w:r w:rsidRPr="00520FFC">
              <w:rPr>
                <w:rFonts w:ascii="Times New Roman" w:hAnsi="Times New Roman" w:cs="Times New Roman"/>
                <w:color w:val="000000"/>
                <w:sz w:val="18"/>
                <w:szCs w:val="18"/>
                <w:lang w:val="es-AR"/>
              </w:rPr>
              <w:t>13</w:t>
            </w:r>
          </w:p>
        </w:tc>
        <w:tc>
          <w:tcPr>
            <w:tcW w:w="770" w:type="dxa"/>
            <w:tcBorders>
              <w:top w:val="nil"/>
            </w:tcBorders>
          </w:tcPr>
          <w:p w14:paraId="6F2F0CEC" w14:textId="77777777" w:rsidR="00A12531" w:rsidRPr="00520FFC" w:rsidRDefault="00A12531" w:rsidP="00EA5FC4">
            <w:pPr>
              <w:spacing w:after="200" w:line="276" w:lineRule="auto"/>
              <w:rPr>
                <w:rFonts w:ascii="Times New Roman" w:hAnsi="Times New Roman" w:cs="Times New Roman"/>
                <w:color w:val="FF0000"/>
                <w:sz w:val="18"/>
                <w:szCs w:val="18"/>
                <w:lang w:val="es-AR"/>
              </w:rPr>
            </w:pPr>
            <w:r w:rsidRPr="00520FFC">
              <w:rPr>
                <w:rFonts w:ascii="Times New Roman" w:hAnsi="Times New Roman" w:cs="Times New Roman"/>
                <w:color w:val="FF0000"/>
                <w:sz w:val="18"/>
                <w:szCs w:val="18"/>
                <w:lang w:val="es-AR"/>
              </w:rPr>
              <w:t>75</w:t>
            </w:r>
          </w:p>
        </w:tc>
        <w:tc>
          <w:tcPr>
            <w:tcW w:w="811" w:type="dxa"/>
            <w:tcBorders>
              <w:top w:val="nil"/>
            </w:tcBorders>
          </w:tcPr>
          <w:p w14:paraId="7B0FB30A"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FF0000"/>
                <w:sz w:val="18"/>
                <w:szCs w:val="18"/>
                <w:lang w:val="es-AR"/>
              </w:rPr>
              <w:t>741</w:t>
            </w:r>
          </w:p>
        </w:tc>
        <w:tc>
          <w:tcPr>
            <w:tcW w:w="687" w:type="dxa"/>
            <w:tcBorders>
              <w:top w:val="nil"/>
            </w:tcBorders>
          </w:tcPr>
          <w:p w14:paraId="245489D6" w14:textId="77777777" w:rsidR="00A12531" w:rsidRPr="00520FFC" w:rsidRDefault="00A12531" w:rsidP="00EA5FC4">
            <w:pPr>
              <w:spacing w:after="200" w:line="276" w:lineRule="auto"/>
              <w:rPr>
                <w:rFonts w:ascii="Times New Roman" w:hAnsi="Times New Roman" w:cs="Times New Roman"/>
                <w:color w:val="FF0000"/>
                <w:sz w:val="18"/>
                <w:szCs w:val="18"/>
                <w:lang w:val="es-AR"/>
              </w:rPr>
            </w:pPr>
            <w:r w:rsidRPr="00520FFC">
              <w:rPr>
                <w:rFonts w:ascii="Times New Roman" w:hAnsi="Times New Roman" w:cs="Times New Roman"/>
                <w:color w:val="FF0000"/>
                <w:sz w:val="18"/>
                <w:szCs w:val="18"/>
                <w:lang w:val="es-AR"/>
              </w:rPr>
              <w:t>110</w:t>
            </w:r>
          </w:p>
        </w:tc>
        <w:tc>
          <w:tcPr>
            <w:tcW w:w="793" w:type="dxa"/>
            <w:tcBorders>
              <w:top w:val="nil"/>
            </w:tcBorders>
          </w:tcPr>
          <w:p w14:paraId="5A388C51"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30</w:t>
            </w:r>
          </w:p>
        </w:tc>
        <w:tc>
          <w:tcPr>
            <w:tcW w:w="625" w:type="dxa"/>
            <w:tcBorders>
              <w:top w:val="nil"/>
            </w:tcBorders>
          </w:tcPr>
          <w:p w14:paraId="466BD465"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22</w:t>
            </w:r>
          </w:p>
        </w:tc>
        <w:tc>
          <w:tcPr>
            <w:tcW w:w="748" w:type="dxa"/>
            <w:tcBorders>
              <w:top w:val="nil"/>
            </w:tcBorders>
          </w:tcPr>
          <w:p w14:paraId="31BFFFC8"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74</w:t>
            </w:r>
          </w:p>
        </w:tc>
        <w:tc>
          <w:tcPr>
            <w:tcW w:w="758" w:type="dxa"/>
            <w:tcBorders>
              <w:top w:val="nil"/>
            </w:tcBorders>
          </w:tcPr>
          <w:p w14:paraId="2DC4745F"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25</w:t>
            </w:r>
          </w:p>
          <w:p w14:paraId="64B13CBF" w14:textId="77777777" w:rsidR="00A12531" w:rsidRPr="00520FFC" w:rsidRDefault="00A12531" w:rsidP="00EA5FC4">
            <w:pPr>
              <w:spacing w:after="200" w:line="276" w:lineRule="auto"/>
              <w:rPr>
                <w:rFonts w:ascii="Times New Roman" w:hAnsi="Times New Roman" w:cs="Times New Roman"/>
                <w:color w:val="000000"/>
                <w:sz w:val="18"/>
                <w:szCs w:val="18"/>
                <w:lang w:val="es-AR"/>
              </w:rPr>
            </w:pPr>
          </w:p>
        </w:tc>
      </w:tr>
      <w:tr w:rsidR="00A12531" w:rsidRPr="00520FFC" w14:paraId="4C7F74AE" w14:textId="77777777" w:rsidTr="00BA2136">
        <w:trPr>
          <w:jc w:val="center"/>
        </w:trPr>
        <w:tc>
          <w:tcPr>
            <w:tcW w:w="1333" w:type="dxa"/>
          </w:tcPr>
          <w:p w14:paraId="51030C0A"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Agua utilizada y reutilizada</w:t>
            </w:r>
          </w:p>
        </w:tc>
        <w:tc>
          <w:tcPr>
            <w:tcW w:w="789" w:type="dxa"/>
          </w:tcPr>
          <w:p w14:paraId="7CF1B5EB"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16</w:t>
            </w:r>
          </w:p>
        </w:tc>
        <w:tc>
          <w:tcPr>
            <w:tcW w:w="790" w:type="dxa"/>
          </w:tcPr>
          <w:p w14:paraId="5FDCF3DA"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20.56</w:t>
            </w:r>
          </w:p>
        </w:tc>
        <w:tc>
          <w:tcPr>
            <w:tcW w:w="911" w:type="dxa"/>
          </w:tcPr>
          <w:p w14:paraId="3A83D939"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c>
          <w:tcPr>
            <w:tcW w:w="770" w:type="dxa"/>
          </w:tcPr>
          <w:p w14:paraId="6F31302D" w14:textId="77777777" w:rsidR="00A12531" w:rsidRPr="00520FFC" w:rsidRDefault="00A12531" w:rsidP="00EA5FC4">
            <w:pPr>
              <w:spacing w:after="200" w:line="276" w:lineRule="auto"/>
              <w:rPr>
                <w:rFonts w:ascii="Times New Roman" w:hAnsi="Times New Roman" w:cs="Times New Roman"/>
                <w:color w:val="FF0000"/>
                <w:sz w:val="18"/>
                <w:szCs w:val="18"/>
              </w:rPr>
            </w:pPr>
            <w:r w:rsidRPr="00520FFC">
              <w:rPr>
                <w:rFonts w:ascii="Times New Roman" w:hAnsi="Times New Roman" w:cs="Times New Roman"/>
                <w:color w:val="FF0000"/>
                <w:sz w:val="18"/>
                <w:szCs w:val="18"/>
                <w:lang w:val="es-AR"/>
              </w:rPr>
              <w:t>21</w:t>
            </w:r>
          </w:p>
        </w:tc>
        <w:tc>
          <w:tcPr>
            <w:tcW w:w="770" w:type="dxa"/>
          </w:tcPr>
          <w:p w14:paraId="4D1231B2" w14:textId="77777777" w:rsidR="00A12531" w:rsidRPr="00520FFC" w:rsidRDefault="00A12531" w:rsidP="00EA5FC4">
            <w:pPr>
              <w:spacing w:after="200" w:line="276" w:lineRule="auto"/>
              <w:rPr>
                <w:rFonts w:ascii="Times New Roman" w:hAnsi="Times New Roman" w:cs="Times New Roman"/>
                <w:color w:val="FF0000"/>
                <w:sz w:val="18"/>
                <w:szCs w:val="18"/>
                <w:lang w:val="es-AR"/>
              </w:rPr>
            </w:pPr>
            <w:r w:rsidRPr="00520FFC">
              <w:rPr>
                <w:rFonts w:ascii="Times New Roman" w:hAnsi="Times New Roman" w:cs="Times New Roman"/>
                <w:color w:val="FF0000"/>
                <w:sz w:val="18"/>
                <w:szCs w:val="18"/>
                <w:lang w:val="es-AR"/>
              </w:rPr>
              <w:t>20</w:t>
            </w:r>
          </w:p>
        </w:tc>
        <w:tc>
          <w:tcPr>
            <w:tcW w:w="811" w:type="dxa"/>
          </w:tcPr>
          <w:p w14:paraId="4E09638A" w14:textId="77777777" w:rsidR="00A12531" w:rsidRPr="00520FFC" w:rsidRDefault="00A12531" w:rsidP="00EA5FC4">
            <w:pPr>
              <w:spacing w:after="200" w:line="276" w:lineRule="auto"/>
              <w:rPr>
                <w:rFonts w:ascii="Times New Roman" w:hAnsi="Times New Roman" w:cs="Times New Roman"/>
                <w:color w:val="FF0000"/>
                <w:sz w:val="18"/>
                <w:szCs w:val="18"/>
              </w:rPr>
            </w:pPr>
            <w:r w:rsidRPr="00520FFC">
              <w:rPr>
                <w:rFonts w:ascii="Times New Roman" w:hAnsi="Times New Roman" w:cs="Times New Roman"/>
                <w:color w:val="FF0000"/>
                <w:sz w:val="18"/>
                <w:szCs w:val="18"/>
                <w:lang w:val="es-AR"/>
              </w:rPr>
              <w:t>218</w:t>
            </w:r>
          </w:p>
        </w:tc>
        <w:tc>
          <w:tcPr>
            <w:tcW w:w="687" w:type="dxa"/>
          </w:tcPr>
          <w:p w14:paraId="593C71DC" w14:textId="77777777" w:rsidR="00A12531" w:rsidRPr="00520FFC" w:rsidRDefault="00A12531" w:rsidP="00EA5FC4">
            <w:pPr>
              <w:spacing w:after="200" w:line="276" w:lineRule="auto"/>
              <w:rPr>
                <w:rFonts w:ascii="Times New Roman" w:hAnsi="Times New Roman" w:cs="Times New Roman"/>
                <w:color w:val="FF0000"/>
                <w:sz w:val="18"/>
                <w:szCs w:val="18"/>
                <w:lang w:val="es-AR"/>
              </w:rPr>
            </w:pPr>
            <w:r w:rsidRPr="00520FFC">
              <w:rPr>
                <w:rFonts w:ascii="Times New Roman" w:hAnsi="Times New Roman" w:cs="Times New Roman"/>
                <w:color w:val="FF0000"/>
                <w:sz w:val="18"/>
                <w:szCs w:val="18"/>
                <w:lang w:val="es-AR"/>
              </w:rPr>
              <w:t>47.25</w:t>
            </w:r>
          </w:p>
        </w:tc>
        <w:tc>
          <w:tcPr>
            <w:tcW w:w="793" w:type="dxa"/>
          </w:tcPr>
          <w:p w14:paraId="7EE8DEC2" w14:textId="77777777" w:rsidR="00A12531" w:rsidRPr="00520FFC" w:rsidRDefault="00A12531" w:rsidP="00EA5FC4">
            <w:pPr>
              <w:spacing w:after="200" w:line="276" w:lineRule="auto"/>
              <w:rPr>
                <w:rFonts w:ascii="Times New Roman" w:hAnsi="Times New Roman" w:cs="Times New Roman"/>
                <w:color w:val="FF0000"/>
                <w:sz w:val="18"/>
                <w:szCs w:val="18"/>
                <w:lang w:val="es-AR"/>
              </w:rPr>
            </w:pPr>
            <w:r w:rsidRPr="00520FFC">
              <w:rPr>
                <w:rFonts w:ascii="Times New Roman" w:hAnsi="Times New Roman" w:cs="Times New Roman"/>
                <w:color w:val="FF0000"/>
                <w:sz w:val="18"/>
                <w:szCs w:val="18"/>
                <w:lang w:val="es-AR"/>
              </w:rPr>
              <w:t>42</w:t>
            </w:r>
          </w:p>
        </w:tc>
        <w:tc>
          <w:tcPr>
            <w:tcW w:w="625" w:type="dxa"/>
          </w:tcPr>
          <w:p w14:paraId="46B6B083"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72</w:t>
            </w:r>
          </w:p>
        </w:tc>
        <w:tc>
          <w:tcPr>
            <w:tcW w:w="748" w:type="dxa"/>
          </w:tcPr>
          <w:p w14:paraId="699E6B20"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7.69</w:t>
            </w:r>
          </w:p>
        </w:tc>
        <w:tc>
          <w:tcPr>
            <w:tcW w:w="758" w:type="dxa"/>
          </w:tcPr>
          <w:p w14:paraId="7D80AD26"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6</w:t>
            </w:r>
          </w:p>
        </w:tc>
      </w:tr>
      <w:tr w:rsidR="00A12531" w:rsidRPr="00520FFC" w14:paraId="4739EE19" w14:textId="77777777" w:rsidTr="00BA2136">
        <w:trPr>
          <w:jc w:val="center"/>
        </w:trPr>
        <w:tc>
          <w:tcPr>
            <w:tcW w:w="1333" w:type="dxa"/>
          </w:tcPr>
          <w:p w14:paraId="50AC0403"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Energía Renovable (% cumplido)</w:t>
            </w:r>
          </w:p>
        </w:tc>
        <w:tc>
          <w:tcPr>
            <w:tcW w:w="789" w:type="dxa"/>
          </w:tcPr>
          <w:p w14:paraId="7222C7E5"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5.9</w:t>
            </w:r>
          </w:p>
        </w:tc>
        <w:tc>
          <w:tcPr>
            <w:tcW w:w="790" w:type="dxa"/>
          </w:tcPr>
          <w:p w14:paraId="3B5B901B"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142.86</w:t>
            </w:r>
          </w:p>
        </w:tc>
        <w:tc>
          <w:tcPr>
            <w:tcW w:w="911" w:type="dxa"/>
          </w:tcPr>
          <w:p w14:paraId="42B435A6"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c>
          <w:tcPr>
            <w:tcW w:w="770" w:type="dxa"/>
          </w:tcPr>
          <w:p w14:paraId="167AF2FB"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000000"/>
                <w:sz w:val="18"/>
                <w:szCs w:val="18"/>
                <w:lang w:val="es-AR"/>
              </w:rPr>
              <w:t>27</w:t>
            </w:r>
          </w:p>
        </w:tc>
        <w:tc>
          <w:tcPr>
            <w:tcW w:w="770" w:type="dxa"/>
          </w:tcPr>
          <w:p w14:paraId="05C83A37"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22%</w:t>
            </w:r>
          </w:p>
        </w:tc>
        <w:tc>
          <w:tcPr>
            <w:tcW w:w="811" w:type="dxa"/>
          </w:tcPr>
          <w:p w14:paraId="6D6DF7D7"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000000"/>
                <w:sz w:val="18"/>
                <w:szCs w:val="18"/>
                <w:lang w:val="es-AR"/>
              </w:rPr>
              <w:t>966</w:t>
            </w:r>
          </w:p>
        </w:tc>
        <w:tc>
          <w:tcPr>
            <w:tcW w:w="687" w:type="dxa"/>
          </w:tcPr>
          <w:p w14:paraId="2EC9E539"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100</w:t>
            </w:r>
          </w:p>
        </w:tc>
        <w:tc>
          <w:tcPr>
            <w:tcW w:w="793" w:type="dxa"/>
          </w:tcPr>
          <w:p w14:paraId="126B87C3"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206</w:t>
            </w:r>
          </w:p>
        </w:tc>
        <w:tc>
          <w:tcPr>
            <w:tcW w:w="625" w:type="dxa"/>
          </w:tcPr>
          <w:p w14:paraId="42440554"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64</w:t>
            </w:r>
          </w:p>
        </w:tc>
        <w:tc>
          <w:tcPr>
            <w:tcW w:w="748" w:type="dxa"/>
          </w:tcPr>
          <w:p w14:paraId="468D37EA"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40</w:t>
            </w:r>
          </w:p>
        </w:tc>
        <w:tc>
          <w:tcPr>
            <w:tcW w:w="758" w:type="dxa"/>
          </w:tcPr>
          <w:p w14:paraId="32A6E207"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163</w:t>
            </w:r>
          </w:p>
        </w:tc>
      </w:tr>
      <w:tr w:rsidR="00A12531" w:rsidRPr="00520FFC" w14:paraId="6D0387EF" w14:textId="77777777" w:rsidTr="00BA2136">
        <w:trPr>
          <w:jc w:val="center"/>
        </w:trPr>
        <w:tc>
          <w:tcPr>
            <w:tcW w:w="1333" w:type="dxa"/>
          </w:tcPr>
          <w:p w14:paraId="147020D5"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Regulaciones</w:t>
            </w:r>
          </w:p>
        </w:tc>
        <w:tc>
          <w:tcPr>
            <w:tcW w:w="789" w:type="dxa"/>
          </w:tcPr>
          <w:p w14:paraId="2CA84680"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GRI/S&amp;P/EY</w:t>
            </w:r>
          </w:p>
        </w:tc>
        <w:tc>
          <w:tcPr>
            <w:tcW w:w="790" w:type="dxa"/>
          </w:tcPr>
          <w:p w14:paraId="4EA55C0A"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DELOITTE</w:t>
            </w:r>
          </w:p>
        </w:tc>
        <w:tc>
          <w:tcPr>
            <w:tcW w:w="911" w:type="dxa"/>
          </w:tcPr>
          <w:p w14:paraId="38C8C6AC"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c>
          <w:tcPr>
            <w:tcW w:w="770" w:type="dxa"/>
          </w:tcPr>
          <w:p w14:paraId="097A8290"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000000"/>
                <w:sz w:val="18"/>
                <w:szCs w:val="18"/>
                <w:lang w:val="es-AR"/>
              </w:rPr>
              <w:t>EY</w:t>
            </w:r>
          </w:p>
        </w:tc>
        <w:tc>
          <w:tcPr>
            <w:tcW w:w="770" w:type="dxa"/>
          </w:tcPr>
          <w:p w14:paraId="3BEF8C21"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c>
          <w:tcPr>
            <w:tcW w:w="811" w:type="dxa"/>
          </w:tcPr>
          <w:p w14:paraId="6FDFA235"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000000"/>
                <w:sz w:val="18"/>
                <w:szCs w:val="18"/>
                <w:lang w:val="es-AR"/>
              </w:rPr>
              <w:t>S/auditor</w:t>
            </w:r>
          </w:p>
        </w:tc>
        <w:tc>
          <w:tcPr>
            <w:tcW w:w="687" w:type="dxa"/>
          </w:tcPr>
          <w:p w14:paraId="715EAB62"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c>
          <w:tcPr>
            <w:tcW w:w="793" w:type="dxa"/>
          </w:tcPr>
          <w:p w14:paraId="57E1D09A"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c>
          <w:tcPr>
            <w:tcW w:w="625" w:type="dxa"/>
          </w:tcPr>
          <w:p w14:paraId="0D0C837B"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c>
          <w:tcPr>
            <w:tcW w:w="748" w:type="dxa"/>
          </w:tcPr>
          <w:p w14:paraId="341CCFDD"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c>
          <w:tcPr>
            <w:tcW w:w="758" w:type="dxa"/>
          </w:tcPr>
          <w:p w14:paraId="505F2461"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r>
      <w:tr w:rsidR="00A12531" w:rsidRPr="00520FFC" w14:paraId="5D08962A" w14:textId="77777777" w:rsidTr="00BA2136">
        <w:trPr>
          <w:jc w:val="center"/>
        </w:trPr>
        <w:tc>
          <w:tcPr>
            <w:tcW w:w="1333" w:type="dxa"/>
          </w:tcPr>
          <w:p w14:paraId="3B82CED7"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Residuos reciclados</w:t>
            </w:r>
          </w:p>
        </w:tc>
        <w:tc>
          <w:tcPr>
            <w:tcW w:w="789" w:type="dxa"/>
          </w:tcPr>
          <w:p w14:paraId="2445E10E"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39</w:t>
            </w:r>
          </w:p>
        </w:tc>
        <w:tc>
          <w:tcPr>
            <w:tcW w:w="790" w:type="dxa"/>
          </w:tcPr>
          <w:p w14:paraId="27D78C7C"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27.76</w:t>
            </w:r>
          </w:p>
        </w:tc>
        <w:tc>
          <w:tcPr>
            <w:tcW w:w="911" w:type="dxa"/>
          </w:tcPr>
          <w:p w14:paraId="133545F2"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FF0000"/>
                <w:sz w:val="18"/>
                <w:szCs w:val="18"/>
                <w:lang w:val="es-AR"/>
              </w:rPr>
              <w:t>0</w:t>
            </w:r>
          </w:p>
        </w:tc>
        <w:tc>
          <w:tcPr>
            <w:tcW w:w="770" w:type="dxa"/>
          </w:tcPr>
          <w:p w14:paraId="7DC900AB"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FF0000"/>
                <w:sz w:val="18"/>
                <w:szCs w:val="18"/>
                <w:lang w:val="es-AR"/>
              </w:rPr>
              <w:t>44</w:t>
            </w:r>
          </w:p>
        </w:tc>
        <w:tc>
          <w:tcPr>
            <w:tcW w:w="770" w:type="dxa"/>
          </w:tcPr>
          <w:p w14:paraId="232BA353"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45%</w:t>
            </w:r>
          </w:p>
        </w:tc>
        <w:tc>
          <w:tcPr>
            <w:tcW w:w="811" w:type="dxa"/>
          </w:tcPr>
          <w:p w14:paraId="5C255CBA" w14:textId="77777777" w:rsidR="00A12531" w:rsidRPr="00520FFC" w:rsidRDefault="00A12531" w:rsidP="00EA5FC4">
            <w:pPr>
              <w:spacing w:after="200" w:line="276" w:lineRule="auto"/>
              <w:rPr>
                <w:rFonts w:ascii="Times New Roman" w:hAnsi="Times New Roman" w:cs="Times New Roman"/>
                <w:color w:val="FF0000"/>
                <w:sz w:val="18"/>
                <w:szCs w:val="18"/>
              </w:rPr>
            </w:pPr>
            <w:r w:rsidRPr="00520FFC">
              <w:rPr>
                <w:rFonts w:ascii="Times New Roman" w:hAnsi="Times New Roman" w:cs="Times New Roman"/>
                <w:color w:val="000000"/>
                <w:sz w:val="18"/>
                <w:szCs w:val="18"/>
                <w:lang w:val="es-AR"/>
              </w:rPr>
              <w:t>119.9</w:t>
            </w:r>
          </w:p>
        </w:tc>
        <w:tc>
          <w:tcPr>
            <w:tcW w:w="687" w:type="dxa"/>
          </w:tcPr>
          <w:p w14:paraId="2063208B" w14:textId="77777777" w:rsidR="00A12531" w:rsidRPr="00520FFC" w:rsidRDefault="00A12531" w:rsidP="00EA5FC4">
            <w:pPr>
              <w:spacing w:after="200" w:line="276" w:lineRule="auto"/>
              <w:rPr>
                <w:rFonts w:ascii="Times New Roman" w:hAnsi="Times New Roman" w:cs="Times New Roman"/>
                <w:color w:val="FF0000"/>
                <w:sz w:val="18"/>
                <w:szCs w:val="18"/>
                <w:lang w:val="es-AR"/>
              </w:rPr>
            </w:pPr>
            <w:r w:rsidRPr="00520FFC">
              <w:rPr>
                <w:rFonts w:ascii="Times New Roman" w:hAnsi="Times New Roman" w:cs="Times New Roman"/>
                <w:color w:val="FF0000"/>
                <w:sz w:val="18"/>
                <w:szCs w:val="18"/>
                <w:lang w:val="es-AR"/>
              </w:rPr>
              <w:t>20.58</w:t>
            </w:r>
          </w:p>
        </w:tc>
        <w:tc>
          <w:tcPr>
            <w:tcW w:w="793" w:type="dxa"/>
          </w:tcPr>
          <w:p w14:paraId="15E4273A"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14</w:t>
            </w:r>
          </w:p>
        </w:tc>
        <w:tc>
          <w:tcPr>
            <w:tcW w:w="625" w:type="dxa"/>
          </w:tcPr>
          <w:p w14:paraId="6CC18E6B"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FF0000"/>
                <w:sz w:val="18"/>
                <w:szCs w:val="18"/>
                <w:lang w:val="es-AR"/>
              </w:rPr>
              <w:t>0</w:t>
            </w:r>
          </w:p>
        </w:tc>
        <w:tc>
          <w:tcPr>
            <w:tcW w:w="748" w:type="dxa"/>
          </w:tcPr>
          <w:p w14:paraId="5881A178"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23.08</w:t>
            </w:r>
          </w:p>
        </w:tc>
        <w:tc>
          <w:tcPr>
            <w:tcW w:w="758" w:type="dxa"/>
          </w:tcPr>
          <w:p w14:paraId="001C6984"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r>
      <w:bookmarkEnd w:id="4"/>
      <w:tr w:rsidR="00A12531" w:rsidRPr="00520FFC" w14:paraId="146F1C9C" w14:textId="77777777" w:rsidTr="00BA2136">
        <w:trPr>
          <w:jc w:val="center"/>
        </w:trPr>
        <w:tc>
          <w:tcPr>
            <w:tcW w:w="9785" w:type="dxa"/>
            <w:gridSpan w:val="12"/>
            <w:shd w:val="clear" w:color="auto" w:fill="BFBFBF" w:themeFill="background1" w:themeFillShade="BF"/>
          </w:tcPr>
          <w:p w14:paraId="2D759F5A" w14:textId="77777777" w:rsidR="00A12531" w:rsidRPr="00520FFC" w:rsidRDefault="00A12531" w:rsidP="00EA5FC4">
            <w:pPr>
              <w:spacing w:after="200" w:line="276" w:lineRule="auto"/>
              <w:jc w:val="center"/>
              <w:rPr>
                <w:rFonts w:ascii="Times New Roman" w:hAnsi="Times New Roman" w:cs="Times New Roman"/>
                <w:color w:val="000000"/>
                <w:sz w:val="18"/>
                <w:szCs w:val="18"/>
              </w:rPr>
            </w:pPr>
            <w:r w:rsidRPr="00520FFC">
              <w:rPr>
                <w:rFonts w:ascii="Times New Roman" w:hAnsi="Times New Roman" w:cs="Times New Roman"/>
                <w:color w:val="000000"/>
                <w:sz w:val="18"/>
                <w:szCs w:val="18"/>
                <w:lang w:val="es-AR"/>
              </w:rPr>
              <w:t>Sociales</w:t>
            </w:r>
          </w:p>
        </w:tc>
      </w:tr>
      <w:tr w:rsidR="00A12531" w:rsidRPr="00520FFC" w14:paraId="0ED1FCBE" w14:textId="77777777" w:rsidTr="00BA2136">
        <w:trPr>
          <w:jc w:val="center"/>
        </w:trPr>
        <w:tc>
          <w:tcPr>
            <w:tcW w:w="1333" w:type="dxa"/>
          </w:tcPr>
          <w:p w14:paraId="05A94925"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Tasa Rotación</w:t>
            </w:r>
          </w:p>
        </w:tc>
        <w:tc>
          <w:tcPr>
            <w:tcW w:w="789" w:type="dxa"/>
          </w:tcPr>
          <w:p w14:paraId="4A67B3F5"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3.88%</w:t>
            </w:r>
          </w:p>
        </w:tc>
        <w:tc>
          <w:tcPr>
            <w:tcW w:w="790" w:type="dxa"/>
          </w:tcPr>
          <w:p w14:paraId="076F9B98"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1</w:t>
            </w:r>
          </w:p>
        </w:tc>
        <w:tc>
          <w:tcPr>
            <w:tcW w:w="911" w:type="dxa"/>
          </w:tcPr>
          <w:p w14:paraId="5FB0C4AC"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c>
          <w:tcPr>
            <w:tcW w:w="770" w:type="dxa"/>
          </w:tcPr>
          <w:p w14:paraId="1B75EC01" w14:textId="77777777" w:rsidR="00A12531" w:rsidRPr="00520FFC" w:rsidRDefault="00A12531" w:rsidP="00EA5FC4">
            <w:pPr>
              <w:spacing w:after="200" w:line="276" w:lineRule="auto"/>
              <w:rPr>
                <w:rFonts w:ascii="Times New Roman" w:hAnsi="Times New Roman" w:cs="Times New Roman"/>
                <w:color w:val="FF0000"/>
                <w:sz w:val="18"/>
                <w:szCs w:val="18"/>
              </w:rPr>
            </w:pPr>
            <w:r w:rsidRPr="00520FFC">
              <w:rPr>
                <w:rFonts w:ascii="Times New Roman" w:hAnsi="Times New Roman" w:cs="Times New Roman"/>
                <w:color w:val="FF0000"/>
                <w:sz w:val="18"/>
                <w:szCs w:val="18"/>
                <w:lang w:val="es-AR"/>
              </w:rPr>
              <w:t>11</w:t>
            </w:r>
          </w:p>
        </w:tc>
        <w:tc>
          <w:tcPr>
            <w:tcW w:w="770" w:type="dxa"/>
          </w:tcPr>
          <w:p w14:paraId="15EB9CF6" w14:textId="77777777" w:rsidR="00A12531" w:rsidRPr="00520FFC" w:rsidRDefault="00A12531" w:rsidP="00EA5FC4">
            <w:pPr>
              <w:spacing w:after="200" w:line="276" w:lineRule="auto"/>
              <w:rPr>
                <w:rFonts w:ascii="Times New Roman" w:hAnsi="Times New Roman" w:cs="Times New Roman"/>
                <w:color w:val="FF0000"/>
                <w:sz w:val="18"/>
                <w:szCs w:val="18"/>
                <w:lang w:val="es-AR"/>
              </w:rPr>
            </w:pPr>
            <w:r w:rsidRPr="00520FFC">
              <w:rPr>
                <w:rFonts w:ascii="Times New Roman" w:hAnsi="Times New Roman" w:cs="Times New Roman"/>
                <w:color w:val="FF0000"/>
                <w:sz w:val="18"/>
                <w:szCs w:val="18"/>
                <w:lang w:val="es-AR"/>
              </w:rPr>
              <w:t>3</w:t>
            </w:r>
          </w:p>
        </w:tc>
        <w:tc>
          <w:tcPr>
            <w:tcW w:w="811" w:type="dxa"/>
          </w:tcPr>
          <w:p w14:paraId="0AF13E7F" w14:textId="77777777" w:rsidR="00A12531" w:rsidRPr="00520FFC" w:rsidRDefault="00A12531" w:rsidP="00EA5FC4">
            <w:pPr>
              <w:spacing w:after="200" w:line="276" w:lineRule="auto"/>
              <w:rPr>
                <w:rFonts w:ascii="Times New Roman" w:hAnsi="Times New Roman" w:cs="Times New Roman"/>
                <w:color w:val="FF0000"/>
                <w:sz w:val="18"/>
                <w:szCs w:val="18"/>
              </w:rPr>
            </w:pPr>
            <w:r w:rsidRPr="00520FFC">
              <w:rPr>
                <w:rFonts w:ascii="Times New Roman" w:hAnsi="Times New Roman" w:cs="Times New Roman"/>
                <w:color w:val="000000"/>
                <w:sz w:val="18"/>
                <w:szCs w:val="18"/>
                <w:lang w:val="es-AR"/>
              </w:rPr>
              <w:t>7%</w:t>
            </w:r>
          </w:p>
        </w:tc>
        <w:tc>
          <w:tcPr>
            <w:tcW w:w="687" w:type="dxa"/>
          </w:tcPr>
          <w:p w14:paraId="63F7394B" w14:textId="77777777" w:rsidR="00A12531" w:rsidRPr="00520FFC" w:rsidRDefault="00A12531" w:rsidP="00EA5FC4">
            <w:pPr>
              <w:spacing w:after="200" w:line="276" w:lineRule="auto"/>
              <w:rPr>
                <w:rFonts w:ascii="Times New Roman" w:hAnsi="Times New Roman" w:cs="Times New Roman"/>
                <w:color w:val="FF0000"/>
                <w:sz w:val="18"/>
                <w:szCs w:val="18"/>
                <w:lang w:val="es-AR"/>
              </w:rPr>
            </w:pPr>
            <w:r w:rsidRPr="00520FFC">
              <w:rPr>
                <w:rFonts w:ascii="Times New Roman" w:hAnsi="Times New Roman" w:cs="Times New Roman"/>
                <w:color w:val="FF0000"/>
                <w:sz w:val="18"/>
                <w:szCs w:val="18"/>
                <w:lang w:val="es-AR"/>
              </w:rPr>
              <w:t>60</w:t>
            </w:r>
          </w:p>
        </w:tc>
        <w:tc>
          <w:tcPr>
            <w:tcW w:w="793" w:type="dxa"/>
          </w:tcPr>
          <w:p w14:paraId="1E5DE411" w14:textId="77777777" w:rsidR="00A12531" w:rsidRPr="00520FFC" w:rsidRDefault="00A12531" w:rsidP="00EA5FC4">
            <w:pPr>
              <w:spacing w:after="200" w:line="276" w:lineRule="auto"/>
              <w:rPr>
                <w:rFonts w:ascii="Times New Roman" w:hAnsi="Times New Roman" w:cs="Times New Roman"/>
                <w:color w:val="FF0000"/>
                <w:sz w:val="18"/>
                <w:szCs w:val="18"/>
                <w:lang w:val="es-AR"/>
              </w:rPr>
            </w:pPr>
            <w:r w:rsidRPr="00520FFC">
              <w:rPr>
                <w:rFonts w:ascii="Times New Roman" w:hAnsi="Times New Roman" w:cs="Times New Roman"/>
                <w:color w:val="FF0000"/>
                <w:sz w:val="18"/>
                <w:szCs w:val="18"/>
                <w:lang w:val="es-AR"/>
              </w:rPr>
              <w:t>20</w:t>
            </w:r>
          </w:p>
        </w:tc>
        <w:tc>
          <w:tcPr>
            <w:tcW w:w="625" w:type="dxa"/>
          </w:tcPr>
          <w:p w14:paraId="13031048"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c>
          <w:tcPr>
            <w:tcW w:w="748" w:type="dxa"/>
          </w:tcPr>
          <w:p w14:paraId="77946528"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c>
          <w:tcPr>
            <w:tcW w:w="758" w:type="dxa"/>
          </w:tcPr>
          <w:p w14:paraId="12F9A8EB"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r>
      <w:tr w:rsidR="00A12531" w:rsidRPr="00520FFC" w14:paraId="3CAF4B38" w14:textId="77777777" w:rsidTr="00BA2136">
        <w:trPr>
          <w:jc w:val="center"/>
        </w:trPr>
        <w:tc>
          <w:tcPr>
            <w:tcW w:w="1333" w:type="dxa"/>
          </w:tcPr>
          <w:p w14:paraId="28D9AF6F"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Valor marca ESG</w:t>
            </w:r>
          </w:p>
        </w:tc>
        <w:tc>
          <w:tcPr>
            <w:tcW w:w="789" w:type="dxa"/>
          </w:tcPr>
          <w:p w14:paraId="422C07D2" w14:textId="77777777" w:rsidR="00A12531" w:rsidRPr="00520FFC" w:rsidRDefault="00A12531" w:rsidP="00EA5FC4">
            <w:pPr>
              <w:spacing w:after="200" w:line="276" w:lineRule="auto"/>
              <w:jc w:val="center"/>
              <w:rPr>
                <w:rFonts w:ascii="Times New Roman" w:hAnsi="Times New Roman" w:cs="Times New Roman"/>
                <w:b/>
                <w:bCs/>
                <w:color w:val="000000"/>
                <w:sz w:val="18"/>
                <w:szCs w:val="18"/>
                <w:lang w:val="es-AR"/>
              </w:rPr>
            </w:pPr>
            <w:r w:rsidRPr="00520FFC">
              <w:rPr>
                <w:rFonts w:ascii="Times New Roman" w:hAnsi="Times New Roman" w:cs="Times New Roman"/>
                <w:b/>
                <w:bCs/>
                <w:color w:val="000000"/>
                <w:sz w:val="18"/>
                <w:szCs w:val="18"/>
                <w:lang w:val="es-AR"/>
              </w:rPr>
              <w:t>+</w:t>
            </w:r>
          </w:p>
        </w:tc>
        <w:tc>
          <w:tcPr>
            <w:tcW w:w="790" w:type="dxa"/>
          </w:tcPr>
          <w:p w14:paraId="2E34DC9B" w14:textId="77777777" w:rsidR="00A12531" w:rsidRPr="00520FFC" w:rsidRDefault="00A12531" w:rsidP="00EA5FC4">
            <w:pPr>
              <w:spacing w:after="200" w:line="276" w:lineRule="auto"/>
              <w:jc w:val="center"/>
              <w:rPr>
                <w:rFonts w:ascii="Times New Roman" w:hAnsi="Times New Roman" w:cs="Times New Roman"/>
                <w:color w:val="000000"/>
                <w:sz w:val="18"/>
                <w:szCs w:val="18"/>
                <w:lang w:val="es-AR"/>
              </w:rPr>
            </w:pPr>
            <w:r w:rsidRPr="00520FFC">
              <w:rPr>
                <w:rFonts w:ascii="Times New Roman" w:hAnsi="Times New Roman" w:cs="Times New Roman"/>
                <w:b/>
                <w:bCs/>
                <w:color w:val="000000"/>
                <w:sz w:val="18"/>
                <w:szCs w:val="18"/>
                <w:lang w:val="es-AR"/>
              </w:rPr>
              <w:t>+</w:t>
            </w:r>
          </w:p>
        </w:tc>
        <w:tc>
          <w:tcPr>
            <w:tcW w:w="911" w:type="dxa"/>
          </w:tcPr>
          <w:p w14:paraId="3CFFED91" w14:textId="77777777" w:rsidR="00A12531" w:rsidRPr="00520FFC" w:rsidRDefault="00A12531" w:rsidP="00EA5FC4">
            <w:pPr>
              <w:spacing w:after="200" w:line="276" w:lineRule="auto"/>
              <w:jc w:val="center"/>
              <w:rPr>
                <w:rFonts w:ascii="Times New Roman" w:hAnsi="Times New Roman" w:cs="Times New Roman"/>
                <w:color w:val="000000"/>
                <w:sz w:val="18"/>
                <w:szCs w:val="18"/>
                <w:lang w:val="es-AR"/>
              </w:rPr>
            </w:pPr>
            <w:r w:rsidRPr="00520FFC">
              <w:rPr>
                <w:rFonts w:ascii="Times New Roman" w:hAnsi="Times New Roman" w:cs="Times New Roman"/>
                <w:b/>
                <w:bCs/>
                <w:color w:val="000000"/>
                <w:sz w:val="18"/>
                <w:szCs w:val="18"/>
                <w:lang w:val="es-AR"/>
              </w:rPr>
              <w:t>+</w:t>
            </w:r>
          </w:p>
        </w:tc>
        <w:tc>
          <w:tcPr>
            <w:tcW w:w="770" w:type="dxa"/>
          </w:tcPr>
          <w:p w14:paraId="4149A38D" w14:textId="77777777" w:rsidR="00A12531" w:rsidRPr="00520FFC" w:rsidRDefault="00A12531" w:rsidP="00EA5FC4">
            <w:pPr>
              <w:spacing w:after="200" w:line="276" w:lineRule="auto"/>
              <w:jc w:val="center"/>
              <w:rPr>
                <w:rFonts w:ascii="Times New Roman" w:hAnsi="Times New Roman" w:cs="Times New Roman"/>
                <w:b/>
                <w:bCs/>
                <w:color w:val="000000"/>
                <w:sz w:val="18"/>
                <w:szCs w:val="18"/>
              </w:rPr>
            </w:pPr>
            <w:r w:rsidRPr="00520FFC">
              <w:rPr>
                <w:rFonts w:ascii="Times New Roman" w:hAnsi="Times New Roman" w:cs="Times New Roman"/>
                <w:b/>
                <w:bCs/>
                <w:color w:val="000000"/>
                <w:sz w:val="18"/>
                <w:szCs w:val="18"/>
                <w:lang w:val="es-AR"/>
              </w:rPr>
              <w:t>+</w:t>
            </w:r>
          </w:p>
        </w:tc>
        <w:tc>
          <w:tcPr>
            <w:tcW w:w="770" w:type="dxa"/>
          </w:tcPr>
          <w:p w14:paraId="411423D3" w14:textId="77777777" w:rsidR="00A12531" w:rsidRPr="00520FFC" w:rsidRDefault="00A12531" w:rsidP="00EA5FC4">
            <w:pPr>
              <w:spacing w:after="200" w:line="276" w:lineRule="auto"/>
              <w:jc w:val="center"/>
              <w:rPr>
                <w:rFonts w:ascii="Times New Roman" w:hAnsi="Times New Roman" w:cs="Times New Roman"/>
                <w:color w:val="000000"/>
                <w:sz w:val="18"/>
                <w:szCs w:val="18"/>
                <w:lang w:val="es-AR"/>
              </w:rPr>
            </w:pPr>
            <w:r w:rsidRPr="00520FFC">
              <w:rPr>
                <w:rFonts w:ascii="Times New Roman" w:hAnsi="Times New Roman" w:cs="Times New Roman"/>
                <w:b/>
                <w:bCs/>
                <w:color w:val="000000"/>
                <w:sz w:val="18"/>
                <w:szCs w:val="18"/>
                <w:lang w:val="es-AR"/>
              </w:rPr>
              <w:t>+</w:t>
            </w:r>
          </w:p>
        </w:tc>
        <w:tc>
          <w:tcPr>
            <w:tcW w:w="811" w:type="dxa"/>
          </w:tcPr>
          <w:p w14:paraId="3CAF3A0F" w14:textId="77777777" w:rsidR="00A12531" w:rsidRPr="00520FFC" w:rsidRDefault="00A12531" w:rsidP="00EA5FC4">
            <w:pPr>
              <w:spacing w:after="200" w:line="276" w:lineRule="auto"/>
              <w:jc w:val="center"/>
              <w:rPr>
                <w:rFonts w:ascii="Times New Roman" w:hAnsi="Times New Roman" w:cs="Times New Roman"/>
                <w:b/>
                <w:bCs/>
                <w:color w:val="000000"/>
                <w:sz w:val="18"/>
                <w:szCs w:val="18"/>
              </w:rPr>
            </w:pPr>
            <w:r w:rsidRPr="00520FFC">
              <w:rPr>
                <w:rFonts w:ascii="Times New Roman" w:hAnsi="Times New Roman" w:cs="Times New Roman"/>
                <w:b/>
                <w:bCs/>
                <w:color w:val="000000"/>
                <w:sz w:val="18"/>
                <w:szCs w:val="18"/>
                <w:lang w:val="es-AR"/>
              </w:rPr>
              <w:t>+</w:t>
            </w:r>
          </w:p>
        </w:tc>
        <w:tc>
          <w:tcPr>
            <w:tcW w:w="687" w:type="dxa"/>
          </w:tcPr>
          <w:p w14:paraId="29531436" w14:textId="77777777" w:rsidR="00A12531" w:rsidRPr="00520FFC" w:rsidRDefault="00A12531" w:rsidP="00EA5FC4">
            <w:pPr>
              <w:spacing w:after="200" w:line="276" w:lineRule="auto"/>
              <w:jc w:val="center"/>
              <w:rPr>
                <w:rFonts w:ascii="Times New Roman" w:hAnsi="Times New Roman" w:cs="Times New Roman"/>
                <w:color w:val="000000"/>
                <w:sz w:val="18"/>
                <w:szCs w:val="18"/>
                <w:lang w:val="es-AR"/>
              </w:rPr>
            </w:pPr>
            <w:r w:rsidRPr="00520FFC">
              <w:rPr>
                <w:rFonts w:ascii="Times New Roman" w:hAnsi="Times New Roman" w:cs="Times New Roman"/>
                <w:b/>
                <w:bCs/>
                <w:color w:val="000000"/>
                <w:sz w:val="18"/>
                <w:szCs w:val="18"/>
                <w:lang w:val="es-AR"/>
              </w:rPr>
              <w:t>+</w:t>
            </w:r>
          </w:p>
        </w:tc>
        <w:tc>
          <w:tcPr>
            <w:tcW w:w="793" w:type="dxa"/>
          </w:tcPr>
          <w:p w14:paraId="733B2F62" w14:textId="77777777" w:rsidR="00A12531" w:rsidRPr="00520FFC" w:rsidRDefault="00A12531" w:rsidP="00EA5FC4">
            <w:pPr>
              <w:spacing w:after="200" w:line="276" w:lineRule="auto"/>
              <w:jc w:val="center"/>
              <w:rPr>
                <w:rFonts w:ascii="Times New Roman" w:hAnsi="Times New Roman" w:cs="Times New Roman"/>
                <w:color w:val="000000"/>
                <w:sz w:val="18"/>
                <w:szCs w:val="18"/>
                <w:lang w:val="es-AR"/>
              </w:rPr>
            </w:pPr>
            <w:r w:rsidRPr="00520FFC">
              <w:rPr>
                <w:rFonts w:ascii="Times New Roman" w:hAnsi="Times New Roman" w:cs="Times New Roman"/>
                <w:b/>
                <w:bCs/>
                <w:color w:val="000000"/>
                <w:sz w:val="18"/>
                <w:szCs w:val="18"/>
                <w:lang w:val="es-AR"/>
              </w:rPr>
              <w:t>+</w:t>
            </w:r>
          </w:p>
        </w:tc>
        <w:tc>
          <w:tcPr>
            <w:tcW w:w="625" w:type="dxa"/>
          </w:tcPr>
          <w:p w14:paraId="4095C5A7" w14:textId="77777777" w:rsidR="00A12531" w:rsidRPr="00520FFC" w:rsidRDefault="00A12531" w:rsidP="00EA5FC4">
            <w:pPr>
              <w:spacing w:after="200" w:line="276" w:lineRule="auto"/>
              <w:jc w:val="center"/>
              <w:rPr>
                <w:rFonts w:ascii="Times New Roman" w:hAnsi="Times New Roman" w:cs="Times New Roman"/>
                <w:color w:val="000000"/>
                <w:sz w:val="18"/>
                <w:szCs w:val="18"/>
                <w:lang w:val="es-AR"/>
              </w:rPr>
            </w:pPr>
            <w:r w:rsidRPr="00520FFC">
              <w:rPr>
                <w:rFonts w:ascii="Times New Roman" w:hAnsi="Times New Roman" w:cs="Times New Roman"/>
                <w:b/>
                <w:bCs/>
                <w:color w:val="000000"/>
                <w:sz w:val="18"/>
                <w:szCs w:val="18"/>
                <w:lang w:val="es-AR"/>
              </w:rPr>
              <w:t>+</w:t>
            </w:r>
          </w:p>
        </w:tc>
        <w:tc>
          <w:tcPr>
            <w:tcW w:w="748" w:type="dxa"/>
          </w:tcPr>
          <w:p w14:paraId="4CCC65AB" w14:textId="77777777" w:rsidR="00A12531" w:rsidRPr="00520FFC" w:rsidRDefault="00A12531" w:rsidP="00EA5FC4">
            <w:pPr>
              <w:spacing w:after="200" w:line="276" w:lineRule="auto"/>
              <w:jc w:val="center"/>
              <w:rPr>
                <w:rFonts w:ascii="Times New Roman" w:hAnsi="Times New Roman" w:cs="Times New Roman"/>
                <w:color w:val="000000"/>
                <w:sz w:val="18"/>
                <w:szCs w:val="18"/>
                <w:lang w:val="es-AR"/>
              </w:rPr>
            </w:pPr>
            <w:r w:rsidRPr="00520FFC">
              <w:rPr>
                <w:rFonts w:ascii="Times New Roman" w:hAnsi="Times New Roman" w:cs="Times New Roman"/>
                <w:b/>
                <w:bCs/>
                <w:color w:val="000000"/>
                <w:sz w:val="18"/>
                <w:szCs w:val="18"/>
                <w:lang w:val="es-AR"/>
              </w:rPr>
              <w:t>+</w:t>
            </w:r>
          </w:p>
        </w:tc>
        <w:tc>
          <w:tcPr>
            <w:tcW w:w="758" w:type="dxa"/>
          </w:tcPr>
          <w:p w14:paraId="58652E55" w14:textId="77777777" w:rsidR="00A12531" w:rsidRPr="00520FFC" w:rsidRDefault="00A12531" w:rsidP="00EA5FC4">
            <w:pPr>
              <w:spacing w:after="200" w:line="276" w:lineRule="auto"/>
              <w:jc w:val="center"/>
              <w:rPr>
                <w:rFonts w:ascii="Times New Roman" w:hAnsi="Times New Roman" w:cs="Times New Roman"/>
                <w:color w:val="000000"/>
                <w:sz w:val="18"/>
                <w:szCs w:val="18"/>
                <w:lang w:val="es-AR"/>
              </w:rPr>
            </w:pPr>
            <w:r w:rsidRPr="00520FFC">
              <w:rPr>
                <w:rFonts w:ascii="Times New Roman" w:hAnsi="Times New Roman" w:cs="Times New Roman"/>
                <w:b/>
                <w:bCs/>
                <w:color w:val="000000"/>
                <w:sz w:val="18"/>
                <w:szCs w:val="18"/>
                <w:lang w:val="es-AR"/>
              </w:rPr>
              <w:t>+</w:t>
            </w:r>
          </w:p>
        </w:tc>
      </w:tr>
      <w:tr w:rsidR="00A12531" w:rsidRPr="00520FFC" w14:paraId="14C5A345" w14:textId="77777777" w:rsidTr="00BA2136">
        <w:trPr>
          <w:jc w:val="center"/>
        </w:trPr>
        <w:tc>
          <w:tcPr>
            <w:tcW w:w="1333" w:type="dxa"/>
          </w:tcPr>
          <w:p w14:paraId="2BE5831B"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RSE</w:t>
            </w:r>
          </w:p>
        </w:tc>
        <w:tc>
          <w:tcPr>
            <w:tcW w:w="789" w:type="dxa"/>
          </w:tcPr>
          <w:p w14:paraId="1EE35B88" w14:textId="77777777" w:rsidR="00A12531" w:rsidRPr="00520FFC" w:rsidRDefault="00A12531" w:rsidP="00EA5FC4">
            <w:pPr>
              <w:spacing w:after="200" w:line="276" w:lineRule="auto"/>
              <w:jc w:val="center"/>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w:t>
            </w:r>
          </w:p>
        </w:tc>
        <w:tc>
          <w:tcPr>
            <w:tcW w:w="790" w:type="dxa"/>
          </w:tcPr>
          <w:p w14:paraId="133B3724"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c>
          <w:tcPr>
            <w:tcW w:w="911" w:type="dxa"/>
          </w:tcPr>
          <w:p w14:paraId="61BF2589"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Valores</w:t>
            </w:r>
          </w:p>
        </w:tc>
        <w:tc>
          <w:tcPr>
            <w:tcW w:w="770" w:type="dxa"/>
          </w:tcPr>
          <w:p w14:paraId="7D0FE137" w14:textId="77777777" w:rsidR="00A12531" w:rsidRPr="00520FFC" w:rsidRDefault="00A12531" w:rsidP="00EA5FC4">
            <w:pPr>
              <w:spacing w:after="200" w:line="276" w:lineRule="auto"/>
              <w:jc w:val="center"/>
              <w:rPr>
                <w:rFonts w:ascii="Times New Roman" w:hAnsi="Times New Roman" w:cs="Times New Roman"/>
                <w:color w:val="000000"/>
                <w:sz w:val="18"/>
                <w:szCs w:val="18"/>
              </w:rPr>
            </w:pPr>
            <w:proofErr w:type="spellStart"/>
            <w:r w:rsidRPr="00520FFC">
              <w:rPr>
                <w:rFonts w:ascii="Times New Roman" w:hAnsi="Times New Roman" w:cs="Times New Roman"/>
                <w:color w:val="000000"/>
                <w:sz w:val="18"/>
                <w:szCs w:val="18"/>
                <w:lang w:val="es-AR"/>
              </w:rPr>
              <w:t>Cód.Ét</w:t>
            </w:r>
            <w:proofErr w:type="spellEnd"/>
            <w:r w:rsidRPr="00520FFC">
              <w:rPr>
                <w:rFonts w:ascii="Times New Roman" w:hAnsi="Times New Roman" w:cs="Times New Roman"/>
                <w:color w:val="000000"/>
                <w:sz w:val="18"/>
                <w:szCs w:val="18"/>
                <w:lang w:val="es-AR"/>
              </w:rPr>
              <w:t>.</w:t>
            </w:r>
          </w:p>
        </w:tc>
        <w:tc>
          <w:tcPr>
            <w:tcW w:w="770" w:type="dxa"/>
          </w:tcPr>
          <w:p w14:paraId="65400320" w14:textId="77777777" w:rsidR="00A12531" w:rsidRPr="00520FFC" w:rsidRDefault="00A12531" w:rsidP="00EA5FC4">
            <w:pPr>
              <w:spacing w:after="200" w:line="276" w:lineRule="auto"/>
              <w:jc w:val="center"/>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w:t>
            </w:r>
          </w:p>
        </w:tc>
        <w:tc>
          <w:tcPr>
            <w:tcW w:w="811" w:type="dxa"/>
          </w:tcPr>
          <w:p w14:paraId="63C4BE1C" w14:textId="77777777" w:rsidR="00A12531" w:rsidRPr="00520FFC" w:rsidRDefault="00A12531" w:rsidP="00EA5FC4">
            <w:pPr>
              <w:spacing w:after="200" w:line="276" w:lineRule="auto"/>
              <w:rPr>
                <w:rFonts w:ascii="Times New Roman" w:hAnsi="Times New Roman" w:cs="Times New Roman"/>
                <w:color w:val="000000"/>
                <w:sz w:val="18"/>
                <w:szCs w:val="18"/>
              </w:rPr>
            </w:pPr>
            <w:proofErr w:type="spellStart"/>
            <w:r w:rsidRPr="00520FFC">
              <w:rPr>
                <w:rFonts w:ascii="Times New Roman" w:hAnsi="Times New Roman" w:cs="Times New Roman"/>
                <w:color w:val="000000"/>
                <w:sz w:val="18"/>
                <w:szCs w:val="18"/>
                <w:lang w:val="es-AR"/>
              </w:rPr>
              <w:t>Cód.Ét</w:t>
            </w:r>
            <w:proofErr w:type="spellEnd"/>
            <w:r w:rsidRPr="00520FFC">
              <w:rPr>
                <w:rFonts w:ascii="Times New Roman" w:hAnsi="Times New Roman" w:cs="Times New Roman"/>
                <w:color w:val="000000"/>
                <w:sz w:val="18"/>
                <w:szCs w:val="18"/>
                <w:lang w:val="es-AR"/>
              </w:rPr>
              <w:t>.</w:t>
            </w:r>
          </w:p>
        </w:tc>
        <w:tc>
          <w:tcPr>
            <w:tcW w:w="687" w:type="dxa"/>
          </w:tcPr>
          <w:p w14:paraId="0DBE300F" w14:textId="77777777" w:rsidR="00A12531" w:rsidRPr="00520FFC" w:rsidRDefault="00A12531" w:rsidP="00EA5FC4">
            <w:pPr>
              <w:spacing w:after="200" w:line="276" w:lineRule="auto"/>
              <w:rPr>
                <w:rFonts w:ascii="Times New Roman" w:hAnsi="Times New Roman" w:cs="Times New Roman"/>
                <w:color w:val="000000"/>
                <w:sz w:val="18"/>
                <w:szCs w:val="18"/>
                <w:lang w:val="es-AR"/>
              </w:rPr>
            </w:pPr>
            <w:proofErr w:type="spellStart"/>
            <w:r w:rsidRPr="00520FFC">
              <w:rPr>
                <w:rFonts w:ascii="Times New Roman" w:hAnsi="Times New Roman" w:cs="Times New Roman"/>
                <w:color w:val="000000"/>
                <w:sz w:val="18"/>
                <w:szCs w:val="18"/>
                <w:lang w:val="es-AR"/>
              </w:rPr>
              <w:t>Cód.Et</w:t>
            </w:r>
            <w:proofErr w:type="spellEnd"/>
          </w:p>
        </w:tc>
        <w:tc>
          <w:tcPr>
            <w:tcW w:w="793" w:type="dxa"/>
          </w:tcPr>
          <w:p w14:paraId="54467AE7" w14:textId="77777777" w:rsidR="00A12531" w:rsidRPr="00520FFC" w:rsidRDefault="00A12531" w:rsidP="00EA5FC4">
            <w:pPr>
              <w:spacing w:after="200" w:line="276" w:lineRule="auto"/>
              <w:jc w:val="center"/>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Valores</w:t>
            </w:r>
          </w:p>
        </w:tc>
        <w:tc>
          <w:tcPr>
            <w:tcW w:w="625" w:type="dxa"/>
          </w:tcPr>
          <w:p w14:paraId="2EE5C663" w14:textId="77777777" w:rsidR="00A12531" w:rsidRPr="00520FFC" w:rsidRDefault="00A12531" w:rsidP="00EA5FC4">
            <w:pPr>
              <w:spacing w:after="200" w:line="276" w:lineRule="auto"/>
              <w:jc w:val="center"/>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Valores</w:t>
            </w:r>
          </w:p>
        </w:tc>
        <w:tc>
          <w:tcPr>
            <w:tcW w:w="748" w:type="dxa"/>
          </w:tcPr>
          <w:p w14:paraId="3FF88EF8" w14:textId="77777777" w:rsidR="00A12531" w:rsidRPr="00520FFC" w:rsidRDefault="00A12531" w:rsidP="00EA5FC4">
            <w:pPr>
              <w:spacing w:after="200" w:line="276" w:lineRule="auto"/>
              <w:jc w:val="center"/>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Valores</w:t>
            </w:r>
          </w:p>
        </w:tc>
        <w:tc>
          <w:tcPr>
            <w:tcW w:w="758" w:type="dxa"/>
          </w:tcPr>
          <w:p w14:paraId="3D91931D" w14:textId="77777777" w:rsidR="00A12531" w:rsidRPr="00520FFC" w:rsidRDefault="00A12531" w:rsidP="00EA5FC4">
            <w:pPr>
              <w:spacing w:after="200" w:line="276" w:lineRule="auto"/>
              <w:jc w:val="center"/>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Valores</w:t>
            </w:r>
          </w:p>
        </w:tc>
      </w:tr>
      <w:tr w:rsidR="00A12531" w:rsidRPr="00520FFC" w14:paraId="4B83AAA0" w14:textId="77777777" w:rsidTr="00BA2136">
        <w:trPr>
          <w:jc w:val="center"/>
        </w:trPr>
        <w:tc>
          <w:tcPr>
            <w:tcW w:w="1333" w:type="dxa"/>
          </w:tcPr>
          <w:p w14:paraId="7D153879" w14:textId="77777777" w:rsidR="00A12531" w:rsidRPr="00520FFC" w:rsidRDefault="00A12531" w:rsidP="00EA5FC4">
            <w:pPr>
              <w:spacing w:after="200" w:line="276" w:lineRule="auto"/>
              <w:rPr>
                <w:rFonts w:ascii="Times New Roman" w:hAnsi="Times New Roman" w:cs="Times New Roman"/>
                <w:color w:val="000000"/>
                <w:sz w:val="18"/>
                <w:szCs w:val="18"/>
                <w:lang w:val="es-AR"/>
              </w:rPr>
            </w:pPr>
            <w:proofErr w:type="spellStart"/>
            <w:r w:rsidRPr="00520FFC">
              <w:rPr>
                <w:rFonts w:ascii="Times New Roman" w:hAnsi="Times New Roman" w:cs="Times New Roman"/>
                <w:color w:val="000000"/>
                <w:sz w:val="18"/>
                <w:szCs w:val="18"/>
                <w:lang w:val="es-AR"/>
              </w:rPr>
              <w:lastRenderedPageBreak/>
              <w:t>Seg</w:t>
            </w:r>
            <w:proofErr w:type="spellEnd"/>
            <w:r w:rsidRPr="00520FFC">
              <w:rPr>
                <w:rFonts w:ascii="Times New Roman" w:hAnsi="Times New Roman" w:cs="Times New Roman"/>
                <w:color w:val="000000"/>
                <w:sz w:val="18"/>
                <w:szCs w:val="18"/>
                <w:lang w:val="es-AR"/>
              </w:rPr>
              <w:t>. e Higiene (Accidentes)</w:t>
            </w:r>
          </w:p>
        </w:tc>
        <w:tc>
          <w:tcPr>
            <w:tcW w:w="789" w:type="dxa"/>
          </w:tcPr>
          <w:p w14:paraId="322472D1"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21</w:t>
            </w:r>
          </w:p>
        </w:tc>
        <w:tc>
          <w:tcPr>
            <w:tcW w:w="790" w:type="dxa"/>
          </w:tcPr>
          <w:p w14:paraId="3B559551"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12</w:t>
            </w:r>
          </w:p>
        </w:tc>
        <w:tc>
          <w:tcPr>
            <w:tcW w:w="911" w:type="dxa"/>
          </w:tcPr>
          <w:p w14:paraId="5D4E12A6"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c>
          <w:tcPr>
            <w:tcW w:w="770" w:type="dxa"/>
          </w:tcPr>
          <w:p w14:paraId="172E5C6C"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FF0000"/>
                <w:sz w:val="18"/>
                <w:szCs w:val="18"/>
                <w:lang w:val="es-AR"/>
              </w:rPr>
              <w:t>1</w:t>
            </w:r>
          </w:p>
        </w:tc>
        <w:tc>
          <w:tcPr>
            <w:tcW w:w="770" w:type="dxa"/>
          </w:tcPr>
          <w:p w14:paraId="689C6736"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4</w:t>
            </w:r>
          </w:p>
        </w:tc>
        <w:tc>
          <w:tcPr>
            <w:tcW w:w="811" w:type="dxa"/>
          </w:tcPr>
          <w:p w14:paraId="53306380" w14:textId="77777777" w:rsidR="00A12531" w:rsidRPr="00520FFC" w:rsidRDefault="00A12531" w:rsidP="00EA5FC4">
            <w:pPr>
              <w:spacing w:after="200" w:line="276" w:lineRule="auto"/>
              <w:rPr>
                <w:rFonts w:ascii="Times New Roman" w:hAnsi="Times New Roman" w:cs="Times New Roman"/>
                <w:color w:val="FF0000"/>
                <w:sz w:val="18"/>
                <w:szCs w:val="18"/>
              </w:rPr>
            </w:pPr>
            <w:r w:rsidRPr="00520FFC">
              <w:rPr>
                <w:rFonts w:ascii="Times New Roman" w:hAnsi="Times New Roman" w:cs="Times New Roman"/>
                <w:color w:val="000000"/>
                <w:sz w:val="18"/>
                <w:szCs w:val="18"/>
                <w:lang w:val="es-AR"/>
              </w:rPr>
              <w:t>0</w:t>
            </w:r>
          </w:p>
        </w:tc>
        <w:tc>
          <w:tcPr>
            <w:tcW w:w="687" w:type="dxa"/>
          </w:tcPr>
          <w:p w14:paraId="0265FA06"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c>
          <w:tcPr>
            <w:tcW w:w="793" w:type="dxa"/>
          </w:tcPr>
          <w:p w14:paraId="1D356776"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64</w:t>
            </w:r>
          </w:p>
        </w:tc>
        <w:tc>
          <w:tcPr>
            <w:tcW w:w="625" w:type="dxa"/>
          </w:tcPr>
          <w:p w14:paraId="24CEE4F3"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0.35</w:t>
            </w:r>
          </w:p>
        </w:tc>
        <w:tc>
          <w:tcPr>
            <w:tcW w:w="748" w:type="dxa"/>
          </w:tcPr>
          <w:p w14:paraId="303208E8"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c>
          <w:tcPr>
            <w:tcW w:w="758" w:type="dxa"/>
          </w:tcPr>
          <w:p w14:paraId="0A8C82D4"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r>
      <w:tr w:rsidR="00A12531" w:rsidRPr="00520FFC" w14:paraId="7A5CC289" w14:textId="77777777" w:rsidTr="00BA2136">
        <w:trPr>
          <w:jc w:val="center"/>
        </w:trPr>
        <w:tc>
          <w:tcPr>
            <w:tcW w:w="1333" w:type="dxa"/>
          </w:tcPr>
          <w:p w14:paraId="15358B07"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 xml:space="preserve">Tasa </w:t>
            </w:r>
            <w:proofErr w:type="spellStart"/>
            <w:proofErr w:type="gramStart"/>
            <w:r w:rsidRPr="00520FFC">
              <w:rPr>
                <w:rFonts w:ascii="Times New Roman" w:hAnsi="Times New Roman" w:cs="Times New Roman"/>
                <w:color w:val="000000"/>
                <w:sz w:val="18"/>
                <w:szCs w:val="18"/>
                <w:lang w:val="es-AR"/>
              </w:rPr>
              <w:t>Prod</w:t>
            </w:r>
            <w:proofErr w:type="spellEnd"/>
            <w:r w:rsidRPr="00520FFC">
              <w:rPr>
                <w:rFonts w:ascii="Times New Roman" w:hAnsi="Times New Roman" w:cs="Times New Roman"/>
                <w:color w:val="000000"/>
                <w:sz w:val="18"/>
                <w:szCs w:val="18"/>
                <w:lang w:val="es-AR"/>
              </w:rPr>
              <w:t>./</w:t>
            </w:r>
            <w:proofErr w:type="gramEnd"/>
            <w:r w:rsidRPr="00520FFC">
              <w:rPr>
                <w:rFonts w:ascii="Times New Roman" w:hAnsi="Times New Roman" w:cs="Times New Roman"/>
                <w:color w:val="000000"/>
                <w:sz w:val="18"/>
                <w:szCs w:val="18"/>
                <w:lang w:val="es-AR"/>
              </w:rPr>
              <w:t>Usuario</w:t>
            </w:r>
          </w:p>
        </w:tc>
        <w:tc>
          <w:tcPr>
            <w:tcW w:w="789" w:type="dxa"/>
          </w:tcPr>
          <w:p w14:paraId="42234949"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c>
          <w:tcPr>
            <w:tcW w:w="790" w:type="dxa"/>
          </w:tcPr>
          <w:p w14:paraId="5EBF42C5"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275</w:t>
            </w:r>
          </w:p>
        </w:tc>
        <w:tc>
          <w:tcPr>
            <w:tcW w:w="911" w:type="dxa"/>
          </w:tcPr>
          <w:p w14:paraId="6A7163D1"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c>
          <w:tcPr>
            <w:tcW w:w="770" w:type="dxa"/>
          </w:tcPr>
          <w:p w14:paraId="1B0F4A7B"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FF0000"/>
                <w:sz w:val="18"/>
                <w:szCs w:val="18"/>
                <w:lang w:val="es-AR"/>
              </w:rPr>
              <w:t>16</w:t>
            </w:r>
          </w:p>
        </w:tc>
        <w:tc>
          <w:tcPr>
            <w:tcW w:w="770" w:type="dxa"/>
          </w:tcPr>
          <w:p w14:paraId="34A90655"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12</w:t>
            </w:r>
          </w:p>
        </w:tc>
        <w:tc>
          <w:tcPr>
            <w:tcW w:w="811" w:type="dxa"/>
          </w:tcPr>
          <w:p w14:paraId="5364C6D1" w14:textId="77777777" w:rsidR="00A12531" w:rsidRPr="00520FFC" w:rsidRDefault="00A12531" w:rsidP="00EA5FC4">
            <w:pPr>
              <w:spacing w:after="200" w:line="276" w:lineRule="auto"/>
              <w:rPr>
                <w:rFonts w:ascii="Times New Roman" w:hAnsi="Times New Roman" w:cs="Times New Roman"/>
                <w:color w:val="FF0000"/>
                <w:sz w:val="18"/>
                <w:szCs w:val="18"/>
              </w:rPr>
            </w:pPr>
            <w:r w:rsidRPr="00520FFC">
              <w:rPr>
                <w:rFonts w:ascii="Times New Roman" w:hAnsi="Times New Roman" w:cs="Times New Roman"/>
                <w:color w:val="000000"/>
                <w:sz w:val="18"/>
                <w:szCs w:val="18"/>
                <w:lang w:val="es-AR"/>
              </w:rPr>
              <w:t>167</w:t>
            </w:r>
          </w:p>
        </w:tc>
        <w:tc>
          <w:tcPr>
            <w:tcW w:w="687" w:type="dxa"/>
          </w:tcPr>
          <w:p w14:paraId="5C2C14E5"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187</w:t>
            </w:r>
          </w:p>
        </w:tc>
        <w:tc>
          <w:tcPr>
            <w:tcW w:w="793" w:type="dxa"/>
          </w:tcPr>
          <w:p w14:paraId="222A6E49"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14</w:t>
            </w:r>
          </w:p>
        </w:tc>
        <w:tc>
          <w:tcPr>
            <w:tcW w:w="625" w:type="dxa"/>
          </w:tcPr>
          <w:p w14:paraId="50D598DF"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c>
          <w:tcPr>
            <w:tcW w:w="748" w:type="dxa"/>
          </w:tcPr>
          <w:p w14:paraId="2D567F40"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c>
          <w:tcPr>
            <w:tcW w:w="758" w:type="dxa"/>
          </w:tcPr>
          <w:p w14:paraId="6A5C84BA"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r>
      <w:tr w:rsidR="00A12531" w:rsidRPr="00520FFC" w14:paraId="15ADB294" w14:textId="77777777" w:rsidTr="00BA2136">
        <w:trPr>
          <w:jc w:val="center"/>
        </w:trPr>
        <w:tc>
          <w:tcPr>
            <w:tcW w:w="1333" w:type="dxa"/>
          </w:tcPr>
          <w:p w14:paraId="53A00258" w14:textId="77777777" w:rsidR="00A12531" w:rsidRPr="00520FFC" w:rsidRDefault="00A12531" w:rsidP="00EA5FC4">
            <w:pPr>
              <w:spacing w:line="276" w:lineRule="auto"/>
              <w:rPr>
                <w:rFonts w:ascii="Times New Roman" w:hAnsi="Times New Roman" w:cs="Times New Roman"/>
                <w:sz w:val="18"/>
                <w:szCs w:val="18"/>
                <w:lang w:val="es-AR"/>
              </w:rPr>
            </w:pPr>
            <w:r w:rsidRPr="00520FFC">
              <w:rPr>
                <w:rFonts w:ascii="Times New Roman" w:hAnsi="Times New Roman" w:cs="Times New Roman"/>
                <w:sz w:val="18"/>
                <w:szCs w:val="18"/>
                <w:lang w:val="es-AR"/>
              </w:rPr>
              <w:t>Innovación abierta</w:t>
            </w:r>
          </w:p>
        </w:tc>
        <w:tc>
          <w:tcPr>
            <w:tcW w:w="789" w:type="dxa"/>
          </w:tcPr>
          <w:p w14:paraId="3C86DE7C" w14:textId="77777777" w:rsidR="00A12531" w:rsidRPr="00520FFC" w:rsidRDefault="00A12531" w:rsidP="00EA5FC4">
            <w:pPr>
              <w:spacing w:line="276" w:lineRule="auto"/>
              <w:rPr>
                <w:rFonts w:ascii="Times New Roman" w:hAnsi="Times New Roman" w:cs="Times New Roman"/>
                <w:sz w:val="18"/>
                <w:szCs w:val="18"/>
                <w:lang w:val="es-AR"/>
              </w:rPr>
            </w:pPr>
            <w:r w:rsidRPr="00520FFC">
              <w:rPr>
                <w:rFonts w:ascii="Times New Roman" w:hAnsi="Times New Roman" w:cs="Times New Roman"/>
                <w:sz w:val="18"/>
                <w:szCs w:val="18"/>
                <w:lang w:val="es-AR"/>
              </w:rPr>
              <w:t>Si 4 programas</w:t>
            </w:r>
          </w:p>
        </w:tc>
        <w:tc>
          <w:tcPr>
            <w:tcW w:w="790" w:type="dxa"/>
          </w:tcPr>
          <w:p w14:paraId="1D11FFD5" w14:textId="77777777" w:rsidR="00A12531" w:rsidRPr="00520FFC" w:rsidRDefault="00A12531" w:rsidP="00EA5FC4">
            <w:pPr>
              <w:spacing w:line="276" w:lineRule="auto"/>
              <w:rPr>
                <w:rFonts w:ascii="Times New Roman" w:hAnsi="Times New Roman" w:cs="Times New Roman"/>
                <w:sz w:val="18"/>
                <w:szCs w:val="18"/>
                <w:lang w:val="es-AR"/>
              </w:rPr>
            </w:pPr>
            <w:r w:rsidRPr="00520FFC">
              <w:rPr>
                <w:rFonts w:ascii="Times New Roman" w:hAnsi="Times New Roman" w:cs="Times New Roman"/>
                <w:sz w:val="18"/>
                <w:szCs w:val="18"/>
                <w:lang w:val="es-AR"/>
              </w:rPr>
              <w:t>Si 2 programas</w:t>
            </w:r>
          </w:p>
        </w:tc>
        <w:tc>
          <w:tcPr>
            <w:tcW w:w="911" w:type="dxa"/>
          </w:tcPr>
          <w:p w14:paraId="56905E7A" w14:textId="0C325EBA" w:rsidR="00A12531" w:rsidRPr="00520FFC" w:rsidRDefault="00A12531" w:rsidP="00EA5FC4">
            <w:pPr>
              <w:spacing w:line="276" w:lineRule="auto"/>
              <w:rPr>
                <w:rFonts w:ascii="Times New Roman" w:hAnsi="Times New Roman" w:cs="Times New Roman"/>
                <w:sz w:val="18"/>
                <w:szCs w:val="18"/>
                <w:lang w:val="es-AR"/>
              </w:rPr>
            </w:pPr>
            <w:r w:rsidRPr="00520FFC">
              <w:rPr>
                <w:rFonts w:ascii="Times New Roman" w:hAnsi="Times New Roman" w:cs="Times New Roman"/>
                <w:sz w:val="18"/>
                <w:szCs w:val="18"/>
                <w:lang w:val="es-AR"/>
              </w:rPr>
              <w:t>No</w:t>
            </w:r>
            <w:r w:rsidR="000D039F" w:rsidRPr="00520FFC">
              <w:rPr>
                <w:rFonts w:ascii="Times New Roman" w:hAnsi="Times New Roman" w:cs="Times New Roman"/>
                <w:sz w:val="18"/>
                <w:szCs w:val="18"/>
                <w:lang w:val="es-AR"/>
              </w:rPr>
              <w:t xml:space="preserve"> </w:t>
            </w:r>
            <w:r w:rsidRPr="00520FFC">
              <w:rPr>
                <w:rFonts w:ascii="Times New Roman" w:hAnsi="Times New Roman" w:cs="Times New Roman"/>
                <w:sz w:val="18"/>
                <w:szCs w:val="18"/>
                <w:lang w:val="es-AR"/>
              </w:rPr>
              <w:t>define</w:t>
            </w:r>
          </w:p>
        </w:tc>
        <w:tc>
          <w:tcPr>
            <w:tcW w:w="770" w:type="dxa"/>
          </w:tcPr>
          <w:p w14:paraId="7B854ED3" w14:textId="77777777" w:rsidR="00A12531" w:rsidRPr="00520FFC" w:rsidRDefault="00A12531" w:rsidP="00EA5FC4">
            <w:pPr>
              <w:spacing w:line="276" w:lineRule="auto"/>
              <w:rPr>
                <w:rFonts w:ascii="Times New Roman" w:hAnsi="Times New Roman" w:cs="Times New Roman"/>
                <w:sz w:val="18"/>
                <w:szCs w:val="18"/>
              </w:rPr>
            </w:pPr>
            <w:r w:rsidRPr="00520FFC">
              <w:rPr>
                <w:rFonts w:ascii="Times New Roman" w:hAnsi="Times New Roman" w:cs="Times New Roman"/>
                <w:sz w:val="18"/>
                <w:szCs w:val="18"/>
                <w:lang w:val="es-AR"/>
              </w:rPr>
              <w:t>Si posee 2 programas</w:t>
            </w:r>
          </w:p>
        </w:tc>
        <w:tc>
          <w:tcPr>
            <w:tcW w:w="770" w:type="dxa"/>
          </w:tcPr>
          <w:p w14:paraId="442DF30E" w14:textId="77777777" w:rsidR="00A12531" w:rsidRPr="00520FFC" w:rsidRDefault="00A12531" w:rsidP="00EA5FC4">
            <w:pPr>
              <w:spacing w:line="276" w:lineRule="auto"/>
              <w:rPr>
                <w:rFonts w:ascii="Times New Roman" w:hAnsi="Times New Roman" w:cs="Times New Roman"/>
                <w:sz w:val="18"/>
                <w:szCs w:val="18"/>
                <w:lang w:val="es-AR"/>
              </w:rPr>
            </w:pPr>
            <w:r w:rsidRPr="00520FFC">
              <w:rPr>
                <w:rFonts w:ascii="Times New Roman" w:hAnsi="Times New Roman" w:cs="Times New Roman"/>
                <w:sz w:val="18"/>
                <w:szCs w:val="18"/>
                <w:lang w:val="es-AR"/>
              </w:rPr>
              <w:t>No define</w:t>
            </w:r>
          </w:p>
        </w:tc>
        <w:tc>
          <w:tcPr>
            <w:tcW w:w="811" w:type="dxa"/>
          </w:tcPr>
          <w:p w14:paraId="31D24A69" w14:textId="77777777" w:rsidR="00A12531" w:rsidRPr="00520FFC" w:rsidRDefault="00A12531" w:rsidP="00EA5FC4">
            <w:pPr>
              <w:spacing w:line="276" w:lineRule="auto"/>
              <w:rPr>
                <w:rFonts w:ascii="Times New Roman" w:hAnsi="Times New Roman" w:cs="Times New Roman"/>
                <w:sz w:val="18"/>
                <w:szCs w:val="18"/>
              </w:rPr>
            </w:pPr>
            <w:r w:rsidRPr="00520FFC">
              <w:rPr>
                <w:rFonts w:ascii="Times New Roman" w:hAnsi="Times New Roman" w:cs="Times New Roman"/>
                <w:sz w:val="18"/>
                <w:szCs w:val="18"/>
                <w:lang w:val="es-AR"/>
              </w:rPr>
              <w:t>Si con Startup</w:t>
            </w:r>
          </w:p>
        </w:tc>
        <w:tc>
          <w:tcPr>
            <w:tcW w:w="687" w:type="dxa"/>
          </w:tcPr>
          <w:p w14:paraId="6B7D6E51" w14:textId="0368CD95" w:rsidR="00A12531" w:rsidRPr="00520FFC" w:rsidRDefault="00A12531" w:rsidP="00EA5FC4">
            <w:pPr>
              <w:spacing w:line="276" w:lineRule="auto"/>
              <w:rPr>
                <w:rFonts w:ascii="Times New Roman" w:hAnsi="Times New Roman" w:cs="Times New Roman"/>
                <w:sz w:val="18"/>
                <w:szCs w:val="18"/>
                <w:lang w:val="es-AR"/>
              </w:rPr>
            </w:pPr>
            <w:r w:rsidRPr="00520FFC">
              <w:rPr>
                <w:rFonts w:ascii="Times New Roman" w:hAnsi="Times New Roman" w:cs="Times New Roman"/>
                <w:sz w:val="18"/>
                <w:szCs w:val="18"/>
                <w:lang w:val="es-AR"/>
              </w:rPr>
              <w:t xml:space="preserve">Si </w:t>
            </w:r>
            <w:r w:rsidR="000D039F" w:rsidRPr="00520FFC">
              <w:rPr>
                <w:rFonts w:ascii="Times New Roman" w:hAnsi="Times New Roman" w:cs="Times New Roman"/>
                <w:sz w:val="18"/>
                <w:szCs w:val="18"/>
                <w:lang w:val="es-AR"/>
              </w:rPr>
              <w:t>múltiples</w:t>
            </w:r>
            <w:r w:rsidRPr="00520FFC">
              <w:rPr>
                <w:rFonts w:ascii="Times New Roman" w:hAnsi="Times New Roman" w:cs="Times New Roman"/>
                <w:sz w:val="18"/>
                <w:szCs w:val="18"/>
                <w:lang w:val="es-AR"/>
              </w:rPr>
              <w:t xml:space="preserve"> programas</w:t>
            </w:r>
          </w:p>
        </w:tc>
        <w:tc>
          <w:tcPr>
            <w:tcW w:w="793" w:type="dxa"/>
          </w:tcPr>
          <w:p w14:paraId="45FE00E7" w14:textId="77777777" w:rsidR="00A12531" w:rsidRPr="00520FFC" w:rsidRDefault="00A12531" w:rsidP="00EA5FC4">
            <w:pPr>
              <w:spacing w:line="276" w:lineRule="auto"/>
              <w:rPr>
                <w:rFonts w:ascii="Times New Roman" w:hAnsi="Times New Roman" w:cs="Times New Roman"/>
                <w:sz w:val="18"/>
                <w:szCs w:val="18"/>
                <w:lang w:val="es-AR"/>
              </w:rPr>
            </w:pPr>
            <w:r w:rsidRPr="00520FFC">
              <w:rPr>
                <w:rFonts w:ascii="Times New Roman" w:hAnsi="Times New Roman" w:cs="Times New Roman"/>
                <w:sz w:val="18"/>
                <w:szCs w:val="18"/>
                <w:lang w:val="es-AR"/>
              </w:rPr>
              <w:t xml:space="preserve">Si poseen </w:t>
            </w:r>
          </w:p>
        </w:tc>
        <w:tc>
          <w:tcPr>
            <w:tcW w:w="625" w:type="dxa"/>
          </w:tcPr>
          <w:p w14:paraId="3C7571EA" w14:textId="77777777" w:rsidR="00A12531" w:rsidRPr="00520FFC" w:rsidRDefault="00A12531" w:rsidP="00EA5FC4">
            <w:pPr>
              <w:spacing w:line="276" w:lineRule="auto"/>
              <w:rPr>
                <w:rFonts w:ascii="Times New Roman" w:hAnsi="Times New Roman" w:cs="Times New Roman"/>
                <w:sz w:val="18"/>
                <w:szCs w:val="18"/>
                <w:lang w:val="es-AR"/>
              </w:rPr>
            </w:pPr>
            <w:r w:rsidRPr="00520FFC">
              <w:rPr>
                <w:rFonts w:ascii="Times New Roman" w:hAnsi="Times New Roman" w:cs="Times New Roman"/>
                <w:sz w:val="18"/>
                <w:szCs w:val="18"/>
                <w:lang w:val="es-AR"/>
              </w:rPr>
              <w:t>No define</w:t>
            </w:r>
          </w:p>
        </w:tc>
        <w:tc>
          <w:tcPr>
            <w:tcW w:w="748" w:type="dxa"/>
          </w:tcPr>
          <w:p w14:paraId="009FE93D" w14:textId="77777777" w:rsidR="00A12531" w:rsidRPr="00520FFC" w:rsidRDefault="00A12531" w:rsidP="00EA5FC4">
            <w:pPr>
              <w:spacing w:line="276" w:lineRule="auto"/>
              <w:rPr>
                <w:rFonts w:ascii="Times New Roman" w:hAnsi="Times New Roman" w:cs="Times New Roman"/>
                <w:sz w:val="18"/>
                <w:szCs w:val="18"/>
                <w:lang w:val="es-AR"/>
              </w:rPr>
            </w:pPr>
            <w:r w:rsidRPr="00520FFC">
              <w:rPr>
                <w:rFonts w:ascii="Times New Roman" w:hAnsi="Times New Roman" w:cs="Times New Roman"/>
                <w:sz w:val="18"/>
                <w:szCs w:val="18"/>
                <w:lang w:val="es-AR"/>
              </w:rPr>
              <w:t>Si posee</w:t>
            </w:r>
          </w:p>
        </w:tc>
        <w:tc>
          <w:tcPr>
            <w:tcW w:w="758" w:type="dxa"/>
          </w:tcPr>
          <w:p w14:paraId="11C38ABA" w14:textId="77777777" w:rsidR="00A12531" w:rsidRPr="00520FFC" w:rsidRDefault="00A12531" w:rsidP="00EA5FC4">
            <w:pPr>
              <w:spacing w:line="276" w:lineRule="auto"/>
              <w:rPr>
                <w:rFonts w:ascii="Times New Roman" w:hAnsi="Times New Roman" w:cs="Times New Roman"/>
                <w:sz w:val="18"/>
                <w:szCs w:val="18"/>
                <w:lang w:val="es-AR"/>
              </w:rPr>
            </w:pPr>
            <w:r w:rsidRPr="00520FFC">
              <w:rPr>
                <w:rFonts w:ascii="Times New Roman" w:hAnsi="Times New Roman" w:cs="Times New Roman"/>
                <w:sz w:val="18"/>
                <w:szCs w:val="18"/>
                <w:lang w:val="es-AR"/>
              </w:rPr>
              <w:t>Si posee</w:t>
            </w:r>
          </w:p>
        </w:tc>
      </w:tr>
      <w:tr w:rsidR="00A12531" w:rsidRPr="00520FFC" w14:paraId="347B250E" w14:textId="77777777" w:rsidTr="00BA2136">
        <w:trPr>
          <w:jc w:val="center"/>
        </w:trPr>
        <w:tc>
          <w:tcPr>
            <w:tcW w:w="9785" w:type="dxa"/>
            <w:gridSpan w:val="12"/>
            <w:shd w:val="clear" w:color="auto" w:fill="BFBFBF" w:themeFill="background1" w:themeFillShade="BF"/>
          </w:tcPr>
          <w:p w14:paraId="43A88ECD" w14:textId="77777777" w:rsidR="00A12531" w:rsidRPr="00520FFC" w:rsidRDefault="00A12531" w:rsidP="00EA5FC4">
            <w:pPr>
              <w:spacing w:after="200" w:line="276" w:lineRule="auto"/>
              <w:jc w:val="center"/>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Gobernanza</w:t>
            </w:r>
          </w:p>
        </w:tc>
      </w:tr>
      <w:tr w:rsidR="00A12531" w:rsidRPr="00520FFC" w14:paraId="05BBC88E" w14:textId="77777777" w:rsidTr="00BA2136">
        <w:trPr>
          <w:jc w:val="center"/>
        </w:trPr>
        <w:tc>
          <w:tcPr>
            <w:tcW w:w="1333" w:type="dxa"/>
          </w:tcPr>
          <w:p w14:paraId="73494C52" w14:textId="2DDBEF29"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Ratio Solv</w:t>
            </w:r>
            <w:r w:rsidR="007B59A2" w:rsidRPr="00520FFC">
              <w:rPr>
                <w:rFonts w:ascii="Times New Roman" w:hAnsi="Times New Roman" w:cs="Times New Roman"/>
                <w:color w:val="000000"/>
                <w:sz w:val="18"/>
                <w:szCs w:val="18"/>
                <w:lang w:val="es-AR"/>
              </w:rPr>
              <w:t>encia</w:t>
            </w:r>
          </w:p>
        </w:tc>
        <w:tc>
          <w:tcPr>
            <w:tcW w:w="789" w:type="dxa"/>
          </w:tcPr>
          <w:p w14:paraId="5E01D581"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164</w:t>
            </w:r>
          </w:p>
        </w:tc>
        <w:tc>
          <w:tcPr>
            <w:tcW w:w="790" w:type="dxa"/>
          </w:tcPr>
          <w:p w14:paraId="0768AF7A"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110</w:t>
            </w:r>
          </w:p>
        </w:tc>
        <w:tc>
          <w:tcPr>
            <w:tcW w:w="911" w:type="dxa"/>
          </w:tcPr>
          <w:p w14:paraId="5620873A"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11</w:t>
            </w:r>
          </w:p>
        </w:tc>
        <w:tc>
          <w:tcPr>
            <w:tcW w:w="770" w:type="dxa"/>
          </w:tcPr>
          <w:p w14:paraId="38F0A6D8"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000000"/>
                <w:sz w:val="18"/>
                <w:szCs w:val="18"/>
                <w:lang w:val="es-AR"/>
              </w:rPr>
              <w:t>43</w:t>
            </w:r>
          </w:p>
        </w:tc>
        <w:tc>
          <w:tcPr>
            <w:tcW w:w="770" w:type="dxa"/>
          </w:tcPr>
          <w:p w14:paraId="033D8018"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37.79</w:t>
            </w:r>
          </w:p>
        </w:tc>
        <w:tc>
          <w:tcPr>
            <w:tcW w:w="811" w:type="dxa"/>
          </w:tcPr>
          <w:p w14:paraId="6967C11A"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000000"/>
                <w:sz w:val="18"/>
                <w:szCs w:val="18"/>
                <w:lang w:val="es-AR"/>
              </w:rPr>
              <w:t>59</w:t>
            </w:r>
          </w:p>
        </w:tc>
        <w:tc>
          <w:tcPr>
            <w:tcW w:w="687" w:type="dxa"/>
          </w:tcPr>
          <w:p w14:paraId="4C67FEFA"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FF0000"/>
                <w:sz w:val="18"/>
                <w:szCs w:val="18"/>
                <w:lang w:val="es-AR"/>
              </w:rPr>
              <w:t>10</w:t>
            </w:r>
          </w:p>
        </w:tc>
        <w:tc>
          <w:tcPr>
            <w:tcW w:w="793" w:type="dxa"/>
          </w:tcPr>
          <w:p w14:paraId="4CADA951"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43</w:t>
            </w:r>
          </w:p>
        </w:tc>
        <w:tc>
          <w:tcPr>
            <w:tcW w:w="625" w:type="dxa"/>
          </w:tcPr>
          <w:p w14:paraId="3D4562DD" w14:textId="77777777" w:rsidR="00A12531" w:rsidRPr="00520FFC" w:rsidRDefault="00A12531" w:rsidP="00EA5FC4">
            <w:pPr>
              <w:spacing w:after="200" w:line="276" w:lineRule="auto"/>
              <w:rPr>
                <w:rFonts w:ascii="Times New Roman" w:hAnsi="Times New Roman" w:cs="Times New Roman"/>
                <w:color w:val="FF0000"/>
                <w:sz w:val="18"/>
                <w:szCs w:val="18"/>
                <w:lang w:val="es-AR"/>
              </w:rPr>
            </w:pPr>
            <w:r w:rsidRPr="00520FFC">
              <w:rPr>
                <w:rFonts w:ascii="Times New Roman" w:hAnsi="Times New Roman" w:cs="Times New Roman"/>
                <w:color w:val="FF0000"/>
                <w:sz w:val="18"/>
                <w:szCs w:val="18"/>
                <w:lang w:val="es-AR"/>
              </w:rPr>
              <w:t>3.86</w:t>
            </w:r>
          </w:p>
        </w:tc>
        <w:tc>
          <w:tcPr>
            <w:tcW w:w="748" w:type="dxa"/>
          </w:tcPr>
          <w:p w14:paraId="29EE9B58"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2.81</w:t>
            </w:r>
          </w:p>
        </w:tc>
        <w:tc>
          <w:tcPr>
            <w:tcW w:w="758" w:type="dxa"/>
          </w:tcPr>
          <w:p w14:paraId="41CA3764" w14:textId="77777777" w:rsidR="00A12531" w:rsidRPr="00520FFC" w:rsidRDefault="00A12531" w:rsidP="00EA5FC4">
            <w:pPr>
              <w:spacing w:after="200" w:line="276" w:lineRule="auto"/>
              <w:rPr>
                <w:rFonts w:ascii="Times New Roman" w:hAnsi="Times New Roman" w:cs="Times New Roman"/>
                <w:color w:val="FF0000"/>
                <w:sz w:val="18"/>
                <w:szCs w:val="18"/>
                <w:lang w:val="es-AR"/>
              </w:rPr>
            </w:pPr>
            <w:r w:rsidRPr="00520FFC">
              <w:rPr>
                <w:rFonts w:ascii="Times New Roman" w:hAnsi="Times New Roman" w:cs="Times New Roman"/>
                <w:color w:val="FF0000"/>
                <w:sz w:val="18"/>
                <w:szCs w:val="18"/>
                <w:lang w:val="es-AR"/>
              </w:rPr>
              <w:t>8</w:t>
            </w:r>
          </w:p>
        </w:tc>
      </w:tr>
      <w:tr w:rsidR="00A12531" w:rsidRPr="00520FFC" w14:paraId="70CA4364" w14:textId="77777777" w:rsidTr="00BA2136">
        <w:trPr>
          <w:jc w:val="center"/>
        </w:trPr>
        <w:tc>
          <w:tcPr>
            <w:tcW w:w="1333" w:type="dxa"/>
          </w:tcPr>
          <w:p w14:paraId="10099F2B" w14:textId="6972CFDC"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Rend</w:t>
            </w:r>
            <w:r w:rsidR="007B59A2" w:rsidRPr="00520FFC">
              <w:rPr>
                <w:rFonts w:ascii="Times New Roman" w:hAnsi="Times New Roman" w:cs="Times New Roman"/>
                <w:color w:val="000000"/>
                <w:sz w:val="18"/>
                <w:szCs w:val="18"/>
                <w:lang w:val="es-AR"/>
              </w:rPr>
              <w:t>imiento por Acción</w:t>
            </w:r>
          </w:p>
        </w:tc>
        <w:tc>
          <w:tcPr>
            <w:tcW w:w="789" w:type="dxa"/>
          </w:tcPr>
          <w:p w14:paraId="5C2BF535"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c>
          <w:tcPr>
            <w:tcW w:w="790" w:type="dxa"/>
          </w:tcPr>
          <w:p w14:paraId="1D6AE220" w14:textId="77777777" w:rsidR="00A12531" w:rsidRPr="00520FFC" w:rsidRDefault="00A12531" w:rsidP="00EA5FC4">
            <w:pPr>
              <w:spacing w:after="200" w:line="276" w:lineRule="auto"/>
              <w:rPr>
                <w:rFonts w:ascii="Times New Roman" w:hAnsi="Times New Roman" w:cs="Times New Roman"/>
                <w:color w:val="000000"/>
                <w:sz w:val="18"/>
                <w:szCs w:val="18"/>
                <w:lang w:val="es-AR"/>
              </w:rPr>
            </w:pPr>
          </w:p>
        </w:tc>
        <w:tc>
          <w:tcPr>
            <w:tcW w:w="911" w:type="dxa"/>
          </w:tcPr>
          <w:p w14:paraId="2871A05F"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30</w:t>
            </w:r>
          </w:p>
        </w:tc>
        <w:tc>
          <w:tcPr>
            <w:tcW w:w="770" w:type="dxa"/>
          </w:tcPr>
          <w:p w14:paraId="2A221F93"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000000"/>
                <w:sz w:val="18"/>
                <w:szCs w:val="18"/>
                <w:lang w:val="es-AR"/>
              </w:rPr>
              <w:t>204</w:t>
            </w:r>
          </w:p>
        </w:tc>
        <w:tc>
          <w:tcPr>
            <w:tcW w:w="770" w:type="dxa"/>
          </w:tcPr>
          <w:p w14:paraId="7A2213AE"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1151</w:t>
            </w:r>
          </w:p>
        </w:tc>
        <w:tc>
          <w:tcPr>
            <w:tcW w:w="811" w:type="dxa"/>
          </w:tcPr>
          <w:p w14:paraId="0859ECC8"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000000"/>
                <w:sz w:val="18"/>
                <w:szCs w:val="18"/>
                <w:lang w:val="es-AR"/>
              </w:rPr>
              <w:t>258</w:t>
            </w:r>
          </w:p>
        </w:tc>
        <w:tc>
          <w:tcPr>
            <w:tcW w:w="687" w:type="dxa"/>
          </w:tcPr>
          <w:p w14:paraId="7CDD5DCA"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57.69</w:t>
            </w:r>
          </w:p>
        </w:tc>
        <w:tc>
          <w:tcPr>
            <w:tcW w:w="793" w:type="dxa"/>
          </w:tcPr>
          <w:p w14:paraId="536403DF"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204</w:t>
            </w:r>
          </w:p>
        </w:tc>
        <w:tc>
          <w:tcPr>
            <w:tcW w:w="625" w:type="dxa"/>
          </w:tcPr>
          <w:p w14:paraId="3EF554A8" w14:textId="77777777" w:rsidR="00A12531" w:rsidRPr="00520FFC" w:rsidRDefault="00A12531" w:rsidP="00EA5FC4">
            <w:pPr>
              <w:spacing w:after="200" w:line="276" w:lineRule="auto"/>
              <w:rPr>
                <w:rFonts w:ascii="Times New Roman" w:hAnsi="Times New Roman" w:cs="Times New Roman"/>
                <w:color w:val="FF0000"/>
                <w:sz w:val="18"/>
                <w:szCs w:val="18"/>
                <w:lang w:val="es-AR"/>
              </w:rPr>
            </w:pPr>
            <w:r w:rsidRPr="00520FFC">
              <w:rPr>
                <w:rFonts w:ascii="Times New Roman" w:hAnsi="Times New Roman" w:cs="Times New Roman"/>
                <w:color w:val="FF0000"/>
                <w:sz w:val="18"/>
                <w:szCs w:val="18"/>
                <w:lang w:val="es-AR"/>
              </w:rPr>
              <w:t>41.9</w:t>
            </w:r>
          </w:p>
        </w:tc>
        <w:tc>
          <w:tcPr>
            <w:tcW w:w="748" w:type="dxa"/>
          </w:tcPr>
          <w:p w14:paraId="64BD9848"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28.58</w:t>
            </w:r>
          </w:p>
        </w:tc>
        <w:tc>
          <w:tcPr>
            <w:tcW w:w="758" w:type="dxa"/>
          </w:tcPr>
          <w:p w14:paraId="5887E788" w14:textId="77777777" w:rsidR="00A12531" w:rsidRPr="00520FFC" w:rsidRDefault="00A12531" w:rsidP="00EA5FC4">
            <w:pPr>
              <w:spacing w:after="200" w:line="276" w:lineRule="auto"/>
              <w:rPr>
                <w:rFonts w:ascii="Times New Roman" w:hAnsi="Times New Roman" w:cs="Times New Roman"/>
                <w:color w:val="FF0000"/>
                <w:sz w:val="18"/>
                <w:szCs w:val="18"/>
                <w:lang w:val="es-AR"/>
              </w:rPr>
            </w:pPr>
            <w:r w:rsidRPr="00520FFC">
              <w:rPr>
                <w:rFonts w:ascii="Times New Roman" w:hAnsi="Times New Roman" w:cs="Times New Roman"/>
                <w:color w:val="FF0000"/>
                <w:sz w:val="18"/>
                <w:szCs w:val="18"/>
                <w:lang w:val="es-AR"/>
              </w:rPr>
              <w:t>50.12</w:t>
            </w:r>
          </w:p>
        </w:tc>
      </w:tr>
      <w:tr w:rsidR="00A12531" w:rsidRPr="00520FFC" w14:paraId="12473933" w14:textId="77777777" w:rsidTr="00BA2136">
        <w:trPr>
          <w:jc w:val="center"/>
        </w:trPr>
        <w:tc>
          <w:tcPr>
            <w:tcW w:w="1333" w:type="dxa"/>
          </w:tcPr>
          <w:p w14:paraId="1A883E41"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ROI</w:t>
            </w:r>
          </w:p>
        </w:tc>
        <w:tc>
          <w:tcPr>
            <w:tcW w:w="789" w:type="dxa"/>
          </w:tcPr>
          <w:p w14:paraId="77C8FEE1"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7.8</w:t>
            </w:r>
          </w:p>
        </w:tc>
        <w:tc>
          <w:tcPr>
            <w:tcW w:w="790" w:type="dxa"/>
          </w:tcPr>
          <w:p w14:paraId="74E6F193"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284</w:t>
            </w:r>
          </w:p>
        </w:tc>
        <w:tc>
          <w:tcPr>
            <w:tcW w:w="911" w:type="dxa"/>
          </w:tcPr>
          <w:p w14:paraId="5ACE8DB6"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41</w:t>
            </w:r>
          </w:p>
        </w:tc>
        <w:tc>
          <w:tcPr>
            <w:tcW w:w="770" w:type="dxa"/>
          </w:tcPr>
          <w:p w14:paraId="411F5BF4"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000000"/>
                <w:sz w:val="18"/>
                <w:szCs w:val="18"/>
                <w:lang w:val="es-AR"/>
              </w:rPr>
              <w:t>15.81</w:t>
            </w:r>
          </w:p>
        </w:tc>
        <w:tc>
          <w:tcPr>
            <w:tcW w:w="770" w:type="dxa"/>
          </w:tcPr>
          <w:p w14:paraId="6B177B80"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29.76</w:t>
            </w:r>
          </w:p>
        </w:tc>
        <w:tc>
          <w:tcPr>
            <w:tcW w:w="811" w:type="dxa"/>
          </w:tcPr>
          <w:p w14:paraId="7EE9D1DC"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000000"/>
                <w:sz w:val="18"/>
                <w:szCs w:val="18"/>
                <w:lang w:val="es-AR"/>
              </w:rPr>
              <w:t>491</w:t>
            </w:r>
          </w:p>
        </w:tc>
        <w:tc>
          <w:tcPr>
            <w:tcW w:w="687" w:type="dxa"/>
          </w:tcPr>
          <w:p w14:paraId="6B24E892"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c>
          <w:tcPr>
            <w:tcW w:w="793" w:type="dxa"/>
          </w:tcPr>
          <w:p w14:paraId="01FB086D"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103</w:t>
            </w:r>
          </w:p>
        </w:tc>
        <w:tc>
          <w:tcPr>
            <w:tcW w:w="625" w:type="dxa"/>
          </w:tcPr>
          <w:p w14:paraId="167EF9EB" w14:textId="77777777" w:rsidR="00A12531" w:rsidRPr="00520FFC" w:rsidRDefault="00A12531" w:rsidP="00EA5FC4">
            <w:pPr>
              <w:spacing w:after="200" w:line="276" w:lineRule="auto"/>
              <w:rPr>
                <w:rFonts w:ascii="Times New Roman" w:hAnsi="Times New Roman" w:cs="Times New Roman"/>
                <w:color w:val="FF0000"/>
                <w:sz w:val="18"/>
                <w:szCs w:val="18"/>
                <w:lang w:val="es-AR"/>
              </w:rPr>
            </w:pPr>
            <w:r w:rsidRPr="00520FFC">
              <w:rPr>
                <w:rFonts w:ascii="Times New Roman" w:hAnsi="Times New Roman" w:cs="Times New Roman"/>
                <w:color w:val="FF0000"/>
                <w:sz w:val="18"/>
                <w:szCs w:val="18"/>
                <w:lang w:val="es-AR"/>
              </w:rPr>
              <w:t>77.2</w:t>
            </w:r>
          </w:p>
        </w:tc>
        <w:tc>
          <w:tcPr>
            <w:tcW w:w="748" w:type="dxa"/>
          </w:tcPr>
          <w:p w14:paraId="20466851"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11.58</w:t>
            </w:r>
          </w:p>
        </w:tc>
        <w:tc>
          <w:tcPr>
            <w:tcW w:w="758" w:type="dxa"/>
          </w:tcPr>
          <w:p w14:paraId="481CC1E5"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1.79</w:t>
            </w:r>
          </w:p>
        </w:tc>
      </w:tr>
      <w:tr w:rsidR="00A12531" w:rsidRPr="00520FFC" w14:paraId="6A9D36BE" w14:textId="77777777" w:rsidTr="00BA2136">
        <w:trPr>
          <w:trHeight w:val="637"/>
          <w:jc w:val="center"/>
        </w:trPr>
        <w:tc>
          <w:tcPr>
            <w:tcW w:w="1333" w:type="dxa"/>
          </w:tcPr>
          <w:p w14:paraId="636E00FB"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Cotización Acción</w:t>
            </w:r>
          </w:p>
        </w:tc>
        <w:tc>
          <w:tcPr>
            <w:tcW w:w="789" w:type="dxa"/>
          </w:tcPr>
          <w:p w14:paraId="0E287620"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42.4</w:t>
            </w:r>
          </w:p>
        </w:tc>
        <w:tc>
          <w:tcPr>
            <w:tcW w:w="790" w:type="dxa"/>
          </w:tcPr>
          <w:p w14:paraId="41487467"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127</w:t>
            </w:r>
          </w:p>
        </w:tc>
        <w:tc>
          <w:tcPr>
            <w:tcW w:w="911" w:type="dxa"/>
          </w:tcPr>
          <w:p w14:paraId="13A677E6"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27</w:t>
            </w:r>
          </w:p>
        </w:tc>
        <w:tc>
          <w:tcPr>
            <w:tcW w:w="770" w:type="dxa"/>
          </w:tcPr>
          <w:p w14:paraId="74527C48"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000000"/>
                <w:sz w:val="18"/>
                <w:szCs w:val="18"/>
                <w:lang w:val="es-AR"/>
              </w:rPr>
              <w:t>61.54</w:t>
            </w:r>
          </w:p>
        </w:tc>
        <w:tc>
          <w:tcPr>
            <w:tcW w:w="770" w:type="dxa"/>
          </w:tcPr>
          <w:p w14:paraId="1B76CC2C"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267</w:t>
            </w:r>
          </w:p>
        </w:tc>
        <w:tc>
          <w:tcPr>
            <w:tcW w:w="811" w:type="dxa"/>
          </w:tcPr>
          <w:p w14:paraId="37836AC2" w14:textId="77777777" w:rsidR="00A12531" w:rsidRPr="00520FFC" w:rsidRDefault="00A12531" w:rsidP="00EA5FC4">
            <w:pPr>
              <w:spacing w:after="200" w:line="276" w:lineRule="auto"/>
              <w:rPr>
                <w:rFonts w:ascii="Times New Roman" w:hAnsi="Times New Roman" w:cs="Times New Roman"/>
                <w:color w:val="000000"/>
                <w:sz w:val="18"/>
                <w:szCs w:val="18"/>
              </w:rPr>
            </w:pPr>
            <w:r w:rsidRPr="00520FFC">
              <w:rPr>
                <w:rFonts w:ascii="Times New Roman" w:hAnsi="Times New Roman" w:cs="Times New Roman"/>
                <w:color w:val="000000"/>
                <w:sz w:val="18"/>
                <w:szCs w:val="18"/>
                <w:lang w:val="es-AR"/>
              </w:rPr>
              <w:t>178</w:t>
            </w:r>
          </w:p>
        </w:tc>
        <w:tc>
          <w:tcPr>
            <w:tcW w:w="687" w:type="dxa"/>
          </w:tcPr>
          <w:p w14:paraId="47A365D9"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69</w:t>
            </w:r>
          </w:p>
        </w:tc>
        <w:tc>
          <w:tcPr>
            <w:tcW w:w="793" w:type="dxa"/>
          </w:tcPr>
          <w:p w14:paraId="628719B6"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S/D</w:t>
            </w:r>
          </w:p>
        </w:tc>
        <w:tc>
          <w:tcPr>
            <w:tcW w:w="625" w:type="dxa"/>
          </w:tcPr>
          <w:p w14:paraId="73F239D3" w14:textId="77777777" w:rsidR="00A12531" w:rsidRPr="00520FFC" w:rsidRDefault="00A12531" w:rsidP="00EA5FC4">
            <w:pPr>
              <w:spacing w:after="200" w:line="276" w:lineRule="auto"/>
              <w:rPr>
                <w:rFonts w:ascii="Times New Roman" w:hAnsi="Times New Roman" w:cs="Times New Roman"/>
                <w:color w:val="FF0000"/>
                <w:sz w:val="18"/>
                <w:szCs w:val="18"/>
                <w:lang w:val="es-AR"/>
              </w:rPr>
            </w:pPr>
            <w:r w:rsidRPr="00520FFC">
              <w:rPr>
                <w:rFonts w:ascii="Times New Roman" w:hAnsi="Times New Roman" w:cs="Times New Roman"/>
                <w:color w:val="FF0000"/>
                <w:sz w:val="18"/>
                <w:szCs w:val="18"/>
                <w:lang w:val="es-AR"/>
              </w:rPr>
              <w:t>77.8</w:t>
            </w:r>
          </w:p>
          <w:p w14:paraId="2EA14445" w14:textId="77777777" w:rsidR="00A12531" w:rsidRPr="00520FFC" w:rsidRDefault="00A12531" w:rsidP="00EA5FC4">
            <w:pPr>
              <w:spacing w:after="200" w:line="276" w:lineRule="auto"/>
              <w:rPr>
                <w:rFonts w:ascii="Times New Roman" w:hAnsi="Times New Roman" w:cs="Times New Roman"/>
                <w:color w:val="FF0000"/>
                <w:sz w:val="18"/>
                <w:szCs w:val="18"/>
                <w:lang w:val="es-AR"/>
              </w:rPr>
            </w:pPr>
          </w:p>
        </w:tc>
        <w:tc>
          <w:tcPr>
            <w:tcW w:w="748" w:type="dxa"/>
          </w:tcPr>
          <w:p w14:paraId="7BC4E534"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25.76</w:t>
            </w:r>
          </w:p>
        </w:tc>
        <w:tc>
          <w:tcPr>
            <w:tcW w:w="758" w:type="dxa"/>
          </w:tcPr>
          <w:p w14:paraId="4B99E96F" w14:textId="77777777" w:rsidR="00A12531" w:rsidRPr="00520FFC" w:rsidRDefault="00A12531" w:rsidP="00EA5FC4">
            <w:pPr>
              <w:spacing w:after="200" w:line="276" w:lineRule="auto"/>
              <w:rPr>
                <w:rFonts w:ascii="Times New Roman" w:hAnsi="Times New Roman" w:cs="Times New Roman"/>
                <w:color w:val="000000"/>
                <w:sz w:val="18"/>
                <w:szCs w:val="18"/>
                <w:lang w:val="es-AR"/>
              </w:rPr>
            </w:pPr>
            <w:r w:rsidRPr="00520FFC">
              <w:rPr>
                <w:rFonts w:ascii="Times New Roman" w:hAnsi="Times New Roman" w:cs="Times New Roman"/>
                <w:color w:val="000000"/>
                <w:sz w:val="18"/>
                <w:szCs w:val="18"/>
                <w:lang w:val="es-AR"/>
              </w:rPr>
              <w:t>3.14</w:t>
            </w:r>
          </w:p>
        </w:tc>
      </w:tr>
    </w:tbl>
    <w:bookmarkEnd w:id="3"/>
    <w:p w14:paraId="2C49F4AF" w14:textId="48C1716D" w:rsidR="00A12531" w:rsidRPr="00EA5FC4" w:rsidRDefault="00A12531" w:rsidP="00EA5FC4">
      <w:pPr>
        <w:spacing w:line="276" w:lineRule="auto"/>
        <w:ind w:firstLine="284"/>
        <w:rPr>
          <w:rFonts w:ascii="Times New Roman" w:hAnsi="Times New Roman" w:cs="Times New Roman"/>
          <w:sz w:val="24"/>
          <w:szCs w:val="24"/>
        </w:rPr>
      </w:pPr>
      <w:r w:rsidRPr="00EA5FC4">
        <w:rPr>
          <w:rFonts w:ascii="Times New Roman" w:hAnsi="Times New Roman" w:cs="Times New Roman"/>
          <w:sz w:val="24"/>
          <w:szCs w:val="24"/>
        </w:rPr>
        <w:t>Fuente: Elaboración propi</w:t>
      </w:r>
      <w:r w:rsidR="000A6E25" w:rsidRPr="00EA5FC4">
        <w:rPr>
          <w:rFonts w:ascii="Times New Roman" w:hAnsi="Times New Roman" w:cs="Times New Roman"/>
          <w:sz w:val="24"/>
          <w:szCs w:val="24"/>
        </w:rPr>
        <w:t>a</w:t>
      </w:r>
    </w:p>
    <w:p w14:paraId="2595FC9E" w14:textId="6A9590B2" w:rsidR="000D039F" w:rsidRPr="00EA5FC4" w:rsidRDefault="000A6E25" w:rsidP="00EA5FC4">
      <w:pPr>
        <w:spacing w:after="0" w:line="276" w:lineRule="auto"/>
        <w:jc w:val="both"/>
        <w:rPr>
          <w:rFonts w:ascii="Times New Roman" w:eastAsia="Arial" w:hAnsi="Times New Roman" w:cs="Times New Roman"/>
          <w:b/>
          <w:bCs/>
          <w:sz w:val="24"/>
          <w:szCs w:val="24"/>
          <w:lang w:val="es-MX" w:eastAsia="es-AR"/>
        </w:rPr>
      </w:pPr>
      <w:r w:rsidRPr="00EA5FC4">
        <w:rPr>
          <w:rFonts w:ascii="Times New Roman" w:eastAsia="Arial" w:hAnsi="Times New Roman" w:cs="Times New Roman"/>
          <w:b/>
          <w:bCs/>
          <w:sz w:val="24"/>
          <w:szCs w:val="24"/>
          <w:lang w:val="es-MX" w:eastAsia="es-AR"/>
        </w:rPr>
        <w:t>7. Resultados</w:t>
      </w:r>
    </w:p>
    <w:p w14:paraId="745681CB" w14:textId="7949976E" w:rsidR="00A12531" w:rsidRPr="00EA5FC4" w:rsidRDefault="00A12531" w:rsidP="00EA5FC4">
      <w:pPr>
        <w:spacing w:after="0" w:line="276" w:lineRule="auto"/>
        <w:jc w:val="both"/>
        <w:rPr>
          <w:rFonts w:ascii="Times New Roman" w:eastAsia="Arial" w:hAnsi="Times New Roman" w:cs="Times New Roman"/>
          <w:sz w:val="24"/>
          <w:szCs w:val="24"/>
          <w:lang w:val="es-MX" w:eastAsia="es-AR"/>
        </w:rPr>
      </w:pPr>
      <w:r w:rsidRPr="00EA5FC4">
        <w:rPr>
          <w:rFonts w:ascii="Times New Roman" w:eastAsia="Arial" w:hAnsi="Times New Roman" w:cs="Times New Roman"/>
          <w:sz w:val="24"/>
          <w:szCs w:val="24"/>
          <w:lang w:val="es-MX" w:eastAsia="es-AR"/>
        </w:rPr>
        <w:t xml:space="preserve">El Tablero de Control BSCS con diferentes </w:t>
      </w:r>
      <w:proofErr w:type="spellStart"/>
      <w:r w:rsidRPr="00EA5FC4">
        <w:rPr>
          <w:rFonts w:ascii="Times New Roman" w:eastAsia="Arial" w:hAnsi="Times New Roman" w:cs="Times New Roman"/>
          <w:sz w:val="24"/>
          <w:szCs w:val="24"/>
          <w:lang w:val="es-MX" w:eastAsia="es-AR"/>
        </w:rPr>
        <w:t>KPIs</w:t>
      </w:r>
      <w:proofErr w:type="spellEnd"/>
      <w:r w:rsidRPr="00EA5FC4">
        <w:rPr>
          <w:rFonts w:ascii="Times New Roman" w:eastAsia="Arial" w:hAnsi="Times New Roman" w:cs="Times New Roman"/>
          <w:sz w:val="24"/>
          <w:szCs w:val="24"/>
          <w:lang w:val="es-MX" w:eastAsia="es-AR"/>
        </w:rPr>
        <w:t xml:space="preserve"> apoyados en diferentes informes sustentables, y los Balances de las empresas permitió identificar indicadores claves, creíbles y confiables al momento de evaluar una decisión de inversión por parte de los inversores. </w:t>
      </w:r>
    </w:p>
    <w:p w14:paraId="1743578A" w14:textId="77777777" w:rsidR="000A6E25" w:rsidRPr="00EA5FC4" w:rsidRDefault="000A6E25" w:rsidP="00EA5FC4">
      <w:pPr>
        <w:spacing w:after="0" w:line="276" w:lineRule="auto"/>
        <w:jc w:val="both"/>
        <w:rPr>
          <w:rFonts w:ascii="Times New Roman" w:eastAsia="Arial" w:hAnsi="Times New Roman" w:cs="Times New Roman"/>
          <w:sz w:val="24"/>
          <w:szCs w:val="24"/>
          <w:lang w:val="es" w:eastAsia="es-AR"/>
        </w:rPr>
      </w:pPr>
    </w:p>
    <w:tbl>
      <w:tblPr>
        <w:tblpPr w:leftFromText="141" w:rightFromText="141" w:horzAnchor="page" w:tblpX="1" w:tblpY="-1413"/>
        <w:tblW w:w="31680" w:type="dxa"/>
        <w:tblCellMar>
          <w:left w:w="70" w:type="dxa"/>
          <w:right w:w="70" w:type="dxa"/>
        </w:tblCellMar>
        <w:tblLook w:val="04A0" w:firstRow="1" w:lastRow="0" w:firstColumn="1" w:lastColumn="0" w:noHBand="0" w:noVBand="1"/>
      </w:tblPr>
      <w:tblGrid>
        <w:gridCol w:w="24943"/>
        <w:gridCol w:w="846"/>
        <w:gridCol w:w="844"/>
        <w:gridCol w:w="845"/>
        <w:gridCol w:w="846"/>
        <w:gridCol w:w="846"/>
        <w:gridCol w:w="846"/>
        <w:gridCol w:w="886"/>
        <w:gridCol w:w="778"/>
      </w:tblGrid>
      <w:tr w:rsidR="00A12531" w:rsidRPr="00EA5FC4" w14:paraId="00DA356D" w14:textId="77777777" w:rsidTr="00BA2136">
        <w:trPr>
          <w:trHeight w:val="300"/>
        </w:trPr>
        <w:tc>
          <w:tcPr>
            <w:tcW w:w="24943" w:type="dxa"/>
            <w:tcBorders>
              <w:top w:val="nil"/>
              <w:left w:val="nil"/>
              <w:bottom w:val="nil"/>
              <w:right w:val="nil"/>
            </w:tcBorders>
            <w:noWrap/>
            <w:vAlign w:val="bottom"/>
          </w:tcPr>
          <w:p w14:paraId="35BE2CA0" w14:textId="77777777" w:rsidR="00A12531" w:rsidRPr="00EA5FC4" w:rsidRDefault="00A12531" w:rsidP="00EA5FC4">
            <w:pPr>
              <w:tabs>
                <w:tab w:val="left" w:pos="284"/>
              </w:tabs>
              <w:spacing w:before="100" w:beforeAutospacing="1" w:after="100" w:afterAutospacing="1" w:line="276" w:lineRule="auto"/>
              <w:jc w:val="both"/>
              <w:rPr>
                <w:rFonts w:ascii="Times New Roman" w:eastAsia="Times New Roman" w:hAnsi="Times New Roman" w:cs="Times New Roman"/>
                <w:color w:val="000000"/>
                <w:sz w:val="24"/>
                <w:szCs w:val="24"/>
                <w:lang w:eastAsia="es-AR"/>
              </w:rPr>
            </w:pPr>
          </w:p>
        </w:tc>
        <w:tc>
          <w:tcPr>
            <w:tcW w:w="846" w:type="dxa"/>
            <w:tcBorders>
              <w:top w:val="nil"/>
              <w:left w:val="nil"/>
              <w:bottom w:val="nil"/>
              <w:right w:val="nil"/>
            </w:tcBorders>
            <w:noWrap/>
            <w:vAlign w:val="bottom"/>
          </w:tcPr>
          <w:p w14:paraId="5BC2D4E8" w14:textId="77777777" w:rsidR="00A12531" w:rsidRPr="00EA5FC4" w:rsidRDefault="00A12531" w:rsidP="00EA5FC4">
            <w:pPr>
              <w:tabs>
                <w:tab w:val="left" w:pos="284"/>
              </w:tabs>
              <w:spacing w:before="100" w:beforeAutospacing="1" w:after="100" w:afterAutospacing="1" w:line="276" w:lineRule="auto"/>
              <w:jc w:val="both"/>
              <w:rPr>
                <w:rFonts w:ascii="Times New Roman" w:eastAsia="Times New Roman" w:hAnsi="Times New Roman" w:cs="Times New Roman"/>
                <w:color w:val="FF0000"/>
                <w:sz w:val="24"/>
                <w:szCs w:val="24"/>
                <w:lang w:eastAsia="es-AR"/>
              </w:rPr>
            </w:pPr>
          </w:p>
        </w:tc>
        <w:tc>
          <w:tcPr>
            <w:tcW w:w="844" w:type="dxa"/>
            <w:tcBorders>
              <w:top w:val="nil"/>
              <w:left w:val="nil"/>
              <w:bottom w:val="nil"/>
              <w:right w:val="nil"/>
            </w:tcBorders>
            <w:noWrap/>
            <w:vAlign w:val="bottom"/>
          </w:tcPr>
          <w:p w14:paraId="5C6EBFDE" w14:textId="77777777" w:rsidR="00A12531" w:rsidRPr="00EA5FC4" w:rsidRDefault="00A12531" w:rsidP="00EA5FC4">
            <w:pPr>
              <w:tabs>
                <w:tab w:val="left" w:pos="284"/>
              </w:tabs>
              <w:spacing w:before="100" w:beforeAutospacing="1" w:after="100" w:afterAutospacing="1" w:line="276" w:lineRule="auto"/>
              <w:jc w:val="both"/>
              <w:rPr>
                <w:rFonts w:ascii="Times New Roman" w:eastAsia="Times New Roman" w:hAnsi="Times New Roman" w:cs="Times New Roman"/>
                <w:color w:val="70AD47"/>
                <w:sz w:val="24"/>
                <w:szCs w:val="24"/>
                <w:lang w:eastAsia="es-AR"/>
              </w:rPr>
            </w:pPr>
          </w:p>
        </w:tc>
        <w:tc>
          <w:tcPr>
            <w:tcW w:w="845" w:type="dxa"/>
            <w:tcBorders>
              <w:top w:val="nil"/>
              <w:left w:val="nil"/>
              <w:bottom w:val="nil"/>
              <w:right w:val="nil"/>
            </w:tcBorders>
            <w:noWrap/>
            <w:vAlign w:val="bottom"/>
          </w:tcPr>
          <w:p w14:paraId="1FC37D98" w14:textId="77777777" w:rsidR="00A12531" w:rsidRPr="00EA5FC4" w:rsidRDefault="00A12531" w:rsidP="00EA5FC4">
            <w:pPr>
              <w:tabs>
                <w:tab w:val="left" w:pos="284"/>
              </w:tabs>
              <w:spacing w:before="100" w:beforeAutospacing="1" w:after="100" w:afterAutospacing="1" w:line="276" w:lineRule="auto"/>
              <w:jc w:val="both"/>
              <w:rPr>
                <w:rFonts w:ascii="Times New Roman" w:eastAsia="Times New Roman" w:hAnsi="Times New Roman" w:cs="Times New Roman"/>
                <w:color w:val="FF0000"/>
                <w:sz w:val="24"/>
                <w:szCs w:val="24"/>
                <w:lang w:eastAsia="es-AR"/>
              </w:rPr>
            </w:pPr>
          </w:p>
        </w:tc>
        <w:tc>
          <w:tcPr>
            <w:tcW w:w="846" w:type="dxa"/>
            <w:tcBorders>
              <w:top w:val="nil"/>
              <w:left w:val="nil"/>
              <w:bottom w:val="nil"/>
              <w:right w:val="nil"/>
            </w:tcBorders>
            <w:noWrap/>
            <w:vAlign w:val="bottom"/>
          </w:tcPr>
          <w:p w14:paraId="29B5F0CF" w14:textId="77777777" w:rsidR="00A12531" w:rsidRPr="00EA5FC4" w:rsidRDefault="00A12531" w:rsidP="00EA5FC4">
            <w:pPr>
              <w:tabs>
                <w:tab w:val="left" w:pos="284"/>
              </w:tabs>
              <w:spacing w:before="100" w:beforeAutospacing="1" w:after="100" w:afterAutospacing="1" w:line="276" w:lineRule="auto"/>
              <w:jc w:val="both"/>
              <w:rPr>
                <w:rFonts w:ascii="Times New Roman" w:eastAsia="Times New Roman" w:hAnsi="Times New Roman" w:cs="Times New Roman"/>
                <w:color w:val="548235"/>
                <w:sz w:val="24"/>
                <w:szCs w:val="24"/>
                <w:lang w:eastAsia="es-AR"/>
              </w:rPr>
            </w:pPr>
          </w:p>
        </w:tc>
        <w:tc>
          <w:tcPr>
            <w:tcW w:w="846" w:type="dxa"/>
            <w:tcBorders>
              <w:top w:val="nil"/>
              <w:left w:val="nil"/>
              <w:bottom w:val="nil"/>
              <w:right w:val="nil"/>
            </w:tcBorders>
            <w:noWrap/>
            <w:vAlign w:val="bottom"/>
          </w:tcPr>
          <w:p w14:paraId="43E3FEB4" w14:textId="77777777" w:rsidR="00A12531" w:rsidRPr="00EA5FC4" w:rsidRDefault="00A12531" w:rsidP="00EA5FC4">
            <w:pPr>
              <w:tabs>
                <w:tab w:val="left" w:pos="284"/>
              </w:tabs>
              <w:spacing w:before="100" w:beforeAutospacing="1" w:after="100" w:afterAutospacing="1" w:line="276" w:lineRule="auto"/>
              <w:jc w:val="both"/>
              <w:rPr>
                <w:rFonts w:ascii="Times New Roman" w:eastAsia="Times New Roman" w:hAnsi="Times New Roman" w:cs="Times New Roman"/>
                <w:color w:val="FF0000"/>
                <w:sz w:val="24"/>
                <w:szCs w:val="24"/>
                <w:lang w:eastAsia="es-AR"/>
              </w:rPr>
            </w:pPr>
          </w:p>
        </w:tc>
        <w:tc>
          <w:tcPr>
            <w:tcW w:w="846" w:type="dxa"/>
            <w:tcBorders>
              <w:top w:val="nil"/>
              <w:left w:val="nil"/>
              <w:bottom w:val="nil"/>
              <w:right w:val="nil"/>
            </w:tcBorders>
            <w:noWrap/>
            <w:vAlign w:val="bottom"/>
          </w:tcPr>
          <w:p w14:paraId="1CAF2080" w14:textId="77777777" w:rsidR="00A12531" w:rsidRPr="00EA5FC4" w:rsidRDefault="00A12531" w:rsidP="00EA5FC4">
            <w:pPr>
              <w:tabs>
                <w:tab w:val="left" w:pos="284"/>
              </w:tabs>
              <w:spacing w:before="100" w:beforeAutospacing="1" w:after="100" w:afterAutospacing="1" w:line="276" w:lineRule="auto"/>
              <w:jc w:val="both"/>
              <w:rPr>
                <w:rFonts w:ascii="Times New Roman" w:eastAsia="Times New Roman" w:hAnsi="Times New Roman" w:cs="Times New Roman"/>
                <w:color w:val="548235"/>
                <w:sz w:val="24"/>
                <w:szCs w:val="24"/>
                <w:lang w:eastAsia="es-AR"/>
              </w:rPr>
            </w:pPr>
          </w:p>
        </w:tc>
        <w:tc>
          <w:tcPr>
            <w:tcW w:w="886" w:type="dxa"/>
            <w:tcBorders>
              <w:top w:val="nil"/>
              <w:left w:val="nil"/>
              <w:bottom w:val="nil"/>
              <w:right w:val="nil"/>
            </w:tcBorders>
            <w:noWrap/>
            <w:vAlign w:val="bottom"/>
          </w:tcPr>
          <w:p w14:paraId="057E9191" w14:textId="77777777" w:rsidR="00A12531" w:rsidRPr="00EA5FC4" w:rsidRDefault="00A12531" w:rsidP="00EA5FC4">
            <w:pPr>
              <w:tabs>
                <w:tab w:val="left" w:pos="284"/>
              </w:tabs>
              <w:spacing w:before="100" w:beforeAutospacing="1" w:after="100" w:afterAutospacing="1" w:line="276" w:lineRule="auto"/>
              <w:jc w:val="both"/>
              <w:rPr>
                <w:rFonts w:ascii="Times New Roman" w:eastAsia="Times New Roman" w:hAnsi="Times New Roman" w:cs="Times New Roman"/>
                <w:color w:val="548235"/>
                <w:sz w:val="24"/>
                <w:szCs w:val="24"/>
                <w:lang w:eastAsia="es-AR"/>
              </w:rPr>
            </w:pPr>
          </w:p>
        </w:tc>
        <w:tc>
          <w:tcPr>
            <w:tcW w:w="778" w:type="dxa"/>
            <w:tcBorders>
              <w:top w:val="nil"/>
              <w:left w:val="nil"/>
              <w:bottom w:val="nil"/>
              <w:right w:val="nil"/>
            </w:tcBorders>
            <w:noWrap/>
            <w:vAlign w:val="bottom"/>
          </w:tcPr>
          <w:p w14:paraId="63A30A97" w14:textId="77777777" w:rsidR="00A12531" w:rsidRPr="00EA5FC4" w:rsidRDefault="00A12531" w:rsidP="00EA5FC4">
            <w:pPr>
              <w:tabs>
                <w:tab w:val="left" w:pos="284"/>
              </w:tabs>
              <w:spacing w:before="100" w:beforeAutospacing="1" w:after="100" w:afterAutospacing="1" w:line="276" w:lineRule="auto"/>
              <w:jc w:val="both"/>
              <w:rPr>
                <w:rFonts w:ascii="Times New Roman" w:eastAsia="Times New Roman" w:hAnsi="Times New Roman" w:cs="Times New Roman"/>
                <w:sz w:val="24"/>
                <w:szCs w:val="24"/>
                <w:lang w:eastAsia="es-AR"/>
              </w:rPr>
            </w:pPr>
          </w:p>
        </w:tc>
      </w:tr>
    </w:tbl>
    <w:p w14:paraId="4E403FA8" w14:textId="6601237C" w:rsidR="00A12531" w:rsidRPr="00EA5FC4" w:rsidRDefault="00A12531" w:rsidP="00EA5FC4">
      <w:pPr>
        <w:tabs>
          <w:tab w:val="left" w:pos="284"/>
        </w:tabs>
        <w:spacing w:before="100" w:beforeAutospacing="1" w:after="100" w:afterAutospacing="1" w:line="276" w:lineRule="auto"/>
        <w:jc w:val="both"/>
        <w:rPr>
          <w:rFonts w:ascii="Times New Roman" w:eastAsia="Arial" w:hAnsi="Times New Roman" w:cs="Times New Roman"/>
          <w:color w:val="000000" w:themeColor="text1"/>
          <w:sz w:val="24"/>
          <w:szCs w:val="24"/>
          <w:lang w:val="es" w:eastAsia="es-AR"/>
        </w:rPr>
      </w:pPr>
      <w:r w:rsidRPr="00EA5FC4">
        <w:rPr>
          <w:rFonts w:ascii="Times New Roman" w:eastAsia="Arial" w:hAnsi="Times New Roman" w:cs="Times New Roman"/>
          <w:color w:val="000000" w:themeColor="text1"/>
          <w:sz w:val="24"/>
          <w:szCs w:val="24"/>
          <w:lang w:val="es" w:eastAsia="es-AR"/>
        </w:rPr>
        <w:t>Con respecto a los indicadores E</w:t>
      </w:r>
      <w:r w:rsidR="00244569" w:rsidRPr="00EA5FC4">
        <w:rPr>
          <w:rFonts w:ascii="Times New Roman" w:eastAsia="Arial" w:hAnsi="Times New Roman" w:cs="Times New Roman"/>
          <w:color w:val="000000" w:themeColor="text1"/>
          <w:sz w:val="24"/>
          <w:szCs w:val="24"/>
          <w:lang w:val="es" w:eastAsia="es-AR"/>
        </w:rPr>
        <w:t>,</w:t>
      </w:r>
      <w:r w:rsidRPr="00EA5FC4">
        <w:rPr>
          <w:rFonts w:ascii="Times New Roman" w:eastAsia="Arial" w:hAnsi="Times New Roman" w:cs="Times New Roman"/>
          <w:color w:val="000000" w:themeColor="text1"/>
          <w:sz w:val="24"/>
          <w:szCs w:val="24"/>
          <w:lang w:val="es" w:eastAsia="es-AR"/>
        </w:rPr>
        <w:t xml:space="preserve"> medio ambiente, se observa que en el sector Servicios, en todos aquellos indicadores que se cuenta con información tuvieron resultados positivos, es decir, que demuestran un alto cuidado del medioambiente. Esto tiene que ver con los clientes, las nuevas generaciones que demandan mayor conciencia medioambiental. Sin embargo, en el resto de los sectores se observa que no todos los indicadores son positivos. Por ejemplo, en el sector Extractivo, la medición en Toneladas de CO2 y efecto invernadero y las acciones que se realizaron permitió identificar que todas tuvieron resultados positivos en términos nominales. Redujeron su emisión, apuestan a las energías renovables y cumplen con las regulaciones. En cambio, Antofagasta </w:t>
      </w:r>
      <w:proofErr w:type="spellStart"/>
      <w:r w:rsidRPr="00EA5FC4">
        <w:rPr>
          <w:rFonts w:ascii="Times New Roman" w:eastAsia="Arial" w:hAnsi="Times New Roman" w:cs="Times New Roman"/>
          <w:color w:val="000000" w:themeColor="text1"/>
          <w:sz w:val="24"/>
          <w:szCs w:val="24"/>
          <w:lang w:val="es" w:eastAsia="es-AR"/>
        </w:rPr>
        <w:t>Minerals</w:t>
      </w:r>
      <w:proofErr w:type="spellEnd"/>
      <w:r w:rsidRPr="00EA5FC4">
        <w:rPr>
          <w:rFonts w:ascii="Times New Roman" w:eastAsia="Arial" w:hAnsi="Times New Roman" w:cs="Times New Roman"/>
          <w:color w:val="000000" w:themeColor="text1"/>
          <w:sz w:val="24"/>
          <w:szCs w:val="24"/>
          <w:lang w:val="es" w:eastAsia="es-AR"/>
        </w:rPr>
        <w:t xml:space="preserve"> en relación al consumo de agua y al reciclado de residuos, tuvo resultados negativos, lo que puede deberse a que es un sector donde el consumo de agua es elevado, además de encontrarse enclavada en </w:t>
      </w:r>
      <w:r w:rsidR="000D039F" w:rsidRPr="00EA5FC4">
        <w:rPr>
          <w:rFonts w:ascii="Times New Roman" w:eastAsia="Arial" w:hAnsi="Times New Roman" w:cs="Times New Roman"/>
          <w:color w:val="000000" w:themeColor="text1"/>
          <w:sz w:val="24"/>
          <w:szCs w:val="24"/>
          <w:lang w:val="es" w:eastAsia="es-AR"/>
        </w:rPr>
        <w:t>una zona</w:t>
      </w:r>
      <w:r w:rsidRPr="00EA5FC4">
        <w:rPr>
          <w:rFonts w:ascii="Times New Roman" w:eastAsia="Arial" w:hAnsi="Times New Roman" w:cs="Times New Roman"/>
          <w:color w:val="000000" w:themeColor="text1"/>
          <w:sz w:val="24"/>
          <w:szCs w:val="24"/>
          <w:lang w:val="es" w:eastAsia="es-AR"/>
        </w:rPr>
        <w:t xml:space="preserve"> de estrés hídrico y reciclar parece ser difícil. Asimismo, en el sector Tecnología las emisiones de GEI y consumo de agua son negativos, lo que se debe al crecimiento que tuvieron estas empresas post pandemia. Si bien Meli triplicó su tamaño, ambas vienen invirtiendo fuerte en acciones medioambientales, lo que muestra el compromiso fuerte que tienen con el medioambiente. Y por último el sector de Producción se observa que Toyota tiene un resultado negativo en el uso del agua y reciclado, resultado asociado al crecimiento </w:t>
      </w:r>
      <w:r w:rsidRPr="00EA5FC4">
        <w:rPr>
          <w:rFonts w:ascii="Times New Roman" w:eastAsia="Arial" w:hAnsi="Times New Roman" w:cs="Times New Roman"/>
          <w:color w:val="000000" w:themeColor="text1"/>
          <w:sz w:val="24"/>
          <w:szCs w:val="24"/>
          <w:lang w:val="es" w:eastAsia="es-AR"/>
        </w:rPr>
        <w:lastRenderedPageBreak/>
        <w:t>habido. A pesar de lo anterior, se observa que todas las empresas están invirtiendo fuertemente para migrar a energía renovable, y todas cumplen con las regulaciones establecidas, algunas de ellas auditan sus resultados ESG por medio de consultoras.</w:t>
      </w:r>
    </w:p>
    <w:p w14:paraId="589DCAFB" w14:textId="77777777" w:rsidR="00A12531" w:rsidRPr="00EA5FC4" w:rsidRDefault="00A12531" w:rsidP="00EA5FC4">
      <w:pPr>
        <w:tabs>
          <w:tab w:val="left" w:pos="284"/>
        </w:tabs>
        <w:spacing w:before="100" w:beforeAutospacing="1" w:after="100" w:afterAutospacing="1" w:line="276" w:lineRule="auto"/>
        <w:jc w:val="both"/>
        <w:rPr>
          <w:rFonts w:ascii="Times New Roman" w:eastAsia="Arial" w:hAnsi="Times New Roman" w:cs="Times New Roman"/>
          <w:sz w:val="24"/>
          <w:szCs w:val="24"/>
          <w:lang w:val="es-MX" w:eastAsia="es-AR"/>
        </w:rPr>
      </w:pPr>
      <w:r w:rsidRPr="00EA5FC4">
        <w:rPr>
          <w:rFonts w:ascii="Times New Roman" w:eastAsia="Arial" w:hAnsi="Times New Roman" w:cs="Times New Roman"/>
          <w:sz w:val="24"/>
          <w:szCs w:val="24"/>
          <w:lang w:val="es-MX" w:eastAsia="es-AR"/>
        </w:rPr>
        <w:t xml:space="preserve">Para el caso de los S indicadores sociales, se observa que en el sector Servicios, en aquellos indicadores donde se cuenta con información, son todos positivos. En cambio, en el sector de Extracción, a excepción de Antofagasta </w:t>
      </w:r>
      <w:proofErr w:type="spellStart"/>
      <w:r w:rsidRPr="00EA5FC4">
        <w:rPr>
          <w:rFonts w:ascii="Times New Roman" w:eastAsia="Arial" w:hAnsi="Times New Roman" w:cs="Times New Roman"/>
          <w:sz w:val="24"/>
          <w:szCs w:val="24"/>
          <w:lang w:val="es-MX" w:eastAsia="es-AR"/>
        </w:rPr>
        <w:t>Minerals</w:t>
      </w:r>
      <w:proofErr w:type="spellEnd"/>
      <w:r w:rsidRPr="00EA5FC4">
        <w:rPr>
          <w:rFonts w:ascii="Times New Roman" w:eastAsia="Arial" w:hAnsi="Times New Roman" w:cs="Times New Roman"/>
          <w:sz w:val="24"/>
          <w:szCs w:val="24"/>
          <w:lang w:val="es-MX" w:eastAsia="es-AR"/>
        </w:rPr>
        <w:t xml:space="preserve"> que tiene una tasa de rotación elevada, y resultados negativos en las tasas de seguridad e higiene y Producto/Usuario, el resto de las empresas del sector arrojan resultados positivos en todos los indicadores. Para la empresa YPF la tasa de rotación bajó, desde el año 2019 al año 2022, al 26% aproximadamente, lo que muestra estabilidad laboral. Las empresas del sector de Tecnología, arrojan resultados positivos en casi todos los indicadores, a excepción de Google quien muestra una tasa de rotación negativa, la cual se relaciona con el compromiso que muestran los empleados con la empresa. La misma se encuentra realizando acciones para aumentar el mismo, como ser ampliar las capacitaciones a mayor proporción de empleados. En el caso del sector Producción, a excepción de Toyota, quien tiene una tasa de rotación negativa, lo que no es favorable de cara a sus empleados ya que indica inestabilidad laboral. El resto de los indicadores son positivos, por ejemplo, la tasa de accidentes, en Toyota, se redujo del 0,55 del año 2018 a 0,20 en el año 2021. De manera general, se observa que todas las empresas han podido relacionar el valor de la marca con la ESG, han generado Código de Ética y acciones de RSE. Para la innovación abierta, se observa que, en aquellas empresas con las que se cuenta con información, todas tienen programas de innovación relacionados con el contexto externo. Algunas de ellas realizan concursos con alumnos de universidades, otras celebran alianzas o acuerdos de innovación con otras empresas. </w:t>
      </w:r>
    </w:p>
    <w:p w14:paraId="5AB7BA59" w14:textId="384BB1C5" w:rsidR="00A12531" w:rsidRPr="00EA5FC4" w:rsidRDefault="00A12531" w:rsidP="00EA5FC4">
      <w:pPr>
        <w:tabs>
          <w:tab w:val="left" w:pos="284"/>
        </w:tabs>
        <w:spacing w:before="100" w:beforeAutospacing="1" w:after="100" w:afterAutospacing="1" w:line="276" w:lineRule="auto"/>
        <w:jc w:val="both"/>
        <w:rPr>
          <w:rFonts w:ascii="Times New Roman" w:eastAsia="Arial" w:hAnsi="Times New Roman" w:cs="Times New Roman"/>
          <w:sz w:val="24"/>
          <w:szCs w:val="24"/>
          <w:lang w:val="es-MX" w:eastAsia="es-AR"/>
        </w:rPr>
      </w:pPr>
      <w:r w:rsidRPr="00EA5FC4">
        <w:rPr>
          <w:rFonts w:ascii="Times New Roman" w:eastAsia="Arial" w:hAnsi="Times New Roman" w:cs="Times New Roman"/>
          <w:sz w:val="24"/>
          <w:szCs w:val="24"/>
          <w:lang w:val="es-MX" w:eastAsia="es-AR"/>
        </w:rPr>
        <w:t xml:space="preserve">Para los Indicadores de G, Gobierno, se observó en el sector servicios que </w:t>
      </w:r>
      <w:proofErr w:type="spellStart"/>
      <w:r w:rsidRPr="00EA5FC4">
        <w:rPr>
          <w:rFonts w:ascii="Times New Roman" w:eastAsia="Arial" w:hAnsi="Times New Roman" w:cs="Times New Roman"/>
          <w:sz w:val="24"/>
          <w:szCs w:val="24"/>
          <w:lang w:val="es-MX" w:eastAsia="es-AR"/>
        </w:rPr>
        <w:t>L’oreal</w:t>
      </w:r>
      <w:proofErr w:type="spellEnd"/>
      <w:r w:rsidRPr="00EA5FC4">
        <w:rPr>
          <w:rFonts w:ascii="Times New Roman" w:eastAsia="Arial" w:hAnsi="Times New Roman" w:cs="Times New Roman"/>
          <w:sz w:val="24"/>
          <w:szCs w:val="24"/>
          <w:lang w:val="es-MX" w:eastAsia="es-AR"/>
        </w:rPr>
        <w:t xml:space="preserve"> tiene resultados positivos en todos los indicadores a diferencia del Marriott quien tiene resultado negativo en solvencia y en el rendimiento de la acción</w:t>
      </w:r>
      <w:r w:rsidR="00201953" w:rsidRPr="00EA5FC4">
        <w:rPr>
          <w:rFonts w:ascii="Times New Roman" w:eastAsia="Arial" w:hAnsi="Times New Roman" w:cs="Times New Roman"/>
          <w:sz w:val="24"/>
          <w:szCs w:val="24"/>
          <w:lang w:val="es-MX" w:eastAsia="es-AR"/>
        </w:rPr>
        <w:t>, resultados como consecuencia del COVID 19</w:t>
      </w:r>
      <w:r w:rsidRPr="00EA5FC4">
        <w:rPr>
          <w:rFonts w:ascii="Times New Roman" w:eastAsia="Arial" w:hAnsi="Times New Roman" w:cs="Times New Roman"/>
          <w:sz w:val="24"/>
          <w:szCs w:val="24"/>
          <w:lang w:val="es-MX" w:eastAsia="es-AR"/>
        </w:rPr>
        <w:t>. En el sector Extracción, los indicadores son positivos</w:t>
      </w:r>
      <w:r w:rsidR="00201953" w:rsidRPr="00EA5FC4">
        <w:rPr>
          <w:rFonts w:ascii="Times New Roman" w:eastAsia="Arial" w:hAnsi="Times New Roman" w:cs="Times New Roman"/>
          <w:sz w:val="24"/>
          <w:szCs w:val="24"/>
          <w:lang w:val="es-MX" w:eastAsia="es-AR"/>
        </w:rPr>
        <w:t>.</w:t>
      </w:r>
      <w:r w:rsidRPr="00EA5FC4">
        <w:rPr>
          <w:rFonts w:ascii="Times New Roman" w:eastAsia="Arial" w:hAnsi="Times New Roman" w:cs="Times New Roman"/>
          <w:sz w:val="24"/>
          <w:szCs w:val="24"/>
          <w:lang w:val="es-MX" w:eastAsia="es-AR"/>
        </w:rPr>
        <w:t xml:space="preserve"> En el sector de tecnología, Meli tiene resultado positivo en todos los indicadores, en cambio Google no presenta un </w:t>
      </w:r>
      <w:proofErr w:type="gramStart"/>
      <w:r w:rsidR="00691995" w:rsidRPr="00EA5FC4">
        <w:rPr>
          <w:rFonts w:ascii="Times New Roman" w:eastAsia="Arial" w:hAnsi="Times New Roman" w:cs="Times New Roman"/>
          <w:sz w:val="24"/>
          <w:szCs w:val="24"/>
          <w:lang w:val="es-MX" w:eastAsia="es-AR"/>
        </w:rPr>
        <w:t>buen ratio</w:t>
      </w:r>
      <w:proofErr w:type="gramEnd"/>
      <w:r w:rsidRPr="00EA5FC4">
        <w:rPr>
          <w:rFonts w:ascii="Times New Roman" w:eastAsia="Arial" w:hAnsi="Times New Roman" w:cs="Times New Roman"/>
          <w:sz w:val="24"/>
          <w:szCs w:val="24"/>
          <w:lang w:val="es-MX" w:eastAsia="es-AR"/>
        </w:rPr>
        <w:t xml:space="preserve"> de solvencia. No </w:t>
      </w:r>
      <w:proofErr w:type="gramStart"/>
      <w:r w:rsidRPr="00EA5FC4">
        <w:rPr>
          <w:rFonts w:ascii="Times New Roman" w:eastAsia="Arial" w:hAnsi="Times New Roman" w:cs="Times New Roman"/>
          <w:sz w:val="24"/>
          <w:szCs w:val="24"/>
          <w:lang w:val="es-MX" w:eastAsia="es-AR"/>
        </w:rPr>
        <w:t>obstante</w:t>
      </w:r>
      <w:proofErr w:type="gramEnd"/>
      <w:r w:rsidRPr="00EA5FC4">
        <w:rPr>
          <w:rFonts w:ascii="Times New Roman" w:eastAsia="Arial" w:hAnsi="Times New Roman" w:cs="Times New Roman"/>
          <w:sz w:val="24"/>
          <w:szCs w:val="24"/>
          <w:lang w:val="es-MX" w:eastAsia="es-AR"/>
        </w:rPr>
        <w:t xml:space="preserve"> esto, se puede decir que los resultados financieros de Google son buenos. Y por último en el caso del sector Producción, Toyota está saneada, tiene buenos resultados, a diferencia de Ford, quien presenta resultados negativos en todos los indicadores</w:t>
      </w:r>
      <w:r w:rsidR="00201953" w:rsidRPr="00EA5FC4">
        <w:rPr>
          <w:rFonts w:ascii="Times New Roman" w:eastAsia="Arial" w:hAnsi="Times New Roman" w:cs="Times New Roman"/>
          <w:sz w:val="24"/>
          <w:szCs w:val="24"/>
          <w:lang w:val="es-MX" w:eastAsia="es-AR"/>
        </w:rPr>
        <w:t xml:space="preserve">, debido a </w:t>
      </w:r>
      <w:r w:rsidR="00E422D6" w:rsidRPr="00EA5FC4">
        <w:rPr>
          <w:rFonts w:ascii="Times New Roman" w:eastAsia="Arial" w:hAnsi="Times New Roman" w:cs="Times New Roman"/>
          <w:sz w:val="24"/>
          <w:szCs w:val="24"/>
          <w:lang w:val="es-MX" w:eastAsia="es-AR"/>
        </w:rPr>
        <w:t>límite factores como interrupciones en la cadena de suministros; competencia con los vehículos eléctricos, entre otras.</w:t>
      </w:r>
      <w:r w:rsidRPr="00EA5FC4">
        <w:rPr>
          <w:rFonts w:ascii="Times New Roman" w:eastAsia="Arial" w:hAnsi="Times New Roman" w:cs="Times New Roman"/>
          <w:sz w:val="24"/>
          <w:szCs w:val="24"/>
          <w:lang w:val="es-MX" w:eastAsia="es-AR"/>
        </w:rPr>
        <w:t xml:space="preserve"> </w:t>
      </w:r>
    </w:p>
    <w:p w14:paraId="6F9188FC" w14:textId="0D821749" w:rsidR="009E1377" w:rsidRPr="00EA5FC4" w:rsidRDefault="009E1377" w:rsidP="00EA5FC4">
      <w:pPr>
        <w:tabs>
          <w:tab w:val="left" w:pos="284"/>
        </w:tabs>
        <w:spacing w:before="100" w:beforeAutospacing="1" w:after="100" w:afterAutospacing="1" w:line="276" w:lineRule="auto"/>
        <w:jc w:val="both"/>
        <w:rPr>
          <w:rFonts w:ascii="Times New Roman" w:eastAsia="Arial" w:hAnsi="Times New Roman" w:cs="Times New Roman"/>
          <w:sz w:val="24"/>
          <w:szCs w:val="24"/>
          <w:lang w:val="es-MX" w:eastAsia="es-AR"/>
        </w:rPr>
      </w:pPr>
      <w:r w:rsidRPr="00EA5FC4">
        <w:rPr>
          <w:rFonts w:ascii="Times New Roman" w:eastAsia="Arial" w:hAnsi="Times New Roman" w:cs="Times New Roman"/>
          <w:sz w:val="24"/>
          <w:szCs w:val="24"/>
          <w:lang w:val="es-MX" w:eastAsia="es-AR"/>
        </w:rPr>
        <w:t xml:space="preserve">Entre los principales problemas detectados de las entrevistas con especialistas y expertos se destacan la falta de medidas unificadas de medición ESG, las dificultades para expresar en términos numéricos los impactos en la sociedad y en el ambiente. La brecha entre la teoría y la aplicación y la falta de datos sólidos y estandarizados lleva a señalar como barreras a la hora de invertir. Con respecto a la utilización de TD para el seguimiento de las acciones de ESG se pudo observar que las empresas no implementaron un diseño que </w:t>
      </w:r>
      <w:r w:rsidRPr="00EA5FC4">
        <w:rPr>
          <w:rFonts w:ascii="Times New Roman" w:eastAsia="Arial" w:hAnsi="Times New Roman" w:cs="Times New Roman"/>
          <w:sz w:val="24"/>
          <w:szCs w:val="24"/>
          <w:lang w:val="es-MX" w:eastAsia="es-AR"/>
        </w:rPr>
        <w:lastRenderedPageBreak/>
        <w:t xml:space="preserve">contemple el seguimiento de las acciones ESG utilizando </w:t>
      </w:r>
      <w:proofErr w:type="spellStart"/>
      <w:r w:rsidRPr="00EA5FC4">
        <w:rPr>
          <w:rFonts w:ascii="Times New Roman" w:eastAsia="Arial" w:hAnsi="Times New Roman" w:cs="Times New Roman"/>
          <w:i/>
          <w:iCs/>
          <w:sz w:val="24"/>
          <w:szCs w:val="24"/>
          <w:lang w:val="es-MX" w:eastAsia="es-AR"/>
        </w:rPr>
        <w:t>Blockchain</w:t>
      </w:r>
      <w:proofErr w:type="spellEnd"/>
      <w:r w:rsidRPr="00EA5FC4">
        <w:rPr>
          <w:rFonts w:ascii="Times New Roman" w:eastAsia="Arial" w:hAnsi="Times New Roman" w:cs="Times New Roman"/>
          <w:sz w:val="24"/>
          <w:szCs w:val="24"/>
          <w:lang w:val="es-MX" w:eastAsia="es-AR"/>
        </w:rPr>
        <w:t>, IA, modelos predictivos del cambio climático, etc. Asimismo, sería importante que en los informes de sustentabilidad se incluyan los programas de innovación abierta, dado que los mismos generan un alto impacto social.</w:t>
      </w:r>
    </w:p>
    <w:p w14:paraId="52C4104E" w14:textId="10695B89" w:rsidR="000A6E25" w:rsidRPr="00EA5FC4" w:rsidRDefault="000A6E25" w:rsidP="00EA5FC4">
      <w:pPr>
        <w:tabs>
          <w:tab w:val="left" w:pos="284"/>
        </w:tabs>
        <w:spacing w:before="100" w:beforeAutospacing="1" w:after="100" w:afterAutospacing="1" w:line="276" w:lineRule="auto"/>
        <w:jc w:val="both"/>
        <w:rPr>
          <w:rFonts w:ascii="Times New Roman" w:eastAsia="Arial" w:hAnsi="Times New Roman" w:cs="Times New Roman"/>
          <w:b/>
          <w:bCs/>
          <w:sz w:val="24"/>
          <w:szCs w:val="24"/>
          <w:lang w:val="es-MX" w:eastAsia="es-AR"/>
        </w:rPr>
      </w:pPr>
      <w:r w:rsidRPr="00EA5FC4">
        <w:rPr>
          <w:rFonts w:ascii="Times New Roman" w:eastAsia="Arial" w:hAnsi="Times New Roman" w:cs="Times New Roman"/>
          <w:b/>
          <w:bCs/>
          <w:sz w:val="24"/>
          <w:szCs w:val="24"/>
          <w:lang w:val="es-MX" w:eastAsia="es-AR"/>
        </w:rPr>
        <w:t>8. Conclusión y Discusión</w:t>
      </w:r>
    </w:p>
    <w:p w14:paraId="419E0E13" w14:textId="77777777" w:rsidR="000A6E25" w:rsidRPr="00EA5FC4" w:rsidRDefault="000A6E25" w:rsidP="00EA5FC4">
      <w:pPr>
        <w:tabs>
          <w:tab w:val="left" w:pos="284"/>
        </w:tabs>
        <w:spacing w:before="100" w:beforeAutospacing="1" w:after="100" w:afterAutospacing="1" w:line="276" w:lineRule="auto"/>
        <w:jc w:val="both"/>
        <w:rPr>
          <w:rFonts w:ascii="Times New Roman" w:eastAsia="Arial" w:hAnsi="Times New Roman" w:cs="Times New Roman"/>
          <w:sz w:val="24"/>
          <w:szCs w:val="24"/>
          <w:lang w:val="es-MX" w:eastAsia="es-AR"/>
        </w:rPr>
      </w:pPr>
      <w:r w:rsidRPr="00EA5FC4">
        <w:rPr>
          <w:rFonts w:ascii="Times New Roman" w:hAnsi="Times New Roman" w:cs="Times New Roman"/>
          <w:sz w:val="24"/>
          <w:szCs w:val="24"/>
        </w:rPr>
        <w:t xml:space="preserve">Las empresas estudiadas responden a la Agenda 2030, y se han esmerado en realizar acciones ESG, para así obtener evidencia de resultados positivos de estas acciones: los informes de sustentabilidad </w:t>
      </w:r>
      <w:r w:rsidRPr="00EA5FC4">
        <w:rPr>
          <w:rFonts w:ascii="Times New Roman" w:eastAsia="Arial" w:hAnsi="Times New Roman" w:cs="Times New Roman"/>
          <w:sz w:val="24"/>
          <w:szCs w:val="24"/>
          <w:lang w:val="es-MX" w:eastAsia="es-AR"/>
        </w:rPr>
        <w:t xml:space="preserve">generan impactos beneficiosos en los </w:t>
      </w:r>
      <w:proofErr w:type="spellStart"/>
      <w:r w:rsidRPr="00EA5FC4">
        <w:rPr>
          <w:rFonts w:ascii="Times New Roman" w:eastAsia="Arial" w:hAnsi="Times New Roman" w:cs="Times New Roman"/>
          <w:i/>
          <w:sz w:val="24"/>
          <w:szCs w:val="24"/>
          <w:lang w:val="es-MX" w:eastAsia="es-AR"/>
        </w:rPr>
        <w:t>stakeholders</w:t>
      </w:r>
      <w:proofErr w:type="spellEnd"/>
      <w:r w:rsidRPr="00EA5FC4">
        <w:rPr>
          <w:rFonts w:ascii="Times New Roman" w:eastAsia="Arial" w:hAnsi="Times New Roman" w:cs="Times New Roman"/>
          <w:i/>
          <w:sz w:val="24"/>
          <w:szCs w:val="24"/>
          <w:lang w:val="es-MX" w:eastAsia="es-AR"/>
        </w:rPr>
        <w:t>,</w:t>
      </w:r>
      <w:r w:rsidRPr="00EA5FC4">
        <w:rPr>
          <w:rFonts w:ascii="Times New Roman" w:eastAsia="Arial" w:hAnsi="Times New Roman" w:cs="Times New Roman"/>
          <w:sz w:val="24"/>
          <w:szCs w:val="24"/>
          <w:lang w:val="es-MX" w:eastAsia="es-AR"/>
        </w:rPr>
        <w:t xml:space="preserve"> en el sentido de pertenencia de los empleados, como también en la marca e imagen de las compañías. Se puede afirmar que la correcta comunicación de los resultados de los indicadores ESG repercute en la toma de decisiones de los inversores y en la empresa. </w:t>
      </w:r>
    </w:p>
    <w:p w14:paraId="2EA0BB42" w14:textId="77777777" w:rsidR="000A6E25" w:rsidRPr="00EA5FC4" w:rsidRDefault="000A6E25" w:rsidP="00EA5FC4">
      <w:pPr>
        <w:tabs>
          <w:tab w:val="left" w:pos="284"/>
        </w:tabs>
        <w:spacing w:before="100" w:beforeAutospacing="1" w:after="100" w:afterAutospacing="1" w:line="276" w:lineRule="auto"/>
        <w:jc w:val="both"/>
        <w:rPr>
          <w:rFonts w:ascii="Times New Roman" w:eastAsia="Arial" w:hAnsi="Times New Roman" w:cs="Times New Roman"/>
          <w:sz w:val="24"/>
          <w:szCs w:val="24"/>
          <w:lang w:val="es-MX" w:eastAsia="es-AR"/>
        </w:rPr>
      </w:pPr>
      <w:r w:rsidRPr="00EA5FC4">
        <w:rPr>
          <w:rFonts w:ascii="Times New Roman" w:eastAsia="Arial" w:hAnsi="Times New Roman" w:cs="Times New Roman"/>
          <w:sz w:val="24"/>
          <w:szCs w:val="24"/>
          <w:lang w:val="es-MX" w:eastAsia="es-AR"/>
        </w:rPr>
        <w:t xml:space="preserve">Las empresas deben utilizar las herramientas de la industria 4.0 como IA, sensores, robótica, etc. para el seguimiento y medición de las acciones ESG. </w:t>
      </w:r>
    </w:p>
    <w:p w14:paraId="673C9B5B" w14:textId="77777777" w:rsidR="000A6E25" w:rsidRPr="00EA5FC4" w:rsidRDefault="000A6E25" w:rsidP="00EA5FC4">
      <w:pPr>
        <w:tabs>
          <w:tab w:val="left" w:pos="284"/>
        </w:tabs>
        <w:spacing w:before="100" w:beforeAutospacing="1" w:after="100" w:afterAutospacing="1" w:line="276" w:lineRule="auto"/>
        <w:jc w:val="both"/>
        <w:rPr>
          <w:rFonts w:ascii="Times New Roman" w:hAnsi="Times New Roman" w:cs="Times New Roman"/>
          <w:sz w:val="24"/>
          <w:szCs w:val="24"/>
        </w:rPr>
      </w:pPr>
      <w:r w:rsidRPr="00EA5FC4">
        <w:rPr>
          <w:rFonts w:ascii="Times New Roman" w:eastAsia="Arial" w:hAnsi="Times New Roman" w:cs="Times New Roman"/>
          <w:sz w:val="24"/>
          <w:szCs w:val="24"/>
          <w:lang w:val="es-MX" w:eastAsia="es-AR"/>
        </w:rPr>
        <w:t xml:space="preserve">Las principales acciones son: a) E: cambio de la matriz energética, la eliminación de la Huella de Carbono, las cuales son de muy largo plazo y difíciles de medir. Uso de agua y reciclaje. b) S: reducción de la rotación y mejora de la reputación de la </w:t>
      </w:r>
      <w:r w:rsidRPr="00EA5FC4">
        <w:rPr>
          <w:rFonts w:ascii="Times New Roman" w:hAnsi="Times New Roman" w:cs="Times New Roman"/>
          <w:sz w:val="24"/>
          <w:szCs w:val="24"/>
        </w:rPr>
        <w:t>cadena de valor lo que da como resultado empleados motivados y comprometidos. Otro indicador es el de acciones a la comunidad, y en entre ellos con innovación abierta; c) G: los indicadores financieros y contables son los más consolidados, ya que vienen siendo usados desde hace muchos años, con los cuales se miden resultados.</w:t>
      </w:r>
    </w:p>
    <w:p w14:paraId="5BE19468" w14:textId="77777777" w:rsidR="000A6E25" w:rsidRPr="00EA5FC4" w:rsidRDefault="000A6E25" w:rsidP="00EA5FC4">
      <w:pPr>
        <w:tabs>
          <w:tab w:val="left" w:pos="284"/>
        </w:tabs>
        <w:spacing w:before="100" w:beforeAutospacing="1" w:after="100" w:afterAutospacing="1" w:line="276" w:lineRule="auto"/>
        <w:jc w:val="both"/>
        <w:rPr>
          <w:rFonts w:ascii="Times New Roman" w:eastAsia="Arial" w:hAnsi="Times New Roman" w:cs="Times New Roman"/>
          <w:sz w:val="24"/>
          <w:szCs w:val="24"/>
          <w:lang w:val="es-MX" w:eastAsia="es-AR"/>
        </w:rPr>
      </w:pPr>
      <w:r w:rsidRPr="00EA5FC4">
        <w:rPr>
          <w:rFonts w:ascii="Times New Roman" w:hAnsi="Times New Roman" w:cs="Times New Roman"/>
          <w:sz w:val="24"/>
          <w:szCs w:val="24"/>
        </w:rPr>
        <w:t xml:space="preserve">Las empresas que hacen uso de la ESG cuentan con mejores resultados, mejor reputación social. </w:t>
      </w:r>
    </w:p>
    <w:p w14:paraId="78074A3F" w14:textId="77777777" w:rsidR="000A6E25" w:rsidRPr="00EA5FC4" w:rsidRDefault="000A6E25" w:rsidP="00EA5FC4">
      <w:pPr>
        <w:tabs>
          <w:tab w:val="left" w:pos="284"/>
        </w:tabs>
        <w:spacing w:before="100" w:beforeAutospacing="1" w:after="100" w:afterAutospacing="1" w:line="276" w:lineRule="auto"/>
        <w:jc w:val="both"/>
        <w:rPr>
          <w:rFonts w:ascii="Times New Roman" w:hAnsi="Times New Roman" w:cs="Times New Roman"/>
          <w:sz w:val="24"/>
          <w:szCs w:val="24"/>
        </w:rPr>
      </w:pPr>
      <w:r w:rsidRPr="00EA5FC4">
        <w:rPr>
          <w:rFonts w:ascii="Times New Roman" w:eastAsia="Arial" w:hAnsi="Times New Roman" w:cs="Times New Roman"/>
          <w:sz w:val="24"/>
          <w:szCs w:val="24"/>
          <w:lang w:val="es-MX" w:eastAsia="es-AR"/>
        </w:rPr>
        <w:t xml:space="preserve">Cuando las empresas crecen exponencialmente las acciones ESG también deben hacerlo para que los indicadores tengan el impacto deseado. </w:t>
      </w:r>
    </w:p>
    <w:p w14:paraId="4AB84560" w14:textId="322B4042" w:rsidR="000A6E25" w:rsidRPr="00EA5FC4" w:rsidRDefault="000A6E25" w:rsidP="00EA5FC4">
      <w:pPr>
        <w:tabs>
          <w:tab w:val="left" w:pos="284"/>
        </w:tabs>
        <w:spacing w:before="100" w:beforeAutospacing="1" w:after="100" w:afterAutospacing="1" w:line="276" w:lineRule="auto"/>
        <w:jc w:val="both"/>
        <w:rPr>
          <w:rFonts w:ascii="Times New Roman" w:hAnsi="Times New Roman" w:cs="Times New Roman"/>
          <w:spacing w:val="36"/>
          <w:sz w:val="24"/>
          <w:szCs w:val="24"/>
        </w:rPr>
      </w:pPr>
      <w:r w:rsidRPr="00EA5FC4">
        <w:rPr>
          <w:rFonts w:ascii="Times New Roman" w:hAnsi="Times New Roman" w:cs="Times New Roman"/>
          <w:sz w:val="24"/>
          <w:szCs w:val="24"/>
        </w:rPr>
        <w:t>Las empresas que se autoproclaman sostenibles deberían respaldar sus afirmaciones con certificaciones. La utilización de este modelo permitió identificar tendencias, las cuales a futuro permitirían tomar mejores decisiones a la hora de realizar una inversión. Sin</w:t>
      </w:r>
      <w:r w:rsidRPr="00EA5FC4">
        <w:rPr>
          <w:rFonts w:ascii="Times New Roman" w:hAnsi="Times New Roman" w:cs="Times New Roman"/>
          <w:spacing w:val="-3"/>
          <w:sz w:val="24"/>
          <w:szCs w:val="24"/>
        </w:rPr>
        <w:t xml:space="preserve"> </w:t>
      </w:r>
      <w:r w:rsidRPr="00EA5FC4">
        <w:rPr>
          <w:rFonts w:ascii="Times New Roman" w:hAnsi="Times New Roman" w:cs="Times New Roman"/>
          <w:sz w:val="24"/>
          <w:szCs w:val="24"/>
        </w:rPr>
        <w:t>embargo,</w:t>
      </w:r>
      <w:r w:rsidRPr="00EA5FC4">
        <w:rPr>
          <w:rFonts w:ascii="Times New Roman" w:hAnsi="Times New Roman" w:cs="Times New Roman"/>
          <w:spacing w:val="-4"/>
          <w:sz w:val="24"/>
          <w:szCs w:val="24"/>
        </w:rPr>
        <w:t xml:space="preserve"> </w:t>
      </w:r>
      <w:r w:rsidRPr="00EA5FC4">
        <w:rPr>
          <w:rFonts w:ascii="Times New Roman" w:hAnsi="Times New Roman" w:cs="Times New Roman"/>
          <w:sz w:val="24"/>
          <w:szCs w:val="24"/>
        </w:rPr>
        <w:t>hay</w:t>
      </w:r>
      <w:r w:rsidRPr="00EA5FC4">
        <w:rPr>
          <w:rFonts w:ascii="Times New Roman" w:hAnsi="Times New Roman" w:cs="Times New Roman"/>
          <w:spacing w:val="-6"/>
          <w:sz w:val="24"/>
          <w:szCs w:val="24"/>
        </w:rPr>
        <w:t xml:space="preserve"> </w:t>
      </w:r>
      <w:r w:rsidRPr="00EA5FC4">
        <w:rPr>
          <w:rFonts w:ascii="Times New Roman" w:hAnsi="Times New Roman" w:cs="Times New Roman"/>
          <w:sz w:val="24"/>
          <w:szCs w:val="24"/>
        </w:rPr>
        <w:t>que</w:t>
      </w:r>
      <w:r w:rsidRPr="00EA5FC4">
        <w:rPr>
          <w:rFonts w:ascii="Times New Roman" w:hAnsi="Times New Roman" w:cs="Times New Roman"/>
          <w:spacing w:val="-2"/>
          <w:sz w:val="24"/>
          <w:szCs w:val="24"/>
        </w:rPr>
        <w:t xml:space="preserve"> </w:t>
      </w:r>
      <w:r w:rsidRPr="00EA5FC4">
        <w:rPr>
          <w:rFonts w:ascii="Times New Roman" w:hAnsi="Times New Roman" w:cs="Times New Roman"/>
          <w:sz w:val="24"/>
          <w:szCs w:val="24"/>
        </w:rPr>
        <w:t>señalar</w:t>
      </w:r>
      <w:r w:rsidRPr="00EA5FC4">
        <w:rPr>
          <w:rFonts w:ascii="Times New Roman" w:hAnsi="Times New Roman" w:cs="Times New Roman"/>
          <w:spacing w:val="-5"/>
          <w:sz w:val="24"/>
          <w:szCs w:val="24"/>
        </w:rPr>
        <w:t xml:space="preserve"> </w:t>
      </w:r>
      <w:r w:rsidRPr="00EA5FC4">
        <w:rPr>
          <w:rFonts w:ascii="Times New Roman" w:hAnsi="Times New Roman" w:cs="Times New Roman"/>
          <w:sz w:val="24"/>
          <w:szCs w:val="24"/>
        </w:rPr>
        <w:t>que</w:t>
      </w:r>
      <w:r w:rsidRPr="00EA5FC4">
        <w:rPr>
          <w:rFonts w:ascii="Times New Roman" w:hAnsi="Times New Roman" w:cs="Times New Roman"/>
          <w:spacing w:val="-2"/>
          <w:sz w:val="24"/>
          <w:szCs w:val="24"/>
        </w:rPr>
        <w:t xml:space="preserve"> </w:t>
      </w:r>
      <w:r w:rsidRPr="00EA5FC4">
        <w:rPr>
          <w:rFonts w:ascii="Times New Roman" w:hAnsi="Times New Roman" w:cs="Times New Roman"/>
          <w:sz w:val="24"/>
          <w:szCs w:val="24"/>
        </w:rPr>
        <w:t>a</w:t>
      </w:r>
      <w:r w:rsidRPr="00EA5FC4">
        <w:rPr>
          <w:rFonts w:ascii="Times New Roman" w:hAnsi="Times New Roman" w:cs="Times New Roman"/>
          <w:spacing w:val="-5"/>
          <w:sz w:val="24"/>
          <w:szCs w:val="24"/>
        </w:rPr>
        <w:t xml:space="preserve"> </w:t>
      </w:r>
      <w:r w:rsidRPr="00EA5FC4">
        <w:rPr>
          <w:rFonts w:ascii="Times New Roman" w:hAnsi="Times New Roman" w:cs="Times New Roman"/>
          <w:sz w:val="24"/>
          <w:szCs w:val="24"/>
        </w:rPr>
        <w:t>pesar</w:t>
      </w:r>
      <w:r w:rsidRPr="00EA5FC4">
        <w:rPr>
          <w:rFonts w:ascii="Times New Roman" w:hAnsi="Times New Roman" w:cs="Times New Roman"/>
          <w:spacing w:val="-5"/>
          <w:sz w:val="24"/>
          <w:szCs w:val="24"/>
        </w:rPr>
        <w:t xml:space="preserve"> </w:t>
      </w:r>
      <w:r w:rsidRPr="00EA5FC4">
        <w:rPr>
          <w:rFonts w:ascii="Times New Roman" w:hAnsi="Times New Roman" w:cs="Times New Roman"/>
          <w:sz w:val="24"/>
          <w:szCs w:val="24"/>
        </w:rPr>
        <w:t>de</w:t>
      </w:r>
      <w:r w:rsidRPr="00EA5FC4">
        <w:rPr>
          <w:rFonts w:ascii="Times New Roman" w:hAnsi="Times New Roman" w:cs="Times New Roman"/>
          <w:spacing w:val="-5"/>
          <w:sz w:val="24"/>
          <w:szCs w:val="24"/>
        </w:rPr>
        <w:t xml:space="preserve"> </w:t>
      </w:r>
      <w:r w:rsidRPr="00EA5FC4">
        <w:rPr>
          <w:rFonts w:ascii="Times New Roman" w:hAnsi="Times New Roman" w:cs="Times New Roman"/>
          <w:sz w:val="24"/>
          <w:szCs w:val="24"/>
        </w:rPr>
        <w:t>la</w:t>
      </w:r>
      <w:r w:rsidRPr="00EA5FC4">
        <w:rPr>
          <w:rFonts w:ascii="Times New Roman" w:hAnsi="Times New Roman" w:cs="Times New Roman"/>
          <w:spacing w:val="-1"/>
          <w:sz w:val="24"/>
          <w:szCs w:val="24"/>
        </w:rPr>
        <w:t xml:space="preserve"> </w:t>
      </w:r>
      <w:r w:rsidRPr="00EA5FC4">
        <w:rPr>
          <w:rFonts w:ascii="Times New Roman" w:hAnsi="Times New Roman" w:cs="Times New Roman"/>
          <w:sz w:val="24"/>
          <w:szCs w:val="24"/>
        </w:rPr>
        <w:t>gran</w:t>
      </w:r>
      <w:r w:rsidRPr="00EA5FC4">
        <w:rPr>
          <w:rFonts w:ascii="Times New Roman" w:hAnsi="Times New Roman" w:cs="Times New Roman"/>
          <w:spacing w:val="-4"/>
          <w:sz w:val="24"/>
          <w:szCs w:val="24"/>
        </w:rPr>
        <w:t xml:space="preserve"> </w:t>
      </w:r>
      <w:r w:rsidRPr="00EA5FC4">
        <w:rPr>
          <w:rFonts w:ascii="Times New Roman" w:hAnsi="Times New Roman" w:cs="Times New Roman"/>
          <w:sz w:val="24"/>
          <w:szCs w:val="24"/>
        </w:rPr>
        <w:t>cantidad</w:t>
      </w:r>
      <w:r w:rsidRPr="00EA5FC4">
        <w:rPr>
          <w:rFonts w:ascii="Times New Roman" w:hAnsi="Times New Roman" w:cs="Times New Roman"/>
          <w:spacing w:val="-4"/>
          <w:sz w:val="24"/>
          <w:szCs w:val="24"/>
        </w:rPr>
        <w:t xml:space="preserve"> </w:t>
      </w:r>
      <w:r w:rsidRPr="00EA5FC4">
        <w:rPr>
          <w:rFonts w:ascii="Times New Roman" w:hAnsi="Times New Roman" w:cs="Times New Roman"/>
          <w:sz w:val="24"/>
          <w:szCs w:val="24"/>
        </w:rPr>
        <w:t>de</w:t>
      </w:r>
      <w:r w:rsidRPr="00EA5FC4">
        <w:rPr>
          <w:rFonts w:ascii="Times New Roman" w:hAnsi="Times New Roman" w:cs="Times New Roman"/>
          <w:spacing w:val="-3"/>
          <w:sz w:val="24"/>
          <w:szCs w:val="24"/>
        </w:rPr>
        <w:t xml:space="preserve"> </w:t>
      </w:r>
      <w:r w:rsidRPr="00EA5FC4">
        <w:rPr>
          <w:rFonts w:ascii="Times New Roman" w:hAnsi="Times New Roman" w:cs="Times New Roman"/>
          <w:sz w:val="24"/>
          <w:szCs w:val="24"/>
        </w:rPr>
        <w:t>reportes</w:t>
      </w:r>
      <w:r w:rsidRPr="00EA5FC4">
        <w:rPr>
          <w:rFonts w:ascii="Times New Roman" w:hAnsi="Times New Roman" w:cs="Times New Roman"/>
          <w:spacing w:val="-1"/>
          <w:sz w:val="24"/>
          <w:szCs w:val="24"/>
        </w:rPr>
        <w:t xml:space="preserve"> </w:t>
      </w:r>
      <w:r w:rsidRPr="00EA5FC4">
        <w:rPr>
          <w:rFonts w:ascii="Times New Roman" w:hAnsi="Times New Roman" w:cs="Times New Roman"/>
          <w:sz w:val="24"/>
          <w:szCs w:val="24"/>
        </w:rPr>
        <w:t>que</w:t>
      </w:r>
      <w:r w:rsidRPr="00EA5FC4">
        <w:rPr>
          <w:rFonts w:ascii="Times New Roman" w:hAnsi="Times New Roman" w:cs="Times New Roman"/>
          <w:spacing w:val="-5"/>
          <w:sz w:val="24"/>
          <w:szCs w:val="24"/>
        </w:rPr>
        <w:t xml:space="preserve"> se </w:t>
      </w:r>
      <w:r w:rsidRPr="00EA5FC4">
        <w:rPr>
          <w:rFonts w:ascii="Times New Roman" w:hAnsi="Times New Roman" w:cs="Times New Roman"/>
          <w:sz w:val="24"/>
          <w:szCs w:val="24"/>
        </w:rPr>
        <w:t>evaluaron,</w:t>
      </w:r>
      <w:r w:rsidRPr="00EA5FC4">
        <w:rPr>
          <w:rFonts w:ascii="Times New Roman" w:hAnsi="Times New Roman" w:cs="Times New Roman"/>
          <w:spacing w:val="-4"/>
          <w:sz w:val="24"/>
          <w:szCs w:val="24"/>
        </w:rPr>
        <w:t xml:space="preserve"> </w:t>
      </w:r>
      <w:r w:rsidRPr="00EA5FC4">
        <w:rPr>
          <w:rFonts w:ascii="Times New Roman" w:hAnsi="Times New Roman" w:cs="Times New Roman"/>
          <w:sz w:val="24"/>
          <w:szCs w:val="24"/>
        </w:rPr>
        <w:t>la gran</w:t>
      </w:r>
      <w:r w:rsidRPr="00EA5FC4">
        <w:rPr>
          <w:rFonts w:ascii="Times New Roman" w:hAnsi="Times New Roman" w:cs="Times New Roman"/>
          <w:spacing w:val="-13"/>
          <w:sz w:val="24"/>
          <w:szCs w:val="24"/>
        </w:rPr>
        <w:t xml:space="preserve"> </w:t>
      </w:r>
      <w:r w:rsidRPr="00EA5FC4">
        <w:rPr>
          <w:rFonts w:ascii="Times New Roman" w:hAnsi="Times New Roman" w:cs="Times New Roman"/>
          <w:sz w:val="24"/>
          <w:szCs w:val="24"/>
        </w:rPr>
        <w:t>mayoría</w:t>
      </w:r>
      <w:r w:rsidRPr="00EA5FC4">
        <w:rPr>
          <w:rFonts w:ascii="Times New Roman" w:hAnsi="Times New Roman" w:cs="Times New Roman"/>
          <w:spacing w:val="-15"/>
          <w:sz w:val="24"/>
          <w:szCs w:val="24"/>
        </w:rPr>
        <w:t xml:space="preserve"> </w:t>
      </w:r>
      <w:r w:rsidRPr="00EA5FC4">
        <w:rPr>
          <w:rFonts w:ascii="Times New Roman" w:hAnsi="Times New Roman" w:cs="Times New Roman"/>
          <w:sz w:val="24"/>
          <w:szCs w:val="24"/>
        </w:rPr>
        <w:t>no</w:t>
      </w:r>
      <w:r w:rsidRPr="00EA5FC4">
        <w:rPr>
          <w:rFonts w:ascii="Times New Roman" w:hAnsi="Times New Roman" w:cs="Times New Roman"/>
          <w:spacing w:val="-11"/>
          <w:sz w:val="24"/>
          <w:szCs w:val="24"/>
        </w:rPr>
        <w:t xml:space="preserve"> </w:t>
      </w:r>
      <w:r w:rsidRPr="00EA5FC4">
        <w:rPr>
          <w:rFonts w:ascii="Times New Roman" w:hAnsi="Times New Roman" w:cs="Times New Roman"/>
          <w:sz w:val="24"/>
          <w:szCs w:val="24"/>
        </w:rPr>
        <w:t>cuentan</w:t>
      </w:r>
      <w:r w:rsidRPr="00EA5FC4">
        <w:rPr>
          <w:rFonts w:ascii="Times New Roman" w:hAnsi="Times New Roman" w:cs="Times New Roman"/>
          <w:spacing w:val="-9"/>
          <w:sz w:val="24"/>
          <w:szCs w:val="24"/>
        </w:rPr>
        <w:t xml:space="preserve"> </w:t>
      </w:r>
      <w:r w:rsidRPr="00EA5FC4">
        <w:rPr>
          <w:rFonts w:ascii="Times New Roman" w:hAnsi="Times New Roman" w:cs="Times New Roman"/>
          <w:sz w:val="24"/>
          <w:szCs w:val="24"/>
        </w:rPr>
        <w:t>con</w:t>
      </w:r>
      <w:r w:rsidRPr="00EA5FC4">
        <w:rPr>
          <w:rFonts w:ascii="Times New Roman" w:hAnsi="Times New Roman" w:cs="Times New Roman"/>
          <w:spacing w:val="-13"/>
          <w:sz w:val="24"/>
          <w:szCs w:val="24"/>
        </w:rPr>
        <w:t xml:space="preserve"> </w:t>
      </w:r>
      <w:r w:rsidRPr="00EA5FC4">
        <w:rPr>
          <w:rFonts w:ascii="Times New Roman" w:hAnsi="Times New Roman" w:cs="Times New Roman"/>
          <w:sz w:val="24"/>
          <w:szCs w:val="24"/>
        </w:rPr>
        <w:t>verificaciones</w:t>
      </w:r>
      <w:r w:rsidRPr="00EA5FC4">
        <w:rPr>
          <w:rFonts w:ascii="Times New Roman" w:hAnsi="Times New Roman" w:cs="Times New Roman"/>
          <w:spacing w:val="-13"/>
          <w:sz w:val="24"/>
          <w:szCs w:val="24"/>
        </w:rPr>
        <w:t xml:space="preserve"> </w:t>
      </w:r>
      <w:r w:rsidRPr="00EA5FC4">
        <w:rPr>
          <w:rFonts w:ascii="Times New Roman" w:hAnsi="Times New Roman" w:cs="Times New Roman"/>
          <w:sz w:val="24"/>
          <w:szCs w:val="24"/>
        </w:rPr>
        <w:t>externas.</w:t>
      </w:r>
      <w:r w:rsidRPr="00EA5FC4">
        <w:rPr>
          <w:rFonts w:ascii="Times New Roman" w:hAnsi="Times New Roman" w:cs="Times New Roman"/>
          <w:spacing w:val="36"/>
          <w:sz w:val="24"/>
          <w:szCs w:val="24"/>
        </w:rPr>
        <w:t xml:space="preserve"> </w:t>
      </w:r>
    </w:p>
    <w:p w14:paraId="471DB9FE" w14:textId="77777777" w:rsidR="000A6E25" w:rsidRPr="00EA5FC4" w:rsidRDefault="000A6E25" w:rsidP="00EA5FC4">
      <w:pPr>
        <w:tabs>
          <w:tab w:val="left" w:pos="284"/>
        </w:tabs>
        <w:spacing w:before="100" w:beforeAutospacing="1" w:after="100" w:afterAutospacing="1" w:line="276" w:lineRule="auto"/>
        <w:jc w:val="both"/>
        <w:rPr>
          <w:rFonts w:ascii="Times New Roman" w:eastAsia="Arial" w:hAnsi="Times New Roman" w:cs="Times New Roman"/>
          <w:b/>
          <w:bCs/>
          <w:sz w:val="24"/>
          <w:szCs w:val="24"/>
          <w:lang w:eastAsia="es-AR"/>
        </w:rPr>
      </w:pPr>
      <w:r w:rsidRPr="00EA5FC4">
        <w:rPr>
          <w:rFonts w:ascii="Times New Roman" w:hAnsi="Times New Roman" w:cs="Times New Roman"/>
          <w:sz w:val="24"/>
          <w:szCs w:val="24"/>
        </w:rPr>
        <w:t>Es fundamental buscar una estandarización y una normativa que permita homogeneizar resultados para hacerlos comparables.</w:t>
      </w:r>
    </w:p>
    <w:p w14:paraId="404D0203" w14:textId="1088FEA0" w:rsidR="000A6E25" w:rsidRPr="00EA5FC4" w:rsidRDefault="000A6E25" w:rsidP="00EA5FC4">
      <w:pPr>
        <w:tabs>
          <w:tab w:val="left" w:pos="284"/>
        </w:tabs>
        <w:spacing w:before="100" w:beforeAutospacing="1" w:after="100" w:afterAutospacing="1" w:line="276" w:lineRule="auto"/>
        <w:jc w:val="both"/>
        <w:rPr>
          <w:rFonts w:ascii="Times New Roman" w:eastAsia="Times New Roman" w:hAnsi="Times New Roman" w:cs="Times New Roman"/>
          <w:sz w:val="24"/>
          <w:szCs w:val="24"/>
          <w:lang w:val="es-ES"/>
        </w:rPr>
      </w:pPr>
      <w:r w:rsidRPr="00EA5FC4">
        <w:rPr>
          <w:rFonts w:ascii="Times New Roman" w:eastAsia="Times New Roman" w:hAnsi="Times New Roman" w:cs="Times New Roman"/>
          <w:sz w:val="24"/>
          <w:szCs w:val="24"/>
          <w:lang w:val="es-ES"/>
        </w:rPr>
        <w:t>Por último, se quiere comentar que se encontró una relación negativa entre aquellas empresas que obtuvieron excelentes índices sociales/ambientales, y su incremento negativo</w:t>
      </w:r>
      <w:r w:rsidRPr="00EA5FC4">
        <w:rPr>
          <w:rFonts w:ascii="Times New Roman" w:eastAsia="Times New Roman" w:hAnsi="Times New Roman" w:cs="Times New Roman"/>
          <w:spacing w:val="-42"/>
          <w:sz w:val="24"/>
          <w:szCs w:val="24"/>
          <w:lang w:val="es-ES"/>
        </w:rPr>
        <w:t xml:space="preserve"> </w:t>
      </w:r>
      <w:r w:rsidRPr="00EA5FC4">
        <w:rPr>
          <w:rFonts w:ascii="Times New Roman" w:eastAsia="Times New Roman" w:hAnsi="Times New Roman" w:cs="Times New Roman"/>
          <w:sz w:val="24"/>
          <w:szCs w:val="24"/>
          <w:lang w:val="es-ES"/>
        </w:rPr>
        <w:t>en su tasa de solvencia, como así también una caída en la cotización de sus</w:t>
      </w:r>
      <w:r w:rsidRPr="00EA5FC4">
        <w:rPr>
          <w:rFonts w:ascii="Times New Roman" w:eastAsia="Times New Roman" w:hAnsi="Times New Roman" w:cs="Times New Roman"/>
          <w:spacing w:val="-4"/>
          <w:sz w:val="24"/>
          <w:szCs w:val="24"/>
          <w:lang w:val="es-ES"/>
        </w:rPr>
        <w:t xml:space="preserve"> </w:t>
      </w:r>
      <w:r w:rsidRPr="00EA5FC4">
        <w:rPr>
          <w:rFonts w:ascii="Times New Roman" w:eastAsia="Times New Roman" w:hAnsi="Times New Roman" w:cs="Times New Roman"/>
          <w:sz w:val="24"/>
          <w:szCs w:val="24"/>
          <w:lang w:val="es-ES"/>
        </w:rPr>
        <w:t xml:space="preserve">acciones. Si bien estos reportes no son nada nuevos, la mejora en cada uno de estos </w:t>
      </w:r>
      <w:r w:rsidRPr="00EA5FC4">
        <w:rPr>
          <w:rFonts w:ascii="Times New Roman" w:eastAsia="Times New Roman" w:hAnsi="Times New Roman" w:cs="Times New Roman"/>
          <w:sz w:val="24"/>
          <w:szCs w:val="24"/>
          <w:lang w:val="es-ES"/>
        </w:rPr>
        <w:lastRenderedPageBreak/>
        <w:t>aspectos va a repercutir en materia medioambiental sin ninguna duda, como así también económicamente ya que el compromiso no es sólo de las empresas sino de todos.</w:t>
      </w:r>
    </w:p>
    <w:p w14:paraId="729D0163" w14:textId="5AFE79C6" w:rsidR="000A6E25" w:rsidRPr="00EA5FC4" w:rsidRDefault="000A6E25" w:rsidP="00EA5FC4">
      <w:pPr>
        <w:tabs>
          <w:tab w:val="left" w:pos="284"/>
        </w:tabs>
        <w:spacing w:before="100" w:beforeAutospacing="1" w:after="100" w:afterAutospacing="1" w:line="276" w:lineRule="auto"/>
        <w:jc w:val="both"/>
        <w:rPr>
          <w:rFonts w:ascii="Times New Roman" w:hAnsi="Times New Roman" w:cs="Times New Roman"/>
          <w:b/>
          <w:bCs/>
          <w:spacing w:val="36"/>
          <w:sz w:val="24"/>
          <w:szCs w:val="24"/>
        </w:rPr>
      </w:pPr>
      <w:r w:rsidRPr="00EA5FC4">
        <w:rPr>
          <w:rFonts w:ascii="Times New Roman" w:eastAsia="Times New Roman" w:hAnsi="Times New Roman" w:cs="Times New Roman"/>
          <w:b/>
          <w:bCs/>
          <w:sz w:val="24"/>
          <w:szCs w:val="24"/>
          <w:lang w:val="es-ES"/>
        </w:rPr>
        <w:t>9. Referencias</w:t>
      </w:r>
    </w:p>
    <w:p w14:paraId="022CA091" w14:textId="6E39C320" w:rsidR="00C93B01" w:rsidRPr="00EA5FC4" w:rsidRDefault="00C93B01" w:rsidP="009254A9">
      <w:pPr>
        <w:spacing w:before="100" w:beforeAutospacing="1" w:after="100" w:afterAutospacing="1" w:line="276" w:lineRule="auto"/>
        <w:jc w:val="both"/>
        <w:rPr>
          <w:rFonts w:ascii="Times New Roman" w:eastAsiaTheme="majorEastAsia" w:hAnsi="Times New Roman" w:cs="Times New Roman"/>
          <w:sz w:val="24"/>
          <w:szCs w:val="24"/>
          <w:lang w:eastAsia="es-AR"/>
        </w:rPr>
      </w:pPr>
      <w:proofErr w:type="spellStart"/>
      <w:r w:rsidRPr="00C93B01">
        <w:rPr>
          <w:rFonts w:ascii="Times New Roman" w:eastAsia="Arial" w:hAnsi="Times New Roman" w:cs="Times New Roman"/>
          <w:sz w:val="24"/>
          <w:szCs w:val="24"/>
          <w:lang w:eastAsia="es-AR"/>
        </w:rPr>
        <w:t>Anjomshoae</w:t>
      </w:r>
      <w:proofErr w:type="spellEnd"/>
      <w:r w:rsidRPr="00C93B01">
        <w:rPr>
          <w:rFonts w:ascii="Times New Roman" w:eastAsia="Arial" w:hAnsi="Times New Roman" w:cs="Times New Roman"/>
          <w:sz w:val="24"/>
          <w:szCs w:val="24"/>
          <w:lang w:eastAsia="es-AR"/>
        </w:rPr>
        <w:t xml:space="preserve">, A., Hassan, A., </w:t>
      </w:r>
      <w:proofErr w:type="spellStart"/>
      <w:r w:rsidRPr="00C93B01">
        <w:rPr>
          <w:rFonts w:ascii="Times New Roman" w:eastAsia="Arial" w:hAnsi="Times New Roman" w:cs="Times New Roman"/>
          <w:sz w:val="24"/>
          <w:szCs w:val="24"/>
          <w:lang w:eastAsia="es-AR"/>
        </w:rPr>
        <w:t>Kunz</w:t>
      </w:r>
      <w:proofErr w:type="spellEnd"/>
      <w:r w:rsidRPr="00C93B01">
        <w:rPr>
          <w:rFonts w:ascii="Times New Roman" w:eastAsia="Arial" w:hAnsi="Times New Roman" w:cs="Times New Roman"/>
          <w:sz w:val="24"/>
          <w:szCs w:val="24"/>
          <w:lang w:eastAsia="es-AR"/>
        </w:rPr>
        <w:t xml:space="preserve">, N., Wong, K. Y. </w:t>
      </w:r>
      <w:r w:rsidR="0072205E">
        <w:rPr>
          <w:rFonts w:ascii="Times New Roman" w:eastAsia="Arial" w:hAnsi="Times New Roman" w:cs="Times New Roman"/>
          <w:sz w:val="24"/>
          <w:szCs w:val="24"/>
          <w:lang w:eastAsia="es-AR"/>
        </w:rPr>
        <w:t>&amp;</w:t>
      </w:r>
      <w:r w:rsidRPr="00C93B01">
        <w:rPr>
          <w:rFonts w:ascii="Times New Roman" w:eastAsia="Arial" w:hAnsi="Times New Roman" w:cs="Times New Roman"/>
          <w:sz w:val="24"/>
          <w:szCs w:val="24"/>
          <w:lang w:eastAsia="es-AR"/>
        </w:rPr>
        <w:t xml:space="preserve"> </w:t>
      </w:r>
      <w:proofErr w:type="spellStart"/>
      <w:r w:rsidRPr="00C93B01">
        <w:rPr>
          <w:rFonts w:ascii="Times New Roman" w:eastAsia="Arial" w:hAnsi="Times New Roman" w:cs="Times New Roman"/>
          <w:sz w:val="24"/>
          <w:szCs w:val="24"/>
          <w:lang w:eastAsia="es-AR"/>
        </w:rPr>
        <w:t>Leeuw</w:t>
      </w:r>
      <w:proofErr w:type="spellEnd"/>
      <w:r w:rsidRPr="00C93B01">
        <w:rPr>
          <w:rFonts w:ascii="Times New Roman" w:eastAsia="Arial" w:hAnsi="Times New Roman" w:cs="Times New Roman"/>
          <w:sz w:val="24"/>
          <w:szCs w:val="24"/>
          <w:lang w:eastAsia="es-AR"/>
        </w:rPr>
        <w:t xml:space="preserve">, S. </w:t>
      </w:r>
      <w:r w:rsidRPr="00C93B01">
        <w:rPr>
          <w:rFonts w:ascii="Times New Roman" w:eastAsia="Arial" w:hAnsi="Times New Roman" w:cs="Times New Roman"/>
          <w:sz w:val="24"/>
          <w:szCs w:val="24"/>
          <w:lang w:val="en-US" w:eastAsia="es-AR"/>
        </w:rPr>
        <w:t xml:space="preserve">(2017). Towards a   dynamic balanced scorecard model for humanitarian relief organizations’ performance management. </w:t>
      </w:r>
      <w:r w:rsidRPr="00C93B01">
        <w:rPr>
          <w:rFonts w:ascii="Times New Roman" w:eastAsia="Arial" w:hAnsi="Times New Roman" w:cs="Times New Roman"/>
          <w:i/>
          <w:iCs/>
          <w:sz w:val="24"/>
          <w:szCs w:val="24"/>
          <w:lang w:val="en-US" w:eastAsia="es-AR"/>
        </w:rPr>
        <w:t>Journal of Humanitarian Logis- tics and Supply Chain Management</w:t>
      </w:r>
      <w:r w:rsidRPr="00C93B01">
        <w:rPr>
          <w:rFonts w:ascii="Times New Roman" w:eastAsia="Arial" w:hAnsi="Times New Roman" w:cs="Times New Roman"/>
          <w:sz w:val="24"/>
          <w:szCs w:val="24"/>
          <w:lang w:val="en-US" w:eastAsia="es-AR"/>
        </w:rPr>
        <w:t xml:space="preserve">, </w:t>
      </w:r>
      <w:r w:rsidRPr="00C93B01">
        <w:rPr>
          <w:rFonts w:ascii="Times New Roman" w:eastAsia="Arial" w:hAnsi="Times New Roman" w:cs="Times New Roman"/>
          <w:i/>
          <w:iCs/>
          <w:sz w:val="24"/>
          <w:szCs w:val="24"/>
          <w:lang w:val="en-US" w:eastAsia="es-AR"/>
        </w:rPr>
        <w:t>7</w:t>
      </w:r>
      <w:r w:rsidRPr="00C93B01">
        <w:rPr>
          <w:rFonts w:ascii="Times New Roman" w:eastAsia="Arial" w:hAnsi="Times New Roman" w:cs="Times New Roman"/>
          <w:sz w:val="24"/>
          <w:szCs w:val="24"/>
          <w:lang w:val="en-US" w:eastAsia="es-AR"/>
        </w:rPr>
        <w:t xml:space="preserve">(2), 194-218. http://doi.org/10.1108/JHLSCM-01-2017-0001 </w:t>
      </w:r>
    </w:p>
    <w:p w14:paraId="4F1CA67E" w14:textId="04491162" w:rsidR="000862E1" w:rsidRPr="00EA5FC4" w:rsidRDefault="000862E1" w:rsidP="00EA5FC4">
      <w:pPr>
        <w:tabs>
          <w:tab w:val="left" w:pos="284"/>
        </w:tabs>
        <w:spacing w:before="100" w:beforeAutospacing="1" w:after="100" w:afterAutospacing="1" w:line="276" w:lineRule="auto"/>
        <w:jc w:val="both"/>
        <w:rPr>
          <w:rFonts w:ascii="Times New Roman" w:eastAsia="Times New Roman" w:hAnsi="Times New Roman" w:cs="Times New Roman"/>
          <w:b/>
          <w:bCs/>
          <w:color w:val="212529"/>
          <w:kern w:val="36"/>
          <w:sz w:val="24"/>
          <w:szCs w:val="24"/>
        </w:rPr>
      </w:pPr>
      <w:r w:rsidRPr="00EA5FC4">
        <w:rPr>
          <w:rFonts w:ascii="Times New Roman" w:eastAsiaTheme="majorEastAsia" w:hAnsi="Times New Roman" w:cs="Times New Roman"/>
          <w:sz w:val="24"/>
          <w:szCs w:val="24"/>
          <w:lang w:eastAsia="es-AR"/>
        </w:rPr>
        <w:t>Calle, C. (2019).</w:t>
      </w:r>
      <w:r w:rsidRPr="00EA5FC4">
        <w:rPr>
          <w:rFonts w:ascii="Times New Roman" w:eastAsiaTheme="majorEastAsia" w:hAnsi="Times New Roman" w:cs="Times New Roman"/>
          <w:color w:val="2F5496" w:themeColor="accent1" w:themeShade="BF"/>
          <w:sz w:val="24"/>
          <w:szCs w:val="24"/>
          <w:lang w:eastAsia="es-AR"/>
        </w:rPr>
        <w:t xml:space="preserve"> </w:t>
      </w:r>
      <w:r w:rsidRPr="00EA5FC4">
        <w:rPr>
          <w:rFonts w:ascii="Times New Roman" w:eastAsia="Times New Roman" w:hAnsi="Times New Roman" w:cs="Times New Roman"/>
          <w:bCs/>
          <w:color w:val="212529"/>
          <w:kern w:val="36"/>
          <w:sz w:val="24"/>
          <w:szCs w:val="24"/>
        </w:rPr>
        <w:t xml:space="preserve">Transformación digital, un proceso lento pero firme. </w:t>
      </w:r>
      <w:r w:rsidRPr="00EA5FC4">
        <w:rPr>
          <w:rFonts w:ascii="Times New Roman" w:eastAsia="Times New Roman" w:hAnsi="Times New Roman" w:cs="Times New Roman"/>
          <w:bCs/>
          <w:i/>
          <w:color w:val="212529"/>
          <w:kern w:val="36"/>
          <w:sz w:val="24"/>
          <w:szCs w:val="24"/>
        </w:rPr>
        <w:t>KPMG Tendencias</w:t>
      </w:r>
      <w:r w:rsidRPr="00EA5FC4">
        <w:rPr>
          <w:rFonts w:ascii="Times New Roman" w:eastAsia="Times New Roman" w:hAnsi="Times New Roman" w:cs="Times New Roman"/>
          <w:bCs/>
          <w:color w:val="212529"/>
          <w:kern w:val="36"/>
          <w:sz w:val="24"/>
          <w:szCs w:val="24"/>
        </w:rPr>
        <w:t xml:space="preserve">. </w:t>
      </w:r>
    </w:p>
    <w:p w14:paraId="192C1C0C" w14:textId="12FA0BE8" w:rsidR="000862E1" w:rsidRPr="00EA5FC4" w:rsidRDefault="000862E1" w:rsidP="00EA5FC4">
      <w:pPr>
        <w:keepNext/>
        <w:keepLines/>
        <w:shd w:val="clear" w:color="auto" w:fill="FFFFFF"/>
        <w:tabs>
          <w:tab w:val="left" w:pos="284"/>
        </w:tabs>
        <w:spacing w:before="100" w:beforeAutospacing="1" w:after="100" w:afterAutospacing="1" w:line="276" w:lineRule="auto"/>
        <w:jc w:val="both"/>
        <w:outlineLvl w:val="0"/>
        <w:rPr>
          <w:rFonts w:ascii="Times New Roman" w:eastAsia="Times New Roman" w:hAnsi="Times New Roman" w:cs="Times New Roman"/>
          <w:color w:val="FFFFFF"/>
          <w:kern w:val="36"/>
          <w:sz w:val="24"/>
          <w:szCs w:val="24"/>
        </w:rPr>
      </w:pPr>
      <w:r w:rsidRPr="00EA5FC4">
        <w:rPr>
          <w:rFonts w:ascii="Times New Roman" w:eastAsiaTheme="majorEastAsia" w:hAnsi="Times New Roman" w:cs="Times New Roman"/>
          <w:sz w:val="24"/>
          <w:szCs w:val="24"/>
          <w:lang w:eastAsia="es-AR"/>
        </w:rPr>
        <w:t xml:space="preserve">Castilla Vida, </w:t>
      </w:r>
      <w:r w:rsidR="009254A9">
        <w:rPr>
          <w:rFonts w:ascii="Times New Roman" w:eastAsiaTheme="majorEastAsia" w:hAnsi="Times New Roman" w:cs="Times New Roman"/>
          <w:sz w:val="24"/>
          <w:szCs w:val="24"/>
          <w:lang w:eastAsia="es-AR"/>
        </w:rPr>
        <w:t>A</w:t>
      </w:r>
      <w:r w:rsidRPr="00EA5FC4">
        <w:rPr>
          <w:rFonts w:ascii="Times New Roman" w:eastAsiaTheme="majorEastAsia" w:hAnsi="Times New Roman" w:cs="Times New Roman"/>
          <w:sz w:val="24"/>
          <w:szCs w:val="24"/>
          <w:lang w:eastAsia="es-AR"/>
        </w:rPr>
        <w:t xml:space="preserve">. (2022). </w:t>
      </w:r>
      <w:r w:rsidRPr="00EA5FC4">
        <w:rPr>
          <w:rFonts w:ascii="Times New Roman" w:eastAsia="Times New Roman" w:hAnsi="Times New Roman" w:cs="Times New Roman"/>
          <w:kern w:val="36"/>
          <w:sz w:val="24"/>
          <w:szCs w:val="24"/>
        </w:rPr>
        <w:t xml:space="preserve">¿Están tus datos ESG desbloqueando valor a largo plazo? </w:t>
      </w:r>
      <w:r w:rsidRPr="009254A9">
        <w:rPr>
          <w:rFonts w:ascii="Times New Roman" w:eastAsia="Times New Roman" w:hAnsi="Times New Roman" w:cs="Times New Roman"/>
          <w:i/>
          <w:iCs/>
          <w:kern w:val="36"/>
          <w:sz w:val="24"/>
          <w:szCs w:val="24"/>
        </w:rPr>
        <w:t>EY</w:t>
      </w:r>
      <w:r w:rsidRPr="00EA5FC4">
        <w:rPr>
          <w:rFonts w:ascii="Times New Roman" w:eastAsia="Times New Roman" w:hAnsi="Times New Roman" w:cs="Times New Roman"/>
          <w:kern w:val="36"/>
          <w:sz w:val="24"/>
          <w:szCs w:val="24"/>
        </w:rPr>
        <w:t xml:space="preserve">. </w:t>
      </w:r>
    </w:p>
    <w:p w14:paraId="37A0F758" w14:textId="77777777" w:rsidR="00A7281C" w:rsidRPr="00EA5FC4" w:rsidRDefault="00A7281C" w:rsidP="00EA5FC4">
      <w:pPr>
        <w:shd w:val="clear" w:color="auto" w:fill="FFFFFF"/>
        <w:spacing w:after="0" w:line="276" w:lineRule="auto"/>
        <w:rPr>
          <w:rFonts w:ascii="Times New Roman" w:eastAsia="Times New Roman" w:hAnsi="Times New Roman" w:cs="Times New Roman"/>
          <w:sz w:val="24"/>
          <w:szCs w:val="24"/>
          <w:lang w:eastAsia="es-AR"/>
        </w:rPr>
      </w:pPr>
      <w:bookmarkStart w:id="5" w:name="_Hlk204436011"/>
      <w:r w:rsidRPr="00EA5FC4">
        <w:rPr>
          <w:rFonts w:ascii="Times New Roman" w:eastAsia="Times New Roman" w:hAnsi="Times New Roman" w:cs="Times New Roman"/>
          <w:sz w:val="24"/>
          <w:szCs w:val="24"/>
          <w:lang w:val="en-US" w:eastAsia="es-AR"/>
        </w:rPr>
        <w:t>Chesbrough, H. W. (2003</w:t>
      </w:r>
      <w:bookmarkEnd w:id="5"/>
      <w:r w:rsidRPr="00EA5FC4">
        <w:rPr>
          <w:rFonts w:ascii="Times New Roman" w:eastAsia="Times New Roman" w:hAnsi="Times New Roman" w:cs="Times New Roman"/>
          <w:sz w:val="24"/>
          <w:szCs w:val="24"/>
          <w:lang w:val="en-US" w:eastAsia="es-AR"/>
        </w:rPr>
        <w:t>). </w:t>
      </w:r>
      <w:hyperlink r:id="rId10" w:anchor="v=onepage&amp;q&amp;f=false" w:tgtFrame="_blank" w:history="1">
        <w:r w:rsidRPr="0072205E">
          <w:rPr>
            <w:rFonts w:ascii="Times New Roman" w:eastAsia="Times New Roman" w:hAnsi="Times New Roman" w:cs="Times New Roman"/>
            <w:i/>
            <w:iCs/>
            <w:sz w:val="24"/>
            <w:szCs w:val="24"/>
            <w:lang w:val="en-US" w:eastAsia="es-AR"/>
          </w:rPr>
          <w:t>Open Innovation: The New Imperative for Creating and Profiting from Technology</w:t>
        </w:r>
      </w:hyperlink>
      <w:r w:rsidRPr="0072205E">
        <w:rPr>
          <w:rFonts w:ascii="Times New Roman" w:eastAsia="Times New Roman" w:hAnsi="Times New Roman" w:cs="Times New Roman"/>
          <w:i/>
          <w:iCs/>
          <w:sz w:val="24"/>
          <w:szCs w:val="24"/>
          <w:lang w:val="en-US" w:eastAsia="es-AR"/>
        </w:rPr>
        <w:t>.</w:t>
      </w:r>
      <w:r w:rsidRPr="00EA5FC4">
        <w:rPr>
          <w:rFonts w:ascii="Times New Roman" w:eastAsia="Times New Roman" w:hAnsi="Times New Roman" w:cs="Times New Roman"/>
          <w:sz w:val="24"/>
          <w:szCs w:val="24"/>
          <w:lang w:val="en-US" w:eastAsia="es-AR"/>
        </w:rPr>
        <w:t xml:space="preserve"> </w:t>
      </w:r>
      <w:r w:rsidRPr="00EA5FC4">
        <w:rPr>
          <w:rFonts w:ascii="Times New Roman" w:eastAsia="Times New Roman" w:hAnsi="Times New Roman" w:cs="Times New Roman"/>
          <w:sz w:val="24"/>
          <w:szCs w:val="24"/>
          <w:lang w:eastAsia="es-AR"/>
        </w:rPr>
        <w:t xml:space="preserve">Harvard Business </w:t>
      </w:r>
      <w:proofErr w:type="spellStart"/>
      <w:r w:rsidRPr="00EA5FC4">
        <w:rPr>
          <w:rFonts w:ascii="Times New Roman" w:eastAsia="Times New Roman" w:hAnsi="Times New Roman" w:cs="Times New Roman"/>
          <w:sz w:val="24"/>
          <w:szCs w:val="24"/>
          <w:lang w:eastAsia="es-AR"/>
        </w:rPr>
        <w:t>Press</w:t>
      </w:r>
      <w:proofErr w:type="spellEnd"/>
      <w:r w:rsidRPr="00EA5FC4">
        <w:rPr>
          <w:rFonts w:ascii="Times New Roman" w:eastAsia="Times New Roman" w:hAnsi="Times New Roman" w:cs="Times New Roman"/>
          <w:sz w:val="24"/>
          <w:szCs w:val="24"/>
          <w:lang w:eastAsia="es-AR"/>
        </w:rPr>
        <w:t>.</w:t>
      </w:r>
    </w:p>
    <w:p w14:paraId="2F48258C" w14:textId="1DA77A95" w:rsidR="000862E1" w:rsidRPr="00EA5FC4" w:rsidRDefault="000862E1" w:rsidP="00EA5FC4">
      <w:pPr>
        <w:tabs>
          <w:tab w:val="left" w:pos="284"/>
        </w:tabs>
        <w:spacing w:before="100" w:beforeAutospacing="1" w:after="100" w:afterAutospacing="1" w:line="276" w:lineRule="auto"/>
        <w:jc w:val="both"/>
        <w:rPr>
          <w:rFonts w:ascii="Times New Roman" w:eastAsia="Arial" w:hAnsi="Times New Roman" w:cs="Times New Roman"/>
          <w:color w:val="4472C4" w:themeColor="accent1"/>
          <w:sz w:val="24"/>
          <w:szCs w:val="24"/>
          <w:lang w:val="en-US" w:eastAsia="es-AR"/>
        </w:rPr>
      </w:pPr>
      <w:r w:rsidRPr="00EA5FC4">
        <w:rPr>
          <w:rFonts w:ascii="Times New Roman" w:eastAsia="Arial" w:hAnsi="Times New Roman" w:cs="Times New Roman"/>
          <w:sz w:val="24"/>
          <w:szCs w:val="24"/>
          <w:lang w:eastAsia="es-AR"/>
        </w:rPr>
        <w:t xml:space="preserve">Comisión Europea (CE). 2019. </w:t>
      </w:r>
      <w:r w:rsidRPr="0072205E">
        <w:rPr>
          <w:rFonts w:ascii="Times New Roman" w:eastAsia="Arial" w:hAnsi="Times New Roman" w:cs="Times New Roman"/>
          <w:i/>
          <w:iCs/>
          <w:sz w:val="24"/>
          <w:szCs w:val="24"/>
          <w:lang w:val="es-ES" w:eastAsia="es-AR"/>
        </w:rPr>
        <w:t>Directrices sobre la presentación de informes no financieros: Suplemento sobre la información relacionada con el clima</w:t>
      </w:r>
      <w:r w:rsidRPr="00EA5FC4">
        <w:rPr>
          <w:rFonts w:ascii="Times New Roman" w:eastAsia="Arial" w:hAnsi="Times New Roman" w:cs="Times New Roman"/>
          <w:sz w:val="24"/>
          <w:szCs w:val="24"/>
          <w:lang w:val="es-ES" w:eastAsia="es-AR"/>
        </w:rPr>
        <w:t xml:space="preserve">. </w:t>
      </w:r>
      <w:r w:rsidRPr="00EA5FC4">
        <w:rPr>
          <w:rFonts w:ascii="Times New Roman" w:eastAsia="Arial" w:hAnsi="Times New Roman" w:cs="Times New Roman"/>
          <w:sz w:val="24"/>
          <w:szCs w:val="24"/>
          <w:lang w:val="en-US" w:eastAsia="es-AR"/>
        </w:rPr>
        <w:t xml:space="preserve">Comisión Europea. </w:t>
      </w:r>
    </w:p>
    <w:p w14:paraId="7DD547A5" w14:textId="42793938" w:rsidR="000862E1" w:rsidRPr="00EA5FC4" w:rsidRDefault="000862E1" w:rsidP="00EA5FC4">
      <w:pPr>
        <w:tabs>
          <w:tab w:val="left" w:pos="284"/>
          <w:tab w:val="left" w:pos="1440"/>
        </w:tabs>
        <w:spacing w:before="100" w:beforeAutospacing="1" w:after="100" w:afterAutospacing="1" w:line="276" w:lineRule="auto"/>
        <w:jc w:val="both"/>
        <w:rPr>
          <w:rFonts w:ascii="Times New Roman" w:hAnsi="Times New Roman" w:cs="Times New Roman"/>
          <w:sz w:val="24"/>
          <w:szCs w:val="24"/>
          <w:u w:val="single"/>
          <w:shd w:val="clear" w:color="auto" w:fill="FFFFFF"/>
          <w:lang w:val="en-US"/>
        </w:rPr>
      </w:pPr>
      <w:r w:rsidRPr="00EA5FC4">
        <w:rPr>
          <w:rFonts w:ascii="Times New Roman" w:hAnsi="Times New Roman" w:cs="Times New Roman"/>
          <w:color w:val="222222"/>
          <w:sz w:val="24"/>
          <w:szCs w:val="24"/>
          <w:shd w:val="clear" w:color="auto" w:fill="FFFFFF"/>
          <w:lang w:val="en-GB"/>
        </w:rPr>
        <w:t>Cormier, D.</w:t>
      </w:r>
      <w:r w:rsidR="0072205E">
        <w:rPr>
          <w:rFonts w:ascii="Times New Roman" w:hAnsi="Times New Roman" w:cs="Times New Roman"/>
          <w:color w:val="222222"/>
          <w:sz w:val="24"/>
          <w:szCs w:val="24"/>
          <w:shd w:val="clear" w:color="auto" w:fill="FFFFFF"/>
          <w:lang w:val="en-GB"/>
        </w:rPr>
        <w:t xml:space="preserve"> &amp;</w:t>
      </w:r>
      <w:r w:rsidRPr="00EA5FC4">
        <w:rPr>
          <w:rFonts w:ascii="Times New Roman" w:hAnsi="Times New Roman" w:cs="Times New Roman"/>
          <w:color w:val="222222"/>
          <w:sz w:val="24"/>
          <w:szCs w:val="24"/>
          <w:shd w:val="clear" w:color="auto" w:fill="FFFFFF"/>
          <w:lang w:val="en-GB"/>
        </w:rPr>
        <w:t xml:space="preserve"> Magnan, M. (2015). The economic relevance of environmental </w:t>
      </w:r>
      <w:proofErr w:type="gramStart"/>
      <w:r w:rsidRPr="00EA5FC4">
        <w:rPr>
          <w:rFonts w:ascii="Times New Roman" w:hAnsi="Times New Roman" w:cs="Times New Roman"/>
          <w:color w:val="222222"/>
          <w:sz w:val="24"/>
          <w:szCs w:val="24"/>
          <w:shd w:val="clear" w:color="auto" w:fill="FFFFFF"/>
          <w:lang w:val="en-GB"/>
        </w:rPr>
        <w:t xml:space="preserve">disclosure </w:t>
      </w:r>
      <w:r w:rsidR="0072205E">
        <w:rPr>
          <w:rFonts w:ascii="Times New Roman" w:hAnsi="Times New Roman" w:cs="Times New Roman"/>
          <w:color w:val="222222"/>
          <w:sz w:val="24"/>
          <w:szCs w:val="24"/>
          <w:shd w:val="clear" w:color="auto" w:fill="FFFFFF"/>
          <w:lang w:val="en-GB"/>
        </w:rPr>
        <w:t xml:space="preserve"> </w:t>
      </w:r>
      <w:r w:rsidRPr="00EA5FC4">
        <w:rPr>
          <w:rFonts w:ascii="Times New Roman" w:hAnsi="Times New Roman" w:cs="Times New Roman"/>
          <w:color w:val="222222"/>
          <w:sz w:val="24"/>
          <w:szCs w:val="24"/>
          <w:shd w:val="clear" w:color="auto" w:fill="FFFFFF"/>
          <w:lang w:val="en-GB"/>
        </w:rPr>
        <w:t>and</w:t>
      </w:r>
      <w:proofErr w:type="gramEnd"/>
      <w:r w:rsidRPr="00EA5FC4">
        <w:rPr>
          <w:rFonts w:ascii="Times New Roman" w:hAnsi="Times New Roman" w:cs="Times New Roman"/>
          <w:color w:val="222222"/>
          <w:sz w:val="24"/>
          <w:szCs w:val="24"/>
          <w:shd w:val="clear" w:color="auto" w:fill="FFFFFF"/>
          <w:lang w:val="en-GB"/>
        </w:rPr>
        <w:t xml:space="preserve"> its impact on corporate legitimacy: An empirical investigation. </w:t>
      </w:r>
      <w:r w:rsidRPr="00EA5FC4">
        <w:rPr>
          <w:rFonts w:ascii="Times New Roman" w:hAnsi="Times New Roman" w:cs="Times New Roman"/>
          <w:i/>
          <w:color w:val="222222"/>
          <w:sz w:val="24"/>
          <w:szCs w:val="24"/>
          <w:shd w:val="clear" w:color="auto" w:fill="FFFFFF"/>
          <w:lang w:val="en-US"/>
        </w:rPr>
        <w:t xml:space="preserve">Business Strategy and </w:t>
      </w:r>
      <w:r w:rsidRPr="00EA5FC4">
        <w:rPr>
          <w:rFonts w:ascii="Times New Roman" w:hAnsi="Times New Roman" w:cs="Times New Roman"/>
          <w:i/>
          <w:sz w:val="24"/>
          <w:szCs w:val="24"/>
          <w:shd w:val="clear" w:color="auto" w:fill="FFFFFF"/>
          <w:lang w:val="en-US"/>
        </w:rPr>
        <w:t>the Environment</w:t>
      </w:r>
      <w:r w:rsidRPr="00EA5FC4">
        <w:rPr>
          <w:rFonts w:ascii="Times New Roman" w:hAnsi="Times New Roman" w:cs="Times New Roman"/>
          <w:sz w:val="24"/>
          <w:szCs w:val="24"/>
          <w:shd w:val="clear" w:color="auto" w:fill="FFFFFF"/>
          <w:lang w:val="en-US"/>
        </w:rPr>
        <w:t xml:space="preserve">, 24(6), 431-450. </w:t>
      </w:r>
      <w:hyperlink r:id="rId11" w:history="1">
        <w:r w:rsidRPr="00EA5FC4">
          <w:rPr>
            <w:rStyle w:val="Hipervnculo"/>
            <w:rFonts w:ascii="Times New Roman" w:hAnsi="Times New Roman" w:cs="Times New Roman"/>
            <w:color w:val="auto"/>
            <w:sz w:val="24"/>
            <w:szCs w:val="24"/>
            <w:shd w:val="clear" w:color="auto" w:fill="FFFFFF"/>
            <w:lang w:val="en-US"/>
          </w:rPr>
          <w:t>https://doi.org/10.1002/bse.1829</w:t>
        </w:r>
      </w:hyperlink>
    </w:p>
    <w:p w14:paraId="7A2A7255" w14:textId="0318B93E" w:rsidR="000862E1" w:rsidRPr="00EA5FC4" w:rsidRDefault="000862E1" w:rsidP="00EA5FC4">
      <w:pPr>
        <w:tabs>
          <w:tab w:val="left" w:pos="284"/>
          <w:tab w:val="left" w:pos="1440"/>
        </w:tabs>
        <w:spacing w:before="100" w:beforeAutospacing="1" w:after="100" w:afterAutospacing="1" w:line="276" w:lineRule="auto"/>
        <w:jc w:val="both"/>
        <w:rPr>
          <w:rFonts w:ascii="Times New Roman" w:hAnsi="Times New Roman" w:cs="Times New Roman"/>
          <w:color w:val="4472C4" w:themeColor="accent1"/>
          <w:sz w:val="24"/>
          <w:szCs w:val="24"/>
          <w:u w:val="single"/>
          <w:shd w:val="clear" w:color="auto" w:fill="FFFFFF"/>
        </w:rPr>
      </w:pPr>
      <w:r w:rsidRPr="00EA5FC4">
        <w:rPr>
          <w:rFonts w:ascii="Times New Roman" w:hAnsi="Times New Roman" w:cs="Times New Roman"/>
          <w:sz w:val="24"/>
          <w:szCs w:val="24"/>
          <w:shd w:val="clear" w:color="auto" w:fill="FFFFFF"/>
          <w:lang w:val="en-US"/>
        </w:rPr>
        <w:t xml:space="preserve">Deloitte (2022). </w:t>
      </w:r>
      <w:r w:rsidRPr="00EA5FC4">
        <w:rPr>
          <w:rFonts w:ascii="Times New Roman" w:hAnsi="Times New Roman" w:cs="Times New Roman"/>
          <w:sz w:val="24"/>
          <w:szCs w:val="24"/>
        </w:rPr>
        <w:t xml:space="preserve">Cadena de Valor Sostenible La importancia de monitorear y gestionar las variables ESG en la cadena de valor. </w:t>
      </w:r>
      <w:r w:rsidR="009254A9" w:rsidRPr="009254A9">
        <w:rPr>
          <w:rFonts w:ascii="Times New Roman" w:hAnsi="Times New Roman" w:cs="Times New Roman"/>
          <w:i/>
          <w:iCs/>
          <w:sz w:val="24"/>
          <w:szCs w:val="24"/>
        </w:rPr>
        <w:t>Deloitte</w:t>
      </w:r>
    </w:p>
    <w:p w14:paraId="49712E93" w14:textId="77777777" w:rsidR="000862E1" w:rsidRPr="00EA5FC4" w:rsidRDefault="000862E1" w:rsidP="00EA5FC4">
      <w:pPr>
        <w:pStyle w:val="Ttulo1"/>
        <w:spacing w:before="0" w:line="276" w:lineRule="auto"/>
        <w:jc w:val="both"/>
        <w:rPr>
          <w:rFonts w:ascii="Times New Roman" w:hAnsi="Times New Roman" w:cs="Times New Roman"/>
          <w:b/>
          <w:bCs/>
          <w:color w:val="auto"/>
          <w:sz w:val="24"/>
          <w:szCs w:val="24"/>
          <w:lang w:val="en-US"/>
        </w:rPr>
      </w:pPr>
      <w:r w:rsidRPr="00EA5FC4">
        <w:rPr>
          <w:rFonts w:ascii="Times New Roman" w:hAnsi="Times New Roman" w:cs="Times New Roman"/>
          <w:color w:val="auto"/>
          <w:sz w:val="24"/>
          <w:szCs w:val="24"/>
          <w:lang w:val="en-US"/>
        </w:rPr>
        <w:t xml:space="preserve">Flyvbjerg, B. (2006), </w:t>
      </w:r>
      <w:r w:rsidRPr="0072205E">
        <w:rPr>
          <w:rFonts w:ascii="Times New Roman" w:hAnsi="Times New Roman" w:cs="Times New Roman"/>
          <w:iCs/>
          <w:color w:val="auto"/>
          <w:sz w:val="24"/>
          <w:szCs w:val="24"/>
          <w:lang w:val="en-US"/>
        </w:rPr>
        <w:t>Five Misunderstandings About Case-Study Research</w:t>
      </w:r>
      <w:r w:rsidRPr="00EA5FC4">
        <w:rPr>
          <w:rFonts w:ascii="Times New Roman" w:hAnsi="Times New Roman" w:cs="Times New Roman"/>
          <w:i/>
          <w:color w:val="auto"/>
          <w:sz w:val="24"/>
          <w:szCs w:val="24"/>
          <w:lang w:val="en-US"/>
        </w:rPr>
        <w:t>, Qualitative Inquiry</w:t>
      </w:r>
      <w:r w:rsidRPr="00EA5FC4">
        <w:rPr>
          <w:rFonts w:ascii="Times New Roman" w:hAnsi="Times New Roman" w:cs="Times New Roman"/>
          <w:color w:val="auto"/>
          <w:sz w:val="24"/>
          <w:szCs w:val="24"/>
          <w:lang w:val="en-US"/>
        </w:rPr>
        <w:t>, 12(2): 219-245</w:t>
      </w:r>
    </w:p>
    <w:p w14:paraId="16149572" w14:textId="0DCB15D4" w:rsidR="000862E1" w:rsidRPr="00EA5FC4" w:rsidRDefault="000862E1" w:rsidP="00EA5FC4">
      <w:pPr>
        <w:tabs>
          <w:tab w:val="left" w:pos="284"/>
          <w:tab w:val="left" w:pos="1440"/>
        </w:tabs>
        <w:spacing w:before="100" w:beforeAutospacing="1" w:after="100" w:afterAutospacing="1" w:line="276" w:lineRule="auto"/>
        <w:jc w:val="both"/>
        <w:rPr>
          <w:rFonts w:ascii="Times New Roman" w:hAnsi="Times New Roman" w:cs="Times New Roman"/>
          <w:sz w:val="24"/>
          <w:szCs w:val="24"/>
          <w:lang w:val="en-US" w:eastAsia="es-AR"/>
        </w:rPr>
      </w:pPr>
      <w:r w:rsidRPr="00EA5FC4">
        <w:rPr>
          <w:rFonts w:ascii="Times New Roman" w:hAnsi="Times New Roman" w:cs="Times New Roman"/>
          <w:sz w:val="24"/>
          <w:szCs w:val="24"/>
          <w:lang w:val="en-US" w:eastAsia="es-AR"/>
        </w:rPr>
        <w:t>Gassman, P.</w:t>
      </w:r>
      <w:r w:rsidR="0072205E">
        <w:rPr>
          <w:rFonts w:ascii="Times New Roman" w:hAnsi="Times New Roman" w:cs="Times New Roman"/>
          <w:sz w:val="24"/>
          <w:szCs w:val="24"/>
          <w:lang w:val="en-US" w:eastAsia="es-AR"/>
        </w:rPr>
        <w:t xml:space="preserve"> &amp;</w:t>
      </w:r>
      <w:r w:rsidRPr="00EA5FC4">
        <w:rPr>
          <w:rFonts w:ascii="Times New Roman" w:hAnsi="Times New Roman" w:cs="Times New Roman"/>
          <w:sz w:val="24"/>
          <w:szCs w:val="24"/>
          <w:lang w:val="en-US" w:eastAsia="es-AR"/>
        </w:rPr>
        <w:t xml:space="preserve"> Kelly, C. (2021). </w:t>
      </w:r>
      <w:r w:rsidRPr="00EA5FC4">
        <w:rPr>
          <w:rFonts w:ascii="Times New Roman" w:hAnsi="Times New Roman" w:cs="Times New Roman"/>
          <w:sz w:val="24"/>
          <w:szCs w:val="24"/>
          <w:lang w:val="en-GB" w:eastAsia="es-AR"/>
        </w:rPr>
        <w:t xml:space="preserve">How ESG will drive the next wave of transformation? </w:t>
      </w:r>
      <w:r w:rsidRPr="00EA5FC4">
        <w:rPr>
          <w:rFonts w:ascii="Times New Roman" w:hAnsi="Times New Roman" w:cs="Times New Roman"/>
          <w:i/>
          <w:sz w:val="24"/>
          <w:szCs w:val="24"/>
          <w:lang w:val="en-US" w:eastAsia="es-AR"/>
        </w:rPr>
        <w:t xml:space="preserve">Strategy + </w:t>
      </w:r>
      <w:proofErr w:type="spellStart"/>
      <w:r w:rsidRPr="00EA5FC4">
        <w:rPr>
          <w:rFonts w:ascii="Times New Roman" w:hAnsi="Times New Roman" w:cs="Times New Roman"/>
          <w:i/>
          <w:sz w:val="24"/>
          <w:szCs w:val="24"/>
          <w:lang w:val="en-US" w:eastAsia="es-AR"/>
        </w:rPr>
        <w:t>Busines</w:t>
      </w:r>
      <w:proofErr w:type="spellEnd"/>
      <w:r w:rsidRPr="00EA5FC4">
        <w:rPr>
          <w:rFonts w:ascii="Times New Roman" w:hAnsi="Times New Roman" w:cs="Times New Roman"/>
          <w:i/>
          <w:sz w:val="24"/>
          <w:szCs w:val="24"/>
          <w:lang w:val="en-US" w:eastAsia="es-AR"/>
        </w:rPr>
        <w:t>, PwC</w:t>
      </w:r>
      <w:r w:rsidRPr="00EA5FC4">
        <w:rPr>
          <w:rFonts w:ascii="Times New Roman" w:hAnsi="Times New Roman" w:cs="Times New Roman"/>
          <w:sz w:val="24"/>
          <w:szCs w:val="24"/>
          <w:lang w:val="en-US" w:eastAsia="es-AR"/>
        </w:rPr>
        <w:t xml:space="preserve">. </w:t>
      </w:r>
    </w:p>
    <w:p w14:paraId="06816CF5" w14:textId="36934030" w:rsidR="00E05481" w:rsidRPr="00EA5FC4" w:rsidRDefault="00E05481" w:rsidP="00EA5FC4">
      <w:pPr>
        <w:shd w:val="clear" w:color="auto" w:fill="FFFFFF"/>
        <w:tabs>
          <w:tab w:val="left" w:pos="284"/>
          <w:tab w:val="num" w:pos="720"/>
        </w:tabs>
        <w:spacing w:before="100" w:beforeAutospacing="1" w:after="100" w:afterAutospacing="1" w:line="276" w:lineRule="auto"/>
        <w:jc w:val="both"/>
        <w:rPr>
          <w:rFonts w:ascii="Times New Roman" w:eastAsia="Times New Roman" w:hAnsi="Times New Roman" w:cs="Times New Roman"/>
          <w:sz w:val="24"/>
          <w:szCs w:val="24"/>
          <w:bdr w:val="none" w:sz="0" w:space="0" w:color="auto" w:frame="1"/>
          <w:lang w:val="en-US"/>
        </w:rPr>
      </w:pPr>
      <w:r w:rsidRPr="00EA5FC4">
        <w:rPr>
          <w:rFonts w:ascii="Times New Roman" w:eastAsia="Times New Roman" w:hAnsi="Times New Roman" w:cs="Times New Roman"/>
          <w:sz w:val="24"/>
          <w:szCs w:val="24"/>
          <w:bdr w:val="none" w:sz="0" w:space="0" w:color="auto" w:frame="1"/>
          <w:lang w:val="en-US"/>
        </w:rPr>
        <w:t xml:space="preserve">Hoang, T. (2018). </w:t>
      </w:r>
      <w:r w:rsidRPr="0072205E">
        <w:rPr>
          <w:rFonts w:ascii="Times New Roman" w:eastAsia="Times New Roman" w:hAnsi="Times New Roman" w:cs="Times New Roman"/>
          <w:i/>
          <w:iCs/>
          <w:sz w:val="24"/>
          <w:szCs w:val="24"/>
          <w:bdr w:val="none" w:sz="0" w:space="0" w:color="auto" w:frame="1"/>
          <w:lang w:val="en-US"/>
        </w:rPr>
        <w:t>The role of the integrated reporting in raising awareness of Environmental, Social and Corporate Governance (ESG) performance</w:t>
      </w:r>
      <w:r w:rsidRPr="00EA5FC4">
        <w:rPr>
          <w:rFonts w:ascii="Times New Roman" w:eastAsia="Times New Roman" w:hAnsi="Times New Roman" w:cs="Times New Roman"/>
          <w:sz w:val="24"/>
          <w:szCs w:val="24"/>
          <w:bdr w:val="none" w:sz="0" w:space="0" w:color="auto" w:frame="1"/>
          <w:lang w:val="en-US"/>
        </w:rPr>
        <w:t xml:space="preserve">. </w:t>
      </w:r>
      <w:r w:rsidR="00B61225" w:rsidRPr="00EA5FC4">
        <w:rPr>
          <w:rFonts w:ascii="Times New Roman" w:eastAsia="Times New Roman" w:hAnsi="Times New Roman" w:cs="Times New Roman"/>
          <w:sz w:val="24"/>
          <w:szCs w:val="24"/>
          <w:bdr w:val="none" w:sz="0" w:space="0" w:color="auto" w:frame="1"/>
          <w:lang w:val="en-US"/>
        </w:rPr>
        <w:t>Emerald Publishing Limited. D</w:t>
      </w:r>
      <w:r w:rsidRPr="00EA5FC4">
        <w:rPr>
          <w:rFonts w:ascii="Times New Roman" w:eastAsia="Times New Roman" w:hAnsi="Times New Roman" w:cs="Times New Roman"/>
          <w:sz w:val="24"/>
          <w:szCs w:val="24"/>
          <w:bdr w:val="none" w:sz="0" w:space="0" w:color="auto" w:frame="1"/>
          <w:lang w:val="en-US"/>
        </w:rPr>
        <w:t xml:space="preserve">oi: </w:t>
      </w:r>
      <w:r w:rsidRPr="00E05481">
        <w:rPr>
          <w:rFonts w:ascii="Times New Roman" w:eastAsia="Times New Roman" w:hAnsi="Times New Roman" w:cs="Times New Roman"/>
          <w:sz w:val="24"/>
          <w:szCs w:val="24"/>
          <w:bdr w:val="none" w:sz="0" w:space="0" w:color="auto" w:frame="1"/>
          <w:lang w:val="en-US"/>
        </w:rPr>
        <w:t>https://doi.org/10.</w:t>
      </w:r>
      <w:r w:rsidRPr="00EA5FC4">
        <w:rPr>
          <w:rFonts w:ascii="Times New Roman" w:hAnsi="Times New Roman" w:cs="Times New Roman"/>
          <w:sz w:val="24"/>
          <w:szCs w:val="24"/>
          <w:lang w:eastAsia="es-AR"/>
        </w:rPr>
        <w:t xml:space="preserve"> </w:t>
      </w:r>
      <w:r w:rsidRPr="00E05481">
        <w:rPr>
          <w:rFonts w:ascii="Times New Roman" w:eastAsia="Times New Roman" w:hAnsi="Times New Roman" w:cs="Times New Roman"/>
          <w:sz w:val="24"/>
          <w:szCs w:val="24"/>
          <w:bdr w:val="none" w:sz="0" w:space="0" w:color="auto" w:frame="1"/>
          <w:lang w:val="en-US"/>
        </w:rPr>
        <w:t>1108/S2043-05232018000001</w:t>
      </w:r>
      <w:r w:rsidRPr="00EA5FC4">
        <w:rPr>
          <w:rFonts w:ascii="Times New Roman" w:eastAsia="Times New Roman" w:hAnsi="Times New Roman" w:cs="Times New Roman"/>
          <w:sz w:val="24"/>
          <w:szCs w:val="24"/>
          <w:bdr w:val="none" w:sz="0" w:space="0" w:color="auto" w:frame="1"/>
          <w:lang w:val="en-US"/>
        </w:rPr>
        <w:t>400</w:t>
      </w:r>
    </w:p>
    <w:p w14:paraId="1BAF1AF2" w14:textId="7BCBB2C7" w:rsidR="000862E1" w:rsidRPr="00EA5FC4" w:rsidRDefault="000862E1" w:rsidP="00EA5FC4">
      <w:pPr>
        <w:spacing w:after="0" w:line="276" w:lineRule="auto"/>
        <w:rPr>
          <w:rFonts w:ascii="Times New Roman" w:eastAsia="Arial" w:hAnsi="Times New Roman" w:cs="Times New Roman"/>
          <w:color w:val="4472C4" w:themeColor="accent1"/>
          <w:sz w:val="24"/>
          <w:szCs w:val="24"/>
          <w:u w:val="single"/>
          <w:lang w:val="en-US" w:eastAsia="es-AR"/>
        </w:rPr>
      </w:pPr>
      <w:r w:rsidRPr="00EA5FC4">
        <w:rPr>
          <w:rFonts w:ascii="Times New Roman" w:hAnsi="Times New Roman" w:cs="Times New Roman"/>
          <w:sz w:val="24"/>
          <w:szCs w:val="24"/>
          <w:lang w:val="en-US"/>
        </w:rPr>
        <w:t xml:space="preserve">Jiang, L., Ferguson, A., Yeo, J., &amp; Bailey, R. (2020). </w:t>
      </w:r>
      <w:r w:rsidRPr="0072205E">
        <w:rPr>
          <w:rFonts w:ascii="Times New Roman" w:hAnsi="Times New Roman" w:cs="Times New Roman"/>
          <w:i/>
          <w:iCs/>
          <w:sz w:val="24"/>
          <w:szCs w:val="24"/>
          <w:lang w:val="en-US"/>
        </w:rPr>
        <w:t>ESG as a workforce strategy. Part I: Overview and Results.</w:t>
      </w:r>
      <w:r w:rsidRPr="00EA5FC4">
        <w:rPr>
          <w:rFonts w:ascii="Times New Roman" w:hAnsi="Times New Roman" w:cs="Times New Roman"/>
          <w:sz w:val="24"/>
          <w:szCs w:val="24"/>
          <w:lang w:val="en-US"/>
        </w:rPr>
        <w:t xml:space="preserve"> Marsh &amp; McLennan Companies. </w:t>
      </w:r>
    </w:p>
    <w:p w14:paraId="2E0B3BA6" w14:textId="0BD9E004" w:rsidR="000862E1" w:rsidRPr="00EA5FC4" w:rsidRDefault="000862E1" w:rsidP="00EA5FC4">
      <w:pPr>
        <w:tabs>
          <w:tab w:val="left" w:pos="284"/>
        </w:tabs>
        <w:spacing w:before="100" w:beforeAutospacing="1" w:after="100" w:afterAutospacing="1" w:line="276" w:lineRule="auto"/>
        <w:jc w:val="both"/>
        <w:rPr>
          <w:rFonts w:ascii="Times New Roman" w:eastAsia="Arial" w:hAnsi="Times New Roman" w:cs="Times New Roman"/>
          <w:sz w:val="24"/>
          <w:szCs w:val="24"/>
          <w:lang w:eastAsia="es-AR"/>
        </w:rPr>
      </w:pPr>
      <w:r w:rsidRPr="00EA5FC4">
        <w:rPr>
          <w:rFonts w:ascii="Times New Roman" w:eastAsia="Arial" w:hAnsi="Times New Roman" w:cs="Times New Roman"/>
          <w:sz w:val="24"/>
          <w:szCs w:val="24"/>
          <w:lang w:eastAsia="es-AR"/>
        </w:rPr>
        <w:t xml:space="preserve">Kaplan, R. S., &amp; Norton, D. P. (2005). El </w:t>
      </w:r>
      <w:proofErr w:type="spellStart"/>
      <w:r w:rsidRPr="00EA5FC4">
        <w:rPr>
          <w:rFonts w:ascii="Times New Roman" w:eastAsia="Arial" w:hAnsi="Times New Roman" w:cs="Times New Roman"/>
          <w:sz w:val="24"/>
          <w:szCs w:val="24"/>
          <w:lang w:eastAsia="es-AR"/>
        </w:rPr>
        <w:t>Balanced</w:t>
      </w:r>
      <w:proofErr w:type="spellEnd"/>
      <w:r w:rsidRPr="00EA5FC4">
        <w:rPr>
          <w:rFonts w:ascii="Times New Roman" w:eastAsia="Arial" w:hAnsi="Times New Roman" w:cs="Times New Roman"/>
          <w:sz w:val="24"/>
          <w:szCs w:val="24"/>
          <w:lang w:eastAsia="es-AR"/>
        </w:rPr>
        <w:t xml:space="preserve"> </w:t>
      </w:r>
      <w:proofErr w:type="spellStart"/>
      <w:r w:rsidRPr="00EA5FC4">
        <w:rPr>
          <w:rFonts w:ascii="Times New Roman" w:eastAsia="Arial" w:hAnsi="Times New Roman" w:cs="Times New Roman"/>
          <w:sz w:val="24"/>
          <w:szCs w:val="24"/>
          <w:lang w:eastAsia="es-AR"/>
        </w:rPr>
        <w:t>Scorecard</w:t>
      </w:r>
      <w:proofErr w:type="spellEnd"/>
      <w:r w:rsidRPr="00EA5FC4">
        <w:rPr>
          <w:rFonts w:ascii="Times New Roman" w:eastAsia="Arial" w:hAnsi="Times New Roman" w:cs="Times New Roman"/>
          <w:sz w:val="24"/>
          <w:szCs w:val="24"/>
          <w:lang w:eastAsia="es-AR"/>
        </w:rPr>
        <w:t xml:space="preserve">: Mediciones que impulsan el desempeño. </w:t>
      </w:r>
      <w:r w:rsidRPr="00EA5FC4">
        <w:rPr>
          <w:rFonts w:ascii="Times New Roman" w:eastAsia="Arial" w:hAnsi="Times New Roman" w:cs="Times New Roman"/>
          <w:i/>
          <w:sz w:val="24"/>
          <w:szCs w:val="24"/>
          <w:lang w:eastAsia="es-AR"/>
        </w:rPr>
        <w:t xml:space="preserve">Harvard Business </w:t>
      </w:r>
      <w:proofErr w:type="spellStart"/>
      <w:r w:rsidRPr="00EA5FC4">
        <w:rPr>
          <w:rFonts w:ascii="Times New Roman" w:eastAsia="Arial" w:hAnsi="Times New Roman" w:cs="Times New Roman"/>
          <w:i/>
          <w:sz w:val="24"/>
          <w:szCs w:val="24"/>
          <w:lang w:eastAsia="es-AR"/>
        </w:rPr>
        <w:t>Review</w:t>
      </w:r>
      <w:proofErr w:type="spellEnd"/>
      <w:r w:rsidRPr="00EA5FC4">
        <w:rPr>
          <w:rFonts w:ascii="Times New Roman" w:eastAsia="Arial" w:hAnsi="Times New Roman" w:cs="Times New Roman"/>
          <w:sz w:val="24"/>
          <w:szCs w:val="24"/>
          <w:lang w:eastAsia="es-AR"/>
        </w:rPr>
        <w:t xml:space="preserve">, 83(7), 102-110. </w:t>
      </w:r>
    </w:p>
    <w:p w14:paraId="0B7B2AC1" w14:textId="0575A122" w:rsidR="00451EEE" w:rsidRPr="00451EEE" w:rsidRDefault="00451EEE" w:rsidP="00EA5FC4">
      <w:pPr>
        <w:shd w:val="clear" w:color="auto" w:fill="FFFFFF"/>
        <w:spacing w:after="150" w:line="276" w:lineRule="auto"/>
        <w:jc w:val="both"/>
        <w:rPr>
          <w:rFonts w:ascii="Times New Roman" w:eastAsia="Times New Roman" w:hAnsi="Times New Roman" w:cs="Times New Roman"/>
          <w:sz w:val="24"/>
          <w:szCs w:val="24"/>
          <w:lang w:eastAsia="es-AR"/>
        </w:rPr>
      </w:pPr>
      <w:proofErr w:type="spellStart"/>
      <w:r w:rsidRPr="00EA5FC4">
        <w:rPr>
          <w:rFonts w:ascii="Times New Roman" w:hAnsi="Times New Roman" w:cs="Times New Roman"/>
          <w:sz w:val="24"/>
          <w:szCs w:val="24"/>
          <w:shd w:val="clear" w:color="auto" w:fill="FFFFFF"/>
        </w:rPr>
        <w:lastRenderedPageBreak/>
        <w:t>Kocmanová</w:t>
      </w:r>
      <w:proofErr w:type="spellEnd"/>
      <w:r w:rsidR="004500BC">
        <w:rPr>
          <w:rFonts w:ascii="Times New Roman" w:hAnsi="Times New Roman" w:cs="Times New Roman"/>
          <w:sz w:val="24"/>
          <w:szCs w:val="24"/>
          <w:shd w:val="clear" w:color="auto" w:fill="FFFFFF"/>
        </w:rPr>
        <w:t>, A.</w:t>
      </w:r>
      <w:r w:rsidRPr="00EA5FC4">
        <w:rPr>
          <w:rFonts w:ascii="Times New Roman" w:hAnsi="Times New Roman" w:cs="Times New Roman"/>
          <w:sz w:val="24"/>
          <w:szCs w:val="24"/>
          <w:shd w:val="clear" w:color="auto" w:fill="FFFFFF"/>
        </w:rPr>
        <w:t xml:space="preserve"> </w:t>
      </w:r>
      <w:r w:rsidR="0072205E">
        <w:rPr>
          <w:rFonts w:ascii="Times New Roman" w:hAnsi="Times New Roman" w:cs="Times New Roman"/>
          <w:sz w:val="24"/>
          <w:szCs w:val="24"/>
          <w:shd w:val="clear" w:color="auto" w:fill="FFFFFF"/>
        </w:rPr>
        <w:t>&amp;</w:t>
      </w:r>
      <w:r w:rsidRPr="00EA5FC4">
        <w:rPr>
          <w:rFonts w:ascii="Times New Roman" w:hAnsi="Times New Roman" w:cs="Times New Roman"/>
          <w:sz w:val="24"/>
          <w:szCs w:val="24"/>
          <w:shd w:val="clear" w:color="auto" w:fill="FFFFFF"/>
        </w:rPr>
        <w:t xml:space="preserve"> </w:t>
      </w:r>
      <w:proofErr w:type="spellStart"/>
      <w:r w:rsidRPr="00EA5FC4">
        <w:rPr>
          <w:rFonts w:ascii="Times New Roman" w:hAnsi="Times New Roman" w:cs="Times New Roman"/>
          <w:sz w:val="24"/>
          <w:szCs w:val="24"/>
          <w:shd w:val="clear" w:color="auto" w:fill="FFFFFF"/>
        </w:rPr>
        <w:t>Dočekalová</w:t>
      </w:r>
      <w:proofErr w:type="spellEnd"/>
      <w:r w:rsidRPr="00EA5FC4">
        <w:rPr>
          <w:rFonts w:ascii="Times New Roman" w:hAnsi="Times New Roman" w:cs="Times New Roman"/>
          <w:sz w:val="24"/>
          <w:szCs w:val="24"/>
          <w:shd w:val="clear" w:color="auto" w:fill="FFFFFF"/>
        </w:rPr>
        <w:t xml:space="preserve">, </w:t>
      </w:r>
      <w:r w:rsidR="004500BC">
        <w:rPr>
          <w:rFonts w:ascii="Times New Roman" w:hAnsi="Times New Roman" w:cs="Times New Roman"/>
          <w:sz w:val="24"/>
          <w:szCs w:val="24"/>
          <w:shd w:val="clear" w:color="auto" w:fill="FFFFFF"/>
        </w:rPr>
        <w:t xml:space="preserve">M. </w:t>
      </w:r>
      <w:r w:rsidRPr="00EA5FC4">
        <w:rPr>
          <w:rFonts w:ascii="Times New Roman" w:hAnsi="Times New Roman" w:cs="Times New Roman"/>
          <w:sz w:val="24"/>
          <w:szCs w:val="24"/>
          <w:shd w:val="clear" w:color="auto" w:fill="FFFFFF"/>
        </w:rPr>
        <w:t>(2012)</w:t>
      </w:r>
      <w:r w:rsidRPr="00EA5FC4">
        <w:rPr>
          <w:rFonts w:ascii="Times New Roman" w:eastAsia="Times New Roman" w:hAnsi="Times New Roman" w:cs="Times New Roman"/>
          <w:sz w:val="24"/>
          <w:szCs w:val="24"/>
          <w:lang w:eastAsia="es-AR"/>
        </w:rPr>
        <w:t xml:space="preserve">. </w:t>
      </w:r>
      <w:r w:rsidRPr="00451EEE">
        <w:rPr>
          <w:rFonts w:ascii="Times New Roman" w:eastAsia="Times New Roman" w:hAnsi="Times New Roman" w:cs="Times New Roman"/>
          <w:sz w:val="24"/>
          <w:szCs w:val="24"/>
          <w:lang w:eastAsia="es-AR"/>
        </w:rPr>
        <w:t>Construcción de los indicadores económicos de desempeño en relación a los factores ambientales, sociales y de gobierno corporativo (ESG)</w:t>
      </w:r>
      <w:r w:rsidRPr="00EA5FC4">
        <w:rPr>
          <w:rFonts w:ascii="Times New Roman" w:eastAsia="Times New Roman" w:hAnsi="Times New Roman" w:cs="Times New Roman"/>
          <w:sz w:val="24"/>
          <w:szCs w:val="24"/>
          <w:lang w:eastAsia="es-AR"/>
        </w:rPr>
        <w:t>.</w:t>
      </w:r>
      <w:r w:rsidR="00EA5FC4">
        <w:rPr>
          <w:rFonts w:ascii="Times New Roman" w:eastAsia="Times New Roman" w:hAnsi="Times New Roman" w:cs="Times New Roman"/>
          <w:sz w:val="24"/>
          <w:szCs w:val="24"/>
          <w:lang w:eastAsia="es-AR"/>
        </w:rPr>
        <w:t xml:space="preserve"> </w:t>
      </w:r>
      <w:hyperlink r:id="rId12" w:history="1">
        <w:r w:rsidRPr="00451EEE">
          <w:rPr>
            <w:rFonts w:ascii="Times New Roman" w:eastAsia="Times New Roman" w:hAnsi="Times New Roman" w:cs="Times New Roman"/>
            <w:i/>
            <w:iCs/>
            <w:sz w:val="24"/>
            <w:szCs w:val="24"/>
            <w:bdr w:val="none" w:sz="0" w:space="0" w:color="auto" w:frame="1"/>
            <w:lang w:eastAsia="es-AR"/>
          </w:rPr>
          <w:t xml:space="preserve">Acta </w:t>
        </w:r>
        <w:proofErr w:type="spellStart"/>
        <w:r w:rsidRPr="00451EEE">
          <w:rPr>
            <w:rFonts w:ascii="Times New Roman" w:eastAsia="Times New Roman" w:hAnsi="Times New Roman" w:cs="Times New Roman"/>
            <w:i/>
            <w:iCs/>
            <w:sz w:val="24"/>
            <w:szCs w:val="24"/>
            <w:bdr w:val="none" w:sz="0" w:space="0" w:color="auto" w:frame="1"/>
            <w:lang w:eastAsia="es-AR"/>
          </w:rPr>
          <w:t>Universitatis</w:t>
        </w:r>
        <w:proofErr w:type="spellEnd"/>
        <w:r w:rsidRPr="00451EEE">
          <w:rPr>
            <w:rFonts w:ascii="Times New Roman" w:eastAsia="Times New Roman" w:hAnsi="Times New Roman" w:cs="Times New Roman"/>
            <w:i/>
            <w:iCs/>
            <w:sz w:val="24"/>
            <w:szCs w:val="24"/>
            <w:bdr w:val="none" w:sz="0" w:space="0" w:color="auto" w:frame="1"/>
            <w:lang w:eastAsia="es-AR"/>
          </w:rPr>
          <w:t xml:space="preserve"> </w:t>
        </w:r>
        <w:proofErr w:type="spellStart"/>
        <w:r w:rsidRPr="00451EEE">
          <w:rPr>
            <w:rFonts w:ascii="Times New Roman" w:eastAsia="Times New Roman" w:hAnsi="Times New Roman" w:cs="Times New Roman"/>
            <w:i/>
            <w:iCs/>
            <w:sz w:val="24"/>
            <w:szCs w:val="24"/>
            <w:bdr w:val="none" w:sz="0" w:space="0" w:color="auto" w:frame="1"/>
            <w:lang w:eastAsia="es-AR"/>
          </w:rPr>
          <w:t>Agriculturae</w:t>
        </w:r>
        <w:proofErr w:type="spellEnd"/>
        <w:r w:rsidRPr="00451EEE">
          <w:rPr>
            <w:rFonts w:ascii="Times New Roman" w:eastAsia="Times New Roman" w:hAnsi="Times New Roman" w:cs="Times New Roman"/>
            <w:i/>
            <w:iCs/>
            <w:sz w:val="24"/>
            <w:szCs w:val="24"/>
            <w:bdr w:val="none" w:sz="0" w:space="0" w:color="auto" w:frame="1"/>
            <w:lang w:eastAsia="es-AR"/>
          </w:rPr>
          <w:t xml:space="preserve"> et </w:t>
        </w:r>
        <w:proofErr w:type="spellStart"/>
        <w:r w:rsidRPr="00451EEE">
          <w:rPr>
            <w:rFonts w:ascii="Times New Roman" w:eastAsia="Times New Roman" w:hAnsi="Times New Roman" w:cs="Times New Roman"/>
            <w:i/>
            <w:iCs/>
            <w:sz w:val="24"/>
            <w:szCs w:val="24"/>
            <w:bdr w:val="none" w:sz="0" w:space="0" w:color="auto" w:frame="1"/>
            <w:lang w:eastAsia="es-AR"/>
          </w:rPr>
          <w:t>Silviculturae</w:t>
        </w:r>
        <w:proofErr w:type="spellEnd"/>
        <w:r w:rsidRPr="00451EEE">
          <w:rPr>
            <w:rFonts w:ascii="Times New Roman" w:eastAsia="Times New Roman" w:hAnsi="Times New Roman" w:cs="Times New Roman"/>
            <w:i/>
            <w:iCs/>
            <w:sz w:val="24"/>
            <w:szCs w:val="24"/>
            <w:bdr w:val="none" w:sz="0" w:space="0" w:color="auto" w:frame="1"/>
            <w:lang w:eastAsia="es-AR"/>
          </w:rPr>
          <w:t xml:space="preserve"> </w:t>
        </w:r>
        <w:proofErr w:type="spellStart"/>
        <w:r w:rsidRPr="00451EEE">
          <w:rPr>
            <w:rFonts w:ascii="Times New Roman" w:eastAsia="Times New Roman" w:hAnsi="Times New Roman" w:cs="Times New Roman"/>
            <w:i/>
            <w:iCs/>
            <w:sz w:val="24"/>
            <w:szCs w:val="24"/>
            <w:bdr w:val="none" w:sz="0" w:space="0" w:color="auto" w:frame="1"/>
            <w:lang w:eastAsia="es-AR"/>
          </w:rPr>
          <w:t>Mendelianae</w:t>
        </w:r>
        <w:proofErr w:type="spellEnd"/>
        <w:r w:rsidRPr="00451EEE">
          <w:rPr>
            <w:rFonts w:ascii="Times New Roman" w:eastAsia="Times New Roman" w:hAnsi="Times New Roman" w:cs="Times New Roman"/>
            <w:i/>
            <w:iCs/>
            <w:sz w:val="24"/>
            <w:szCs w:val="24"/>
            <w:bdr w:val="none" w:sz="0" w:space="0" w:color="auto" w:frame="1"/>
            <w:lang w:eastAsia="es-AR"/>
          </w:rPr>
          <w:t xml:space="preserve"> </w:t>
        </w:r>
        <w:proofErr w:type="spellStart"/>
        <w:r w:rsidRPr="00451EEE">
          <w:rPr>
            <w:rFonts w:ascii="Times New Roman" w:eastAsia="Times New Roman" w:hAnsi="Times New Roman" w:cs="Times New Roman"/>
            <w:i/>
            <w:iCs/>
            <w:sz w:val="24"/>
            <w:szCs w:val="24"/>
            <w:bdr w:val="none" w:sz="0" w:space="0" w:color="auto" w:frame="1"/>
            <w:lang w:eastAsia="es-AR"/>
          </w:rPr>
          <w:t>Brunensis</w:t>
        </w:r>
        <w:proofErr w:type="spellEnd"/>
      </w:hyperlink>
      <w:r w:rsidRPr="0072205E">
        <w:rPr>
          <w:rFonts w:ascii="Times New Roman" w:eastAsia="Times New Roman" w:hAnsi="Times New Roman" w:cs="Times New Roman"/>
          <w:sz w:val="24"/>
          <w:szCs w:val="24"/>
          <w:lang w:eastAsia="es-AR"/>
        </w:rPr>
        <w:t xml:space="preserve"> </w:t>
      </w:r>
      <w:r w:rsidRPr="00451EEE">
        <w:rPr>
          <w:rFonts w:ascii="Times New Roman" w:eastAsia="Times New Roman" w:hAnsi="Times New Roman" w:cs="Times New Roman"/>
          <w:sz w:val="24"/>
          <w:szCs w:val="24"/>
          <w:lang w:eastAsia="es-AR"/>
        </w:rPr>
        <w:t>60(4)</w:t>
      </w:r>
      <w:r w:rsidRPr="0072205E">
        <w:rPr>
          <w:rFonts w:ascii="Times New Roman" w:eastAsia="Times New Roman" w:hAnsi="Times New Roman" w:cs="Times New Roman"/>
          <w:sz w:val="24"/>
          <w:szCs w:val="24"/>
          <w:lang w:eastAsia="es-AR"/>
        </w:rPr>
        <w:t xml:space="preserve">. </w:t>
      </w:r>
      <w:r w:rsidRPr="00451EEE">
        <w:rPr>
          <w:rFonts w:ascii="Times New Roman" w:eastAsia="Times New Roman" w:hAnsi="Times New Roman" w:cs="Times New Roman"/>
          <w:sz w:val="24"/>
          <w:szCs w:val="24"/>
          <w:lang w:eastAsia="es-AR"/>
        </w:rPr>
        <w:t>DOI:</w:t>
      </w:r>
      <w:r w:rsidRPr="0072205E">
        <w:rPr>
          <w:rFonts w:ascii="Times New Roman" w:eastAsia="Times New Roman" w:hAnsi="Times New Roman" w:cs="Times New Roman"/>
          <w:sz w:val="24"/>
          <w:szCs w:val="24"/>
          <w:lang w:eastAsia="es-AR"/>
        </w:rPr>
        <w:t xml:space="preserve"> </w:t>
      </w:r>
      <w:hyperlink r:id="rId13" w:tgtFrame="_blank" w:history="1">
        <w:r w:rsidRPr="00451EEE">
          <w:rPr>
            <w:rFonts w:ascii="Times New Roman" w:eastAsia="Times New Roman" w:hAnsi="Times New Roman" w:cs="Times New Roman"/>
            <w:sz w:val="24"/>
            <w:szCs w:val="24"/>
            <w:bdr w:val="none" w:sz="0" w:space="0" w:color="auto" w:frame="1"/>
            <w:lang w:eastAsia="es-AR"/>
          </w:rPr>
          <w:t>10.11118/actaun201260040195</w:t>
        </w:r>
      </w:hyperlink>
    </w:p>
    <w:p w14:paraId="1668DFD7" w14:textId="6C4F1481" w:rsidR="00B4522D" w:rsidRPr="00EA5FC4" w:rsidRDefault="000862E1" w:rsidP="00B4522D">
      <w:pPr>
        <w:tabs>
          <w:tab w:val="left" w:pos="284"/>
        </w:tabs>
        <w:spacing w:before="100" w:beforeAutospacing="1" w:after="100" w:afterAutospacing="1" w:line="276" w:lineRule="auto"/>
        <w:jc w:val="both"/>
        <w:rPr>
          <w:rFonts w:ascii="Times New Roman" w:eastAsia="Arial" w:hAnsi="Times New Roman" w:cs="Times New Roman"/>
          <w:color w:val="4472C4" w:themeColor="accent1"/>
          <w:sz w:val="24"/>
          <w:szCs w:val="24"/>
          <w:u w:val="single"/>
          <w:lang w:eastAsia="es-AR"/>
        </w:rPr>
      </w:pPr>
      <w:r w:rsidRPr="00EA5FC4">
        <w:rPr>
          <w:rFonts w:ascii="Times New Roman" w:eastAsia="Arial" w:hAnsi="Times New Roman" w:cs="Times New Roman"/>
          <w:sz w:val="24"/>
          <w:szCs w:val="24"/>
          <w:lang w:eastAsia="es-AR"/>
        </w:rPr>
        <w:t xml:space="preserve">Naciones Unidas (2018), </w:t>
      </w:r>
      <w:r w:rsidRPr="0072205E">
        <w:rPr>
          <w:rFonts w:ascii="Times New Roman" w:eastAsia="Arial" w:hAnsi="Times New Roman" w:cs="Times New Roman"/>
          <w:i/>
          <w:iCs/>
          <w:sz w:val="24"/>
          <w:szCs w:val="24"/>
          <w:lang w:eastAsia="es-AR"/>
        </w:rPr>
        <w:t xml:space="preserve">La Agenda 2030 y los Objetivos de Desarrollo Sostenible: </w:t>
      </w:r>
      <w:r w:rsidR="0072205E" w:rsidRPr="0072205E">
        <w:rPr>
          <w:rFonts w:ascii="Times New Roman" w:eastAsia="Arial" w:hAnsi="Times New Roman" w:cs="Times New Roman"/>
          <w:i/>
          <w:iCs/>
          <w:sz w:val="24"/>
          <w:szCs w:val="24"/>
          <w:lang w:eastAsia="es-AR"/>
        </w:rPr>
        <w:t xml:space="preserve">una </w:t>
      </w:r>
      <w:r w:rsidR="0072205E" w:rsidRPr="0072205E">
        <w:rPr>
          <w:rFonts w:ascii="Times New Roman" w:eastAsia="Times New Roman" w:hAnsi="Times New Roman" w:cs="Times New Roman"/>
          <w:i/>
          <w:iCs/>
          <w:color w:val="000000"/>
          <w:sz w:val="24"/>
          <w:szCs w:val="24"/>
          <w:lang w:eastAsia="es-AR"/>
        </w:rPr>
        <w:t>oportunidad</w:t>
      </w:r>
      <w:r w:rsidR="00B4522D" w:rsidRPr="0072205E">
        <w:rPr>
          <w:rFonts w:ascii="Times New Roman" w:eastAsia="Arial" w:hAnsi="Times New Roman" w:cs="Times New Roman"/>
          <w:i/>
          <w:iCs/>
          <w:sz w:val="24"/>
          <w:szCs w:val="24"/>
          <w:lang w:eastAsia="es-AR"/>
        </w:rPr>
        <w:t xml:space="preserve"> para América Latina y el Caribe</w:t>
      </w:r>
      <w:r w:rsidR="00B4522D" w:rsidRPr="00EA5FC4">
        <w:rPr>
          <w:rFonts w:ascii="Times New Roman" w:eastAsia="Arial" w:hAnsi="Times New Roman" w:cs="Times New Roman"/>
          <w:sz w:val="24"/>
          <w:szCs w:val="24"/>
          <w:lang w:eastAsia="es-AR"/>
        </w:rPr>
        <w:t xml:space="preserve"> (LC/G.2681-P/Rev.3), Santiago. </w:t>
      </w:r>
    </w:p>
    <w:p w14:paraId="78269E23" w14:textId="6FE78BE4" w:rsidR="007B3C1C" w:rsidRPr="0072205E" w:rsidRDefault="007B3C1C" w:rsidP="00B4522D">
      <w:pPr>
        <w:shd w:val="clear" w:color="auto" w:fill="FFFFFF"/>
        <w:spacing w:after="0" w:line="276" w:lineRule="auto"/>
        <w:jc w:val="both"/>
        <w:rPr>
          <w:rFonts w:ascii="Times New Roman" w:eastAsia="Times New Roman" w:hAnsi="Times New Roman" w:cs="Times New Roman"/>
          <w:sz w:val="24"/>
          <w:szCs w:val="24"/>
          <w:lang w:eastAsia="es-AR"/>
        </w:rPr>
      </w:pPr>
      <w:bookmarkStart w:id="6" w:name="_Hlk204433715"/>
      <w:r w:rsidRPr="00B4522D">
        <w:rPr>
          <w:rFonts w:ascii="Times New Roman" w:eastAsia="Times New Roman" w:hAnsi="Times New Roman" w:cs="Times New Roman"/>
          <w:sz w:val="24"/>
          <w:szCs w:val="24"/>
          <w:lang w:eastAsia="es-AR"/>
        </w:rPr>
        <w:t>Dans</w:t>
      </w:r>
      <w:bookmarkEnd w:id="6"/>
      <w:r w:rsidRPr="00B4522D">
        <w:rPr>
          <w:rFonts w:ascii="Times New Roman" w:eastAsia="Times New Roman" w:hAnsi="Times New Roman" w:cs="Times New Roman"/>
          <w:sz w:val="24"/>
          <w:szCs w:val="24"/>
          <w:lang w:eastAsia="es-AR"/>
        </w:rPr>
        <w:t xml:space="preserve">, E. (19 de julio de 2022). La innovación abierta y sus </w:t>
      </w:r>
      <w:r w:rsidR="00AA5125" w:rsidRPr="00B4522D">
        <w:rPr>
          <w:rFonts w:ascii="Times New Roman" w:eastAsia="Times New Roman" w:hAnsi="Times New Roman" w:cs="Times New Roman"/>
          <w:sz w:val="24"/>
          <w:szCs w:val="24"/>
          <w:lang w:eastAsia="es-AR"/>
        </w:rPr>
        <w:t>c</w:t>
      </w:r>
      <w:r w:rsidRPr="00B4522D">
        <w:rPr>
          <w:rFonts w:ascii="Times New Roman" w:eastAsia="Times New Roman" w:hAnsi="Times New Roman" w:cs="Times New Roman"/>
          <w:sz w:val="24"/>
          <w:szCs w:val="24"/>
          <w:lang w:eastAsia="es-AR"/>
        </w:rPr>
        <w:t>lichés. </w:t>
      </w:r>
      <w:hyperlink r:id="rId14" w:tgtFrame="_blank" w:history="1">
        <w:r w:rsidRPr="0072205E">
          <w:rPr>
            <w:rFonts w:ascii="Times New Roman" w:eastAsia="Times New Roman" w:hAnsi="Times New Roman" w:cs="Times New Roman"/>
            <w:sz w:val="24"/>
            <w:szCs w:val="24"/>
            <w:lang w:eastAsia="es-AR"/>
          </w:rPr>
          <w:t>https://www.enriquedans.com/2022/07/la-innovacion-abierta-y-sus-cliches.html</w:t>
        </w:r>
      </w:hyperlink>
    </w:p>
    <w:p w14:paraId="7E72A744" w14:textId="77777777" w:rsidR="000862E1" w:rsidRPr="00B4522D" w:rsidRDefault="000862E1" w:rsidP="00B4522D">
      <w:pPr>
        <w:tabs>
          <w:tab w:val="left" w:pos="284"/>
          <w:tab w:val="left" w:pos="1440"/>
        </w:tabs>
        <w:spacing w:before="100" w:beforeAutospacing="1" w:after="100" w:afterAutospacing="1" w:line="276" w:lineRule="auto"/>
        <w:jc w:val="both"/>
        <w:rPr>
          <w:rFonts w:ascii="Times New Roman" w:hAnsi="Times New Roman" w:cs="Times New Roman"/>
          <w:sz w:val="24"/>
          <w:szCs w:val="24"/>
          <w:u w:val="single"/>
        </w:rPr>
      </w:pPr>
      <w:r w:rsidRPr="00B4522D">
        <w:rPr>
          <w:rFonts w:ascii="Times New Roman" w:hAnsi="Times New Roman" w:cs="Times New Roman"/>
          <w:color w:val="000000"/>
          <w:sz w:val="24"/>
          <w:szCs w:val="24"/>
        </w:rPr>
        <w:t xml:space="preserve">OECD (2019). </w:t>
      </w:r>
      <w:r w:rsidRPr="00B4522D">
        <w:rPr>
          <w:rFonts w:ascii="Times New Roman" w:hAnsi="Times New Roman" w:cs="Times New Roman"/>
          <w:i/>
          <w:iCs/>
          <w:color w:val="000000"/>
          <w:sz w:val="24"/>
          <w:szCs w:val="24"/>
        </w:rPr>
        <w:t>Perfilando la transformación digital en América Latina: Mayor productividad para una vida mejor</w:t>
      </w:r>
      <w:r w:rsidRPr="00B4522D">
        <w:rPr>
          <w:rFonts w:ascii="Times New Roman" w:hAnsi="Times New Roman" w:cs="Times New Roman"/>
          <w:color w:val="000000"/>
          <w:sz w:val="24"/>
          <w:szCs w:val="24"/>
        </w:rPr>
        <w:t xml:space="preserve">, OECD Publishing, Paris/ACUI, Barranquilla, </w:t>
      </w:r>
      <w:hyperlink r:id="rId15" w:history="1">
        <w:r w:rsidRPr="00B4522D">
          <w:rPr>
            <w:rFonts w:ascii="Times New Roman" w:hAnsi="Times New Roman" w:cs="Times New Roman"/>
            <w:sz w:val="24"/>
            <w:szCs w:val="24"/>
            <w:u w:val="single"/>
          </w:rPr>
          <w:t>https://doi.org/10.1787/4817d61b-</w:t>
        </w:r>
      </w:hyperlink>
    </w:p>
    <w:p w14:paraId="0F87D28B" w14:textId="6F364A51" w:rsidR="000862E1" w:rsidRPr="0072205E" w:rsidRDefault="000862E1" w:rsidP="00EA5FC4">
      <w:pPr>
        <w:widowControl w:val="0"/>
        <w:tabs>
          <w:tab w:val="left" w:pos="284"/>
        </w:tabs>
        <w:autoSpaceDE w:val="0"/>
        <w:autoSpaceDN w:val="0"/>
        <w:spacing w:before="100" w:beforeAutospacing="1" w:after="100" w:afterAutospacing="1" w:line="276" w:lineRule="auto"/>
        <w:jc w:val="both"/>
        <w:rPr>
          <w:rFonts w:ascii="Times New Roman" w:eastAsia="Times New Roman" w:hAnsi="Times New Roman" w:cs="Times New Roman"/>
          <w:sz w:val="24"/>
          <w:szCs w:val="24"/>
        </w:rPr>
      </w:pPr>
      <w:r w:rsidRPr="00B4522D">
        <w:rPr>
          <w:rFonts w:ascii="Times New Roman" w:eastAsia="Times New Roman" w:hAnsi="Times New Roman" w:cs="Times New Roman"/>
          <w:sz w:val="24"/>
          <w:szCs w:val="24"/>
          <w:lang w:val="es-ES"/>
        </w:rPr>
        <w:t>Plasencia Soler, J.A.</w:t>
      </w:r>
      <w:r w:rsidR="00AA4C0E">
        <w:rPr>
          <w:rFonts w:ascii="Times New Roman" w:eastAsia="Times New Roman" w:hAnsi="Times New Roman" w:cs="Times New Roman"/>
          <w:sz w:val="24"/>
          <w:szCs w:val="24"/>
          <w:lang w:val="es-ES"/>
        </w:rPr>
        <w:t>;</w:t>
      </w:r>
      <w:r w:rsidRPr="00B4522D">
        <w:rPr>
          <w:rFonts w:ascii="Times New Roman" w:eastAsia="Times New Roman" w:hAnsi="Times New Roman" w:cs="Times New Roman"/>
          <w:sz w:val="24"/>
          <w:szCs w:val="24"/>
          <w:lang w:val="es-ES"/>
        </w:rPr>
        <w:t xml:space="preserve"> Marrero Delgado, F.</w:t>
      </w:r>
      <w:r w:rsidR="00AA4C0E">
        <w:rPr>
          <w:rFonts w:ascii="Times New Roman" w:eastAsia="Times New Roman" w:hAnsi="Times New Roman" w:cs="Times New Roman"/>
          <w:sz w:val="24"/>
          <w:szCs w:val="24"/>
          <w:lang w:val="es-ES"/>
        </w:rPr>
        <w:t>;</w:t>
      </w:r>
      <w:r w:rsidRPr="00B4522D">
        <w:rPr>
          <w:rFonts w:ascii="Times New Roman" w:eastAsia="Times New Roman" w:hAnsi="Times New Roman" w:cs="Times New Roman"/>
          <w:sz w:val="24"/>
          <w:szCs w:val="24"/>
          <w:lang w:val="es-ES"/>
        </w:rPr>
        <w:t xml:space="preserve"> Bajo Sanjuán, A.M. </w:t>
      </w:r>
      <w:r w:rsidR="0072205E">
        <w:rPr>
          <w:rFonts w:ascii="Times New Roman" w:eastAsia="Times New Roman" w:hAnsi="Times New Roman" w:cs="Times New Roman"/>
          <w:sz w:val="24"/>
          <w:szCs w:val="24"/>
          <w:lang w:val="es-ES"/>
        </w:rPr>
        <w:t>&amp;</w:t>
      </w:r>
      <w:r w:rsidRPr="00B4522D">
        <w:rPr>
          <w:rFonts w:ascii="Times New Roman" w:eastAsia="Times New Roman" w:hAnsi="Times New Roman" w:cs="Times New Roman"/>
          <w:sz w:val="24"/>
          <w:szCs w:val="24"/>
          <w:lang w:val="es-ES"/>
        </w:rPr>
        <w:t xml:space="preserve"> </w:t>
      </w:r>
      <w:proofErr w:type="spellStart"/>
      <w:r w:rsidRPr="00B4522D">
        <w:rPr>
          <w:rFonts w:ascii="Times New Roman" w:eastAsia="Times New Roman" w:hAnsi="Times New Roman" w:cs="Times New Roman"/>
          <w:sz w:val="24"/>
          <w:szCs w:val="24"/>
          <w:lang w:val="es-ES"/>
        </w:rPr>
        <w:t>Nicado</w:t>
      </w:r>
      <w:proofErr w:type="spellEnd"/>
      <w:r w:rsidRPr="00B4522D">
        <w:rPr>
          <w:rFonts w:ascii="Times New Roman" w:eastAsia="Times New Roman" w:hAnsi="Times New Roman" w:cs="Times New Roman"/>
          <w:sz w:val="24"/>
          <w:szCs w:val="24"/>
          <w:lang w:val="es-ES"/>
        </w:rPr>
        <w:t xml:space="preserve"> García, M. (2018). Modelos para evaluar la sostenibilidad de las organizaciones. </w:t>
      </w:r>
      <w:r w:rsidRPr="00B4522D">
        <w:rPr>
          <w:rFonts w:ascii="Times New Roman" w:eastAsia="Times New Roman" w:hAnsi="Times New Roman" w:cs="Times New Roman"/>
          <w:i/>
          <w:sz w:val="24"/>
          <w:szCs w:val="24"/>
          <w:lang w:val="es-ES"/>
        </w:rPr>
        <w:t>Estudios Gerenciales</w:t>
      </w:r>
      <w:r w:rsidRPr="00B4522D">
        <w:rPr>
          <w:rFonts w:ascii="Times New Roman" w:eastAsia="Times New Roman" w:hAnsi="Times New Roman" w:cs="Times New Roman"/>
          <w:sz w:val="24"/>
          <w:szCs w:val="24"/>
          <w:lang w:val="es-ES"/>
        </w:rPr>
        <w:t xml:space="preserve">, 34(146), 63-73. </w:t>
      </w:r>
      <w:hyperlink r:id="rId16" w:history="1">
        <w:r w:rsidRPr="0072205E">
          <w:rPr>
            <w:rStyle w:val="Hipervnculo"/>
            <w:rFonts w:ascii="Times New Roman" w:eastAsia="Times New Roman" w:hAnsi="Times New Roman" w:cs="Times New Roman"/>
            <w:color w:val="auto"/>
            <w:sz w:val="24"/>
            <w:szCs w:val="24"/>
            <w:u w:val="none"/>
          </w:rPr>
          <w:t>https://doi.org/10.18046/j.estger.2018.146.2662</w:t>
        </w:r>
      </w:hyperlink>
    </w:p>
    <w:p w14:paraId="16968971" w14:textId="483CFCCC" w:rsidR="000862E1" w:rsidRPr="00EA5FC4" w:rsidRDefault="000862E1" w:rsidP="00EA5FC4">
      <w:pPr>
        <w:autoSpaceDE w:val="0"/>
        <w:autoSpaceDN w:val="0"/>
        <w:adjustRightInd w:val="0"/>
        <w:spacing w:before="100" w:beforeAutospacing="1" w:after="100" w:afterAutospacing="1" w:line="276" w:lineRule="auto"/>
        <w:jc w:val="both"/>
        <w:rPr>
          <w:rFonts w:ascii="Times New Roman" w:hAnsi="Times New Roman" w:cs="Times New Roman"/>
          <w:color w:val="000000"/>
          <w:sz w:val="24"/>
          <w:szCs w:val="24"/>
        </w:rPr>
      </w:pPr>
      <w:r w:rsidRPr="00EA5FC4">
        <w:rPr>
          <w:rFonts w:ascii="Times New Roman" w:hAnsi="Times New Roman" w:cs="Times New Roman"/>
          <w:color w:val="000000"/>
          <w:sz w:val="24"/>
          <w:szCs w:val="24"/>
        </w:rPr>
        <w:t>Rodríguez Garzón, A</w:t>
      </w:r>
      <w:r w:rsidR="0072205E">
        <w:rPr>
          <w:rFonts w:ascii="Times New Roman" w:hAnsi="Times New Roman" w:cs="Times New Roman"/>
          <w:color w:val="000000"/>
          <w:sz w:val="24"/>
          <w:szCs w:val="24"/>
        </w:rPr>
        <w:t>.</w:t>
      </w:r>
      <w:r w:rsidRPr="00EA5FC4">
        <w:rPr>
          <w:rFonts w:ascii="Times New Roman" w:hAnsi="Times New Roman" w:cs="Times New Roman"/>
          <w:color w:val="000000"/>
          <w:sz w:val="24"/>
          <w:szCs w:val="24"/>
        </w:rPr>
        <w:t xml:space="preserve"> (2021) </w:t>
      </w:r>
      <w:r w:rsidR="00305706">
        <w:rPr>
          <w:rFonts w:ascii="Times New Roman" w:hAnsi="Times New Roman" w:cs="Times New Roman"/>
          <w:color w:val="000000"/>
          <w:sz w:val="24"/>
          <w:szCs w:val="24"/>
        </w:rPr>
        <w:t>L</w:t>
      </w:r>
      <w:r w:rsidR="00305706" w:rsidRPr="00EA5FC4">
        <w:rPr>
          <w:rFonts w:ascii="Times New Roman" w:hAnsi="Times New Roman" w:cs="Times New Roman"/>
          <w:i/>
          <w:iCs/>
          <w:color w:val="000000"/>
          <w:sz w:val="24"/>
          <w:szCs w:val="24"/>
        </w:rPr>
        <w:t>a gestión de personas y los criterios</w:t>
      </w:r>
      <w:r w:rsidRPr="00EA5FC4">
        <w:rPr>
          <w:rFonts w:ascii="Times New Roman" w:hAnsi="Times New Roman" w:cs="Times New Roman"/>
          <w:i/>
          <w:iCs/>
          <w:color w:val="000000"/>
          <w:sz w:val="24"/>
          <w:szCs w:val="24"/>
        </w:rPr>
        <w:t xml:space="preserve"> </w:t>
      </w:r>
      <w:r w:rsidR="00305706">
        <w:rPr>
          <w:rFonts w:ascii="Times New Roman" w:hAnsi="Times New Roman" w:cs="Times New Roman"/>
          <w:i/>
          <w:iCs/>
          <w:color w:val="000000"/>
          <w:sz w:val="24"/>
          <w:szCs w:val="24"/>
        </w:rPr>
        <w:t>ESG</w:t>
      </w:r>
      <w:r w:rsidRPr="00EA5FC4">
        <w:rPr>
          <w:rFonts w:ascii="Times New Roman" w:hAnsi="Times New Roman" w:cs="Times New Roman"/>
          <w:color w:val="000000"/>
          <w:sz w:val="24"/>
          <w:szCs w:val="24"/>
        </w:rPr>
        <w:t xml:space="preserve">. Universidad Internacional de Andalucía. </w:t>
      </w:r>
    </w:p>
    <w:p w14:paraId="16A3EE39" w14:textId="240FBFD2" w:rsidR="000862E1" w:rsidRPr="00EA5FC4" w:rsidRDefault="000862E1" w:rsidP="00EA5FC4">
      <w:pPr>
        <w:spacing w:after="0" w:line="276" w:lineRule="auto"/>
        <w:jc w:val="both"/>
        <w:rPr>
          <w:rFonts w:ascii="Times New Roman" w:eastAsia="Times New Roman" w:hAnsi="Times New Roman" w:cs="Times New Roman"/>
          <w:bCs/>
          <w:color w:val="4472C4" w:themeColor="accent1"/>
          <w:sz w:val="24"/>
          <w:szCs w:val="24"/>
          <w:u w:val="single"/>
          <w:shd w:val="clear" w:color="auto" w:fill="FFFFFF"/>
        </w:rPr>
      </w:pPr>
      <w:r w:rsidRPr="00EA5FC4">
        <w:rPr>
          <w:rFonts w:ascii="Times New Roman" w:eastAsia="Times New Roman" w:hAnsi="Times New Roman" w:cs="Times New Roman"/>
          <w:bCs/>
          <w:color w:val="000000"/>
          <w:sz w:val="24"/>
          <w:szCs w:val="24"/>
          <w:shd w:val="clear" w:color="auto" w:fill="FFFFFF"/>
        </w:rPr>
        <w:t>Yagüe Funes, S.</w:t>
      </w:r>
      <w:r w:rsidR="0072205E">
        <w:rPr>
          <w:rFonts w:ascii="Times New Roman" w:eastAsia="Times New Roman" w:hAnsi="Times New Roman" w:cs="Times New Roman"/>
          <w:bCs/>
          <w:color w:val="000000"/>
          <w:sz w:val="24"/>
          <w:szCs w:val="24"/>
          <w:shd w:val="clear" w:color="auto" w:fill="FFFFFF"/>
        </w:rPr>
        <w:t xml:space="preserve"> &amp;</w:t>
      </w:r>
      <w:r w:rsidRPr="00EA5FC4">
        <w:rPr>
          <w:rFonts w:ascii="Times New Roman" w:eastAsia="Times New Roman" w:hAnsi="Times New Roman" w:cs="Times New Roman"/>
          <w:bCs/>
          <w:color w:val="000000"/>
          <w:sz w:val="24"/>
          <w:szCs w:val="24"/>
          <w:shd w:val="clear" w:color="auto" w:fill="FFFFFF"/>
        </w:rPr>
        <w:t xml:space="preserve"> Navarro de la Rosa, M. (2020). </w:t>
      </w:r>
      <w:r w:rsidRPr="00EA5FC4">
        <w:rPr>
          <w:rFonts w:ascii="Times New Roman" w:eastAsia="Times New Roman" w:hAnsi="Times New Roman" w:cs="Times New Roman"/>
          <w:bCs/>
          <w:i/>
          <w:iCs/>
          <w:color w:val="000000"/>
          <w:sz w:val="24"/>
          <w:szCs w:val="24"/>
          <w:shd w:val="clear" w:color="auto" w:fill="FFFFFF"/>
        </w:rPr>
        <w:t>La nueva gobernanza empresarial: La RSC, la ISR y la ESG</w:t>
      </w:r>
      <w:r w:rsidRPr="00EA5FC4">
        <w:rPr>
          <w:rFonts w:ascii="Times New Roman" w:eastAsia="Times New Roman" w:hAnsi="Times New Roman" w:cs="Times New Roman"/>
          <w:bCs/>
          <w:color w:val="000000"/>
          <w:sz w:val="24"/>
          <w:szCs w:val="24"/>
          <w:shd w:val="clear" w:color="auto" w:fill="FFFFFF"/>
        </w:rPr>
        <w:t xml:space="preserve">. Tesis de Grado. Universidad de Zaragoza. </w:t>
      </w:r>
    </w:p>
    <w:p w14:paraId="29F6B47C" w14:textId="77777777" w:rsidR="000862E1" w:rsidRPr="00EA5FC4" w:rsidRDefault="000862E1" w:rsidP="00EA5FC4">
      <w:pPr>
        <w:autoSpaceDE w:val="0"/>
        <w:autoSpaceDN w:val="0"/>
        <w:adjustRightInd w:val="0"/>
        <w:spacing w:before="100" w:beforeAutospacing="1" w:after="100" w:afterAutospacing="1" w:line="276" w:lineRule="auto"/>
        <w:jc w:val="both"/>
        <w:rPr>
          <w:rFonts w:ascii="Times New Roman" w:hAnsi="Times New Roman" w:cs="Times New Roman"/>
          <w:i/>
          <w:iCs/>
          <w:color w:val="000000"/>
          <w:sz w:val="24"/>
          <w:szCs w:val="24"/>
        </w:rPr>
      </w:pPr>
    </w:p>
    <w:p w14:paraId="7D0DF4A4" w14:textId="77777777" w:rsidR="00DB66B4" w:rsidRPr="00EA5FC4" w:rsidRDefault="00DB66B4" w:rsidP="00EA5FC4">
      <w:pPr>
        <w:spacing w:line="276" w:lineRule="auto"/>
        <w:rPr>
          <w:rFonts w:ascii="Times New Roman" w:hAnsi="Times New Roman" w:cs="Times New Roman"/>
          <w:sz w:val="24"/>
          <w:szCs w:val="24"/>
        </w:rPr>
      </w:pPr>
    </w:p>
    <w:sectPr w:rsidR="00DB66B4" w:rsidRPr="00EA5FC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37A44" w14:textId="77777777" w:rsidR="00FC4E08" w:rsidRDefault="00FC4E08" w:rsidP="0041398D">
      <w:pPr>
        <w:spacing w:after="0" w:line="240" w:lineRule="auto"/>
      </w:pPr>
      <w:r>
        <w:separator/>
      </w:r>
    </w:p>
  </w:endnote>
  <w:endnote w:type="continuationSeparator" w:id="0">
    <w:p w14:paraId="690FC043" w14:textId="77777777" w:rsidR="00FC4E08" w:rsidRDefault="00FC4E08" w:rsidP="00413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9B5CE" w14:textId="77777777" w:rsidR="00FC4E08" w:rsidRDefault="00FC4E08" w:rsidP="0041398D">
      <w:pPr>
        <w:spacing w:after="0" w:line="240" w:lineRule="auto"/>
      </w:pPr>
      <w:r>
        <w:separator/>
      </w:r>
    </w:p>
  </w:footnote>
  <w:footnote w:type="continuationSeparator" w:id="0">
    <w:p w14:paraId="5791CF82" w14:textId="77777777" w:rsidR="00FC4E08" w:rsidRDefault="00FC4E08" w:rsidP="00413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2684"/>
    <w:multiLevelType w:val="multilevel"/>
    <w:tmpl w:val="8C70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26F9A"/>
    <w:multiLevelType w:val="multilevel"/>
    <w:tmpl w:val="9284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64684"/>
    <w:multiLevelType w:val="multilevel"/>
    <w:tmpl w:val="D1EE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B112A"/>
    <w:multiLevelType w:val="multilevel"/>
    <w:tmpl w:val="3C60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E025C"/>
    <w:multiLevelType w:val="multilevel"/>
    <w:tmpl w:val="513C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102E3"/>
    <w:multiLevelType w:val="hybridMultilevel"/>
    <w:tmpl w:val="B570FF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967098"/>
    <w:multiLevelType w:val="multilevel"/>
    <w:tmpl w:val="9A50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F1EE2"/>
    <w:multiLevelType w:val="multilevel"/>
    <w:tmpl w:val="F098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50283A"/>
    <w:multiLevelType w:val="multilevel"/>
    <w:tmpl w:val="B12A2C28"/>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C04964"/>
    <w:multiLevelType w:val="multilevel"/>
    <w:tmpl w:val="8562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2F3229"/>
    <w:multiLevelType w:val="multilevel"/>
    <w:tmpl w:val="FA4E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B91C88"/>
    <w:multiLevelType w:val="multilevel"/>
    <w:tmpl w:val="63A2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247533"/>
    <w:multiLevelType w:val="multilevel"/>
    <w:tmpl w:val="DF7C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233E87"/>
    <w:multiLevelType w:val="multilevel"/>
    <w:tmpl w:val="0554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1041A2"/>
    <w:multiLevelType w:val="multilevel"/>
    <w:tmpl w:val="6D22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6B422B"/>
    <w:multiLevelType w:val="multilevel"/>
    <w:tmpl w:val="40EE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23847"/>
    <w:multiLevelType w:val="hybridMultilevel"/>
    <w:tmpl w:val="BD281E3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422C5D8E"/>
    <w:multiLevelType w:val="multilevel"/>
    <w:tmpl w:val="9310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34184E"/>
    <w:multiLevelType w:val="hybridMultilevel"/>
    <w:tmpl w:val="4BD477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4603333D"/>
    <w:multiLevelType w:val="multilevel"/>
    <w:tmpl w:val="EF1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6953A6"/>
    <w:multiLevelType w:val="hybridMultilevel"/>
    <w:tmpl w:val="AD58A2E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385BD3"/>
    <w:multiLevelType w:val="hybridMultilevel"/>
    <w:tmpl w:val="5E5EBD6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4A055E5E"/>
    <w:multiLevelType w:val="multilevel"/>
    <w:tmpl w:val="F8AE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6B4BD9"/>
    <w:multiLevelType w:val="multilevel"/>
    <w:tmpl w:val="27C6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E57347"/>
    <w:multiLevelType w:val="multilevel"/>
    <w:tmpl w:val="8BA6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9105B"/>
    <w:multiLevelType w:val="hybridMultilevel"/>
    <w:tmpl w:val="4A7856EA"/>
    <w:lvl w:ilvl="0" w:tplc="04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001B36"/>
    <w:multiLevelType w:val="multilevel"/>
    <w:tmpl w:val="30E4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FE34ED"/>
    <w:multiLevelType w:val="multilevel"/>
    <w:tmpl w:val="34E8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2D393F"/>
    <w:multiLevelType w:val="hybridMultilevel"/>
    <w:tmpl w:val="A5ECF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2E81BAF"/>
    <w:multiLevelType w:val="multilevel"/>
    <w:tmpl w:val="70B4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3B7565"/>
    <w:multiLevelType w:val="multilevel"/>
    <w:tmpl w:val="069A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B161D5"/>
    <w:multiLevelType w:val="multilevel"/>
    <w:tmpl w:val="F0D4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C93FE8"/>
    <w:multiLevelType w:val="hybridMultilevel"/>
    <w:tmpl w:val="4932894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6C096383"/>
    <w:multiLevelType w:val="hybridMultilevel"/>
    <w:tmpl w:val="C832DA00"/>
    <w:lvl w:ilvl="0" w:tplc="04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6325BA"/>
    <w:multiLevelType w:val="multilevel"/>
    <w:tmpl w:val="F4F4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A83F4A"/>
    <w:multiLevelType w:val="multilevel"/>
    <w:tmpl w:val="58D6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1E1C7F"/>
    <w:multiLevelType w:val="hybridMultilevel"/>
    <w:tmpl w:val="D550F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263574"/>
    <w:multiLevelType w:val="multilevel"/>
    <w:tmpl w:val="B3AE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BA74B8"/>
    <w:multiLevelType w:val="multilevel"/>
    <w:tmpl w:val="FC7E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753F23"/>
    <w:multiLevelType w:val="hybridMultilevel"/>
    <w:tmpl w:val="23A01F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7B9D1376"/>
    <w:multiLevelType w:val="multilevel"/>
    <w:tmpl w:val="73E0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C01B3"/>
    <w:multiLevelType w:val="hybridMultilevel"/>
    <w:tmpl w:val="2F16C4E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052461922">
    <w:abstractNumId w:val="10"/>
  </w:num>
  <w:num w:numId="2" w16cid:durableId="1436826581">
    <w:abstractNumId w:val="3"/>
  </w:num>
  <w:num w:numId="3" w16cid:durableId="1452817711">
    <w:abstractNumId w:val="30"/>
  </w:num>
  <w:num w:numId="4" w16cid:durableId="1975329429">
    <w:abstractNumId w:val="17"/>
  </w:num>
  <w:num w:numId="5" w16cid:durableId="1357072934">
    <w:abstractNumId w:val="0"/>
  </w:num>
  <w:num w:numId="6" w16cid:durableId="1065564223">
    <w:abstractNumId w:val="9"/>
  </w:num>
  <w:num w:numId="7" w16cid:durableId="1098721168">
    <w:abstractNumId w:val="41"/>
  </w:num>
  <w:num w:numId="8" w16cid:durableId="1470707059">
    <w:abstractNumId w:val="21"/>
  </w:num>
  <w:num w:numId="9" w16cid:durableId="1067190020">
    <w:abstractNumId w:val="39"/>
  </w:num>
  <w:num w:numId="10" w16cid:durableId="614480020">
    <w:abstractNumId w:val="20"/>
  </w:num>
  <w:num w:numId="11" w16cid:durableId="1542018076">
    <w:abstractNumId w:val="5"/>
  </w:num>
  <w:num w:numId="12" w16cid:durableId="767965019">
    <w:abstractNumId w:val="36"/>
  </w:num>
  <w:num w:numId="13" w16cid:durableId="1516117459">
    <w:abstractNumId w:val="28"/>
  </w:num>
  <w:num w:numId="14" w16cid:durableId="1658265821">
    <w:abstractNumId w:val="33"/>
  </w:num>
  <w:num w:numId="15" w16cid:durableId="1301765307">
    <w:abstractNumId w:val="25"/>
  </w:num>
  <w:num w:numId="16" w16cid:durableId="1624533348">
    <w:abstractNumId w:val="16"/>
  </w:num>
  <w:num w:numId="17" w16cid:durableId="1284073273">
    <w:abstractNumId w:val="32"/>
  </w:num>
  <w:num w:numId="18" w16cid:durableId="354231186">
    <w:abstractNumId w:val="8"/>
  </w:num>
  <w:num w:numId="19" w16cid:durableId="1646620311">
    <w:abstractNumId w:val="6"/>
  </w:num>
  <w:num w:numId="20" w16cid:durableId="1088041451">
    <w:abstractNumId w:val="38"/>
  </w:num>
  <w:num w:numId="21" w16cid:durableId="1645431004">
    <w:abstractNumId w:val="7"/>
  </w:num>
  <w:num w:numId="22" w16cid:durableId="1357384014">
    <w:abstractNumId w:val="2"/>
  </w:num>
  <w:num w:numId="23" w16cid:durableId="1545941591">
    <w:abstractNumId w:val="26"/>
  </w:num>
  <w:num w:numId="24" w16cid:durableId="1156845508">
    <w:abstractNumId w:val="22"/>
  </w:num>
  <w:num w:numId="25" w16cid:durableId="1333029113">
    <w:abstractNumId w:val="24"/>
  </w:num>
  <w:num w:numId="26" w16cid:durableId="2071339670">
    <w:abstractNumId w:val="23"/>
  </w:num>
  <w:num w:numId="27" w16cid:durableId="698435087">
    <w:abstractNumId w:val="31"/>
  </w:num>
  <w:num w:numId="28" w16cid:durableId="738938845">
    <w:abstractNumId w:val="1"/>
  </w:num>
  <w:num w:numId="29" w16cid:durableId="1855994696">
    <w:abstractNumId w:val="11"/>
  </w:num>
  <w:num w:numId="30" w16cid:durableId="1509444070">
    <w:abstractNumId w:val="4"/>
  </w:num>
  <w:num w:numId="31" w16cid:durableId="1164122470">
    <w:abstractNumId w:val="14"/>
  </w:num>
  <w:num w:numId="32" w16cid:durableId="2118089862">
    <w:abstractNumId w:val="15"/>
  </w:num>
  <w:num w:numId="33" w16cid:durableId="850754129">
    <w:abstractNumId w:val="29"/>
  </w:num>
  <w:num w:numId="34" w16cid:durableId="1792819414">
    <w:abstractNumId w:val="27"/>
  </w:num>
  <w:num w:numId="35" w16cid:durableId="458960406">
    <w:abstractNumId w:val="34"/>
  </w:num>
  <w:num w:numId="36" w16cid:durableId="2040668460">
    <w:abstractNumId w:val="35"/>
  </w:num>
  <w:num w:numId="37" w16cid:durableId="595404384">
    <w:abstractNumId w:val="37"/>
  </w:num>
  <w:num w:numId="38" w16cid:durableId="852569292">
    <w:abstractNumId w:val="13"/>
  </w:num>
  <w:num w:numId="39" w16cid:durableId="894395354">
    <w:abstractNumId w:val="19"/>
  </w:num>
  <w:num w:numId="40" w16cid:durableId="1355612479">
    <w:abstractNumId w:val="40"/>
  </w:num>
  <w:num w:numId="41" w16cid:durableId="1802577901">
    <w:abstractNumId w:val="12"/>
  </w:num>
  <w:num w:numId="42" w16cid:durableId="19546331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51B"/>
    <w:rsid w:val="00025075"/>
    <w:rsid w:val="00035225"/>
    <w:rsid w:val="000809C6"/>
    <w:rsid w:val="000862E1"/>
    <w:rsid w:val="00090194"/>
    <w:rsid w:val="000A6E25"/>
    <w:rsid w:val="000B14F5"/>
    <w:rsid w:val="000D039F"/>
    <w:rsid w:val="001314FF"/>
    <w:rsid w:val="001B46A2"/>
    <w:rsid w:val="001B6220"/>
    <w:rsid w:val="001E2949"/>
    <w:rsid w:val="00201953"/>
    <w:rsid w:val="00244569"/>
    <w:rsid w:val="002557E8"/>
    <w:rsid w:val="0027351B"/>
    <w:rsid w:val="00284BAB"/>
    <w:rsid w:val="002B0B5A"/>
    <w:rsid w:val="002E1458"/>
    <w:rsid w:val="00305706"/>
    <w:rsid w:val="00345CD3"/>
    <w:rsid w:val="00387B82"/>
    <w:rsid w:val="003B6C90"/>
    <w:rsid w:val="003E1A1E"/>
    <w:rsid w:val="003F632D"/>
    <w:rsid w:val="0041398D"/>
    <w:rsid w:val="0041464B"/>
    <w:rsid w:val="004500BC"/>
    <w:rsid w:val="00451EEE"/>
    <w:rsid w:val="004A3017"/>
    <w:rsid w:val="004C0ED1"/>
    <w:rsid w:val="00516081"/>
    <w:rsid w:val="00520FFC"/>
    <w:rsid w:val="0057701A"/>
    <w:rsid w:val="005907D8"/>
    <w:rsid w:val="005A6769"/>
    <w:rsid w:val="005C3DA5"/>
    <w:rsid w:val="005F4908"/>
    <w:rsid w:val="00605D2B"/>
    <w:rsid w:val="00612F2A"/>
    <w:rsid w:val="00670F7F"/>
    <w:rsid w:val="00691995"/>
    <w:rsid w:val="00692DB7"/>
    <w:rsid w:val="00697509"/>
    <w:rsid w:val="006C4F82"/>
    <w:rsid w:val="006D521C"/>
    <w:rsid w:val="006D5CAE"/>
    <w:rsid w:val="00706F5C"/>
    <w:rsid w:val="0072205E"/>
    <w:rsid w:val="00744139"/>
    <w:rsid w:val="007B3C1C"/>
    <w:rsid w:val="007B59A2"/>
    <w:rsid w:val="007D3FE8"/>
    <w:rsid w:val="007E295D"/>
    <w:rsid w:val="00840201"/>
    <w:rsid w:val="008529BB"/>
    <w:rsid w:val="008920D8"/>
    <w:rsid w:val="008A3DF7"/>
    <w:rsid w:val="008C6268"/>
    <w:rsid w:val="009254A9"/>
    <w:rsid w:val="00967ED5"/>
    <w:rsid w:val="009764AC"/>
    <w:rsid w:val="009E1377"/>
    <w:rsid w:val="009F18AA"/>
    <w:rsid w:val="00A12531"/>
    <w:rsid w:val="00A4529A"/>
    <w:rsid w:val="00A62AE6"/>
    <w:rsid w:val="00A7281C"/>
    <w:rsid w:val="00A93CFD"/>
    <w:rsid w:val="00AA4C0E"/>
    <w:rsid w:val="00AA5125"/>
    <w:rsid w:val="00AA5572"/>
    <w:rsid w:val="00AE5C87"/>
    <w:rsid w:val="00AF7CA8"/>
    <w:rsid w:val="00B4522D"/>
    <w:rsid w:val="00B61225"/>
    <w:rsid w:val="00B661A0"/>
    <w:rsid w:val="00C3338D"/>
    <w:rsid w:val="00C35219"/>
    <w:rsid w:val="00C46397"/>
    <w:rsid w:val="00C84851"/>
    <w:rsid w:val="00C93B01"/>
    <w:rsid w:val="00D016C6"/>
    <w:rsid w:val="00D27E58"/>
    <w:rsid w:val="00D27EE1"/>
    <w:rsid w:val="00D422C6"/>
    <w:rsid w:val="00D8799C"/>
    <w:rsid w:val="00D964B0"/>
    <w:rsid w:val="00DB19A2"/>
    <w:rsid w:val="00DB2F4D"/>
    <w:rsid w:val="00DB66B4"/>
    <w:rsid w:val="00DE7095"/>
    <w:rsid w:val="00E05481"/>
    <w:rsid w:val="00E37AC0"/>
    <w:rsid w:val="00E416B0"/>
    <w:rsid w:val="00E422D6"/>
    <w:rsid w:val="00E939C1"/>
    <w:rsid w:val="00EA5FC4"/>
    <w:rsid w:val="00EA7B28"/>
    <w:rsid w:val="00EA7EAB"/>
    <w:rsid w:val="00EB385C"/>
    <w:rsid w:val="00F43FC1"/>
    <w:rsid w:val="00F94C82"/>
    <w:rsid w:val="00F96208"/>
    <w:rsid w:val="00FA39AF"/>
    <w:rsid w:val="00FC35C7"/>
    <w:rsid w:val="00FC4E08"/>
    <w:rsid w:val="00FE5A2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27FA9"/>
  <w15:chartTrackingRefBased/>
  <w15:docId w15:val="{87528078-DF9B-46D2-8BCD-90DF657B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862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aliases w:val="Cuerpo de ponencia"/>
    <w:basedOn w:val="Normal"/>
    <w:next w:val="Normal"/>
    <w:link w:val="Ttulo3Car"/>
    <w:uiPriority w:val="9"/>
    <w:unhideWhenUsed/>
    <w:qFormat/>
    <w:rsid w:val="008529BB"/>
    <w:pPr>
      <w:keepNext/>
      <w:keepLines/>
      <w:spacing w:after="0" w:line="360" w:lineRule="auto"/>
      <w:contextualSpacing/>
      <w:outlineLvl w:val="2"/>
    </w:pPr>
    <w:rPr>
      <w:rFonts w:ascii="Times New Roman" w:eastAsiaTheme="majorEastAsia" w:hAnsi="Times New Roman" w:cstheme="majorBidi"/>
      <w:bCs/>
      <w:sz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C0ED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4C0ED1"/>
    <w:rPr>
      <w:color w:val="0000FF"/>
      <w:u w:val="single"/>
    </w:rPr>
  </w:style>
  <w:style w:type="paragraph" w:styleId="Prrafodelista">
    <w:name w:val="List Paragraph"/>
    <w:basedOn w:val="Normal"/>
    <w:uiPriority w:val="34"/>
    <w:qFormat/>
    <w:rsid w:val="006D521C"/>
    <w:pPr>
      <w:ind w:left="720"/>
      <w:contextualSpacing/>
    </w:pPr>
  </w:style>
  <w:style w:type="character" w:customStyle="1" w:styleId="Mencinsinresolver1">
    <w:name w:val="Mención sin resolver1"/>
    <w:basedOn w:val="Fuentedeprrafopredeter"/>
    <w:uiPriority w:val="99"/>
    <w:semiHidden/>
    <w:unhideWhenUsed/>
    <w:rsid w:val="00AE5C87"/>
    <w:rPr>
      <w:color w:val="605E5C"/>
      <w:shd w:val="clear" w:color="auto" w:fill="E1DFDD"/>
    </w:rPr>
  </w:style>
  <w:style w:type="character" w:styleId="Refdecomentario">
    <w:name w:val="annotation reference"/>
    <w:uiPriority w:val="99"/>
    <w:rsid w:val="00AE5C87"/>
    <w:rPr>
      <w:sz w:val="16"/>
      <w:szCs w:val="16"/>
    </w:rPr>
  </w:style>
  <w:style w:type="paragraph" w:styleId="Textocomentario">
    <w:name w:val="annotation text"/>
    <w:basedOn w:val="Normal"/>
    <w:link w:val="TextocomentarioCar"/>
    <w:uiPriority w:val="99"/>
    <w:rsid w:val="00AE5C87"/>
    <w:pPr>
      <w:spacing w:after="0" w:line="240" w:lineRule="auto"/>
    </w:pPr>
    <w:rPr>
      <w:rFonts w:ascii="Times New Roman" w:eastAsia="Times New Roman" w:hAnsi="Times New Roman" w:cs="Times New Roman"/>
      <w:sz w:val="20"/>
      <w:szCs w:val="20"/>
      <w:lang w:eastAsia="es-AR"/>
    </w:rPr>
  </w:style>
  <w:style w:type="character" w:customStyle="1" w:styleId="TextocomentarioCar">
    <w:name w:val="Texto comentario Car"/>
    <w:basedOn w:val="Fuentedeprrafopredeter"/>
    <w:link w:val="Textocomentario"/>
    <w:uiPriority w:val="99"/>
    <w:rsid w:val="00AE5C87"/>
    <w:rPr>
      <w:rFonts w:ascii="Times New Roman" w:eastAsia="Times New Roman" w:hAnsi="Times New Roman" w:cs="Times New Roman"/>
      <w:sz w:val="20"/>
      <w:szCs w:val="20"/>
      <w:lang w:eastAsia="es-AR"/>
    </w:rPr>
  </w:style>
  <w:style w:type="table" w:styleId="Tablaconcuadrcula">
    <w:name w:val="Table Grid"/>
    <w:basedOn w:val="Tablanormal"/>
    <w:uiPriority w:val="59"/>
    <w:rsid w:val="00387B82"/>
    <w:pPr>
      <w:spacing w:after="0" w:line="240" w:lineRule="auto"/>
    </w:pPr>
    <w:rPr>
      <w:rFonts w:eastAsiaTheme="minorEastAsia"/>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7B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tulo3Car">
    <w:name w:val="Título 3 Car"/>
    <w:aliases w:val="Cuerpo de ponencia Car"/>
    <w:basedOn w:val="Fuentedeprrafopredeter"/>
    <w:link w:val="Ttulo3"/>
    <w:uiPriority w:val="9"/>
    <w:rsid w:val="008529BB"/>
    <w:rPr>
      <w:rFonts w:ascii="Times New Roman" w:eastAsiaTheme="majorEastAsia" w:hAnsi="Times New Roman" w:cstheme="majorBidi"/>
      <w:bCs/>
      <w:sz w:val="24"/>
      <w:lang w:val="es-CO" w:eastAsia="es-CO"/>
    </w:rPr>
  </w:style>
  <w:style w:type="character" w:styleId="Textodelmarcadordeposicin">
    <w:name w:val="Placeholder Text"/>
    <w:basedOn w:val="Fuentedeprrafopredeter"/>
    <w:uiPriority w:val="99"/>
    <w:semiHidden/>
    <w:rsid w:val="008529BB"/>
    <w:rPr>
      <w:color w:val="808080"/>
    </w:rPr>
  </w:style>
  <w:style w:type="paragraph" w:styleId="Textonotapie">
    <w:name w:val="footnote text"/>
    <w:basedOn w:val="Normal"/>
    <w:link w:val="TextonotapieCar"/>
    <w:uiPriority w:val="99"/>
    <w:semiHidden/>
    <w:unhideWhenUsed/>
    <w:rsid w:val="0041398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1398D"/>
    <w:rPr>
      <w:sz w:val="20"/>
      <w:szCs w:val="20"/>
    </w:rPr>
  </w:style>
  <w:style w:type="character" w:styleId="Refdenotaalpie">
    <w:name w:val="footnote reference"/>
    <w:basedOn w:val="Fuentedeprrafopredeter"/>
    <w:uiPriority w:val="99"/>
    <w:semiHidden/>
    <w:unhideWhenUsed/>
    <w:rsid w:val="0041398D"/>
    <w:rPr>
      <w:vertAlign w:val="superscript"/>
    </w:rPr>
  </w:style>
  <w:style w:type="character" w:customStyle="1" w:styleId="Ttulo1Car">
    <w:name w:val="Título 1 Car"/>
    <w:basedOn w:val="Fuentedeprrafopredeter"/>
    <w:link w:val="Ttulo1"/>
    <w:uiPriority w:val="9"/>
    <w:rsid w:val="000862E1"/>
    <w:rPr>
      <w:rFonts w:asciiTheme="majorHAnsi" w:eastAsiaTheme="majorEastAsia" w:hAnsiTheme="majorHAnsi" w:cstheme="majorBidi"/>
      <w:color w:val="2F5496" w:themeColor="accent1" w:themeShade="BF"/>
      <w:sz w:val="32"/>
      <w:szCs w:val="32"/>
    </w:rPr>
  </w:style>
  <w:style w:type="character" w:styleId="Mencinsinresolver">
    <w:name w:val="Unresolved Mention"/>
    <w:basedOn w:val="Fuentedeprrafopredeter"/>
    <w:uiPriority w:val="99"/>
    <w:semiHidden/>
    <w:unhideWhenUsed/>
    <w:rsid w:val="00A93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20181">
      <w:bodyDiv w:val="1"/>
      <w:marLeft w:val="0"/>
      <w:marRight w:val="0"/>
      <w:marTop w:val="0"/>
      <w:marBottom w:val="0"/>
      <w:divBdr>
        <w:top w:val="none" w:sz="0" w:space="0" w:color="auto"/>
        <w:left w:val="none" w:sz="0" w:space="0" w:color="auto"/>
        <w:bottom w:val="none" w:sz="0" w:space="0" w:color="auto"/>
        <w:right w:val="none" w:sz="0" w:space="0" w:color="auto"/>
      </w:divBdr>
      <w:divsChild>
        <w:div w:id="2046172104">
          <w:marLeft w:val="0"/>
          <w:marRight w:val="0"/>
          <w:marTop w:val="0"/>
          <w:marBottom w:val="0"/>
          <w:divBdr>
            <w:top w:val="none" w:sz="0" w:space="0" w:color="auto"/>
            <w:left w:val="none" w:sz="0" w:space="0" w:color="auto"/>
            <w:bottom w:val="none" w:sz="0" w:space="0" w:color="auto"/>
            <w:right w:val="none" w:sz="0" w:space="0" w:color="auto"/>
          </w:divBdr>
          <w:divsChild>
            <w:div w:id="747845806">
              <w:marLeft w:val="0"/>
              <w:marRight w:val="0"/>
              <w:marTop w:val="0"/>
              <w:marBottom w:val="0"/>
              <w:divBdr>
                <w:top w:val="none" w:sz="0" w:space="0" w:color="auto"/>
                <w:left w:val="none" w:sz="0" w:space="0" w:color="auto"/>
                <w:bottom w:val="none" w:sz="0" w:space="0" w:color="auto"/>
                <w:right w:val="none" w:sz="0" w:space="0" w:color="auto"/>
              </w:divBdr>
              <w:divsChild>
                <w:div w:id="4237655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51519958">
          <w:marLeft w:val="0"/>
          <w:marRight w:val="0"/>
          <w:marTop w:val="0"/>
          <w:marBottom w:val="0"/>
          <w:divBdr>
            <w:top w:val="none" w:sz="0" w:space="0" w:color="auto"/>
            <w:left w:val="none" w:sz="0" w:space="0" w:color="auto"/>
            <w:bottom w:val="none" w:sz="0" w:space="0" w:color="auto"/>
            <w:right w:val="none" w:sz="0" w:space="0" w:color="auto"/>
          </w:divBdr>
          <w:divsChild>
            <w:div w:id="1655066861">
              <w:marLeft w:val="0"/>
              <w:marRight w:val="0"/>
              <w:marTop w:val="0"/>
              <w:marBottom w:val="0"/>
              <w:divBdr>
                <w:top w:val="none" w:sz="0" w:space="0" w:color="auto"/>
                <w:left w:val="none" w:sz="0" w:space="0" w:color="auto"/>
                <w:bottom w:val="none" w:sz="0" w:space="0" w:color="auto"/>
                <w:right w:val="none" w:sz="0" w:space="0" w:color="auto"/>
              </w:divBdr>
              <w:divsChild>
                <w:div w:id="17757867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36864867">
          <w:marLeft w:val="0"/>
          <w:marRight w:val="0"/>
          <w:marTop w:val="0"/>
          <w:marBottom w:val="0"/>
          <w:divBdr>
            <w:top w:val="none" w:sz="0" w:space="0" w:color="auto"/>
            <w:left w:val="none" w:sz="0" w:space="0" w:color="auto"/>
            <w:bottom w:val="none" w:sz="0" w:space="0" w:color="auto"/>
            <w:right w:val="none" w:sz="0" w:space="0" w:color="auto"/>
          </w:divBdr>
          <w:divsChild>
            <w:div w:id="1588807208">
              <w:marLeft w:val="0"/>
              <w:marRight w:val="0"/>
              <w:marTop w:val="0"/>
              <w:marBottom w:val="0"/>
              <w:divBdr>
                <w:top w:val="none" w:sz="0" w:space="0" w:color="auto"/>
                <w:left w:val="none" w:sz="0" w:space="0" w:color="auto"/>
                <w:bottom w:val="none" w:sz="0" w:space="0" w:color="auto"/>
                <w:right w:val="none" w:sz="0" w:space="0" w:color="auto"/>
              </w:divBdr>
              <w:divsChild>
                <w:div w:id="487287731">
                  <w:marLeft w:val="-420"/>
                  <w:marRight w:val="0"/>
                  <w:marTop w:val="0"/>
                  <w:marBottom w:val="0"/>
                  <w:divBdr>
                    <w:top w:val="none" w:sz="0" w:space="0" w:color="auto"/>
                    <w:left w:val="none" w:sz="0" w:space="0" w:color="auto"/>
                    <w:bottom w:val="none" w:sz="0" w:space="0" w:color="auto"/>
                    <w:right w:val="none" w:sz="0" w:space="0" w:color="auto"/>
                  </w:divBdr>
                  <w:divsChild>
                    <w:div w:id="838468238">
                      <w:marLeft w:val="0"/>
                      <w:marRight w:val="0"/>
                      <w:marTop w:val="0"/>
                      <w:marBottom w:val="0"/>
                      <w:divBdr>
                        <w:top w:val="none" w:sz="0" w:space="0" w:color="auto"/>
                        <w:left w:val="none" w:sz="0" w:space="0" w:color="auto"/>
                        <w:bottom w:val="none" w:sz="0" w:space="0" w:color="auto"/>
                        <w:right w:val="none" w:sz="0" w:space="0" w:color="auto"/>
                      </w:divBdr>
                      <w:divsChild>
                        <w:div w:id="1681661265">
                          <w:marLeft w:val="0"/>
                          <w:marRight w:val="0"/>
                          <w:marTop w:val="0"/>
                          <w:marBottom w:val="0"/>
                          <w:divBdr>
                            <w:top w:val="none" w:sz="0" w:space="0" w:color="auto"/>
                            <w:left w:val="none" w:sz="0" w:space="0" w:color="auto"/>
                            <w:bottom w:val="none" w:sz="0" w:space="0" w:color="auto"/>
                            <w:right w:val="none" w:sz="0" w:space="0" w:color="auto"/>
                          </w:divBdr>
                          <w:divsChild>
                            <w:div w:id="117191355">
                              <w:marLeft w:val="0"/>
                              <w:marRight w:val="0"/>
                              <w:marTop w:val="0"/>
                              <w:marBottom w:val="0"/>
                              <w:divBdr>
                                <w:top w:val="none" w:sz="0" w:space="0" w:color="auto"/>
                                <w:left w:val="none" w:sz="0" w:space="0" w:color="auto"/>
                                <w:bottom w:val="none" w:sz="0" w:space="0" w:color="auto"/>
                                <w:right w:val="none" w:sz="0" w:space="0" w:color="auto"/>
                              </w:divBdr>
                            </w:div>
                            <w:div w:id="146692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18298">
                  <w:marLeft w:val="-420"/>
                  <w:marRight w:val="0"/>
                  <w:marTop w:val="0"/>
                  <w:marBottom w:val="0"/>
                  <w:divBdr>
                    <w:top w:val="none" w:sz="0" w:space="0" w:color="auto"/>
                    <w:left w:val="none" w:sz="0" w:space="0" w:color="auto"/>
                    <w:bottom w:val="none" w:sz="0" w:space="0" w:color="auto"/>
                    <w:right w:val="none" w:sz="0" w:space="0" w:color="auto"/>
                  </w:divBdr>
                  <w:divsChild>
                    <w:div w:id="1025516375">
                      <w:marLeft w:val="0"/>
                      <w:marRight w:val="0"/>
                      <w:marTop w:val="0"/>
                      <w:marBottom w:val="0"/>
                      <w:divBdr>
                        <w:top w:val="none" w:sz="0" w:space="0" w:color="auto"/>
                        <w:left w:val="none" w:sz="0" w:space="0" w:color="auto"/>
                        <w:bottom w:val="none" w:sz="0" w:space="0" w:color="auto"/>
                        <w:right w:val="none" w:sz="0" w:space="0" w:color="auto"/>
                      </w:divBdr>
                      <w:divsChild>
                        <w:div w:id="1753962360">
                          <w:marLeft w:val="0"/>
                          <w:marRight w:val="0"/>
                          <w:marTop w:val="0"/>
                          <w:marBottom w:val="0"/>
                          <w:divBdr>
                            <w:top w:val="none" w:sz="0" w:space="0" w:color="auto"/>
                            <w:left w:val="none" w:sz="0" w:space="0" w:color="auto"/>
                            <w:bottom w:val="none" w:sz="0" w:space="0" w:color="auto"/>
                            <w:right w:val="none" w:sz="0" w:space="0" w:color="auto"/>
                          </w:divBdr>
                          <w:divsChild>
                            <w:div w:id="1595747811">
                              <w:marLeft w:val="0"/>
                              <w:marRight w:val="0"/>
                              <w:marTop w:val="0"/>
                              <w:marBottom w:val="0"/>
                              <w:divBdr>
                                <w:top w:val="none" w:sz="0" w:space="0" w:color="auto"/>
                                <w:left w:val="none" w:sz="0" w:space="0" w:color="auto"/>
                                <w:bottom w:val="none" w:sz="0" w:space="0" w:color="auto"/>
                                <w:right w:val="none" w:sz="0" w:space="0" w:color="auto"/>
                              </w:divBdr>
                            </w:div>
                            <w:div w:id="167098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21698">
      <w:bodyDiv w:val="1"/>
      <w:marLeft w:val="0"/>
      <w:marRight w:val="0"/>
      <w:marTop w:val="0"/>
      <w:marBottom w:val="0"/>
      <w:divBdr>
        <w:top w:val="none" w:sz="0" w:space="0" w:color="auto"/>
        <w:left w:val="none" w:sz="0" w:space="0" w:color="auto"/>
        <w:bottom w:val="none" w:sz="0" w:space="0" w:color="auto"/>
        <w:right w:val="none" w:sz="0" w:space="0" w:color="auto"/>
      </w:divBdr>
    </w:div>
    <w:div w:id="357859131">
      <w:bodyDiv w:val="1"/>
      <w:marLeft w:val="0"/>
      <w:marRight w:val="0"/>
      <w:marTop w:val="0"/>
      <w:marBottom w:val="0"/>
      <w:divBdr>
        <w:top w:val="none" w:sz="0" w:space="0" w:color="auto"/>
        <w:left w:val="none" w:sz="0" w:space="0" w:color="auto"/>
        <w:bottom w:val="none" w:sz="0" w:space="0" w:color="auto"/>
        <w:right w:val="none" w:sz="0" w:space="0" w:color="auto"/>
      </w:divBdr>
      <w:divsChild>
        <w:div w:id="820735335">
          <w:marLeft w:val="0"/>
          <w:marRight w:val="0"/>
          <w:marTop w:val="0"/>
          <w:marBottom w:val="0"/>
          <w:divBdr>
            <w:top w:val="none" w:sz="0" w:space="0" w:color="auto"/>
            <w:left w:val="none" w:sz="0" w:space="0" w:color="auto"/>
            <w:bottom w:val="none" w:sz="0" w:space="0" w:color="auto"/>
            <w:right w:val="none" w:sz="0" w:space="0" w:color="auto"/>
          </w:divBdr>
        </w:div>
        <w:div w:id="987053134">
          <w:marLeft w:val="0"/>
          <w:marRight w:val="0"/>
          <w:marTop w:val="0"/>
          <w:marBottom w:val="0"/>
          <w:divBdr>
            <w:top w:val="none" w:sz="0" w:space="0" w:color="auto"/>
            <w:left w:val="none" w:sz="0" w:space="0" w:color="auto"/>
            <w:bottom w:val="none" w:sz="0" w:space="0" w:color="auto"/>
            <w:right w:val="none" w:sz="0" w:space="0" w:color="auto"/>
          </w:divBdr>
        </w:div>
      </w:divsChild>
    </w:div>
    <w:div w:id="417486671">
      <w:bodyDiv w:val="1"/>
      <w:marLeft w:val="0"/>
      <w:marRight w:val="0"/>
      <w:marTop w:val="0"/>
      <w:marBottom w:val="0"/>
      <w:divBdr>
        <w:top w:val="none" w:sz="0" w:space="0" w:color="auto"/>
        <w:left w:val="none" w:sz="0" w:space="0" w:color="auto"/>
        <w:bottom w:val="none" w:sz="0" w:space="0" w:color="auto"/>
        <w:right w:val="none" w:sz="0" w:space="0" w:color="auto"/>
      </w:divBdr>
      <w:divsChild>
        <w:div w:id="2094159853">
          <w:marLeft w:val="0"/>
          <w:marRight w:val="0"/>
          <w:marTop w:val="0"/>
          <w:marBottom w:val="150"/>
          <w:divBdr>
            <w:top w:val="none" w:sz="0" w:space="0" w:color="auto"/>
            <w:left w:val="none" w:sz="0" w:space="0" w:color="auto"/>
            <w:bottom w:val="none" w:sz="0" w:space="0" w:color="auto"/>
            <w:right w:val="none" w:sz="0" w:space="0" w:color="auto"/>
          </w:divBdr>
        </w:div>
        <w:div w:id="923882642">
          <w:marLeft w:val="0"/>
          <w:marRight w:val="0"/>
          <w:marTop w:val="0"/>
          <w:marBottom w:val="225"/>
          <w:divBdr>
            <w:top w:val="none" w:sz="0" w:space="0" w:color="auto"/>
            <w:left w:val="none" w:sz="0" w:space="0" w:color="auto"/>
            <w:bottom w:val="none" w:sz="0" w:space="0" w:color="auto"/>
            <w:right w:val="none" w:sz="0" w:space="0" w:color="auto"/>
          </w:divBdr>
          <w:divsChild>
            <w:div w:id="1881474533">
              <w:marLeft w:val="0"/>
              <w:marRight w:val="0"/>
              <w:marTop w:val="0"/>
              <w:marBottom w:val="0"/>
              <w:divBdr>
                <w:top w:val="none" w:sz="0" w:space="0" w:color="auto"/>
                <w:left w:val="none" w:sz="0" w:space="0" w:color="auto"/>
                <w:bottom w:val="none" w:sz="0" w:space="0" w:color="auto"/>
                <w:right w:val="none" w:sz="0" w:space="0" w:color="auto"/>
              </w:divBdr>
              <w:divsChild>
                <w:div w:id="790199228">
                  <w:marLeft w:val="0"/>
                  <w:marRight w:val="0"/>
                  <w:marTop w:val="0"/>
                  <w:marBottom w:val="75"/>
                  <w:divBdr>
                    <w:top w:val="none" w:sz="0" w:space="0" w:color="auto"/>
                    <w:left w:val="none" w:sz="0" w:space="0" w:color="auto"/>
                    <w:bottom w:val="none" w:sz="0" w:space="0" w:color="auto"/>
                    <w:right w:val="none" w:sz="0" w:space="0" w:color="auto"/>
                  </w:divBdr>
                </w:div>
                <w:div w:id="1769622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79164663">
      <w:bodyDiv w:val="1"/>
      <w:marLeft w:val="0"/>
      <w:marRight w:val="0"/>
      <w:marTop w:val="0"/>
      <w:marBottom w:val="0"/>
      <w:divBdr>
        <w:top w:val="none" w:sz="0" w:space="0" w:color="auto"/>
        <w:left w:val="none" w:sz="0" w:space="0" w:color="auto"/>
        <w:bottom w:val="none" w:sz="0" w:space="0" w:color="auto"/>
        <w:right w:val="none" w:sz="0" w:space="0" w:color="auto"/>
      </w:divBdr>
      <w:divsChild>
        <w:div w:id="502205725">
          <w:marLeft w:val="0"/>
          <w:marRight w:val="0"/>
          <w:marTop w:val="0"/>
          <w:marBottom w:val="0"/>
          <w:divBdr>
            <w:top w:val="none" w:sz="0" w:space="0" w:color="auto"/>
            <w:left w:val="none" w:sz="0" w:space="0" w:color="auto"/>
            <w:bottom w:val="none" w:sz="0" w:space="0" w:color="auto"/>
            <w:right w:val="none" w:sz="0" w:space="0" w:color="auto"/>
          </w:divBdr>
          <w:divsChild>
            <w:div w:id="841551276">
              <w:marLeft w:val="0"/>
              <w:marRight w:val="0"/>
              <w:marTop w:val="0"/>
              <w:marBottom w:val="0"/>
              <w:divBdr>
                <w:top w:val="none" w:sz="0" w:space="0" w:color="auto"/>
                <w:left w:val="none" w:sz="0" w:space="0" w:color="auto"/>
                <w:bottom w:val="none" w:sz="0" w:space="0" w:color="auto"/>
                <w:right w:val="none" w:sz="0" w:space="0" w:color="auto"/>
              </w:divBdr>
            </w:div>
          </w:divsChild>
        </w:div>
        <w:div w:id="1893078497">
          <w:marLeft w:val="0"/>
          <w:marRight w:val="0"/>
          <w:marTop w:val="0"/>
          <w:marBottom w:val="0"/>
          <w:divBdr>
            <w:top w:val="none" w:sz="0" w:space="0" w:color="auto"/>
            <w:left w:val="none" w:sz="0" w:space="0" w:color="auto"/>
            <w:bottom w:val="none" w:sz="0" w:space="0" w:color="auto"/>
            <w:right w:val="none" w:sz="0" w:space="0" w:color="auto"/>
          </w:divBdr>
          <w:divsChild>
            <w:div w:id="205214709">
              <w:marLeft w:val="0"/>
              <w:marRight w:val="0"/>
              <w:marTop w:val="192"/>
              <w:marBottom w:val="192"/>
              <w:divBdr>
                <w:top w:val="none" w:sz="0" w:space="0" w:color="auto"/>
                <w:left w:val="none" w:sz="0" w:space="0" w:color="auto"/>
                <w:bottom w:val="none" w:sz="0" w:space="0" w:color="auto"/>
                <w:right w:val="none" w:sz="0" w:space="0" w:color="auto"/>
              </w:divBdr>
            </w:div>
          </w:divsChild>
        </w:div>
        <w:div w:id="651718371">
          <w:marLeft w:val="0"/>
          <w:marRight w:val="0"/>
          <w:marTop w:val="0"/>
          <w:marBottom w:val="0"/>
          <w:divBdr>
            <w:top w:val="none" w:sz="0" w:space="0" w:color="auto"/>
            <w:left w:val="none" w:sz="0" w:space="0" w:color="auto"/>
            <w:bottom w:val="none" w:sz="0" w:space="0" w:color="auto"/>
            <w:right w:val="none" w:sz="0" w:space="0" w:color="auto"/>
          </w:divBdr>
          <w:divsChild>
            <w:div w:id="1484815323">
              <w:marLeft w:val="0"/>
              <w:marRight w:val="0"/>
              <w:marTop w:val="0"/>
              <w:marBottom w:val="0"/>
              <w:divBdr>
                <w:top w:val="none" w:sz="0" w:space="0" w:color="auto"/>
                <w:left w:val="none" w:sz="0" w:space="0" w:color="auto"/>
                <w:bottom w:val="none" w:sz="0" w:space="0" w:color="auto"/>
                <w:right w:val="none" w:sz="0" w:space="0" w:color="auto"/>
              </w:divBdr>
            </w:div>
          </w:divsChild>
        </w:div>
        <w:div w:id="2022002930">
          <w:marLeft w:val="0"/>
          <w:marRight w:val="0"/>
          <w:marTop w:val="0"/>
          <w:marBottom w:val="0"/>
          <w:divBdr>
            <w:top w:val="none" w:sz="0" w:space="0" w:color="auto"/>
            <w:left w:val="none" w:sz="0" w:space="0" w:color="auto"/>
            <w:bottom w:val="none" w:sz="0" w:space="0" w:color="auto"/>
            <w:right w:val="none" w:sz="0" w:space="0" w:color="auto"/>
          </w:divBdr>
          <w:divsChild>
            <w:div w:id="95447341">
              <w:marLeft w:val="0"/>
              <w:marRight w:val="0"/>
              <w:marTop w:val="0"/>
              <w:marBottom w:val="0"/>
              <w:divBdr>
                <w:top w:val="none" w:sz="0" w:space="0" w:color="auto"/>
                <w:left w:val="none" w:sz="0" w:space="0" w:color="auto"/>
                <w:bottom w:val="none" w:sz="0" w:space="0" w:color="auto"/>
                <w:right w:val="none" w:sz="0" w:space="0" w:color="auto"/>
              </w:divBdr>
            </w:div>
          </w:divsChild>
        </w:div>
        <w:div w:id="445077165">
          <w:marLeft w:val="0"/>
          <w:marRight w:val="0"/>
          <w:marTop w:val="0"/>
          <w:marBottom w:val="0"/>
          <w:divBdr>
            <w:top w:val="none" w:sz="0" w:space="0" w:color="auto"/>
            <w:left w:val="none" w:sz="0" w:space="0" w:color="auto"/>
            <w:bottom w:val="none" w:sz="0" w:space="0" w:color="auto"/>
            <w:right w:val="none" w:sz="0" w:space="0" w:color="auto"/>
          </w:divBdr>
          <w:divsChild>
            <w:div w:id="1541016477">
              <w:marLeft w:val="0"/>
              <w:marRight w:val="0"/>
              <w:marTop w:val="0"/>
              <w:marBottom w:val="0"/>
              <w:divBdr>
                <w:top w:val="none" w:sz="0" w:space="0" w:color="auto"/>
                <w:left w:val="none" w:sz="0" w:space="0" w:color="auto"/>
                <w:bottom w:val="none" w:sz="0" w:space="0" w:color="auto"/>
                <w:right w:val="none" w:sz="0" w:space="0" w:color="auto"/>
              </w:divBdr>
            </w:div>
          </w:divsChild>
        </w:div>
        <w:div w:id="1570966467">
          <w:marLeft w:val="0"/>
          <w:marRight w:val="0"/>
          <w:marTop w:val="0"/>
          <w:marBottom w:val="0"/>
          <w:divBdr>
            <w:top w:val="none" w:sz="0" w:space="0" w:color="auto"/>
            <w:left w:val="none" w:sz="0" w:space="0" w:color="auto"/>
            <w:bottom w:val="none" w:sz="0" w:space="0" w:color="auto"/>
            <w:right w:val="none" w:sz="0" w:space="0" w:color="auto"/>
          </w:divBdr>
          <w:divsChild>
            <w:div w:id="1544174318">
              <w:marLeft w:val="0"/>
              <w:marRight w:val="0"/>
              <w:marTop w:val="0"/>
              <w:marBottom w:val="0"/>
              <w:divBdr>
                <w:top w:val="none" w:sz="0" w:space="0" w:color="auto"/>
                <w:left w:val="none" w:sz="0" w:space="0" w:color="auto"/>
                <w:bottom w:val="none" w:sz="0" w:space="0" w:color="auto"/>
                <w:right w:val="none" w:sz="0" w:space="0" w:color="auto"/>
              </w:divBdr>
            </w:div>
          </w:divsChild>
        </w:div>
        <w:div w:id="415564620">
          <w:marLeft w:val="0"/>
          <w:marRight w:val="0"/>
          <w:marTop w:val="0"/>
          <w:marBottom w:val="0"/>
          <w:divBdr>
            <w:top w:val="none" w:sz="0" w:space="0" w:color="auto"/>
            <w:left w:val="none" w:sz="0" w:space="0" w:color="auto"/>
            <w:bottom w:val="none" w:sz="0" w:space="0" w:color="auto"/>
            <w:right w:val="none" w:sz="0" w:space="0" w:color="auto"/>
          </w:divBdr>
          <w:divsChild>
            <w:div w:id="824660601">
              <w:marLeft w:val="0"/>
              <w:marRight w:val="0"/>
              <w:marTop w:val="0"/>
              <w:marBottom w:val="0"/>
              <w:divBdr>
                <w:top w:val="none" w:sz="0" w:space="0" w:color="auto"/>
                <w:left w:val="none" w:sz="0" w:space="0" w:color="auto"/>
                <w:bottom w:val="none" w:sz="0" w:space="0" w:color="auto"/>
                <w:right w:val="none" w:sz="0" w:space="0" w:color="auto"/>
              </w:divBdr>
            </w:div>
          </w:divsChild>
        </w:div>
        <w:div w:id="103308636">
          <w:marLeft w:val="0"/>
          <w:marRight w:val="0"/>
          <w:marTop w:val="0"/>
          <w:marBottom w:val="0"/>
          <w:divBdr>
            <w:top w:val="none" w:sz="0" w:space="0" w:color="auto"/>
            <w:left w:val="none" w:sz="0" w:space="0" w:color="auto"/>
            <w:bottom w:val="none" w:sz="0" w:space="0" w:color="auto"/>
            <w:right w:val="none" w:sz="0" w:space="0" w:color="auto"/>
          </w:divBdr>
          <w:divsChild>
            <w:div w:id="100806986">
              <w:marLeft w:val="0"/>
              <w:marRight w:val="0"/>
              <w:marTop w:val="0"/>
              <w:marBottom w:val="0"/>
              <w:divBdr>
                <w:top w:val="none" w:sz="0" w:space="0" w:color="auto"/>
                <w:left w:val="none" w:sz="0" w:space="0" w:color="auto"/>
                <w:bottom w:val="none" w:sz="0" w:space="0" w:color="auto"/>
                <w:right w:val="none" w:sz="0" w:space="0" w:color="auto"/>
              </w:divBdr>
            </w:div>
          </w:divsChild>
        </w:div>
        <w:div w:id="918711352">
          <w:marLeft w:val="0"/>
          <w:marRight w:val="0"/>
          <w:marTop w:val="0"/>
          <w:marBottom w:val="0"/>
          <w:divBdr>
            <w:top w:val="none" w:sz="0" w:space="0" w:color="auto"/>
            <w:left w:val="none" w:sz="0" w:space="0" w:color="auto"/>
            <w:bottom w:val="none" w:sz="0" w:space="0" w:color="auto"/>
            <w:right w:val="none" w:sz="0" w:space="0" w:color="auto"/>
          </w:divBdr>
          <w:divsChild>
            <w:div w:id="118859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43776">
      <w:bodyDiv w:val="1"/>
      <w:marLeft w:val="0"/>
      <w:marRight w:val="0"/>
      <w:marTop w:val="0"/>
      <w:marBottom w:val="0"/>
      <w:divBdr>
        <w:top w:val="none" w:sz="0" w:space="0" w:color="auto"/>
        <w:left w:val="none" w:sz="0" w:space="0" w:color="auto"/>
        <w:bottom w:val="none" w:sz="0" w:space="0" w:color="auto"/>
        <w:right w:val="none" w:sz="0" w:space="0" w:color="auto"/>
      </w:divBdr>
    </w:div>
    <w:div w:id="1104154855">
      <w:bodyDiv w:val="1"/>
      <w:marLeft w:val="0"/>
      <w:marRight w:val="0"/>
      <w:marTop w:val="0"/>
      <w:marBottom w:val="0"/>
      <w:divBdr>
        <w:top w:val="none" w:sz="0" w:space="0" w:color="auto"/>
        <w:left w:val="none" w:sz="0" w:space="0" w:color="auto"/>
        <w:bottom w:val="none" w:sz="0" w:space="0" w:color="auto"/>
        <w:right w:val="none" w:sz="0" w:space="0" w:color="auto"/>
      </w:divBdr>
    </w:div>
    <w:div w:id="1118640517">
      <w:bodyDiv w:val="1"/>
      <w:marLeft w:val="0"/>
      <w:marRight w:val="0"/>
      <w:marTop w:val="0"/>
      <w:marBottom w:val="0"/>
      <w:divBdr>
        <w:top w:val="none" w:sz="0" w:space="0" w:color="auto"/>
        <w:left w:val="none" w:sz="0" w:space="0" w:color="auto"/>
        <w:bottom w:val="none" w:sz="0" w:space="0" w:color="auto"/>
        <w:right w:val="none" w:sz="0" w:space="0" w:color="auto"/>
      </w:divBdr>
    </w:div>
    <w:div w:id="1144814675">
      <w:bodyDiv w:val="1"/>
      <w:marLeft w:val="0"/>
      <w:marRight w:val="0"/>
      <w:marTop w:val="0"/>
      <w:marBottom w:val="0"/>
      <w:divBdr>
        <w:top w:val="none" w:sz="0" w:space="0" w:color="auto"/>
        <w:left w:val="none" w:sz="0" w:space="0" w:color="auto"/>
        <w:bottom w:val="none" w:sz="0" w:space="0" w:color="auto"/>
        <w:right w:val="none" w:sz="0" w:space="0" w:color="auto"/>
      </w:divBdr>
      <w:divsChild>
        <w:div w:id="2093697841">
          <w:marLeft w:val="0"/>
          <w:marRight w:val="0"/>
          <w:marTop w:val="0"/>
          <w:marBottom w:val="0"/>
          <w:divBdr>
            <w:top w:val="none" w:sz="0" w:space="0" w:color="auto"/>
            <w:left w:val="none" w:sz="0" w:space="0" w:color="auto"/>
            <w:bottom w:val="none" w:sz="0" w:space="0" w:color="auto"/>
            <w:right w:val="none" w:sz="0" w:space="0" w:color="auto"/>
          </w:divBdr>
        </w:div>
        <w:div w:id="609751036">
          <w:marLeft w:val="0"/>
          <w:marRight w:val="0"/>
          <w:marTop w:val="0"/>
          <w:marBottom w:val="0"/>
          <w:divBdr>
            <w:top w:val="none" w:sz="0" w:space="0" w:color="auto"/>
            <w:left w:val="none" w:sz="0" w:space="0" w:color="auto"/>
            <w:bottom w:val="none" w:sz="0" w:space="0" w:color="auto"/>
            <w:right w:val="none" w:sz="0" w:space="0" w:color="auto"/>
          </w:divBdr>
        </w:div>
      </w:divsChild>
    </w:div>
    <w:div w:id="1507669916">
      <w:bodyDiv w:val="1"/>
      <w:marLeft w:val="0"/>
      <w:marRight w:val="0"/>
      <w:marTop w:val="0"/>
      <w:marBottom w:val="0"/>
      <w:divBdr>
        <w:top w:val="none" w:sz="0" w:space="0" w:color="auto"/>
        <w:left w:val="none" w:sz="0" w:space="0" w:color="auto"/>
        <w:bottom w:val="none" w:sz="0" w:space="0" w:color="auto"/>
        <w:right w:val="none" w:sz="0" w:space="0" w:color="auto"/>
      </w:divBdr>
      <w:divsChild>
        <w:div w:id="336932808">
          <w:marLeft w:val="0"/>
          <w:marRight w:val="0"/>
          <w:marTop w:val="0"/>
          <w:marBottom w:val="0"/>
          <w:divBdr>
            <w:top w:val="none" w:sz="0" w:space="0" w:color="auto"/>
            <w:left w:val="none" w:sz="0" w:space="0" w:color="auto"/>
            <w:bottom w:val="none" w:sz="0" w:space="0" w:color="auto"/>
            <w:right w:val="none" w:sz="0" w:space="0" w:color="auto"/>
          </w:divBdr>
          <w:divsChild>
            <w:div w:id="240911431">
              <w:marLeft w:val="0"/>
              <w:marRight w:val="0"/>
              <w:marTop w:val="0"/>
              <w:marBottom w:val="0"/>
              <w:divBdr>
                <w:top w:val="none" w:sz="0" w:space="0" w:color="auto"/>
                <w:left w:val="none" w:sz="0" w:space="0" w:color="auto"/>
                <w:bottom w:val="none" w:sz="0" w:space="0" w:color="auto"/>
                <w:right w:val="none" w:sz="0" w:space="0" w:color="auto"/>
              </w:divBdr>
              <w:divsChild>
                <w:div w:id="2121948351">
                  <w:marLeft w:val="0"/>
                  <w:marRight w:val="0"/>
                  <w:marTop w:val="0"/>
                  <w:marBottom w:val="0"/>
                  <w:divBdr>
                    <w:top w:val="none" w:sz="0" w:space="0" w:color="auto"/>
                    <w:left w:val="none" w:sz="0" w:space="0" w:color="auto"/>
                    <w:bottom w:val="none" w:sz="0" w:space="0" w:color="auto"/>
                    <w:right w:val="none" w:sz="0" w:space="0" w:color="auto"/>
                  </w:divBdr>
                </w:div>
                <w:div w:id="5804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1829">
          <w:marLeft w:val="0"/>
          <w:marRight w:val="0"/>
          <w:marTop w:val="0"/>
          <w:marBottom w:val="0"/>
          <w:divBdr>
            <w:top w:val="none" w:sz="0" w:space="0" w:color="auto"/>
            <w:left w:val="none" w:sz="0" w:space="0" w:color="auto"/>
            <w:bottom w:val="none" w:sz="0" w:space="0" w:color="auto"/>
            <w:right w:val="none" w:sz="0" w:space="0" w:color="auto"/>
          </w:divBdr>
        </w:div>
        <w:div w:id="284041760">
          <w:marLeft w:val="0"/>
          <w:marRight w:val="0"/>
          <w:marTop w:val="0"/>
          <w:marBottom w:val="0"/>
          <w:divBdr>
            <w:top w:val="none" w:sz="0" w:space="0" w:color="auto"/>
            <w:left w:val="none" w:sz="0" w:space="0" w:color="auto"/>
            <w:bottom w:val="none" w:sz="0" w:space="0" w:color="auto"/>
            <w:right w:val="none" w:sz="0" w:space="0" w:color="auto"/>
          </w:divBdr>
          <w:divsChild>
            <w:div w:id="702512072">
              <w:marLeft w:val="0"/>
              <w:marRight w:val="0"/>
              <w:marTop w:val="0"/>
              <w:marBottom w:val="0"/>
              <w:divBdr>
                <w:top w:val="none" w:sz="0" w:space="0" w:color="auto"/>
                <w:left w:val="none" w:sz="0" w:space="0" w:color="auto"/>
                <w:bottom w:val="none" w:sz="0" w:space="0" w:color="auto"/>
                <w:right w:val="none" w:sz="0" w:space="0" w:color="auto"/>
              </w:divBdr>
            </w:div>
            <w:div w:id="1446923707">
              <w:marLeft w:val="0"/>
              <w:marRight w:val="0"/>
              <w:marTop w:val="0"/>
              <w:marBottom w:val="0"/>
              <w:divBdr>
                <w:top w:val="none" w:sz="0" w:space="0" w:color="auto"/>
                <w:left w:val="none" w:sz="0" w:space="0" w:color="auto"/>
                <w:bottom w:val="none" w:sz="0" w:space="0" w:color="auto"/>
                <w:right w:val="none" w:sz="0" w:space="0" w:color="auto"/>
              </w:divBdr>
            </w:div>
          </w:divsChild>
        </w:div>
        <w:div w:id="480268475">
          <w:marLeft w:val="0"/>
          <w:marRight w:val="0"/>
          <w:marTop w:val="0"/>
          <w:marBottom w:val="0"/>
          <w:divBdr>
            <w:top w:val="none" w:sz="0" w:space="0" w:color="auto"/>
            <w:left w:val="none" w:sz="0" w:space="0" w:color="auto"/>
            <w:bottom w:val="none" w:sz="0" w:space="0" w:color="auto"/>
            <w:right w:val="none" w:sz="0" w:space="0" w:color="auto"/>
          </w:divBdr>
        </w:div>
        <w:div w:id="805011397">
          <w:marLeft w:val="0"/>
          <w:marRight w:val="0"/>
          <w:marTop w:val="0"/>
          <w:marBottom w:val="0"/>
          <w:divBdr>
            <w:top w:val="none" w:sz="0" w:space="0" w:color="auto"/>
            <w:left w:val="none" w:sz="0" w:space="0" w:color="auto"/>
            <w:bottom w:val="none" w:sz="0" w:space="0" w:color="auto"/>
            <w:right w:val="none" w:sz="0" w:space="0" w:color="auto"/>
          </w:divBdr>
        </w:div>
      </w:divsChild>
    </w:div>
    <w:div w:id="1630362014">
      <w:bodyDiv w:val="1"/>
      <w:marLeft w:val="0"/>
      <w:marRight w:val="0"/>
      <w:marTop w:val="0"/>
      <w:marBottom w:val="0"/>
      <w:divBdr>
        <w:top w:val="none" w:sz="0" w:space="0" w:color="auto"/>
        <w:left w:val="none" w:sz="0" w:space="0" w:color="auto"/>
        <w:bottom w:val="none" w:sz="0" w:space="0" w:color="auto"/>
        <w:right w:val="none" w:sz="0" w:space="0" w:color="auto"/>
      </w:divBdr>
    </w:div>
    <w:div w:id="1722943099">
      <w:bodyDiv w:val="1"/>
      <w:marLeft w:val="0"/>
      <w:marRight w:val="0"/>
      <w:marTop w:val="0"/>
      <w:marBottom w:val="0"/>
      <w:divBdr>
        <w:top w:val="none" w:sz="0" w:space="0" w:color="auto"/>
        <w:left w:val="none" w:sz="0" w:space="0" w:color="auto"/>
        <w:bottom w:val="none" w:sz="0" w:space="0" w:color="auto"/>
        <w:right w:val="none" w:sz="0" w:space="0" w:color="auto"/>
      </w:divBdr>
    </w:div>
    <w:div w:id="2006739958">
      <w:bodyDiv w:val="1"/>
      <w:marLeft w:val="0"/>
      <w:marRight w:val="0"/>
      <w:marTop w:val="0"/>
      <w:marBottom w:val="0"/>
      <w:divBdr>
        <w:top w:val="none" w:sz="0" w:space="0" w:color="auto"/>
        <w:left w:val="none" w:sz="0" w:space="0" w:color="auto"/>
        <w:bottom w:val="none" w:sz="0" w:space="0" w:color="auto"/>
        <w:right w:val="none" w:sz="0" w:space="0" w:color="auto"/>
      </w:divBdr>
      <w:divsChild>
        <w:div w:id="1181822079">
          <w:marLeft w:val="0"/>
          <w:marRight w:val="0"/>
          <w:marTop w:val="0"/>
          <w:marBottom w:val="0"/>
          <w:divBdr>
            <w:top w:val="none" w:sz="0" w:space="0" w:color="auto"/>
            <w:left w:val="none" w:sz="0" w:space="0" w:color="auto"/>
            <w:bottom w:val="none" w:sz="0" w:space="0" w:color="auto"/>
            <w:right w:val="none" w:sz="0" w:space="0" w:color="auto"/>
          </w:divBdr>
          <w:divsChild>
            <w:div w:id="1955745672">
              <w:marLeft w:val="0"/>
              <w:marRight w:val="0"/>
              <w:marTop w:val="0"/>
              <w:marBottom w:val="1080"/>
              <w:divBdr>
                <w:top w:val="none" w:sz="0" w:space="0" w:color="auto"/>
                <w:left w:val="none" w:sz="0" w:space="0" w:color="auto"/>
                <w:bottom w:val="none" w:sz="0" w:space="0" w:color="auto"/>
                <w:right w:val="none" w:sz="0" w:space="0" w:color="auto"/>
              </w:divBdr>
              <w:divsChild>
                <w:div w:id="1565219159">
                  <w:marLeft w:val="-360"/>
                  <w:marRight w:val="-360"/>
                  <w:marTop w:val="0"/>
                  <w:marBottom w:val="0"/>
                  <w:divBdr>
                    <w:top w:val="none" w:sz="0" w:space="0" w:color="auto"/>
                    <w:left w:val="none" w:sz="0" w:space="0" w:color="auto"/>
                    <w:bottom w:val="none" w:sz="0" w:space="0" w:color="auto"/>
                    <w:right w:val="none" w:sz="0" w:space="0" w:color="auto"/>
                  </w:divBdr>
                  <w:divsChild>
                    <w:div w:id="1683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earteche@uade.edu.ar" TargetMode="External"/><Relationship Id="rId13" Type="http://schemas.openxmlformats.org/officeDocument/2006/relationships/hyperlink" Target="http://dx.doi.org/10.11118/actaun20126004019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journal/Acta-Universitatis-Agriculturae-et-Silviculturae-Mendelianae-Brunensis-1211-8516?_tp=eyJjb250ZXh0Ijp7ImZpcnN0UGFnZSI6InB1YmxpY2F0aW9uIiwicGFnZSI6InB1YmxpY2F0aW9uIiwicG9zaXRpb24iOiJwYWdlSGVhZGVyIn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8046/j.estger.2018.146.26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bse.1829" TargetMode="External"/><Relationship Id="rId5" Type="http://schemas.openxmlformats.org/officeDocument/2006/relationships/webSettings" Target="webSettings.xml"/><Relationship Id="rId15" Type="http://schemas.openxmlformats.org/officeDocument/2006/relationships/hyperlink" Target="https://doi.org/10.1787/4817d61b-es" TargetMode="External"/><Relationship Id="rId10" Type="http://schemas.openxmlformats.org/officeDocument/2006/relationships/hyperlink" Target="https://books.google.es/books?id=4hTRWStFhVgC&amp;printsec=frontcover&amp;redir_esc=y" TargetMode="External"/><Relationship Id="rId4" Type="http://schemas.openxmlformats.org/officeDocument/2006/relationships/settings" Target="settings.xml"/><Relationship Id="rId9" Type="http://schemas.openxmlformats.org/officeDocument/2006/relationships/hyperlink" Target="mailto:swelsh@uade.edu.ar" TargetMode="External"/><Relationship Id="rId14" Type="http://schemas.openxmlformats.org/officeDocument/2006/relationships/hyperlink" Target="https://www.enriquedans.com/2022/07/la-innovacion-abierta-y-sus-clich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0DF44-7E72-4C97-ACF9-FCC2E265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4473</Words>
  <Characters>24452</Characters>
  <Application>Microsoft Office Word</Application>
  <DocSecurity>0</DocSecurity>
  <Lines>622</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Pablo Cardozo</dc:creator>
  <cp:keywords/>
  <dc:description/>
  <cp:lastModifiedBy>Monica Regina de Arteche</cp:lastModifiedBy>
  <cp:revision>2</cp:revision>
  <cp:lastPrinted>2025-07-28T21:34:00Z</cp:lastPrinted>
  <dcterms:created xsi:type="dcterms:W3CDTF">2025-07-29T02:12:00Z</dcterms:created>
  <dcterms:modified xsi:type="dcterms:W3CDTF">2025-07-29T02:12:00Z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36f28ae2-fe51-4675-b088-f8ed72d64a28</vt:lpwstr>
  </property>
</Properties>
</file>