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39E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399730" cy="965200"/>
            <wp:effectExtent l="0" t="0" r="0" b="0"/>
            <wp:docPr id="10517001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399730" cy="965200"/>
                    </a:xfrm>
                    <a:prstGeom prst="rect">
                      <a:avLst/>
                    </a:prstGeom>
                    <a:ln/>
                  </pic:spPr>
                </pic:pic>
              </a:graphicData>
            </a:graphic>
          </wp:inline>
        </w:drawing>
      </w:r>
    </w:p>
    <w:p w14:paraId="00000003" w14:textId="77777777" w:rsidR="007D39E1" w:rsidRDefault="0000000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extent cx="5399730" cy="1917700"/>
            <wp:effectExtent l="0" t="0" r="0" b="0"/>
            <wp:docPr id="105170018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399730" cy="1917700"/>
                    </a:xfrm>
                    <a:prstGeom prst="rect">
                      <a:avLst/>
                    </a:prstGeom>
                    <a:ln/>
                  </pic:spPr>
                </pic:pic>
              </a:graphicData>
            </a:graphic>
          </wp:inline>
        </w:drawing>
      </w:r>
    </w:p>
    <w:p w14:paraId="00000004" w14:textId="2912C172" w:rsidR="007D39E1" w:rsidRDefault="00000000">
      <w:pPr>
        <w:spacing w:line="360" w:lineRule="auto"/>
        <w:jc w:val="center"/>
        <w:rPr>
          <w:rFonts w:ascii="Times New Roman" w:eastAsia="Times New Roman" w:hAnsi="Times New Roman" w:cs="Times New Roman"/>
          <w:color w:val="000000"/>
          <w:sz w:val="24"/>
          <w:szCs w:val="24"/>
        </w:rPr>
      </w:pPr>
      <w:sdt>
        <w:sdtPr>
          <w:tag w:val="goog_rdk_0"/>
          <w:id w:val="-1567574208"/>
          <w:showingPlcHdr/>
        </w:sdtPr>
        <w:sdtContent>
          <w:r w:rsidR="001B6413">
            <w:t xml:space="preserve">     </w:t>
          </w:r>
        </w:sdtContent>
      </w:sdt>
      <w:r>
        <w:rPr>
          <w:rFonts w:ascii="Times New Roman" w:eastAsia="Times New Roman" w:hAnsi="Times New Roman" w:cs="Times New Roman"/>
          <w:color w:val="000000"/>
          <w:sz w:val="24"/>
          <w:szCs w:val="24"/>
        </w:rPr>
        <w:t>Título: "Análisis de tendencias internacionales sobre el uso de la inteligencia artificial en el sector público"</w:t>
      </w:r>
    </w:p>
    <w:p w14:paraId="00000005" w14:textId="77777777" w:rsidR="007D39E1" w:rsidRDefault="0000000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Autores</w:t>
      </w:r>
    </w:p>
    <w:p w14:paraId="00000007" w14:textId="3CD26AF9"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Apellido y Nombre: Sanabria, Verónica Raquel</w:t>
      </w:r>
    </w:p>
    <w:p w14:paraId="00000008"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Dirección: Calle 1302, </w:t>
      </w:r>
      <w:proofErr w:type="spellStart"/>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2064</w:t>
      </w:r>
    </w:p>
    <w:p w14:paraId="00000009"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Universidad de Buenos Aires - Universidad del Salvador</w:t>
      </w:r>
    </w:p>
    <w:p w14:paraId="0000000A"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Postal: Provincia de Buenos Aires</w:t>
      </w:r>
    </w:p>
    <w:p w14:paraId="0000000B"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de correo electrónico: veronicarsanabria@gmail.com</w:t>
      </w:r>
    </w:p>
    <w:p w14:paraId="4A89C04B" w14:textId="77777777" w:rsidR="001B6413" w:rsidRDefault="001B6413">
      <w:pPr>
        <w:spacing w:after="0" w:line="360" w:lineRule="auto"/>
        <w:rPr>
          <w:rFonts w:ascii="Times New Roman" w:eastAsia="Times New Roman" w:hAnsi="Times New Roman" w:cs="Times New Roman"/>
          <w:sz w:val="24"/>
          <w:szCs w:val="24"/>
        </w:rPr>
      </w:pPr>
    </w:p>
    <w:p w14:paraId="0000000D" w14:textId="4F0A8D95" w:rsidR="007D39E1" w:rsidRDefault="00000000">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Apellido y Nombre: González, Gustavo Alejandro</w:t>
      </w:r>
      <w:r>
        <w:rPr>
          <w:rFonts w:ascii="Times New Roman" w:eastAsia="Times New Roman" w:hAnsi="Times New Roman" w:cs="Times New Roman"/>
          <w:sz w:val="24"/>
          <w:szCs w:val="24"/>
        </w:rPr>
        <w:tab/>
      </w:r>
    </w:p>
    <w:p w14:paraId="0000000E"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Dirección: Tellier 1666 – Merlo, Provincia de Buenos Aires. </w:t>
      </w:r>
    </w:p>
    <w:p w14:paraId="0000000F"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Universidad del Salvador</w:t>
      </w:r>
    </w:p>
    <w:p w14:paraId="00000010"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Postal: Provincia de Buenos Aires</w:t>
      </w:r>
    </w:p>
    <w:p w14:paraId="00000011"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de correo electrónico: gustavo.gonzalez2015@usal.edu.ar</w:t>
      </w:r>
    </w:p>
    <w:p w14:paraId="7D6D4C51" w14:textId="77777777" w:rsidR="001B6413" w:rsidRDefault="001B6413">
      <w:pPr>
        <w:spacing w:after="0" w:line="360" w:lineRule="auto"/>
        <w:rPr>
          <w:rFonts w:ascii="Times New Roman" w:eastAsia="Times New Roman" w:hAnsi="Times New Roman" w:cs="Times New Roman"/>
          <w:sz w:val="24"/>
          <w:szCs w:val="24"/>
        </w:rPr>
      </w:pPr>
    </w:p>
    <w:p w14:paraId="00000013" w14:textId="34106E87" w:rsidR="007D39E1" w:rsidRDefault="00000000">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Apellido y Nombre: Arnaiz, </w:t>
      </w:r>
      <w:r w:rsidR="001B6413">
        <w:rPr>
          <w:rFonts w:ascii="Times New Roman" w:eastAsia="Times New Roman" w:hAnsi="Times New Roman" w:cs="Times New Roman"/>
          <w:sz w:val="24"/>
          <w:szCs w:val="24"/>
        </w:rPr>
        <w:t>Analía</w:t>
      </w:r>
      <w:r>
        <w:rPr>
          <w:rFonts w:ascii="Times New Roman" w:eastAsia="Times New Roman" w:hAnsi="Times New Roman" w:cs="Times New Roman"/>
          <w:sz w:val="24"/>
          <w:szCs w:val="24"/>
        </w:rPr>
        <w:t xml:space="preserve"> Gabriela</w:t>
      </w:r>
      <w:r>
        <w:rPr>
          <w:rFonts w:ascii="Times New Roman" w:eastAsia="Times New Roman" w:hAnsi="Times New Roman" w:cs="Times New Roman"/>
          <w:sz w:val="24"/>
          <w:szCs w:val="24"/>
        </w:rPr>
        <w:tab/>
      </w:r>
    </w:p>
    <w:p w14:paraId="00000014"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Dirección: San Martín 1543 – Luján, Provincia de Buenos Aires. </w:t>
      </w:r>
    </w:p>
    <w:p w14:paraId="00000015"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Universidad del Salvador</w:t>
      </w:r>
    </w:p>
    <w:p w14:paraId="00000016" w14:textId="77777777" w:rsidR="007D39E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Postal: Provincia de Buenos Aires</w:t>
      </w:r>
    </w:p>
    <w:p w14:paraId="00000017" w14:textId="77777777" w:rsidR="007D39E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Dirección de correo electrónico: arnaiz.analia@usal.edu.ar</w:t>
      </w:r>
    </w:p>
    <w:p w14:paraId="00000019" w14:textId="77777777" w:rsidR="007D39E1" w:rsidRDefault="00000000">
      <w:pPr>
        <w:tabs>
          <w:tab w:val="left" w:pos="5103"/>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Resumen:</w:t>
      </w:r>
    </w:p>
    <w:p w14:paraId="0000001A" w14:textId="7A4DF1E4"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trabajo tiene como objetivo analizar las tendencias internacionales en el uso de la inteligencia artificial (IA) en el sector público, identificando sus principales aportes, enfoques regulatorios y cuestiones relacionadas a los desafíos éticos. La problemática que se analiza se centra en la hipótesis: las tecnologías de gestión de la nueva era digital aplicadas al sistema contable del sector público permiten una gestión eficiente, transparente y sustentable. Para ello se analizan casos de implementación de IA en el sector público en algunos países latinoamericanos, complementados con marcos de referencia propuestos por organismos internacionales como ser: principios de la OCDE sobre la IA y el marco normativo global ético sobre IA de la UNESCO. Se considera su aplicación en la automatización de procesos administrativos, el uso de algoritmos predictivos, el desarrollo de asistentes virtuales y la aplicación de IA en salud, educación y seguridad, búsqueda de datos, entre otras áreas claves.</w:t>
      </w:r>
    </w:p>
    <w:p w14:paraId="0000001B"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resultados obtenidos muestran una creciente adopción de la IA en el sector público, impulsada por la digitalización en el sector público y la disponibilidad de datos, así como una tendencia global hacia la creación de marcos éticos y normativos que regulen su uso. No obstante, se evidencian disparidades en la capacidad de implementación entre países desarrollados y en desarrollo, así como preocupaciones persistentes sobre el sesgo algorítmico, la rendición de cuentas y la participación ciudadana.</w:t>
      </w:r>
    </w:p>
    <w:p w14:paraId="0000001C"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concluye que la IA puede contribuir significativamente a la modernización de los sistemas de información del sector público si su implementación se basa en principios de responsabilidad, inclusión y transparencia. Además, se destaca la necesidad de fortalecer las capacidades institucionales y establecer mecanismos de evaluación continua para garantizar un uso ético y sostenible de la IA en la gestión pública.</w:t>
      </w:r>
    </w:p>
    <w:p w14:paraId="0000001D" w14:textId="77777777" w:rsidR="007D39E1" w:rsidRDefault="00000000">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Palabras Clave (3): </w:t>
      </w:r>
    </w:p>
    <w:p w14:paraId="0000001E"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Inteligencia Artificial – Gestión del Sector Público – Tendencias de uso de la IA</w:t>
      </w:r>
    </w:p>
    <w:p w14:paraId="0000001F" w14:textId="77777777" w:rsidR="007D39E1" w:rsidRDefault="00000000" w:rsidP="001B6413">
      <w:pPr>
        <w:pStyle w:val="Subttulo"/>
        <w:spacing w:before="0" w:after="320" w:line="360" w:lineRule="auto"/>
        <w:ind w:left="720"/>
        <w:rPr>
          <w:rFonts w:ascii="Times New Roman" w:eastAsia="Times New Roman" w:hAnsi="Times New Roman" w:cs="Times New Roman"/>
          <w:b/>
          <w:color w:val="0C343D"/>
          <w:sz w:val="24"/>
          <w:szCs w:val="24"/>
        </w:rPr>
      </w:pPr>
      <w:bookmarkStart w:id="0" w:name="_heading=h.6y5aaxwsdm8z" w:colFirst="0" w:colLast="0"/>
      <w:bookmarkEnd w:id="0"/>
      <w:r>
        <w:rPr>
          <w:rFonts w:ascii="Times New Roman" w:eastAsia="Times New Roman" w:hAnsi="Times New Roman" w:cs="Times New Roman"/>
          <w:b/>
          <w:i w:val="0"/>
          <w:color w:val="0C343D"/>
          <w:sz w:val="24"/>
          <w:szCs w:val="24"/>
        </w:rPr>
        <w:t>Introducción</w:t>
      </w:r>
    </w:p>
    <w:p w14:paraId="00000020" w14:textId="740AC8FA"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esta investigación es analizar las prácticas de la era digital en la gestión y generación de información contable del sector público que contribuyen a la comparabilidad, uniformidad, credibilidad y transparencia. </w:t>
      </w:r>
      <w:r w:rsidR="001B6413">
        <w:rPr>
          <w:rFonts w:ascii="Times New Roman" w:eastAsia="Times New Roman" w:hAnsi="Times New Roman" w:cs="Times New Roman"/>
          <w:sz w:val="24"/>
          <w:szCs w:val="24"/>
        </w:rPr>
        <w:t xml:space="preserve">El análisis de las buenas </w:t>
      </w:r>
      <w:r w:rsidR="001B6413">
        <w:rPr>
          <w:rFonts w:ascii="Times New Roman" w:eastAsia="Times New Roman" w:hAnsi="Times New Roman" w:cs="Times New Roman"/>
          <w:sz w:val="24"/>
          <w:szCs w:val="24"/>
        </w:rPr>
        <w:lastRenderedPageBreak/>
        <w:t>prácticas permite</w:t>
      </w:r>
      <w:r>
        <w:rPr>
          <w:rFonts w:ascii="Times New Roman" w:eastAsia="Times New Roman" w:hAnsi="Times New Roman" w:cs="Times New Roman"/>
          <w:sz w:val="24"/>
          <w:szCs w:val="24"/>
        </w:rPr>
        <w:t xml:space="preserve"> identificar mejoras en la gestión del sector público para alcanzar mayor eficiencia y eficacia, así como en el desarrollo de informes de divulgación de información financiera y no financiera en el sector público que cumplan con las expectativas de las partes interesadas y garanticen niveles adecuados de rendición de cuentas.</w:t>
      </w:r>
    </w:p>
    <w:p w14:paraId="00000021"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autores, como </w:t>
      </w:r>
      <w:proofErr w:type="spellStart"/>
      <w:r>
        <w:rPr>
          <w:rFonts w:ascii="Times New Roman" w:eastAsia="Times New Roman" w:hAnsi="Times New Roman" w:cs="Times New Roman"/>
          <w:sz w:val="24"/>
          <w:szCs w:val="24"/>
        </w:rPr>
        <w:t>Pramono</w:t>
      </w:r>
      <w:proofErr w:type="spellEnd"/>
      <w:r>
        <w:rPr>
          <w:rFonts w:ascii="Times New Roman" w:eastAsia="Times New Roman" w:hAnsi="Times New Roman" w:cs="Times New Roman"/>
          <w:sz w:val="24"/>
          <w:szCs w:val="24"/>
        </w:rPr>
        <w:t xml:space="preserve">, A.J.; </w:t>
      </w:r>
      <w:proofErr w:type="spellStart"/>
      <w:r>
        <w:rPr>
          <w:rFonts w:ascii="Times New Roman" w:eastAsia="Times New Roman" w:hAnsi="Times New Roman" w:cs="Times New Roman"/>
          <w:sz w:val="24"/>
          <w:szCs w:val="24"/>
        </w:rPr>
        <w:t>Suwarno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Amyar</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Friska</w:t>
      </w:r>
      <w:proofErr w:type="spellEnd"/>
      <w:r>
        <w:rPr>
          <w:rFonts w:ascii="Times New Roman" w:eastAsia="Times New Roman" w:hAnsi="Times New Roman" w:cs="Times New Roman"/>
          <w:sz w:val="24"/>
          <w:szCs w:val="24"/>
        </w:rPr>
        <w:t xml:space="preserve">, R. (2023) consideran que los avances tecnológicos de la era digital ofrecen soluciones avanzadas de contabilidad de gestión y proveen oportunidades de mejora en la capacidad de gestión financiera y no financiera en el sector público. </w:t>
      </w:r>
    </w:p>
    <w:p w14:paraId="00000022"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tiene como objetivo analizar las tendencias internacionales en el uso de la inteligencia artificial (IA) en el sector público, identificando sus principales aportes, enfoques regulatorios y cuestiones relacionadas a los desafíos éticos. </w:t>
      </w:r>
    </w:p>
    <w:p w14:paraId="00000023"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problemática que se analiza se centra en brindar respuestas a las siguientes interrogantes: ¿Los avances tecnológicos de la nueva era digital deberían mejorar la eficiencia y eficacia en la gestión financiera y no financiera del sector público, brindando mayor credibilidad, transparencia y mejores desempeños del estado?</w:t>
      </w:r>
    </w:p>
    <w:p w14:paraId="00000024"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hipótesis que se intenta contrastar es: las tecnologías de gestión de la nueva era digital aplicadas al sistema contable del sector público permiten una gestión eficiente, transparente y sustentable.</w:t>
      </w:r>
    </w:p>
    <w:p w14:paraId="00000025" w14:textId="1B45A3BA"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ello se realiza un análisis cualitativo de </w:t>
      </w:r>
      <w:proofErr w:type="gramStart"/>
      <w:r>
        <w:rPr>
          <w:rFonts w:ascii="Times New Roman" w:eastAsia="Times New Roman" w:hAnsi="Times New Roman" w:cs="Times New Roman"/>
          <w:sz w:val="24"/>
          <w:szCs w:val="24"/>
        </w:rPr>
        <w:t>la</w:t>
      </w:r>
      <w:r w:rsidR="001B6413">
        <w:rPr>
          <w:rFonts w:ascii="Times New Roman" w:eastAsia="Times New Roman" w:hAnsi="Times New Roman" w:cs="Times New Roman"/>
          <w:sz w:val="24"/>
          <w:szCs w:val="24"/>
        </w:rPr>
        <w:t xml:space="preserve">s normativa </w:t>
      </w:r>
      <w:r>
        <w:rPr>
          <w:rFonts w:ascii="Times New Roman" w:eastAsia="Times New Roman" w:hAnsi="Times New Roman" w:cs="Times New Roman"/>
          <w:sz w:val="24"/>
          <w:szCs w:val="24"/>
        </w:rPr>
        <w:t>existente</w:t>
      </w:r>
      <w:proofErr w:type="gramEnd"/>
      <w:r>
        <w:rPr>
          <w:rFonts w:ascii="Times New Roman" w:eastAsia="Times New Roman" w:hAnsi="Times New Roman" w:cs="Times New Roman"/>
          <w:sz w:val="24"/>
          <w:szCs w:val="24"/>
        </w:rPr>
        <w:t>, de los informes publicados por organismos internacionales, a fin de identificar casos de éxitos y buenas prácticas con respecto a la utilización de la IA en el sector público. Se analizan casos de implementación de IA en el sector público en algunos países latinoamericanos, complementados con marcos de referencia propuestos por organismos internacionales como ser: principios de la OCDE sobre la IA (OCDE, 2019) y el marco normativo global ético sobre IA de la UNESCO (UNESCO, 2021). Además, se considera su aplicación en la automatización de procesos administrativos, el uso de algoritmos predictivos, el desarrollo de asistentes virtuales y la aplicación de IA en salud, educación y seguridad, búsqueda de datos, entre otras áreas claves del sector público.</w:t>
      </w:r>
    </w:p>
    <w:p w14:paraId="00000026" w14:textId="77777777" w:rsidR="007D39E1" w:rsidRDefault="00000000">
      <w:pPr>
        <w:pStyle w:val="Subttulo"/>
        <w:numPr>
          <w:ilvl w:val="0"/>
          <w:numId w:val="2"/>
        </w:numPr>
        <w:spacing w:before="0" w:after="320" w:line="360" w:lineRule="auto"/>
        <w:rPr>
          <w:rFonts w:ascii="Times New Roman" w:eastAsia="Times New Roman" w:hAnsi="Times New Roman" w:cs="Times New Roman"/>
          <w:b/>
          <w:i w:val="0"/>
          <w:color w:val="073763"/>
          <w:sz w:val="24"/>
          <w:szCs w:val="24"/>
        </w:rPr>
      </w:pPr>
      <w:bookmarkStart w:id="1" w:name="_heading=h.cpmeslq8aoit" w:colFirst="0" w:colLast="0"/>
      <w:bookmarkEnd w:id="1"/>
      <w:r>
        <w:rPr>
          <w:rFonts w:ascii="Times New Roman" w:eastAsia="Times New Roman" w:hAnsi="Times New Roman" w:cs="Times New Roman"/>
          <w:b/>
          <w:i w:val="0"/>
          <w:color w:val="073763"/>
          <w:sz w:val="24"/>
          <w:szCs w:val="24"/>
        </w:rPr>
        <w:lastRenderedPageBreak/>
        <w:t xml:space="preserve">Marco teórico: La inteligencia artificial en la generación de información contable del sector público </w:t>
      </w:r>
    </w:p>
    <w:p w14:paraId="00000027"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apartado establece los fundamentos conceptuales que orientan el análisis de la inteligencia artificial (IA) aplicada al sector público, con especial énfasis en su impacto en los sistemas de gestión contable, administrativa y de control. En un contexto de acelerada transformación digital, resulta imprescindible comprender qué se entiende por inteligencia artificial, cómo ha evolucionado en las últimas décadas y de qué manera se integra progresivamente a las estructuras estatales.</w:t>
      </w:r>
    </w:p>
    <w:p w14:paraId="00000028"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 lugar, se parte de una definición integral de IA, que reconoce sus múltiples dimensiones: desde algoritmos capaces de aprender de los datos hasta sistemas autónomos que toman decisiones complejas replicando procesos cognitivos humanos. Esta conceptualización permite diferenciar los distintos niveles de sofisticación tecnológica y entender el potencial disruptivo que tiene su aplicación en la administración pública (CAF, 2021; </w:t>
      </w:r>
      <w:proofErr w:type="spellStart"/>
      <w:r>
        <w:rPr>
          <w:rFonts w:ascii="Times New Roman" w:eastAsia="Times New Roman" w:hAnsi="Times New Roman" w:cs="Times New Roman"/>
          <w:sz w:val="24"/>
          <w:szCs w:val="24"/>
        </w:rPr>
        <w:t>Mikhaylov</w:t>
      </w:r>
      <w:proofErr w:type="spellEnd"/>
      <w:r>
        <w:rPr>
          <w:rFonts w:ascii="Times New Roman" w:eastAsia="Times New Roman" w:hAnsi="Times New Roman" w:cs="Times New Roman"/>
          <w:sz w:val="24"/>
          <w:szCs w:val="24"/>
        </w:rPr>
        <w:t xml:space="preserve">, Esteve &amp; </w:t>
      </w:r>
      <w:proofErr w:type="spellStart"/>
      <w:r>
        <w:rPr>
          <w:rFonts w:ascii="Times New Roman" w:eastAsia="Times New Roman" w:hAnsi="Times New Roman" w:cs="Times New Roman"/>
          <w:sz w:val="24"/>
          <w:szCs w:val="24"/>
        </w:rPr>
        <w:t>Campion</w:t>
      </w:r>
      <w:proofErr w:type="spellEnd"/>
      <w:r>
        <w:rPr>
          <w:rFonts w:ascii="Times New Roman" w:eastAsia="Times New Roman" w:hAnsi="Times New Roman" w:cs="Times New Roman"/>
          <w:sz w:val="24"/>
          <w:szCs w:val="24"/>
        </w:rPr>
        <w:t>, 2018).</w:t>
      </w:r>
    </w:p>
    <w:p w14:paraId="00000029"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identifican las principales aplicaciones de la IA en el ámbito estatal: automatización de trámites, análisis predictivo para políticas públicas, detección de fraudes, optimización de recursos, asistentes virtuales y auditorías algorítmicas, entre otras. Estas herramientas tienen el potencial de aumentar la eficiencia, mejorar la transparencia y personalizar los servicios públicos, pero también plantean desafíos importantes vinculados a la ética, la gobernanza algorítmica, la privacidad de los datos y la inclusión digital.</w:t>
      </w:r>
    </w:p>
    <w:p w14:paraId="0000002A"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el apartado incorpora una reflexión específica sobre el rol del contador público frente a este nuevo entorno tecnológico. En el marco de una administración financiera cada vez más digitalizada, el profesional contable debe asumir funciones que van más allá del registro y control tradicional, incluyendo la validación de sistemas inteligentes, la interpretación de salidas algorítmicas y la participación activa en el diseño de procesos automatizados. La formación en competencias digitales, la comprensión de los límites éticos de la IA y el fortalecimiento de su rol como garante de la transparencia pública se vuelven condiciones esenciales para su ejercicio profesional (Santamaría Herrera, 2025). </w:t>
      </w:r>
    </w:p>
    <w:p w14:paraId="0000002B"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lastRenderedPageBreak/>
        <w:t>1.1. Inteligencia artificial: definición y evolución</w:t>
      </w:r>
    </w:p>
    <w:p w14:paraId="0000002C"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w:t>
      </w:r>
      <w:proofErr w:type="spellStart"/>
      <w:r>
        <w:rPr>
          <w:rFonts w:ascii="Times New Roman" w:eastAsia="Times New Roman" w:hAnsi="Times New Roman" w:cs="Times New Roman"/>
          <w:sz w:val="24"/>
          <w:szCs w:val="24"/>
        </w:rPr>
        <w:t>Cath</w:t>
      </w:r>
      <w:proofErr w:type="spellEnd"/>
      <w:r>
        <w:rPr>
          <w:rFonts w:ascii="Times New Roman" w:eastAsia="Times New Roman" w:hAnsi="Times New Roman" w:cs="Times New Roman"/>
          <w:sz w:val="24"/>
          <w:szCs w:val="24"/>
        </w:rPr>
        <w:t xml:space="preserve"> (2018), la inteligencia artificial se refiere a la capacidad de una máquina o sistema informático para ejecutar funciones cognitivas que tradicionalmente requieren inteligencia humana, como el aprendizaje, la resolución de problemas, la toma de decisiones y la comprensión del lenguaje natural. Desde sus orígenes en los años 50, la IA ha transitado un proceso de evolución continua, pasando de algoritmos simples a sistemas complejos basados en redes neuronales profundas, aprendizaje automático y procesamiento del lenguaje natural (NLP)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Commission</w:t>
      </w:r>
      <w:proofErr w:type="spellEnd"/>
      <w:r>
        <w:rPr>
          <w:rFonts w:ascii="Times New Roman" w:eastAsia="Times New Roman" w:hAnsi="Times New Roman" w:cs="Times New Roman"/>
          <w:sz w:val="24"/>
          <w:szCs w:val="24"/>
        </w:rPr>
        <w:t>, 2020).</w:t>
      </w:r>
      <w:r>
        <w:rPr>
          <w:rFonts w:ascii="Times New Roman" w:eastAsia="Times New Roman" w:hAnsi="Times New Roman" w:cs="Times New Roman"/>
          <w:sz w:val="24"/>
          <w:szCs w:val="24"/>
        </w:rPr>
        <w:br/>
      </w:r>
    </w:p>
    <w:p w14:paraId="0000002D"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Actualmente, la IA forma parte de una amplia gama de servicios y productos que transforman la vida cotidiana, y su adopción en el ámbito gubernamental es cada vez más visible. El concepto de "Estado inteligente" surge como una evolución del gobierno electrónico, centrado en la utilización de tecnologías avanzadas para responder a las demandas ciudadanas de manera más eficaz y con mayor personalización (CAF - Banco de Desarrollo de América Latina, 2021).</w:t>
      </w:r>
    </w:p>
    <w:p w14:paraId="0000002E"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1.2. Transformación digital en el sector público</w:t>
      </w:r>
    </w:p>
    <w:p w14:paraId="0000002F"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transformación digital en la administración pública no se limita al uso de computadoras o sistemas de gestión, sino que implica un cambio estructural en la forma en que el Estado organiza, entrega y controla sus servicios (Oszlak et al., 2020). Esta transformación requiere una gestión de datos eficiente, interoperabilidad entre organismos, automatización de trámites y, sobre todo, una nueva cultura organizacional (OECD, 2022).</w:t>
      </w:r>
    </w:p>
    <w:p w14:paraId="00000030"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Estados que avanzan hacia este modelo digital deben rediseñar procesos administrativos, redefinir perfiles laborales y asegurar la inclusión digital de los ciudadanos. Esta reconfiguración profunda también implica nuevas formas de control interno y externo, donde la transparencia y la trazabilidad de los datos adquieren un valor central (</w:t>
      </w:r>
      <w:proofErr w:type="spellStart"/>
      <w:r>
        <w:rPr>
          <w:rFonts w:ascii="Times New Roman" w:eastAsia="Times New Roman" w:hAnsi="Times New Roman" w:cs="Times New Roman"/>
          <w:sz w:val="24"/>
          <w:szCs w:val="24"/>
        </w:rPr>
        <w:t>Loi</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Spielkamp</w:t>
      </w:r>
      <w:proofErr w:type="spellEnd"/>
      <w:r>
        <w:rPr>
          <w:rFonts w:ascii="Times New Roman" w:eastAsia="Times New Roman" w:hAnsi="Times New Roman" w:cs="Times New Roman"/>
          <w:sz w:val="24"/>
          <w:szCs w:val="24"/>
        </w:rPr>
        <w:t>, 2021).</w:t>
      </w:r>
    </w:p>
    <w:p w14:paraId="00000031"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1.3. IA y automatización en la administración pública</w:t>
      </w:r>
    </w:p>
    <w:p w14:paraId="00000032"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automatización de procesos mediante inteligencia artificial está revolucionando diversas áreas del sector público. Algunas aplicaciones destacadas incluyen:</w:t>
      </w:r>
    </w:p>
    <w:p w14:paraId="00000033"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lastRenderedPageBreak/>
        <w:t>Tramitación automática de expedientes: mejora de tiempos de resolución, reducción de errores humanos y eliminación de redundancias (</w:t>
      </w:r>
      <w:proofErr w:type="spellStart"/>
      <w:r>
        <w:rPr>
          <w:rFonts w:ascii="Times New Roman" w:eastAsia="Times New Roman" w:hAnsi="Times New Roman" w:cs="Times New Roman"/>
          <w:color w:val="000000"/>
          <w:sz w:val="24"/>
          <w:szCs w:val="24"/>
        </w:rPr>
        <w:t>Mikhaylov</w:t>
      </w:r>
      <w:proofErr w:type="spellEnd"/>
      <w:r>
        <w:rPr>
          <w:rFonts w:ascii="Times New Roman" w:eastAsia="Times New Roman" w:hAnsi="Times New Roman" w:cs="Times New Roman"/>
          <w:color w:val="000000"/>
          <w:sz w:val="24"/>
          <w:szCs w:val="24"/>
        </w:rPr>
        <w:t xml:space="preserve">, Esteve y </w:t>
      </w:r>
      <w:proofErr w:type="spellStart"/>
      <w:r>
        <w:rPr>
          <w:rFonts w:ascii="Times New Roman" w:eastAsia="Times New Roman" w:hAnsi="Times New Roman" w:cs="Times New Roman"/>
          <w:color w:val="000000"/>
          <w:sz w:val="24"/>
          <w:szCs w:val="24"/>
        </w:rPr>
        <w:t>Campion</w:t>
      </w:r>
      <w:proofErr w:type="spellEnd"/>
      <w:r>
        <w:rPr>
          <w:rFonts w:ascii="Times New Roman" w:eastAsia="Times New Roman" w:hAnsi="Times New Roman" w:cs="Times New Roman"/>
          <w:color w:val="000000"/>
          <w:sz w:val="24"/>
          <w:szCs w:val="24"/>
        </w:rPr>
        <w:t>, 2018).</w:t>
      </w:r>
    </w:p>
    <w:p w14:paraId="00000034"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Predicción de demanda de servicios: a partir del análisis de datos históricos y patrones sociales, se optimiza la asignación de recursos.</w:t>
      </w:r>
    </w:p>
    <w:p w14:paraId="00000035"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Sistemas de vigilancia y control: como en áreas de tránsito, seguridad o fiscalización tributaria, donde la IA puede anticipar riesgos o detectar irregularidades.</w:t>
      </w:r>
    </w:p>
    <w:p w14:paraId="00000036" w14:textId="77777777" w:rsidR="007D39E1" w:rsidRDefault="0000000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Asistentes virtuales: permiten brindar atención “24/7”, responder consultas frecuentes y orientar a los ciudadanos en el uso de servicios digitales.</w:t>
      </w:r>
    </w:p>
    <w:p w14:paraId="00000037"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herramientas no solo impactan en la eficiencia operativa, sino que también modifican la relación entre el Estado y la ciudadanía, que espera respuestas ágiles, claras y confiables (CAF - Banco de Desarrollo de América Latina, 2021).</w:t>
      </w:r>
    </w:p>
    <w:p w14:paraId="00000038"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1.4. Aplicaciones de IA en sistemas contables y de auditoría pública</w:t>
      </w:r>
    </w:p>
    <w:p w14:paraId="00000039"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campo contable y de auditoría pública ha comenzado a incorporar soluciones basadas en IA que permiten automatizar tareas rutinarias, mejorar la precisión del control financiero y detectar posibles desviaciones o irregularidades. Entre las aplicaciones más relevantes se encuentran:</w:t>
      </w:r>
    </w:p>
    <w:p w14:paraId="0000003A"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Automatización de registros contables y conciliaciones bancarias, permitiendo un cierre contable más rápido y preciso (</w:t>
      </w:r>
      <w:proofErr w:type="spellStart"/>
      <w:r>
        <w:rPr>
          <w:rFonts w:ascii="Times New Roman" w:eastAsia="Times New Roman" w:hAnsi="Times New Roman" w:cs="Times New Roman"/>
          <w:color w:val="000000"/>
          <w:sz w:val="24"/>
          <w:szCs w:val="24"/>
        </w:rPr>
        <w:t>Polzer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Reichard</w:t>
      </w:r>
      <w:proofErr w:type="spellEnd"/>
      <w:r>
        <w:rPr>
          <w:rFonts w:ascii="Times New Roman" w:eastAsia="Times New Roman" w:hAnsi="Times New Roman" w:cs="Times New Roman"/>
          <w:color w:val="000000"/>
          <w:sz w:val="24"/>
          <w:szCs w:val="24"/>
        </w:rPr>
        <w:t xml:space="preserve"> y Van </w:t>
      </w:r>
      <w:proofErr w:type="spellStart"/>
      <w:r>
        <w:rPr>
          <w:rFonts w:ascii="Times New Roman" w:eastAsia="Times New Roman" w:hAnsi="Times New Roman" w:cs="Times New Roman"/>
          <w:color w:val="000000"/>
          <w:sz w:val="24"/>
          <w:szCs w:val="24"/>
        </w:rPr>
        <w:t>Helden</w:t>
      </w:r>
      <w:proofErr w:type="spellEnd"/>
      <w:r>
        <w:rPr>
          <w:rFonts w:ascii="Times New Roman" w:eastAsia="Times New Roman" w:hAnsi="Times New Roman" w:cs="Times New Roman"/>
          <w:color w:val="000000"/>
          <w:sz w:val="24"/>
          <w:szCs w:val="24"/>
        </w:rPr>
        <w:t>, 2022).</w:t>
      </w:r>
    </w:p>
    <w:p w14:paraId="0000003B"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Análisis de desviaciones presupuestarias en tiempo real, facilitando una gestión más proactiva del gasto público (</w:t>
      </w:r>
      <w:proofErr w:type="spellStart"/>
      <w:r>
        <w:rPr>
          <w:rFonts w:ascii="Times New Roman" w:eastAsia="Times New Roman" w:hAnsi="Times New Roman" w:cs="Times New Roman"/>
          <w:color w:val="000000"/>
          <w:sz w:val="24"/>
          <w:szCs w:val="24"/>
        </w:rPr>
        <w:t>Pramono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et al.</w:t>
      </w:r>
      <w:r>
        <w:rPr>
          <w:rFonts w:ascii="Times New Roman" w:eastAsia="Times New Roman" w:hAnsi="Times New Roman" w:cs="Times New Roman"/>
          <w:color w:val="000000"/>
          <w:sz w:val="24"/>
          <w:szCs w:val="24"/>
        </w:rPr>
        <w:t>, 2023).</w:t>
      </w:r>
    </w:p>
    <w:p w14:paraId="0000003C" w14:textId="77777777" w:rsidR="007D39E1" w:rsidRDefault="0000000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Detección de fraudes y anomalías, mediante algoritmos entrenados para identificar patrones atípicos en grandes volúmenes de datos financieros.</w:t>
      </w:r>
    </w:p>
    <w:p w14:paraId="0000003D" w14:textId="77777777" w:rsidR="007D39E1" w:rsidRDefault="0000000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Auditorías continuas, donde la IA permite realizar revisiones de manera constante y no solo periódica, ampliando el alcance del control interno (</w:t>
      </w:r>
      <w:proofErr w:type="spellStart"/>
      <w:r>
        <w:rPr>
          <w:rFonts w:ascii="Times New Roman" w:eastAsia="Times New Roman" w:hAnsi="Times New Roman" w:cs="Times New Roman"/>
          <w:color w:val="000000"/>
          <w:sz w:val="24"/>
          <w:szCs w:val="24"/>
        </w:rPr>
        <w:t>Appelbaum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et al.</w:t>
      </w:r>
      <w:r>
        <w:rPr>
          <w:rFonts w:ascii="Times New Roman" w:eastAsia="Times New Roman" w:hAnsi="Times New Roman" w:cs="Times New Roman"/>
          <w:color w:val="000000"/>
          <w:sz w:val="24"/>
          <w:szCs w:val="24"/>
        </w:rPr>
        <w:t>, 2017).</w:t>
      </w:r>
    </w:p>
    <w:p w14:paraId="0000003E"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International </w:t>
      </w:r>
      <w:proofErr w:type="spellStart"/>
      <w:r>
        <w:rPr>
          <w:rFonts w:ascii="Times New Roman" w:eastAsia="Times New Roman" w:hAnsi="Times New Roman" w:cs="Times New Roman"/>
          <w:sz w:val="24"/>
          <w:szCs w:val="24"/>
        </w:rPr>
        <w:t>Federation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Accountants</w:t>
      </w:r>
      <w:proofErr w:type="spellEnd"/>
      <w:r>
        <w:rPr>
          <w:rFonts w:ascii="Times New Roman" w:eastAsia="Times New Roman" w:hAnsi="Times New Roman" w:cs="Times New Roman"/>
          <w:sz w:val="24"/>
          <w:szCs w:val="24"/>
        </w:rPr>
        <w:t>, 2021; estas herramientas fortalecen la transparencia y mejoran la rendición de cuentas, pero también exigen nuevas competencias por parte de los profesionales del área.</w:t>
      </w:r>
    </w:p>
    <w:p w14:paraId="0000003F"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lastRenderedPageBreak/>
        <w:t>1.5. Rol del contador público en el contexto digital</w:t>
      </w:r>
    </w:p>
    <w:p w14:paraId="00000040"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nuevo paradigma digital, el contador público enfrenta el desafío de actualizar sus saberes y ampliar su campo de acción. Ya no se trata únicamente de registrar operaciones o verificar balances, sino de interpretar datos generados por sistemas inteligentes, validar su consistencia y participar activamente en el diseño de procesos contables automatizados (</w:t>
      </w:r>
      <w:proofErr w:type="spellStart"/>
      <w:r>
        <w:rPr>
          <w:rFonts w:ascii="Times New Roman" w:eastAsia="Times New Roman" w:hAnsi="Times New Roman" w:cs="Times New Roman"/>
          <w:sz w:val="24"/>
          <w:szCs w:val="24"/>
        </w:rPr>
        <w:t>Pramono</w:t>
      </w:r>
      <w:proofErr w:type="spellEnd"/>
      <w:r>
        <w:rPr>
          <w:rFonts w:ascii="Times New Roman" w:eastAsia="Times New Roman" w:hAnsi="Times New Roman" w:cs="Times New Roman"/>
          <w:sz w:val="24"/>
          <w:szCs w:val="24"/>
        </w:rPr>
        <w:t xml:space="preserve"> et al., 2023).</w:t>
      </w:r>
    </w:p>
    <w:p w14:paraId="00000041"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contador público en el sector estatal debe ser capaz de:</w:t>
      </w:r>
    </w:p>
    <w:p w14:paraId="00000042"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Comprender los fundamentos de la inteligencia artificial aplicada a la gestión pública.</w:t>
      </w:r>
    </w:p>
    <w:p w14:paraId="00000043"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Interpretar resultados generados por algoritmos y alertar sobre sesgos o errores (</w:t>
      </w:r>
      <w:proofErr w:type="spellStart"/>
      <w:r>
        <w:rPr>
          <w:rFonts w:ascii="Times New Roman" w:eastAsia="Times New Roman" w:hAnsi="Times New Roman" w:cs="Times New Roman"/>
          <w:color w:val="000000"/>
          <w:sz w:val="24"/>
          <w:szCs w:val="24"/>
        </w:rPr>
        <w:t>Cath</w:t>
      </w:r>
      <w:proofErr w:type="spellEnd"/>
      <w:r>
        <w:rPr>
          <w:rFonts w:ascii="Times New Roman" w:eastAsia="Times New Roman" w:hAnsi="Times New Roman" w:cs="Times New Roman"/>
          <w:color w:val="000000"/>
          <w:sz w:val="24"/>
          <w:szCs w:val="24"/>
        </w:rPr>
        <w:t>, 2018).</w:t>
      </w:r>
    </w:p>
    <w:p w14:paraId="00000044"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Colaborar en equipos interdisciplinarios donde lo contable se integra con lo tecnológico, jurídico y ético (</w:t>
      </w:r>
      <w:proofErr w:type="spellStart"/>
      <w:r>
        <w:rPr>
          <w:rFonts w:ascii="Times New Roman" w:eastAsia="Times New Roman" w:hAnsi="Times New Roman" w:cs="Times New Roman"/>
          <w:color w:val="000000"/>
          <w:sz w:val="24"/>
          <w:szCs w:val="24"/>
        </w:rPr>
        <w:t>Loi</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Spielkamp</w:t>
      </w:r>
      <w:proofErr w:type="spellEnd"/>
      <w:r>
        <w:rPr>
          <w:rFonts w:ascii="Times New Roman" w:eastAsia="Times New Roman" w:hAnsi="Times New Roman" w:cs="Times New Roman"/>
          <w:color w:val="000000"/>
          <w:sz w:val="24"/>
          <w:szCs w:val="24"/>
        </w:rPr>
        <w:t>, 2021).</w:t>
      </w:r>
    </w:p>
    <w:p w14:paraId="00000045" w14:textId="77777777" w:rsidR="007D39E1" w:rsidRDefault="00000000">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Promover prácticas de auditoría algorítmica que aseguren transparencia y trazabilidad en los sistemas utilizados.</w:t>
      </w:r>
    </w:p>
    <w:p w14:paraId="00000046" w14:textId="77777777" w:rsidR="007D39E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nuevo rol requiere no solo formación técnica, sino también un compromiso ético y una actitud proactiva frente al cambio. La figura del contador público se convierte así en una pieza clave para garantizar una administración moderna, transparente y centrada en el interés público.</w:t>
      </w:r>
    </w:p>
    <w:p w14:paraId="00000047" w14:textId="77777777" w:rsidR="007D39E1" w:rsidRDefault="00000000">
      <w:pPr>
        <w:pStyle w:val="Subttulo"/>
        <w:numPr>
          <w:ilvl w:val="0"/>
          <w:numId w:val="2"/>
        </w:numPr>
        <w:spacing w:before="0" w:after="320" w:line="360" w:lineRule="auto"/>
        <w:rPr>
          <w:rFonts w:ascii="Times New Roman" w:eastAsia="Times New Roman" w:hAnsi="Times New Roman" w:cs="Times New Roman"/>
          <w:b/>
          <w:i w:val="0"/>
          <w:color w:val="073763"/>
          <w:sz w:val="24"/>
          <w:szCs w:val="24"/>
        </w:rPr>
      </w:pPr>
      <w:bookmarkStart w:id="2" w:name="_heading=h.b7he7t8mtv11" w:colFirst="0" w:colLast="0"/>
      <w:bookmarkEnd w:id="2"/>
      <w:r>
        <w:rPr>
          <w:rFonts w:ascii="Times New Roman" w:eastAsia="Times New Roman" w:hAnsi="Times New Roman" w:cs="Times New Roman"/>
          <w:b/>
          <w:i w:val="0"/>
          <w:color w:val="073763"/>
          <w:sz w:val="24"/>
          <w:szCs w:val="24"/>
        </w:rPr>
        <w:t xml:space="preserve">Enfoques internacionales normativos y éticos </w:t>
      </w:r>
    </w:p>
    <w:p w14:paraId="00000048"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despliegue de la inteligencia artificial (IA) en la administración pública no puede desvincularse de una reflexión ética profunda y del desarrollo de marcos normativos robustos que acompañen su implementación. La velocidad con la que estas tecnologías se expanden, plantea dilemas nuevos sobre la equidad, la transparencia, la privacidad de los datos y la responsabilidad en la toma de decisiones automatizadas, especialmente en contextos donde estas decisiones afectan derechos fundamentales de los ciudadanos.</w:t>
      </w:r>
    </w:p>
    <w:p w14:paraId="00000049"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una perspectiva ética, el uso de IA en el sector público exige principios que aseguren que las tecnologías sean desarrolladas y aplicadas en conformidad con valores democráticos. El respeto por la dignidad humana, la justicia, la inclusión social y el control humano significativo sobre las decisiones automatizadas son algunos de los pilares centrales propuestos por organismos internacionales como la UNESCO (2021) y </w:t>
      </w:r>
      <w:r>
        <w:rPr>
          <w:rFonts w:ascii="Times New Roman" w:eastAsia="Times New Roman" w:hAnsi="Times New Roman" w:cs="Times New Roman"/>
          <w:sz w:val="24"/>
          <w:szCs w:val="24"/>
        </w:rPr>
        <w:lastRenderedPageBreak/>
        <w:t>la OCDE (2019). Estos principios buscan evitar que los algoritmos perpetúen o amplifiquen sesgos históricos, decisiones discriminatorias o lógicas de exclusión estructural.</w:t>
      </w:r>
    </w:p>
    <w:p w14:paraId="0000004A"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términos normativos, diversos actores han comenzado a establecer marcos regulatorios y lineamientos para encauzar el uso responsable de la IA. La Comisión Europea, por ejemplo, ha propuesto una estrategia que combina la promoción de la innovación con la construcción de un entorno confiable y seguro, estableciendo obligaciones diferenciadas según el nivel de riesgo de los sistemas algorítmicos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Commission</w:t>
      </w:r>
      <w:proofErr w:type="spellEnd"/>
      <w:r>
        <w:rPr>
          <w:rFonts w:ascii="Times New Roman" w:eastAsia="Times New Roman" w:hAnsi="Times New Roman" w:cs="Times New Roman"/>
          <w:sz w:val="24"/>
          <w:szCs w:val="24"/>
        </w:rPr>
        <w:t>, 2020). A nivel multilateral, la Recomendación sobre la Ética de la Inteligencia Artificial de la UNESCO (2021) establece una hoja de ruta con orientaciones para los Estados en materia de gobernanza algorítmica, impacto social y evaluación ex ante y ex post de los sistemas inteligentes.</w:t>
      </w:r>
    </w:p>
    <w:p w14:paraId="0000004B"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temas más sensibles que deben abordarse en la administración pública se destacan:</w:t>
      </w:r>
    </w:p>
    <w:p w14:paraId="0000004C"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transparencia algorítmica, es decir, la posibilidad de comprender y auditar las decisiones tomadas por sistemas automatizados. Esta exigencia es especialmente crítica en entornos públicos, donde debe garantizarse el acceso a explicaciones razonables sobre decisiones que afectan a los ciudadanos (</w:t>
      </w:r>
      <w:proofErr w:type="spellStart"/>
      <w:r>
        <w:rPr>
          <w:rFonts w:ascii="Times New Roman" w:eastAsia="Times New Roman" w:hAnsi="Times New Roman" w:cs="Times New Roman"/>
          <w:color w:val="000000"/>
          <w:sz w:val="24"/>
          <w:szCs w:val="24"/>
        </w:rPr>
        <w:t>Cath</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color w:val="000000"/>
          <w:sz w:val="24"/>
          <w:szCs w:val="24"/>
        </w:rPr>
        <w:t>Loi</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Spielkamp</w:t>
      </w:r>
      <w:proofErr w:type="spellEnd"/>
      <w:r>
        <w:rPr>
          <w:rFonts w:ascii="Times New Roman" w:eastAsia="Times New Roman" w:hAnsi="Times New Roman" w:cs="Times New Roman"/>
          <w:color w:val="000000"/>
          <w:sz w:val="24"/>
          <w:szCs w:val="24"/>
        </w:rPr>
        <w:t>, 2021).</w:t>
      </w:r>
    </w:p>
    <w:p w14:paraId="0000004D"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La protección de datos personales, dado que muchas aplicaciones de IA se basan en el procesamiento masivo de información sensible. Es fundamental que se </w:t>
      </w:r>
      <w:r>
        <w:rPr>
          <w:rFonts w:ascii="Times New Roman" w:eastAsia="Times New Roman" w:hAnsi="Times New Roman" w:cs="Times New Roman"/>
          <w:sz w:val="24"/>
          <w:szCs w:val="24"/>
        </w:rPr>
        <w:t>respeten los principios</w:t>
      </w:r>
      <w:r>
        <w:rPr>
          <w:rFonts w:ascii="Times New Roman" w:eastAsia="Times New Roman" w:hAnsi="Times New Roman" w:cs="Times New Roman"/>
          <w:color w:val="000000"/>
          <w:sz w:val="24"/>
          <w:szCs w:val="24"/>
        </w:rPr>
        <w:t xml:space="preserve"> de legalidad, minimización de datos, proporcionalidad y consentimiento informado, en línea con normativas como el GDPR europeo y las legislaciones locales.</w:t>
      </w:r>
    </w:p>
    <w:p w14:paraId="0000004E"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responsabilidad legal y ética, ya que la delegación de decisiones a sistemas algorítmicos no puede suponer una ausencia de rendición de cuentas. Las organizaciones públicas deben asegurar que siempre exista una cadena clara de responsabilidad, incluso cuando las decisiones son parcialmente automatizadas (</w:t>
      </w:r>
      <w:proofErr w:type="spellStart"/>
      <w:r>
        <w:rPr>
          <w:rFonts w:ascii="Times New Roman" w:eastAsia="Times New Roman" w:hAnsi="Times New Roman" w:cs="Times New Roman"/>
          <w:color w:val="000000"/>
          <w:sz w:val="24"/>
          <w:szCs w:val="24"/>
        </w:rPr>
        <w:t>Mikhaylov</w:t>
      </w:r>
      <w:proofErr w:type="spellEnd"/>
      <w:r>
        <w:rPr>
          <w:rFonts w:ascii="Times New Roman" w:eastAsia="Times New Roman" w:hAnsi="Times New Roman" w:cs="Times New Roman"/>
          <w:color w:val="000000"/>
          <w:sz w:val="24"/>
          <w:szCs w:val="24"/>
        </w:rPr>
        <w:t xml:space="preserve"> y otros, 2018; OECD, 2022).</w:t>
      </w:r>
    </w:p>
    <w:p w14:paraId="0000004F"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inclusión y la no discriminación, dado que la IA puede reproducir sesgos históricos si los datos utilizados contienen patrones de desigualdad. En contextos públicos, donde el Estado debe garantizar derechos y equidad, estos riesgos adquieren especial relevancia.</w:t>
      </w:r>
    </w:p>
    <w:p w14:paraId="00000050"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este marco, se vuelve imperativo adoptar mecanismos de evaluación de impacto algorítmico antes de implementar tecnologías de IA, especialmente en áreas sensibles como la justicia, la salud, la seguridad social o el otorgamiento de subsidios. Asimismo, la formación de comités éticos, auditorías externas, marcos de supervisión multidisciplinaria y la participación ciudadana son herramientas clave para fortalecer la legitimidad del uso de IA en el sector público.</w:t>
      </w:r>
    </w:p>
    <w:p w14:paraId="00000051" w14:textId="77777777" w:rsidR="007D39E1" w:rsidRDefault="007D39E1">
      <w:pPr>
        <w:spacing w:after="0" w:line="360" w:lineRule="auto"/>
        <w:jc w:val="both"/>
        <w:rPr>
          <w:rFonts w:ascii="Times New Roman" w:eastAsia="Times New Roman" w:hAnsi="Times New Roman" w:cs="Times New Roman"/>
          <w:sz w:val="24"/>
          <w:szCs w:val="24"/>
        </w:rPr>
      </w:pPr>
    </w:p>
    <w:p w14:paraId="00000052"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conclusión, la ética y la normativa no son barreras al desarrollo de la inteligencia artificial, sino condiciones habilitantes para su uso legítimo, sostenible y al servicio del bien común. Su integración en las políticas públicas debe estar guiada por una visión crítica que promueva la confianza pública, la inclusión y el respeto por los derechos humanos.</w:t>
      </w:r>
    </w:p>
    <w:p w14:paraId="00000053" w14:textId="77777777" w:rsidR="007D39E1" w:rsidRDefault="007D39E1">
      <w:pPr>
        <w:spacing w:after="0" w:line="360" w:lineRule="auto"/>
        <w:jc w:val="both"/>
        <w:rPr>
          <w:rFonts w:ascii="Times New Roman" w:eastAsia="Times New Roman" w:hAnsi="Times New Roman" w:cs="Times New Roman"/>
          <w:sz w:val="24"/>
          <w:szCs w:val="24"/>
        </w:rPr>
      </w:pPr>
    </w:p>
    <w:p w14:paraId="00000054"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2.1. Principios de la OCDE sobre Inteligencia Artificial</w:t>
      </w:r>
    </w:p>
    <w:p w14:paraId="00000055"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Organización para la Cooperación y el Desarrollo Económicos (OCDE, 2019) ha desarrollado un conjunto de principios que constituyen una guía global para el desarrollo responsable de la inteligencia artificial. Estos principios, adoptados por más de 40 países, promueven una IA centrada en el ser humano y alineada con valores democráticos. Entre los elementos más destacados se encuentra la exigencia de transparencia en los procesos algorítmicos, la promoción de la equidad y la inclusión, la rendición de cuentas en todos los niveles de gobierno y la implementación de sistemas robustos desde el punto de vista técnico, jurídico y ético.</w:t>
      </w:r>
    </w:p>
    <w:p w14:paraId="00000056" w14:textId="77777777" w:rsidR="007D39E1" w:rsidRDefault="007D39E1">
      <w:pPr>
        <w:spacing w:after="0" w:line="360" w:lineRule="auto"/>
        <w:jc w:val="both"/>
        <w:rPr>
          <w:rFonts w:ascii="Times New Roman" w:eastAsia="Times New Roman" w:hAnsi="Times New Roman" w:cs="Times New Roman"/>
          <w:sz w:val="24"/>
          <w:szCs w:val="24"/>
        </w:rPr>
      </w:pPr>
    </w:p>
    <w:p w14:paraId="00000057"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los gobiernos deben velar por la gobernanza responsable de los datos, la supervisión activa de los algoritmos utilizados y la creación de entornos de confianza donde las tecnologías emergentes puedan desarrollarse sin vulnerar derechos fundamentales.</w:t>
      </w:r>
    </w:p>
    <w:p w14:paraId="00000058" w14:textId="77777777" w:rsidR="007D39E1" w:rsidRDefault="007D39E1">
      <w:pPr>
        <w:spacing w:after="0" w:line="360" w:lineRule="auto"/>
        <w:jc w:val="both"/>
        <w:rPr>
          <w:rFonts w:ascii="Times New Roman" w:eastAsia="Times New Roman" w:hAnsi="Times New Roman" w:cs="Times New Roman"/>
          <w:sz w:val="24"/>
          <w:szCs w:val="24"/>
        </w:rPr>
      </w:pPr>
    </w:p>
    <w:p w14:paraId="00000059"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2.2. Recomendaciones éticas de la UNESCO (2021)</w:t>
      </w:r>
    </w:p>
    <w:p w14:paraId="0000005A"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UNESCO, en su histórica Recomendación sobre la Ética de la Inteligencia Artificial (2021), pone el foco en la necesidad de salvaguardar la dignidad humana frente al avance tecnológico. Su enfoque integral propone que la IA se utilice para fortalecer los derechos </w:t>
      </w:r>
      <w:r>
        <w:rPr>
          <w:rFonts w:ascii="Times New Roman" w:eastAsia="Times New Roman" w:hAnsi="Times New Roman" w:cs="Times New Roman"/>
          <w:sz w:val="24"/>
          <w:szCs w:val="24"/>
        </w:rPr>
        <w:lastRenderedPageBreak/>
        <w:t>humanos, la justicia social y el desarrollo sostenible, evitando a toda costa reproducir o amplificar las desigualdades existentes.</w:t>
      </w:r>
    </w:p>
    <w:p w14:paraId="0000005B" w14:textId="77777777" w:rsidR="007D39E1" w:rsidRDefault="007D39E1">
      <w:pPr>
        <w:spacing w:after="0" w:line="360" w:lineRule="auto"/>
        <w:jc w:val="both"/>
        <w:rPr>
          <w:rFonts w:ascii="Times New Roman" w:eastAsia="Times New Roman" w:hAnsi="Times New Roman" w:cs="Times New Roman"/>
          <w:sz w:val="24"/>
          <w:szCs w:val="24"/>
        </w:rPr>
      </w:pPr>
    </w:p>
    <w:p w14:paraId="0000005C"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recomendación hace hincapié en la responsabilidad algorítmica, es decir, la necesidad de que todo proceso automatizado pueda ser explicado, supervisado e intervenido por personas. También subraya la importancia de proteger los datos personales, especialmente en sectores como salud, educación y seguridad social, donde la sensibilidad de la información es mayor.</w:t>
      </w:r>
    </w:p>
    <w:p w14:paraId="0000005D" w14:textId="77777777" w:rsidR="007D39E1" w:rsidRDefault="007D39E1">
      <w:pPr>
        <w:spacing w:after="0" w:line="360" w:lineRule="auto"/>
        <w:jc w:val="both"/>
        <w:rPr>
          <w:rFonts w:ascii="Times New Roman" w:eastAsia="Times New Roman" w:hAnsi="Times New Roman" w:cs="Times New Roman"/>
          <w:sz w:val="24"/>
          <w:szCs w:val="24"/>
        </w:rPr>
      </w:pPr>
    </w:p>
    <w:p w14:paraId="0000005E"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2.3. Responsabilidad algorítmica y rendición de cuentas</w:t>
      </w:r>
    </w:p>
    <w:p w14:paraId="0000005F"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preocupaciones más relevantes en el uso de IA en el sector público es determinar quién responde cuando un algoritmo comete un error o discrimina a una persona. La rendición de cuentas no puede diluirse en la abstracción tecnológica. Por el contrario, debe haber responsables institucionales identificables, mecanismos de supervisión activa y marcos legales que permitan revisar, corregir y eventualmente sancionar el mal uso de sistemas inteligentes.</w:t>
      </w:r>
    </w:p>
    <w:p w14:paraId="00000060"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 deben implementar protocolos claros para auditar algoritmos, documentar su lógica interna y garantizar que las decisiones automatizadas puedan ser comprendidas tanto por expertos como por la ciudadanía en general. Sin estos mecanismos, la confianza pública en la digitalización del Estado se ve comprometida.</w:t>
      </w:r>
    </w:p>
    <w:p w14:paraId="00000061" w14:textId="77777777" w:rsidR="007D39E1" w:rsidRDefault="007D39E1">
      <w:pPr>
        <w:spacing w:after="0" w:line="360" w:lineRule="auto"/>
        <w:jc w:val="both"/>
        <w:rPr>
          <w:rFonts w:ascii="Times New Roman" w:eastAsia="Times New Roman" w:hAnsi="Times New Roman" w:cs="Times New Roman"/>
          <w:sz w:val="24"/>
          <w:szCs w:val="24"/>
        </w:rPr>
      </w:pPr>
    </w:p>
    <w:p w14:paraId="00000062"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2.4. Participación ciudadana y transparencia algorítmica</w:t>
      </w:r>
    </w:p>
    <w:p w14:paraId="00000063"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fortalecimiento democrático también requiere que los ciudadanos tengan conocimiento y participación sobre cómo se usan los algoritmos en las decisiones públicas. No es suficiente con que los sistemas sean técnicamente eficientes; deben ser también legítimos y comprensibles.</w:t>
      </w:r>
    </w:p>
    <w:p w14:paraId="00000064"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transparencia algorítmica implica publicar los criterios con los que se entrenan los modelos, explicar sus resultados de forma accesible y abrir espacios de consulta pública antes de adoptar sistemas que afecten derechos o servicios fundamentales. En este punto, la educación digital de la ciudadanía y la colaboración con organizaciones de la sociedad civil juegan un rol clave.</w:t>
      </w:r>
    </w:p>
    <w:p w14:paraId="00000065" w14:textId="77777777" w:rsidR="007D39E1" w:rsidRDefault="007D39E1">
      <w:pPr>
        <w:spacing w:after="0" w:line="360" w:lineRule="auto"/>
        <w:jc w:val="both"/>
        <w:rPr>
          <w:rFonts w:ascii="Times New Roman" w:eastAsia="Times New Roman" w:hAnsi="Times New Roman" w:cs="Times New Roman"/>
          <w:sz w:val="24"/>
          <w:szCs w:val="24"/>
        </w:rPr>
      </w:pPr>
    </w:p>
    <w:p w14:paraId="00000066"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lastRenderedPageBreak/>
        <w:t>2.5. Gestión de riesgos: sesgos, privacidad y equidad</w:t>
      </w:r>
    </w:p>
    <w:p w14:paraId="00000067" w14:textId="3B6B373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IA no es neutra</w:t>
      </w:r>
      <w:r w:rsidR="001B6413">
        <w:rPr>
          <w:rFonts w:ascii="Times New Roman" w:eastAsia="Times New Roman" w:hAnsi="Times New Roman" w:cs="Times New Roman"/>
          <w:sz w:val="24"/>
          <w:szCs w:val="24"/>
        </w:rPr>
        <w:t>, ya que l</w:t>
      </w:r>
      <w:r>
        <w:rPr>
          <w:rFonts w:ascii="Times New Roman" w:eastAsia="Times New Roman" w:hAnsi="Times New Roman" w:cs="Times New Roman"/>
          <w:sz w:val="24"/>
          <w:szCs w:val="24"/>
        </w:rPr>
        <w:t>os datos con los que se entrenan los algoritmos suelen reflejar prejuicios históricos o desigualdades estructurales. Si no se controlan, estos sesgos pueden ser reproducidos y amplificados por los sistemas automatizados. Por ello, la gestión de riesgos debe ser integral e incluir evaluaciones de impacto ético, auditorías independientes y protocolos de protección de datos sensibles.</w:t>
      </w:r>
    </w:p>
    <w:p w14:paraId="00000068"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especial, deben garantizarse mecanismos que protejan a los sectores más vulnerables ante decisiones automáticas, como el rechazo de un beneficio social o la clasificación errónea en sistemas de seguridad. La equidad, en este sentido, debe ser un principio rector en todo desarrollo tecnológico que involucre al Estado.</w:t>
      </w:r>
    </w:p>
    <w:p w14:paraId="00000069" w14:textId="77777777" w:rsidR="007D39E1" w:rsidRDefault="007D39E1">
      <w:pPr>
        <w:spacing w:after="0" w:line="360" w:lineRule="auto"/>
        <w:rPr>
          <w:rFonts w:ascii="Times New Roman" w:eastAsia="Times New Roman" w:hAnsi="Times New Roman" w:cs="Times New Roman"/>
          <w:sz w:val="24"/>
          <w:szCs w:val="24"/>
        </w:rPr>
      </w:pPr>
    </w:p>
    <w:p w14:paraId="0000006A" w14:textId="77777777" w:rsidR="007D39E1" w:rsidRDefault="00000000">
      <w:pPr>
        <w:pStyle w:val="Subttulo"/>
        <w:numPr>
          <w:ilvl w:val="0"/>
          <w:numId w:val="2"/>
        </w:numPr>
        <w:spacing w:before="0" w:after="320" w:line="360" w:lineRule="auto"/>
        <w:rPr>
          <w:rFonts w:ascii="Times New Roman" w:eastAsia="Times New Roman" w:hAnsi="Times New Roman" w:cs="Times New Roman"/>
          <w:b/>
          <w:color w:val="073763"/>
          <w:sz w:val="24"/>
          <w:szCs w:val="24"/>
        </w:rPr>
      </w:pPr>
      <w:bookmarkStart w:id="3" w:name="_heading=h.sqtpp6qay7jj" w:colFirst="0" w:colLast="0"/>
      <w:bookmarkEnd w:id="3"/>
      <w:r>
        <w:rPr>
          <w:rFonts w:ascii="Times New Roman" w:eastAsia="Times New Roman" w:hAnsi="Times New Roman" w:cs="Times New Roman"/>
          <w:b/>
          <w:i w:val="0"/>
          <w:color w:val="073763"/>
          <w:sz w:val="24"/>
          <w:szCs w:val="24"/>
        </w:rPr>
        <w:t xml:space="preserve">Experiencias internacionales </w:t>
      </w:r>
    </w:p>
    <w:p w14:paraId="0000006B"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comprender el impacto real de la IA en la administración pública, resulta fundamental analizar experiencias concretas y casos prácticos que ya están en marcha en diferentes países y regiones. Estas experiencias permiten ilustrar cómo las tecnologías basadas en IA se están integrando en la gestión estatal, mostrando tanto los beneficios alcanzados como los desafíos enfrentados en contextos diversos.</w:t>
      </w:r>
    </w:p>
    <w:p w14:paraId="0000006C" w14:textId="6D7EBEBA"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apartado se presentan casos relevantes de América Latina, regiones con niveles de desarrollo tecnológico y normativo diferentes, lo que permite contrastar distintas aproximaciones a la incorporación de la IA en el sector público. Se analizan implementaciones en áreas claves tales como salud pública, administración tributaria, previsión social, educación, y auditoría pública, sectores donde el uso de la IA ha generado transformaciones sustanciales en la eficiencia, transparencia y calidad del servicio ofrecido a la ciudadanía.</w:t>
      </w:r>
    </w:p>
    <w:p w14:paraId="0000006D"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análisis permite extraer condiciones necesarias para una adopción responsable y efectiva de la IA en el sector público, tales como la existencia de un marco normativo claro, la transparencia en los algoritmos utilizados, la participación ciudadana en el diseño de las políticas tecnológicas y el compromiso político con la innovación sostenible y ética.</w:t>
      </w:r>
    </w:p>
    <w:p w14:paraId="0000006E" w14:textId="77777777" w:rsidR="007D39E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enfoque comparativo y crítico ofrece una base para entender no solo dónde está la IA en la administración pública hoy, sino también hacia dónde puede y debe dirigirse para contribuir al desarrollo de Estados más inteligentes, inclusivos y responsables.</w:t>
      </w:r>
    </w:p>
    <w:p w14:paraId="0000006F" w14:textId="77777777" w:rsidR="007D39E1" w:rsidRDefault="007D39E1">
      <w:pPr>
        <w:spacing w:after="0" w:line="360" w:lineRule="auto"/>
        <w:jc w:val="both"/>
        <w:rPr>
          <w:rFonts w:ascii="Times New Roman" w:eastAsia="Times New Roman" w:hAnsi="Times New Roman" w:cs="Times New Roman"/>
          <w:sz w:val="24"/>
          <w:szCs w:val="24"/>
        </w:rPr>
      </w:pPr>
    </w:p>
    <w:p w14:paraId="00000070" w14:textId="48D3A42B"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lastRenderedPageBreak/>
        <w:t>3.1. Casos relevantes de automatización contable y auditoría en gobiernos en algunos países de América Latina</w:t>
      </w:r>
    </w:p>
    <w:p w14:paraId="00000071"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América Latina, los países han comenzado a incorporar IA en el sector público con distintas estrategias y grados de madurez. En Argentina, por ejemplo, la Agencia de Recaudación y Control Aduanero (ARCA, ex AFIP) ha utilizado modelos predictivos para detectar irregularidades en declaraciones fiscales, mejorando la eficiencia del control tributario. Asimismo, ANSES (Administración Nacional de Seguridad Social) ha incorporado automatización de procesos para acelerar trámites previsionales, lo cual representa una mejora significativa en la atención ciudadana.</w:t>
      </w:r>
    </w:p>
    <w:p w14:paraId="00000072"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Chile, por su parte, ha desarrollado herramientas de IA para identificar posibles casos de evasión en tiempo real. También se han implementado asistentes virtuales para facilitar el acceso a servicios digitales, lo que ha contribuido a reducir la brecha digital y a mejorar la interacción entre el Estado y la ciudadanía.</w:t>
      </w:r>
    </w:p>
    <w:p w14:paraId="00000073"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México, instituciones como el IMSS han adoptado </w:t>
      </w:r>
      <w:proofErr w:type="spellStart"/>
      <w:r>
        <w:rPr>
          <w:rFonts w:ascii="Times New Roman" w:eastAsia="Times New Roman" w:hAnsi="Times New Roman" w:cs="Times New Roman"/>
          <w:sz w:val="24"/>
          <w:szCs w:val="24"/>
        </w:rPr>
        <w:t>chatbots</w:t>
      </w:r>
      <w:proofErr w:type="spellEnd"/>
      <w:r>
        <w:rPr>
          <w:rFonts w:ascii="Times New Roman" w:eastAsia="Times New Roman" w:hAnsi="Times New Roman" w:cs="Times New Roman"/>
          <w:sz w:val="24"/>
          <w:szCs w:val="24"/>
        </w:rPr>
        <w:t xml:space="preserve"> para responder consultas frecuentes, mientras que programas sociales utilizan algoritmos para identificar poblaciones vulnerables. Colombia ha avanzado en la incorporación de IA en sus órganos de control, con sistemas que permiten una vigilancia más ágil del gasto público y que se proyectan como herramientas claves en la lucha contra la corrupción.</w:t>
      </w:r>
    </w:p>
    <w:p w14:paraId="00000075"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3.2. Factores clave para la implementación: capacidades institucionales, datos y gobernanza</w:t>
      </w:r>
    </w:p>
    <w:p w14:paraId="00000076"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exitosa de IA en el sector público depende de una combinación de factores técnicos, institucionales y culturales. Entre ellos, se destacan:</w:t>
      </w:r>
    </w:p>
    <w:p w14:paraId="00000077"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existencia de una infraestructura digital robusta y segura</w:t>
      </w:r>
    </w:p>
    <w:p w14:paraId="00000078"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disponibilidad de datos confiables, abiertos y bien estructurados</w:t>
      </w:r>
    </w:p>
    <w:p w14:paraId="00000079"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formación continua de los agentes públicos en competencias digitales</w:t>
      </w:r>
    </w:p>
    <w:p w14:paraId="0000007A" w14:textId="77777777" w:rsidR="007D39E1" w:rsidRDefault="00000000">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 colaboración entre gobiernos, universidades, empresas y sociedad civil</w:t>
      </w:r>
    </w:p>
    <w:p w14:paraId="0000007B"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gobernanza de datos y la voluntad política también son elementos determinantes. Sin liderazgo estratégico, los proyectos pueden quedar en etapas piloto o generar efectos adversos por falta de planificación.</w:t>
      </w:r>
    </w:p>
    <w:p w14:paraId="0000007C"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lastRenderedPageBreak/>
        <w:t>3.2.1 Tendencias comunes en el uso de IA en el sector público</w:t>
      </w:r>
    </w:p>
    <w:p w14:paraId="0000007D"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inteligencia artificial se consolida como una herramienta estratégica en áreas que combinan alta demanda, volumen de datos y necesidad de respuesta rápida. Las aplicaciones más comunes incluyen la automatización de trámites, la clasificación de beneficiarios, la detección de fraudes y la atención ciudadana mediante asistentes virtuales. Esta expansión se ve impulsada por la creciente disponibilidad de datos digitales y por la presión social hacia un Estado más eficiente y transparente.</w:t>
      </w:r>
    </w:p>
    <w:p w14:paraId="0000007E"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3.2.2 Oportunidades detectadas para una gestión eficiente y sustentable</w:t>
      </w:r>
    </w:p>
    <w:p w14:paraId="0000007F"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IA permite optimizar los recursos públicos, acortar los tiempos de respuesta administrativa y aumentar la precisión en la toma de decisiones. Además, ofrece nuevas posibilidades para el control social, mediante el acceso abierto a datos y la trazabilidad de las decisiones. La auditoría continua y la gestión predictiva emergen como áreas clave para alcanzar una gestión sustentable, orientada al largo plazo y basada en la evidencia.</w:t>
      </w:r>
    </w:p>
    <w:p w14:paraId="00000080" w14:textId="77777777" w:rsidR="007D39E1" w:rsidRDefault="00000000">
      <w:pPr>
        <w:pStyle w:val="Subttulo"/>
        <w:spacing w:before="0" w:after="320" w:line="360" w:lineRule="auto"/>
        <w:rPr>
          <w:rFonts w:ascii="Times New Roman" w:eastAsia="Times New Roman" w:hAnsi="Times New Roman" w:cs="Times New Roman"/>
          <w:b/>
          <w:i w:val="0"/>
          <w:color w:val="073763"/>
          <w:sz w:val="24"/>
          <w:szCs w:val="24"/>
        </w:rPr>
      </w:pPr>
      <w:r>
        <w:rPr>
          <w:rFonts w:ascii="Times New Roman" w:eastAsia="Times New Roman" w:hAnsi="Times New Roman" w:cs="Times New Roman"/>
          <w:b/>
          <w:i w:val="0"/>
          <w:color w:val="073763"/>
          <w:sz w:val="24"/>
          <w:szCs w:val="24"/>
        </w:rPr>
        <w:t>3.2.3 Brechas entre países desarrollados y en desarrollo</w:t>
      </w:r>
    </w:p>
    <w:p w14:paraId="00000081"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aspectos más críticos detectados es la desigualdad en la capacidad de implementación entre países. Mientras que en Europa existen marcos regulatorios avanzados y ecosistemas tecnológicos maduros, muchos países latinoamericanos enfrentan limitaciones presupuestarias, marcos legales incipientes y dependencia tecnológica de actores privados. Esta situación no solo retrasa la adopción, sino que puede profundizar desigualdades existentes si no se articulan políticas inclusivas y colaborativas.</w:t>
      </w:r>
    </w:p>
    <w:p w14:paraId="00000082" w14:textId="77777777" w:rsidR="007D39E1" w:rsidRDefault="00000000">
      <w:pPr>
        <w:pStyle w:val="Subttulo"/>
        <w:numPr>
          <w:ilvl w:val="0"/>
          <w:numId w:val="2"/>
        </w:numPr>
        <w:spacing w:before="0" w:after="320" w:line="360" w:lineRule="auto"/>
        <w:rPr>
          <w:rFonts w:ascii="Times New Roman" w:eastAsia="Times New Roman" w:hAnsi="Times New Roman" w:cs="Times New Roman"/>
          <w:b/>
          <w:i w:val="0"/>
          <w:color w:val="073763"/>
          <w:sz w:val="24"/>
          <w:szCs w:val="24"/>
        </w:rPr>
      </w:pPr>
      <w:bookmarkStart w:id="4" w:name="_heading=h.f0dfnaz4hx9h" w:colFirst="0" w:colLast="0"/>
      <w:bookmarkEnd w:id="4"/>
      <w:r>
        <w:rPr>
          <w:rFonts w:ascii="Times New Roman" w:eastAsia="Times New Roman" w:hAnsi="Times New Roman" w:cs="Times New Roman"/>
          <w:b/>
          <w:i w:val="0"/>
          <w:color w:val="073763"/>
          <w:sz w:val="24"/>
          <w:szCs w:val="24"/>
        </w:rPr>
        <w:t>Reflexiones y aportes</w:t>
      </w:r>
    </w:p>
    <w:p w14:paraId="00000083"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análisis realizado a lo largo de este trabajo permite constatar que la incorporación de la IA en la gestión del sector público representa una transformación sustancial que contribuye directamente al cumplimiento del objetivo principal planteado: analizar las tendencias internacionales en el uso de la IA, destacando sus aportes, marcos regulatorios y desafíos éticos.</w:t>
      </w:r>
    </w:p>
    <w:p w14:paraId="00000084"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primer lugar, la revisión de experiencias internacionales demuestra que la IA, cuando se implementa bajo marcos normativos claros y principios éticos, impulsa una gestión pública más eficiente y transparente. Esto se observa en la automatización de procesos administrativos, la mejora en la precisión de registros contables y auditorías, y la optimización en la asignación de recursos, lo cual responde a la problemática identificada sobre la necesidad de mejorar la eficiencia, la credibilidad y la transparencia en la gestión financiera y no financiera del sector público.</w:t>
      </w:r>
    </w:p>
    <w:p w14:paraId="00000085"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aporte clave del estudio es la redefinición del rol del contador público en este nuevo contexto digital. La profesión contable debe evolucionar para incorporar habilidades en ciencia de datos, análisis predictivo y auditoría digital, transformándose en un actor estratégico que articula la tecnología con la normativa y la ética pública. Así, el contador público se posiciona como garante de la integridad y la confianza en los sistemas inteligentes, contribuyendo decisivamente a validar y supervisar el correcto funcionamiento de los procesos automatizados. Tal como señala la International </w:t>
      </w:r>
      <w:proofErr w:type="spellStart"/>
      <w:r>
        <w:rPr>
          <w:rFonts w:ascii="Times New Roman" w:eastAsia="Times New Roman" w:hAnsi="Times New Roman" w:cs="Times New Roman"/>
          <w:sz w:val="24"/>
          <w:szCs w:val="24"/>
        </w:rPr>
        <w:t>Federation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Accountants</w:t>
      </w:r>
      <w:proofErr w:type="spellEnd"/>
      <w:r>
        <w:rPr>
          <w:rFonts w:ascii="Times New Roman" w:eastAsia="Times New Roman" w:hAnsi="Times New Roman" w:cs="Times New Roman"/>
          <w:sz w:val="24"/>
          <w:szCs w:val="24"/>
        </w:rPr>
        <w:t xml:space="preserve"> (2021), los profesionales de la contabilidad deben adaptarse a un paradigma en el cual la transformación digital ya no es opcional, sino estructural.</w:t>
      </w:r>
    </w:p>
    <w:p w14:paraId="00000086"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resultados confirman la hipótesis del proyecto: las tecnologías de gestión de la nueva era digital, especialmente la IA, aplicadas al sistema contable del sector público permiten una gestión eficiente, transparente y sustentable, siempre que su adopción se realice bajo principios éticos rigurosos y acompañada de políticas institucionales que garanticen la equidad y la participación democrática.</w:t>
      </w:r>
    </w:p>
    <w:p w14:paraId="00000087"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este análisis demanda no solo pensar en el impacto actual de la IA, sino también anticipar los escenarios futuros. La planificación estratégica de la profesión contable debe contemplar un enfoque proactivo frente a la innovación tecnológica, asumiendo que el cambio no es transitorio, sino parte constitutiva del entorno en que se desarrollarán las futuras generaciones de contadores públicos.</w:t>
      </w:r>
    </w:p>
    <w:p w14:paraId="00000088" w14:textId="77777777" w:rsidR="007D39E1" w:rsidRDefault="00000000">
      <w:pPr>
        <w:pStyle w:val="Subttulo"/>
        <w:numPr>
          <w:ilvl w:val="0"/>
          <w:numId w:val="2"/>
        </w:numPr>
        <w:spacing w:before="0" w:after="320" w:line="360" w:lineRule="auto"/>
        <w:rPr>
          <w:rFonts w:ascii="Times New Roman" w:eastAsia="Times New Roman" w:hAnsi="Times New Roman" w:cs="Times New Roman"/>
          <w:b/>
          <w:i w:val="0"/>
          <w:color w:val="073763"/>
          <w:sz w:val="24"/>
          <w:szCs w:val="24"/>
        </w:rPr>
      </w:pPr>
      <w:bookmarkStart w:id="5" w:name="_heading=h.4d85fxa3eghr" w:colFirst="0" w:colLast="0"/>
      <w:bookmarkEnd w:id="5"/>
      <w:r>
        <w:rPr>
          <w:rFonts w:ascii="Times New Roman" w:eastAsia="Times New Roman" w:hAnsi="Times New Roman" w:cs="Times New Roman"/>
          <w:b/>
          <w:i w:val="0"/>
          <w:color w:val="073763"/>
          <w:sz w:val="24"/>
          <w:szCs w:val="24"/>
        </w:rPr>
        <w:t>Conclusión</w:t>
      </w:r>
    </w:p>
    <w:p w14:paraId="00000089"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IA representa una de las transformaciones más significativas que enfrenta actualmente la administración pública. Su incorporación tiene el potencial de mejorar la eficiencia, la precisión y la capacidad de respuesta del Estado en múltiples áreas, desde la gestión </w:t>
      </w:r>
      <w:r>
        <w:rPr>
          <w:rFonts w:ascii="Times New Roman" w:eastAsia="Times New Roman" w:hAnsi="Times New Roman" w:cs="Times New Roman"/>
          <w:sz w:val="24"/>
          <w:szCs w:val="24"/>
        </w:rPr>
        <w:lastRenderedPageBreak/>
        <w:t>tributaria hasta la auditoría pública, pasando por servicios clave como la salud y la previsión social. Sin embargo, su adopción no está exenta de desafíos éticos, normativos y organizacionales que requieren un abordaje integral y crítico.</w:t>
      </w:r>
    </w:p>
    <w:p w14:paraId="0000008A"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análisis desarrollado a lo largo de este trabajo permitió identificar que la IA, lejos de ser una herramienta meramente técnica, implica una reconfiguración profunda del modelo de gestión estatal. En este proceso, la transparencia algorítmica, la protección de datos, la responsabilidad institucional y la equidad en el acceso a los beneficios de la tecnología emergen como principios rectores fundamentales. Los marcos éticos y jurídicos analizados demuestran que el despliegue de estas tecnologías debe estar guiado por valores democráticos y mecanismos de rendición de cuentas robustos.</w:t>
      </w:r>
    </w:p>
    <w:p w14:paraId="0000008B"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la perspectiva del contador público, el escenario actual demanda una actualización profunda de su perfil profesional. Ya no alcanza con dominar los aspectos técnicos tradicionales de la contabilidad; es indispensable incorporar conocimientos sobre ciencia de datos, automatización, auditoría digital, gestión de riesgos tecnológicos y ética aplicada. Lejos de ser desplazado por la tecnología, el contador público tiene la oportunidad de consolidarse como un actor clave en la gobernanza de los sistemas inteligentes, aportando una mirada crítica, normativa y estratégica a su implementación.</w:t>
      </w:r>
    </w:p>
    <w:p w14:paraId="0000008C"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experiencias internacionales relevadas muestran que una adopción exitosa de la IA requiere no solo inversión en infraestructura tecnológica, sino también voluntad política, planificación, capacidades institucionales y una cultura organizacional abierta al cambio. En América Latina, los avances aún son incipientes y desiguales, lo que pone de relieve la necesidad de políticas públicas inclusivas, sostenibles y orientadas al bien común.</w:t>
      </w:r>
    </w:p>
    <w:p w14:paraId="0000008D" w14:textId="77777777" w:rsidR="007D39E1" w:rsidRDefault="0000000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síntesis, el futuro del sector público y del ejercicio profesional contable en ese ámbito, estará inevitablemente atravesado por la inteligencia artificial. La clave no reside en resistir el cambio, sino en liderarlo desde una perspectiva crítica, ética y humanista. Prepararse para ello no es una opción, sino una responsabilidad profesional y ciudadana.</w:t>
      </w:r>
    </w:p>
    <w:p w14:paraId="4C5F4C33" w14:textId="77777777" w:rsidR="0043000D" w:rsidRDefault="0043000D" w:rsidP="0043000D">
      <w:pPr>
        <w:pStyle w:val="Prrafodelista"/>
        <w:rPr>
          <w:rFonts w:ascii="Times New Roman" w:eastAsia="Times New Roman" w:hAnsi="Times New Roman" w:cs="Times New Roman"/>
          <w:b/>
          <w:color w:val="073763"/>
          <w:sz w:val="24"/>
          <w:szCs w:val="24"/>
        </w:rPr>
      </w:pPr>
    </w:p>
    <w:p w14:paraId="0240B00D" w14:textId="77777777" w:rsidR="0043000D" w:rsidRDefault="0043000D" w:rsidP="0043000D">
      <w:pPr>
        <w:pStyle w:val="Prrafodelista"/>
        <w:rPr>
          <w:rFonts w:ascii="Times New Roman" w:eastAsia="Times New Roman" w:hAnsi="Times New Roman" w:cs="Times New Roman"/>
          <w:b/>
          <w:color w:val="073763"/>
          <w:sz w:val="24"/>
          <w:szCs w:val="24"/>
        </w:rPr>
      </w:pPr>
    </w:p>
    <w:p w14:paraId="7365ECF5" w14:textId="77777777" w:rsidR="0043000D" w:rsidRDefault="0043000D" w:rsidP="0043000D">
      <w:pPr>
        <w:pStyle w:val="Prrafodelista"/>
        <w:rPr>
          <w:rFonts w:ascii="Times New Roman" w:eastAsia="Times New Roman" w:hAnsi="Times New Roman" w:cs="Times New Roman"/>
          <w:b/>
          <w:color w:val="073763"/>
          <w:sz w:val="24"/>
          <w:szCs w:val="24"/>
        </w:rPr>
      </w:pPr>
    </w:p>
    <w:p w14:paraId="491AAA63" w14:textId="77777777" w:rsidR="0043000D" w:rsidRDefault="0043000D" w:rsidP="0043000D">
      <w:pPr>
        <w:pStyle w:val="Prrafodelista"/>
        <w:rPr>
          <w:rFonts w:ascii="Times New Roman" w:eastAsia="Times New Roman" w:hAnsi="Times New Roman" w:cs="Times New Roman"/>
          <w:b/>
          <w:color w:val="073763"/>
          <w:sz w:val="24"/>
          <w:szCs w:val="24"/>
        </w:rPr>
      </w:pPr>
    </w:p>
    <w:p w14:paraId="7AA02946" w14:textId="77777777" w:rsidR="0043000D" w:rsidRDefault="0043000D" w:rsidP="0043000D">
      <w:pPr>
        <w:pStyle w:val="Prrafodelista"/>
        <w:rPr>
          <w:rFonts w:ascii="Times New Roman" w:eastAsia="Times New Roman" w:hAnsi="Times New Roman" w:cs="Times New Roman"/>
          <w:b/>
          <w:color w:val="073763"/>
          <w:sz w:val="24"/>
          <w:szCs w:val="24"/>
        </w:rPr>
      </w:pPr>
    </w:p>
    <w:p w14:paraId="0AE4E253" w14:textId="77777777" w:rsidR="0043000D" w:rsidRDefault="0043000D" w:rsidP="0043000D">
      <w:pPr>
        <w:pStyle w:val="Prrafodelista"/>
        <w:rPr>
          <w:rFonts w:ascii="Times New Roman" w:eastAsia="Times New Roman" w:hAnsi="Times New Roman" w:cs="Times New Roman"/>
          <w:b/>
          <w:color w:val="073763"/>
          <w:sz w:val="24"/>
          <w:szCs w:val="24"/>
        </w:rPr>
      </w:pPr>
    </w:p>
    <w:p w14:paraId="4BC87D86" w14:textId="03541968" w:rsidR="0043000D" w:rsidRDefault="0043000D" w:rsidP="0043000D">
      <w:pPr>
        <w:pStyle w:val="Prrafodelista"/>
        <w:numPr>
          <w:ilvl w:val="0"/>
          <w:numId w:val="2"/>
        </w:numPr>
        <w:rPr>
          <w:rFonts w:ascii="Times New Roman" w:eastAsia="Times New Roman" w:hAnsi="Times New Roman" w:cs="Times New Roman"/>
          <w:b/>
          <w:color w:val="073763"/>
          <w:sz w:val="24"/>
          <w:szCs w:val="24"/>
        </w:rPr>
      </w:pPr>
      <w:r w:rsidRPr="0043000D">
        <w:rPr>
          <w:rFonts w:ascii="Times New Roman" w:eastAsia="Times New Roman" w:hAnsi="Times New Roman" w:cs="Times New Roman"/>
          <w:b/>
          <w:color w:val="073763"/>
          <w:sz w:val="24"/>
          <w:szCs w:val="24"/>
        </w:rPr>
        <w:lastRenderedPageBreak/>
        <w:t>Bibliografía</w:t>
      </w:r>
    </w:p>
    <w:p w14:paraId="39FEE997" w14:textId="77777777" w:rsidR="0043000D" w:rsidRPr="0043000D" w:rsidRDefault="0043000D" w:rsidP="0043000D">
      <w:pPr>
        <w:pStyle w:val="Prrafodelista"/>
        <w:rPr>
          <w:rFonts w:ascii="Times New Roman" w:eastAsia="Times New Roman" w:hAnsi="Times New Roman" w:cs="Times New Roman"/>
          <w:b/>
          <w:color w:val="073763"/>
          <w:sz w:val="24"/>
          <w:szCs w:val="24"/>
        </w:rPr>
      </w:pPr>
    </w:p>
    <w:p w14:paraId="0000008F" w14:textId="77777777" w:rsidR="007D39E1" w:rsidRDefault="00000000">
      <w:pPr>
        <w:numPr>
          <w:ilvl w:val="0"/>
          <w:numId w:val="3"/>
        </w:numPr>
        <w:spacing w:after="0" w:line="278"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Appelbaum</w:t>
      </w:r>
      <w:proofErr w:type="spellEnd"/>
      <w:r>
        <w:rPr>
          <w:rFonts w:ascii="Times New Roman" w:eastAsia="Times New Roman" w:hAnsi="Times New Roman" w:cs="Times New Roman"/>
          <w:sz w:val="24"/>
          <w:szCs w:val="24"/>
        </w:rPr>
        <w:t xml:space="preserve">, D., Kogan, A., &amp; </w:t>
      </w:r>
      <w:proofErr w:type="spellStart"/>
      <w:r>
        <w:rPr>
          <w:rFonts w:ascii="Times New Roman" w:eastAsia="Times New Roman" w:hAnsi="Times New Roman" w:cs="Times New Roman"/>
          <w:sz w:val="24"/>
          <w:szCs w:val="24"/>
        </w:rPr>
        <w:t>Vasarhelyi</w:t>
      </w:r>
      <w:proofErr w:type="spellEnd"/>
      <w:r>
        <w:rPr>
          <w:rFonts w:ascii="Times New Roman" w:eastAsia="Times New Roman" w:hAnsi="Times New Roman" w:cs="Times New Roman"/>
          <w:sz w:val="24"/>
          <w:szCs w:val="24"/>
        </w:rPr>
        <w:t xml:space="preserve">, M. A. (2017). </w:t>
      </w:r>
      <w:proofErr w:type="spellStart"/>
      <w:r>
        <w:rPr>
          <w:rFonts w:ascii="Times New Roman" w:eastAsia="Times New Roman" w:hAnsi="Times New Roman" w:cs="Times New Roman"/>
          <w:sz w:val="24"/>
          <w:szCs w:val="24"/>
        </w:rPr>
        <w:t>Impact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business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analytics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enterprise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managerial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International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Accounting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Information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Systems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w:t>
      </w:r>
      <w:proofErr w:type="spellEnd"/>
      <w:r>
        <w:rPr>
          <w:rFonts w:ascii="Times New Roman" w:eastAsia="Times New Roman" w:hAnsi="Times New Roman" w:cs="Times New Roman"/>
          <w:sz w:val="24"/>
          <w:szCs w:val="24"/>
        </w:rPr>
        <w:t xml:space="preserve"> 25, pp. 29–44. </w:t>
      </w:r>
      <w:hyperlink r:id="rId8">
        <w:r>
          <w:rPr>
            <w:rFonts w:ascii="Times New Roman" w:eastAsia="Times New Roman" w:hAnsi="Times New Roman" w:cs="Times New Roman"/>
            <w:color w:val="1155CC"/>
            <w:sz w:val="24"/>
            <w:szCs w:val="24"/>
            <w:u w:val="single"/>
          </w:rPr>
          <w:t>https://doi.org/10.1016/j.accinf.2017.03.003</w:t>
        </w:r>
      </w:hyperlink>
    </w:p>
    <w:p w14:paraId="00000090" w14:textId="77777777" w:rsidR="007D39E1" w:rsidRDefault="00000000">
      <w:pPr>
        <w:numPr>
          <w:ilvl w:val="0"/>
          <w:numId w:val="3"/>
        </w:numPr>
        <w:spacing w:after="0" w:line="278"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rPr>
        <w:t xml:space="preserve"> </w:t>
      </w:r>
      <w:r>
        <w:rPr>
          <w:rFonts w:ascii="Times New Roman" w:eastAsia="Times New Roman" w:hAnsi="Times New Roman" w:cs="Times New Roman"/>
          <w:sz w:val="24"/>
          <w:szCs w:val="24"/>
        </w:rPr>
        <w:t>Banco de Desarrollo de América Latina. (2024). La inteligencia artificial y los ODS en América Latina y el Caribe. CAF</w:t>
      </w:r>
      <w:r>
        <w:rPr>
          <w:rFonts w:ascii="Times New Roman" w:eastAsia="Times New Roman" w:hAnsi="Times New Roman" w:cs="Times New Roman"/>
          <w:color w:val="0563C1"/>
          <w:sz w:val="24"/>
          <w:szCs w:val="24"/>
        </w:rPr>
        <w:t>.</w:t>
      </w:r>
      <w:r>
        <w:rPr>
          <w:rFonts w:ascii="Times New Roman" w:eastAsia="Times New Roman" w:hAnsi="Times New Roman" w:cs="Times New Roman"/>
          <w:color w:val="0563C1"/>
          <w:sz w:val="24"/>
          <w:szCs w:val="24"/>
          <w:u w:val="single"/>
        </w:rPr>
        <w:t xml:space="preserve">  https://scioteca.caf.com/bitstream/handle/123456789/2326/La%20IA%20y%20los%20ODS%20en%20Am%C3%A9rica%20Latina%20y%20el%20Caribe.pdf?isAllowed=y&amp;sequence=1</w:t>
      </w:r>
    </w:p>
    <w:p w14:paraId="00000091" w14:textId="77777777" w:rsidR="007D39E1" w:rsidRDefault="00000000">
      <w:pPr>
        <w:numPr>
          <w:ilvl w:val="0"/>
          <w:numId w:val="3"/>
        </w:numPr>
        <w:spacing w:line="278" w:lineRule="auto"/>
        <w:jc w:val="both"/>
        <w:rPr>
          <w:rFonts w:ascii="Times New Roman" w:eastAsia="Times New Roman" w:hAnsi="Times New Roman" w:cs="Times New Roman"/>
          <w:color w:val="0563C1"/>
          <w:sz w:val="24"/>
          <w:szCs w:val="24"/>
        </w:rPr>
      </w:pPr>
      <w:proofErr w:type="spellStart"/>
      <w:r>
        <w:rPr>
          <w:rFonts w:ascii="Times New Roman" w:eastAsia="Times New Roman" w:hAnsi="Times New Roman" w:cs="Times New Roman"/>
          <w:sz w:val="24"/>
          <w:szCs w:val="24"/>
        </w:rPr>
        <w:t>Cath</w:t>
      </w:r>
      <w:proofErr w:type="spellEnd"/>
      <w:r>
        <w:rPr>
          <w:rFonts w:ascii="Times New Roman" w:eastAsia="Times New Roman" w:hAnsi="Times New Roman" w:cs="Times New Roman"/>
          <w:sz w:val="24"/>
          <w:szCs w:val="24"/>
        </w:rPr>
        <w:t xml:space="preserve">, C. (2018). </w:t>
      </w:r>
      <w:proofErr w:type="spellStart"/>
      <w:r>
        <w:rPr>
          <w:rFonts w:ascii="Times New Roman" w:eastAsia="Times New Roman" w:hAnsi="Times New Roman" w:cs="Times New Roman"/>
          <w:sz w:val="24"/>
          <w:szCs w:val="24"/>
        </w:rPr>
        <w:t>Governing</w:t>
      </w:r>
      <w:proofErr w:type="spellEnd"/>
      <w:r>
        <w:rPr>
          <w:rFonts w:ascii="Times New Roman" w:eastAsia="Times New Roman" w:hAnsi="Times New Roman" w:cs="Times New Roman"/>
          <w:sz w:val="24"/>
          <w:szCs w:val="24"/>
        </w:rPr>
        <w:t xml:space="preserve"> artificial </w:t>
      </w:r>
      <w:proofErr w:type="spellStart"/>
      <w:r>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Ethical</w:t>
      </w:r>
      <w:proofErr w:type="spellEnd"/>
      <w:r>
        <w:rPr>
          <w:rFonts w:ascii="Times New Roman" w:eastAsia="Times New Roman" w:hAnsi="Times New Roman" w:cs="Times New Roman"/>
          <w:sz w:val="24"/>
          <w:szCs w:val="24"/>
        </w:rPr>
        <w:t xml:space="preserve">, legal and </w:t>
      </w:r>
      <w:proofErr w:type="spellStart"/>
      <w:r>
        <w:rPr>
          <w:rFonts w:ascii="Times New Roman" w:eastAsia="Times New Roman" w:hAnsi="Times New Roman" w:cs="Times New Roman"/>
          <w:sz w:val="24"/>
          <w:szCs w:val="24"/>
        </w:rPr>
        <w:t>technical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opportunities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challenges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Philosophical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Transactions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Royal </w:t>
      </w:r>
      <w:proofErr w:type="spellStart"/>
      <w:r>
        <w:rPr>
          <w:rFonts w:ascii="Times New Roman" w:eastAsia="Times New Roman" w:hAnsi="Times New Roman" w:cs="Times New Roman"/>
          <w:i/>
          <w:sz w:val="24"/>
          <w:szCs w:val="24"/>
        </w:rPr>
        <w:t>Society</w:t>
      </w:r>
      <w:proofErr w:type="spellEnd"/>
      <w:r>
        <w:rPr>
          <w:rFonts w:ascii="Times New Roman" w:eastAsia="Times New Roman" w:hAnsi="Times New Roman" w:cs="Times New Roman"/>
          <w:i/>
          <w:sz w:val="24"/>
          <w:szCs w:val="24"/>
        </w:rPr>
        <w:t xml:space="preserve"> 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w:t>
      </w:r>
      <w:proofErr w:type="spellEnd"/>
      <w:r>
        <w:rPr>
          <w:rFonts w:ascii="Times New Roman" w:eastAsia="Times New Roman" w:hAnsi="Times New Roman" w:cs="Times New Roman"/>
          <w:sz w:val="24"/>
          <w:szCs w:val="24"/>
        </w:rPr>
        <w:t xml:space="preserve"> 376, pp. 20180080</w:t>
      </w:r>
      <w:r>
        <w:rPr>
          <w:rFonts w:ascii="Times New Roman" w:eastAsia="Times New Roman" w:hAnsi="Times New Roman" w:cs="Times New Roman"/>
          <w:color w:val="0563C1"/>
          <w:sz w:val="24"/>
          <w:szCs w:val="24"/>
          <w:u w:val="single"/>
        </w:rPr>
        <w:t xml:space="preserve">. </w:t>
      </w:r>
      <w:hyperlink r:id="rId9">
        <w:r>
          <w:rPr>
            <w:rFonts w:ascii="Times New Roman" w:eastAsia="Times New Roman" w:hAnsi="Times New Roman" w:cs="Times New Roman"/>
            <w:color w:val="0563C1"/>
            <w:sz w:val="24"/>
            <w:szCs w:val="24"/>
            <w:u w:val="single"/>
          </w:rPr>
          <w:t>https://doi.org/10.1098/rsta.2018.0080</w:t>
        </w:r>
      </w:hyperlink>
    </w:p>
    <w:p w14:paraId="00000092"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Commission</w:t>
      </w:r>
      <w:proofErr w:type="spellEnd"/>
      <w:r>
        <w:rPr>
          <w:rFonts w:ascii="Times New Roman" w:eastAsia="Times New Roman" w:hAnsi="Times New Roman" w:cs="Times New Roman"/>
          <w:sz w:val="24"/>
          <w:szCs w:val="24"/>
        </w:rPr>
        <w:t xml:space="preserve">. (2020). </w:t>
      </w:r>
      <w:r>
        <w:rPr>
          <w:rFonts w:ascii="Times New Roman" w:eastAsia="Times New Roman" w:hAnsi="Times New Roman" w:cs="Times New Roman"/>
          <w:i/>
          <w:sz w:val="24"/>
          <w:szCs w:val="24"/>
        </w:rPr>
        <w:t xml:space="preserve">White </w:t>
      </w:r>
      <w:proofErr w:type="spellStart"/>
      <w:r>
        <w:rPr>
          <w:rFonts w:ascii="Times New Roman" w:eastAsia="Times New Roman" w:hAnsi="Times New Roman" w:cs="Times New Roman"/>
          <w:i/>
          <w:sz w:val="24"/>
          <w:szCs w:val="24"/>
        </w:rPr>
        <w:t>Paper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i/>
          <w:sz w:val="24"/>
          <w:szCs w:val="24"/>
        </w:rPr>
        <w:t xml:space="preserve"> Artificial </w:t>
      </w:r>
      <w:proofErr w:type="spellStart"/>
      <w:r>
        <w:rPr>
          <w:rFonts w:ascii="Times New Roman" w:eastAsia="Times New Roman" w:hAnsi="Times New Roman" w:cs="Times New Roman"/>
          <w:i/>
          <w:sz w:val="24"/>
          <w:szCs w:val="24"/>
        </w:rPr>
        <w:t>Intelligence</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European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approach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excellence</w:t>
      </w:r>
      <w:proofErr w:type="spellEnd"/>
      <w:r>
        <w:rPr>
          <w:rFonts w:ascii="Times New Roman" w:eastAsia="Times New Roman" w:hAnsi="Times New Roman" w:cs="Times New Roman"/>
          <w:i/>
          <w:sz w:val="24"/>
          <w:szCs w:val="24"/>
        </w:rPr>
        <w:t xml:space="preserve"> and trust</w:t>
      </w: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0563C1"/>
            <w:sz w:val="24"/>
            <w:szCs w:val="24"/>
            <w:u w:val="single"/>
          </w:rPr>
          <w:t>https://ec.europa.eu/info/sites/default/files/commission-white-paper-artificial-intelligence-feb2020_en.pdf</w:t>
        </w:r>
      </w:hyperlink>
    </w:p>
    <w:p w14:paraId="00000093"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w:t>
      </w:r>
      <w:proofErr w:type="spellStart"/>
      <w:r>
        <w:rPr>
          <w:rFonts w:ascii="Times New Roman" w:eastAsia="Times New Roman" w:hAnsi="Times New Roman" w:cs="Times New Roman"/>
          <w:sz w:val="24"/>
          <w:szCs w:val="24"/>
        </w:rPr>
        <w:t>Federation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Accountants</w:t>
      </w:r>
      <w:proofErr w:type="spellEnd"/>
      <w:r>
        <w:rPr>
          <w:rFonts w:ascii="Times New Roman" w:eastAsia="Times New Roman" w:hAnsi="Times New Roman" w:cs="Times New Roman"/>
          <w:sz w:val="24"/>
          <w:szCs w:val="24"/>
        </w:rPr>
        <w:t xml:space="preserve">. (2021). Digital </w:t>
      </w:r>
      <w:proofErr w:type="spellStart"/>
      <w:r>
        <w:rPr>
          <w:rFonts w:ascii="Times New Roman" w:eastAsia="Times New Roman" w:hAnsi="Times New Roman" w:cs="Times New Roman"/>
          <w:sz w:val="24"/>
          <w:szCs w:val="24"/>
        </w:rPr>
        <w:t>Transformation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Accountancy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Profession</w:t>
      </w:r>
      <w:proofErr w:type="spellEnd"/>
      <w:r>
        <w:rPr>
          <w:rFonts w:ascii="Times New Roman" w:eastAsia="Times New Roman" w:hAnsi="Times New Roman" w:cs="Times New Roman"/>
          <w:sz w:val="24"/>
          <w:szCs w:val="24"/>
        </w:rPr>
        <w:t>.</w:t>
      </w:r>
    </w:p>
    <w:p w14:paraId="00000094" w14:textId="77777777" w:rsidR="007D39E1" w:rsidRDefault="00000000">
      <w:pPr>
        <w:spacing w:line="27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563C1"/>
          <w:sz w:val="24"/>
          <w:szCs w:val="24"/>
          <w:u w:val="single"/>
        </w:rPr>
        <w:t>https://www.ifac.org/knowledge-gateway/technology/publications/digital-transformation-and-role-accounting-and-finance-professionals-new-era</w:t>
      </w:r>
    </w:p>
    <w:p w14:paraId="00000095"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Spielkamp</w:t>
      </w:r>
      <w:proofErr w:type="spellEnd"/>
      <w:r>
        <w:rPr>
          <w:rFonts w:ascii="Times New Roman" w:eastAsia="Times New Roman" w:hAnsi="Times New Roman" w:cs="Times New Roman"/>
          <w:sz w:val="24"/>
          <w:szCs w:val="24"/>
        </w:rPr>
        <w:t xml:space="preserve">, M. (2021). </w:t>
      </w:r>
      <w:proofErr w:type="spellStart"/>
      <w:r>
        <w:rPr>
          <w:rFonts w:ascii="Times New Roman" w:eastAsia="Times New Roman" w:hAnsi="Times New Roman" w:cs="Times New Roman"/>
          <w:sz w:val="24"/>
          <w:szCs w:val="24"/>
        </w:rPr>
        <w:t>Towards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accountability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use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artificial </w:t>
      </w:r>
      <w:proofErr w:type="spellStart"/>
      <w:r>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administrations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arXiv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preprint</w:t>
      </w:r>
      <w:proofErr w:type="spellEnd"/>
      <w:r>
        <w:rPr>
          <w:rFonts w:ascii="Times New Roman" w:eastAsia="Times New Roman" w:hAnsi="Times New Roman" w:cs="Times New Roman"/>
          <w:sz w:val="24"/>
          <w:szCs w:val="24"/>
        </w:rPr>
        <w:t xml:space="preserve"> arXiv:2101.01020. </w:t>
      </w:r>
      <w:hyperlink r:id="rId11">
        <w:r>
          <w:rPr>
            <w:rFonts w:ascii="Times New Roman" w:eastAsia="Times New Roman" w:hAnsi="Times New Roman" w:cs="Times New Roman"/>
            <w:color w:val="0563C1"/>
            <w:sz w:val="24"/>
            <w:szCs w:val="24"/>
            <w:u w:val="single"/>
          </w:rPr>
          <w:t>https://arxiv.org/abs/2101.01020</w:t>
        </w:r>
      </w:hyperlink>
    </w:p>
    <w:p w14:paraId="00000096"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Mikhaylov</w:t>
      </w:r>
      <w:proofErr w:type="spellEnd"/>
      <w:r>
        <w:rPr>
          <w:rFonts w:ascii="Times New Roman" w:eastAsia="Times New Roman" w:hAnsi="Times New Roman" w:cs="Times New Roman"/>
          <w:sz w:val="24"/>
          <w:szCs w:val="24"/>
        </w:rPr>
        <w:t xml:space="preserve">, S. J., Esteve, M., y </w:t>
      </w:r>
      <w:proofErr w:type="spellStart"/>
      <w:r>
        <w:rPr>
          <w:rFonts w:ascii="Times New Roman" w:eastAsia="Times New Roman" w:hAnsi="Times New Roman" w:cs="Times New Roman"/>
          <w:sz w:val="24"/>
          <w:szCs w:val="24"/>
        </w:rPr>
        <w:t>Campion</w:t>
      </w:r>
      <w:proofErr w:type="spellEnd"/>
      <w:r>
        <w:rPr>
          <w:rFonts w:ascii="Times New Roman" w:eastAsia="Times New Roman" w:hAnsi="Times New Roman" w:cs="Times New Roman"/>
          <w:sz w:val="24"/>
          <w:szCs w:val="24"/>
        </w:rPr>
        <w:t xml:space="preserve">, A. (2018). Artificial </w:t>
      </w:r>
      <w:proofErr w:type="spellStart"/>
      <w:r>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sector: </w:t>
      </w:r>
      <w:proofErr w:type="spellStart"/>
      <w:r>
        <w:rPr>
          <w:rFonts w:ascii="Times New Roman" w:eastAsia="Times New Roman" w:hAnsi="Times New Roman" w:cs="Times New Roman"/>
          <w:sz w:val="24"/>
          <w:szCs w:val="24"/>
        </w:rPr>
        <w:t>Opportunities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challenges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cross</w:t>
      </w:r>
      <w:proofErr w:type="spellEnd"/>
      <w:r>
        <w:rPr>
          <w:rFonts w:ascii="Times New Roman" w:eastAsia="Times New Roman" w:hAnsi="Times New Roman" w:cs="Times New Roman"/>
          <w:sz w:val="24"/>
          <w:szCs w:val="24"/>
        </w:rPr>
        <w:t xml:space="preserve">-sector </w:t>
      </w:r>
      <w:proofErr w:type="spellStart"/>
      <w:r>
        <w:rPr>
          <w:rFonts w:ascii="Times New Roman" w:eastAsia="Times New Roman" w:hAnsi="Times New Roman" w:cs="Times New Roman"/>
          <w:sz w:val="24"/>
          <w:szCs w:val="24"/>
        </w:rPr>
        <w:t>collaboration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Philosophy</w:t>
      </w:r>
      <w:proofErr w:type="spellEnd"/>
      <w:r>
        <w:rPr>
          <w:rFonts w:ascii="Times New Roman" w:eastAsia="Times New Roman" w:hAnsi="Times New Roman" w:cs="Times New Roman"/>
          <w:i/>
          <w:sz w:val="24"/>
          <w:szCs w:val="24"/>
        </w:rPr>
        <w:t xml:space="preserve"> &amp; </w:t>
      </w:r>
      <w:proofErr w:type="spellStart"/>
      <w:r>
        <w:rPr>
          <w:rFonts w:ascii="Times New Roman" w:eastAsia="Times New Roman" w:hAnsi="Times New Roman" w:cs="Times New Roman"/>
          <w:i/>
          <w:sz w:val="24"/>
          <w:szCs w:val="24"/>
        </w:rPr>
        <w:t>Technology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vol</w:t>
      </w:r>
      <w:proofErr w:type="spellEnd"/>
      <w:r>
        <w:rPr>
          <w:rFonts w:ascii="Times New Roman" w:eastAsia="Times New Roman" w:hAnsi="Times New Roman" w:cs="Times New Roman"/>
          <w:sz w:val="24"/>
          <w:szCs w:val="24"/>
        </w:rPr>
        <w:t xml:space="preserve"> 31, pp. 547–560.</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https://doi.org/10.1098/rsta.2017.0357</w:t>
        </w:r>
      </w:hyperlink>
    </w:p>
    <w:p w14:paraId="00000097"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OECD. (2019). </w:t>
      </w:r>
      <w:proofErr w:type="spellStart"/>
      <w:r>
        <w:rPr>
          <w:rFonts w:ascii="Times New Roman" w:eastAsia="Times New Roman" w:hAnsi="Times New Roman" w:cs="Times New Roman"/>
          <w:i/>
          <w:sz w:val="24"/>
          <w:szCs w:val="24"/>
        </w:rPr>
        <w:t>Recommendation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Council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i/>
          <w:sz w:val="24"/>
          <w:szCs w:val="24"/>
        </w:rPr>
        <w:t xml:space="preserve"> Artificial </w:t>
      </w:r>
      <w:proofErr w:type="spellStart"/>
      <w:r>
        <w:rPr>
          <w:rFonts w:ascii="Times New Roman" w:eastAsia="Times New Roman" w:hAnsi="Times New Roman" w:cs="Times New Roman"/>
          <w:i/>
          <w:sz w:val="24"/>
          <w:szCs w:val="24"/>
        </w:rPr>
        <w:t>Intelligence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0563C1"/>
            <w:sz w:val="24"/>
            <w:szCs w:val="24"/>
            <w:u w:val="single"/>
          </w:rPr>
          <w:t>https://legalinstruments.oecd.org/en/instruments/OECD-LEGAL-0449</w:t>
        </w:r>
      </w:hyperlink>
    </w:p>
    <w:p w14:paraId="00000098"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OECD. (2022).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path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becoming</w:t>
      </w:r>
      <w:proofErr w:type="spellEnd"/>
      <w:r>
        <w:rPr>
          <w:rFonts w:ascii="Times New Roman" w:eastAsia="Times New Roman" w:hAnsi="Times New Roman" w:cs="Times New Roman"/>
          <w:i/>
          <w:sz w:val="24"/>
          <w:szCs w:val="24"/>
        </w:rPr>
        <w:t xml:space="preserve"> a data-</w:t>
      </w:r>
      <w:proofErr w:type="spellStart"/>
      <w:r>
        <w:rPr>
          <w:rFonts w:ascii="Times New Roman" w:eastAsia="Times New Roman" w:hAnsi="Times New Roman" w:cs="Times New Roman"/>
          <w:i/>
          <w:sz w:val="24"/>
          <w:szCs w:val="24"/>
        </w:rPr>
        <w:t>driven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public</w:t>
      </w:r>
      <w:proofErr w:type="spellEnd"/>
      <w:r>
        <w:rPr>
          <w:rFonts w:ascii="Times New Roman" w:eastAsia="Times New Roman" w:hAnsi="Times New Roman" w:cs="Times New Roman"/>
          <w:i/>
          <w:sz w:val="24"/>
          <w:szCs w:val="24"/>
        </w:rPr>
        <w:t xml:space="preserve"> sector.</w:t>
      </w: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1155CC"/>
            <w:sz w:val="24"/>
            <w:szCs w:val="24"/>
            <w:u w:val="single"/>
          </w:rPr>
          <w:t>https://www.oecd.org/en/publications/the-path-to-becoming-a-data-driven-public-sector_059814a7-en.html</w:t>
        </w:r>
      </w:hyperlink>
    </w:p>
    <w:p w14:paraId="00000099" w14:textId="77777777" w:rsidR="007D39E1" w:rsidRDefault="00000000">
      <w:pPr>
        <w:numPr>
          <w:ilvl w:val="0"/>
          <w:numId w:val="3"/>
        </w:numPr>
        <w:spacing w:line="278"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sz w:val="24"/>
          <w:szCs w:val="24"/>
        </w:rPr>
        <w:t xml:space="preserve">OCDE &amp; CAF. (2022).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Responsible</w:t>
      </w:r>
      <w:proofErr w:type="spellEnd"/>
      <w:r>
        <w:rPr>
          <w:rFonts w:ascii="Times New Roman" w:eastAsia="Times New Roman" w:hAnsi="Times New Roman" w:cs="Times New Roman"/>
          <w:sz w:val="24"/>
          <w:szCs w:val="24"/>
        </w:rPr>
        <w:t xml:space="preserve"> Use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Artificial </w:t>
      </w:r>
      <w:proofErr w:type="spellStart"/>
      <w:r>
        <w:rPr>
          <w:rFonts w:ascii="Times New Roman" w:eastAsia="Times New Roman" w:hAnsi="Times New Roman" w:cs="Times New Roman"/>
          <w:sz w:val="24"/>
          <w:szCs w:val="24"/>
        </w:rPr>
        <w:t>Intelligence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Sector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Caribbean</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563C1"/>
          <w:sz w:val="24"/>
          <w:szCs w:val="24"/>
          <w:u w:val="single"/>
        </w:rPr>
        <w:t xml:space="preserve"> </w:t>
      </w:r>
      <w:hyperlink r:id="rId16">
        <w:r>
          <w:rPr>
            <w:rFonts w:ascii="Times New Roman" w:eastAsia="Times New Roman" w:hAnsi="Times New Roman" w:cs="Times New Roman"/>
            <w:color w:val="1155CC"/>
            <w:sz w:val="24"/>
            <w:szCs w:val="24"/>
            <w:u w:val="single"/>
          </w:rPr>
          <w:t>https://oecd-opsi.org/wp-content/uploads/2022/03/lac-ai.pdf</w:t>
        </w:r>
      </w:hyperlink>
    </w:p>
    <w:p w14:paraId="0000009A" w14:textId="77777777" w:rsidR="007D39E1" w:rsidRDefault="00000000">
      <w:pPr>
        <w:numPr>
          <w:ilvl w:val="0"/>
          <w:numId w:val="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Oszlak, O., </w:t>
      </w:r>
      <w:proofErr w:type="spellStart"/>
      <w:r>
        <w:rPr>
          <w:rFonts w:ascii="Times New Roman" w:eastAsia="Times New Roman" w:hAnsi="Times New Roman" w:cs="Times New Roman"/>
          <w:sz w:val="24"/>
          <w:szCs w:val="24"/>
        </w:rPr>
        <w:t>Bellomo</w:t>
      </w:r>
      <w:proofErr w:type="spellEnd"/>
      <w:r>
        <w:rPr>
          <w:rFonts w:ascii="Times New Roman" w:eastAsia="Times New Roman" w:hAnsi="Times New Roman" w:cs="Times New Roman"/>
          <w:sz w:val="24"/>
          <w:szCs w:val="24"/>
        </w:rPr>
        <w:t xml:space="preserve">, S., Del Carril, E., </w:t>
      </w:r>
      <w:proofErr w:type="spellStart"/>
      <w:r>
        <w:rPr>
          <w:rFonts w:ascii="Times New Roman" w:eastAsia="Times New Roman" w:hAnsi="Times New Roman" w:cs="Times New Roman"/>
          <w:sz w:val="24"/>
          <w:szCs w:val="24"/>
        </w:rPr>
        <w:t>Gastaldi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Basco</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Garnero</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Callegari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Ubaldi</w:t>
      </w:r>
      <w:proofErr w:type="spellEnd"/>
      <w:r>
        <w:rPr>
          <w:rFonts w:ascii="Times New Roman" w:eastAsia="Times New Roman" w:hAnsi="Times New Roman" w:cs="Times New Roman"/>
          <w:sz w:val="24"/>
          <w:szCs w:val="24"/>
        </w:rPr>
        <w:t xml:space="preserve">, B., Martelli, E., Pando, D., Poggi, E., Legorburu, E. y </w:t>
      </w:r>
      <w:proofErr w:type="spellStart"/>
      <w:r>
        <w:rPr>
          <w:rFonts w:ascii="Times New Roman" w:eastAsia="Times New Roman" w:hAnsi="Times New Roman" w:cs="Times New Roman"/>
          <w:sz w:val="24"/>
          <w:szCs w:val="24"/>
        </w:rPr>
        <w:lastRenderedPageBreak/>
        <w:t>Parselis</w:t>
      </w:r>
      <w:proofErr w:type="spellEnd"/>
      <w:r>
        <w:rPr>
          <w:rFonts w:ascii="Times New Roman" w:eastAsia="Times New Roman" w:hAnsi="Times New Roman" w:cs="Times New Roman"/>
          <w:sz w:val="24"/>
          <w:szCs w:val="24"/>
        </w:rPr>
        <w:t xml:space="preserve">, M. (2020). </w:t>
      </w:r>
      <w:r>
        <w:rPr>
          <w:rFonts w:ascii="Times New Roman" w:eastAsia="Times New Roman" w:hAnsi="Times New Roman" w:cs="Times New Roman"/>
          <w:i/>
          <w:sz w:val="24"/>
          <w:szCs w:val="24"/>
        </w:rPr>
        <w:t>Desafíos de la administración pública en el contexto de la Revolución 4.0</w:t>
      </w:r>
      <w:r>
        <w:rPr>
          <w:rFonts w:ascii="Times New Roman" w:eastAsia="Times New Roman" w:hAnsi="Times New Roman" w:cs="Times New Roman"/>
          <w:sz w:val="24"/>
          <w:szCs w:val="24"/>
        </w:rPr>
        <w:t xml:space="preserve">. Konrad Adenauer </w:t>
      </w:r>
      <w:proofErr w:type="spellStart"/>
      <w:r>
        <w:rPr>
          <w:rFonts w:ascii="Times New Roman" w:eastAsia="Times New Roman" w:hAnsi="Times New Roman" w:cs="Times New Roman"/>
          <w:sz w:val="24"/>
          <w:szCs w:val="24"/>
        </w:rPr>
        <w:t>Stiftung</w:t>
      </w:r>
      <w:proofErr w:type="spellEnd"/>
      <w:r>
        <w:rPr>
          <w:rFonts w:ascii="Times New Roman" w:eastAsia="Times New Roman" w:hAnsi="Times New Roman" w:cs="Times New Roman"/>
          <w:sz w:val="24"/>
          <w:szCs w:val="24"/>
        </w:rPr>
        <w:t>, 1a ed. Ciudad Autónoma de Buenos Aires.</w:t>
      </w:r>
    </w:p>
    <w:p w14:paraId="0000009B"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Polzer</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Reichard</w:t>
      </w:r>
      <w:proofErr w:type="spellEnd"/>
      <w:r>
        <w:rPr>
          <w:rFonts w:ascii="Times New Roman" w:eastAsia="Times New Roman" w:hAnsi="Times New Roman" w:cs="Times New Roman"/>
          <w:sz w:val="24"/>
          <w:szCs w:val="24"/>
        </w:rPr>
        <w:t xml:space="preserve">, C., &amp; Van </w:t>
      </w:r>
      <w:proofErr w:type="spellStart"/>
      <w:r>
        <w:rPr>
          <w:rFonts w:ascii="Times New Roman" w:eastAsia="Times New Roman" w:hAnsi="Times New Roman" w:cs="Times New Roman"/>
          <w:sz w:val="24"/>
          <w:szCs w:val="24"/>
        </w:rPr>
        <w:t>Helden</w:t>
      </w:r>
      <w:proofErr w:type="spellEnd"/>
      <w:r>
        <w:rPr>
          <w:rFonts w:ascii="Times New Roman" w:eastAsia="Times New Roman" w:hAnsi="Times New Roman" w:cs="Times New Roman"/>
          <w:sz w:val="24"/>
          <w:szCs w:val="24"/>
        </w:rPr>
        <w:t xml:space="preserve">, G. J. (2022). Digital </w:t>
      </w:r>
      <w:proofErr w:type="spellStart"/>
      <w:r>
        <w:rPr>
          <w:rFonts w:ascii="Times New Roman" w:eastAsia="Times New Roman" w:hAnsi="Times New Roman" w:cs="Times New Roman"/>
          <w:sz w:val="24"/>
          <w:szCs w:val="24"/>
        </w:rPr>
        <w:t>transformation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intangible </w:t>
      </w:r>
      <w:proofErr w:type="spellStart"/>
      <w:r>
        <w:rPr>
          <w:rFonts w:ascii="Times New Roman" w:eastAsia="Times New Roman" w:hAnsi="Times New Roman" w:cs="Times New Roman"/>
          <w:sz w:val="24"/>
          <w:szCs w:val="24"/>
        </w:rPr>
        <w:t>assets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sector. </w:t>
      </w:r>
      <w:proofErr w:type="spellStart"/>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Public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Budgeting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Accounting</w:t>
      </w:r>
      <w:proofErr w:type="spellEnd"/>
      <w:r>
        <w:rPr>
          <w:rFonts w:ascii="Times New Roman" w:eastAsia="Times New Roman" w:hAnsi="Times New Roman" w:cs="Times New Roman"/>
          <w:i/>
          <w:sz w:val="24"/>
          <w:szCs w:val="24"/>
        </w:rPr>
        <w:t xml:space="preserve"> &amp; </w:t>
      </w:r>
      <w:proofErr w:type="spellStart"/>
      <w:r>
        <w:rPr>
          <w:rFonts w:ascii="Times New Roman" w:eastAsia="Times New Roman" w:hAnsi="Times New Roman" w:cs="Times New Roman"/>
          <w:i/>
          <w:sz w:val="24"/>
          <w:szCs w:val="24"/>
        </w:rPr>
        <w:t>Financial</w:t>
      </w:r>
      <w:proofErr w:type="spellEnd"/>
      <w:r>
        <w:rPr>
          <w:rFonts w:ascii="Times New Roman" w:eastAsia="Times New Roman" w:hAnsi="Times New Roman" w:cs="Times New Roman"/>
          <w:i/>
          <w:sz w:val="24"/>
          <w:szCs w:val="24"/>
        </w:rPr>
        <w:t xml:space="preserve"> Management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w:t>
      </w:r>
      <w:proofErr w:type="spellEnd"/>
      <w:r>
        <w:rPr>
          <w:rFonts w:ascii="Times New Roman" w:eastAsia="Times New Roman" w:hAnsi="Times New Roman" w:cs="Times New Roman"/>
          <w:sz w:val="24"/>
          <w:szCs w:val="24"/>
        </w:rPr>
        <w:t xml:space="preserve"> 34, pp. 61–82. </w:t>
      </w:r>
      <w:r>
        <w:rPr>
          <w:rFonts w:ascii="Times New Roman" w:eastAsia="Times New Roman" w:hAnsi="Times New Roman" w:cs="Times New Roman"/>
          <w:color w:val="0563C1"/>
          <w:sz w:val="24"/>
          <w:szCs w:val="24"/>
          <w:u w:val="single"/>
        </w:rPr>
        <w:t>https://doi.org/10.1108/JPBAFM-09-2024-0177</w:t>
      </w:r>
    </w:p>
    <w:p w14:paraId="0000009C" w14:textId="77777777" w:rsidR="007D39E1" w:rsidRDefault="00000000">
      <w:pPr>
        <w:numPr>
          <w:ilvl w:val="0"/>
          <w:numId w:val="3"/>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Pramono</w:t>
      </w:r>
      <w:proofErr w:type="spellEnd"/>
      <w:r>
        <w:rPr>
          <w:rFonts w:ascii="Times New Roman" w:eastAsia="Times New Roman" w:hAnsi="Times New Roman" w:cs="Times New Roman"/>
          <w:sz w:val="24"/>
          <w:szCs w:val="24"/>
        </w:rPr>
        <w:t xml:space="preserve">, A.J.; </w:t>
      </w:r>
      <w:proofErr w:type="spellStart"/>
      <w:r>
        <w:rPr>
          <w:rFonts w:ascii="Times New Roman" w:eastAsia="Times New Roman" w:hAnsi="Times New Roman" w:cs="Times New Roman"/>
          <w:sz w:val="24"/>
          <w:szCs w:val="24"/>
        </w:rPr>
        <w:t>Suwarno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Amyar</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Friska</w:t>
      </w:r>
      <w:proofErr w:type="spellEnd"/>
      <w:r>
        <w:rPr>
          <w:rFonts w:ascii="Times New Roman" w:eastAsia="Times New Roman" w:hAnsi="Times New Roman" w:cs="Times New Roman"/>
          <w:sz w:val="24"/>
          <w:szCs w:val="24"/>
        </w:rPr>
        <w:t xml:space="preserve">, R. (2023). </w:t>
      </w:r>
      <w:proofErr w:type="spellStart"/>
      <w:r>
        <w:rPr>
          <w:rFonts w:ascii="Times New Roman" w:eastAsia="Times New Roman" w:hAnsi="Times New Roman" w:cs="Times New Roman"/>
          <w:sz w:val="24"/>
          <w:szCs w:val="24"/>
        </w:rPr>
        <w:t>Exploring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Acceptance</w:t>
      </w:r>
      <w:proofErr w:type="spellEnd"/>
      <w:r>
        <w:rPr>
          <w:rFonts w:ascii="Times New Roman" w:eastAsia="Times New Roman" w:hAnsi="Times New Roman" w:cs="Times New Roman"/>
          <w:sz w:val="24"/>
          <w:szCs w:val="24"/>
        </w:rPr>
        <w:t xml:space="preserve"> in Management </w:t>
      </w:r>
      <w:proofErr w:type="spellStart"/>
      <w:r>
        <w:rPr>
          <w:rFonts w:ascii="Times New Roman" w:eastAsia="Times New Roman" w:hAnsi="Times New Roman" w:cs="Times New Roman"/>
          <w:sz w:val="24"/>
          <w:szCs w:val="24"/>
        </w:rPr>
        <w:t>Accounting</w:t>
      </w:r>
      <w:proofErr w:type="spellEnd"/>
      <w:r>
        <w:rPr>
          <w:rFonts w:ascii="Times New Roman" w:eastAsia="Times New Roman" w:hAnsi="Times New Roman" w:cs="Times New Roman"/>
          <w:sz w:val="24"/>
          <w:szCs w:val="24"/>
        </w:rPr>
        <w:t xml:space="preserve"> Tools’ </w:t>
      </w:r>
      <w:proofErr w:type="spellStart"/>
      <w:r>
        <w:rPr>
          <w:rFonts w:ascii="Times New Roman" w:eastAsia="Times New Roman" w:hAnsi="Times New Roman" w:cs="Times New Roman"/>
          <w:sz w:val="24"/>
          <w:szCs w:val="24"/>
        </w:rPr>
        <w:t>Adoption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Sector </w:t>
      </w:r>
      <w:proofErr w:type="spellStart"/>
      <w:r>
        <w:rPr>
          <w:rFonts w:ascii="Times New Roman" w:eastAsia="Times New Roman" w:hAnsi="Times New Roman" w:cs="Times New Roman"/>
          <w:sz w:val="24"/>
          <w:szCs w:val="24"/>
        </w:rPr>
        <w:t>Accounting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Sustainability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Sustainability</w:t>
      </w:r>
      <w:proofErr w:type="spellEnd"/>
      <w:r>
        <w:rPr>
          <w:rFonts w:ascii="Times New Roman" w:eastAsia="Times New Roman" w:hAnsi="Times New Roman" w:cs="Times New Roman"/>
          <w:sz w:val="24"/>
          <w:szCs w:val="24"/>
        </w:rPr>
        <w:t>, vol. 15, pp. 15334. https://doi.org/10.3390/su152115334</w:t>
      </w:r>
    </w:p>
    <w:p w14:paraId="0000009D" w14:textId="77777777" w:rsidR="007D39E1" w:rsidRDefault="00000000">
      <w:pPr>
        <w:numPr>
          <w:ilvl w:val="0"/>
          <w:numId w:val="3"/>
        </w:num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Santamaría Herrera, J. C. (2025, 7 de marzo). </w:t>
      </w:r>
      <w:r>
        <w:rPr>
          <w:rFonts w:ascii="Times New Roman" w:eastAsia="Times New Roman" w:hAnsi="Times New Roman" w:cs="Times New Roman"/>
          <w:i/>
          <w:sz w:val="24"/>
          <w:szCs w:val="24"/>
        </w:rPr>
        <w:t>El contador público en la era digital: retos y oportunidades en el sector público</w:t>
      </w:r>
      <w:r>
        <w:rPr>
          <w:rFonts w:ascii="Times New Roman" w:eastAsia="Times New Roman" w:hAnsi="Times New Roman" w:cs="Times New Roman"/>
          <w:sz w:val="24"/>
          <w:szCs w:val="24"/>
        </w:rPr>
        <w:t xml:space="preserve">. Ámbito Jurídico. </w:t>
      </w:r>
      <w:r>
        <w:rPr>
          <w:rFonts w:ascii="Times New Roman" w:eastAsia="Times New Roman" w:hAnsi="Times New Roman" w:cs="Times New Roman"/>
          <w:color w:val="0563C1"/>
          <w:sz w:val="24"/>
          <w:szCs w:val="24"/>
          <w:u w:val="single"/>
        </w:rPr>
        <w:t>https://www.ambitojuridico.com/noticias/tributario/tributario-y-contable/el-contador-publico-en-la-era-digital-retos-y</w:t>
      </w:r>
    </w:p>
    <w:p w14:paraId="0000009E" w14:textId="77777777" w:rsidR="007D39E1" w:rsidRDefault="00000000">
      <w:pPr>
        <w:numPr>
          <w:ilvl w:val="0"/>
          <w:numId w:val="3"/>
        </w:numPr>
        <w:spacing w:before="280" w:after="28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UNESCO. (2021). </w:t>
      </w:r>
      <w:proofErr w:type="spellStart"/>
      <w:r>
        <w:rPr>
          <w:rFonts w:ascii="Times New Roman" w:eastAsia="Times New Roman" w:hAnsi="Times New Roman" w:cs="Times New Roman"/>
          <w:i/>
          <w:sz w:val="24"/>
          <w:szCs w:val="24"/>
        </w:rPr>
        <w:t>Recommendation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Ethics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Artificial </w:t>
      </w:r>
      <w:proofErr w:type="spellStart"/>
      <w:r>
        <w:rPr>
          <w:rFonts w:ascii="Times New Roman" w:eastAsia="Times New Roman" w:hAnsi="Times New Roman" w:cs="Times New Roman"/>
          <w:i/>
          <w:sz w:val="24"/>
          <w:szCs w:val="24"/>
        </w:rPr>
        <w:t>Intelligence</w:t>
      </w:r>
      <w:proofErr w:type="spellEnd"/>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0563C1"/>
            <w:sz w:val="24"/>
            <w:szCs w:val="24"/>
            <w:u w:val="single"/>
          </w:rPr>
          <w:t>https://unesdoc.unesco.org/ark:/48223/pf0000381137</w:t>
        </w:r>
      </w:hyperlink>
    </w:p>
    <w:sectPr w:rsidR="007D39E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3B6BDB3-F3C3-4D91-ABAD-ACA36DA9AE8E}"/>
  </w:font>
  <w:font w:name="Calibri">
    <w:panose1 w:val="020F0502020204030204"/>
    <w:charset w:val="00"/>
    <w:family w:val="swiss"/>
    <w:pitch w:val="variable"/>
    <w:sig w:usb0="E4002EFF" w:usb1="C200247B" w:usb2="00000009" w:usb3="00000000" w:csb0="000001FF" w:csb1="00000000"/>
    <w:embedRegular r:id="rId2" w:fontKey="{229AF319-B2F1-479B-839E-98D353619E1A}"/>
    <w:embedBold r:id="rId3" w:fontKey="{5A45E232-44B6-407B-A20B-B6CFE0D41D0B}"/>
  </w:font>
  <w:font w:name="Georgia">
    <w:panose1 w:val="02040502050405020303"/>
    <w:charset w:val="00"/>
    <w:family w:val="roman"/>
    <w:pitch w:val="variable"/>
    <w:sig w:usb0="00000287" w:usb1="00000000" w:usb2="00000000" w:usb3="00000000" w:csb0="0000009F" w:csb1="00000000"/>
    <w:embedRegular r:id="rId4" w:fontKey="{233FDDE9-CC9E-488D-BE5B-57A7348D00CF}"/>
    <w:embedItalic r:id="rId5" w:fontKey="{BF76134A-9DE7-413C-944F-D1D81AB9ECA9}"/>
  </w:font>
  <w:font w:name="Calibri Light">
    <w:panose1 w:val="020F0302020204030204"/>
    <w:charset w:val="00"/>
    <w:family w:val="swiss"/>
    <w:pitch w:val="variable"/>
    <w:sig w:usb0="E4002EFF" w:usb1="C200247B" w:usb2="00000009" w:usb3="00000000" w:csb0="000001FF" w:csb1="00000000"/>
    <w:embedRegular r:id="rId6" w:fontKey="{CBA2DFD7-77B3-4DE4-A085-C169BB3606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6B71"/>
    <w:multiLevelType w:val="multilevel"/>
    <w:tmpl w:val="403A498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64519E"/>
    <w:multiLevelType w:val="multilevel"/>
    <w:tmpl w:val="F8CE9EDA"/>
    <w:lvl w:ilvl="0">
      <w:start w:val="1"/>
      <w:numFmt w:val="decimal"/>
      <w:lvlText w:val="%1."/>
      <w:lvlJc w:val="left"/>
      <w:pPr>
        <w:ind w:left="720" w:hanging="360"/>
      </w:pPr>
      <w:rPr>
        <w:i w:val="0"/>
        <w:color w:val="2F5496" w:themeColor="accent1" w:themeShade="B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8A3416"/>
    <w:multiLevelType w:val="multilevel"/>
    <w:tmpl w:val="B972DB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FF6BD0"/>
    <w:multiLevelType w:val="multilevel"/>
    <w:tmpl w:val="D15E800A"/>
    <w:lvl w:ilvl="0">
      <w:start w:val="1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957635562">
    <w:abstractNumId w:val="0"/>
  </w:num>
  <w:num w:numId="2" w16cid:durableId="1598753810">
    <w:abstractNumId w:val="1"/>
  </w:num>
  <w:num w:numId="3" w16cid:durableId="1524436032">
    <w:abstractNumId w:val="3"/>
  </w:num>
  <w:num w:numId="4" w16cid:durableId="582449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9E1"/>
    <w:rsid w:val="001B6413"/>
    <w:rsid w:val="0043000D"/>
    <w:rsid w:val="007D39E1"/>
    <w:rsid w:val="008F484E"/>
    <w:rsid w:val="009220C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4C58"/>
  <w15:docId w15:val="{A4504E4B-05BE-418E-A81A-C98B233C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Default">
    <w:name w:val="Default"/>
    <w:rsid w:val="00EA5C9F"/>
    <w:pPr>
      <w:autoSpaceDE w:val="0"/>
      <w:autoSpaceDN w:val="0"/>
      <w:adjustRightInd w:val="0"/>
      <w:spacing w:after="0" w:line="240" w:lineRule="auto"/>
    </w:pPr>
    <w:rPr>
      <w:color w:val="000000"/>
      <w:sz w:val="24"/>
      <w:szCs w:val="24"/>
    </w:rPr>
  </w:style>
  <w:style w:type="paragraph" w:styleId="Prrafodelista">
    <w:name w:val="List Paragraph"/>
    <w:basedOn w:val="Normal"/>
    <w:uiPriority w:val="34"/>
    <w:qFormat/>
    <w:rsid w:val="00C07946"/>
    <w:pPr>
      <w:ind w:left="720"/>
      <w:contextualSpacing/>
    </w:pPr>
  </w:style>
  <w:style w:type="character" w:styleId="Hipervnculo">
    <w:name w:val="Hyperlink"/>
    <w:basedOn w:val="Fuentedeprrafopredeter"/>
    <w:uiPriority w:val="99"/>
    <w:unhideWhenUsed/>
    <w:rsid w:val="00826546"/>
    <w:rPr>
      <w:color w:val="0563C1" w:themeColor="hyperlink"/>
      <w:u w:val="single"/>
    </w:rPr>
  </w:style>
  <w:style w:type="character" w:styleId="Mencinsinresolver">
    <w:name w:val="Unresolved Mention"/>
    <w:basedOn w:val="Fuentedeprrafopredeter"/>
    <w:uiPriority w:val="99"/>
    <w:semiHidden/>
    <w:unhideWhenUsed/>
    <w:rsid w:val="00826546"/>
    <w:rPr>
      <w:color w:val="605E5C"/>
      <w:shd w:val="clear" w:color="auto" w:fill="E1DFDD"/>
    </w:rPr>
  </w:style>
  <w:style w:type="paragraph" w:styleId="NormalWeb">
    <w:name w:val="Normal (Web)"/>
    <w:basedOn w:val="Normal"/>
    <w:uiPriority w:val="99"/>
    <w:semiHidden/>
    <w:unhideWhenUsed/>
    <w:rsid w:val="003F57E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01725"/>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accinf.2017.03.003" TargetMode="External"/><Relationship Id="rId13" Type="http://schemas.openxmlformats.org/officeDocument/2006/relationships/hyperlink" Target="https://doi.org/10.1098/rsta.2017.035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doi.org/10.1007/s13347-018-0317-3" TargetMode="External"/><Relationship Id="rId17" Type="http://schemas.openxmlformats.org/officeDocument/2006/relationships/hyperlink" Target="https://unesdoc.unesco.org/ark:/48223/pf0000381137" TargetMode="External"/><Relationship Id="rId2" Type="http://schemas.openxmlformats.org/officeDocument/2006/relationships/numbering" Target="numbering.xml"/><Relationship Id="rId16" Type="http://schemas.openxmlformats.org/officeDocument/2006/relationships/hyperlink" Target="https://oecd-opsi.org/wp-content/uploads/2022/03/lac-ai.pdf"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arxiv.org/abs/2101.01020" TargetMode="External"/><Relationship Id="rId5" Type="http://schemas.openxmlformats.org/officeDocument/2006/relationships/webSettings" Target="webSettings.xml"/><Relationship Id="rId15" Type="http://schemas.openxmlformats.org/officeDocument/2006/relationships/hyperlink" Target="https://www.oecd.org/en/publications/the-path-to-becoming-a-data-driven-public-sector_059814a7-en.html" TargetMode="External"/><Relationship Id="rId10" Type="http://schemas.openxmlformats.org/officeDocument/2006/relationships/hyperlink" Target="https://ec.europa.eu/info/sites/default/files/commission-white-paper-artificial-intelligence-feb2020_en.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98/rsta.2018.0080" TargetMode="External"/><Relationship Id="rId14" Type="http://schemas.openxmlformats.org/officeDocument/2006/relationships/hyperlink" Target="https://legalinstruments.oecd.org/en/instruments/OECD-LEGAL-044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u3EhPGjz7PvwIvdfVLxdO6iuQ==">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5543</Words>
  <Characters>30492</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SANABRIA VERONICA RAQUEL</dc:creator>
  <cp:lastModifiedBy>Gustavo Gonzalez</cp:lastModifiedBy>
  <cp:revision>3</cp:revision>
  <dcterms:created xsi:type="dcterms:W3CDTF">2025-07-30T02:35:00Z</dcterms:created>
  <dcterms:modified xsi:type="dcterms:W3CDTF">2025-08-10T23:19:00Z</dcterms:modified>
</cp:coreProperties>
</file>