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F094E" w14:textId="4EDA5A78" w:rsidR="00CA7100" w:rsidRPr="00CA7100" w:rsidRDefault="00CA7100" w:rsidP="00CA7100">
      <w:pPr>
        <w:ind w:right="5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</w:pPr>
      <w:r w:rsidRPr="00CA7100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“Innovación y ajuste curricular en contabilidad: estrategias para la formación profesional en contextos en transformación”</w:t>
      </w:r>
    </w:p>
    <w:p w14:paraId="4F9ABCBD" w14:textId="77777777" w:rsidR="00091295" w:rsidRPr="009C4A3F" w:rsidRDefault="00091295" w:rsidP="000765D0">
      <w:pPr>
        <w:ind w:right="565"/>
        <w:jc w:val="both"/>
        <w:rPr>
          <w:rFonts w:ascii="Times New Roman" w:eastAsia="Calibri" w:hAnsi="Times New Roman" w:cs="Times New Roman"/>
          <w:b/>
        </w:rPr>
      </w:pPr>
    </w:p>
    <w:p w14:paraId="7F515FE4" w14:textId="7E6E9E7B" w:rsidR="00091295" w:rsidRDefault="000765D0" w:rsidP="00B82B55">
      <w:pPr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9C4A3F">
        <w:rPr>
          <w:rFonts w:ascii="Times New Roman" w:eastAsia="Calibri" w:hAnsi="Times New Roman" w:cs="Times New Roman"/>
          <w:b/>
          <w:i/>
        </w:rPr>
        <w:t>Autor</w:t>
      </w:r>
      <w:r w:rsidR="004A2758">
        <w:rPr>
          <w:rFonts w:ascii="Times New Roman" w:eastAsia="Calibri" w:hAnsi="Times New Roman" w:cs="Times New Roman"/>
          <w:b/>
          <w:i/>
        </w:rPr>
        <w:t xml:space="preserve"> de contacto</w:t>
      </w:r>
      <w:r w:rsidR="00091295">
        <w:rPr>
          <w:rFonts w:ascii="Times New Roman" w:eastAsia="Calibri" w:hAnsi="Times New Roman" w:cs="Times New Roman"/>
          <w:b/>
          <w:i/>
        </w:rPr>
        <w:t xml:space="preserve">: </w:t>
      </w:r>
      <w:proofErr w:type="spellStart"/>
      <w:r w:rsidR="00091295">
        <w:rPr>
          <w:rFonts w:ascii="Times New Roman" w:eastAsia="Calibri" w:hAnsi="Times New Roman" w:cs="Times New Roman"/>
          <w:b/>
          <w:i/>
        </w:rPr>
        <w:t>Salum</w:t>
      </w:r>
      <w:proofErr w:type="spellEnd"/>
      <w:r w:rsidR="00091295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="00091295">
        <w:rPr>
          <w:rFonts w:ascii="Times New Roman" w:eastAsia="Calibri" w:hAnsi="Times New Roman" w:cs="Times New Roman"/>
          <w:b/>
          <w:i/>
        </w:rPr>
        <w:t>Belki</w:t>
      </w:r>
      <w:proofErr w:type="spellEnd"/>
      <w:r w:rsidR="00091295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="00091295">
        <w:rPr>
          <w:rFonts w:ascii="Times New Roman" w:eastAsia="Calibri" w:hAnsi="Times New Roman" w:cs="Times New Roman"/>
          <w:b/>
          <w:i/>
        </w:rPr>
        <w:t>Yamili</w:t>
      </w:r>
      <w:proofErr w:type="spellEnd"/>
      <w:r w:rsidR="00091295">
        <w:rPr>
          <w:rFonts w:ascii="Times New Roman" w:eastAsia="Calibri" w:hAnsi="Times New Roman" w:cs="Times New Roman"/>
          <w:b/>
          <w:i/>
        </w:rPr>
        <w:t xml:space="preserve">- Contadora </w:t>
      </w:r>
      <w:hyperlink r:id="rId8" w:history="1">
        <w:r w:rsidR="00091295" w:rsidRPr="00091295">
          <w:rPr>
            <w:rStyle w:val="Hipervnculo"/>
            <w:rFonts w:ascii="Times New Roman" w:eastAsia="Calibri" w:hAnsi="Times New Roman" w:cs="Times New Roman"/>
            <w:b/>
            <w:i/>
            <w:color w:val="auto"/>
            <w:u w:val="none"/>
          </w:rPr>
          <w:t>-Directora</w:t>
        </w:r>
        <w:r w:rsidR="00091295" w:rsidRPr="004F2814">
          <w:rPr>
            <w:rStyle w:val="Hipervnculo"/>
            <w:rFonts w:ascii="Times New Roman" w:eastAsia="Calibri" w:hAnsi="Times New Roman" w:cs="Times New Roman"/>
            <w:b/>
            <w:i/>
          </w:rPr>
          <w:t xml:space="preserve"> -salum@uncaus.edu.ar-</w:t>
        </w:r>
      </w:hyperlink>
      <w:r w:rsidR="00091295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="00091295">
        <w:rPr>
          <w:rFonts w:ascii="Times New Roman" w:eastAsia="Calibri" w:hAnsi="Times New Roman" w:cs="Times New Roman"/>
          <w:b/>
          <w:i/>
        </w:rPr>
        <w:t>U</w:t>
      </w:r>
      <w:r w:rsidR="003B21C2">
        <w:rPr>
          <w:rFonts w:ascii="Times New Roman" w:eastAsia="Calibri" w:hAnsi="Times New Roman" w:cs="Times New Roman"/>
          <w:b/>
          <w:i/>
        </w:rPr>
        <w:t>ncaus</w:t>
      </w:r>
      <w:proofErr w:type="spellEnd"/>
      <w:r w:rsidR="00091295">
        <w:rPr>
          <w:rFonts w:ascii="Times New Roman" w:eastAsia="Calibri" w:hAnsi="Times New Roman" w:cs="Times New Roman"/>
          <w:b/>
          <w:i/>
        </w:rPr>
        <w:t>.</w:t>
      </w:r>
      <w:r w:rsidRPr="009C4A3F">
        <w:rPr>
          <w:rFonts w:ascii="Times New Roman" w:eastAsia="Calibri" w:hAnsi="Times New Roman" w:cs="Times New Roman"/>
          <w:b/>
          <w:i/>
        </w:rPr>
        <w:t xml:space="preserve"> </w:t>
      </w:r>
    </w:p>
    <w:p w14:paraId="63BAEDE5" w14:textId="1559DCB8" w:rsidR="00091295" w:rsidRDefault="00091295" w:rsidP="00B82B55">
      <w:pPr>
        <w:ind w:right="-1"/>
        <w:jc w:val="right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Autor</w:t>
      </w:r>
      <w:r w:rsidR="009E2032">
        <w:rPr>
          <w:rFonts w:ascii="Times New Roman" w:eastAsia="Calibri" w:hAnsi="Times New Roman" w:cs="Times New Roman"/>
          <w:b/>
          <w:i/>
        </w:rPr>
        <w:t xml:space="preserve"> B</w:t>
      </w:r>
      <w:r>
        <w:rPr>
          <w:rFonts w:ascii="Times New Roman" w:eastAsia="Calibri" w:hAnsi="Times New Roman" w:cs="Times New Roman"/>
          <w:b/>
          <w:i/>
        </w:rPr>
        <w:t xml:space="preserve">: </w:t>
      </w:r>
      <w:r w:rsidR="003B21C2">
        <w:rPr>
          <w:rFonts w:ascii="Times New Roman" w:eastAsia="Calibri" w:hAnsi="Times New Roman" w:cs="Times New Roman"/>
          <w:b/>
          <w:i/>
        </w:rPr>
        <w:t>Leguizamón</w:t>
      </w:r>
      <w:r>
        <w:rPr>
          <w:rFonts w:ascii="Times New Roman" w:eastAsia="Calibri" w:hAnsi="Times New Roman" w:cs="Times New Roman"/>
          <w:b/>
          <w:i/>
        </w:rPr>
        <w:t xml:space="preserve"> </w:t>
      </w:r>
      <w:r w:rsidR="003B21C2">
        <w:rPr>
          <w:rFonts w:ascii="Times New Roman" w:eastAsia="Calibri" w:hAnsi="Times New Roman" w:cs="Times New Roman"/>
          <w:b/>
          <w:i/>
        </w:rPr>
        <w:t>José</w:t>
      </w:r>
      <w:r>
        <w:rPr>
          <w:rFonts w:ascii="Times New Roman" w:eastAsia="Calibri" w:hAnsi="Times New Roman" w:cs="Times New Roman"/>
          <w:b/>
          <w:i/>
        </w:rPr>
        <w:t xml:space="preserve"> Manuel – Contador </w:t>
      </w:r>
      <w:r w:rsidR="003B21C2">
        <w:rPr>
          <w:rFonts w:ascii="Times New Roman" w:eastAsia="Calibri" w:hAnsi="Times New Roman" w:cs="Times New Roman"/>
          <w:b/>
          <w:i/>
        </w:rPr>
        <w:t>–</w:t>
      </w:r>
      <w:r>
        <w:rPr>
          <w:rFonts w:ascii="Times New Roman" w:eastAsia="Calibri" w:hAnsi="Times New Roman" w:cs="Times New Roman"/>
          <w:b/>
          <w:i/>
        </w:rPr>
        <w:t xml:space="preserve"> </w:t>
      </w:r>
      <w:r w:rsidR="003B21C2">
        <w:rPr>
          <w:rFonts w:ascii="Times New Roman" w:eastAsia="Calibri" w:hAnsi="Times New Roman" w:cs="Times New Roman"/>
          <w:b/>
          <w:i/>
        </w:rPr>
        <w:t>Investigador -</w:t>
      </w:r>
      <w:r w:rsidR="003B21C2" w:rsidRPr="003B21C2">
        <w:t xml:space="preserve"> </w:t>
      </w:r>
      <w:r w:rsidR="003B21C2" w:rsidRPr="003B21C2">
        <w:rPr>
          <w:rFonts w:ascii="Times New Roman" w:eastAsia="Calibri" w:hAnsi="Times New Roman" w:cs="Times New Roman"/>
          <w:b/>
          <w:i/>
        </w:rPr>
        <w:t>jleguizamon@uncaus.edu.ar</w:t>
      </w:r>
      <w:r w:rsidR="003B21C2">
        <w:rPr>
          <w:rFonts w:ascii="Times New Roman" w:eastAsia="Calibri" w:hAnsi="Times New Roman" w:cs="Times New Roman"/>
          <w:b/>
          <w:i/>
        </w:rPr>
        <w:t>-</w:t>
      </w:r>
      <w:proofErr w:type="spellStart"/>
      <w:r w:rsidR="003B21C2">
        <w:rPr>
          <w:rFonts w:ascii="Times New Roman" w:eastAsia="Calibri" w:hAnsi="Times New Roman" w:cs="Times New Roman"/>
          <w:b/>
          <w:i/>
        </w:rPr>
        <w:t>Uncaus</w:t>
      </w:r>
      <w:proofErr w:type="spellEnd"/>
      <w:r w:rsidR="003B21C2">
        <w:rPr>
          <w:rFonts w:ascii="Times New Roman" w:eastAsia="Calibri" w:hAnsi="Times New Roman" w:cs="Times New Roman"/>
          <w:b/>
          <w:i/>
        </w:rPr>
        <w:t>.</w:t>
      </w:r>
    </w:p>
    <w:p w14:paraId="33C75C15" w14:textId="33BBF295" w:rsidR="003B21C2" w:rsidRDefault="003B21C2" w:rsidP="00B82B55">
      <w:pPr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091295">
        <w:rPr>
          <w:rFonts w:ascii="Times New Roman" w:eastAsia="Calibri" w:hAnsi="Times New Roman" w:cs="Times New Roman"/>
          <w:b/>
          <w:i/>
        </w:rPr>
        <w:t>Autor</w:t>
      </w:r>
      <w:r w:rsidR="009E2032">
        <w:rPr>
          <w:rFonts w:ascii="Times New Roman" w:eastAsia="Calibri" w:hAnsi="Times New Roman" w:cs="Times New Roman"/>
          <w:b/>
          <w:i/>
        </w:rPr>
        <w:t xml:space="preserve"> C</w:t>
      </w:r>
      <w:r w:rsidRPr="00091295">
        <w:rPr>
          <w:rFonts w:ascii="Times New Roman" w:eastAsia="Calibri" w:hAnsi="Times New Roman" w:cs="Times New Roman"/>
          <w:b/>
          <w:i/>
        </w:rPr>
        <w:t>:</w:t>
      </w:r>
      <w:r>
        <w:rPr>
          <w:rFonts w:ascii="Times New Roman" w:eastAsia="Calibri" w:hAnsi="Times New Roman" w:cs="Times New Roman"/>
          <w:b/>
          <w:i/>
        </w:rPr>
        <w:t xml:space="preserve"> Parra</w:t>
      </w:r>
      <w:r w:rsidR="00091295">
        <w:rPr>
          <w:rFonts w:ascii="Times New Roman" w:eastAsia="Calibri" w:hAnsi="Times New Roman" w:cs="Times New Roman"/>
          <w:b/>
          <w:i/>
        </w:rPr>
        <w:t xml:space="preserve"> Bernardo Pedro-</w:t>
      </w:r>
      <w:r>
        <w:rPr>
          <w:rFonts w:ascii="Times New Roman" w:eastAsia="Calibri" w:hAnsi="Times New Roman" w:cs="Times New Roman"/>
          <w:b/>
          <w:i/>
        </w:rPr>
        <w:t>Contador- Investigador–bernardoparra@uncaus.edu.ar-</w:t>
      </w:r>
      <w:proofErr w:type="spellStart"/>
      <w:r>
        <w:rPr>
          <w:rFonts w:ascii="Times New Roman" w:eastAsia="Calibri" w:hAnsi="Times New Roman" w:cs="Times New Roman"/>
          <w:b/>
          <w:i/>
        </w:rPr>
        <w:t>Uncaus</w:t>
      </w:r>
      <w:proofErr w:type="spellEnd"/>
      <w:r>
        <w:rPr>
          <w:rFonts w:ascii="Times New Roman" w:eastAsia="Calibri" w:hAnsi="Times New Roman" w:cs="Times New Roman"/>
          <w:b/>
          <w:i/>
        </w:rPr>
        <w:t xml:space="preserve">. </w:t>
      </w:r>
    </w:p>
    <w:p w14:paraId="5679127F" w14:textId="19E304CF" w:rsidR="00091295" w:rsidRDefault="003B21C2" w:rsidP="00B82B55">
      <w:pPr>
        <w:ind w:right="-1"/>
        <w:jc w:val="right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Autor</w:t>
      </w:r>
      <w:r w:rsidR="009E2032">
        <w:rPr>
          <w:rFonts w:ascii="Times New Roman" w:eastAsia="Calibri" w:hAnsi="Times New Roman" w:cs="Times New Roman"/>
          <w:b/>
          <w:i/>
        </w:rPr>
        <w:t xml:space="preserve"> D</w:t>
      </w:r>
      <w:r>
        <w:rPr>
          <w:rFonts w:ascii="Times New Roman" w:eastAsia="Calibri" w:hAnsi="Times New Roman" w:cs="Times New Roman"/>
          <w:b/>
          <w:i/>
        </w:rPr>
        <w:t xml:space="preserve">: Parra Daniela Celeste – Becaria de grado </w:t>
      </w:r>
      <w:proofErr w:type="spellStart"/>
      <w:r>
        <w:rPr>
          <w:rFonts w:ascii="Times New Roman" w:eastAsia="Calibri" w:hAnsi="Times New Roman" w:cs="Times New Roman"/>
          <w:b/>
          <w:i/>
        </w:rPr>
        <w:t>Uncaus</w:t>
      </w:r>
      <w:proofErr w:type="spellEnd"/>
      <w:r>
        <w:rPr>
          <w:rFonts w:ascii="Times New Roman" w:eastAsia="Calibri" w:hAnsi="Times New Roman" w:cs="Times New Roman"/>
          <w:b/>
          <w:i/>
        </w:rPr>
        <w:t>-</w:t>
      </w:r>
      <w:r w:rsidRPr="003B21C2">
        <w:t xml:space="preserve"> </w:t>
      </w:r>
      <w:r w:rsidRPr="003B21C2">
        <w:rPr>
          <w:rFonts w:ascii="Times New Roman" w:eastAsia="Calibri" w:hAnsi="Times New Roman" w:cs="Times New Roman"/>
          <w:b/>
          <w:i/>
        </w:rPr>
        <w:t>parraceleste1@gmail.com</w:t>
      </w:r>
      <w:r>
        <w:rPr>
          <w:rFonts w:ascii="Times New Roman" w:eastAsia="Calibri" w:hAnsi="Times New Roman" w:cs="Times New Roman"/>
          <w:b/>
          <w:i/>
        </w:rPr>
        <w:t>.</w:t>
      </w:r>
      <w:r w:rsidR="00091295">
        <w:rPr>
          <w:rFonts w:ascii="Times New Roman" w:eastAsia="Calibri" w:hAnsi="Times New Roman" w:cs="Times New Roman"/>
          <w:b/>
          <w:i/>
        </w:rPr>
        <w:t xml:space="preserve"> </w:t>
      </w:r>
    </w:p>
    <w:p w14:paraId="5FB23A2C" w14:textId="463C640D" w:rsidR="00314521" w:rsidRPr="00091295" w:rsidRDefault="00314521" w:rsidP="00B82B55">
      <w:pPr>
        <w:ind w:right="-1"/>
        <w:jc w:val="right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Eje: </w:t>
      </w:r>
      <w:r w:rsidRPr="00314521">
        <w:rPr>
          <w:rFonts w:ascii="Times New Roman" w:eastAsia="Calibri" w:hAnsi="Times New Roman" w:cs="Times New Roman"/>
          <w:b/>
          <w:i/>
        </w:rPr>
        <w:t>12. Innovaciones epistemológicas, metodológicas y pedagógicas en ciencias económicas</w:t>
      </w:r>
    </w:p>
    <w:p w14:paraId="74542F4F" w14:textId="0FE68FD8" w:rsidR="005840F9" w:rsidRPr="00E669FD" w:rsidRDefault="000765D0" w:rsidP="00E669FD">
      <w:pPr>
        <w:spacing w:before="120" w:after="120" w:line="360" w:lineRule="auto"/>
        <w:ind w:right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69FD">
        <w:rPr>
          <w:rFonts w:ascii="Times New Roman" w:eastAsia="Calibri" w:hAnsi="Times New Roman" w:cs="Times New Roman"/>
          <w:bCs/>
          <w:sz w:val="24"/>
          <w:szCs w:val="24"/>
        </w:rPr>
        <w:t>Resum</w:t>
      </w:r>
      <w:r w:rsidR="00604C8A" w:rsidRPr="00E669FD">
        <w:rPr>
          <w:rFonts w:ascii="Times New Roman" w:eastAsia="Calibri" w:hAnsi="Times New Roman" w:cs="Times New Roman"/>
          <w:bCs/>
          <w:sz w:val="24"/>
          <w:szCs w:val="24"/>
        </w:rPr>
        <w:t>en</w:t>
      </w:r>
    </w:p>
    <w:p w14:paraId="7613C85F" w14:textId="77777777" w:rsidR="00314521" w:rsidRPr="00E669FD" w:rsidRDefault="00314521" w:rsidP="00E669FD">
      <w:pPr>
        <w:spacing w:before="120" w:after="120" w:line="360" w:lineRule="auto"/>
        <w:ind w:right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69FD">
        <w:rPr>
          <w:rFonts w:ascii="Times New Roman" w:eastAsia="Calibri" w:hAnsi="Times New Roman" w:cs="Times New Roman"/>
          <w:bCs/>
          <w:sz w:val="24"/>
          <w:szCs w:val="24"/>
        </w:rPr>
        <w:t xml:space="preserve">Entre los años 2022 y 2025, la Universidad Nacional del Chaco Austral (UNCAUS) llevó adelante una investigación orientada a analizar el vínculo entre la formación académica del Contador Público y las exigencias profesionales del mercado laboral regional. La iniciativa surgió como respuesta al acelerado ritmo de transformación que atraviesa el ejercicio contable, impulsado por la constante actualización tecnológica y normativa. El objetivo central fue evaluar el grado de correspondencia entre los contenidos impartidos en asignaturas clave del área contable como, Sistemas Contables I y II, Auditoría, Costos y Análisis de Estados Contables y las competencias que demanda el entorno laboral chaqueño. Este proceso incluyó una mirada crítica sobre la pertinencia de los planes de estudio, las metodologías docentes y las prácticas pedagógicas vigentes. Desde un marco conceptual que reconoce la necesidad de adaptar la educación universitaria a las transformaciones del contexto, la investigación abordó cómo las decisiones curriculares y didácticas inciden en la preparación profesional de los egresados. Para ello, se adoptó una metodología cualitativa, basada en el análisis de planes de estudio, entrevistas a docentes, observaciones en el aula, revisión de carpetas académicas y encuestas dirigidas a egresados, lo que permitió consolidar una triangulación de datos enriquecedora y sólida. Los resultados evidenciaron la urgencia de revisar contenidos y enfoques pedagógicos para lograr una mayor adecuación a la realidad profesional. Como respuesta concreta, se promovieron instancias de capacitación docente, se integraron tecnologías a las dinámicas de enseñanza, se revisaron y ajustaron los programas analíticos y las planificaciones curriculares de las materias estratégicas, y se conformó un equipo técnico pedagógico encargado de sostener mejoras permanentes. Esta experiencia reafirma el compromiso </w:t>
      </w:r>
      <w:r w:rsidRPr="00E669F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institucional de la UNCAUS con una formación contable de calidad, pertinente y actualizada, capaz de acompañar los desafíos del ejercicio profesional en un entorno cambiante.</w:t>
      </w:r>
    </w:p>
    <w:p w14:paraId="058CA893" w14:textId="161F4EA1" w:rsidR="00B74803" w:rsidRPr="00E669FD" w:rsidRDefault="00B74803" w:rsidP="00E669FD">
      <w:pPr>
        <w:spacing w:before="120" w:after="120" w:line="360" w:lineRule="auto"/>
        <w:ind w:right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69FD">
        <w:rPr>
          <w:rFonts w:ascii="Times New Roman" w:eastAsia="Calibri" w:hAnsi="Times New Roman" w:cs="Times New Roman"/>
          <w:bCs/>
          <w:sz w:val="24"/>
          <w:szCs w:val="24"/>
        </w:rPr>
        <w:t xml:space="preserve">Palabras-clave: </w:t>
      </w:r>
      <w:r w:rsidR="00314521" w:rsidRPr="00E669FD">
        <w:rPr>
          <w:rFonts w:ascii="Times New Roman" w:eastAsia="Calibri" w:hAnsi="Times New Roman" w:cs="Times New Roman"/>
          <w:bCs/>
          <w:sz w:val="24"/>
          <w:szCs w:val="24"/>
        </w:rPr>
        <w:t>contador público; mercado laboral; estrategias pedagógicas</w:t>
      </w:r>
      <w:r w:rsidR="00EE061A" w:rsidRPr="00E669F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5B5B0FF" w14:textId="7DA3C539" w:rsidR="001C2D22" w:rsidRPr="001C2D22" w:rsidRDefault="001C2D22" w:rsidP="00E669FD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</w:pPr>
      <w:r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Justificación del Estudio sobre la Formación de Contadores Públicos en la UNCAUS</w:t>
      </w:r>
      <w:r w:rsidR="00402B1F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.</w:t>
      </w:r>
    </w:p>
    <w:p w14:paraId="18EB04CE" w14:textId="2F1BE486" w:rsidR="001C2D22" w:rsidRPr="001C2D22" w:rsidRDefault="00DF77A7" w:rsidP="00E669F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  </w:t>
      </w:r>
      <w:r w:rsidR="00765A0A" w:rsidRPr="00765A0A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El constante cambio que experimenta el ejercicio </w:t>
      </w:r>
      <w:r w:rsidR="00765A0A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profesional de contador </w:t>
      </w:r>
      <w:r w:rsidR="00943679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público</w:t>
      </w:r>
      <w:r w:rsidR="00765A0A" w:rsidRPr="00765A0A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, las modificaciones tecnológicas y las regulaciones han reconfigurado el papel del contador, exigiendo nuevas habilidades y competencias. Pasar por alto esto dejaría a los profesionales del futuro desorientados e incapacitados para enfrentar los retos del ambiente de trabajo actual.</w:t>
      </w:r>
      <w:r w:rsidR="002E5F6C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 La </w:t>
      </w:r>
      <w:r w:rsidR="00151B1D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preocupación</w:t>
      </w:r>
      <w:r w:rsidR="002E5F6C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 por una posible brecha </w:t>
      </w:r>
      <w:r w:rsidR="00151B1D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entre la teoría académica y la práctica profesional</w:t>
      </w:r>
      <w:r w:rsidR="00151B1D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, a llevado adelante la iniciativa sobre evaluar </w:t>
      </w:r>
      <w:r w:rsidR="00151B1D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el </w:t>
      </w:r>
      <w:r w:rsidR="00151B1D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grado de correspondencia entre los contenidos impartidos</w:t>
      </w:r>
      <w:r w:rsidR="00151B1D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 en asignaturas clave (Sistemas Contables I y II, Auditoría, Costos y Análisis de Estados Contables) y las </w:t>
      </w:r>
      <w:r w:rsidR="00151B1D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competencias que demanda el entorno laboral chaqueño</w:t>
      </w:r>
      <w:r w:rsidR="00151B1D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, </w:t>
      </w:r>
      <w:r w:rsidR="00151B1D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tema fundamentar de abordar </w:t>
      </w:r>
      <w:r w:rsidR="00151B1D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para asegurar la empleabilidad y relevancia de los egresados en la región</w:t>
      </w:r>
      <w:r w:rsidR="00151B1D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. El análisis fue con mirada </w:t>
      </w:r>
      <w:r w:rsidR="00345846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crítica</w:t>
      </w:r>
      <w:r w:rsidR="00151B1D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, con el fin de identificar áreas de </w:t>
      </w:r>
      <w:r w:rsidR="00402B1F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mejora, sobre</w:t>
      </w:r>
      <w:r w:rsidR="00151B1D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 la </w:t>
      </w:r>
      <w:r w:rsidR="001C2D22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pertinencia de los planes de estudio</w:t>
      </w:r>
      <w:r w:rsidR="00DE4487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, programas de materias </w:t>
      </w:r>
      <w:r w:rsidR="007970F2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claves,</w:t>
      </w:r>
      <w:r w:rsidR="001C2D22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 las metodologías docentes y las prácticas pedagógicas</w:t>
      </w:r>
      <w:r w:rsidR="001C2D22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. </w:t>
      </w:r>
      <w:r w:rsidR="007970F2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Comprender, de</w:t>
      </w:r>
      <w:r w:rsidR="00151B1D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 que la forma en que se enseña y los contenidos que se imparten tienen un impacto directo en la capacidad de los futuros contadores para desempeñarse eficazmente en el mercado laboral</w:t>
      </w:r>
      <w:r w:rsidR="00345846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, es fundamental, por ello este </w:t>
      </w:r>
      <w:r w:rsidR="007970F2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trabajo abordó</w:t>
      </w:r>
      <w:r w:rsidR="00345846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 cómo las </w:t>
      </w:r>
      <w:r w:rsidR="00345846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decisiones curriculares y didácticas inciden en la preparación profesional de los </w:t>
      </w:r>
      <w:r w:rsidR="00345846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egresados</w:t>
      </w:r>
      <w:r w:rsidR="00345846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. Los resultados mostraron la </w:t>
      </w:r>
      <w:r w:rsidR="00345846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urgencia de revisar contenidos y enfoques pedagógicos para lograr una mayor adecuación a la realidad profesional</w:t>
      </w:r>
      <w:r w:rsidR="00345846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 y capacitación continua para los docentes que imparten las materias en </w:t>
      </w:r>
      <w:r w:rsidR="007970F2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análisis.</w:t>
      </w:r>
      <w:r w:rsidR="001C2D22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 </w:t>
      </w:r>
      <w:r w:rsidR="00345846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Este estudio no solo es una </w:t>
      </w:r>
      <w:r w:rsidR="001C2D22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iniciativa académica, sino una </w:t>
      </w:r>
      <w:r w:rsidR="001C2D22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respuesta estratégica y necesaria</w:t>
      </w:r>
      <w:r w:rsidR="001C2D22" w:rsidRPr="001C2D22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 a las dinámicas del mercado laboral y un compromiso con la formación de profesionales competentes y relevantes para la región del Chaco.</w:t>
      </w:r>
    </w:p>
    <w:p w14:paraId="00E92910" w14:textId="0A49129F" w:rsidR="00DE4487" w:rsidRPr="00E669FD" w:rsidRDefault="00DF77A7" w:rsidP="00E669F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 </w:t>
      </w:r>
      <w:r w:rsidR="007970F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El o</w:t>
      </w:r>
      <w:r w:rsidR="00DE4487" w:rsidRPr="00DE4487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bjetivo General</w:t>
      </w:r>
      <w:r w:rsidR="007970F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fue, e</w:t>
      </w:r>
      <w:r w:rsidR="007970F2" w:rsidRPr="00E669FD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valuar</w:t>
      </w:r>
      <w:r w:rsidR="00DE4487" w:rsidRPr="00DE4487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el grado de correspondencia entre los contenidos impartidos en asignaturas clave del área contable de la Universidad Nacional del Chaco Austral (UNCAUS) y las competencias que demanda el entorno laboral chaqueño, con el fin de proponer ajustes curriculares y pedagógicos que optimicen la preparación profesional de los egresados de Contador Público.</w:t>
      </w:r>
    </w:p>
    <w:p w14:paraId="61675D45" w14:textId="5647CBC1" w:rsidR="00952178" w:rsidRPr="00952178" w:rsidRDefault="00DF77A7" w:rsidP="00E669F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lastRenderedPageBreak/>
        <w:t xml:space="preserve">  </w:t>
      </w:r>
      <w:r w:rsidR="007970F2" w:rsidRPr="00E669FD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Sobre el</w:t>
      </w:r>
      <w:r w:rsidR="00D27A3C" w:rsidRPr="00E669FD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supuesto de </w:t>
      </w:r>
      <w:r w:rsidR="007970F2" w:rsidRPr="00E669FD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trabajo:</w:t>
      </w:r>
      <w:r w:rsidR="00D27A3C" w:rsidRPr="00E669FD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 w:rsidR="00952178" w:rsidRPr="00952178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Existe una brecha significativa entre los contenidos impartidos en asignaturas clave del área contable de la Universidad Nacional del Chaco Austral (UNCAUS) y las competencias que demanda el entorno laboral contable chaqueño, debido a la acelerada transformación tecnológica y normativa, lo que impacta negativamente en la preparación profesional de los egresados de Contador </w:t>
      </w:r>
      <w:r w:rsidR="00D27A3C" w:rsidRPr="00E669FD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Público. </w:t>
      </w:r>
      <w:r w:rsidR="007970F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Esta afirmación s</w:t>
      </w:r>
      <w:r w:rsidR="00D27A3C" w:rsidRPr="00E669FD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é ha podido apoyar con las evidencias del presente trabajo.</w:t>
      </w:r>
    </w:p>
    <w:p w14:paraId="76DDD670" w14:textId="77777777" w:rsidR="00DE4487" w:rsidRPr="00DE4487" w:rsidRDefault="00DE4487" w:rsidP="00F70E96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</w:pPr>
      <w:r w:rsidRPr="00DE4487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Metodología de la Investigación</w:t>
      </w:r>
    </w:p>
    <w:p w14:paraId="29CBD4F1" w14:textId="63269BCD" w:rsidR="00736B66" w:rsidRDefault="00DF77A7" w:rsidP="00F70E96">
      <w:pPr>
        <w:pStyle w:val="NormalWeb"/>
        <w:spacing w:line="360" w:lineRule="auto"/>
        <w:jc w:val="both"/>
      </w:pPr>
      <w:r>
        <w:rPr>
          <w:bCs/>
          <w:color w:val="1B1C1D"/>
        </w:rPr>
        <w:t xml:space="preserve">  </w:t>
      </w:r>
      <w:r w:rsidR="00D27A3C" w:rsidRPr="00D27A3C">
        <w:rPr>
          <w:bCs/>
          <w:color w:val="1B1C1D"/>
        </w:rPr>
        <w:t xml:space="preserve">Para entender cómo se forma a los Contadores Públicos en la UNCAUS y </w:t>
      </w:r>
      <w:r w:rsidR="00736B66" w:rsidRPr="00736B66">
        <w:rPr>
          <w:bCs/>
          <w:color w:val="1B1C1D"/>
        </w:rPr>
        <w:t xml:space="preserve">valorar la utilidad de dicha formación en el ejercicio </w:t>
      </w:r>
      <w:r w:rsidR="00F70E96" w:rsidRPr="00736B66">
        <w:rPr>
          <w:bCs/>
          <w:color w:val="1B1C1D"/>
        </w:rPr>
        <w:t>profesional,</w:t>
      </w:r>
      <w:r w:rsidR="00736B66" w:rsidRPr="00736B66">
        <w:rPr>
          <w:bCs/>
          <w:color w:val="1B1C1D"/>
        </w:rPr>
        <w:t xml:space="preserve"> </w:t>
      </w:r>
      <w:r w:rsidR="00736B66" w:rsidRPr="00736B66">
        <w:t>se optó por un enfoque de investigación cualitativa</w:t>
      </w:r>
      <w:r w:rsidR="00736B66" w:rsidRPr="00736B66">
        <w:t xml:space="preserve">. Permitiéndonos comprender no solo los contenidos impartidos </w:t>
      </w:r>
      <w:r w:rsidR="00736B66" w:rsidRPr="00736B66">
        <w:t>sino también las razones que subyacen a su enseñanza y las percepciones de los actores involucrados.</w:t>
      </w:r>
      <w:r w:rsidR="00736B66" w:rsidRPr="00736B66">
        <w:t xml:space="preserve"> Se estructuro la recolección de información a partir de diversas fuentes, con el fin de obtener una visión amplia y profunda del fenómeno. </w:t>
      </w:r>
      <w:r w:rsidR="00736B66" w:rsidRPr="00736B66">
        <w:t xml:space="preserve">Se realizó un análisis de los planes de estudio vigentes, examinando detalladamente los contenidos de las asignaturas contables estratégicas, a fin de verificar su alineación con las competencias requeridas en el mercado </w:t>
      </w:r>
      <w:r w:rsidR="00F70E96" w:rsidRPr="00736B66">
        <w:t>laboral.</w:t>
      </w:r>
      <w:r w:rsidR="00F70E96">
        <w:t xml:space="preserve"> Sé</w:t>
      </w:r>
      <w:r w:rsidR="00736B66">
        <w:t xml:space="preserve"> realizaron </w:t>
      </w:r>
      <w:r w:rsidR="00736B66">
        <w:t xml:space="preserve">entrevistas semiestructuradas a docentes del área contable, indagando sus percepciones sobre la actualidad de los contenidos, su utilidad práctica y las metodologías empleadas. Se llevaron </w:t>
      </w:r>
      <w:r w:rsidR="00F70E96">
        <w:t>adelante observaciones</w:t>
      </w:r>
      <w:r w:rsidR="00736B66">
        <w:t xml:space="preserve"> directas en el aula para registrar las dinámicas pedagógicas, la interacción entre docentes y estudiantes, el tipo de actividades propuestas y el grado de incorporación </w:t>
      </w:r>
      <w:r w:rsidR="00F70E96">
        <w:t>tecnológica. También</w:t>
      </w:r>
      <w:r w:rsidR="00736B66">
        <w:t xml:space="preserve"> se revisaron carpetas académicas de alumnos, con el propósito de evaluar las producciones realizadas (tareas, exámenes, actividades prácticas) y analizar qué tipo de habilidades se promovieron. Finalmente, se aplicaron encuestas a egresados para relevar qué saberes adquiridos les resultaron valiosos en su desempeño profesional y cuáles consideran que deberían haberse incluido durante su formación.</w:t>
      </w:r>
      <w:r w:rsidR="00F70E96">
        <w:t xml:space="preserve"> </w:t>
      </w:r>
      <w:r w:rsidR="00736B66">
        <w:t>La sistematización de estas fuentes permitió establecer patrones, identificar convergencias y contrastes, y consolidar una triangulación de datos robusta y enriquecedora, fortaleciendo la validez de las conclusiones obtenidas.</w:t>
      </w:r>
    </w:p>
    <w:p w14:paraId="5F6C1AB3" w14:textId="70A6A52F" w:rsidR="00943679" w:rsidRPr="00943679" w:rsidRDefault="00F70E96" w:rsidP="00E669F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</w:pPr>
      <w:r w:rsidRPr="00943679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Conclusión.</w:t>
      </w:r>
    </w:p>
    <w:p w14:paraId="514932A6" w14:textId="7026ADEE" w:rsidR="00943679" w:rsidRPr="00943679" w:rsidRDefault="00DF77A7" w:rsidP="00E669F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  </w:t>
      </w:r>
      <w:r w:rsidR="00943679" w:rsidRPr="00943679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La investigación realizada arrojó una conclusión contundente: existe una urgencia palpable de ajustar y modernizar los contenidos y enfoques pedagógicos de la carrera. Este estudio, motivado por la rápida evolución tecnológica y normativa del ejercicio contable, puso de </w:t>
      </w:r>
      <w:r w:rsidR="00943679" w:rsidRPr="00943679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lastRenderedPageBreak/>
        <w:t>manifiesto una necesidad crítica de mayor adecuación entre la oferta académica y la realidad profesional que enfrentan los egresados en el entorno chaqueño.</w:t>
      </w:r>
    </w:p>
    <w:p w14:paraId="0028DA2F" w14:textId="4C532A44" w:rsidR="00943679" w:rsidRPr="00943679" w:rsidRDefault="00943679" w:rsidP="00E669F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</w:pPr>
      <w:r w:rsidRPr="00943679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La evaluación minuciosa de asignaturas clave como Sistemas Contables, Auditoría, Costos y Análisis de Estados Contables, sumada a una mirada crítica sobre los planes de estudio, metodologías docentes y prácticas pedagógicas, evidenció cómo las decisiones curriculares y didácticas impactan directamente en la preparación de los futuros profesionales. </w:t>
      </w:r>
    </w:p>
    <w:p w14:paraId="3A46E250" w14:textId="6F7D1319" w:rsidR="00943679" w:rsidRPr="00943679" w:rsidRDefault="00943679" w:rsidP="00E669F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</w:pPr>
      <w:r w:rsidRPr="00943679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Como respuesta directa a estos hallazgos, la UNCAUS no solo identificó el problema, sino que actuó proactivamente implementando medidas correctivas concretas. Se están actualizando los programas de </w:t>
      </w:r>
      <w:r w:rsidR="007970F2" w:rsidRPr="00943679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estudio,</w:t>
      </w:r>
      <w:r w:rsidR="00D37908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 tratando de mantener esta tendencia </w:t>
      </w:r>
      <w:r w:rsidR="007970F2" w:rsidRPr="00E669FD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de </w:t>
      </w:r>
      <w:r w:rsidR="007970F2" w:rsidRPr="00943679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manera</w:t>
      </w:r>
      <w:r w:rsidRPr="00943679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 continua, se fomenta activamente el uso de tecnología en las aulas y se trabaja en la reestructuración integral del plan de estudio para asegurar su pertinencia. Además, se formaron grupos de trabajo compuestos por docentes y especialistas, con el objetivo de coordinar contenidos y métodos pedagógicos de forma colaborativa, buscando una armonización que fortalezca el perfil del egresado. Estas acciones incluyen también la capacitación docente y la integración de herramientas digitales en las dinámicas de enseñanza.</w:t>
      </w:r>
    </w:p>
    <w:p w14:paraId="4C64FB78" w14:textId="77777777" w:rsidR="00943679" w:rsidRPr="00943679" w:rsidRDefault="00943679" w:rsidP="00E669F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</w:pPr>
      <w:r w:rsidRPr="00943679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En definitiva, esta experiencia reafirma el firme compromiso institucional de la UNCAUS con una formación contable de calidad, pertinente y actualizada. La universidad ha demostrado su capacidad y voluntad de adaptarse a un entorno profesional cambiante, asegurando que sus egresados estén equipados con las competencias necesarias para afrontar los desafíos del mercado laboral del Chaco y del país. La investigación no solo diagnosticó una situación, sino que también sentó las bases para una transformación pedagógica y curricular continua en la formación del Contador Público.</w:t>
      </w:r>
    </w:p>
    <w:p w14:paraId="3BFA76C5" w14:textId="77777777" w:rsidR="00943679" w:rsidRPr="00DE4487" w:rsidRDefault="00943679" w:rsidP="009436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</w:p>
    <w:p w14:paraId="791507EA" w14:textId="2471AF59" w:rsidR="00EE061A" w:rsidRPr="00EE061A" w:rsidRDefault="00EE061A" w:rsidP="00802D2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EE061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Bibliografía</w:t>
      </w:r>
    </w:p>
    <w:p w14:paraId="36DD98C4" w14:textId="77777777" w:rsidR="00EE061A" w:rsidRPr="00EE061A" w:rsidRDefault="00EE061A" w:rsidP="00802D2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Anijovich, R., &amp; Mora, S. (2009). </w:t>
      </w:r>
      <w:r w:rsidRPr="00EE061A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Estrategias de enseñanza. Otra mirada al quehacer en el aula</w:t>
      </w:r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(1ª ed.). Buenos Aires: </w:t>
      </w:r>
      <w:proofErr w:type="spellStart"/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>Aique</w:t>
      </w:r>
      <w:proofErr w:type="spellEnd"/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Grupo Editor.</w:t>
      </w:r>
    </w:p>
    <w:p w14:paraId="6E3A5B4F" w14:textId="77777777" w:rsidR="00EE061A" w:rsidRPr="00EE061A" w:rsidRDefault="00EE061A" w:rsidP="00802D2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E061A">
        <w:rPr>
          <w:rFonts w:ascii="Times New Roman" w:eastAsia="Times New Roman" w:hAnsi="Times New Roman" w:cs="Times New Roman"/>
          <w:sz w:val="24"/>
          <w:szCs w:val="24"/>
          <w:lang w:val="it-IT" w:eastAsia="es-AR"/>
        </w:rPr>
        <w:t xml:space="preserve">Anijovich, R., Cappelletti, G., Mora, S., &amp; Sabelli, M. (2009). </w:t>
      </w:r>
      <w:r w:rsidRPr="00EE061A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Transitar la formación pedagógica: Dispositivos y estrategias</w:t>
      </w:r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>. Buenos Aires: Paidós.</w:t>
      </w:r>
    </w:p>
    <w:p w14:paraId="4FCDEA2C" w14:textId="77777777" w:rsidR="00EE061A" w:rsidRPr="00EE061A" w:rsidRDefault="00EE061A" w:rsidP="00802D2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>Biondi</w:t>
      </w:r>
      <w:proofErr w:type="spellEnd"/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M. (2006). </w:t>
      </w:r>
      <w:r w:rsidRPr="00EE061A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Contabilidad financiera</w:t>
      </w:r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Buenos Aires: </w:t>
      </w:r>
      <w:proofErr w:type="spellStart"/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>Errepar</w:t>
      </w:r>
      <w:proofErr w:type="spellEnd"/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299D7938" w14:textId="77777777" w:rsidR="00EE061A" w:rsidRPr="00EE061A" w:rsidRDefault="00EE061A" w:rsidP="00802D2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>Cañibano</w:t>
      </w:r>
      <w:proofErr w:type="spellEnd"/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Calvo, L. (2001). </w:t>
      </w:r>
      <w:r w:rsidRPr="00EE061A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Contabilidad: Análisis contable de la realidad económica</w:t>
      </w:r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>. Madrid: Pirámide.</w:t>
      </w:r>
    </w:p>
    <w:p w14:paraId="19402E04" w14:textId="77777777" w:rsidR="00EE061A" w:rsidRPr="00EE061A" w:rsidRDefault="00EE061A" w:rsidP="00802D2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Cañibano</w:t>
      </w:r>
      <w:proofErr w:type="spellEnd"/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Calvo, L., López, J. L., &amp; </w:t>
      </w:r>
      <w:proofErr w:type="spellStart"/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>Tua</w:t>
      </w:r>
      <w:proofErr w:type="spellEnd"/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Pereda, J. (1985). Naturaleza y filosofía de los principios contables. </w:t>
      </w:r>
      <w:r w:rsidRPr="00EE061A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Revista Española de Financiación y Contabilidad</w:t>
      </w:r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>, 15(47), 293–355.</w:t>
      </w:r>
    </w:p>
    <w:p w14:paraId="4E320CAB" w14:textId="77777777" w:rsidR="00EE061A" w:rsidRPr="00EE061A" w:rsidRDefault="00EE061A" w:rsidP="00802D2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Feldman, D. (2010). </w:t>
      </w:r>
      <w:r w:rsidRPr="00EE061A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Didáctica general</w:t>
      </w:r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>. Buenos Aires: Ministerio de Educación de la Nación.</w:t>
      </w:r>
    </w:p>
    <w:p w14:paraId="711CE551" w14:textId="77777777" w:rsidR="00EE061A" w:rsidRPr="00EE061A" w:rsidRDefault="00EE061A" w:rsidP="00802D2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FACPCE. (2022). Resolución Técnica N.º 54: </w:t>
      </w:r>
      <w:r w:rsidRPr="00EE061A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Normas Contables Profesionales: Norma Unificada Argentina de Contabilidad</w:t>
      </w:r>
      <w:r w:rsidRPr="00EE061A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65AD33E3" w14:textId="2C5289AA" w:rsidR="00EC5428" w:rsidRDefault="00EC5428" w:rsidP="00604C8A">
      <w:pPr>
        <w:spacing w:before="120" w:after="12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C54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71A4CD5" w14:textId="77777777" w:rsid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Datos personales de cada autor: </w:t>
      </w:r>
    </w:p>
    <w:p w14:paraId="75DD80C0" w14:textId="77777777" w:rsidR="000142EA" w:rsidRPr="004A2758" w:rsidRDefault="000142EA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07024F77" w14:textId="73B57B09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Apellido y nombres completos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: </w:t>
      </w:r>
      <w:proofErr w:type="spellStart"/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Salum</w:t>
      </w:r>
      <w:proofErr w:type="spellEnd"/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proofErr w:type="spellStart"/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Belki</w:t>
      </w:r>
      <w:proofErr w:type="spellEnd"/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proofErr w:type="spellStart"/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Yamili</w:t>
      </w:r>
      <w:proofErr w:type="spellEnd"/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</w:p>
    <w:p w14:paraId="7EAF31AA" w14:textId="39CEB618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CUIL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 27-14841298-2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</w:p>
    <w:p w14:paraId="221131C2" w14:textId="5F1E960F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Fecha de nacimiento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 23/07/1963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</w:p>
    <w:p w14:paraId="08AEA1A4" w14:textId="4A9E1473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Correo electrónico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 salum@uncaus.edu.ar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</w:p>
    <w:p w14:paraId="2E7BD2F7" w14:textId="1841B6C6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Teléfono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3644457780</w:t>
      </w:r>
    </w:p>
    <w:p w14:paraId="5F592505" w14:textId="1E6EFC38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Domicilio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 Belgrano 1982</w:t>
      </w:r>
    </w:p>
    <w:p w14:paraId="362F1407" w14:textId="77777777" w:rsidR="00EC5428" w:rsidRDefault="00EC5428" w:rsidP="00604C8A">
      <w:pPr>
        <w:spacing w:before="120" w:after="12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1828E4F" w14:textId="377E6BBE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Apellido y nombres completos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: Leguizamón José </w:t>
      </w:r>
      <w:r w:rsidR="00BB59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Manuel.</w:t>
      </w:r>
    </w:p>
    <w:p w14:paraId="789A3467" w14:textId="5AE7BFA9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CUIL. </w:t>
      </w:r>
      <w:r w:rsidR="001921DF" w:rsidRP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20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-</w:t>
      </w:r>
      <w:r w:rsidR="001921DF" w:rsidRP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29020376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-</w:t>
      </w:r>
      <w:r w:rsidR="001921DF" w:rsidRP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8</w:t>
      </w:r>
    </w:p>
    <w:p w14:paraId="4ED94D1A" w14:textId="1E8E97D5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Fecha de nacimiento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1921DF" w:rsidRP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12 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/</w:t>
      </w:r>
      <w:r w:rsidR="001921DF" w:rsidRP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02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/</w:t>
      </w:r>
      <w:r w:rsidR="001921DF" w:rsidRP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1982</w:t>
      </w:r>
    </w:p>
    <w:p w14:paraId="016FB7B0" w14:textId="0B655D43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Correo electrónico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1921DF" w:rsidRP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Jleguizamon@uncaus.edu.ar</w:t>
      </w:r>
    </w:p>
    <w:p w14:paraId="35E69B3A" w14:textId="7DC19156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Teléfono</w:t>
      </w:r>
      <w:r w:rsid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1921DF" w:rsidRP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3644517810</w:t>
      </w:r>
    </w:p>
    <w:p w14:paraId="6ADDD410" w14:textId="2553D32B" w:rsidR="004A2758" w:rsidRPr="004A2758" w:rsidRDefault="001921DF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Domicilio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: </w:t>
      </w:r>
      <w:r w:rsidRPr="001921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Catamarca 71</w:t>
      </w:r>
    </w:p>
    <w:p w14:paraId="3AE84DA7" w14:textId="77777777" w:rsidR="00EC5428" w:rsidRDefault="00EC5428" w:rsidP="00604C8A">
      <w:pPr>
        <w:spacing w:before="120" w:after="12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20032A2" w14:textId="6DA62FDB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Apellido y nombres completos</w:t>
      </w:r>
      <w:r w:rsidR="00BB59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 Parra Bernardo Pedro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</w:p>
    <w:p w14:paraId="2CA33E7B" w14:textId="793334F1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CUIL</w:t>
      </w:r>
      <w:r w:rsidR="00BB59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0142E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23-36835833-9</w:t>
      </w:r>
    </w:p>
    <w:p w14:paraId="0DA0AF0E" w14:textId="21103F3D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Fecha de nacimiento</w:t>
      </w:r>
      <w:r w:rsidR="00BB59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0142E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06/04/1993</w:t>
      </w:r>
    </w:p>
    <w:p w14:paraId="686872AB" w14:textId="2D138462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Correo electrónico</w:t>
      </w:r>
      <w:r w:rsidR="00BB5958" w:rsidRPr="0074459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744598" w:rsidRPr="00744598">
        <w:rPr>
          <w:rFonts w:ascii="Times New Roman" w:eastAsia="Calibri" w:hAnsi="Times New Roman" w:cs="Times New Roman"/>
          <w:sz w:val="24"/>
          <w:szCs w:val="24"/>
        </w:rPr>
        <w:t>bernardoparra@uncaus.edu.ar</w:t>
      </w:r>
    </w:p>
    <w:p w14:paraId="0A03E803" w14:textId="4ADC4749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Teléfono</w:t>
      </w:r>
      <w:r w:rsidR="00BB59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0142E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3644566242</w:t>
      </w:r>
    </w:p>
    <w:p w14:paraId="52E85F0E" w14:textId="62F00AD2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Domicilio</w:t>
      </w:r>
      <w:r w:rsidR="00BB59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="004B7DCB" w:rsidRPr="004B7DCB">
        <w:t xml:space="preserve"> </w:t>
      </w:r>
      <w:r w:rsidR="004B7DCB" w:rsidRPr="004B7DCB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39 e 10 y 12 </w:t>
      </w:r>
      <w:r w:rsidR="004B7DCB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Barrio S</w:t>
      </w:r>
      <w:r w:rsidR="004B7DCB" w:rsidRPr="004B7DCB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an </w:t>
      </w:r>
      <w:r w:rsidR="004B7DCB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</w:t>
      </w:r>
      <w:r w:rsidR="004B7DCB" w:rsidRPr="004B7DCB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artín</w:t>
      </w:r>
    </w:p>
    <w:p w14:paraId="4B29845B" w14:textId="77777777" w:rsidR="00EC5428" w:rsidRDefault="00EC5428" w:rsidP="00604C8A">
      <w:pPr>
        <w:spacing w:before="120" w:after="12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033CA5B" w14:textId="25B7777F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Apellido y nombres completos</w:t>
      </w:r>
      <w:r w:rsidR="00BB59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 Parra Daniela Celeste.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</w:p>
    <w:p w14:paraId="4DE6D276" w14:textId="35BD5952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CUIL</w:t>
      </w:r>
      <w:r w:rsidR="00BB59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0142E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23-40171785-4</w:t>
      </w:r>
    </w:p>
    <w:p w14:paraId="2B24C4B2" w14:textId="603904A7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Fecha de nacimiento</w:t>
      </w:r>
      <w:r w:rsidR="00BB59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0142E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14/04/1997</w:t>
      </w:r>
    </w:p>
    <w:p w14:paraId="3C9AB39C" w14:textId="0B079B58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Correo electrónico</w:t>
      </w:r>
      <w:r w:rsidR="00744598" w:rsidRPr="0074459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="00744598" w:rsidRPr="00744598">
        <w:rPr>
          <w:rFonts w:ascii="Times New Roman" w:eastAsia="Calibri" w:hAnsi="Times New Roman" w:cs="Times New Roman"/>
          <w:sz w:val="24"/>
          <w:szCs w:val="24"/>
        </w:rPr>
        <w:t xml:space="preserve"> parraceleste1@gmail</w:t>
      </w:r>
    </w:p>
    <w:p w14:paraId="15E94470" w14:textId="0A0B7143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Teléfono</w:t>
      </w:r>
      <w:r w:rsidR="00BB59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0142E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3644651935</w:t>
      </w:r>
    </w:p>
    <w:p w14:paraId="30F32B38" w14:textId="40305BFB" w:rsidR="004A2758" w:rsidRPr="004A2758" w:rsidRDefault="004A2758" w:rsidP="004A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A27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Domicilio</w:t>
      </w:r>
      <w:r w:rsidR="00BB595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="000142E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Belgrano 1832.</w:t>
      </w:r>
    </w:p>
    <w:p w14:paraId="7BCDD576" w14:textId="77777777" w:rsidR="004A2758" w:rsidRDefault="004A2758" w:rsidP="004A2758">
      <w:pPr>
        <w:spacing w:before="120" w:after="12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870F729" w14:textId="77777777" w:rsidR="00EC5428" w:rsidRDefault="00EC5428" w:rsidP="00604C8A">
      <w:pPr>
        <w:spacing w:before="120" w:after="12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sectPr w:rsidR="00EC5428" w:rsidSect="00B82B55">
      <w:headerReference w:type="even" r:id="rId9"/>
      <w:headerReference w:type="default" r:id="rId10"/>
      <w:headerReference w:type="first" r:id="rId11"/>
      <w:pgSz w:w="11906" w:h="16838"/>
      <w:pgMar w:top="1701" w:right="1134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D5508" w14:textId="77777777" w:rsidR="00FF7451" w:rsidRPr="009C4A3F" w:rsidRDefault="00FF7451" w:rsidP="00FE3431">
      <w:pPr>
        <w:spacing w:after="0" w:line="240" w:lineRule="auto"/>
      </w:pPr>
      <w:r w:rsidRPr="009C4A3F">
        <w:separator/>
      </w:r>
    </w:p>
  </w:endnote>
  <w:endnote w:type="continuationSeparator" w:id="0">
    <w:p w14:paraId="7FA9510A" w14:textId="77777777" w:rsidR="00FF7451" w:rsidRPr="009C4A3F" w:rsidRDefault="00FF7451" w:rsidP="00FE3431">
      <w:pPr>
        <w:spacing w:after="0" w:line="240" w:lineRule="auto"/>
      </w:pPr>
      <w:r w:rsidRPr="009C4A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C748B" w14:textId="77777777" w:rsidR="00FF7451" w:rsidRPr="009C4A3F" w:rsidRDefault="00FF7451" w:rsidP="00FE3431">
      <w:pPr>
        <w:spacing w:after="0" w:line="240" w:lineRule="auto"/>
      </w:pPr>
      <w:r w:rsidRPr="009C4A3F">
        <w:separator/>
      </w:r>
    </w:p>
  </w:footnote>
  <w:footnote w:type="continuationSeparator" w:id="0">
    <w:p w14:paraId="26B24A8E" w14:textId="77777777" w:rsidR="00FF7451" w:rsidRPr="009C4A3F" w:rsidRDefault="00FF7451" w:rsidP="00FE3431">
      <w:pPr>
        <w:spacing w:after="0" w:line="240" w:lineRule="auto"/>
      </w:pPr>
      <w:r w:rsidRPr="009C4A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3CB5C" w14:textId="796634D8" w:rsidR="002B0DCB" w:rsidRPr="009C4A3F" w:rsidRDefault="00CA71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9BDD242" wp14:editId="5DDCC45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93400"/>
              <wp:effectExtent l="0" t="0" r="0" b="3175"/>
              <wp:wrapNone/>
              <wp:docPr id="820660319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EE4CD" id="Rectángulo 2" o:spid="_x0000_s1026" style="position:absolute;margin-left:0;margin-top:0;width:595pt;height:842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85AB6" w14:textId="08D9AC97" w:rsidR="00FE3431" w:rsidRPr="009C4A3F" w:rsidRDefault="00FE3431" w:rsidP="000765D0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43CA9" w14:textId="01FBE1D7" w:rsidR="000765D0" w:rsidRPr="009C4A3F" w:rsidRDefault="000765D0" w:rsidP="000765D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329E4"/>
    <w:multiLevelType w:val="multilevel"/>
    <w:tmpl w:val="9088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7692"/>
    <w:multiLevelType w:val="multilevel"/>
    <w:tmpl w:val="1342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67A47"/>
    <w:multiLevelType w:val="hybridMultilevel"/>
    <w:tmpl w:val="3940A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B0014"/>
    <w:multiLevelType w:val="multilevel"/>
    <w:tmpl w:val="3A82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C1BDC"/>
    <w:multiLevelType w:val="hybridMultilevel"/>
    <w:tmpl w:val="E4949B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D5FE9"/>
    <w:multiLevelType w:val="multilevel"/>
    <w:tmpl w:val="51DE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74C89"/>
    <w:multiLevelType w:val="multilevel"/>
    <w:tmpl w:val="C514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578C9"/>
    <w:multiLevelType w:val="multilevel"/>
    <w:tmpl w:val="F7C0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DB5325"/>
    <w:multiLevelType w:val="multilevel"/>
    <w:tmpl w:val="E724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7158F"/>
    <w:multiLevelType w:val="multilevel"/>
    <w:tmpl w:val="73E2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EB100A"/>
    <w:multiLevelType w:val="multilevel"/>
    <w:tmpl w:val="0556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149664">
    <w:abstractNumId w:val="4"/>
  </w:num>
  <w:num w:numId="2" w16cid:durableId="491676147">
    <w:abstractNumId w:val="2"/>
  </w:num>
  <w:num w:numId="3" w16cid:durableId="920915565">
    <w:abstractNumId w:val="8"/>
  </w:num>
  <w:num w:numId="4" w16cid:durableId="572277885">
    <w:abstractNumId w:val="0"/>
  </w:num>
  <w:num w:numId="5" w16cid:durableId="878471102">
    <w:abstractNumId w:val="6"/>
  </w:num>
  <w:num w:numId="6" w16cid:durableId="1901406412">
    <w:abstractNumId w:val="3"/>
  </w:num>
  <w:num w:numId="7" w16cid:durableId="1655141403">
    <w:abstractNumId w:val="7"/>
  </w:num>
  <w:num w:numId="8" w16cid:durableId="1929534483">
    <w:abstractNumId w:val="5"/>
  </w:num>
  <w:num w:numId="9" w16cid:durableId="609775740">
    <w:abstractNumId w:val="10"/>
  </w:num>
  <w:num w:numId="10" w16cid:durableId="1267301607">
    <w:abstractNumId w:val="1"/>
  </w:num>
  <w:num w:numId="11" w16cid:durableId="840923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31"/>
    <w:rsid w:val="000142EA"/>
    <w:rsid w:val="00025BF8"/>
    <w:rsid w:val="00066BAC"/>
    <w:rsid w:val="000672C5"/>
    <w:rsid w:val="000765D0"/>
    <w:rsid w:val="00084CA3"/>
    <w:rsid w:val="00091295"/>
    <w:rsid w:val="00094709"/>
    <w:rsid w:val="001138F1"/>
    <w:rsid w:val="00150924"/>
    <w:rsid w:val="00151B1D"/>
    <w:rsid w:val="0017039A"/>
    <w:rsid w:val="001921DF"/>
    <w:rsid w:val="001950A3"/>
    <w:rsid w:val="001A3420"/>
    <w:rsid w:val="001B3013"/>
    <w:rsid w:val="001C1DD8"/>
    <w:rsid w:val="001C2D22"/>
    <w:rsid w:val="001D70BE"/>
    <w:rsid w:val="00223279"/>
    <w:rsid w:val="0028725E"/>
    <w:rsid w:val="002A0B62"/>
    <w:rsid w:val="002B0DCB"/>
    <w:rsid w:val="002B38F1"/>
    <w:rsid w:val="002E5F6C"/>
    <w:rsid w:val="00314521"/>
    <w:rsid w:val="00345846"/>
    <w:rsid w:val="00360DA1"/>
    <w:rsid w:val="00375CAA"/>
    <w:rsid w:val="003A16A2"/>
    <w:rsid w:val="003B21C2"/>
    <w:rsid w:val="003D2925"/>
    <w:rsid w:val="003E3CB7"/>
    <w:rsid w:val="00402B1F"/>
    <w:rsid w:val="0044533C"/>
    <w:rsid w:val="00446254"/>
    <w:rsid w:val="00454FF4"/>
    <w:rsid w:val="00460A39"/>
    <w:rsid w:val="00473EC4"/>
    <w:rsid w:val="004A2758"/>
    <w:rsid w:val="004B23A5"/>
    <w:rsid w:val="004B7DCB"/>
    <w:rsid w:val="004F297D"/>
    <w:rsid w:val="005344A7"/>
    <w:rsid w:val="00543AC7"/>
    <w:rsid w:val="00571165"/>
    <w:rsid w:val="005840F9"/>
    <w:rsid w:val="005D22C1"/>
    <w:rsid w:val="005F5F42"/>
    <w:rsid w:val="005F5FEB"/>
    <w:rsid w:val="006014E0"/>
    <w:rsid w:val="00604C8A"/>
    <w:rsid w:val="0061122E"/>
    <w:rsid w:val="00622D28"/>
    <w:rsid w:val="00624805"/>
    <w:rsid w:val="006341F3"/>
    <w:rsid w:val="0069593C"/>
    <w:rsid w:val="00713A65"/>
    <w:rsid w:val="00717711"/>
    <w:rsid w:val="00723419"/>
    <w:rsid w:val="00724487"/>
    <w:rsid w:val="0073545F"/>
    <w:rsid w:val="00736B66"/>
    <w:rsid w:val="00744598"/>
    <w:rsid w:val="00744CF4"/>
    <w:rsid w:val="00765A0A"/>
    <w:rsid w:val="007970F2"/>
    <w:rsid w:val="007A07E5"/>
    <w:rsid w:val="007C407B"/>
    <w:rsid w:val="007C5CF0"/>
    <w:rsid w:val="007F3500"/>
    <w:rsid w:val="00802D2F"/>
    <w:rsid w:val="00825C65"/>
    <w:rsid w:val="00894FAC"/>
    <w:rsid w:val="008A48C9"/>
    <w:rsid w:val="008D53E0"/>
    <w:rsid w:val="008E48EE"/>
    <w:rsid w:val="008E7FCC"/>
    <w:rsid w:val="00943679"/>
    <w:rsid w:val="00952178"/>
    <w:rsid w:val="00955CF2"/>
    <w:rsid w:val="0096091C"/>
    <w:rsid w:val="00970E8C"/>
    <w:rsid w:val="009953B6"/>
    <w:rsid w:val="009A4DA8"/>
    <w:rsid w:val="009C2033"/>
    <w:rsid w:val="009C252F"/>
    <w:rsid w:val="009C384E"/>
    <w:rsid w:val="009C4A3F"/>
    <w:rsid w:val="009E2032"/>
    <w:rsid w:val="009E6A84"/>
    <w:rsid w:val="009F03A9"/>
    <w:rsid w:val="00A14AA3"/>
    <w:rsid w:val="00A57250"/>
    <w:rsid w:val="00A82277"/>
    <w:rsid w:val="00B53163"/>
    <w:rsid w:val="00B72FD8"/>
    <w:rsid w:val="00B74803"/>
    <w:rsid w:val="00B82B55"/>
    <w:rsid w:val="00B94EFE"/>
    <w:rsid w:val="00BA68BC"/>
    <w:rsid w:val="00BA759E"/>
    <w:rsid w:val="00BB5958"/>
    <w:rsid w:val="00BB633A"/>
    <w:rsid w:val="00BC50C7"/>
    <w:rsid w:val="00C327AE"/>
    <w:rsid w:val="00C852D1"/>
    <w:rsid w:val="00CA7100"/>
    <w:rsid w:val="00D14E30"/>
    <w:rsid w:val="00D27A3C"/>
    <w:rsid w:val="00D37908"/>
    <w:rsid w:val="00D504D9"/>
    <w:rsid w:val="00DC1095"/>
    <w:rsid w:val="00DC5BC3"/>
    <w:rsid w:val="00DE4487"/>
    <w:rsid w:val="00DF77A7"/>
    <w:rsid w:val="00E15A46"/>
    <w:rsid w:val="00E21D4B"/>
    <w:rsid w:val="00E24586"/>
    <w:rsid w:val="00E363E6"/>
    <w:rsid w:val="00E41F1D"/>
    <w:rsid w:val="00E669FD"/>
    <w:rsid w:val="00EB587B"/>
    <w:rsid w:val="00EC0B7E"/>
    <w:rsid w:val="00EC5428"/>
    <w:rsid w:val="00EE061A"/>
    <w:rsid w:val="00EE2F7D"/>
    <w:rsid w:val="00EF10D5"/>
    <w:rsid w:val="00EF5FDC"/>
    <w:rsid w:val="00F03E0D"/>
    <w:rsid w:val="00F15987"/>
    <w:rsid w:val="00F70E96"/>
    <w:rsid w:val="00F72B91"/>
    <w:rsid w:val="00F9328A"/>
    <w:rsid w:val="00FA0883"/>
    <w:rsid w:val="00FE3431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92EC4"/>
  <w15:docId w15:val="{2BA9F7B6-3CCD-A842-AA03-145E221D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2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7A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4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3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431"/>
  </w:style>
  <w:style w:type="paragraph" w:styleId="Piedepgina">
    <w:name w:val="footer"/>
    <w:basedOn w:val="Normal"/>
    <w:link w:val="PiedepginaCar"/>
    <w:uiPriority w:val="99"/>
    <w:unhideWhenUsed/>
    <w:rsid w:val="00FE3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431"/>
  </w:style>
  <w:style w:type="paragraph" w:styleId="Textonotapie">
    <w:name w:val="footnote text"/>
    <w:basedOn w:val="Normal"/>
    <w:link w:val="TextonotapieCar"/>
    <w:uiPriority w:val="99"/>
    <w:semiHidden/>
    <w:unhideWhenUsed/>
    <w:rsid w:val="000765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65D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Refdenotaalpie">
    <w:name w:val="footnote reference"/>
    <w:uiPriority w:val="99"/>
    <w:semiHidden/>
    <w:rsid w:val="000765D0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B82B55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E15A4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8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41F1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1F1D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21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7A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AR"/>
    </w:rPr>
  </w:style>
  <w:style w:type="paragraph" w:styleId="NormalWeb">
    <w:name w:val="Normal (Web)"/>
    <w:basedOn w:val="Normal"/>
    <w:uiPriority w:val="99"/>
    <w:semiHidden/>
    <w:unhideWhenUsed/>
    <w:rsid w:val="0073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F70E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0E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0E96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0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0E96"/>
    <w:rPr>
      <w:b/>
      <w:bCs/>
      <w:sz w:val="20"/>
      <w:szCs w:val="20"/>
      <w:lang w:val="es-AR"/>
    </w:rPr>
  </w:style>
  <w:style w:type="paragraph" w:styleId="Revisin">
    <w:name w:val="Revision"/>
    <w:hidden/>
    <w:uiPriority w:val="99"/>
    <w:semiHidden/>
    <w:rsid w:val="004F297D"/>
    <w:pPr>
      <w:spacing w:after="0" w:line="240" w:lineRule="auto"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Directora%20-salum@uncaus.edu.ar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4C63-E928-4D8B-8460-F67C9C93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5</Pages>
  <Words>1730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 YAMILI SALUM</dc:creator>
  <cp:lastModifiedBy>BELKI YAMILI SALUM</cp:lastModifiedBy>
  <cp:revision>17</cp:revision>
  <cp:lastPrinted>2025-07-23T18:36:00Z</cp:lastPrinted>
  <dcterms:created xsi:type="dcterms:W3CDTF">2025-07-23T16:51:00Z</dcterms:created>
  <dcterms:modified xsi:type="dcterms:W3CDTF">2025-07-24T02:09:00Z</dcterms:modified>
</cp:coreProperties>
</file>