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left="3600" w:firstLine="0"/>
        <w:rPr>
          <w:rFonts w:ascii="Calibri" w:cs="Calibri" w:eastAsia="Calibri" w:hAnsi="Calibri"/>
          <w:b w:val="1"/>
        </w:rPr>
      </w:pPr>
      <w:r w:rsidDel="00000000" w:rsidR="00000000" w:rsidRPr="00000000">
        <w:rPr>
          <w:rFonts w:ascii="Calibri" w:cs="Calibri" w:eastAsia="Calibri" w:hAnsi="Calibri"/>
          <w:b w:val="1"/>
          <w:rtl w:val="0"/>
        </w:rPr>
        <w:t xml:space="preserve">UNIVERSIDAD DE LA DEFENSA NACIONAL</w:t>
      </w:r>
      <w:r w:rsidDel="00000000" w:rsidR="00000000" w:rsidRPr="00000000">
        <w:drawing>
          <wp:anchor allowOverlap="1" behindDoc="0" distB="0" distT="0" distL="114300" distR="114300" hidden="0" layoutInCell="1" locked="0" relativeHeight="0" simplePos="0">
            <wp:simplePos x="0" y="0"/>
            <wp:positionH relativeFrom="column">
              <wp:posOffset>228600</wp:posOffset>
            </wp:positionH>
            <wp:positionV relativeFrom="paragraph">
              <wp:posOffset>-328294</wp:posOffset>
            </wp:positionV>
            <wp:extent cx="1810703" cy="948463"/>
            <wp:effectExtent b="0" l="0" r="0" t="0"/>
            <wp:wrapNone/>
            <wp:docPr id="1" name="image1.png"/>
            <a:graphic>
              <a:graphicData uri="http://schemas.openxmlformats.org/drawingml/2006/picture">
                <pic:pic>
                  <pic:nvPicPr>
                    <pic:cNvPr id="0" name="image1.png"/>
                    <pic:cNvPicPr preferRelativeResize="0"/>
                  </pic:nvPicPr>
                  <pic:blipFill>
                    <a:blip r:embed="rId6"/>
                    <a:srcRect b="7467" l="0" r="8092" t="0"/>
                    <a:stretch>
                      <a:fillRect/>
                    </a:stretch>
                  </pic:blipFill>
                  <pic:spPr>
                    <a:xfrm>
                      <a:off x="0" y="0"/>
                      <a:ext cx="1810703" cy="948463"/>
                    </a:xfrm>
                    <a:prstGeom prst="rect"/>
                    <a:ln/>
                  </pic:spPr>
                </pic:pic>
              </a:graphicData>
            </a:graphic>
          </wp:anchor>
        </w:drawing>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spacing w:after="240" w:line="240" w:lineRule="auto"/>
        <w:ind w:left="3600" w:firstLine="0"/>
        <w:rPr>
          <w:rFonts w:ascii="Calibri" w:cs="Calibri" w:eastAsia="Calibri" w:hAnsi="Calibri"/>
          <w:b w:val="1"/>
        </w:rPr>
      </w:pPr>
      <w:r w:rsidDel="00000000" w:rsidR="00000000" w:rsidRPr="00000000">
        <w:rPr>
          <w:rFonts w:ascii="Calibri" w:cs="Calibri" w:eastAsia="Calibri" w:hAnsi="Calibri"/>
          <w:b w:val="1"/>
          <w:rtl w:val="0"/>
        </w:rPr>
        <w:t xml:space="preserve">CENTRO REGIONAL UNIVERSITARIO CÓRDOBA – IUA</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sz w:val="28"/>
          <w:szCs w:val="28"/>
        </w:rPr>
      </w:pPr>
      <w:r w:rsidDel="00000000" w:rsidR="00000000" w:rsidRPr="00000000">
        <w:rPr>
          <w:rtl w:val="0"/>
        </w:rPr>
      </w:r>
    </w:p>
    <w:p w:rsidR="00000000" w:rsidDel="00000000" w:rsidP="00000000" w:rsidRDefault="00000000" w:rsidRPr="00000000" w14:paraId="00000006">
      <w:pPr>
        <w:jc w:val="center"/>
        <w:rPr>
          <w:sz w:val="24"/>
          <w:szCs w:val="24"/>
        </w:rPr>
      </w:pPr>
      <w:r w:rsidDel="00000000" w:rsidR="00000000" w:rsidRPr="00000000">
        <w:rPr>
          <w:sz w:val="24"/>
          <w:szCs w:val="24"/>
          <w:rtl w:val="0"/>
        </w:rPr>
        <w:t xml:space="preserve">IX Congreso de Ciencias Económicas del Centro de la República </w:t>
      </w:r>
    </w:p>
    <w:p w:rsidR="00000000" w:rsidDel="00000000" w:rsidP="00000000" w:rsidRDefault="00000000" w:rsidRPr="00000000" w14:paraId="00000007">
      <w:pPr>
        <w:jc w:val="center"/>
        <w:rPr>
          <w:sz w:val="24"/>
          <w:szCs w:val="24"/>
        </w:rPr>
      </w:pPr>
      <w:r w:rsidDel="00000000" w:rsidR="00000000" w:rsidRPr="00000000">
        <w:rPr>
          <w:sz w:val="24"/>
          <w:szCs w:val="24"/>
          <w:rtl w:val="0"/>
        </w:rPr>
        <w:t xml:space="preserve">XIII Congreso de Administración del Centro de la República </w:t>
      </w:r>
    </w:p>
    <w:p w:rsidR="00000000" w:rsidDel="00000000" w:rsidP="00000000" w:rsidRDefault="00000000" w:rsidRPr="00000000" w14:paraId="00000008">
      <w:pPr>
        <w:jc w:val="center"/>
        <w:rPr>
          <w:sz w:val="24"/>
          <w:szCs w:val="24"/>
        </w:rPr>
      </w:pPr>
      <w:r w:rsidDel="00000000" w:rsidR="00000000" w:rsidRPr="00000000">
        <w:rPr>
          <w:sz w:val="24"/>
          <w:szCs w:val="24"/>
          <w:rtl w:val="0"/>
        </w:rPr>
        <w:t xml:space="preserve">X Encuentro Internacional de Administración del Centro de la República</w:t>
      </w:r>
    </w:p>
    <w:p w:rsidR="00000000" w:rsidDel="00000000" w:rsidP="00000000" w:rsidRDefault="00000000" w:rsidRPr="00000000" w14:paraId="00000009">
      <w:pPr>
        <w:jc w:val="center"/>
        <w:rPr>
          <w:sz w:val="28"/>
          <w:szCs w:val="28"/>
        </w:rPr>
      </w:pPr>
      <w:r w:rsidDel="00000000" w:rsidR="00000000" w:rsidRPr="00000000">
        <w:rPr>
          <w:rtl w:val="0"/>
        </w:rPr>
      </w:r>
    </w:p>
    <w:p w:rsidR="00000000" w:rsidDel="00000000" w:rsidP="00000000" w:rsidRDefault="00000000" w:rsidRPr="00000000" w14:paraId="0000000A">
      <w:pPr>
        <w:jc w:val="center"/>
        <w:rPr>
          <w:i w:val="1"/>
          <w:sz w:val="26"/>
          <w:szCs w:val="26"/>
        </w:rPr>
      </w:pPr>
      <w:r w:rsidDel="00000000" w:rsidR="00000000" w:rsidRPr="00000000">
        <w:rPr>
          <w:i w:val="1"/>
          <w:sz w:val="26"/>
          <w:szCs w:val="26"/>
          <w:rtl w:val="0"/>
        </w:rPr>
        <w:t xml:space="preserve">“Innovación y sostenibilidad: Aportes de las Ciencias Económicas ante los desafíos y oportunidades de la Inteligencia Artificial”</w:t>
      </w:r>
    </w:p>
    <w:p w:rsidR="00000000" w:rsidDel="00000000" w:rsidP="00000000" w:rsidRDefault="00000000" w:rsidRPr="00000000" w14:paraId="0000000B">
      <w:pPr>
        <w:jc w:val="center"/>
        <w:rPr>
          <w:i w:val="1"/>
          <w:sz w:val="30"/>
          <w:szCs w:val="30"/>
        </w:rPr>
      </w:pPr>
      <w:r w:rsidDel="00000000" w:rsidR="00000000" w:rsidRPr="00000000">
        <w:rPr>
          <w:rtl w:val="0"/>
        </w:rPr>
      </w:r>
    </w:p>
    <w:p w:rsidR="00000000" w:rsidDel="00000000" w:rsidP="00000000" w:rsidRDefault="00000000" w:rsidRPr="00000000" w14:paraId="0000000C">
      <w:pPr>
        <w:jc w:val="center"/>
        <w:rPr>
          <w:sz w:val="30"/>
          <w:szCs w:val="30"/>
        </w:rPr>
      </w:pPr>
      <w:r w:rsidDel="00000000" w:rsidR="00000000" w:rsidRPr="00000000">
        <w:rPr>
          <w:rtl w:val="0"/>
        </w:rPr>
      </w:r>
    </w:p>
    <w:p w:rsidR="00000000" w:rsidDel="00000000" w:rsidP="00000000" w:rsidRDefault="00000000" w:rsidRPr="00000000" w14:paraId="0000000D">
      <w:pPr>
        <w:jc w:val="center"/>
        <w:rPr>
          <w:b w:val="1"/>
          <w:i w:val="1"/>
          <w:sz w:val="28"/>
          <w:szCs w:val="28"/>
        </w:rPr>
      </w:pPr>
      <w:r w:rsidDel="00000000" w:rsidR="00000000" w:rsidRPr="00000000">
        <w:rPr>
          <w:b w:val="1"/>
          <w:i w:val="1"/>
          <w:sz w:val="28"/>
          <w:szCs w:val="28"/>
          <w:rtl w:val="0"/>
        </w:rPr>
        <w:t xml:space="preserve">TRANSFORMACIÓN DIGITAL Y DESAFÍOS FORMATIVOS EN LA GESTIÓN DE CONTRATACIONES DE LA UOC DE LA FAA </w:t>
      </w:r>
    </w:p>
    <w:p w:rsidR="00000000" w:rsidDel="00000000" w:rsidP="00000000" w:rsidRDefault="00000000" w:rsidRPr="00000000" w14:paraId="0000000E">
      <w:pPr>
        <w:jc w:val="center"/>
        <w:rPr>
          <w:i w:val="1"/>
          <w:sz w:val="28"/>
          <w:szCs w:val="28"/>
        </w:rPr>
      </w:pPr>
      <w:r w:rsidDel="00000000" w:rsidR="00000000" w:rsidRPr="00000000">
        <w:rPr>
          <w:rtl w:val="0"/>
        </w:rPr>
      </w:r>
    </w:p>
    <w:p w:rsidR="00000000" w:rsidDel="00000000" w:rsidP="00000000" w:rsidRDefault="00000000" w:rsidRPr="00000000" w14:paraId="0000000F">
      <w:pPr>
        <w:rPr>
          <w:sz w:val="30"/>
          <w:szCs w:val="30"/>
        </w:rPr>
      </w:pPr>
      <w:r w:rsidDel="00000000" w:rsidR="00000000" w:rsidRPr="00000000">
        <w:rPr>
          <w:rtl w:val="0"/>
        </w:rPr>
      </w:r>
    </w:p>
    <w:p w:rsidR="00000000" w:rsidDel="00000000" w:rsidP="00000000" w:rsidRDefault="00000000" w:rsidRPr="00000000" w14:paraId="00000010">
      <w:pPr>
        <w:jc w:val="center"/>
        <w:rPr>
          <w:sz w:val="30"/>
          <w:szCs w:val="30"/>
        </w:rPr>
      </w:pPr>
      <w:r w:rsidDel="00000000" w:rsidR="00000000" w:rsidRPr="00000000">
        <w:rPr>
          <w:rtl w:val="0"/>
        </w:rPr>
      </w:r>
    </w:p>
    <w:p w:rsidR="00000000" w:rsidDel="00000000" w:rsidP="00000000" w:rsidRDefault="00000000" w:rsidRPr="00000000" w14:paraId="00000011">
      <w:pPr>
        <w:jc w:val="center"/>
        <w:rPr>
          <w:sz w:val="24"/>
          <w:szCs w:val="24"/>
        </w:rPr>
      </w:pPr>
      <w:r w:rsidDel="00000000" w:rsidR="00000000" w:rsidRPr="00000000">
        <w:rPr>
          <w:sz w:val="24"/>
          <w:szCs w:val="24"/>
          <w:rtl w:val="0"/>
        </w:rPr>
        <w:t xml:space="preserve">7 al 9 de octubre 2025, </w:t>
      </w:r>
    </w:p>
    <w:p w:rsidR="00000000" w:rsidDel="00000000" w:rsidP="00000000" w:rsidRDefault="00000000" w:rsidRPr="00000000" w14:paraId="00000012">
      <w:pPr>
        <w:jc w:val="center"/>
        <w:rPr>
          <w:sz w:val="24"/>
          <w:szCs w:val="24"/>
        </w:rPr>
      </w:pPr>
      <w:r w:rsidDel="00000000" w:rsidR="00000000" w:rsidRPr="00000000">
        <w:rPr>
          <w:sz w:val="24"/>
          <w:szCs w:val="24"/>
          <w:rtl w:val="0"/>
        </w:rPr>
        <w:t xml:space="preserve">Campus de la UNVM Arturo Jauretche 1555, Villa María, Provincia de Córdoba, República Argentina</w:t>
      </w:r>
    </w:p>
    <w:p w:rsidR="00000000" w:rsidDel="00000000" w:rsidP="00000000" w:rsidRDefault="00000000" w:rsidRPr="00000000" w14:paraId="00000013">
      <w:pPr>
        <w:jc w:val="center"/>
        <w:rPr>
          <w:sz w:val="30"/>
          <w:szCs w:val="30"/>
        </w:rPr>
      </w:pPr>
      <w:r w:rsidDel="00000000" w:rsidR="00000000" w:rsidRPr="00000000">
        <w:rPr>
          <w:rtl w:val="0"/>
        </w:rPr>
      </w:r>
    </w:p>
    <w:p w:rsidR="00000000" w:rsidDel="00000000" w:rsidP="00000000" w:rsidRDefault="00000000" w:rsidRPr="00000000" w14:paraId="00000014">
      <w:pPr>
        <w:rPr>
          <w:sz w:val="30"/>
          <w:szCs w:val="30"/>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t xml:space="preserve">EJE TEMÁTICO</w:t>
      </w:r>
    </w:p>
    <w:p w:rsidR="00000000" w:rsidDel="00000000" w:rsidP="00000000" w:rsidRDefault="00000000" w:rsidRPr="00000000" w14:paraId="00000016">
      <w:pPr>
        <w:jc w:val="center"/>
        <w:rPr>
          <w:strike w:val="1"/>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t xml:space="preserve">4. Pensamiento estratégico, competitividad y gestión: transformación organizacional en la era de la Inteligencia Artificial </w:t>
      </w:r>
    </w:p>
    <w:p w:rsidR="00000000" w:rsidDel="00000000" w:rsidP="00000000" w:rsidRDefault="00000000" w:rsidRPr="00000000" w14:paraId="00000018">
      <w:pPr>
        <w:jc w:val="center"/>
        <w:rPr>
          <w:color w:val="ff0000"/>
        </w:rPr>
      </w:pPr>
      <w:r w:rsidDel="00000000" w:rsidR="00000000" w:rsidRPr="00000000">
        <w:rPr>
          <w:rtl w:val="0"/>
        </w:rPr>
      </w:r>
    </w:p>
    <w:p w:rsidR="00000000" w:rsidDel="00000000" w:rsidP="00000000" w:rsidRDefault="00000000" w:rsidRPr="00000000" w14:paraId="00000019">
      <w:pPr>
        <w:jc w:val="center"/>
        <w:rPr>
          <w:color w:val="ff0000"/>
        </w:rPr>
      </w:pP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Autoras:</w:t>
      </w:r>
    </w:p>
    <w:p w:rsidR="00000000" w:rsidDel="00000000" w:rsidP="00000000" w:rsidRDefault="00000000" w:rsidRPr="00000000" w14:paraId="0000001B">
      <w:pPr>
        <w:numPr>
          <w:ilvl w:val="0"/>
          <w:numId w:val="1"/>
        </w:numPr>
        <w:spacing w:line="3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Lic. Verónica Flores - Facultad de Ciencias de la Administración - CRUC IUA - UNDEF - Córdoba Argentina - vflores@iua.edu.ar</w:t>
      </w:r>
    </w:p>
    <w:p w:rsidR="00000000" w:rsidDel="00000000" w:rsidP="00000000" w:rsidRDefault="00000000" w:rsidRPr="00000000" w14:paraId="0000001C">
      <w:pPr>
        <w:numPr>
          <w:ilvl w:val="0"/>
          <w:numId w:val="1"/>
        </w:numPr>
        <w:spacing w:line="3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Mgtr. Mariana Giovanardi - Facultad de Ciencias de la Administración - CRUC IUA - UNDEF - Córdoba Argentina - mgiovanardi@iua.edu.ar</w:t>
      </w:r>
    </w:p>
    <w:p w:rsidR="00000000" w:rsidDel="00000000" w:rsidP="00000000" w:rsidRDefault="00000000" w:rsidRPr="00000000" w14:paraId="0000001D">
      <w:pPr>
        <w:numPr>
          <w:ilvl w:val="0"/>
          <w:numId w:val="1"/>
        </w:numPr>
        <w:spacing w:line="3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Lic. Silvia Huanchicay - Facultad de Ciencias de la Administración - CRUC IUA - UNDEF - Córdoba Argentina - shuanchicay@iua.edu.ar</w:t>
      </w:r>
    </w:p>
    <w:p w:rsidR="00000000" w:rsidDel="00000000" w:rsidP="00000000" w:rsidRDefault="00000000" w:rsidRPr="00000000" w14:paraId="0000001E">
      <w:pPr>
        <w:spacing w:line="36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spacing w:line="360" w:lineRule="auto"/>
        <w:jc w:val="both"/>
        <w:rPr/>
      </w:pPr>
      <w:r w:rsidDel="00000000" w:rsidR="00000000" w:rsidRPr="00000000">
        <w:rPr>
          <w:rFonts w:ascii="Times New Roman" w:cs="Times New Roman" w:eastAsia="Times New Roman" w:hAnsi="Times New Roman"/>
          <w:b w:val="1"/>
          <w:rtl w:val="0"/>
        </w:rPr>
        <w:t xml:space="preserve">Palabras clave: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competencias digitales, gobernanza tecnológica, estrategias formativas</w:t>
      </w:r>
      <w:r w:rsidDel="00000000" w:rsidR="00000000" w:rsidRPr="00000000">
        <w:rPr>
          <w:rtl w:val="0"/>
        </w:rPr>
      </w:r>
    </w:p>
    <w:p w:rsidR="00000000" w:rsidDel="00000000" w:rsidP="00000000" w:rsidRDefault="00000000" w:rsidRPr="00000000" w14:paraId="00000020">
      <w:pPr>
        <w:pStyle w:val="Title"/>
        <w:spacing w:line="360" w:lineRule="auto"/>
        <w:jc w:val="both"/>
        <w:rPr>
          <w:b w:val="1"/>
          <w:sz w:val="24"/>
          <w:szCs w:val="24"/>
        </w:rPr>
      </w:pPr>
      <w:bookmarkStart w:colFirst="0" w:colLast="0" w:name="_yhjn8cwx8csa" w:id="0"/>
      <w:bookmarkEnd w:id="0"/>
      <w:r w:rsidDel="00000000" w:rsidR="00000000" w:rsidRPr="00000000">
        <w:rPr>
          <w:rFonts w:ascii="Times New Roman" w:cs="Times New Roman" w:eastAsia="Times New Roman" w:hAnsi="Times New Roman"/>
          <w:b w:val="1"/>
          <w:sz w:val="24"/>
          <w:szCs w:val="24"/>
          <w:rtl w:val="0"/>
        </w:rPr>
        <w:t xml:space="preserve">1- Introducción</w:t>
      </w:r>
      <w:r w:rsidDel="00000000" w:rsidR="00000000" w:rsidRPr="00000000">
        <w:rPr>
          <w:rtl w:val="0"/>
        </w:rPr>
      </w:r>
    </w:p>
    <w:p w:rsidR="00000000" w:rsidDel="00000000" w:rsidP="00000000" w:rsidRDefault="00000000" w:rsidRPr="00000000" w14:paraId="0000002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transformación digital ha impulsado una revisión profunda en todas las organizaciones, aquellas de origen público no han quedado excluidas, han sido impulsadas a una revisión profunda de sus estructuras, procesos y competencias. La relación con la ciudadanía se ha ido modificando en muy corto plazo, más allá de la incorporación de tecnologías, la transformación digital demanda la </w:t>
      </w:r>
      <w:r w:rsidDel="00000000" w:rsidR="00000000" w:rsidRPr="00000000">
        <w:rPr>
          <w:rFonts w:ascii="Times New Roman" w:cs="Times New Roman" w:eastAsia="Times New Roman" w:hAnsi="Times New Roman"/>
          <w:sz w:val="24"/>
          <w:szCs w:val="24"/>
          <w:rtl w:val="0"/>
        </w:rPr>
        <w:t xml:space="preserve">reconfiguración</w:t>
      </w:r>
      <w:r w:rsidDel="00000000" w:rsidR="00000000" w:rsidRPr="00000000">
        <w:rPr>
          <w:rFonts w:ascii="Times New Roman" w:cs="Times New Roman" w:eastAsia="Times New Roman" w:hAnsi="Times New Roman"/>
          <w:sz w:val="24"/>
          <w:szCs w:val="24"/>
          <w:rtl w:val="0"/>
        </w:rPr>
        <w:t xml:space="preserve"> de la manera en que se gestionan los servicios y se toman decisiones. En el ámbito de la administración pública, la digitalización de procesos administrativos ha demostrado aportar beneficios como la trazabilidad, la eficiencia operativa y la mejora en la calidad de la información para la toma de decisiones. Sin embargo, tales logros resultan frágiles si no se acompañan de estrategias de formación continua que permitan al personal adaptarse a nuevas herramientas, adquirir competencias técnicas específicas y participar activamente en procesos de rediseño organizacional. Como advierte Ramió (2018), la tecnología sin desarrollo humano amplía brechas internas y reproduce desigualdades preexistentes.</w:t>
      </w:r>
    </w:p>
    <w:p w:rsidR="00000000" w:rsidDel="00000000" w:rsidP="00000000" w:rsidRDefault="00000000" w:rsidRPr="00000000" w14:paraId="0000002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contexto, cobra relevancia el concepto de </w:t>
      </w:r>
      <w:r w:rsidDel="00000000" w:rsidR="00000000" w:rsidRPr="00000000">
        <w:rPr>
          <w:rFonts w:ascii="Times New Roman" w:cs="Times New Roman" w:eastAsia="Times New Roman" w:hAnsi="Times New Roman"/>
          <w:sz w:val="24"/>
          <w:szCs w:val="24"/>
          <w:rtl w:val="0"/>
        </w:rPr>
        <w:t xml:space="preserve">gobernanza tecnológica</w:t>
      </w:r>
      <w:r w:rsidDel="00000000" w:rsidR="00000000" w:rsidRPr="00000000">
        <w:rPr>
          <w:rFonts w:ascii="Times New Roman" w:cs="Times New Roman" w:eastAsia="Times New Roman" w:hAnsi="Times New Roman"/>
          <w:sz w:val="24"/>
          <w:szCs w:val="24"/>
          <w:rtl w:val="0"/>
        </w:rPr>
        <w:t xml:space="preserve"> (Oszlak, 2020), entendido como un enfoque que articula tecnología, gestión pública y valor ciudadano, y que requiere no solo infraestructura digital, sino también capacidades humanas e institucionales para su despliegue efectivo. La experiencia de la Unidad Operativa de Contrataciones (UOC) del Centro Regional Universitario Córdoba – Instituto Universitario Aeronáutico (CRUC IUA) constituye un caso relevante para examinar estos procesos en profundidad. En este trabajo se propone analizar las implicancias de la transformación digital en esta unidad operativa universitaria poniendo especial atención en las competencias organizativas y los dispositivos de formación continua para garantizar su sostenibilidad. A partir de un enfoque cualitativo basado en entrevistas y análisis documental, se identifican tensiones, logros y propuestas formativas orientadas a una gobernanza tecnológica más equitativa, eficiente y orientada al valor público.</w:t>
      </w:r>
    </w:p>
    <w:p w:rsidR="00000000" w:rsidDel="00000000" w:rsidP="00000000" w:rsidRDefault="00000000" w:rsidRPr="00000000" w14:paraId="00000023">
      <w:pPr>
        <w:pStyle w:val="Title"/>
        <w:spacing w:line="360" w:lineRule="auto"/>
        <w:jc w:val="both"/>
        <w:rPr>
          <w:rFonts w:ascii="Times New Roman" w:cs="Times New Roman" w:eastAsia="Times New Roman" w:hAnsi="Times New Roman"/>
          <w:b w:val="1"/>
          <w:sz w:val="24"/>
          <w:szCs w:val="24"/>
        </w:rPr>
      </w:pPr>
      <w:bookmarkStart w:colFirst="0" w:colLast="0" w:name="_nk7omgv4si6" w:id="1"/>
      <w:bookmarkEnd w:id="1"/>
      <w:r w:rsidDel="00000000" w:rsidR="00000000" w:rsidRPr="00000000">
        <w:rPr>
          <w:rFonts w:ascii="Times New Roman" w:cs="Times New Roman" w:eastAsia="Times New Roman" w:hAnsi="Times New Roman"/>
          <w:b w:val="1"/>
          <w:sz w:val="24"/>
          <w:szCs w:val="24"/>
          <w:rtl w:val="0"/>
        </w:rPr>
        <w:t xml:space="preserve">2- Objetivos</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Analizar el impacto del proceso de transformación digital implementado en la Unidad Operativa de Contrataciones (UOC) del CRUC IUA, focalizando en las competencias técnicas requeridas y las estrategias de formación implementadas. A partir del relevamiento de experiencias del personal, se busca identificar brechas de capacidades, desafíos operativos y oportunidades de mejora en el uso de herramientas digitales.</w:t>
      </w:r>
    </w:p>
    <w:p w:rsidR="00000000" w:rsidDel="00000000" w:rsidP="00000000" w:rsidRDefault="00000000" w:rsidRPr="00000000" w14:paraId="0000002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Style w:val="Title"/>
        <w:spacing w:line="360" w:lineRule="auto"/>
        <w:jc w:val="both"/>
        <w:rPr>
          <w:rFonts w:ascii="Times New Roman" w:cs="Times New Roman" w:eastAsia="Times New Roman" w:hAnsi="Times New Roman"/>
          <w:b w:val="1"/>
          <w:sz w:val="24"/>
          <w:szCs w:val="24"/>
        </w:rPr>
      </w:pPr>
      <w:bookmarkStart w:colFirst="0" w:colLast="0" w:name="_n8muk7xbshv" w:id="2"/>
      <w:bookmarkEnd w:id="2"/>
      <w:r w:rsidDel="00000000" w:rsidR="00000000" w:rsidRPr="00000000">
        <w:rPr>
          <w:rFonts w:ascii="Times New Roman" w:cs="Times New Roman" w:eastAsia="Times New Roman" w:hAnsi="Times New Roman"/>
          <w:b w:val="1"/>
          <w:sz w:val="24"/>
          <w:szCs w:val="24"/>
          <w:rtl w:val="0"/>
        </w:rPr>
        <w:t xml:space="preserve">3- Metodología</w:t>
      </w:r>
    </w:p>
    <w:p w:rsidR="00000000" w:rsidDel="00000000" w:rsidP="00000000" w:rsidRDefault="00000000" w:rsidRPr="00000000" w14:paraId="0000002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estudio se enmarca dentro de un enfoque cualitativo, con el propósito de comprender en profundidad las implicancias del proceso de transformación digital en la Unidad Operativa de Contrataciones (UOC) del CRUC IUA. Se adoptó un diseño exploratorio- descriptivo, adecuado para indagar fenómenos en contextos específicos y en escasa sistematización previa de este tipo de estudio.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emplearon dos técnicas principales para la recolección de datos. En primer lugar, se realizaron entrevistas semiestructuradas a agentes del área de contrataciones que participaron activamente en la implementación y operación cotidiana de los sistemas digitales (COMPR.AR, GDE, SIGEN Online, entre otros). Estas entrevistas fueron grabadas, transcritas y posteriormente analizadas de manera temática.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segundo lugar, se efectúo un análisis documental de fuentes normativas y operativas relevantes, tales como disposiciones de la Oficina Nacional de Contrataciones (ONC), comunicaciones internas del Estado Mayor de la FAA, manuales de uso de las plataformas digitales, y material formativo proporcionado por el Instituto Nacional de la Administración Pública (INAP) y la Dirección General de Intendencia.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triangulación de ambas fuentes permitió identificar tensiones, logros, dificultades y aprendizajes organizacionales vinculados a la transformación digital y su impacto en las competencias técnicas del personal.  Asimismo, se analizaron las estrategias formativas implementadas y su contribución a la sostenibilidad del procesos de digitalización en la gestión administrativa. </w:t>
      </w:r>
    </w:p>
    <w:p w:rsidR="00000000" w:rsidDel="00000000" w:rsidP="00000000" w:rsidRDefault="00000000" w:rsidRPr="00000000" w14:paraId="0000002B">
      <w:pPr>
        <w:pStyle w:val="Title"/>
        <w:spacing w:line="360" w:lineRule="auto"/>
        <w:jc w:val="both"/>
        <w:rPr>
          <w:rFonts w:ascii="Times New Roman" w:cs="Times New Roman" w:eastAsia="Times New Roman" w:hAnsi="Times New Roman"/>
          <w:b w:val="1"/>
          <w:sz w:val="24"/>
          <w:szCs w:val="24"/>
        </w:rPr>
      </w:pPr>
      <w:bookmarkStart w:colFirst="0" w:colLast="0" w:name="_1pae6q6rytol" w:id="3"/>
      <w:bookmarkEnd w:id="3"/>
      <w:r w:rsidDel="00000000" w:rsidR="00000000" w:rsidRPr="00000000">
        <w:rPr>
          <w:rtl w:val="0"/>
        </w:rPr>
      </w:r>
    </w:p>
    <w:p w:rsidR="00000000" w:rsidDel="00000000" w:rsidP="00000000" w:rsidRDefault="00000000" w:rsidRPr="00000000" w14:paraId="0000002C">
      <w:pPr>
        <w:pStyle w:val="Title"/>
        <w:spacing w:line="360" w:lineRule="auto"/>
        <w:jc w:val="both"/>
        <w:rPr>
          <w:rFonts w:ascii="Times New Roman" w:cs="Times New Roman" w:eastAsia="Times New Roman" w:hAnsi="Times New Roman"/>
          <w:b w:val="1"/>
          <w:sz w:val="24"/>
          <w:szCs w:val="24"/>
        </w:rPr>
      </w:pPr>
      <w:bookmarkStart w:colFirst="0" w:colLast="0" w:name="_ufqkr19hs7zg" w:id="4"/>
      <w:bookmarkEnd w:id="4"/>
      <w:r w:rsidDel="00000000" w:rsidR="00000000" w:rsidRPr="00000000">
        <w:rPr>
          <w:rFonts w:ascii="Times New Roman" w:cs="Times New Roman" w:eastAsia="Times New Roman" w:hAnsi="Times New Roman"/>
          <w:b w:val="1"/>
          <w:sz w:val="24"/>
          <w:szCs w:val="24"/>
          <w:rtl w:val="0"/>
        </w:rPr>
        <w:t xml:space="preserve">4- Digitalización y nuevas competencias en la gestión organizacional actual</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evolución del contexto en el cual se encuentran inmersas las organizaciones, permite identificar tendencias que transforman la manera en que estas ejecutan sus actividades. La evolución de la tecnología, la automatización, el desarrollo de inteligencia artificial, entre otros, son variables que impactan directamente en la definición de las tareas. De esta forma, según estudios de la World Economic Forum (WEF), se espera que la transformación estructural del empleo en el período 2025-2030 constituya la destrucción de un 8% del empleo total y la creación de un 14% del empleo total actual. Este impacto viene dado por el reemplazo de tareas repetitivas, de bajo valor agregado, por sistemas y robots automatizados que pueden obtener resultados más eficientes y con menos riesgos. La caída en la demanda de trabajadores abocados a este tipo de actividades, se ve compensada por el incremento en la demanda de empleos que requieren de conocimientos matemáticos, científicos, tecnológicos, creativos y artísticos (Corrales Bonilla, Ribeiro, Gomes, 2021). En este sentido se puede mencionar que la digitalización ha producido un aumento en la demanda de profesionales con habilidades técnicas vinculadas a la ciberseguridad, inteligencia artificial y almacenamiento de información en la nube, que no se encuentra cubierta (Caiza Pastuña, Callan Bacilio, 2025)</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organizaciones, públicas y privadas, necesitan desarrollar competencias en sus colaboradores de manera que puedan satisfacer las necesidades de adopción de nuevas tecnologías. Se torna fundamental identificar factores que inciden en la consolidación de habilidades y capacidades. El uso de aplicaciones inteligentes aumenta la productividad de los procesos pero para eso los colaboradores requieren competencias que permitan analizar e interpretar datos para la toma de decisiones, poniendo en juego la creatividad, la cooperación, la orientación a la eficiencia y la resolución de problemas complejos (Corrales Bonilla, Ribeiro, Gomes, 2021).</w:t>
      </w:r>
    </w:p>
    <w:p w:rsidR="00000000" w:rsidDel="00000000" w:rsidP="00000000" w:rsidRDefault="00000000" w:rsidRPr="00000000" w14:paraId="00000031">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Competencias</w:t>
      </w:r>
    </w:p>
    <w:p w:rsidR="00000000" w:rsidDel="00000000" w:rsidP="00000000" w:rsidRDefault="00000000" w:rsidRPr="00000000" w14:paraId="0000003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puede definir las competencias como “el conjunto</w:t>
      </w:r>
      <w:r w:rsidDel="00000000" w:rsidR="00000000" w:rsidRPr="00000000">
        <w:rPr>
          <w:rFonts w:ascii="Times New Roman" w:cs="Times New Roman" w:eastAsia="Times New Roman" w:hAnsi="Times New Roman"/>
          <w:sz w:val="24"/>
          <w:szCs w:val="24"/>
          <w:rtl w:val="0"/>
        </w:rPr>
        <w:t xml:space="preserve"> de conocimientos, habilidades y actitudes que de forma combinada posibilitan el desempeño de las tareas. Son lo que saben hacer los empleados, y esto es diferente a las tareas, que es lo que hacen en un determinado momento” (López, 2022)</w:t>
      </w:r>
      <w:r w:rsidDel="00000000" w:rsidR="00000000" w:rsidRPr="00000000">
        <w:rPr>
          <w:rtl w:val="0"/>
        </w:rPr>
      </w:r>
    </w:p>
    <w:p w:rsidR="00000000" w:rsidDel="00000000" w:rsidP="00000000" w:rsidRDefault="00000000" w:rsidRPr="00000000" w14:paraId="0000003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fundamental desarrollar tanto competencias técnicas como comportamentales. Aunque las técnicas pueden aprenderse, las organizaciones deben enfocarse especialmente en las competencias humanas, ya que son más difíciles de adquirir y constituyen una ventaja frente a las máquinas. Según el modelo de Hecklau et al. (2017) y considerando el sector económico de las empresas, se pueden identificar ocho competencias clave: seis comportamentales (Adaptabilidad, Comunicación Asertiva, Organización, Empatía, Pensamiento Crítico y Planificación Estratégica) y dos técnicas (Análisis de Datos y Experiencia de Usuario).</w:t>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Caiza Pastuña y Callan Bacilio (2025), en la era digital se distinguen nuevas competencias que deben desarrollarse eficazmente para transitar el entorno cambiante : </w:t>
      </w:r>
    </w:p>
    <w:p w:rsidR="00000000" w:rsidDel="00000000" w:rsidP="00000000" w:rsidRDefault="00000000" w:rsidRPr="00000000" w14:paraId="00000035">
      <w:pPr>
        <w:numPr>
          <w:ilvl w:val="0"/>
          <w:numId w:val="7"/>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Competencias digitales, relativas al manejo de tecnologías, análisis de datos, uso de plataformas informáticas.</w:t>
      </w:r>
    </w:p>
    <w:p w:rsidR="00000000" w:rsidDel="00000000" w:rsidP="00000000" w:rsidRDefault="00000000" w:rsidRPr="00000000" w14:paraId="00000036">
      <w:pPr>
        <w:numPr>
          <w:ilvl w:val="0"/>
          <w:numId w:val="7"/>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Habilidades socioemocionales, lograr un ambiente de colaboración a través de la administración de una comunicación efectiva y empatía con los demás.</w:t>
      </w:r>
    </w:p>
    <w:p w:rsidR="00000000" w:rsidDel="00000000" w:rsidP="00000000" w:rsidRDefault="00000000" w:rsidRPr="00000000" w14:paraId="00000037">
      <w:pPr>
        <w:numPr>
          <w:ilvl w:val="0"/>
          <w:numId w:val="7"/>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Gestión del cambio, fundamental para liderar y administrar procesos de transformación organizacional, impulsando la innovación en los equipos de trabajo.</w:t>
      </w:r>
    </w:p>
    <w:p w:rsidR="00000000" w:rsidDel="00000000" w:rsidP="00000000" w:rsidRDefault="00000000" w:rsidRPr="00000000" w14:paraId="00000038">
      <w:pPr>
        <w:numPr>
          <w:ilvl w:val="0"/>
          <w:numId w:val="7"/>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Pensamiento crítico y resolución de problemas, que permite decidir estratégicamente luego de un análisis completo de datos relevados.</w:t>
      </w:r>
      <w:r w:rsidDel="00000000" w:rsidR="00000000" w:rsidRPr="00000000">
        <w:rPr>
          <w:rtl w:val="0"/>
        </w:rPr>
      </w:r>
    </w:p>
    <w:p w:rsidR="00000000" w:rsidDel="00000000" w:rsidP="00000000" w:rsidRDefault="00000000" w:rsidRPr="00000000" w14:paraId="00000039">
      <w:pPr>
        <w:shd w:fill="ffffff" w:val="clear"/>
        <w:spacing w:after="20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competencia digital se entiende como:</w:t>
      </w:r>
    </w:p>
    <w:p w:rsidR="00000000" w:rsidDel="00000000" w:rsidP="00000000" w:rsidRDefault="00000000" w:rsidRPr="00000000" w14:paraId="0000003A">
      <w:pPr>
        <w:spacing w:after="200" w:before="200" w:line="480" w:lineRule="auto"/>
        <w:ind w:left="600" w:right="6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conjunto de conocimientos, habilidades, actitudes, estrategias para el uso consciente de TIC y de los medios digitales para: resolver problemas, comunicar, gestionar la información, colaborar, crear, compartir contenidos y generar conocimiento de forma para el trabajo, el ocio, la participación, el aprendizaje, la socialización, el consumo y el empoderamiento” (Ferrari, 2012, p.30).</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resultado de considerar estas habilidades en organizaciones relacionadas al estado es u</w:t>
      </w:r>
      <w:r w:rsidDel="00000000" w:rsidR="00000000" w:rsidRPr="00000000">
        <w:rPr>
          <w:rFonts w:ascii="Times New Roman" w:cs="Times New Roman" w:eastAsia="Times New Roman" w:hAnsi="Times New Roman"/>
          <w:sz w:val="24"/>
          <w:szCs w:val="24"/>
          <w:rtl w:val="0"/>
        </w:rPr>
        <w:t xml:space="preserve">n nuevo concepto de puesto en el que se plasme claramente aquello que realmente debe realizar la persona que lo ocupe, pero con un nivel de detalle (especialización) y actualización (flexibilidad) acorde con los objetivos y evolución de la política pública o servicio público al que se vincula (Ramió, 2018,p. 118).</w:t>
      </w:r>
    </w:p>
    <w:p w:rsidR="00000000" w:rsidDel="00000000" w:rsidP="00000000" w:rsidRDefault="00000000" w:rsidRPr="00000000" w14:paraId="0000003C">
      <w:pPr>
        <w:spacing w:after="200" w:before="200" w:line="360" w:lineRule="auto"/>
        <w:ind w:left="0" w:right="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86yafdpg3mhf" w:id="5"/>
      <w:bookmarkEnd w:id="5"/>
      <w:r w:rsidDel="00000000" w:rsidR="00000000" w:rsidRPr="00000000">
        <w:rPr>
          <w:rFonts w:ascii="Times New Roman" w:cs="Times New Roman" w:eastAsia="Times New Roman" w:hAnsi="Times New Roman"/>
          <w:b w:val="1"/>
          <w:color w:val="000000"/>
          <w:sz w:val="24"/>
          <w:szCs w:val="24"/>
          <w:rtl w:val="0"/>
        </w:rPr>
        <w:t xml:space="preserve">5- Estrategias puestas en marcha en la UOC de la FAA</w:t>
      </w:r>
    </w:p>
    <w:p w:rsidR="00000000" w:rsidDel="00000000" w:rsidP="00000000" w:rsidRDefault="00000000" w:rsidRPr="00000000" w14:paraId="0000003E">
      <w:pPr>
        <w:pStyle w:val="Heading3"/>
        <w:keepNext w:val="0"/>
        <w:keepLines w:val="0"/>
        <w:numPr>
          <w:ilvl w:val="0"/>
          <w:numId w:val="6"/>
        </w:numPr>
        <w:spacing w:before="280" w:line="360" w:lineRule="auto"/>
        <w:ind w:left="720" w:hanging="360"/>
        <w:jc w:val="both"/>
        <w:rPr>
          <w:rFonts w:ascii="Times New Roman" w:cs="Times New Roman" w:eastAsia="Times New Roman" w:hAnsi="Times New Roman"/>
          <w:b w:val="1"/>
          <w:color w:val="000000"/>
          <w:sz w:val="24"/>
          <w:szCs w:val="24"/>
          <w:u w:val="none"/>
        </w:rPr>
      </w:pPr>
      <w:bookmarkStart w:colFirst="0" w:colLast="0" w:name="_jng50a58q1h7" w:id="6"/>
      <w:bookmarkEnd w:id="6"/>
      <w:r w:rsidDel="00000000" w:rsidR="00000000" w:rsidRPr="00000000">
        <w:rPr>
          <w:rFonts w:ascii="Times New Roman" w:cs="Times New Roman" w:eastAsia="Times New Roman" w:hAnsi="Times New Roman"/>
          <w:b w:val="1"/>
          <w:color w:val="000000"/>
          <w:sz w:val="24"/>
          <w:szCs w:val="24"/>
          <w:rtl w:val="0"/>
        </w:rPr>
        <w:t xml:space="preserve">Implementación de sistemas </w:t>
      </w:r>
      <w:r w:rsidDel="00000000" w:rsidR="00000000" w:rsidRPr="00000000">
        <w:rPr>
          <w:rtl w:val="0"/>
        </w:rPr>
      </w:r>
    </w:p>
    <w:p w:rsidR="00000000" w:rsidDel="00000000" w:rsidP="00000000" w:rsidRDefault="00000000" w:rsidRPr="00000000" w14:paraId="0000003F">
      <w:pPr>
        <w:spacing w:after="240" w:before="240" w:line="360" w:lineRule="auto"/>
        <w:jc w:val="both"/>
        <w:rPr>
          <w:rFonts w:ascii="Times New Roman" w:cs="Times New Roman" w:eastAsia="Times New Roman" w:hAnsi="Times New Roman"/>
          <w:sz w:val="24"/>
          <w:szCs w:val="24"/>
          <w:highlight w:val="red"/>
        </w:rPr>
      </w:pPr>
      <w:r w:rsidDel="00000000" w:rsidR="00000000" w:rsidRPr="00000000">
        <w:rPr>
          <w:rFonts w:ascii="Times New Roman" w:cs="Times New Roman" w:eastAsia="Times New Roman" w:hAnsi="Times New Roman"/>
          <w:sz w:val="24"/>
          <w:szCs w:val="24"/>
          <w:rtl w:val="0"/>
        </w:rPr>
        <w:t xml:space="preserve">La transformación digital en la Unidad de Contrataciones de la Fuerza Aérea Argentina se materializó a partir de la implementación del sistema electrónico de compras COMPR.AR y otras plataformas asociadas como el sistema GDE (Gestión Documental Electrónica) y SIGEN Online.  Este proceso, enmarcado en las disposiciones de la Oficina Nacional de Contrataciones (ONC), representó un cambio estructural en la modalidad de gestión administrativa, reemplazando el trabajo en papel y sistemas previos por soluciones digitales integrales.</w:t>
      </w:r>
      <w:r w:rsidDel="00000000" w:rsidR="00000000" w:rsidRPr="00000000">
        <w:rPr>
          <w:rtl w:val="0"/>
        </w:rPr>
      </w:r>
    </w:p>
    <w:p w:rsidR="00000000" w:rsidDel="00000000" w:rsidP="00000000" w:rsidRDefault="00000000" w:rsidRPr="00000000" w14:paraId="0000004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El sistema </w:t>
      </w:r>
      <w:r w:rsidDel="00000000" w:rsidR="00000000" w:rsidRPr="00000000">
        <w:rPr>
          <w:rFonts w:ascii="Times New Roman" w:cs="Times New Roman" w:eastAsia="Times New Roman" w:hAnsi="Times New Roman"/>
          <w:b w:val="1"/>
          <w:sz w:val="24"/>
          <w:szCs w:val="24"/>
          <w:rtl w:val="0"/>
        </w:rPr>
        <w:t xml:space="preserve">COMPR.AR</w:t>
      </w:r>
      <w:r w:rsidDel="00000000" w:rsidR="00000000" w:rsidRPr="00000000">
        <w:rPr>
          <w:rFonts w:ascii="Times New Roman" w:cs="Times New Roman" w:eastAsia="Times New Roman" w:hAnsi="Times New Roman"/>
          <w:sz w:val="24"/>
          <w:szCs w:val="24"/>
          <w:rtl w:val="0"/>
        </w:rPr>
        <w:t xml:space="preserve"> es un portal de gestión de compras públicas de la República Argentina, las entidades gubernamentales publican los procesos de compras y los proveedores pueden presentar sus propuestas. Su implementación por parte del Estado tuvo como principal objetivo mejorar la eficiencia y la transparencia de las compras y contrataciones que realiza. A su vez, e</w:t>
      </w:r>
      <w:r w:rsidDel="00000000" w:rsidR="00000000" w:rsidRPr="00000000">
        <w:rPr>
          <w:rFonts w:ascii="Times New Roman" w:cs="Times New Roman" w:eastAsia="Times New Roman" w:hAnsi="Times New Roman"/>
          <w:sz w:val="24"/>
          <w:szCs w:val="24"/>
          <w:rtl w:val="0"/>
        </w:rPr>
        <w:t xml:space="preserve">l sistema 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GDE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Gestión Documental Electrónica, como su siglas lo indica es una plataforma utilizada por el sector público nacional para la gestión, tramitación, archivo y resguardo de la documentación, contribuye a un gran avance hacia la despapelización de la administración pública.</w:t>
      </w:r>
      <w:r w:rsidDel="00000000" w:rsidR="00000000" w:rsidRPr="00000000">
        <w:rPr>
          <w:rFonts w:ascii="Times New Roman" w:cs="Times New Roman" w:eastAsia="Times New Roman" w:hAnsi="Times New Roman"/>
          <w:sz w:val="24"/>
          <w:szCs w:val="24"/>
          <w:highlight w:val="white"/>
          <w:rtl w:val="0"/>
        </w:rPr>
        <w:t xml:space="preserve"> SIGEN Online (Sindicatura General de la Nación) y  SIPRO</w:t>
      </w:r>
      <w:r w:rsidDel="00000000" w:rsidR="00000000" w:rsidRPr="00000000">
        <w:rPr>
          <w:rFonts w:ascii="Times New Roman" w:cs="Times New Roman" w:eastAsia="Times New Roman" w:hAnsi="Times New Roman"/>
          <w:sz w:val="24"/>
          <w:szCs w:val="24"/>
          <w:rtl w:val="0"/>
        </w:rPr>
        <w:t xml:space="preserve"> entre las principales. SIPRO es un </w:t>
      </w:r>
      <w:r w:rsidDel="00000000" w:rsidR="00000000" w:rsidRPr="00000000">
        <w:rPr>
          <w:rFonts w:ascii="Times New Roman" w:cs="Times New Roman" w:eastAsia="Times New Roman" w:hAnsi="Times New Roman"/>
          <w:color w:val="141414"/>
          <w:sz w:val="24"/>
          <w:szCs w:val="24"/>
          <w:highlight w:val="white"/>
          <w:rtl w:val="0"/>
        </w:rPr>
        <w:t xml:space="preserve">Sistema de Información de Proveedores (SIPRO), todo proveedor que desee contratar con la Administración Pública Nacional debe inscribirse en dicho portal.</w:t>
      </w:r>
      <w:r w:rsidDel="00000000" w:rsidR="00000000" w:rsidRPr="00000000">
        <w:rPr>
          <w:rFonts w:ascii="Times New Roman" w:cs="Times New Roman" w:eastAsia="Times New Roman" w:hAnsi="Times New Roman"/>
          <w:sz w:val="24"/>
          <w:szCs w:val="24"/>
          <w:rtl w:val="0"/>
        </w:rPr>
        <w:br w:type="textWrapping"/>
        <w:t xml:space="preserve">La adopción del sistema COMPR.AR fue</w:t>
      </w:r>
      <w:r w:rsidDel="00000000" w:rsidR="00000000" w:rsidRPr="00000000">
        <w:rPr>
          <w:rFonts w:ascii="Times New Roman" w:cs="Times New Roman" w:eastAsia="Times New Roman" w:hAnsi="Times New Roman"/>
          <w:sz w:val="24"/>
          <w:szCs w:val="24"/>
          <w:rtl w:val="0"/>
        </w:rPr>
        <w:t xml:space="preserve"> progresiva y escalonada, según el cronograma estipulado por la ONC, a través de disposiciones formales comunicadas desde 2016. En el caso de la Fuerza Aérea Argentina, la implementación oficial se inició en enero de 2018, tras una comunicación específica del Estado Mayor General que establecía el carácter obligatorio del nuevo sistema para toda la jurisdicción. </w:t>
      </w:r>
      <w:r w:rsidDel="00000000" w:rsidR="00000000" w:rsidRPr="00000000">
        <w:rPr>
          <w:rFonts w:ascii="Times New Roman" w:cs="Times New Roman" w:eastAsia="Times New Roman" w:hAnsi="Times New Roman"/>
          <w:sz w:val="24"/>
          <w:szCs w:val="24"/>
          <w:rtl w:val="0"/>
        </w:rPr>
        <w:t xml:space="preserve">Previamente, durante 2016 y 2017, se emitieron disposiciones generales desde la ONC (como la Comunicación 46 del 19 de julio de 2016) que anunciaban la incorporación gradual del sistema digital en las distintas jurisdicciones del Estado nacional. Sin embargo, la incorporación efectiva en la UOC de la FAA se dio a partir del </w:t>
      </w:r>
      <w:r w:rsidDel="00000000" w:rsidR="00000000" w:rsidRPr="00000000">
        <w:rPr>
          <w:rFonts w:ascii="Times New Roman" w:cs="Times New Roman" w:eastAsia="Times New Roman" w:hAnsi="Times New Roman"/>
          <w:sz w:val="24"/>
          <w:szCs w:val="24"/>
          <w:rtl w:val="0"/>
        </w:rPr>
        <w:t xml:space="preserve">5 de octubre de 2018, c</w:t>
      </w:r>
      <w:r w:rsidDel="00000000" w:rsidR="00000000" w:rsidRPr="00000000">
        <w:rPr>
          <w:rFonts w:ascii="Times New Roman" w:cs="Times New Roman" w:eastAsia="Times New Roman" w:hAnsi="Times New Roman"/>
          <w:sz w:val="24"/>
          <w:szCs w:val="24"/>
          <w:rtl w:val="0"/>
        </w:rPr>
        <w:t xml:space="preserve">on un trabajo previo de adecuación y capacitación que comenzó meses antes. La implementación no se limitó a la incorporación del sistema COMPR.AR, sino que también implicó la transición de la gestión documental hacia el sistema GDE, y posteriormente la digitalización de otras etapas como la </w:t>
      </w:r>
      <w:r w:rsidDel="00000000" w:rsidR="00000000" w:rsidRPr="00000000">
        <w:rPr>
          <w:rFonts w:ascii="Times New Roman" w:cs="Times New Roman" w:eastAsia="Times New Roman" w:hAnsi="Times New Roman"/>
          <w:sz w:val="24"/>
          <w:szCs w:val="24"/>
          <w:rtl w:val="0"/>
        </w:rPr>
        <w:t xml:space="preserve">recepción de bienes,</w:t>
      </w:r>
      <w:r w:rsidDel="00000000" w:rsidR="00000000" w:rsidRPr="00000000">
        <w:rPr>
          <w:rFonts w:ascii="Times New Roman" w:cs="Times New Roman" w:eastAsia="Times New Roman" w:hAnsi="Times New Roman"/>
          <w:sz w:val="24"/>
          <w:szCs w:val="24"/>
          <w:rtl w:val="0"/>
        </w:rPr>
        <w:t xml:space="preserve"> que hasta 2022 se realizaba por fuera del sistema. Esta última etapa fue incorporada en 2023 a través de una disposición de la Dirección General de Intendencia, acompañada de nuevas capacitaciones y asignación de roles específicos para los responsables de esa función.</w:t>
      </w:r>
    </w:p>
    <w:p w:rsidR="00000000" w:rsidDel="00000000" w:rsidP="00000000" w:rsidRDefault="00000000" w:rsidRPr="00000000" w14:paraId="00000041">
      <w:pPr>
        <w:numPr>
          <w:ilvl w:val="0"/>
          <w:numId w:val="6"/>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Capacitación del personal</w:t>
      </w:r>
    </w:p>
    <w:p w:rsidR="00000000" w:rsidDel="00000000" w:rsidP="00000000" w:rsidRDefault="00000000" w:rsidRPr="00000000" w14:paraId="0000004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 la capacitación del personal fue uno de los pilares fundamentales del proceso, aunque tuvo características dispares. Inicialmente, las instancias de formación fueron algo </w:t>
      </w:r>
      <w:r w:rsidDel="00000000" w:rsidR="00000000" w:rsidRPr="00000000">
        <w:rPr>
          <w:rFonts w:ascii="Times New Roman" w:cs="Times New Roman" w:eastAsia="Times New Roman" w:hAnsi="Times New Roman"/>
          <w:sz w:val="24"/>
          <w:szCs w:val="24"/>
          <w:rtl w:val="0"/>
        </w:rPr>
        <w:t xml:space="preserve">breves y generales</w:t>
      </w:r>
      <w:r w:rsidDel="00000000" w:rsidR="00000000" w:rsidRPr="00000000">
        <w:rPr>
          <w:rFonts w:ascii="Times New Roman" w:cs="Times New Roman" w:eastAsia="Times New Roman" w:hAnsi="Times New Roman"/>
          <w:sz w:val="24"/>
          <w:szCs w:val="24"/>
          <w:rtl w:val="0"/>
        </w:rPr>
        <w:t xml:space="preserve">, basadas en presentaciones en PowerPoint y sin instancias de aplicación práctica. Esta modalidad resultó limitada para la apropiación efectiva del sistema, especialmente entre los agentes con menor familiaridad con herramientas digitales. En cuanto a la asignación de roles y accesos, cada integrante del equipo recibió una asignación para poder operar dentro del sistema (operador, evaluador, firmante, etc.), dichos permisos o asignaciones fueron solicitados formalmente ante la ONC a través del órgano rector (la Dirección General de Intendencia). Estos roles determinaban las acciones posibles dentro del sistema y permitían segmentar las tareas según las etapas del procedimiento de contratación.</w:t>
      </w:r>
    </w:p>
    <w:p w:rsidR="00000000" w:rsidDel="00000000" w:rsidP="00000000" w:rsidRDefault="00000000" w:rsidRPr="00000000" w14:paraId="0000004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Posteriormente, y ante la necesidad de profundizar la formación, se establecieron capacitaciones recurrentes dictadas por la Dirección General de Intendencia, tanto presenciales como virtuales. Además, la unidad fomenta instancias internas de aprendizaje colaborativo, mediante reuniones, consultas entre pares, y el uso de canales en redes sociales,  como grupos de WhatsApp que permitieron resolver dudas de manera ágil</w:t>
      </w:r>
      <w:r w:rsidDel="00000000" w:rsidR="00000000" w:rsidRPr="00000000">
        <w:rPr>
          <w:rFonts w:ascii="Times New Roman" w:cs="Times New Roman" w:eastAsia="Times New Roman" w:hAnsi="Times New Roman"/>
          <w:sz w:val="24"/>
          <w:szCs w:val="24"/>
          <w:rtl w:val="0"/>
        </w:rPr>
        <w:t xml:space="preserve">. La capacitación también incluyó cursos en plataformas externas como INAP, y se incorporaron propuestas de formación en herramientas informáticas complementarias (Excel, bases de datos, etc.), que son claves para el desempeño eficaz en entornos digitalizados.</w:t>
      </w:r>
    </w:p>
    <w:p w:rsidR="00000000" w:rsidDel="00000000" w:rsidP="00000000" w:rsidRDefault="00000000" w:rsidRPr="00000000" w14:paraId="00000044">
      <w:pPr>
        <w:numPr>
          <w:ilvl w:val="0"/>
          <w:numId w:val="8"/>
        </w:numPr>
        <w:spacing w:after="240" w:before="24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Cambios estructurales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Cambios en la estructura es una consecuencia lógica de la transformación digital, y este caso no fue la excepción. En cuanto al proceso de compra inicialmente, se centralizaba el trabajo en una única unidad de compras, lo que generaba errores en la identificación de expedientes y una sobrecarga operativa. </w:t>
      </w:r>
      <w:r w:rsidDel="00000000" w:rsidR="00000000" w:rsidRPr="00000000">
        <w:rPr>
          <w:rFonts w:ascii="Times New Roman" w:cs="Times New Roman" w:eastAsia="Times New Roman" w:hAnsi="Times New Roman"/>
          <w:sz w:val="24"/>
          <w:szCs w:val="24"/>
          <w:rtl w:val="0"/>
        </w:rPr>
        <w:t xml:space="preserve">Como respuesta, se reconfiguraron </w:t>
      </w:r>
      <w:r w:rsidDel="00000000" w:rsidR="00000000" w:rsidRPr="00000000">
        <w:rPr>
          <w:rFonts w:ascii="Times New Roman" w:cs="Times New Roman" w:eastAsia="Times New Roman" w:hAnsi="Times New Roman"/>
          <w:b w:val="1"/>
          <w:sz w:val="24"/>
          <w:szCs w:val="24"/>
          <w:rtl w:val="0"/>
        </w:rPr>
        <w:t xml:space="preserve">cuatro UOC</w:t>
      </w:r>
      <w:r w:rsidDel="00000000" w:rsidR="00000000" w:rsidRPr="00000000">
        <w:rPr>
          <w:rFonts w:ascii="Times New Roman" w:cs="Times New Roman" w:eastAsia="Times New Roman" w:hAnsi="Times New Roman"/>
          <w:sz w:val="24"/>
          <w:szCs w:val="24"/>
          <w:rtl w:val="0"/>
        </w:rPr>
        <w:t xml:space="preserve">, divididos por áreas: el Instituto Universitario Aeronáutico (IUA), escuelas oficiales, el hospital militar y otras unidades menores. Esta reorganización mejoró la trazabilidad, redujo los errores y facilitó la identificación de responsables en cada etapa del proceso. A medida que se detectan errores, limitaciones o necesidades particulares del uso cotidiano, se fueron  incorporando </w:t>
      </w:r>
      <w:r w:rsidDel="00000000" w:rsidR="00000000" w:rsidRPr="00000000">
        <w:rPr>
          <w:rFonts w:ascii="Times New Roman" w:cs="Times New Roman" w:eastAsia="Times New Roman" w:hAnsi="Times New Roman"/>
          <w:sz w:val="24"/>
          <w:szCs w:val="24"/>
          <w:rtl w:val="0"/>
        </w:rPr>
        <w:t xml:space="preserve">ajustes funcionales en el sistema</w:t>
      </w:r>
      <w:r w:rsidDel="00000000" w:rsidR="00000000" w:rsidRPr="00000000">
        <w:rPr>
          <w:rFonts w:ascii="Times New Roman" w:cs="Times New Roman" w:eastAsia="Times New Roman" w:hAnsi="Times New Roman"/>
          <w:sz w:val="24"/>
          <w:szCs w:val="24"/>
          <w:rtl w:val="0"/>
        </w:rPr>
        <w:t xml:space="preserve">. Cuando se detecta una necesidad el procedimiento que se lleva a cabo se basa en canalizar mediante un sistema de tickets dirigidos a la ONC, quién evalúa, orienta y corrige los problemas en caso de ser necesario. </w:t>
      </w:r>
    </w:p>
    <w:p w:rsidR="00000000" w:rsidDel="00000000" w:rsidP="00000000" w:rsidRDefault="00000000" w:rsidRPr="00000000" w14:paraId="00000046">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numPr>
          <w:ilvl w:val="0"/>
          <w:numId w:val="3"/>
        </w:numPr>
        <w:spacing w:after="240" w:before="24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Gestión de resistencias</w:t>
      </w:r>
    </w:p>
    <w:p w:rsidR="00000000" w:rsidDel="00000000" w:rsidP="00000000" w:rsidRDefault="00000000" w:rsidRPr="00000000" w14:paraId="0000004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resistencias ante el cambio fueron abordadas desde una perspectiva organizacional basada en el acompañamiento, la capacitación constante y el fomento del aprendizaje entre pares. La </w:t>
      </w:r>
      <w:r w:rsidDel="00000000" w:rsidR="00000000" w:rsidRPr="00000000">
        <w:rPr>
          <w:rFonts w:ascii="Times New Roman" w:cs="Times New Roman" w:eastAsia="Times New Roman" w:hAnsi="Times New Roman"/>
          <w:sz w:val="24"/>
          <w:szCs w:val="24"/>
          <w:rtl w:val="0"/>
        </w:rPr>
        <w:t xml:space="preserve">práctica operativa </w:t>
      </w:r>
      <w:r w:rsidDel="00000000" w:rsidR="00000000" w:rsidRPr="00000000">
        <w:rPr>
          <w:rFonts w:ascii="Times New Roman" w:cs="Times New Roman" w:eastAsia="Times New Roman" w:hAnsi="Times New Roman"/>
          <w:sz w:val="24"/>
          <w:szCs w:val="24"/>
          <w:rtl w:val="0"/>
        </w:rPr>
        <w:t xml:space="preserve">fue la estrategia más eficaz para vencer las resistencias, superar la curva de aprendizaje y afianzar las competencias digitales necesarias. Los agentes entrevistados, valoran que las resistencias no se expresaron como rechazo abierto, sino más bien como </w:t>
      </w:r>
      <w:r w:rsidDel="00000000" w:rsidR="00000000" w:rsidRPr="00000000">
        <w:rPr>
          <w:rFonts w:ascii="Times New Roman" w:cs="Times New Roman" w:eastAsia="Times New Roman" w:hAnsi="Times New Roman"/>
          <w:sz w:val="24"/>
          <w:szCs w:val="24"/>
          <w:rtl w:val="0"/>
        </w:rPr>
        <w:t xml:space="preserve">miedo al error, inseguridad ante lo nuevo o preferencia por el papel</w:t>
      </w:r>
      <w:r w:rsidDel="00000000" w:rsidR="00000000" w:rsidRPr="00000000">
        <w:rPr>
          <w:rFonts w:ascii="Times New Roman" w:cs="Times New Roman" w:eastAsia="Times New Roman" w:hAnsi="Times New Roman"/>
          <w:sz w:val="24"/>
          <w:szCs w:val="24"/>
          <w:rtl w:val="0"/>
        </w:rPr>
        <w:t xml:space="preserve">. En algunos casos, por ejemplo personal próximo a jubilarse, se optó por reubicarse en otras funciones que no requirieron el uso intensivo del nuevo sistema.</w:t>
      </w:r>
    </w:p>
    <w:p w:rsidR="00000000" w:rsidDel="00000000" w:rsidP="00000000" w:rsidRDefault="00000000" w:rsidRPr="00000000" w14:paraId="00000049">
      <w:pPr>
        <w:numPr>
          <w:ilvl w:val="0"/>
          <w:numId w:val="4"/>
        </w:numPr>
        <w:spacing w:after="240" w:before="240"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Competencias identificadas</w:t>
      </w:r>
    </w:p>
    <w:p w:rsidR="00000000" w:rsidDel="00000000" w:rsidP="00000000" w:rsidRDefault="00000000" w:rsidRPr="00000000" w14:paraId="0000004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del modelo de Hecklau et al. (2017) se destacan algunas de las competencias clave, entre las comportamentales se encuentran:</w:t>
      </w:r>
    </w:p>
    <w:p w:rsidR="00000000" w:rsidDel="00000000" w:rsidP="00000000" w:rsidRDefault="00000000" w:rsidRPr="00000000" w14:paraId="0000004B">
      <w:pPr>
        <w:numPr>
          <w:ilvl w:val="0"/>
          <w:numId w:val="5"/>
        </w:numPr>
        <w:spacing w:after="0" w:afterAutospacing="0" w:before="24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Adaptabilidad, al incorporar las nuevas prácticas definidas para la gestión de las contrataciones, a través de Comprar, GDE, etc.</w:t>
      </w:r>
    </w:p>
    <w:p w:rsidR="00000000" w:rsidDel="00000000" w:rsidP="00000000" w:rsidRDefault="00000000" w:rsidRPr="00000000" w14:paraId="0000004C">
      <w:pPr>
        <w:numPr>
          <w:ilvl w:val="0"/>
          <w:numId w:val="5"/>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Comunicación Asertiva, las indicaciones señaladas en los manuales para el desarrollo de los procedimientos.</w:t>
      </w:r>
    </w:p>
    <w:p w:rsidR="00000000" w:rsidDel="00000000" w:rsidP="00000000" w:rsidRDefault="00000000" w:rsidRPr="00000000" w14:paraId="0000004D">
      <w:pPr>
        <w:numPr>
          <w:ilvl w:val="0"/>
          <w:numId w:val="5"/>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Organización, en la implementación, con la secuencia de reuniones y capacitaciones necesarias para llevar adelante los nuevos sistemas.</w:t>
      </w:r>
    </w:p>
    <w:p w:rsidR="00000000" w:rsidDel="00000000" w:rsidP="00000000" w:rsidRDefault="00000000" w:rsidRPr="00000000" w14:paraId="0000004E">
      <w:pPr>
        <w:numPr>
          <w:ilvl w:val="0"/>
          <w:numId w:val="5"/>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Empatía, para asistir a quienes tengan dificultades para ejecutar las nuevas tareas, brindando un marco de referencia para consultas en la gestión.</w:t>
      </w:r>
    </w:p>
    <w:p w:rsidR="00000000" w:rsidDel="00000000" w:rsidP="00000000" w:rsidRDefault="00000000" w:rsidRPr="00000000" w14:paraId="0000004F">
      <w:pPr>
        <w:numPr>
          <w:ilvl w:val="0"/>
          <w:numId w:val="5"/>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Pensamiento Crítico, para la resolución de situaciones problemáticas en la ejecución de los procedimientos, y </w:t>
      </w:r>
    </w:p>
    <w:p w:rsidR="00000000" w:rsidDel="00000000" w:rsidP="00000000" w:rsidRDefault="00000000" w:rsidRPr="00000000" w14:paraId="00000050">
      <w:pPr>
        <w:numPr>
          <w:ilvl w:val="0"/>
          <w:numId w:val="5"/>
        </w:numPr>
        <w:spacing w:after="24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Planificación Estratégica, definiendo la implementación de nuevos sistemas y su cronograma de ejecución.</w:t>
      </w:r>
    </w:p>
    <w:p w:rsidR="00000000" w:rsidDel="00000000" w:rsidP="00000000" w:rsidRDefault="00000000" w:rsidRPr="00000000" w14:paraId="0000005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Entre las técnicas:</w:t>
      </w:r>
    </w:p>
    <w:p w:rsidR="00000000" w:rsidDel="00000000" w:rsidP="00000000" w:rsidRDefault="00000000" w:rsidRPr="00000000" w14:paraId="00000052">
      <w:pPr>
        <w:numPr>
          <w:ilvl w:val="0"/>
          <w:numId w:val="2"/>
        </w:numPr>
        <w:spacing w:after="0" w:afterAutospacing="0" w:before="24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Análisis de Datos, evaluando los resultados obtenidos a fin de detectar fallos y sus correspondientes correcciones, y</w:t>
      </w:r>
    </w:p>
    <w:p w:rsidR="00000000" w:rsidDel="00000000" w:rsidP="00000000" w:rsidRDefault="00000000" w:rsidRPr="00000000" w14:paraId="00000053">
      <w:pPr>
        <w:numPr>
          <w:ilvl w:val="0"/>
          <w:numId w:val="2"/>
        </w:numPr>
        <w:spacing w:after="24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Experiencia de Usuario, en los diferentes perfiles, a fin de lograr sinergia en el proceso completo de contrataciones.</w:t>
      </w:r>
      <w:r w:rsidDel="00000000" w:rsidR="00000000" w:rsidRPr="00000000">
        <w:rPr>
          <w:rtl w:val="0"/>
        </w:rPr>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highlight w:val="darkBlue"/>
        </w:rPr>
      </w:pPr>
      <w:r w:rsidDel="00000000" w:rsidR="00000000" w:rsidRPr="00000000">
        <w:rPr>
          <w:rFonts w:ascii="Times New Roman" w:cs="Times New Roman" w:eastAsia="Times New Roman" w:hAnsi="Times New Roman"/>
          <w:b w:val="1"/>
          <w:sz w:val="24"/>
          <w:szCs w:val="24"/>
          <w:rtl w:val="0"/>
        </w:rPr>
        <w:t xml:space="preserve">6- Conclusiones </w:t>
      </w:r>
      <w:r w:rsidDel="00000000" w:rsidR="00000000" w:rsidRPr="00000000">
        <w:rPr>
          <w:rtl w:val="0"/>
        </w:rPr>
      </w:r>
    </w:p>
    <w:p w:rsidR="00000000" w:rsidDel="00000000" w:rsidP="00000000" w:rsidRDefault="00000000" w:rsidRPr="00000000" w14:paraId="0000005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experiencia de transformación digital en la Unidad Operativa de Contrataciones (UOC) del CRUC IUA permite visibilizar que la incorporación de tecnología en la administración pública trasciende lo meramente instrumental: exige liderazgo institucional, reorganización funcional, gestión del cambio y estrategias de formación continua. El proceso no fue solo técnico, sino profundamente organizacional, requiriendo adecuaciones progresivas,  normativas claras y acciones formativas sostenidas que habilitaron la construcción de capacidades internas. </w:t>
      </w:r>
    </w:p>
    <w:p w:rsidR="00000000" w:rsidDel="00000000" w:rsidP="00000000" w:rsidRDefault="00000000" w:rsidRPr="00000000" w14:paraId="0000005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implementación de sistemas como el </w:t>
      </w:r>
      <w:r w:rsidDel="00000000" w:rsidR="00000000" w:rsidRPr="00000000">
        <w:rPr>
          <w:rFonts w:ascii="Times New Roman" w:cs="Times New Roman" w:eastAsia="Times New Roman" w:hAnsi="Times New Roman"/>
          <w:sz w:val="24"/>
          <w:szCs w:val="24"/>
          <w:rtl w:val="0"/>
        </w:rPr>
        <w:t xml:space="preserve">COMPR.AR</w:t>
      </w:r>
      <w:r w:rsidDel="00000000" w:rsidR="00000000" w:rsidRPr="00000000">
        <w:rPr>
          <w:rFonts w:ascii="Times New Roman" w:cs="Times New Roman" w:eastAsia="Times New Roman" w:hAnsi="Times New Roman"/>
          <w:sz w:val="24"/>
          <w:szCs w:val="24"/>
          <w:rtl w:val="0"/>
        </w:rPr>
        <w:t xml:space="preserve">, GDE y SIGEN supuso un cambio de paradigma, dejando atrás modelos basados en el papel y sistemas poco adaptables, para transitar hacia plataformas digitales integradas. Este proceso, impulsado desde el plan de transformación del Estado Nacional, fue abordado de forma gradual, permitiendo adaptarse a las necesidades operativas específicas de la repartición. La reorganización estructural de la UOC y la asignación diferenciada de roles según funciones fortalecieron la trazabilidad y redujeron márgenes de error. </w:t>
      </w:r>
    </w:p>
    <w:p w:rsidR="00000000" w:rsidDel="00000000" w:rsidP="00000000" w:rsidRDefault="00000000" w:rsidRPr="00000000" w14:paraId="0000005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Uno de los ejes críticos fue la capacitación del personal. La instancia inicial caracterizada por su brevedad, escasa práctica y enfoque teórico, resultó insuficiente para garantizar una apropiación efectiva del sistema, en especial entre las personas con menor alfabetización digital. Sin embargo, la evolución hacia un modelo de formación continua, colaborativa e interactiva de aprendizaje entre pares, fue clave para reducir resistencias, promover la adaptación y consolidar competencias digitales. </w:t>
      </w:r>
    </w:p>
    <w:p w:rsidR="00000000" w:rsidDel="00000000" w:rsidP="00000000" w:rsidRDefault="00000000" w:rsidRPr="00000000" w14:paraId="0000005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Asimismo, el proceso fue acompañado por un diagnóstico permanente de necesidades y por la incorporación de mejoras posteriores, como la digitalización de la etapa de recepción de bienes, lo que evidencia una lógica de mejora continua. Entre las ventajas observadas se evidencia el acceso simultáneo al sistema, la eliminación de traslados físicos, la mejora de los tiempos administrativos y el incremento de la transparencia. </w:t>
      </w:r>
    </w:p>
    <w:p w:rsidR="00000000" w:rsidDel="00000000" w:rsidP="00000000" w:rsidRDefault="00000000" w:rsidRPr="00000000" w14:paraId="0000005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competencias necesarias para el desarrollo de las tareas se ajustaron a las características del contexto, con énfasis en las variables comportamentales y técnicas.</w:t>
      </w:r>
    </w:p>
    <w:p w:rsidR="00000000" w:rsidDel="00000000" w:rsidP="00000000" w:rsidRDefault="00000000" w:rsidRPr="00000000" w14:paraId="0000005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síntesis, la sostenibilidad de esta transformación digital depende de la capacidad institucional para aprender, adaptarse y consolidar una gobernanza tecnológica que no solo mejore la eficiencia, sino que también se oriente al valor público. </w:t>
      </w:r>
      <w:r w:rsidDel="00000000" w:rsidR="00000000" w:rsidRPr="00000000">
        <w:rPr>
          <w:rtl w:val="0"/>
        </w:rPr>
      </w:r>
    </w:p>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360" w:lineRule="auto"/>
        <w:jc w:val="both"/>
        <w:rPr>
          <w:rFonts w:ascii="Verdana" w:cs="Verdana" w:eastAsia="Verdana" w:hAnsi="Verdana"/>
          <w:sz w:val="20"/>
          <w:szCs w:val="20"/>
          <w:highlight w:val="white"/>
        </w:rPr>
      </w:pPr>
      <w:r w:rsidDel="00000000" w:rsidR="00000000" w:rsidRPr="00000000">
        <w:rPr>
          <w:rFonts w:ascii="Times New Roman" w:cs="Times New Roman" w:eastAsia="Times New Roman" w:hAnsi="Times New Roman"/>
          <w:b w:val="1"/>
          <w:sz w:val="24"/>
          <w:szCs w:val="24"/>
          <w:rtl w:val="0"/>
        </w:rPr>
        <w:t xml:space="preserve">7- Bibliografía. </w:t>
      </w:r>
      <w:r w:rsidDel="00000000" w:rsidR="00000000" w:rsidRPr="00000000">
        <w:rPr>
          <w:rtl w:val="0"/>
        </w:rPr>
      </w:r>
    </w:p>
    <w:p w:rsidR="00000000" w:rsidDel="00000000" w:rsidP="00000000" w:rsidRDefault="00000000" w:rsidRPr="00000000" w14:paraId="0000005E">
      <w:pPr>
        <w:spacing w:after="240" w:before="240" w:line="360"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Caixa Pastuña, E., Callan Basilio, R. (2025). </w:t>
      </w:r>
      <w:r w:rsidDel="00000000" w:rsidR="00000000" w:rsidRPr="00000000">
        <w:rPr>
          <w:rFonts w:ascii="Times New Roman" w:cs="Times New Roman" w:eastAsia="Times New Roman" w:hAnsi="Times New Roman"/>
          <w:i w:val="1"/>
          <w:sz w:val="24"/>
          <w:szCs w:val="24"/>
          <w:rtl w:val="0"/>
        </w:rPr>
        <w:t xml:space="preserve">Gestión del talento humano en la era digital: Nuevas competencias y herramientas para la Administración Inteligente.</w:t>
      </w:r>
      <w:r w:rsidDel="00000000" w:rsidR="00000000" w:rsidRPr="00000000">
        <w:rPr>
          <w:rFonts w:ascii="Times New Roman" w:cs="Times New Roman" w:eastAsia="Times New Roman" w:hAnsi="Times New Roman"/>
          <w:sz w:val="24"/>
          <w:szCs w:val="24"/>
          <w:rtl w:val="0"/>
        </w:rPr>
        <w:t xml:space="preserve"> Editorial Hambatu Sapiens.</w:t>
      </w:r>
    </w:p>
    <w:p w:rsidR="00000000" w:rsidDel="00000000" w:rsidP="00000000" w:rsidRDefault="00000000" w:rsidRPr="00000000" w14:paraId="0000005F">
      <w:pPr>
        <w:spacing w:after="240" w:before="240" w:line="360"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Corrales Bonilla, J., Ribeiro, N., Gomes, D. (2021). </w:t>
      </w:r>
      <w:r w:rsidDel="00000000" w:rsidR="00000000" w:rsidRPr="00000000">
        <w:rPr>
          <w:rFonts w:ascii="Times New Roman" w:cs="Times New Roman" w:eastAsia="Times New Roman" w:hAnsi="Times New Roman"/>
          <w:i w:val="1"/>
          <w:sz w:val="24"/>
          <w:szCs w:val="24"/>
          <w:rtl w:val="0"/>
        </w:rPr>
        <w:t xml:space="preserve">Las competencias exigidas a los trabajadores de la Industria 4.0: Cambios en la gestión de las personas.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Cuadernos de Relaciones Laborales. Ediciones Complutense</w:t>
      </w:r>
    </w:p>
    <w:p w:rsidR="00000000" w:rsidDel="00000000" w:rsidP="00000000" w:rsidRDefault="00000000" w:rsidRPr="00000000" w14:paraId="00000060">
      <w:pPr>
        <w:spacing w:after="240" w:before="240" w:line="360" w:lineRule="auto"/>
        <w:ind w:left="720.0000000000001" w:hanging="720.000000000000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Ferrari, A. (2012). </w:t>
      </w:r>
      <w:r w:rsidDel="00000000" w:rsidR="00000000" w:rsidRPr="00000000">
        <w:rPr>
          <w:rFonts w:ascii="Times New Roman" w:cs="Times New Roman" w:eastAsia="Times New Roman" w:hAnsi="Times New Roman"/>
          <w:i w:val="1"/>
          <w:sz w:val="24"/>
          <w:szCs w:val="24"/>
          <w:rtl w:val="0"/>
        </w:rPr>
        <w:t xml:space="preserve">Digital Competence in Practice: An Analysis of Frameworks</w:t>
      </w:r>
      <w:r w:rsidDel="00000000" w:rsidR="00000000" w:rsidRPr="00000000">
        <w:rPr>
          <w:rFonts w:ascii="Times New Roman" w:cs="Times New Roman" w:eastAsia="Times New Roman" w:hAnsi="Times New Roman"/>
          <w:sz w:val="24"/>
          <w:szCs w:val="24"/>
          <w:rtl w:val="0"/>
        </w:rPr>
        <w:t xml:space="preserve">. JRC Technical Reports.</w:t>
      </w:r>
      <w:r w:rsidDel="00000000" w:rsidR="00000000" w:rsidRPr="00000000">
        <w:rPr>
          <w:rtl w:val="0"/>
        </w:rPr>
      </w:r>
    </w:p>
    <w:p w:rsidR="00000000" w:rsidDel="00000000" w:rsidP="00000000" w:rsidRDefault="00000000" w:rsidRPr="00000000" w14:paraId="00000061">
      <w:pPr>
        <w:ind w:left="720.0000000000001" w:hanging="720.000000000000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Hecklau, F. Orth, R., Kidschun, F., Kohl, H.(2017) Human Resources Management: Meta-Study - Analysis of Future Competences in Industry 4.0. </w:t>
      </w:r>
      <w:r w:rsidDel="00000000" w:rsidR="00000000" w:rsidRPr="00000000">
        <w:rPr>
          <w:rFonts w:ascii="Times New Roman" w:cs="Times New Roman" w:eastAsia="Times New Roman" w:hAnsi="Times New Roman"/>
          <w:i w:val="1"/>
          <w:sz w:val="24"/>
          <w:szCs w:val="24"/>
          <w:highlight w:val="white"/>
          <w:rtl w:val="0"/>
        </w:rPr>
        <w:t xml:space="preserve">Proceedings of the International Conference on Intellectual Capital, Knowledge Management &amp; Organizational Learning</w:t>
      </w:r>
      <w:r w:rsidDel="00000000" w:rsidR="00000000" w:rsidRPr="00000000">
        <w:rPr>
          <w:rFonts w:ascii="Times New Roman" w:cs="Times New Roman" w:eastAsia="Times New Roman" w:hAnsi="Times New Roman"/>
          <w:sz w:val="24"/>
          <w:szCs w:val="24"/>
          <w:highlight w:val="white"/>
          <w:rtl w:val="0"/>
        </w:rPr>
        <w:t xml:space="preserve">, 163-174.</w:t>
      </w:r>
    </w:p>
    <w:p w:rsidR="00000000" w:rsidDel="00000000" w:rsidP="00000000" w:rsidRDefault="00000000" w:rsidRPr="00000000" w14:paraId="00000062">
      <w:pPr>
        <w:ind w:left="720.0000000000001" w:hanging="720.0000000000001"/>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3">
      <w:pPr>
        <w:ind w:left="720.0000000000001" w:hanging="720.000000000000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highlight w:val="white"/>
          <w:rtl w:val="0"/>
        </w:rPr>
        <w:t xml:space="preserve">López, M. (2022). </w:t>
      </w:r>
      <w:r w:rsidDel="00000000" w:rsidR="00000000" w:rsidRPr="00000000">
        <w:rPr>
          <w:rFonts w:ascii="Times New Roman" w:cs="Times New Roman" w:eastAsia="Times New Roman" w:hAnsi="Times New Roman"/>
          <w:i w:val="1"/>
          <w:sz w:val="24"/>
          <w:szCs w:val="24"/>
          <w:highlight w:val="white"/>
          <w:rtl w:val="0"/>
        </w:rPr>
        <w:t xml:space="preserve">Identificación de Competencias Mediáticas e Informacionales de los profesionales de la información de la Biblioteca Pública Provincial Rubén Martínez Villena</w:t>
      </w:r>
      <w:r w:rsidDel="00000000" w:rsidR="00000000" w:rsidRPr="00000000">
        <w:rPr>
          <w:rFonts w:ascii="Times New Roman" w:cs="Times New Roman" w:eastAsia="Times New Roman" w:hAnsi="Times New Roman"/>
          <w:sz w:val="24"/>
          <w:szCs w:val="24"/>
          <w:highlight w:val="white"/>
          <w:rtl w:val="0"/>
        </w:rPr>
        <w:t xml:space="preserve">. Universidad de La Habana.</w:t>
      </w:r>
      <w:r w:rsidDel="00000000" w:rsidR="00000000" w:rsidRPr="00000000">
        <w:rPr>
          <w:rtl w:val="0"/>
        </w:rPr>
      </w:r>
    </w:p>
    <w:p w:rsidR="00000000" w:rsidDel="00000000" w:rsidP="00000000" w:rsidRDefault="00000000" w:rsidRPr="00000000" w14:paraId="00000064">
      <w:pPr>
        <w:spacing w:after="240" w:before="240" w:line="360"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Ramió, C., &amp; Salvador, M. (2018). </w:t>
      </w:r>
      <w:r w:rsidDel="00000000" w:rsidR="00000000" w:rsidRPr="00000000">
        <w:rPr>
          <w:rFonts w:ascii="Times New Roman" w:cs="Times New Roman" w:eastAsia="Times New Roman" w:hAnsi="Times New Roman"/>
          <w:i w:val="1"/>
          <w:sz w:val="24"/>
          <w:szCs w:val="24"/>
          <w:rtl w:val="0"/>
        </w:rPr>
        <w:t xml:space="preserve">La nueva gestión del empleo público. Recursos humanos e innovación de la Administración</w:t>
      </w:r>
      <w:r w:rsidDel="00000000" w:rsidR="00000000" w:rsidRPr="00000000">
        <w:rPr>
          <w:rFonts w:ascii="Times New Roman" w:cs="Times New Roman" w:eastAsia="Times New Roman" w:hAnsi="Times New Roman"/>
          <w:sz w:val="24"/>
          <w:szCs w:val="24"/>
          <w:rtl w:val="0"/>
        </w:rPr>
        <w:t xml:space="preserve">. Barcelona: Ediciones Tibidabo.</w:t>
      </w:r>
    </w:p>
    <w:p w:rsidR="00000000" w:rsidDel="00000000" w:rsidP="00000000" w:rsidRDefault="00000000" w:rsidRPr="00000000" w14:paraId="00000065">
      <w:pPr>
        <w:spacing w:after="240" w:before="240" w:line="360"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Romero Alvarez, Y., De la Ossa Guerra, S., Vuelva Parras, J., (2021). Las nuevas competencias del administrador de empresas en Colombia: Revisión de tema. </w:t>
      </w:r>
      <w:r w:rsidDel="00000000" w:rsidR="00000000" w:rsidRPr="00000000">
        <w:rPr>
          <w:rFonts w:ascii="Times New Roman" w:cs="Times New Roman" w:eastAsia="Times New Roman" w:hAnsi="Times New Roman"/>
          <w:i w:val="1"/>
          <w:sz w:val="24"/>
          <w:szCs w:val="24"/>
          <w:rtl w:val="0"/>
        </w:rPr>
        <w:t xml:space="preserve">Conocimiento Global</w:t>
      </w:r>
      <w:r w:rsidDel="00000000" w:rsidR="00000000" w:rsidRPr="00000000">
        <w:rPr>
          <w:rFonts w:ascii="Times New Roman" w:cs="Times New Roman" w:eastAsia="Times New Roman" w:hAnsi="Times New Roman"/>
          <w:sz w:val="24"/>
          <w:szCs w:val="24"/>
          <w:rtl w:val="0"/>
        </w:rPr>
        <w:t xml:space="preserve">. 6 (S1) 165-179.</w:t>
      </w:r>
    </w:p>
    <w:p w:rsidR="00000000" w:rsidDel="00000000" w:rsidP="00000000" w:rsidRDefault="00000000" w:rsidRPr="00000000" w14:paraId="00000066">
      <w:pPr>
        <w:spacing w:after="240" w:before="240" w:line="360"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Economic Forum (enero 2025). Insight Report. </w:t>
      </w:r>
      <w:r w:rsidDel="00000000" w:rsidR="00000000" w:rsidRPr="00000000">
        <w:rPr>
          <w:rFonts w:ascii="Times New Roman" w:cs="Times New Roman" w:eastAsia="Times New Roman" w:hAnsi="Times New Roman"/>
          <w:i w:val="1"/>
          <w:sz w:val="24"/>
          <w:szCs w:val="24"/>
          <w:rtl w:val="0"/>
        </w:rPr>
        <w:t xml:space="preserve">Future of Jobs Report 2025. </w:t>
      </w:r>
      <w:r w:rsidDel="00000000" w:rsidR="00000000" w:rsidRPr="00000000">
        <w:rPr>
          <w:rFonts w:ascii="Times New Roman" w:cs="Times New Roman" w:eastAsia="Times New Roman" w:hAnsi="Times New Roman"/>
          <w:sz w:val="24"/>
          <w:szCs w:val="24"/>
          <w:rtl w:val="0"/>
        </w:rPr>
        <w:t xml:space="preserve">https://www.weforum.org/publications/the-future-of-jobs-report-2025/</w:t>
      </w:r>
    </w:p>
    <w:p w:rsidR="00000000" w:rsidDel="00000000" w:rsidP="00000000" w:rsidRDefault="00000000" w:rsidRPr="00000000" w14:paraId="00000067">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