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B2" w:rsidRPr="00B05FB2" w:rsidRDefault="00B05FB2" w:rsidP="00CD390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AR"/>
        </w:rPr>
      </w:pPr>
    </w:p>
    <w:p w:rsidR="00B05FB2" w:rsidRDefault="00B05FB2" w:rsidP="00CD3903">
      <w:pPr>
        <w:spacing w:line="360" w:lineRule="auto"/>
        <w:ind w:left="57"/>
        <w:jc w:val="both"/>
        <w:rPr>
          <w:rFonts w:ascii="Arial" w:hAnsi="Arial" w:cs="Arial"/>
          <w:noProof/>
          <w:sz w:val="24"/>
          <w:szCs w:val="24"/>
          <w:lang w:eastAsia="es-AR"/>
        </w:rPr>
      </w:pPr>
      <w:r w:rsidRPr="00B05FB2">
        <w:rPr>
          <w:rFonts w:ascii="Arial" w:hAnsi="Arial" w:cs="Arial"/>
          <w:noProof/>
          <w:sz w:val="24"/>
          <w:szCs w:val="24"/>
          <w:lang w:eastAsia="es-AR"/>
        </w:rPr>
        <w:t>IMPLEMENTACIÓN DE UN PROGRAMA DE ENSEÑANZA DE LA LECTURA Y LA ESCRITURA EN LOS PRIMEROS AÑOS DE PRIMARIA DENTRO DEL SISTEMA EDUCATIVO E</w:t>
      </w:r>
      <w:r w:rsidR="00021875">
        <w:rPr>
          <w:rFonts w:ascii="Arial" w:hAnsi="Arial" w:cs="Arial"/>
          <w:noProof/>
          <w:sz w:val="24"/>
          <w:szCs w:val="24"/>
          <w:lang w:eastAsia="es-AR"/>
        </w:rPr>
        <w:t>N CONTEXTOS DE “FRACASO ESCOLAR</w:t>
      </w:r>
      <w:r w:rsidR="00240EA4">
        <w:rPr>
          <w:rFonts w:ascii="Arial" w:hAnsi="Arial" w:cs="Arial"/>
          <w:noProof/>
          <w:sz w:val="24"/>
          <w:szCs w:val="24"/>
          <w:lang w:eastAsia="es-AR"/>
        </w:rPr>
        <w:t>”</w:t>
      </w:r>
      <w:r w:rsidRPr="00B05FB2">
        <w:rPr>
          <w:rFonts w:ascii="Arial" w:hAnsi="Arial" w:cs="Arial"/>
          <w:noProof/>
          <w:sz w:val="24"/>
          <w:szCs w:val="24"/>
          <w:lang w:eastAsia="es-AR"/>
        </w:rPr>
        <w:t>.</w:t>
      </w:r>
    </w:p>
    <w:p w:rsidR="00B05FB2" w:rsidRDefault="00B05FB2" w:rsidP="00CD3903">
      <w:pPr>
        <w:pStyle w:val="NormalWeb"/>
        <w:spacing w:before="0" w:beforeAutospacing="0" w:after="0" w:afterAutospacing="0" w:line="360" w:lineRule="auto"/>
        <w:ind w:left="57"/>
        <w:textAlignment w:val="baseline"/>
        <w:rPr>
          <w:rFonts w:ascii="Arial" w:eastAsiaTheme="minorEastAsia" w:hAnsi="Arial" w:cs="Arial"/>
          <w:color w:val="000000" w:themeColor="text1"/>
          <w:kern w:val="24"/>
          <w:lang w:val="es-ES"/>
        </w:rPr>
      </w:pPr>
      <w:proofErr w:type="spellStart"/>
      <w:r>
        <w:rPr>
          <w:rFonts w:ascii="Arial" w:eastAsiaTheme="minorEastAsia" w:hAnsi="Arial" w:cs="Arial"/>
          <w:color w:val="000000" w:themeColor="text1"/>
          <w:kern w:val="24"/>
        </w:rPr>
        <w:t>Marder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</w:rPr>
        <w:t xml:space="preserve">, S.; </w:t>
      </w:r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Iglesias, I.; </w:t>
      </w:r>
      <w:proofErr w:type="spellStart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Simiele</w:t>
      </w:r>
      <w:proofErr w:type="spellEnd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, E.</w:t>
      </w:r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; </w:t>
      </w:r>
      <w:proofErr w:type="spellStart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Castrioti</w:t>
      </w:r>
      <w:proofErr w:type="spellEnd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, R.; Rodríguez, A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>Bacigalup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 M.;</w:t>
      </w:r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 </w:t>
      </w:r>
      <w:proofErr w:type="spellStart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Centeleghe</w:t>
      </w:r>
      <w:proofErr w:type="spellEnd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, E.; </w:t>
      </w:r>
      <w:proofErr w:type="spellStart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Lescano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 A.;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>Cerasari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, M.; Di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>Iorio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 xml:space="preserve">, S.; </w:t>
      </w:r>
      <w:proofErr w:type="spellStart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Sanjurjo</w:t>
      </w:r>
      <w:proofErr w:type="spellEnd"/>
      <w:r w:rsidRPr="00B05FB2">
        <w:rPr>
          <w:rFonts w:ascii="Arial" w:eastAsiaTheme="minorEastAsia" w:hAnsi="Arial" w:cs="Arial"/>
          <w:color w:val="000000" w:themeColor="text1"/>
          <w:kern w:val="24"/>
          <w:lang w:val="es-ES"/>
        </w:rPr>
        <w:t>, A</w:t>
      </w:r>
      <w:r>
        <w:rPr>
          <w:rFonts w:ascii="Arial" w:eastAsiaTheme="minorEastAsia" w:hAnsi="Arial" w:cs="Arial"/>
          <w:color w:val="000000" w:themeColor="text1"/>
          <w:kern w:val="24"/>
          <w:lang w:val="es-ES"/>
        </w:rPr>
        <w:t>.; Máspoli, J.</w:t>
      </w:r>
    </w:p>
    <w:p w:rsidR="00B05FB2" w:rsidRDefault="00B05FB2" w:rsidP="00CD3903">
      <w:pPr>
        <w:pStyle w:val="NormalWeb"/>
        <w:spacing w:before="0" w:beforeAutospacing="0" w:after="0" w:afterAutospacing="0" w:line="360" w:lineRule="auto"/>
        <w:ind w:left="57"/>
        <w:textAlignment w:val="baseline"/>
        <w:rPr>
          <w:rFonts w:ascii="Arial" w:eastAsiaTheme="minorEastAsia" w:hAnsi="Arial" w:cs="Arial"/>
          <w:color w:val="000000" w:themeColor="text1"/>
          <w:kern w:val="24"/>
          <w:lang w:val="es-ES"/>
        </w:rPr>
      </w:pPr>
    </w:p>
    <w:p w:rsidR="00B05FB2" w:rsidRDefault="00BC46C1" w:rsidP="00CD3903">
      <w:pPr>
        <w:pStyle w:val="NormalWeb"/>
        <w:spacing w:before="0" w:beforeAutospacing="0" w:after="0" w:afterAutospacing="0" w:line="360" w:lineRule="auto"/>
        <w:ind w:left="57"/>
        <w:textAlignment w:val="baseline"/>
        <w:rPr>
          <w:rFonts w:ascii="Arial" w:hAnsi="Arial" w:cs="Arial"/>
        </w:rPr>
      </w:pPr>
      <w:hyperlink r:id="rId7" w:history="1">
        <w:r w:rsidR="00B05FB2" w:rsidRPr="0038338D">
          <w:rPr>
            <w:rStyle w:val="Hyperlink"/>
            <w:rFonts w:ascii="Arial" w:hAnsi="Arial" w:cs="Arial"/>
          </w:rPr>
          <w:t>sandramarder@gmail.com</w:t>
        </w:r>
      </w:hyperlink>
    </w:p>
    <w:p w:rsidR="00B05FB2" w:rsidRDefault="00B05FB2" w:rsidP="00CD3903">
      <w:pPr>
        <w:pStyle w:val="NormalWeb"/>
        <w:spacing w:before="0" w:beforeAutospacing="0" w:after="0" w:afterAutospacing="0" w:line="360" w:lineRule="auto"/>
        <w:ind w:left="57"/>
        <w:textAlignment w:val="baseline"/>
        <w:rPr>
          <w:rFonts w:ascii="Arial" w:hAnsi="Arial" w:cs="Arial"/>
        </w:rPr>
      </w:pPr>
    </w:p>
    <w:p w:rsidR="00B05FB2" w:rsidRDefault="00B05FB2" w:rsidP="00240EA4">
      <w:pPr>
        <w:pStyle w:val="NormalWeb"/>
        <w:spacing w:before="0" w:beforeAutospacing="0" w:after="0" w:afterAutospacing="0" w:line="360" w:lineRule="auto"/>
        <w:ind w:left="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Centro de Estudios en Nutrición y Desarrollo infantil (CEREN) Comisión de Investigaciones científicas de la provincia de Bs As (CIC-PBA). Facultad de Psicología UNLP.</w:t>
      </w:r>
    </w:p>
    <w:p w:rsidR="00E364DA" w:rsidRDefault="00E364DA" w:rsidP="00C36575">
      <w:pPr>
        <w:pStyle w:val="NormalWeb"/>
        <w:spacing w:after="0" w:line="360" w:lineRule="auto"/>
        <w:jc w:val="both"/>
        <w:textAlignment w:val="baseline"/>
        <w:rPr>
          <w:rFonts w:ascii="Arial" w:hAnsi="Arial" w:cs="Arial"/>
          <w:b/>
          <w:u w:val="single"/>
        </w:rPr>
      </w:pPr>
      <w:r w:rsidRPr="006F472D">
        <w:rPr>
          <w:rFonts w:ascii="Arial" w:hAnsi="Arial" w:cs="Arial"/>
          <w:b/>
          <w:u w:val="single"/>
        </w:rPr>
        <w:t>Resumen</w:t>
      </w:r>
    </w:p>
    <w:p w:rsidR="006F472D" w:rsidRPr="006F472D" w:rsidRDefault="006F472D" w:rsidP="00E364DA">
      <w:pPr>
        <w:pStyle w:val="NormalWeb"/>
        <w:spacing w:after="0" w:line="360" w:lineRule="auto"/>
        <w:jc w:val="both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Problema y obj</w:t>
      </w:r>
      <w:r w:rsidRPr="006F472D">
        <w:rPr>
          <w:rFonts w:ascii="Arial" w:hAnsi="Arial" w:cs="Arial"/>
          <w:b/>
        </w:rPr>
        <w:t>etivos:</w:t>
      </w:r>
      <w:r w:rsidR="00806F3E">
        <w:rPr>
          <w:rFonts w:ascii="Arial" w:hAnsi="Arial" w:cs="Arial"/>
          <w:b/>
        </w:rPr>
        <w:t xml:space="preserve"> </w:t>
      </w:r>
      <w:r w:rsidR="00C36575" w:rsidRPr="00C36575">
        <w:rPr>
          <w:rFonts w:ascii="Arial" w:hAnsi="Arial" w:cs="Arial"/>
        </w:rPr>
        <w:t xml:space="preserve">Durante más de cuarenta años se atribuyó el fracaso escolar, que se observa particularmente en los niños de sectores desfavorecidos y que se manifiesta en dificultades para aprender a leer y a escribir y en retrasos en este aprendizaje,  a diversos factores asociados al niño y a su </w:t>
      </w:r>
      <w:r w:rsidR="00C36575">
        <w:rPr>
          <w:rFonts w:ascii="Arial" w:hAnsi="Arial" w:cs="Arial"/>
        </w:rPr>
        <w:t>entorno familiar y comunitario.</w:t>
      </w:r>
      <w:r w:rsidR="000F11CA">
        <w:rPr>
          <w:rFonts w:ascii="Arial" w:hAnsi="Arial" w:cs="Arial"/>
        </w:rPr>
        <w:t xml:space="preserve"> </w:t>
      </w:r>
      <w:r w:rsidR="00C36575" w:rsidRPr="00C36575">
        <w:rPr>
          <w:rFonts w:ascii="Arial" w:hAnsi="Arial" w:cs="Arial"/>
        </w:rPr>
        <w:t>Entre estos factores se señalan las diferencias en experiencias de alfabetización que tienen los niños en su hogar.  Mientras que los niños de sectores medios y altos ingresan al proceso de alfabetización tempranamente a través de las actividad</w:t>
      </w:r>
      <w:r w:rsidR="00240EA4">
        <w:rPr>
          <w:rFonts w:ascii="Arial" w:hAnsi="Arial" w:cs="Arial"/>
        </w:rPr>
        <w:t xml:space="preserve">es que realizan con sus padres: </w:t>
      </w:r>
      <w:r w:rsidR="00C36575" w:rsidRPr="00C36575">
        <w:rPr>
          <w:rFonts w:ascii="Arial" w:hAnsi="Arial" w:cs="Arial"/>
        </w:rPr>
        <w:t>lectura de cuentos, rimas, can</w:t>
      </w:r>
      <w:r w:rsidR="00240EA4">
        <w:rPr>
          <w:rFonts w:ascii="Arial" w:hAnsi="Arial" w:cs="Arial"/>
        </w:rPr>
        <w:t xml:space="preserve">ciones, juegos con letras, </w:t>
      </w:r>
      <w:r w:rsidR="00C36575" w:rsidRPr="00C36575">
        <w:rPr>
          <w:rFonts w:ascii="Arial" w:hAnsi="Arial" w:cs="Arial"/>
        </w:rPr>
        <w:t xml:space="preserve"> los niños de sectores desfavorecidos tienen pocas oportunidades de interactuar con la escritura fuera del ámbito escolar. (</w:t>
      </w:r>
      <w:proofErr w:type="spellStart"/>
      <w:r w:rsidR="00C36575" w:rsidRPr="00C36575">
        <w:rPr>
          <w:rFonts w:ascii="Arial" w:hAnsi="Arial" w:cs="Arial"/>
        </w:rPr>
        <w:t>Piacente</w:t>
      </w:r>
      <w:proofErr w:type="spellEnd"/>
      <w:r w:rsidR="00C36575" w:rsidRPr="00C36575">
        <w:rPr>
          <w:rFonts w:ascii="Arial" w:hAnsi="Arial" w:cs="Arial"/>
        </w:rPr>
        <w:t xml:space="preserve">, </w:t>
      </w:r>
      <w:proofErr w:type="spellStart"/>
      <w:r w:rsidR="00C36575" w:rsidRPr="00C36575">
        <w:rPr>
          <w:rFonts w:ascii="Arial" w:hAnsi="Arial" w:cs="Arial"/>
        </w:rPr>
        <w:t>M</w:t>
      </w:r>
      <w:r w:rsidR="00C36575">
        <w:rPr>
          <w:rFonts w:ascii="Arial" w:hAnsi="Arial" w:cs="Arial"/>
        </w:rPr>
        <w:t>arder</w:t>
      </w:r>
      <w:proofErr w:type="spellEnd"/>
      <w:r w:rsidR="00C36575">
        <w:rPr>
          <w:rFonts w:ascii="Arial" w:hAnsi="Arial" w:cs="Arial"/>
        </w:rPr>
        <w:t xml:space="preserve">, </w:t>
      </w:r>
      <w:proofErr w:type="spellStart"/>
      <w:r w:rsidR="00C36575">
        <w:rPr>
          <w:rFonts w:ascii="Arial" w:hAnsi="Arial" w:cs="Arial"/>
        </w:rPr>
        <w:t>Resches</w:t>
      </w:r>
      <w:proofErr w:type="spellEnd"/>
      <w:r w:rsidR="00C36575">
        <w:rPr>
          <w:rFonts w:ascii="Arial" w:hAnsi="Arial" w:cs="Arial"/>
        </w:rPr>
        <w:t xml:space="preserve">, Ledesma, 2006). </w:t>
      </w:r>
      <w:r w:rsidR="00C36575" w:rsidRPr="00C36575">
        <w:rPr>
          <w:rFonts w:ascii="Arial" w:hAnsi="Arial" w:cs="Arial"/>
        </w:rPr>
        <w:t>Sin embargo, experiencias realizadas en nuestro medio, muestran que aún los niños de 5 años en situación de riesgo por pobreza, pueden, a esa edad,  aprender a leer y a escribir en español cuando cuentan con una intervención adecuada y sistemática (</w:t>
      </w:r>
      <w:proofErr w:type="spellStart"/>
      <w:r w:rsidR="00C36575" w:rsidRPr="00C36575">
        <w:rPr>
          <w:rFonts w:ascii="Arial" w:hAnsi="Arial" w:cs="Arial"/>
        </w:rPr>
        <w:t>Borzone</w:t>
      </w:r>
      <w:proofErr w:type="spellEnd"/>
      <w:r w:rsidR="00C36575" w:rsidRPr="00C36575">
        <w:rPr>
          <w:rFonts w:ascii="Arial" w:hAnsi="Arial" w:cs="Arial"/>
        </w:rPr>
        <w:t xml:space="preserve"> de Manrique, 1994; </w:t>
      </w:r>
      <w:proofErr w:type="spellStart"/>
      <w:r w:rsidR="00C36575" w:rsidRPr="00C36575">
        <w:rPr>
          <w:rFonts w:ascii="Arial" w:hAnsi="Arial" w:cs="Arial"/>
        </w:rPr>
        <w:t>Marder</w:t>
      </w:r>
      <w:proofErr w:type="spellEnd"/>
      <w:r w:rsidR="00C36575" w:rsidRPr="00C36575">
        <w:rPr>
          <w:rFonts w:ascii="Arial" w:hAnsi="Arial" w:cs="Arial"/>
        </w:rPr>
        <w:t xml:space="preserve">, 2011, 2012). </w:t>
      </w:r>
      <w:r w:rsidR="00E364DA">
        <w:rPr>
          <w:rFonts w:ascii="Arial" w:hAnsi="Arial" w:cs="Arial"/>
        </w:rPr>
        <w:t>El programa</w:t>
      </w:r>
      <w:r w:rsidR="00C36575">
        <w:rPr>
          <w:rFonts w:ascii="Arial" w:hAnsi="Arial" w:cs="Arial"/>
        </w:rPr>
        <w:t xml:space="preserve"> </w:t>
      </w:r>
      <w:r w:rsidR="00021875" w:rsidRPr="00021875">
        <w:rPr>
          <w:rFonts w:ascii="Arial" w:hAnsi="Arial" w:cs="Arial"/>
        </w:rPr>
        <w:t xml:space="preserve">“Leamos juntos” </w:t>
      </w:r>
      <w:r w:rsidR="00E364DA">
        <w:rPr>
          <w:rFonts w:ascii="Arial" w:hAnsi="Arial" w:cs="Arial"/>
        </w:rPr>
        <w:t>(</w:t>
      </w:r>
      <w:proofErr w:type="spellStart"/>
      <w:r w:rsidR="00E364DA">
        <w:rPr>
          <w:rFonts w:ascii="Arial" w:hAnsi="Arial" w:cs="Arial"/>
        </w:rPr>
        <w:t>Borzone</w:t>
      </w:r>
      <w:proofErr w:type="spellEnd"/>
      <w:r w:rsidR="00E364DA">
        <w:rPr>
          <w:rFonts w:ascii="Arial" w:hAnsi="Arial" w:cs="Arial"/>
        </w:rPr>
        <w:t xml:space="preserve">, </w:t>
      </w:r>
      <w:proofErr w:type="spellStart"/>
      <w:r w:rsidR="00E364DA">
        <w:rPr>
          <w:rFonts w:ascii="Arial" w:hAnsi="Arial" w:cs="Arial"/>
        </w:rPr>
        <w:t>Marder</w:t>
      </w:r>
      <w:proofErr w:type="spellEnd"/>
      <w:r w:rsidR="00E364DA">
        <w:rPr>
          <w:rFonts w:ascii="Arial" w:hAnsi="Arial" w:cs="Arial"/>
        </w:rPr>
        <w:t xml:space="preserve">, Sánchez, 2014) </w:t>
      </w:r>
      <w:r w:rsidR="000845B7">
        <w:rPr>
          <w:rFonts w:ascii="Arial" w:hAnsi="Arial" w:cs="Arial"/>
        </w:rPr>
        <w:t xml:space="preserve">concebido desde el modelo de </w:t>
      </w:r>
      <w:r w:rsidR="000845B7" w:rsidRPr="000845B7">
        <w:rPr>
          <w:rFonts w:ascii="Arial" w:hAnsi="Arial" w:cs="Arial"/>
        </w:rPr>
        <w:t>Res</w:t>
      </w:r>
      <w:r w:rsidR="000845B7">
        <w:rPr>
          <w:rFonts w:ascii="Arial" w:hAnsi="Arial" w:cs="Arial"/>
        </w:rPr>
        <w:t xml:space="preserve">puesta a la Intervención (RAI) </w:t>
      </w:r>
      <w:r w:rsidR="00E364DA">
        <w:rPr>
          <w:rFonts w:ascii="Arial" w:hAnsi="Arial" w:cs="Arial"/>
        </w:rPr>
        <w:t>c</w:t>
      </w:r>
      <w:r w:rsidR="00E364DA" w:rsidRPr="00E364DA">
        <w:rPr>
          <w:rFonts w:ascii="Arial" w:hAnsi="Arial" w:cs="Arial"/>
        </w:rPr>
        <w:t>omprende un cuadernillo para el alumno</w:t>
      </w:r>
      <w:r w:rsidR="000845B7">
        <w:rPr>
          <w:rFonts w:ascii="Arial" w:hAnsi="Arial" w:cs="Arial"/>
        </w:rPr>
        <w:t xml:space="preserve"> con</w:t>
      </w:r>
      <w:r w:rsidR="00E364DA" w:rsidRPr="00E364DA">
        <w:rPr>
          <w:rFonts w:ascii="Arial" w:hAnsi="Arial" w:cs="Arial"/>
        </w:rPr>
        <w:t xml:space="preserve"> 50 secuencias didácticas que incorporan má</w:t>
      </w:r>
      <w:r w:rsidR="000845B7">
        <w:rPr>
          <w:rFonts w:ascii="Arial" w:hAnsi="Arial" w:cs="Arial"/>
        </w:rPr>
        <w:t>s de 70 textos de distinto tipo</w:t>
      </w:r>
      <w:r w:rsidR="00E364DA" w:rsidRPr="00E364DA">
        <w:rPr>
          <w:rFonts w:ascii="Arial" w:hAnsi="Arial" w:cs="Arial"/>
        </w:rPr>
        <w:t>,</w:t>
      </w:r>
      <w:r w:rsidR="00E364DA">
        <w:rPr>
          <w:rFonts w:ascii="Arial" w:hAnsi="Arial" w:cs="Arial"/>
        </w:rPr>
        <w:t xml:space="preserve"> y una Guía para el docente. Se fundamenta en el</w:t>
      </w:r>
      <w:r w:rsidR="00E364DA" w:rsidRPr="00E364DA">
        <w:rPr>
          <w:rFonts w:ascii="Arial" w:hAnsi="Arial" w:cs="Arial"/>
        </w:rPr>
        <w:t xml:space="preserve"> reconocimiento de la diversidad sociocultural</w:t>
      </w:r>
      <w:r w:rsidR="00E364DA">
        <w:rPr>
          <w:rFonts w:ascii="Arial" w:hAnsi="Arial" w:cs="Arial"/>
        </w:rPr>
        <w:t xml:space="preserve">, </w:t>
      </w:r>
      <w:r w:rsidR="003D5593">
        <w:rPr>
          <w:rFonts w:ascii="Arial" w:hAnsi="Arial" w:cs="Arial"/>
        </w:rPr>
        <w:t xml:space="preserve">en el conocimiento del proceso de enseñanza y </w:t>
      </w:r>
      <w:r w:rsidR="003D5593">
        <w:rPr>
          <w:rFonts w:ascii="Arial" w:hAnsi="Arial" w:cs="Arial"/>
        </w:rPr>
        <w:lastRenderedPageBreak/>
        <w:t xml:space="preserve">aprendizaje desde el paradigma </w:t>
      </w:r>
      <w:proofErr w:type="spellStart"/>
      <w:r w:rsidR="000F11CA">
        <w:rPr>
          <w:rFonts w:ascii="Arial" w:hAnsi="Arial" w:cs="Arial"/>
        </w:rPr>
        <w:t>sociohistórico</w:t>
      </w:r>
      <w:proofErr w:type="spellEnd"/>
      <w:r w:rsidR="000F11CA">
        <w:rPr>
          <w:rFonts w:ascii="Arial" w:hAnsi="Arial" w:cs="Arial"/>
        </w:rPr>
        <w:t xml:space="preserve"> y sociocultural </w:t>
      </w:r>
      <w:r w:rsidR="000F11CA" w:rsidRPr="000F11CA">
        <w:rPr>
          <w:rFonts w:ascii="Arial" w:hAnsi="Arial" w:cs="Arial"/>
        </w:rPr>
        <w:t>(</w:t>
      </w:r>
      <w:proofErr w:type="spellStart"/>
      <w:r w:rsidR="000F11CA" w:rsidRPr="000F11CA">
        <w:rPr>
          <w:rFonts w:ascii="Arial" w:hAnsi="Arial" w:cs="Arial"/>
        </w:rPr>
        <w:t>Vigotsky</w:t>
      </w:r>
      <w:proofErr w:type="spellEnd"/>
      <w:r w:rsidR="000F11CA" w:rsidRPr="000F11CA">
        <w:rPr>
          <w:rFonts w:ascii="Arial" w:hAnsi="Arial" w:cs="Arial"/>
        </w:rPr>
        <w:t xml:space="preserve">, 1964; Bruner, 1988; </w:t>
      </w:r>
      <w:proofErr w:type="spellStart"/>
      <w:r w:rsidR="000F11CA" w:rsidRPr="000F11CA">
        <w:rPr>
          <w:rFonts w:ascii="Arial" w:hAnsi="Arial" w:cs="Arial"/>
        </w:rPr>
        <w:t>Rogoff</w:t>
      </w:r>
      <w:proofErr w:type="spellEnd"/>
      <w:r w:rsidR="000F11CA" w:rsidRPr="000F11CA">
        <w:rPr>
          <w:rFonts w:ascii="Arial" w:hAnsi="Arial" w:cs="Arial"/>
        </w:rPr>
        <w:t xml:space="preserve">, 1993)  </w:t>
      </w:r>
      <w:r w:rsidR="000F11CA">
        <w:rPr>
          <w:rFonts w:ascii="Arial" w:hAnsi="Arial" w:cs="Arial"/>
        </w:rPr>
        <w:t>y</w:t>
      </w:r>
      <w:r w:rsidR="003D5593">
        <w:rPr>
          <w:rFonts w:ascii="Arial" w:hAnsi="Arial" w:cs="Arial"/>
        </w:rPr>
        <w:t xml:space="preserve"> en el</w:t>
      </w:r>
      <w:r w:rsidR="003D5593" w:rsidRPr="003D5593">
        <w:rPr>
          <w:rFonts w:ascii="Arial" w:hAnsi="Arial" w:cs="Arial"/>
        </w:rPr>
        <w:t xml:space="preserve"> aprendizaje de la lectu</w:t>
      </w:r>
      <w:r w:rsidR="003D5593">
        <w:rPr>
          <w:rFonts w:ascii="Arial" w:hAnsi="Arial" w:cs="Arial"/>
        </w:rPr>
        <w:t>ra y la escritura como</w:t>
      </w:r>
      <w:r w:rsidR="003D5593" w:rsidRPr="003D5593">
        <w:rPr>
          <w:rFonts w:ascii="Arial" w:hAnsi="Arial" w:cs="Arial"/>
        </w:rPr>
        <w:t xml:space="preserve"> adquisición simultánea de diversos conocimientos y estrategias que permiten el dominio progresivo de la escritura, el sistema de escritura y el lenguaje escrito.</w:t>
      </w:r>
      <w:r>
        <w:rPr>
          <w:rFonts w:ascii="Arial" w:hAnsi="Arial" w:cs="Arial"/>
        </w:rPr>
        <w:t xml:space="preserve"> En este trabajo analizaremos los resultados preliminares de la intervención en una de las escuelas en donde se implementa el programa.</w:t>
      </w:r>
    </w:p>
    <w:p w:rsidR="000F11CA" w:rsidRDefault="006F472D" w:rsidP="00E364DA">
      <w:pPr>
        <w:pStyle w:val="NormalWeb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6F472D">
        <w:rPr>
          <w:rFonts w:ascii="Arial" w:hAnsi="Arial" w:cs="Arial"/>
          <w:b/>
        </w:rPr>
        <w:t>Metodología</w:t>
      </w:r>
      <w:r>
        <w:rPr>
          <w:rFonts w:ascii="Arial" w:hAnsi="Arial" w:cs="Arial"/>
        </w:rPr>
        <w:t xml:space="preserve">: Diseño </w:t>
      </w:r>
      <w:r w:rsidR="00446D6F" w:rsidRPr="00446D6F">
        <w:rPr>
          <w:rFonts w:ascii="Arial" w:hAnsi="Arial" w:cs="Arial"/>
        </w:rPr>
        <w:t>comparativo</w:t>
      </w:r>
      <w:r w:rsidR="007A6459">
        <w:rPr>
          <w:rFonts w:ascii="Arial" w:hAnsi="Arial" w:cs="Arial"/>
        </w:rPr>
        <w:t xml:space="preserve"> (pre –post)</w:t>
      </w:r>
      <w:r w:rsidR="00240EA4">
        <w:rPr>
          <w:rFonts w:ascii="Arial" w:hAnsi="Arial" w:cs="Arial"/>
        </w:rPr>
        <w:t xml:space="preserve"> y cuasi experimental</w:t>
      </w:r>
      <w:r w:rsidR="00956233">
        <w:rPr>
          <w:rFonts w:ascii="Arial" w:hAnsi="Arial" w:cs="Arial"/>
        </w:rPr>
        <w:t>.</w:t>
      </w:r>
      <w:r w:rsidR="00446D6F" w:rsidRPr="00446D6F">
        <w:rPr>
          <w:rFonts w:ascii="Arial" w:hAnsi="Arial" w:cs="Arial"/>
        </w:rPr>
        <w:t xml:space="preserve"> </w:t>
      </w:r>
      <w:r w:rsidRPr="00240EA4">
        <w:rPr>
          <w:rFonts w:ascii="Arial" w:hAnsi="Arial" w:cs="Arial"/>
          <w:i/>
        </w:rPr>
        <w:t>Participantes:</w:t>
      </w:r>
      <w:r>
        <w:rPr>
          <w:rFonts w:ascii="Arial" w:hAnsi="Arial" w:cs="Arial"/>
        </w:rPr>
        <w:t xml:space="preserve"> </w:t>
      </w:r>
      <w:r w:rsidR="000F11CA">
        <w:rPr>
          <w:rFonts w:ascii="Arial" w:hAnsi="Arial" w:cs="Arial"/>
        </w:rPr>
        <w:t>20 niños de 2° y 3° año de EP</w:t>
      </w:r>
      <w:r w:rsidR="00446D6F">
        <w:rPr>
          <w:rFonts w:ascii="Arial" w:hAnsi="Arial" w:cs="Arial"/>
        </w:rPr>
        <w:t xml:space="preserve"> </w:t>
      </w:r>
      <w:r w:rsidR="00577158">
        <w:rPr>
          <w:rFonts w:ascii="Arial" w:hAnsi="Arial" w:cs="Arial"/>
        </w:rPr>
        <w:t xml:space="preserve">(Media=8,2 años edad al inicio del estudio) </w:t>
      </w:r>
      <w:r w:rsidR="000F11CA">
        <w:rPr>
          <w:rFonts w:ascii="Arial" w:hAnsi="Arial" w:cs="Arial"/>
        </w:rPr>
        <w:t>que se encontraban desfasados en el aprendizaje de la lectura y la escritura, alguno de el</w:t>
      </w:r>
      <w:r w:rsidR="00D042F2">
        <w:rPr>
          <w:rFonts w:ascii="Arial" w:hAnsi="Arial" w:cs="Arial"/>
        </w:rPr>
        <w:t>los repetidores</w:t>
      </w:r>
      <w:r w:rsidR="000F11CA">
        <w:rPr>
          <w:rFonts w:ascii="Arial" w:hAnsi="Arial" w:cs="Arial"/>
        </w:rPr>
        <w:t xml:space="preserve"> de una escuela de City Bell </w:t>
      </w:r>
      <w:r w:rsidR="00D042F2">
        <w:rPr>
          <w:rFonts w:ascii="Arial" w:hAnsi="Arial" w:cs="Arial"/>
        </w:rPr>
        <w:t>con índice de vulnerabilidad medio-bajo</w:t>
      </w:r>
      <w:r w:rsidR="00D042F2"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con los que se trabajó durante dos meses </w:t>
      </w:r>
      <w:r w:rsidR="00D042F2">
        <w:rPr>
          <w:rFonts w:ascii="Arial" w:hAnsi="Arial" w:cs="Arial"/>
        </w:rPr>
        <w:t>con una frecuencia de 2 veces por semana en grupos de 4 niños coordinados por un integrante del EOE</w:t>
      </w:r>
      <w:r w:rsidR="00D042F2">
        <w:rPr>
          <w:rStyle w:val="FootnoteReference"/>
          <w:rFonts w:ascii="Arial" w:hAnsi="Arial" w:cs="Arial"/>
        </w:rPr>
        <w:footnoteReference w:id="2"/>
      </w:r>
      <w:r w:rsidR="00240EA4">
        <w:rPr>
          <w:rFonts w:ascii="Arial" w:hAnsi="Arial" w:cs="Arial"/>
        </w:rPr>
        <w:t xml:space="preserve"> a los que se capacitó.</w:t>
      </w:r>
    </w:p>
    <w:p w:rsidR="000D15C0" w:rsidRDefault="006F472D" w:rsidP="00E364DA">
      <w:pPr>
        <w:pStyle w:val="NormalWeb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240EA4">
        <w:rPr>
          <w:rFonts w:ascii="Arial" w:hAnsi="Arial" w:cs="Arial"/>
          <w:i/>
        </w:rPr>
        <w:t>Instrumentos:</w:t>
      </w:r>
      <w:r>
        <w:rPr>
          <w:rFonts w:ascii="Arial" w:hAnsi="Arial" w:cs="Arial"/>
          <w:b/>
        </w:rPr>
        <w:t xml:space="preserve"> </w:t>
      </w:r>
      <w:r w:rsidR="00446D6F" w:rsidRPr="00446D6F">
        <w:rPr>
          <w:rFonts w:ascii="Arial" w:hAnsi="Arial" w:cs="Arial"/>
        </w:rPr>
        <w:t>Se utilizaron antes y después de la intervención</w:t>
      </w:r>
      <w:r w:rsidR="00446D6F">
        <w:rPr>
          <w:rFonts w:ascii="Arial" w:hAnsi="Arial" w:cs="Arial"/>
          <w:b/>
        </w:rPr>
        <w:t xml:space="preserve"> </w:t>
      </w:r>
      <w:r w:rsidR="00446D6F" w:rsidRPr="00446D6F">
        <w:rPr>
          <w:rFonts w:ascii="Arial" w:hAnsi="Arial" w:cs="Arial"/>
        </w:rPr>
        <w:t>una</w:t>
      </w:r>
      <w:r w:rsidR="00446D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 escritura de palabras </w:t>
      </w:r>
      <w:r w:rsidR="00446D6F" w:rsidRPr="00446D6F">
        <w:rPr>
          <w:rFonts w:ascii="Arial" w:hAnsi="Arial" w:cs="Arial"/>
        </w:rPr>
        <w:t>al dictado formada por 38 pala</w:t>
      </w:r>
      <w:r w:rsidR="00446D6F">
        <w:rPr>
          <w:rFonts w:ascii="Arial" w:hAnsi="Arial" w:cs="Arial"/>
        </w:rPr>
        <w:t xml:space="preserve">bras  distribuidas en 5 series </w:t>
      </w:r>
      <w:r w:rsidR="00446D6F" w:rsidRPr="00446D6F">
        <w:rPr>
          <w:rFonts w:ascii="Arial" w:hAnsi="Arial" w:cs="Arial"/>
        </w:rPr>
        <w:t>controladas por  frecuencia, ext</w:t>
      </w:r>
      <w:r w:rsidR="00446D6F">
        <w:rPr>
          <w:rFonts w:ascii="Arial" w:hAnsi="Arial" w:cs="Arial"/>
        </w:rPr>
        <w:t xml:space="preserve">ensión y </w:t>
      </w:r>
      <w:r w:rsidR="007A6459">
        <w:rPr>
          <w:rFonts w:ascii="Arial" w:hAnsi="Arial" w:cs="Arial"/>
        </w:rPr>
        <w:t>complejidad fon</w:t>
      </w:r>
      <w:r w:rsidR="00622054">
        <w:rPr>
          <w:rFonts w:ascii="Arial" w:hAnsi="Arial" w:cs="Arial"/>
        </w:rPr>
        <w:t xml:space="preserve">ológica, </w:t>
      </w:r>
      <w:r w:rsidR="007A6459">
        <w:rPr>
          <w:rFonts w:ascii="Arial" w:hAnsi="Arial" w:cs="Arial"/>
        </w:rPr>
        <w:t xml:space="preserve">basada en la prueba de </w:t>
      </w:r>
      <w:proofErr w:type="spellStart"/>
      <w:r w:rsidR="00446D6F" w:rsidRPr="00446D6F">
        <w:rPr>
          <w:rFonts w:ascii="Arial" w:hAnsi="Arial" w:cs="Arial"/>
        </w:rPr>
        <w:t>Abchi</w:t>
      </w:r>
      <w:proofErr w:type="spellEnd"/>
      <w:r w:rsidR="00446D6F" w:rsidRPr="00446D6F">
        <w:rPr>
          <w:rFonts w:ascii="Arial" w:hAnsi="Arial" w:cs="Arial"/>
        </w:rPr>
        <w:t xml:space="preserve">, </w:t>
      </w:r>
      <w:proofErr w:type="spellStart"/>
      <w:r w:rsidR="00446D6F" w:rsidRPr="00446D6F">
        <w:rPr>
          <w:rFonts w:ascii="Arial" w:hAnsi="Arial" w:cs="Arial"/>
        </w:rPr>
        <w:t>Diuk</w:t>
      </w:r>
      <w:proofErr w:type="spellEnd"/>
      <w:r w:rsidR="00446D6F" w:rsidRPr="00446D6F">
        <w:rPr>
          <w:rFonts w:ascii="Arial" w:hAnsi="Arial" w:cs="Arial"/>
        </w:rPr>
        <w:t xml:space="preserve">, </w:t>
      </w:r>
      <w:proofErr w:type="spellStart"/>
      <w:r w:rsidR="00446D6F" w:rsidRPr="00446D6F">
        <w:rPr>
          <w:rFonts w:ascii="Arial" w:hAnsi="Arial" w:cs="Arial"/>
        </w:rPr>
        <w:t>Borzone</w:t>
      </w:r>
      <w:proofErr w:type="spellEnd"/>
      <w:r w:rsidR="00446D6F" w:rsidRPr="00446D6F">
        <w:rPr>
          <w:rFonts w:ascii="Arial" w:hAnsi="Arial" w:cs="Arial"/>
        </w:rPr>
        <w:t xml:space="preserve"> y </w:t>
      </w:r>
      <w:proofErr w:type="spellStart"/>
      <w:r w:rsidR="00446D6F" w:rsidRPr="00446D6F">
        <w:rPr>
          <w:rFonts w:ascii="Arial" w:hAnsi="Arial" w:cs="Arial"/>
        </w:rPr>
        <w:t>Ferroni</w:t>
      </w:r>
      <w:proofErr w:type="spellEnd"/>
      <w:r w:rsidR="00446D6F" w:rsidRPr="00446D6F">
        <w:rPr>
          <w:rFonts w:ascii="Arial" w:hAnsi="Arial" w:cs="Arial"/>
        </w:rPr>
        <w:t xml:space="preserve"> (2009)</w:t>
      </w:r>
      <w:r w:rsidR="00446D6F">
        <w:rPr>
          <w:rFonts w:ascii="Arial" w:hAnsi="Arial" w:cs="Arial"/>
        </w:rPr>
        <w:t xml:space="preserve"> que mide cantidad y grado de complet</w:t>
      </w:r>
      <w:r w:rsidR="007A6459">
        <w:rPr>
          <w:rFonts w:ascii="Arial" w:hAnsi="Arial" w:cs="Arial"/>
        </w:rPr>
        <w:t>amiento</w:t>
      </w:r>
      <w:r w:rsidR="00446D6F">
        <w:rPr>
          <w:rFonts w:ascii="Arial" w:hAnsi="Arial" w:cs="Arial"/>
        </w:rPr>
        <w:t xml:space="preserve"> de las escrituras</w:t>
      </w:r>
      <w:r w:rsidR="007A6459">
        <w:rPr>
          <w:rFonts w:ascii="Arial" w:hAnsi="Arial" w:cs="Arial"/>
        </w:rPr>
        <w:t xml:space="preserve">. Y </w:t>
      </w:r>
      <w:r w:rsidR="00446D6F">
        <w:rPr>
          <w:rFonts w:ascii="Arial" w:hAnsi="Arial" w:cs="Arial"/>
        </w:rPr>
        <w:t>una prueba de</w:t>
      </w:r>
      <w:r w:rsidR="000845B7">
        <w:rPr>
          <w:rFonts w:ascii="Arial" w:hAnsi="Arial" w:cs="Arial"/>
        </w:rPr>
        <w:t xml:space="preserve"> lectura de palabras </w:t>
      </w:r>
      <w:r w:rsidR="00446D6F" w:rsidRPr="00446D6F">
        <w:rPr>
          <w:rFonts w:ascii="Arial" w:hAnsi="Arial" w:cs="Arial"/>
        </w:rPr>
        <w:t>(SAL</w:t>
      </w:r>
      <w:r w:rsidR="00446D6F">
        <w:rPr>
          <w:rFonts w:ascii="Arial" w:hAnsi="Arial" w:cs="Arial"/>
        </w:rPr>
        <w:t xml:space="preserve">, de </w:t>
      </w:r>
      <w:proofErr w:type="spellStart"/>
      <w:r w:rsidR="00446D6F">
        <w:rPr>
          <w:rFonts w:ascii="Arial" w:hAnsi="Arial" w:cs="Arial"/>
        </w:rPr>
        <w:t>Borzone</w:t>
      </w:r>
      <w:proofErr w:type="spellEnd"/>
      <w:r w:rsidR="00446D6F">
        <w:rPr>
          <w:rFonts w:ascii="Arial" w:hAnsi="Arial" w:cs="Arial"/>
        </w:rPr>
        <w:t xml:space="preserve">  &amp; </w:t>
      </w:r>
      <w:proofErr w:type="spellStart"/>
      <w:r w:rsidR="00446D6F">
        <w:rPr>
          <w:rFonts w:ascii="Arial" w:hAnsi="Arial" w:cs="Arial"/>
        </w:rPr>
        <w:t>Rosemberg</w:t>
      </w:r>
      <w:proofErr w:type="spellEnd"/>
      <w:r w:rsidR="00446D6F">
        <w:rPr>
          <w:rFonts w:ascii="Arial" w:hAnsi="Arial" w:cs="Arial"/>
        </w:rPr>
        <w:t>, 2009</w:t>
      </w:r>
      <w:r w:rsidR="00446D6F" w:rsidRPr="00446D6F">
        <w:rPr>
          <w:rFonts w:ascii="Arial" w:hAnsi="Arial" w:cs="Arial"/>
        </w:rPr>
        <w:t xml:space="preserve">) </w:t>
      </w:r>
      <w:r w:rsidR="00446D6F">
        <w:rPr>
          <w:rFonts w:ascii="Arial" w:hAnsi="Arial" w:cs="Arial"/>
        </w:rPr>
        <w:t>que mide fluidez lectora.</w:t>
      </w:r>
    </w:p>
    <w:p w:rsidR="000D15C0" w:rsidRDefault="00622054" w:rsidP="0062205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AR"/>
        </w:rPr>
      </w:pPr>
      <w:proofErr w:type="spellStart"/>
      <w:r>
        <w:rPr>
          <w:rFonts w:ascii="Arial" w:hAnsi="Arial" w:cs="Arial"/>
          <w:b/>
          <w:sz w:val="24"/>
          <w:szCs w:val="24"/>
          <w:lang w:eastAsia="es-AR"/>
        </w:rPr>
        <w:t>Resultados</w:t>
      </w:r>
      <w:proofErr w:type="gramStart"/>
      <w:r>
        <w:rPr>
          <w:rFonts w:ascii="Arial" w:hAnsi="Arial" w:cs="Arial"/>
          <w:b/>
          <w:sz w:val="24"/>
          <w:szCs w:val="24"/>
          <w:lang w:eastAsia="es-AR"/>
        </w:rPr>
        <w:t>:</w:t>
      </w:r>
      <w:r w:rsidR="000D15C0" w:rsidRPr="000D15C0">
        <w:rPr>
          <w:rFonts w:ascii="Arial" w:hAnsi="Arial" w:cs="Arial"/>
          <w:b/>
          <w:sz w:val="24"/>
          <w:szCs w:val="24"/>
          <w:u w:val="single"/>
          <w:lang w:eastAsia="es-AR"/>
        </w:rPr>
        <w:t>Puntajes</w:t>
      </w:r>
      <w:proofErr w:type="spellEnd"/>
      <w:proofErr w:type="gramEnd"/>
      <w:r w:rsidR="000D15C0" w:rsidRPr="000D15C0">
        <w:rPr>
          <w:rFonts w:ascii="Arial" w:hAnsi="Arial" w:cs="Arial"/>
          <w:b/>
          <w:sz w:val="24"/>
          <w:szCs w:val="24"/>
          <w:u w:val="single"/>
          <w:lang w:eastAsia="es-AR"/>
        </w:rPr>
        <w:t xml:space="preserve"> promedio y desvíos estándar en las pruebas </w:t>
      </w:r>
      <w:r>
        <w:rPr>
          <w:rFonts w:ascii="Arial" w:hAnsi="Arial" w:cs="Arial"/>
          <w:b/>
          <w:sz w:val="24"/>
          <w:szCs w:val="24"/>
          <w:u w:val="single"/>
          <w:lang w:eastAsia="es-AR"/>
        </w:rPr>
        <w:t xml:space="preserve">en </w:t>
      </w:r>
      <w:r w:rsidR="000D15C0" w:rsidRPr="000D15C0">
        <w:rPr>
          <w:rFonts w:ascii="Arial" w:hAnsi="Arial" w:cs="Arial"/>
          <w:b/>
          <w:sz w:val="24"/>
          <w:szCs w:val="24"/>
          <w:u w:val="single"/>
          <w:lang w:eastAsia="es-AR"/>
        </w:rPr>
        <w:t>T1 y T2</w:t>
      </w:r>
    </w:p>
    <w:p w:rsidR="000845B7" w:rsidRPr="000D15C0" w:rsidRDefault="000845B7" w:rsidP="0062205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AR"/>
        </w:rPr>
      </w:pPr>
    </w:p>
    <w:tbl>
      <w:tblPr>
        <w:tblStyle w:val="TableGrid"/>
        <w:tblpPr w:leftFromText="141" w:rightFromText="141" w:vertAnchor="text" w:horzAnchor="margin" w:tblpY="94"/>
        <w:tblW w:w="8784" w:type="dxa"/>
        <w:tblLook w:val="04A0" w:firstRow="1" w:lastRow="0" w:firstColumn="1" w:lastColumn="0" w:noHBand="0" w:noVBand="1"/>
      </w:tblPr>
      <w:tblGrid>
        <w:gridCol w:w="3823"/>
        <w:gridCol w:w="1701"/>
        <w:gridCol w:w="1842"/>
        <w:gridCol w:w="1418"/>
      </w:tblGrid>
      <w:tr w:rsidR="000D15C0" w:rsidRPr="007A6459" w:rsidTr="000D15C0">
        <w:trPr>
          <w:trHeight w:val="416"/>
        </w:trPr>
        <w:tc>
          <w:tcPr>
            <w:tcW w:w="3823" w:type="dxa"/>
            <w:shd w:val="clear" w:color="auto" w:fill="D9D9D9" w:themeFill="background1" w:themeFillShade="D9"/>
          </w:tcPr>
          <w:p w:rsidR="000D15C0" w:rsidRPr="007A6459" w:rsidRDefault="000D15C0" w:rsidP="000D15C0">
            <w:pPr>
              <w:pStyle w:val="NormalWeb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15C0" w:rsidRPr="007A6459" w:rsidRDefault="000D15C0" w:rsidP="000D15C0">
            <w:pPr>
              <w:pStyle w:val="NormalWeb"/>
              <w:spacing w:after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T1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D15C0" w:rsidRPr="007A6459" w:rsidRDefault="000D15C0" w:rsidP="000D15C0">
            <w:pPr>
              <w:pStyle w:val="NormalWeb"/>
              <w:spacing w:after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T2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D15C0" w:rsidRPr="007A6459" w:rsidRDefault="000D15C0" w:rsidP="000D15C0">
            <w:pPr>
              <w:pStyle w:val="NormalWeb"/>
              <w:spacing w:after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bilateral</w:t>
            </w:r>
          </w:p>
        </w:tc>
      </w:tr>
      <w:tr w:rsidR="000D15C0" w:rsidRPr="007A6459" w:rsidTr="000D15C0">
        <w:trPr>
          <w:trHeight w:val="304"/>
        </w:trPr>
        <w:tc>
          <w:tcPr>
            <w:tcW w:w="3823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Escritura de palabras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38) 2° grado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5,08 ( 4,60)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14,17( 10,83)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,001</w:t>
            </w:r>
          </w:p>
        </w:tc>
      </w:tr>
      <w:tr w:rsidR="000D15C0" w:rsidRPr="007A6459" w:rsidTr="000D15C0">
        <w:trPr>
          <w:trHeight w:val="317"/>
        </w:trPr>
        <w:tc>
          <w:tcPr>
            <w:tcW w:w="3823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Escritura de palabras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38) 3</w:t>
            </w:r>
            <w:r w:rsidRPr="000D15C0">
              <w:rPr>
                <w:rFonts w:ascii="Arial" w:hAnsi="Arial" w:cs="Arial"/>
                <w:sz w:val="20"/>
                <w:szCs w:val="20"/>
              </w:rPr>
              <w:t>° grado</w:t>
            </w:r>
          </w:p>
        </w:tc>
        <w:tc>
          <w:tcPr>
            <w:tcW w:w="1701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8,25 ( 4,55)</w:t>
            </w:r>
          </w:p>
        </w:tc>
        <w:tc>
          <w:tcPr>
            <w:tcW w:w="1842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17,38 (8,08)</w:t>
            </w:r>
          </w:p>
        </w:tc>
        <w:tc>
          <w:tcPr>
            <w:tcW w:w="1418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,001</w:t>
            </w:r>
          </w:p>
        </w:tc>
      </w:tr>
      <w:tr w:rsidR="000D15C0" w:rsidRPr="007A6459" w:rsidTr="000D15C0">
        <w:trPr>
          <w:trHeight w:val="317"/>
        </w:trPr>
        <w:tc>
          <w:tcPr>
            <w:tcW w:w="3823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Lectura x minuto(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40) 2° grado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6,33 ( 4,29)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 ( 8,63)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0D15C0" w:rsidRPr="007A6459" w:rsidTr="000D15C0">
        <w:trPr>
          <w:trHeight w:val="304"/>
        </w:trPr>
        <w:tc>
          <w:tcPr>
            <w:tcW w:w="3823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15C0">
              <w:rPr>
                <w:rFonts w:ascii="Arial" w:hAnsi="Arial" w:cs="Arial"/>
                <w:sz w:val="20"/>
                <w:szCs w:val="20"/>
              </w:rPr>
              <w:t xml:space="preserve">Lectura x minuto( </w:t>
            </w:r>
            <w:proofErr w:type="spellStart"/>
            <w:r w:rsidRPr="000D15C0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D15C0">
              <w:rPr>
                <w:rFonts w:ascii="Arial" w:hAnsi="Arial" w:cs="Arial"/>
                <w:sz w:val="20"/>
                <w:szCs w:val="20"/>
              </w:rPr>
              <w:t xml:space="preserve"> 40) 2° grado</w:t>
            </w:r>
          </w:p>
        </w:tc>
        <w:tc>
          <w:tcPr>
            <w:tcW w:w="1701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9,13 ( 4,42)</w:t>
            </w:r>
          </w:p>
        </w:tc>
        <w:tc>
          <w:tcPr>
            <w:tcW w:w="1842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15,38 ( 8,79)</w:t>
            </w:r>
          </w:p>
        </w:tc>
        <w:tc>
          <w:tcPr>
            <w:tcW w:w="1418" w:type="dxa"/>
          </w:tcPr>
          <w:p w:rsidR="000D15C0" w:rsidRPr="007A6459" w:rsidRDefault="000D15C0" w:rsidP="000D15C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,002</w:t>
            </w:r>
          </w:p>
        </w:tc>
      </w:tr>
    </w:tbl>
    <w:p w:rsidR="000845B7" w:rsidRDefault="000845B7" w:rsidP="004029A7">
      <w:pPr>
        <w:jc w:val="both"/>
        <w:rPr>
          <w:rFonts w:ascii="Arial" w:hAnsi="Arial" w:cs="Arial"/>
          <w:b/>
          <w:sz w:val="24"/>
          <w:szCs w:val="24"/>
          <w:lang w:eastAsia="es-AR"/>
        </w:rPr>
      </w:pPr>
    </w:p>
    <w:p w:rsidR="000D15C0" w:rsidRDefault="00622054" w:rsidP="004029A7">
      <w:pPr>
        <w:jc w:val="both"/>
        <w:rPr>
          <w:rFonts w:ascii="Arial" w:hAnsi="Arial" w:cs="Arial"/>
          <w:sz w:val="24"/>
          <w:szCs w:val="24"/>
          <w:lang w:eastAsia="es-AR"/>
        </w:rPr>
      </w:pPr>
      <w:r w:rsidRPr="00622054">
        <w:rPr>
          <w:rFonts w:ascii="Arial" w:hAnsi="Arial" w:cs="Arial"/>
          <w:b/>
          <w:sz w:val="24"/>
          <w:szCs w:val="24"/>
          <w:lang w:eastAsia="es-AR"/>
        </w:rPr>
        <w:t xml:space="preserve">Discusión: </w:t>
      </w:r>
      <w:r w:rsidR="00577158">
        <w:rPr>
          <w:rFonts w:ascii="Arial" w:hAnsi="Arial" w:cs="Arial"/>
          <w:sz w:val="24"/>
          <w:szCs w:val="24"/>
          <w:lang w:eastAsia="es-AR"/>
        </w:rPr>
        <w:t>Si bien en los resultados de esta medición preliminar (habiendo realizado el 30% del programa) se observan diferencias significativas entre un tiempo y otro, aún los puntajes de lectura y escritura distan de equipararse a los de la media de los niños de su grupo d</w:t>
      </w:r>
      <w:r w:rsidR="004029A7">
        <w:rPr>
          <w:rFonts w:ascii="Arial" w:hAnsi="Arial" w:cs="Arial"/>
          <w:sz w:val="24"/>
          <w:szCs w:val="24"/>
          <w:lang w:eastAsia="es-AR"/>
        </w:rPr>
        <w:t xml:space="preserve">e referencia. La administración que hemos </w:t>
      </w:r>
      <w:r w:rsidR="004029A7">
        <w:rPr>
          <w:rFonts w:ascii="Arial" w:hAnsi="Arial" w:cs="Arial"/>
          <w:sz w:val="24"/>
          <w:szCs w:val="24"/>
          <w:lang w:eastAsia="es-AR"/>
        </w:rPr>
        <w:lastRenderedPageBreak/>
        <w:t>hecho de la prueba de escritura en todos los 1°,2° y 3° de 4 escuelas de la zona  que componen el universo de referencia</w:t>
      </w:r>
      <w:r w:rsidR="00351889">
        <w:rPr>
          <w:rFonts w:ascii="Arial" w:hAnsi="Arial" w:cs="Arial"/>
          <w:sz w:val="24"/>
          <w:szCs w:val="24"/>
          <w:lang w:eastAsia="es-AR"/>
        </w:rPr>
        <w:t xml:space="preserve"> (515</w:t>
      </w:r>
      <w:r w:rsidR="004029A7">
        <w:rPr>
          <w:rFonts w:ascii="Arial" w:hAnsi="Arial" w:cs="Arial"/>
          <w:sz w:val="24"/>
          <w:szCs w:val="24"/>
          <w:lang w:eastAsia="es-AR"/>
        </w:rPr>
        <w:t xml:space="preserve"> niños) arrojan para </w:t>
      </w:r>
      <w:r w:rsidR="00351889">
        <w:rPr>
          <w:rFonts w:ascii="Arial" w:hAnsi="Arial" w:cs="Arial"/>
          <w:sz w:val="24"/>
          <w:szCs w:val="24"/>
          <w:lang w:eastAsia="es-AR"/>
        </w:rPr>
        <w:t xml:space="preserve">1° año EP una media de 8,8 palabras escritas correctamente, para </w:t>
      </w:r>
      <w:r w:rsidR="004029A7">
        <w:rPr>
          <w:rFonts w:ascii="Arial" w:hAnsi="Arial" w:cs="Arial"/>
          <w:sz w:val="24"/>
          <w:szCs w:val="24"/>
          <w:lang w:eastAsia="es-AR"/>
        </w:rPr>
        <w:t>2° añ</w:t>
      </w:r>
      <w:r w:rsidR="00351889">
        <w:rPr>
          <w:rFonts w:ascii="Arial" w:hAnsi="Arial" w:cs="Arial"/>
          <w:sz w:val="24"/>
          <w:szCs w:val="24"/>
          <w:lang w:eastAsia="es-AR"/>
        </w:rPr>
        <w:t xml:space="preserve">o de 17,4 palabras y para 3° </w:t>
      </w:r>
      <w:r w:rsidR="004029A7">
        <w:rPr>
          <w:rFonts w:ascii="Arial" w:hAnsi="Arial" w:cs="Arial"/>
          <w:sz w:val="24"/>
          <w:szCs w:val="24"/>
          <w:lang w:eastAsia="es-AR"/>
        </w:rPr>
        <w:t xml:space="preserve">de 29. </w:t>
      </w:r>
      <w:r w:rsidR="00351889">
        <w:rPr>
          <w:rFonts w:ascii="Arial" w:hAnsi="Arial" w:cs="Arial"/>
          <w:sz w:val="24"/>
          <w:szCs w:val="24"/>
          <w:lang w:eastAsia="es-AR"/>
        </w:rPr>
        <w:t xml:space="preserve">Es decir, los niños de 3° año desfasados que al inicio puntuaban como  niños con desempeño medio de 1°, llegaron en 2 meses a tener un desempeño similar al de la media de los de 2°. Caben analizar en ulteriores mediciones los resultados del impacto del programa en la totalidad de la muestra (100 niños) y en las otras variables evaluadas sobre las que también se intervino (comprensión, vocabulario, </w:t>
      </w:r>
      <w:r w:rsidR="000845B7">
        <w:rPr>
          <w:rFonts w:ascii="Arial" w:hAnsi="Arial" w:cs="Arial"/>
          <w:sz w:val="24"/>
          <w:szCs w:val="24"/>
          <w:lang w:eastAsia="es-AR"/>
        </w:rPr>
        <w:t>narración</w:t>
      </w:r>
      <w:r w:rsidR="00351889">
        <w:rPr>
          <w:rFonts w:ascii="Arial" w:hAnsi="Arial" w:cs="Arial"/>
          <w:sz w:val="24"/>
          <w:szCs w:val="24"/>
          <w:lang w:eastAsia="es-AR"/>
        </w:rPr>
        <w:t xml:space="preserve">) </w:t>
      </w:r>
    </w:p>
    <w:p w:rsidR="00351889" w:rsidRPr="00577158" w:rsidRDefault="00351889" w:rsidP="004029A7">
      <w:pPr>
        <w:jc w:val="both"/>
        <w:rPr>
          <w:rFonts w:ascii="Arial" w:hAnsi="Arial" w:cs="Arial"/>
          <w:sz w:val="24"/>
          <w:szCs w:val="24"/>
          <w:lang w:eastAsia="es-AR"/>
        </w:rPr>
      </w:pPr>
      <w:r w:rsidRPr="000845B7">
        <w:rPr>
          <w:rFonts w:ascii="Arial" w:hAnsi="Arial" w:cs="Arial"/>
          <w:b/>
          <w:sz w:val="24"/>
          <w:szCs w:val="24"/>
          <w:lang w:eastAsia="es-AR"/>
        </w:rPr>
        <w:t>Palabra</w:t>
      </w:r>
      <w:r w:rsidR="000845B7" w:rsidRPr="000845B7">
        <w:rPr>
          <w:rFonts w:ascii="Arial" w:hAnsi="Arial" w:cs="Arial"/>
          <w:b/>
          <w:sz w:val="24"/>
          <w:szCs w:val="24"/>
          <w:lang w:eastAsia="es-AR"/>
        </w:rPr>
        <w:t>s clave</w:t>
      </w:r>
      <w:r w:rsidR="000845B7">
        <w:rPr>
          <w:rFonts w:ascii="Arial" w:hAnsi="Arial" w:cs="Arial"/>
          <w:sz w:val="24"/>
          <w:szCs w:val="24"/>
          <w:lang w:eastAsia="es-AR"/>
        </w:rPr>
        <w:t>: lectura, escritura, niños, enseñanza.</w:t>
      </w:r>
    </w:p>
    <w:p w:rsidR="000D15C0" w:rsidRDefault="000D15C0" w:rsidP="000D15C0">
      <w:pPr>
        <w:rPr>
          <w:lang w:eastAsia="es-AR"/>
        </w:rPr>
      </w:pPr>
    </w:p>
    <w:p w:rsidR="000D15C0" w:rsidRDefault="000D15C0" w:rsidP="000D15C0">
      <w:pPr>
        <w:rPr>
          <w:lang w:eastAsia="es-AR"/>
        </w:rPr>
      </w:pPr>
    </w:p>
    <w:p w:rsidR="006F472D" w:rsidRPr="000D15C0" w:rsidRDefault="006F472D" w:rsidP="000D15C0">
      <w:pPr>
        <w:rPr>
          <w:lang w:eastAsia="es-AR"/>
        </w:rPr>
      </w:pPr>
      <w:bookmarkStart w:id="0" w:name="_GoBack"/>
      <w:bookmarkEnd w:id="0"/>
    </w:p>
    <w:p w:rsidR="00B05FB2" w:rsidRDefault="00B05FB2" w:rsidP="00021875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AR"/>
        </w:rPr>
      </w:pPr>
    </w:p>
    <w:p w:rsidR="00B05FB2" w:rsidRPr="00B05FB2" w:rsidRDefault="00B05FB2" w:rsidP="00021875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AR"/>
        </w:rPr>
      </w:pPr>
    </w:p>
    <w:p w:rsidR="00B05FB2" w:rsidRDefault="00B05FB2" w:rsidP="00021875">
      <w:pPr>
        <w:spacing w:line="360" w:lineRule="auto"/>
        <w:jc w:val="both"/>
        <w:rPr>
          <w:noProof/>
          <w:lang w:eastAsia="es-AR"/>
        </w:rPr>
      </w:pPr>
    </w:p>
    <w:p w:rsidR="00B05FB2" w:rsidRDefault="00B05FB2">
      <w:pPr>
        <w:rPr>
          <w:noProof/>
          <w:lang w:eastAsia="es-AR"/>
        </w:rPr>
      </w:pPr>
    </w:p>
    <w:p w:rsidR="00B05FB2" w:rsidRDefault="00B05FB2">
      <w:pPr>
        <w:rPr>
          <w:noProof/>
          <w:lang w:eastAsia="es-AR"/>
        </w:rPr>
      </w:pPr>
    </w:p>
    <w:p w:rsidR="00B05FB2" w:rsidRDefault="00B05FB2">
      <w:pPr>
        <w:rPr>
          <w:noProof/>
          <w:lang w:eastAsia="es-AR"/>
        </w:rPr>
      </w:pPr>
    </w:p>
    <w:p w:rsidR="0083354A" w:rsidRDefault="00BC46C1"/>
    <w:sectPr w:rsidR="0083354A" w:rsidSect="00CD3903"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C1" w:rsidRDefault="00BC46C1" w:rsidP="00B05FB2">
      <w:pPr>
        <w:spacing w:after="0" w:line="240" w:lineRule="auto"/>
      </w:pPr>
      <w:r>
        <w:separator/>
      </w:r>
    </w:p>
  </w:endnote>
  <w:endnote w:type="continuationSeparator" w:id="0">
    <w:p w:rsidR="00BC46C1" w:rsidRDefault="00BC46C1" w:rsidP="00B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C1" w:rsidRDefault="00BC46C1" w:rsidP="00B05FB2">
      <w:pPr>
        <w:spacing w:after="0" w:line="240" w:lineRule="auto"/>
      </w:pPr>
      <w:r>
        <w:separator/>
      </w:r>
    </w:p>
  </w:footnote>
  <w:footnote w:type="continuationSeparator" w:id="0">
    <w:p w:rsidR="00BC46C1" w:rsidRDefault="00BC46C1" w:rsidP="00B05FB2">
      <w:pPr>
        <w:spacing w:after="0" w:line="240" w:lineRule="auto"/>
      </w:pPr>
      <w:r>
        <w:continuationSeparator/>
      </w:r>
    </w:p>
  </w:footnote>
  <w:footnote w:id="1">
    <w:p w:rsidR="00D042F2" w:rsidRPr="002709A9" w:rsidRDefault="00D042F2" w:rsidP="00A758ED">
      <w:pPr>
        <w:pStyle w:val="FootnoteText"/>
        <w:rPr>
          <w:rFonts w:ascii="Arial" w:hAnsi="Arial" w:cs="Arial"/>
          <w:sz w:val="16"/>
          <w:szCs w:val="16"/>
        </w:rPr>
      </w:pPr>
      <w:r w:rsidRPr="002709A9">
        <w:rPr>
          <w:rStyle w:val="FootnoteReference"/>
          <w:rFonts w:ascii="Arial" w:hAnsi="Arial" w:cs="Arial"/>
          <w:sz w:val="16"/>
          <w:szCs w:val="16"/>
        </w:rPr>
        <w:footnoteRef/>
      </w:r>
      <w:r w:rsidRPr="002709A9">
        <w:rPr>
          <w:rFonts w:ascii="Arial" w:hAnsi="Arial" w:cs="Arial"/>
          <w:sz w:val="16"/>
          <w:szCs w:val="16"/>
        </w:rPr>
        <w:t xml:space="preserve"> </w:t>
      </w:r>
      <w:r w:rsidR="00A758ED" w:rsidRPr="002709A9">
        <w:rPr>
          <w:rFonts w:ascii="Arial" w:hAnsi="Arial" w:cs="Arial"/>
          <w:sz w:val="16"/>
          <w:szCs w:val="16"/>
        </w:rPr>
        <w:t>Índice de Vulnerabilidad Social: es un índice construido con información del censo 2001 que pretende dar cuenta de las condiciones de vida y de vulnerabilidad de la población y de los hogares. Pondera aspectos socioeconómicos y educativos</w:t>
      </w:r>
      <w:r w:rsidR="002709A9" w:rsidRPr="002709A9">
        <w:rPr>
          <w:rFonts w:ascii="Arial" w:hAnsi="Arial" w:cs="Arial"/>
          <w:sz w:val="16"/>
          <w:szCs w:val="16"/>
        </w:rPr>
        <w:t xml:space="preserve">  en 5 dimensiones</w:t>
      </w:r>
      <w:r w:rsidR="00351889">
        <w:rPr>
          <w:rFonts w:ascii="Arial" w:hAnsi="Arial" w:cs="Arial"/>
          <w:sz w:val="16"/>
          <w:szCs w:val="16"/>
        </w:rPr>
        <w:t>.</w:t>
      </w:r>
    </w:p>
  </w:footnote>
  <w:footnote w:id="2">
    <w:p w:rsidR="00D042F2" w:rsidRPr="002709A9" w:rsidRDefault="00D042F2">
      <w:pPr>
        <w:pStyle w:val="FootnoteText"/>
        <w:rPr>
          <w:rFonts w:ascii="Arial" w:hAnsi="Arial" w:cs="Arial"/>
          <w:sz w:val="16"/>
          <w:szCs w:val="16"/>
        </w:rPr>
      </w:pPr>
      <w:r w:rsidRPr="002709A9">
        <w:rPr>
          <w:rStyle w:val="FootnoteReference"/>
          <w:rFonts w:ascii="Arial" w:hAnsi="Arial" w:cs="Arial"/>
          <w:sz w:val="16"/>
          <w:szCs w:val="16"/>
        </w:rPr>
        <w:footnoteRef/>
      </w:r>
      <w:r w:rsidRPr="002709A9">
        <w:rPr>
          <w:rFonts w:ascii="Arial" w:hAnsi="Arial" w:cs="Arial"/>
          <w:sz w:val="16"/>
          <w:szCs w:val="16"/>
        </w:rPr>
        <w:t xml:space="preserve"> </w:t>
      </w:r>
      <w:r w:rsidR="002709A9" w:rsidRPr="002709A9">
        <w:rPr>
          <w:rFonts w:ascii="Arial" w:hAnsi="Arial" w:cs="Arial"/>
          <w:sz w:val="16"/>
          <w:szCs w:val="16"/>
        </w:rPr>
        <w:t>E.O.E.: Equipos de orientación escolar</w:t>
      </w:r>
      <w:r w:rsidR="002709A9">
        <w:rPr>
          <w:rFonts w:ascii="Arial" w:hAnsi="Arial" w:cs="Arial"/>
          <w:sz w:val="16"/>
          <w:szCs w:val="16"/>
        </w:rPr>
        <w:t>: conformados por orientadores sociales, educativos y orientadores de aprendizaje.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C0"/>
    <w:rsid w:val="00021875"/>
    <w:rsid w:val="00076F74"/>
    <w:rsid w:val="000845B7"/>
    <w:rsid w:val="000D15C0"/>
    <w:rsid w:val="000F11CA"/>
    <w:rsid w:val="002346D5"/>
    <w:rsid w:val="00240EA4"/>
    <w:rsid w:val="002709A9"/>
    <w:rsid w:val="00276EC0"/>
    <w:rsid w:val="00351889"/>
    <w:rsid w:val="003D5593"/>
    <w:rsid w:val="004029A7"/>
    <w:rsid w:val="00446D6F"/>
    <w:rsid w:val="00577158"/>
    <w:rsid w:val="00622054"/>
    <w:rsid w:val="00680353"/>
    <w:rsid w:val="00695FD1"/>
    <w:rsid w:val="006F472D"/>
    <w:rsid w:val="007A6459"/>
    <w:rsid w:val="00806F3E"/>
    <w:rsid w:val="00956233"/>
    <w:rsid w:val="00A758ED"/>
    <w:rsid w:val="00B05FB2"/>
    <w:rsid w:val="00BC46C1"/>
    <w:rsid w:val="00C36575"/>
    <w:rsid w:val="00CD3903"/>
    <w:rsid w:val="00D042F2"/>
    <w:rsid w:val="00D41FAA"/>
    <w:rsid w:val="00E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40C0F0-DB91-4BE3-97D9-E9880338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FB2"/>
  </w:style>
  <w:style w:type="paragraph" w:styleId="Footer">
    <w:name w:val="footer"/>
    <w:basedOn w:val="Normal"/>
    <w:link w:val="FooterChar"/>
    <w:uiPriority w:val="99"/>
    <w:unhideWhenUsed/>
    <w:rsid w:val="00B05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B2"/>
  </w:style>
  <w:style w:type="paragraph" w:styleId="NormalWeb">
    <w:name w:val="Normal (Web)"/>
    <w:basedOn w:val="Normal"/>
    <w:uiPriority w:val="99"/>
    <w:unhideWhenUsed/>
    <w:rsid w:val="00B0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unhideWhenUsed/>
    <w:rsid w:val="00B05FB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042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2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2F2"/>
    <w:rPr>
      <w:vertAlign w:val="superscript"/>
    </w:rPr>
  </w:style>
  <w:style w:type="table" w:styleId="TableGrid">
    <w:name w:val="Table Grid"/>
    <w:basedOn w:val="TableNormal"/>
    <w:uiPriority w:val="39"/>
    <w:rsid w:val="007A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amar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39A7-F7E7-407B-B8EF-0C7785EB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Frydman</dc:creator>
  <cp:keywords/>
  <dc:description/>
  <cp:lastModifiedBy>Lara Frydman</cp:lastModifiedBy>
  <cp:revision>10</cp:revision>
  <dcterms:created xsi:type="dcterms:W3CDTF">2014-11-25T11:46:00Z</dcterms:created>
  <dcterms:modified xsi:type="dcterms:W3CDTF">2014-11-26T03:39:00Z</dcterms:modified>
</cp:coreProperties>
</file>