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8A89C" w14:textId="77777777" w:rsidR="00922E37" w:rsidRPr="00C72B48" w:rsidRDefault="00922E37" w:rsidP="00922E37">
      <w:pPr>
        <w:tabs>
          <w:tab w:val="left" w:pos="4069"/>
        </w:tabs>
        <w:spacing w:after="0" w:line="240" w:lineRule="auto"/>
        <w:jc w:val="both"/>
        <w:rPr>
          <w:rFonts w:ascii="Times New Roman" w:eastAsia="Times New Roman" w:hAnsi="Times New Roman"/>
          <w:b/>
          <w:sz w:val="26"/>
          <w:szCs w:val="26"/>
          <w:lang w:val="es-ES" w:eastAsia="es-AR"/>
        </w:rPr>
      </w:pPr>
      <w:r>
        <w:rPr>
          <w:rFonts w:ascii="Times New Roman" w:hAnsi="Times New Roman"/>
          <w:b/>
          <w:sz w:val="26"/>
          <w:szCs w:val="26"/>
        </w:rPr>
        <w:t>H</w:t>
      </w:r>
      <w:r w:rsidRPr="002C1844">
        <w:rPr>
          <w:rFonts w:ascii="Times New Roman" w:hAnsi="Times New Roman"/>
          <w:b/>
          <w:sz w:val="26"/>
          <w:szCs w:val="26"/>
        </w:rPr>
        <w:t>eterogeneidad de la estructura ocupacional</w:t>
      </w:r>
      <w:r>
        <w:rPr>
          <w:rFonts w:ascii="Times New Roman" w:hAnsi="Times New Roman"/>
          <w:b/>
          <w:sz w:val="26"/>
          <w:szCs w:val="26"/>
        </w:rPr>
        <w:t xml:space="preserve">, </w:t>
      </w:r>
      <w:r w:rsidRPr="002C1844">
        <w:rPr>
          <w:rFonts w:ascii="Times New Roman" w:hAnsi="Times New Roman"/>
          <w:b/>
          <w:sz w:val="26"/>
          <w:szCs w:val="26"/>
        </w:rPr>
        <w:t xml:space="preserve">desigualdad </w:t>
      </w:r>
      <w:r>
        <w:rPr>
          <w:rFonts w:ascii="Times New Roman" w:hAnsi="Times New Roman"/>
          <w:b/>
          <w:sz w:val="26"/>
          <w:szCs w:val="26"/>
        </w:rPr>
        <w:t xml:space="preserve">distributiva y obstáculos a la equidad en la Argentina </w:t>
      </w:r>
      <w:r w:rsidRPr="002C1844">
        <w:rPr>
          <w:rFonts w:ascii="Times New Roman" w:hAnsi="Times New Roman"/>
          <w:b/>
          <w:sz w:val="26"/>
          <w:szCs w:val="26"/>
        </w:rPr>
        <w:t>(1974-2014</w:t>
      </w:r>
      <w:r w:rsidRPr="002C1844">
        <w:rPr>
          <w:rFonts w:ascii="Times New Roman" w:eastAsia="Times New Roman" w:hAnsi="Times New Roman"/>
          <w:b/>
          <w:sz w:val="26"/>
          <w:szCs w:val="26"/>
          <w:lang w:val="es-ES" w:eastAsia="es-AR"/>
        </w:rPr>
        <w:t>)</w:t>
      </w:r>
    </w:p>
    <w:p w14:paraId="7BD95803" w14:textId="77777777" w:rsidR="00922E37" w:rsidRPr="003854E6" w:rsidRDefault="00922E37" w:rsidP="00922E37">
      <w:pPr>
        <w:tabs>
          <w:tab w:val="left" w:pos="4069"/>
        </w:tabs>
        <w:spacing w:after="0" w:line="240" w:lineRule="auto"/>
        <w:jc w:val="both"/>
        <w:rPr>
          <w:rFonts w:ascii="Times New Roman" w:eastAsia="Times New Roman" w:hAnsi="Times New Roman"/>
          <w:i/>
          <w:sz w:val="26"/>
          <w:szCs w:val="26"/>
          <w:lang w:eastAsia="es-AR"/>
        </w:rPr>
      </w:pPr>
    </w:p>
    <w:p w14:paraId="5C126825" w14:textId="77777777" w:rsidR="00922E37" w:rsidRPr="003854E6" w:rsidRDefault="00922E37" w:rsidP="00922E37">
      <w:pPr>
        <w:tabs>
          <w:tab w:val="left" w:pos="4069"/>
        </w:tabs>
        <w:spacing w:after="0" w:line="240" w:lineRule="auto"/>
        <w:jc w:val="both"/>
        <w:rPr>
          <w:rFonts w:ascii="Times New Roman" w:eastAsia="Times New Roman" w:hAnsi="Times New Roman"/>
          <w:i/>
          <w:sz w:val="26"/>
          <w:szCs w:val="26"/>
          <w:lang w:val="en-US" w:eastAsia="es-AR"/>
        </w:rPr>
      </w:pPr>
      <w:r w:rsidRPr="003854E6">
        <w:rPr>
          <w:rFonts w:ascii="Times New Roman" w:eastAsia="Times New Roman" w:hAnsi="Times New Roman"/>
          <w:i/>
          <w:sz w:val="26"/>
          <w:szCs w:val="26"/>
          <w:lang w:val="en-US" w:eastAsia="es-AR"/>
        </w:rPr>
        <w:t xml:space="preserve">Heterogeneity of the </w:t>
      </w:r>
      <w:r w:rsidR="00585EB3">
        <w:rPr>
          <w:rFonts w:ascii="Times New Roman" w:eastAsia="Times New Roman" w:hAnsi="Times New Roman"/>
          <w:i/>
          <w:sz w:val="26"/>
          <w:szCs w:val="26"/>
          <w:lang w:val="en-US" w:eastAsia="es-AR"/>
        </w:rPr>
        <w:t>O</w:t>
      </w:r>
      <w:r w:rsidRPr="003854E6">
        <w:rPr>
          <w:rFonts w:ascii="Times New Roman" w:eastAsia="Times New Roman" w:hAnsi="Times New Roman"/>
          <w:i/>
          <w:sz w:val="26"/>
          <w:szCs w:val="26"/>
          <w:lang w:val="en-US" w:eastAsia="es-AR"/>
        </w:rPr>
        <w:t xml:space="preserve">ccupational </w:t>
      </w:r>
      <w:r w:rsidR="00585EB3">
        <w:rPr>
          <w:rFonts w:ascii="Times New Roman" w:eastAsia="Times New Roman" w:hAnsi="Times New Roman"/>
          <w:i/>
          <w:sz w:val="26"/>
          <w:szCs w:val="26"/>
          <w:lang w:val="en-US" w:eastAsia="es-AR"/>
        </w:rPr>
        <w:t>S</w:t>
      </w:r>
      <w:r w:rsidRPr="003854E6">
        <w:rPr>
          <w:rFonts w:ascii="Times New Roman" w:eastAsia="Times New Roman" w:hAnsi="Times New Roman"/>
          <w:i/>
          <w:sz w:val="26"/>
          <w:szCs w:val="26"/>
          <w:lang w:val="en-US" w:eastAsia="es-AR"/>
        </w:rPr>
        <w:t xml:space="preserve">tructure, </w:t>
      </w:r>
      <w:r w:rsidR="00585EB3">
        <w:rPr>
          <w:rFonts w:ascii="Times New Roman" w:eastAsia="Times New Roman" w:hAnsi="Times New Roman"/>
          <w:i/>
          <w:sz w:val="26"/>
          <w:szCs w:val="26"/>
          <w:lang w:val="en-US" w:eastAsia="es-AR"/>
        </w:rPr>
        <w:t>Income</w:t>
      </w:r>
      <w:r w:rsidRPr="003854E6">
        <w:rPr>
          <w:rFonts w:ascii="Times New Roman" w:eastAsia="Times New Roman" w:hAnsi="Times New Roman"/>
          <w:i/>
          <w:sz w:val="26"/>
          <w:szCs w:val="26"/>
          <w:lang w:val="en-US" w:eastAsia="es-AR"/>
        </w:rPr>
        <w:t xml:space="preserve"> </w:t>
      </w:r>
      <w:r w:rsidR="00585EB3">
        <w:rPr>
          <w:rFonts w:ascii="Times New Roman" w:eastAsia="Times New Roman" w:hAnsi="Times New Roman"/>
          <w:i/>
          <w:sz w:val="26"/>
          <w:szCs w:val="26"/>
          <w:lang w:val="en-US" w:eastAsia="es-AR"/>
        </w:rPr>
        <w:t>I</w:t>
      </w:r>
      <w:r w:rsidRPr="003854E6">
        <w:rPr>
          <w:rFonts w:ascii="Times New Roman" w:eastAsia="Times New Roman" w:hAnsi="Times New Roman"/>
          <w:i/>
          <w:sz w:val="26"/>
          <w:szCs w:val="26"/>
          <w:lang w:val="en-US" w:eastAsia="es-AR"/>
        </w:rPr>
        <w:t xml:space="preserve">nequality and </w:t>
      </w:r>
      <w:r w:rsidR="00585EB3">
        <w:rPr>
          <w:rFonts w:ascii="Times New Roman" w:eastAsia="Times New Roman" w:hAnsi="Times New Roman"/>
          <w:i/>
          <w:sz w:val="26"/>
          <w:szCs w:val="26"/>
          <w:lang w:val="en-US" w:eastAsia="es-AR"/>
        </w:rPr>
        <w:t>O</w:t>
      </w:r>
      <w:r w:rsidRPr="003854E6">
        <w:rPr>
          <w:rFonts w:ascii="Times New Roman" w:eastAsia="Times New Roman" w:hAnsi="Times New Roman"/>
          <w:i/>
          <w:sz w:val="26"/>
          <w:szCs w:val="26"/>
          <w:lang w:val="en-US" w:eastAsia="es-AR"/>
        </w:rPr>
        <w:t xml:space="preserve">bstacles to </w:t>
      </w:r>
      <w:r w:rsidR="00585EB3">
        <w:rPr>
          <w:rFonts w:ascii="Times New Roman" w:eastAsia="Times New Roman" w:hAnsi="Times New Roman"/>
          <w:i/>
          <w:sz w:val="26"/>
          <w:szCs w:val="26"/>
          <w:lang w:val="en-US" w:eastAsia="es-AR"/>
        </w:rPr>
        <w:t>E</w:t>
      </w:r>
      <w:r>
        <w:rPr>
          <w:rFonts w:ascii="Times New Roman" w:eastAsia="Times New Roman" w:hAnsi="Times New Roman"/>
          <w:i/>
          <w:sz w:val="26"/>
          <w:szCs w:val="26"/>
          <w:lang w:val="en-US" w:eastAsia="es-AR"/>
        </w:rPr>
        <w:t>quity</w:t>
      </w:r>
      <w:r w:rsidRPr="003854E6">
        <w:rPr>
          <w:rFonts w:ascii="Times New Roman" w:eastAsia="Times New Roman" w:hAnsi="Times New Roman"/>
          <w:i/>
          <w:sz w:val="26"/>
          <w:szCs w:val="26"/>
          <w:lang w:val="en-US" w:eastAsia="es-AR"/>
        </w:rPr>
        <w:t xml:space="preserve"> in Argentina (1974-2014)</w:t>
      </w:r>
    </w:p>
    <w:p w14:paraId="4932336D" w14:textId="77777777" w:rsidR="00922E37" w:rsidRDefault="00922E37" w:rsidP="00922E37">
      <w:pPr>
        <w:tabs>
          <w:tab w:val="left" w:pos="4069"/>
        </w:tabs>
        <w:spacing w:after="0" w:line="240" w:lineRule="auto"/>
        <w:jc w:val="both"/>
        <w:rPr>
          <w:rFonts w:ascii="Times New Roman" w:eastAsia="Times New Roman" w:hAnsi="Times New Roman"/>
          <w:b/>
          <w:sz w:val="26"/>
          <w:szCs w:val="26"/>
          <w:lang w:val="en-US" w:eastAsia="es-AR"/>
        </w:rPr>
      </w:pPr>
    </w:p>
    <w:p w14:paraId="25EBAA3A" w14:textId="77777777" w:rsidR="00922E37" w:rsidRPr="002C1844" w:rsidRDefault="00922E37" w:rsidP="00922E37">
      <w:pPr>
        <w:tabs>
          <w:tab w:val="left" w:pos="4069"/>
        </w:tabs>
        <w:spacing w:after="120" w:line="240" w:lineRule="auto"/>
        <w:jc w:val="both"/>
        <w:rPr>
          <w:rFonts w:ascii="Times New Roman" w:eastAsia="Times New Roman" w:hAnsi="Times New Roman"/>
          <w:b/>
          <w:szCs w:val="26"/>
          <w:lang w:val="es-ES" w:eastAsia="es-AR"/>
        </w:rPr>
      </w:pPr>
      <w:r w:rsidRPr="002C1844">
        <w:rPr>
          <w:rFonts w:ascii="Times New Roman" w:eastAsia="Times New Roman" w:hAnsi="Times New Roman"/>
          <w:b/>
          <w:szCs w:val="26"/>
          <w:lang w:val="es-ES" w:eastAsia="es-AR"/>
        </w:rPr>
        <w:t>Resumen</w:t>
      </w:r>
    </w:p>
    <w:p w14:paraId="489F2781" w14:textId="743DFEB1" w:rsidR="00DC5AC3" w:rsidRDefault="00922E37" w:rsidP="00DC5AC3">
      <w:pPr>
        <w:tabs>
          <w:tab w:val="left" w:pos="4069"/>
        </w:tabs>
        <w:spacing w:after="0" w:line="240" w:lineRule="auto"/>
        <w:jc w:val="both"/>
        <w:rPr>
          <w:rFonts w:ascii="Times New Roman" w:eastAsia="Times New Roman" w:hAnsi="Times New Roman"/>
          <w:szCs w:val="24"/>
          <w:lang w:val="es-ES" w:eastAsia="es-AR"/>
        </w:rPr>
      </w:pPr>
      <w:r>
        <w:rPr>
          <w:rFonts w:ascii="Times New Roman" w:eastAsia="Times New Roman" w:hAnsi="Times New Roman"/>
          <w:szCs w:val="24"/>
          <w:lang w:val="es-ES" w:eastAsia="es-AR"/>
        </w:rPr>
        <w:t>El artículo examina el comportamiento de la desigualdad de la distribución del ingreso familiar bajo los distintos regímenes macroeconómicos vigentes en las últimas cuatro décadas en la Argentina y evalúa los factores que explican sus cambios. Se examina l</w:t>
      </w:r>
      <w:r w:rsidR="00DC5AC3">
        <w:rPr>
          <w:rFonts w:ascii="Times New Roman" w:eastAsia="Times New Roman" w:hAnsi="Times New Roman"/>
          <w:szCs w:val="24"/>
          <w:lang w:val="es-ES" w:eastAsia="es-AR"/>
        </w:rPr>
        <w:t xml:space="preserve">a hipótesis de que </w:t>
      </w:r>
      <w:r w:rsidR="00DC5AC3" w:rsidRPr="00DC5AC3">
        <w:rPr>
          <w:rFonts w:ascii="Times New Roman" w:eastAsia="Times New Roman" w:hAnsi="Times New Roman"/>
          <w:szCs w:val="24"/>
          <w:highlight w:val="yellow"/>
          <w:lang w:val="es-ES" w:eastAsia="es-AR"/>
        </w:rPr>
        <w:t>en las últimas cuatro décadas se habría consolidado</w:t>
      </w:r>
      <w:r w:rsidR="00DC5AC3" w:rsidRPr="00DC5AC3">
        <w:rPr>
          <w:rFonts w:ascii="Times New Roman" w:eastAsia="Times New Roman" w:hAnsi="Times New Roman"/>
          <w:szCs w:val="24"/>
          <w:lang w:val="es-ES" w:eastAsia="es-AR"/>
        </w:rPr>
        <w:t xml:space="preserve"> </w:t>
      </w:r>
      <w:r w:rsidR="00DC5AC3" w:rsidRPr="00DC5AC3">
        <w:rPr>
          <w:rFonts w:ascii="Times New Roman" w:eastAsia="Times New Roman" w:hAnsi="Times New Roman"/>
          <w:szCs w:val="24"/>
          <w:highlight w:val="yellow"/>
          <w:lang w:val="es-ES" w:eastAsia="es-AR"/>
        </w:rPr>
        <w:t>una matriz de desigualdad asociada a la persistente heterogeneidad estructural del sistema socio-ocupacional incluso en un contexto de activas políticas distributivas</w:t>
      </w:r>
      <w:r w:rsidR="00DC5AC3">
        <w:rPr>
          <w:rFonts w:ascii="Times New Roman" w:eastAsia="Times New Roman" w:hAnsi="Times New Roman"/>
          <w:szCs w:val="24"/>
          <w:lang w:val="es-ES" w:eastAsia="es-AR"/>
        </w:rPr>
        <w:t xml:space="preserve">. </w:t>
      </w:r>
      <w:r w:rsidR="00DC5AC3" w:rsidRPr="00BA57BE">
        <w:rPr>
          <w:rFonts w:ascii="Times New Roman" w:eastAsia="Times New Roman" w:hAnsi="Times New Roman"/>
          <w:szCs w:val="24"/>
          <w:lang w:val="es-ES" w:eastAsia="es-AR"/>
        </w:rPr>
        <w:t xml:space="preserve">Para abordar esta hipótesis, se </w:t>
      </w:r>
      <w:r w:rsidR="00DC5AC3">
        <w:rPr>
          <w:rFonts w:ascii="Times New Roman" w:eastAsia="Times New Roman" w:hAnsi="Times New Roman"/>
          <w:szCs w:val="24"/>
          <w:lang w:val="es-ES" w:eastAsia="es-AR"/>
        </w:rPr>
        <w:t>lleva adelante</w:t>
      </w:r>
      <w:r w:rsidR="00DC5AC3" w:rsidRPr="00BA57BE">
        <w:rPr>
          <w:rFonts w:ascii="Times New Roman" w:eastAsia="Times New Roman" w:hAnsi="Times New Roman"/>
          <w:szCs w:val="24"/>
          <w:lang w:val="es-ES" w:eastAsia="es-AR"/>
        </w:rPr>
        <w:t xml:space="preserve"> un modelo de descomposición del coeficiente de Gini </w:t>
      </w:r>
      <w:r w:rsidR="00DC5AC3">
        <w:rPr>
          <w:rFonts w:ascii="Times New Roman" w:eastAsia="Times New Roman" w:hAnsi="Times New Roman"/>
          <w:szCs w:val="24"/>
          <w:lang w:val="es-ES" w:eastAsia="es-AR"/>
        </w:rPr>
        <w:t>distinguiendo el aporte de</w:t>
      </w:r>
      <w:r w:rsidR="00DC5AC3" w:rsidRPr="00BA57BE">
        <w:rPr>
          <w:rFonts w:ascii="Times New Roman" w:eastAsia="Times New Roman" w:hAnsi="Times New Roman"/>
          <w:szCs w:val="24"/>
          <w:lang w:val="es-ES" w:eastAsia="es-AR"/>
        </w:rPr>
        <w:t xml:space="preserve"> los </w:t>
      </w:r>
      <w:r w:rsidR="00DC5AC3">
        <w:rPr>
          <w:rFonts w:ascii="Times New Roman" w:eastAsia="Times New Roman" w:hAnsi="Times New Roman"/>
          <w:szCs w:val="24"/>
          <w:lang w:val="es-ES" w:eastAsia="es-AR"/>
        </w:rPr>
        <w:t xml:space="preserve">ingresos de </w:t>
      </w:r>
      <w:r w:rsidR="00DC5AC3" w:rsidRPr="00BA57BE">
        <w:rPr>
          <w:rFonts w:ascii="Times New Roman" w:eastAsia="Times New Roman" w:hAnsi="Times New Roman"/>
          <w:szCs w:val="24"/>
          <w:lang w:val="es-ES" w:eastAsia="es-AR"/>
        </w:rPr>
        <w:t xml:space="preserve">distintos sectores económicos </w:t>
      </w:r>
      <w:r w:rsidR="00DC5AC3">
        <w:rPr>
          <w:rFonts w:ascii="Times New Roman" w:eastAsia="Times New Roman" w:hAnsi="Times New Roman"/>
          <w:szCs w:val="24"/>
          <w:lang w:val="es-ES" w:eastAsia="es-AR"/>
        </w:rPr>
        <w:t xml:space="preserve">en </w:t>
      </w:r>
      <w:r w:rsidR="00DC5AC3" w:rsidRPr="00BA57BE">
        <w:rPr>
          <w:rFonts w:ascii="Times New Roman" w:eastAsia="Times New Roman" w:hAnsi="Times New Roman"/>
          <w:szCs w:val="24"/>
          <w:lang w:val="es-ES" w:eastAsia="es-AR"/>
        </w:rPr>
        <w:t>la desigualdad de ingresos</w:t>
      </w:r>
      <w:r w:rsidR="00DC5AC3">
        <w:rPr>
          <w:rFonts w:ascii="Times New Roman" w:eastAsia="Times New Roman" w:hAnsi="Times New Roman"/>
          <w:szCs w:val="24"/>
          <w:lang w:val="es-ES" w:eastAsia="es-AR"/>
        </w:rPr>
        <w:t xml:space="preserve"> familiares</w:t>
      </w:r>
      <w:r w:rsidR="00DC5AC3" w:rsidRPr="00BA57BE">
        <w:rPr>
          <w:rFonts w:ascii="Times New Roman" w:eastAsia="Times New Roman" w:hAnsi="Times New Roman"/>
          <w:szCs w:val="24"/>
          <w:lang w:val="es-ES" w:eastAsia="es-AR"/>
        </w:rPr>
        <w:t>.</w:t>
      </w:r>
      <w:r w:rsidR="00DC5AC3">
        <w:rPr>
          <w:rFonts w:ascii="Times New Roman" w:eastAsia="Times New Roman" w:hAnsi="Times New Roman"/>
          <w:szCs w:val="24"/>
          <w:lang w:val="es-ES" w:eastAsia="es-AR"/>
        </w:rPr>
        <w:t xml:space="preserve"> </w:t>
      </w:r>
      <w:r w:rsidR="00DC5AC3" w:rsidRPr="005F5538">
        <w:rPr>
          <w:rFonts w:ascii="Times New Roman" w:eastAsia="Times New Roman" w:hAnsi="Times New Roman"/>
          <w:szCs w:val="24"/>
          <w:lang w:val="es-ES" w:eastAsia="es-AR"/>
        </w:rPr>
        <w:t>La información se construyó a partir de la Encuesta Permanente de Hogares del Instituto Nacional de Estadística y Censos de Argentina</w:t>
      </w:r>
      <w:r w:rsidR="00DC5AC3">
        <w:rPr>
          <w:rFonts w:ascii="Times New Roman" w:eastAsia="Times New Roman" w:hAnsi="Times New Roman"/>
          <w:szCs w:val="24"/>
          <w:lang w:val="es-ES" w:eastAsia="es-AR"/>
        </w:rPr>
        <w:t>, correspondientes al Área Gran Buenos Aires, por ser la única para la que existe información durante el conjunto del período. Los hallazgos revelan que la mayor desigualdad distributiva se explica por la mayor inequidad de los ingresos laborales, la mayor concentración de ingresos por parte de los sectores económicos más modernos y por un empobrecimiento del sector de baja productividad.</w:t>
      </w:r>
    </w:p>
    <w:p w14:paraId="1CBB5B47" w14:textId="77777777" w:rsidR="00DC5AC3" w:rsidRDefault="00DC5AC3" w:rsidP="00DC5AC3">
      <w:pPr>
        <w:tabs>
          <w:tab w:val="left" w:pos="4069"/>
        </w:tabs>
        <w:spacing w:before="240" w:after="120" w:line="240" w:lineRule="auto"/>
        <w:jc w:val="both"/>
        <w:rPr>
          <w:rFonts w:ascii="Times New Roman" w:eastAsia="Times New Roman" w:hAnsi="Times New Roman"/>
          <w:b/>
          <w:szCs w:val="24"/>
          <w:lang w:val="es-ES" w:eastAsia="es-AR"/>
        </w:rPr>
      </w:pPr>
      <w:r>
        <w:rPr>
          <w:rFonts w:ascii="Times New Roman" w:eastAsia="Times New Roman" w:hAnsi="Times New Roman"/>
          <w:b/>
          <w:szCs w:val="26"/>
          <w:lang w:val="es-ES" w:eastAsia="es-AR"/>
        </w:rPr>
        <w:t xml:space="preserve">Palabras clave: </w:t>
      </w:r>
      <w:r>
        <w:rPr>
          <w:rFonts w:ascii="Times New Roman" w:eastAsia="Times New Roman" w:hAnsi="Times New Roman"/>
          <w:szCs w:val="24"/>
          <w:lang w:val="es-ES" w:eastAsia="es-AR"/>
        </w:rPr>
        <w:t>Desigualdad económica, Heterogeneidad estructural, Mercado de trabajo, Argentina</w:t>
      </w:r>
    </w:p>
    <w:p w14:paraId="3F083ABD" w14:textId="77777777" w:rsidR="00922E37" w:rsidRPr="00222BF8" w:rsidRDefault="00922E37" w:rsidP="00922E37">
      <w:pPr>
        <w:tabs>
          <w:tab w:val="left" w:pos="4069"/>
        </w:tabs>
        <w:spacing w:before="240" w:after="120" w:line="240" w:lineRule="auto"/>
        <w:jc w:val="both"/>
        <w:rPr>
          <w:rFonts w:ascii="Times New Roman" w:eastAsia="Times New Roman" w:hAnsi="Times New Roman"/>
          <w:b/>
          <w:i/>
          <w:szCs w:val="26"/>
          <w:lang w:val="en-US" w:eastAsia="es-AR"/>
        </w:rPr>
      </w:pPr>
      <w:r w:rsidRPr="00222BF8">
        <w:rPr>
          <w:rFonts w:ascii="Times New Roman" w:eastAsia="Times New Roman" w:hAnsi="Times New Roman"/>
          <w:b/>
          <w:i/>
          <w:szCs w:val="26"/>
          <w:lang w:val="en-US" w:eastAsia="es-AR"/>
        </w:rPr>
        <w:t>Abstract</w:t>
      </w:r>
    </w:p>
    <w:p w14:paraId="39C22EFD" w14:textId="7C9B7376" w:rsidR="00922E37" w:rsidRPr="00222BF8" w:rsidRDefault="00922E37" w:rsidP="00922E37">
      <w:pPr>
        <w:tabs>
          <w:tab w:val="left" w:pos="4069"/>
        </w:tabs>
        <w:spacing w:after="240" w:line="240" w:lineRule="auto"/>
        <w:jc w:val="both"/>
        <w:rPr>
          <w:rFonts w:ascii="Times New Roman" w:eastAsia="Times New Roman" w:hAnsi="Times New Roman"/>
          <w:i/>
          <w:szCs w:val="24"/>
          <w:lang w:val="en-US" w:eastAsia="es-AR"/>
        </w:rPr>
      </w:pPr>
      <w:r w:rsidRPr="00222BF8">
        <w:rPr>
          <w:rFonts w:ascii="Times New Roman" w:eastAsia="Times New Roman" w:hAnsi="Times New Roman"/>
          <w:i/>
          <w:szCs w:val="24"/>
          <w:lang w:val="en-US" w:eastAsia="es-AR"/>
        </w:rPr>
        <w:t xml:space="preserve">The paper examines the performance of income inequality under different macroeconomic regimes in Argentina </w:t>
      </w:r>
      <w:r>
        <w:rPr>
          <w:rFonts w:ascii="Times New Roman" w:eastAsia="Times New Roman" w:hAnsi="Times New Roman"/>
          <w:i/>
          <w:szCs w:val="24"/>
          <w:lang w:val="en-US" w:eastAsia="es-AR"/>
        </w:rPr>
        <w:t>during</w:t>
      </w:r>
      <w:r w:rsidRPr="00222BF8">
        <w:rPr>
          <w:rFonts w:ascii="Times New Roman" w:eastAsia="Times New Roman" w:hAnsi="Times New Roman"/>
          <w:i/>
          <w:szCs w:val="24"/>
          <w:lang w:val="en-US" w:eastAsia="es-AR"/>
        </w:rPr>
        <w:t xml:space="preserve"> the last four decades and evaluates the factors that explain its changes. </w:t>
      </w:r>
      <w:r w:rsidRPr="002C6E50">
        <w:rPr>
          <w:rFonts w:ascii="Times New Roman" w:eastAsia="Times New Roman" w:hAnsi="Times New Roman"/>
          <w:i/>
          <w:szCs w:val="24"/>
          <w:highlight w:val="yellow"/>
          <w:lang w:val="en-US" w:eastAsia="es-AR"/>
        </w:rPr>
        <w:t>The hypothesis examined holds that</w:t>
      </w:r>
      <w:r w:rsidR="002C6E50" w:rsidRPr="002C6E50">
        <w:rPr>
          <w:rFonts w:ascii="Times New Roman" w:eastAsia="Times New Roman" w:hAnsi="Times New Roman"/>
          <w:i/>
          <w:szCs w:val="24"/>
          <w:highlight w:val="yellow"/>
          <w:lang w:val="en-US" w:eastAsia="es-AR"/>
        </w:rPr>
        <w:t>, during the last four decades, an inequality matrix strongly related to the ‘structural heterogeneity’ of the socio-occupational system would have been consolidated, even in a context of active distributive policies</w:t>
      </w:r>
      <w:r w:rsidRPr="00222BF8">
        <w:rPr>
          <w:rFonts w:ascii="Times New Roman" w:eastAsia="Times New Roman" w:hAnsi="Times New Roman"/>
          <w:i/>
          <w:szCs w:val="24"/>
          <w:lang w:val="en-US" w:eastAsia="es-AR"/>
        </w:rPr>
        <w:t>. To address this hypothesis, a decomposition model of the Gini coefficient is carried out by distinguishing the contribution of different economic sectors in the inequality of family income. The information was constructed from the Permanent Household Survey (Encuesta Permanente de Hogares) carried out quarterly by the National Institute of Statistics and Censuses of Argentina (Instituto Nacional de Estadística y Censos). Data correspond to the Greater Buenos Aires Area, as it is the only one for which information exists during the whole period. The findings reveal that the higher inequality is explained by the greater inequality of labor income, the concentration of income by the most modern economic sectors and by an impoverishment of the low productivity sector.</w:t>
      </w:r>
    </w:p>
    <w:p w14:paraId="699180F1" w14:textId="77777777" w:rsidR="00922E37" w:rsidRPr="003023DA" w:rsidRDefault="00922E37" w:rsidP="003D7CB1">
      <w:pPr>
        <w:tabs>
          <w:tab w:val="left" w:pos="4069"/>
        </w:tabs>
        <w:spacing w:after="0" w:line="360" w:lineRule="auto"/>
        <w:jc w:val="both"/>
        <w:rPr>
          <w:rFonts w:ascii="Times New Roman" w:eastAsia="Times New Roman" w:hAnsi="Times New Roman"/>
          <w:b/>
          <w:szCs w:val="24"/>
          <w:highlight w:val="yellow"/>
          <w:lang w:val="en-US" w:eastAsia="es-AR"/>
        </w:rPr>
      </w:pPr>
      <w:r w:rsidRPr="003023DA">
        <w:rPr>
          <w:rFonts w:ascii="Times New Roman" w:eastAsia="Times New Roman" w:hAnsi="Times New Roman"/>
          <w:b/>
          <w:szCs w:val="24"/>
          <w:lang w:val="en-US" w:eastAsia="es-AR"/>
        </w:rPr>
        <w:t>Key Words</w:t>
      </w:r>
      <w:r w:rsidR="003D7CB1">
        <w:rPr>
          <w:rFonts w:ascii="Times New Roman" w:eastAsia="Times New Roman" w:hAnsi="Times New Roman"/>
          <w:b/>
          <w:szCs w:val="24"/>
          <w:lang w:val="en-US" w:eastAsia="es-AR"/>
        </w:rPr>
        <w:t xml:space="preserve">: </w:t>
      </w:r>
      <w:r w:rsidRPr="003023DA">
        <w:rPr>
          <w:rFonts w:ascii="Times New Roman" w:eastAsia="Times New Roman" w:hAnsi="Times New Roman"/>
          <w:szCs w:val="24"/>
          <w:lang w:val="en-US" w:eastAsia="es-AR"/>
        </w:rPr>
        <w:t xml:space="preserve">Economic </w:t>
      </w:r>
      <w:r>
        <w:rPr>
          <w:rFonts w:ascii="Times New Roman" w:eastAsia="Times New Roman" w:hAnsi="Times New Roman"/>
          <w:szCs w:val="24"/>
          <w:lang w:val="en-US" w:eastAsia="es-AR"/>
        </w:rPr>
        <w:t>I</w:t>
      </w:r>
      <w:r w:rsidRPr="003023DA">
        <w:rPr>
          <w:rFonts w:ascii="Times New Roman" w:eastAsia="Times New Roman" w:hAnsi="Times New Roman"/>
          <w:szCs w:val="24"/>
          <w:lang w:val="en-US" w:eastAsia="es-AR"/>
        </w:rPr>
        <w:t>nequality, Structural Heterogeneity, Labor Market, Argentina.</w:t>
      </w:r>
      <w:r w:rsidRPr="003023DA">
        <w:rPr>
          <w:rFonts w:ascii="Times New Roman" w:eastAsia="Times New Roman" w:hAnsi="Times New Roman"/>
          <w:b/>
          <w:szCs w:val="24"/>
          <w:highlight w:val="yellow"/>
          <w:lang w:val="en-US" w:eastAsia="es-AR"/>
        </w:rPr>
        <w:br w:type="page"/>
      </w:r>
    </w:p>
    <w:p w14:paraId="0E0C8003" w14:textId="77777777" w:rsidR="00922E37" w:rsidRDefault="00922E37" w:rsidP="00922E37">
      <w:pPr>
        <w:tabs>
          <w:tab w:val="left" w:pos="4069"/>
        </w:tabs>
        <w:spacing w:after="360" w:line="240" w:lineRule="auto"/>
        <w:jc w:val="both"/>
        <w:rPr>
          <w:rFonts w:ascii="Times New Roman" w:eastAsia="Times New Roman" w:hAnsi="Times New Roman"/>
          <w:b/>
          <w:sz w:val="26"/>
          <w:szCs w:val="26"/>
          <w:lang w:val="es-ES" w:eastAsia="es-AR"/>
        </w:rPr>
      </w:pPr>
      <w:r>
        <w:rPr>
          <w:rFonts w:ascii="Times New Roman" w:hAnsi="Times New Roman"/>
          <w:b/>
          <w:sz w:val="26"/>
          <w:szCs w:val="26"/>
        </w:rPr>
        <w:lastRenderedPageBreak/>
        <w:t>H</w:t>
      </w:r>
      <w:r w:rsidRPr="002C1844">
        <w:rPr>
          <w:rFonts w:ascii="Times New Roman" w:hAnsi="Times New Roman"/>
          <w:b/>
          <w:sz w:val="26"/>
          <w:szCs w:val="26"/>
        </w:rPr>
        <w:t>eterogeneidad de la estructura ocupacional</w:t>
      </w:r>
      <w:r>
        <w:rPr>
          <w:rFonts w:ascii="Times New Roman" w:hAnsi="Times New Roman"/>
          <w:b/>
          <w:sz w:val="26"/>
          <w:szCs w:val="26"/>
        </w:rPr>
        <w:t xml:space="preserve">, </w:t>
      </w:r>
      <w:r w:rsidRPr="002C1844">
        <w:rPr>
          <w:rFonts w:ascii="Times New Roman" w:hAnsi="Times New Roman"/>
          <w:b/>
          <w:sz w:val="26"/>
          <w:szCs w:val="26"/>
        </w:rPr>
        <w:t xml:space="preserve">desigualdad </w:t>
      </w:r>
      <w:r>
        <w:rPr>
          <w:rFonts w:ascii="Times New Roman" w:hAnsi="Times New Roman"/>
          <w:b/>
          <w:sz w:val="26"/>
          <w:szCs w:val="26"/>
        </w:rPr>
        <w:t xml:space="preserve">distributiva y obstáculos a la equidad en la Argentina </w:t>
      </w:r>
      <w:r w:rsidRPr="002C1844">
        <w:rPr>
          <w:rFonts w:ascii="Times New Roman" w:hAnsi="Times New Roman"/>
          <w:b/>
          <w:sz w:val="26"/>
          <w:szCs w:val="26"/>
        </w:rPr>
        <w:t>(1974-2014</w:t>
      </w:r>
      <w:r w:rsidRPr="002C1844">
        <w:rPr>
          <w:rFonts w:ascii="Times New Roman" w:eastAsia="Times New Roman" w:hAnsi="Times New Roman"/>
          <w:b/>
          <w:sz w:val="26"/>
          <w:szCs w:val="26"/>
          <w:lang w:val="es-ES" w:eastAsia="es-AR"/>
        </w:rPr>
        <w:t>)</w:t>
      </w:r>
    </w:p>
    <w:p w14:paraId="10979A21" w14:textId="77777777" w:rsidR="00922E37" w:rsidRPr="000D11C4" w:rsidRDefault="00922E37" w:rsidP="00922E37">
      <w:pPr>
        <w:tabs>
          <w:tab w:val="left" w:pos="4069"/>
        </w:tabs>
        <w:spacing w:before="240" w:after="240" w:line="360" w:lineRule="auto"/>
        <w:rPr>
          <w:rFonts w:ascii="Times New Roman" w:eastAsia="Times New Roman" w:hAnsi="Times New Roman"/>
          <w:b/>
          <w:color w:val="FF0000"/>
          <w:szCs w:val="24"/>
          <w:lang w:val="es-ES" w:eastAsia="es-AR"/>
        </w:rPr>
      </w:pPr>
      <w:r w:rsidRPr="007D0952">
        <w:rPr>
          <w:rFonts w:ascii="Times New Roman" w:eastAsia="Times New Roman" w:hAnsi="Times New Roman"/>
          <w:b/>
          <w:szCs w:val="24"/>
          <w:lang w:val="es-ES" w:eastAsia="es-AR"/>
        </w:rPr>
        <w:t>1. Presentación</w:t>
      </w:r>
    </w:p>
    <w:p w14:paraId="2300AFD1" w14:textId="77777777" w:rsidR="00922E37" w:rsidRPr="007C2D50" w:rsidRDefault="00922E37" w:rsidP="00922E37">
      <w:pPr>
        <w:tabs>
          <w:tab w:val="left" w:pos="4069"/>
        </w:tabs>
        <w:spacing w:before="120" w:after="120"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Existe consenso en que América Latina continúa siendo la región más desigual del mundo (CEPAL, 2017). Luego de que la primera década de los 2000 se caracterizara por la reducción de la desigualdad distributiva, el debilitamiento reciente de esta tendencia (Gasparini, Cruces y Tornarolli, 2016; López-Calva y Lustig, 2010) otorga renovada centralidad a la cuestión de la inequidad persistente. De allí la relevancia de examinar los componentes estructurales que subyacen a la recreación de una matriz de desigualdad económica en la región. Con ese propósito, este artículo examina el patrón de desigualdad en la Argentina durante las últimas cuatro décadas, otorgando prioridad a los factores productivos y laborales que organizan la acumulación y la distribución en una economía periférica. </w:t>
      </w:r>
    </w:p>
    <w:p w14:paraId="6C65B7DE" w14:textId="77777777" w:rsidR="00922E37" w:rsidRPr="007C2D50" w:rsidRDefault="00922E37" w:rsidP="00922E37">
      <w:pPr>
        <w:tabs>
          <w:tab w:val="left" w:pos="4069"/>
        </w:tabs>
        <w:spacing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Existen numerosos antecedentes de investigaciones sobre la desigualdad distributiva en la Argentina (</w:t>
      </w:r>
      <w:r w:rsidR="003D7CB1">
        <w:rPr>
          <w:rFonts w:ascii="Times New Roman" w:eastAsia="Times New Roman" w:hAnsi="Times New Roman"/>
          <w:szCs w:val="24"/>
          <w:lang w:val="es-ES" w:eastAsia="es-AR"/>
        </w:rPr>
        <w:t xml:space="preserve">AUTOR; </w:t>
      </w:r>
      <w:r w:rsidRPr="007C2D50">
        <w:rPr>
          <w:rFonts w:ascii="Times New Roman" w:eastAsia="Times New Roman" w:hAnsi="Times New Roman"/>
          <w:szCs w:val="24"/>
          <w:lang w:val="es-ES" w:eastAsia="es-AR"/>
        </w:rPr>
        <w:t>Altimir y Beccaria, 2001; Benza y Calvi, 2005; Cruces y Gasparini, 2009; Groisman, 2014, 2013; Trujillo y Villafañe, 2011). No obstante, si bien existen algunos estudios que hayan incorporado una perspectiva de largo plazo (</w:t>
      </w:r>
      <w:r w:rsidR="003D7CB1">
        <w:rPr>
          <w:rFonts w:ascii="Times New Roman" w:eastAsia="Times New Roman" w:hAnsi="Times New Roman"/>
          <w:szCs w:val="24"/>
          <w:lang w:val="es-ES" w:eastAsia="es-AR"/>
        </w:rPr>
        <w:t xml:space="preserve">AUTOR; </w:t>
      </w:r>
      <w:r w:rsidRPr="007C2D50">
        <w:rPr>
          <w:rFonts w:ascii="Times New Roman" w:eastAsia="Times New Roman" w:hAnsi="Times New Roman"/>
          <w:szCs w:val="24"/>
          <w:lang w:val="es-ES" w:eastAsia="es-AR"/>
        </w:rPr>
        <w:t>Cruces y Gasparini, 2009; Groisman, 2013), ha sido poco frecuente la consideración articulada del modo en que se ligan los cambios político-económicos, en la estructura productiva y en la dinámica laboral con el patrón de desigualdad distributiva.</w:t>
      </w:r>
    </w:p>
    <w:p w14:paraId="154BC2C7" w14:textId="77777777" w:rsidR="00922E37" w:rsidRPr="007C2D50" w:rsidRDefault="00922E37" w:rsidP="00922E37">
      <w:pPr>
        <w:tabs>
          <w:tab w:val="left" w:pos="4069"/>
        </w:tabs>
        <w:spacing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El caso argentino es pertinente para este tipo de análisis porque durante los últimos cuarenta años se sucedieron transformaciones de signo opuesto en el régimen de acumulación (Torrado, 2010). A partir de mediados de los años setenta se asistió a la progresiva desarticulación del modelo de industrialización por sustitución de importaciones (ISI), a la apertura comercial y a la desregulación económica. Durante los noventa, una serie de políticas ortodoxas profundizaron los procesos precedentes. Luego de una crisis aguda, a partir de los años 2000 se registró un período de crecimiento bajo políticas heterodoxas, aunque sin cambio estructural del régimen de acumulación, que siguió siendo dependiente de los </w:t>
      </w:r>
      <w:r w:rsidRPr="007C2D50">
        <w:rPr>
          <w:rFonts w:ascii="Times New Roman" w:eastAsia="Times New Roman" w:hAnsi="Times New Roman"/>
          <w:i/>
          <w:szCs w:val="24"/>
          <w:lang w:val="es-ES" w:eastAsia="es-AR"/>
        </w:rPr>
        <w:t>commodities</w:t>
      </w:r>
      <w:r w:rsidRPr="007C2D50">
        <w:rPr>
          <w:rFonts w:ascii="Times New Roman" w:eastAsia="Times New Roman" w:hAnsi="Times New Roman"/>
          <w:szCs w:val="24"/>
          <w:lang w:val="es-ES" w:eastAsia="es-AR"/>
        </w:rPr>
        <w:t xml:space="preserve"> y fuertemente extranjerizado. </w:t>
      </w:r>
    </w:p>
    <w:p w14:paraId="167BFAFA" w14:textId="5D8896A2" w:rsidR="00922E37" w:rsidRPr="007C2D50" w:rsidRDefault="00922E37" w:rsidP="00922E37">
      <w:pPr>
        <w:tabs>
          <w:tab w:val="left" w:pos="4069"/>
        </w:tabs>
        <w:spacing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lastRenderedPageBreak/>
        <w:t xml:space="preserve">Desde un enfoque estructuralista, este artículo discute </w:t>
      </w:r>
      <w:r w:rsidRPr="003E0903">
        <w:rPr>
          <w:rFonts w:ascii="Times New Roman" w:eastAsia="Times New Roman" w:hAnsi="Times New Roman"/>
          <w:szCs w:val="24"/>
          <w:lang w:val="es-ES" w:eastAsia="es-AR"/>
        </w:rPr>
        <w:t>la hipótesis de que en las últimas cuatro décadas se habría consolidado una matriz de desigualdad –no sin poca variabilidad socio</w:t>
      </w:r>
      <w:r w:rsidR="005A0D60">
        <w:rPr>
          <w:rFonts w:ascii="Times New Roman" w:eastAsia="Times New Roman" w:hAnsi="Times New Roman"/>
          <w:szCs w:val="24"/>
          <w:lang w:val="es-ES" w:eastAsia="es-AR"/>
        </w:rPr>
        <w:t xml:space="preserve"> </w:t>
      </w:r>
      <w:r w:rsidRPr="003E0903">
        <w:rPr>
          <w:rFonts w:ascii="Times New Roman" w:eastAsia="Times New Roman" w:hAnsi="Times New Roman"/>
          <w:szCs w:val="24"/>
          <w:lang w:val="es-ES" w:eastAsia="es-AR"/>
        </w:rPr>
        <w:t>histórica– asociada a la persistente “heterogeneidad estructural” del régimen de acumulación, incluso en el contexto de activas políticas de ingresos de carácter redistributivo por parte de las autoridades. Estas condiciones de heterogeneidad estructural explicarían los límites de la convergencia socioeconómica</w:t>
      </w:r>
      <w:r w:rsidRPr="007C2D50">
        <w:rPr>
          <w:rFonts w:ascii="Times New Roman" w:eastAsia="Times New Roman" w:hAnsi="Times New Roman"/>
          <w:szCs w:val="24"/>
          <w:lang w:val="es-ES" w:eastAsia="es-AR"/>
        </w:rPr>
        <w:t xml:space="preserve">. </w:t>
      </w:r>
      <w:r w:rsidRPr="009857EF">
        <w:rPr>
          <w:rFonts w:ascii="Times New Roman" w:eastAsia="Times New Roman" w:hAnsi="Times New Roman"/>
          <w:szCs w:val="24"/>
          <w:lang w:val="es-ES" w:eastAsia="es-AR"/>
        </w:rPr>
        <w:t xml:space="preserve">Durante los años estudiados persistiría una estructura económico-ocupacional con funcionamiento segmentado, </w:t>
      </w:r>
      <w:r w:rsidRPr="009857EF">
        <w:rPr>
          <w:rFonts w:ascii="Times New Roman" w:eastAsia="Times New Roman" w:hAnsi="Times New Roman"/>
          <w:szCs w:val="24"/>
          <w:highlight w:val="yellow"/>
          <w:lang w:val="es-ES" w:eastAsia="es-AR"/>
        </w:rPr>
        <w:t>con una parte significativa de la fuerza de trabajo ocupada en un secto</w:t>
      </w:r>
      <w:r w:rsidR="009857EF" w:rsidRPr="009857EF">
        <w:rPr>
          <w:rFonts w:ascii="Times New Roman" w:eastAsia="Times New Roman" w:hAnsi="Times New Roman"/>
          <w:szCs w:val="24"/>
          <w:highlight w:val="yellow"/>
          <w:lang w:val="es-ES" w:eastAsia="es-AR"/>
        </w:rPr>
        <w:t xml:space="preserve">r </w:t>
      </w:r>
      <w:r w:rsidRPr="009857EF">
        <w:rPr>
          <w:rFonts w:ascii="Times New Roman" w:eastAsia="Times New Roman" w:hAnsi="Times New Roman"/>
          <w:szCs w:val="24"/>
          <w:highlight w:val="yellow"/>
          <w:lang w:val="es-ES" w:eastAsia="es-AR"/>
        </w:rPr>
        <w:t xml:space="preserve">microinformal </w:t>
      </w:r>
      <w:r w:rsidR="005A0D60" w:rsidRPr="009857EF">
        <w:rPr>
          <w:rFonts w:ascii="Times New Roman" w:eastAsia="Times New Roman" w:hAnsi="Times New Roman"/>
          <w:szCs w:val="24"/>
          <w:highlight w:val="yellow"/>
          <w:lang w:val="es-ES" w:eastAsia="es-AR"/>
        </w:rPr>
        <w:t>heterogéneo</w:t>
      </w:r>
      <w:r w:rsidR="002C6E50">
        <w:rPr>
          <w:rFonts w:ascii="Times New Roman" w:eastAsia="Times New Roman" w:hAnsi="Times New Roman"/>
          <w:szCs w:val="24"/>
          <w:lang w:val="es-ES" w:eastAsia="es-AR"/>
        </w:rPr>
        <w:t xml:space="preserve"> y</w:t>
      </w:r>
      <w:r w:rsidR="005A0D60" w:rsidRPr="009857EF">
        <w:rPr>
          <w:rFonts w:ascii="Times New Roman" w:eastAsia="Times New Roman" w:hAnsi="Times New Roman"/>
          <w:szCs w:val="24"/>
          <w:lang w:val="es-ES" w:eastAsia="es-AR"/>
        </w:rPr>
        <w:t xml:space="preserve"> porciones </w:t>
      </w:r>
      <w:r w:rsidR="00A34609" w:rsidRPr="009857EF">
        <w:rPr>
          <w:rFonts w:ascii="Times New Roman" w:eastAsia="Times New Roman" w:hAnsi="Times New Roman"/>
          <w:szCs w:val="24"/>
          <w:lang w:val="es-ES" w:eastAsia="es-AR"/>
        </w:rPr>
        <w:t>crecientes de unidades económicas</w:t>
      </w:r>
      <w:r w:rsidR="005A0D60" w:rsidRPr="009857EF">
        <w:rPr>
          <w:rFonts w:ascii="Times New Roman" w:eastAsia="Times New Roman" w:hAnsi="Times New Roman"/>
          <w:szCs w:val="24"/>
          <w:lang w:val="es-ES" w:eastAsia="es-AR"/>
        </w:rPr>
        <w:t xml:space="preserve"> </w:t>
      </w:r>
      <w:r w:rsidRPr="009857EF">
        <w:rPr>
          <w:rFonts w:ascii="Times New Roman" w:eastAsia="Times New Roman" w:hAnsi="Times New Roman"/>
          <w:szCs w:val="24"/>
          <w:lang w:val="es-ES" w:eastAsia="es-AR"/>
        </w:rPr>
        <w:t xml:space="preserve">de baja productividad, lo cual </w:t>
      </w:r>
      <w:r w:rsidR="002C6E50">
        <w:rPr>
          <w:rFonts w:ascii="Times New Roman" w:eastAsia="Times New Roman" w:hAnsi="Times New Roman"/>
          <w:szCs w:val="24"/>
          <w:highlight w:val="yellow"/>
          <w:lang w:val="es-ES" w:eastAsia="es-AR"/>
        </w:rPr>
        <w:t>sería</w:t>
      </w:r>
      <w:r w:rsidRPr="009857EF">
        <w:rPr>
          <w:rFonts w:ascii="Times New Roman" w:eastAsia="Times New Roman" w:hAnsi="Times New Roman"/>
          <w:szCs w:val="24"/>
          <w:highlight w:val="yellow"/>
          <w:lang w:val="es-ES" w:eastAsia="es-AR"/>
        </w:rPr>
        <w:t xml:space="preserve"> expresión de inequidades </w:t>
      </w:r>
      <w:r w:rsidR="00A34609" w:rsidRPr="009857EF">
        <w:rPr>
          <w:rFonts w:ascii="Times New Roman" w:eastAsia="Times New Roman" w:hAnsi="Times New Roman"/>
          <w:szCs w:val="24"/>
          <w:highlight w:val="yellow"/>
          <w:lang w:val="es-ES" w:eastAsia="es-AR"/>
        </w:rPr>
        <w:t xml:space="preserve">estructurales </w:t>
      </w:r>
      <w:r w:rsidRPr="009857EF">
        <w:rPr>
          <w:rFonts w:ascii="Times New Roman" w:eastAsia="Times New Roman" w:hAnsi="Times New Roman"/>
          <w:szCs w:val="24"/>
          <w:highlight w:val="yellow"/>
          <w:lang w:val="es-ES" w:eastAsia="es-AR"/>
        </w:rPr>
        <w:t>en materia de progreso técnico</w:t>
      </w:r>
      <w:r w:rsidR="005A0D60" w:rsidRPr="009857EF">
        <w:rPr>
          <w:rFonts w:ascii="Times New Roman" w:eastAsia="Times New Roman" w:hAnsi="Times New Roman"/>
          <w:szCs w:val="24"/>
          <w:highlight w:val="yellow"/>
          <w:lang w:val="es-ES" w:eastAsia="es-AR"/>
        </w:rPr>
        <w:t>, competitividad y remuneraciones</w:t>
      </w:r>
      <w:r w:rsidR="00A34609" w:rsidRPr="009857EF">
        <w:rPr>
          <w:rFonts w:ascii="Times New Roman" w:eastAsia="Times New Roman" w:hAnsi="Times New Roman"/>
          <w:szCs w:val="24"/>
          <w:highlight w:val="yellow"/>
          <w:lang w:val="es-ES" w:eastAsia="es-AR"/>
        </w:rPr>
        <w:t xml:space="preserve"> laborales</w:t>
      </w:r>
      <w:r w:rsidRPr="009857EF">
        <w:rPr>
          <w:rFonts w:ascii="Times New Roman" w:eastAsia="Times New Roman" w:hAnsi="Times New Roman"/>
          <w:szCs w:val="24"/>
          <w:lang w:val="es-ES" w:eastAsia="es-AR"/>
        </w:rPr>
        <w:t>.</w:t>
      </w:r>
      <w:r w:rsidRPr="007C2D50">
        <w:rPr>
          <w:rFonts w:ascii="Times New Roman" w:eastAsia="Times New Roman" w:hAnsi="Times New Roman"/>
          <w:szCs w:val="24"/>
          <w:lang w:val="es-ES" w:eastAsia="es-AR"/>
        </w:rPr>
        <w:t xml:space="preserve">  </w:t>
      </w:r>
    </w:p>
    <w:p w14:paraId="2D580284" w14:textId="6CE38988" w:rsidR="00922E37" w:rsidRPr="007C2D50" w:rsidRDefault="00922E37" w:rsidP="00922E37">
      <w:pPr>
        <w:tabs>
          <w:tab w:val="left" w:pos="4069"/>
        </w:tabs>
        <w:spacing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El siguiente apartado presenta el enfoque teórico-metodológico de la investigación, la relación entre heterogeneidad estructural y desigualdad, y una descripción de los distintos períodos político-económicos identificados en el estudio. El tercer apartado examina la relación entre los cambios político-económicos y la evolución de la estructura económico-ocupacional. El cuarto apartado analiza la relación entre heterogeneidad de la estructura económico-ocupacional y desigualdad económica en el caso argentino y presenta un modelo de descomposición del coeficiente de Gini que considera el papel de distintas fuentes de ingreso en los cambios de la desigualdad. El último apartado presenta las reflexiones finales que sintetizan los hallazgos a la luz de las preocupaciones que originaron este artículo. </w:t>
      </w:r>
    </w:p>
    <w:p w14:paraId="2465568D" w14:textId="77777777" w:rsidR="00922E37" w:rsidRPr="007C2D50" w:rsidRDefault="00922E37" w:rsidP="00922E37">
      <w:pPr>
        <w:tabs>
          <w:tab w:val="left" w:pos="4069"/>
        </w:tabs>
        <w:spacing w:before="240" w:after="240" w:line="240" w:lineRule="auto"/>
        <w:jc w:val="both"/>
        <w:rPr>
          <w:rFonts w:ascii="Times New Roman" w:eastAsia="Times New Roman" w:hAnsi="Times New Roman"/>
          <w:b/>
          <w:szCs w:val="24"/>
          <w:lang w:val="es-ES" w:eastAsia="es-AR"/>
        </w:rPr>
      </w:pPr>
      <w:r w:rsidRPr="007C2D50">
        <w:rPr>
          <w:rFonts w:ascii="Times New Roman" w:eastAsia="Times New Roman" w:hAnsi="Times New Roman"/>
          <w:b/>
          <w:szCs w:val="24"/>
          <w:lang w:val="es-ES" w:eastAsia="es-AR"/>
        </w:rPr>
        <w:t>2. Acerca de la heterogeneidad estructural y su relación con la desigualdad económica</w:t>
      </w:r>
    </w:p>
    <w:p w14:paraId="5EB61578" w14:textId="77777777" w:rsidR="00922E37" w:rsidRPr="007C2D50" w:rsidRDefault="00922E37" w:rsidP="00922E37">
      <w:pPr>
        <w:pStyle w:val="Default"/>
        <w:spacing w:after="120" w:line="360" w:lineRule="auto"/>
        <w:jc w:val="both"/>
      </w:pPr>
      <w:r w:rsidRPr="007C2D50">
        <w:t>En esta investigación se aborda la cuestión de la desigualdad distributiva persistente –un rasgo común de muchas economías latinoamericanas– a partir de un enfoque teórico estructuralista. De acuerdo con esta perspectiva, las inequidades que atraviesan a las sociedades periféricas se asocian con un determinado modo de funcionamiento de la estructura productiva, del mercado laboral y de la distribución del ingreso (</w:t>
      </w:r>
      <w:r w:rsidR="003D7CB1">
        <w:t xml:space="preserve">AUTOR; </w:t>
      </w:r>
      <w:r w:rsidRPr="007C2D50">
        <w:t xml:space="preserve">Bárcena y Prado, 2016; Infante, 2011; Rodríguez, 2001). A su vez, la configuración del patrón de desigualdad no es independiente de las políticas socioeconómicas desplegadas (Bárcena y </w:t>
      </w:r>
      <w:r w:rsidRPr="007C2D50">
        <w:lastRenderedPageBreak/>
        <w:t>Prado, 2016) ni de los comportamientos que despliegan los agentes sociales –en especial, los hogares, los que procuran optimizar su balance reproductivo (Cortés, 2001)–</w:t>
      </w:r>
      <w:r w:rsidR="00B33EB0" w:rsidRPr="00E30CB1">
        <w:rPr>
          <w:rStyle w:val="Refdenotaalpie"/>
          <w:highlight w:val="yellow"/>
        </w:rPr>
        <w:footnoteReference w:id="1"/>
      </w:r>
      <w:r w:rsidRPr="00E30CB1">
        <w:rPr>
          <w:highlight w:val="yellow"/>
        </w:rPr>
        <w:t>.</w:t>
      </w:r>
      <w:r w:rsidRPr="007C2D50">
        <w:t xml:space="preserve"> </w:t>
      </w:r>
    </w:p>
    <w:p w14:paraId="0A6289EB" w14:textId="77777777" w:rsidR="00922E37" w:rsidRPr="007C2D50" w:rsidRDefault="00922E37" w:rsidP="00922E37">
      <w:pPr>
        <w:pStyle w:val="Default"/>
        <w:spacing w:after="120" w:line="360" w:lineRule="auto"/>
        <w:jc w:val="both"/>
      </w:pPr>
      <w:r w:rsidRPr="007C2D50">
        <w:t xml:space="preserve">Desde el enfoque estructuralista clásico, se comprende la desigualdad persistente y significativa a partir de la reproducción de una matriz productiva heterogénea y desequilibrada (Pinto, 1976; Prebisch, 1949, 1967). La heterogeneidad estructural remite a la existencia de ostensibles brechas de productividad entre sectores, de manera que en algunas actividades o ramas la productividad promedio es similar a la internacional, y en otras es muy reducida (Rodríguez, 2001). Su origen radica en el tipo de incorporación de los países periféricos al mercado mundial, en posiciones subordinadas como productores especializados en bienes primarios (Pinto, 1976). La heterogeneidad productiva se plasma en la heterogeneidad de la estructura ocupacional: la insuficiente absorción de fuerza de trabajo por parte de los sectores más modernos de la economía conduce a la reproducción de un amplio sector de microunidades y diversas expresiones de autoempleo (PREALC-OIT, 1978). </w:t>
      </w:r>
    </w:p>
    <w:p w14:paraId="0151B060" w14:textId="77777777" w:rsidR="00922E37" w:rsidRPr="007C2D50" w:rsidRDefault="00922E37" w:rsidP="00922E37">
      <w:pPr>
        <w:spacing w:before="120" w:after="120" w:line="360" w:lineRule="auto"/>
        <w:jc w:val="both"/>
        <w:rPr>
          <w:rFonts w:ascii="Times New Roman" w:hAnsi="Times New Roman"/>
          <w:szCs w:val="24"/>
        </w:rPr>
      </w:pPr>
      <w:r w:rsidRPr="007C2D50">
        <w:rPr>
          <w:rFonts w:ascii="Times New Roman" w:hAnsi="Times New Roman"/>
          <w:szCs w:val="24"/>
        </w:rPr>
        <w:t xml:space="preserve">En el contexto de una economía periférica que se abre al exterior –tal como se verificó en el caso argentino a partir de mediados de los setenta–, puede verificarse un aumento de la inversión de capital, pero también de la oferta excedente de fuerza de trabajo, frente a un crecimiento poco significativo de la demanda laboral por parte de los sectores más dinámicos de la economía. Por consiguiente, se acentuaría el funcionamiento segmentado del mercado de trabajo y se incrementarían los excedentes de fuerza de trabajo (Rodríguez, 2001). En este marco, el aumento de los diferenciales de productividad a favor de los sectores más dinámicos acentuaría la concentración económica, afectando en forma negativa a la distribución del ingreso. La implementación de políticas de tipo heterodoxo –tal como ocurrió en la Argentina en los años 2000– podría evitar la profundización de estos comportamientos, pero sería insuficiente para revertir sus tendencias en ausencia de un cambio sustantivo en la matriz estructural del subdesarrollo. </w:t>
      </w:r>
    </w:p>
    <w:p w14:paraId="35E80899" w14:textId="77777777" w:rsidR="00922E37" w:rsidRPr="007C2D50" w:rsidRDefault="00922E37" w:rsidP="00922E37">
      <w:pPr>
        <w:spacing w:before="120" w:after="120" w:line="360" w:lineRule="auto"/>
        <w:jc w:val="both"/>
        <w:rPr>
          <w:rFonts w:ascii="Times New Roman" w:hAnsi="Times New Roman"/>
          <w:szCs w:val="24"/>
        </w:rPr>
      </w:pPr>
      <w:r w:rsidRPr="007C2D50">
        <w:rPr>
          <w:rFonts w:ascii="Times New Roman" w:hAnsi="Times New Roman"/>
          <w:szCs w:val="24"/>
        </w:rPr>
        <w:lastRenderedPageBreak/>
        <w:t>Este trabajo examina la adecuación de esta tesis teórica al caso argentino, centrándose, por razones de disponibilidad de información, en el Gran Buenos Aires</w:t>
      </w:r>
      <w:r w:rsidRPr="007C2D50">
        <w:rPr>
          <w:rStyle w:val="Refdenotaalpie"/>
          <w:rFonts w:ascii="Times New Roman" w:eastAsia="Times New Roman" w:hAnsi="Times New Roman"/>
          <w:szCs w:val="24"/>
          <w:lang w:val="es-ES" w:eastAsia="es-AR"/>
        </w:rPr>
        <w:footnoteReference w:id="2"/>
      </w:r>
      <w:r w:rsidRPr="007C2D50">
        <w:rPr>
          <w:rFonts w:ascii="Times New Roman" w:hAnsi="Times New Roman"/>
          <w:szCs w:val="24"/>
        </w:rPr>
        <w:t>. Para ello, se propone articular los cambios ocurridos en los distintos sectores económico-ocupacionales –como expresión de la heterogeneidad de la estructura laboral– con los efectos sobre la distribución de los ingresos familiares. Se asume que los ingresos que obtienen los hogares a través de sus integrantes ocupados pueden ser clasificados según el tipo de espacio económico en el que se generan tales ingresos, enfatizando la composición, organización y el nivel de productividad laboral “aproximada” de la unidad económica donde se desarrolla la actividad laboral remunerada.</w:t>
      </w:r>
    </w:p>
    <w:p w14:paraId="219EB87E" w14:textId="77777777" w:rsidR="00922E37" w:rsidRPr="007C2D50" w:rsidRDefault="00922E37" w:rsidP="00922E37">
      <w:pPr>
        <w:spacing w:after="120" w:line="360" w:lineRule="auto"/>
        <w:jc w:val="both"/>
        <w:rPr>
          <w:rFonts w:ascii="Times New Roman" w:hAnsi="Times New Roman"/>
          <w:szCs w:val="24"/>
          <w:lang w:val="es-ES"/>
        </w:rPr>
      </w:pPr>
      <w:r w:rsidRPr="007C2D50">
        <w:rPr>
          <w:rFonts w:ascii="Times New Roman" w:hAnsi="Times New Roman"/>
          <w:szCs w:val="24"/>
        </w:rPr>
        <w:t xml:space="preserve">Se retoma la clasificación sectorial propuesta por PREALC-OIT (1978), que considera el tamaño del establecimiento, el carácter público o privado de las unidades económicas y la calificación de las tareas para construir un </w:t>
      </w:r>
      <w:r w:rsidRPr="007C2D50">
        <w:rPr>
          <w:rFonts w:ascii="Times New Roman" w:hAnsi="Times New Roman"/>
          <w:i/>
          <w:szCs w:val="24"/>
        </w:rPr>
        <w:t>proxy</w:t>
      </w:r>
      <w:r w:rsidRPr="007C2D50">
        <w:rPr>
          <w:rFonts w:ascii="Times New Roman" w:hAnsi="Times New Roman"/>
          <w:szCs w:val="24"/>
        </w:rPr>
        <w:t xml:space="preserve"> del tipo de inserción económico-ocupacional de los trabajadores. Ello permitió definir: (a) </w:t>
      </w:r>
      <w:r w:rsidRPr="007C2D50">
        <w:rPr>
          <w:rFonts w:ascii="Times New Roman" w:hAnsi="Times New Roman"/>
          <w:szCs w:val="24"/>
          <w:lang w:val="es-ES"/>
        </w:rPr>
        <w:t>posiciones en el sector microempresario o microinformal: incluyen a trabajadores independientes no profesionales (patrones y cuentapropistas) y a los ocupados en empresas de hasta cinco trabajadores; (b) posiciones en el sector formal privado, que involucran a trabajadores independientes profesionales y a patrones y asalariados de establecimientos de más de 5 ocupados; (c) posiciones en el sector formal público, que incluyen a los ocupados en establecimientos estatales</w:t>
      </w:r>
      <w:r w:rsidRPr="007C2D50">
        <w:rPr>
          <w:rStyle w:val="Refdenotaalpie"/>
          <w:rFonts w:ascii="Times New Roman" w:eastAsia="Times New Roman" w:hAnsi="Times New Roman"/>
          <w:szCs w:val="24"/>
          <w:lang w:val="es-ES" w:eastAsia="es-AR"/>
        </w:rPr>
        <w:footnoteReference w:id="3"/>
      </w:r>
      <w:r w:rsidRPr="007C2D50">
        <w:rPr>
          <w:rFonts w:ascii="Times New Roman" w:hAnsi="Times New Roman"/>
          <w:szCs w:val="24"/>
          <w:lang w:val="es-ES"/>
        </w:rPr>
        <w:t xml:space="preserve">. </w:t>
      </w:r>
    </w:p>
    <w:p w14:paraId="61186FB8" w14:textId="5C07A9DA" w:rsidR="00922E37" w:rsidRPr="007C2D50" w:rsidRDefault="00922E37" w:rsidP="00922E37">
      <w:pPr>
        <w:spacing w:after="120" w:line="360" w:lineRule="auto"/>
        <w:jc w:val="both"/>
        <w:rPr>
          <w:rFonts w:ascii="Times New Roman" w:hAnsi="Times New Roman"/>
          <w:szCs w:val="24"/>
          <w:lang w:val="es-ES"/>
        </w:rPr>
      </w:pPr>
      <w:r w:rsidRPr="007C2D50">
        <w:rPr>
          <w:rFonts w:ascii="Times New Roman" w:hAnsi="Times New Roman"/>
          <w:szCs w:val="24"/>
          <w:lang w:val="es-ES"/>
        </w:rPr>
        <w:t>La información se construyó a partir de los microdatos de la Encuesta Permanente de Hogares (EPH) que releva el Instituto Nacional de Estadística y Censos (INDEC). Los ingresos reportados por las ocupaciones de los trabajadores corresponden al “ingreso corriente de bolsillo” (es decir, neto de obligaciones fiscales) proveniente de fuentes laborales (salarios de obreros y empleados, remuneraciones al trabajo por cuenta propia y utilidades patronales) y no laborales (rentas e intereses, jubilaciones y otros ingresos de fuentes públicas y privadas)</w:t>
      </w:r>
      <w:r w:rsidRPr="007C2D50">
        <w:rPr>
          <w:rStyle w:val="Refdenotaalpie"/>
          <w:rFonts w:ascii="Times New Roman" w:eastAsia="Times New Roman" w:hAnsi="Times New Roman"/>
          <w:szCs w:val="24"/>
          <w:lang w:val="es-ES" w:eastAsia="es-AR"/>
        </w:rPr>
        <w:footnoteReference w:id="4"/>
      </w:r>
      <w:r w:rsidRPr="007C2D50">
        <w:rPr>
          <w:rFonts w:ascii="Times New Roman" w:hAnsi="Times New Roman"/>
          <w:szCs w:val="24"/>
          <w:lang w:val="es-ES"/>
        </w:rPr>
        <w:t xml:space="preserve">. A lo largo de la serie, la EPH tuvo diversos cambios metodológicos. Entre los </w:t>
      </w:r>
      <w:r w:rsidRPr="007C2D50">
        <w:rPr>
          <w:rFonts w:ascii="Times New Roman" w:hAnsi="Times New Roman"/>
          <w:szCs w:val="24"/>
          <w:lang w:val="es-ES"/>
        </w:rPr>
        <w:lastRenderedPageBreak/>
        <w:t>más relevantes, cabe consignar el que tuvo lugar a partir del segundo semestre de 2003, cuando se abandonó la modalidad “puntual” (dos relevamientos anuales) a la “continua” (cuatro relevamientos y cambios en la estructura de solapamiento)</w:t>
      </w:r>
      <w:r w:rsidR="009F17A9" w:rsidRPr="009F17A9">
        <w:t xml:space="preserve"> </w:t>
      </w:r>
      <w:r w:rsidR="009F17A9" w:rsidRPr="00144B64">
        <w:rPr>
          <w:rFonts w:ascii="Times New Roman" w:hAnsi="Times New Roman"/>
          <w:szCs w:val="24"/>
          <w:highlight w:val="yellow"/>
          <w:lang w:val="es-ES"/>
        </w:rPr>
        <w:t>Por este motivo, en el análisis descriptivo se tomaron en cuenta los microdatos de mayo de 2003 (EPH “puntual”) y del cuarto trimestre del mismo año (EPH “continua”). En los modelos de descomposición del coeficiente de Gini se utilizaron los microdatos correspondientes a mayo de 2003 para la descomposición de los cambios con respecto a los años setenta, ochenta y noventa y los del cuarto trimestre de 2003 para las descomposiciones con respecto a los años 2000</w:t>
      </w:r>
      <w:r w:rsidR="009F17A9" w:rsidRPr="009F17A9">
        <w:rPr>
          <w:rFonts w:ascii="Times New Roman" w:hAnsi="Times New Roman"/>
          <w:szCs w:val="24"/>
          <w:lang w:val="es-ES"/>
        </w:rPr>
        <w:t>.</w:t>
      </w:r>
    </w:p>
    <w:p w14:paraId="0182DDA9" w14:textId="77777777" w:rsidR="00922E37" w:rsidRPr="007C2D50" w:rsidRDefault="00922E37" w:rsidP="00922E37">
      <w:pPr>
        <w:tabs>
          <w:tab w:val="left" w:pos="4069"/>
        </w:tabs>
        <w:spacing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Durante los últimos cuarenta años, es posible reconocer una serie de cambios en la historia político-económica argentina, asociados con diferentes ciclos, coyunturas y dinámicas de carácter estructural. En este artículo se apela a la identificación de tres grandes fases en el modelo de desarrollo argentino reciente: </w:t>
      </w:r>
    </w:p>
    <w:p w14:paraId="147E3A85" w14:textId="77777777" w:rsidR="00922E37" w:rsidRPr="007C2D50" w:rsidRDefault="00922E37" w:rsidP="00922E37">
      <w:pPr>
        <w:tabs>
          <w:tab w:val="left" w:pos="-1560"/>
        </w:tabs>
        <w:spacing w:before="120" w:after="120" w:line="360" w:lineRule="auto"/>
        <w:jc w:val="both"/>
        <w:rPr>
          <w:rFonts w:ascii="Times New Roman" w:hAnsi="Times New Roman"/>
          <w:i/>
          <w:kern w:val="22"/>
          <w:szCs w:val="24"/>
        </w:rPr>
      </w:pPr>
      <w:r w:rsidRPr="007C2D50">
        <w:rPr>
          <w:rFonts w:ascii="Times New Roman" w:hAnsi="Times New Roman"/>
          <w:i/>
          <w:kern w:val="22"/>
          <w:szCs w:val="24"/>
        </w:rPr>
        <w:t>(1) Fase final del modelo de industrialización por sustitución de importaciones (ISI) e inicio del ajuste ortodoxo (1974-1988):</w:t>
      </w:r>
      <w:r w:rsidRPr="007C2D50">
        <w:rPr>
          <w:rFonts w:ascii="Times New Roman" w:hAnsi="Times New Roman"/>
          <w:kern w:val="22"/>
          <w:szCs w:val="24"/>
        </w:rPr>
        <w:t xml:space="preserve"> tras la crisis de los años treinta se expandió en la Argentina un modelo basado en la industrialización sustitutiva de importaciones que condujo a la configuración de una “estructura productiva desequilibrada” (Diamand, 1972) con una limitada capacidad exportadora y una industria demandante de importaciones con escasas oportunidades de insertarse en el comercio exterior. El carácter cíclico de este modelo y los cambios en la economía mundial condujeron a partir de los años setenta a la aplicación de políticas de ajuste, estabilización y cambio estructural (Basualdo, 2010). Las medidas ortodoxas provocaron endeudamiento externo y tuvieron un efecto regresivo sobre la estructura productiva y el mercado de trabajo (</w:t>
      </w:r>
      <w:r w:rsidR="003D7CB1">
        <w:rPr>
          <w:rFonts w:ascii="Times New Roman" w:hAnsi="Times New Roman"/>
          <w:kern w:val="22"/>
          <w:szCs w:val="24"/>
        </w:rPr>
        <w:t>AUTOR</w:t>
      </w:r>
      <w:r w:rsidRPr="007C2D50">
        <w:rPr>
          <w:rFonts w:ascii="Times New Roman" w:hAnsi="Times New Roman"/>
          <w:kern w:val="22"/>
          <w:szCs w:val="24"/>
        </w:rPr>
        <w:t xml:space="preserve">). </w:t>
      </w:r>
      <w:r w:rsidRPr="007C2D50">
        <w:rPr>
          <w:rFonts w:ascii="Times New Roman" w:hAnsi="Times New Roman"/>
          <w:bCs/>
          <w:kern w:val="22"/>
          <w:szCs w:val="24"/>
        </w:rPr>
        <w:t xml:space="preserve">Durante los ochenta, la crisis del modelo sustitutivo desembocó en un escenario de desequilibrios estructurales. Tras diversos intentos de estabilización (como el Plan Austral o el Plan Primavera, en 1985 y 1988) sobrevino un período de recesión e hiperinflación.  </w:t>
      </w:r>
    </w:p>
    <w:p w14:paraId="4997B48B" w14:textId="77777777" w:rsidR="00922E37" w:rsidRPr="007C2D50" w:rsidRDefault="00922E37" w:rsidP="00922E37">
      <w:pPr>
        <w:spacing w:after="120" w:line="360" w:lineRule="auto"/>
        <w:jc w:val="both"/>
        <w:rPr>
          <w:rFonts w:ascii="Times New Roman" w:hAnsi="Times New Roman"/>
          <w:szCs w:val="24"/>
          <w:lang w:eastAsia="es-AR"/>
        </w:rPr>
      </w:pPr>
      <w:r w:rsidRPr="007C2D50">
        <w:rPr>
          <w:rFonts w:ascii="Times New Roman" w:hAnsi="Times New Roman"/>
          <w:i/>
          <w:kern w:val="22"/>
          <w:szCs w:val="24"/>
        </w:rPr>
        <w:t>(2) Reformas estructurales bajo un régimen de convertibilidad (1988-2003):</w:t>
      </w:r>
      <w:r w:rsidRPr="007C2D50">
        <w:rPr>
          <w:rFonts w:ascii="Times New Roman" w:hAnsi="Times New Roman"/>
          <w:b/>
          <w:kern w:val="22"/>
          <w:szCs w:val="24"/>
        </w:rPr>
        <w:t xml:space="preserve"> </w:t>
      </w:r>
      <w:r w:rsidRPr="007C2D50">
        <w:rPr>
          <w:rFonts w:ascii="Times New Roman" w:hAnsi="Times New Roman"/>
          <w:bCs/>
          <w:kern w:val="22"/>
          <w:szCs w:val="24"/>
          <w:lang w:val="es-MX" w:eastAsia="ar-SA"/>
        </w:rPr>
        <w:t xml:space="preserve">la salida de la crisis hiperinflacionaria se resolvió, a comienzos de los años noventa, </w:t>
      </w:r>
      <w:r w:rsidRPr="007C2D50">
        <w:rPr>
          <w:rFonts w:ascii="Times New Roman" w:hAnsi="Times New Roman"/>
          <w:bCs/>
          <w:kern w:val="22"/>
          <w:szCs w:val="24"/>
          <w:lang w:eastAsia="ar-SA"/>
        </w:rPr>
        <w:t xml:space="preserve">a través de un sistema de convertibilidad fija con el dólar y un paquete de reformas estructurales orientadas a la </w:t>
      </w:r>
      <w:r w:rsidRPr="007C2D50">
        <w:rPr>
          <w:rFonts w:ascii="Times New Roman" w:hAnsi="Times New Roman"/>
          <w:bCs/>
          <w:kern w:val="22"/>
          <w:szCs w:val="24"/>
          <w:lang w:eastAsia="ar-SA"/>
        </w:rPr>
        <w:lastRenderedPageBreak/>
        <w:t xml:space="preserve">liberalización financiera y del comercio exterior, la desregulación de los mercados y el traspaso de los monopolios públicos al sector privado mediante privatizaciones (Gaggero, Schorr y Wainer, 2014). </w:t>
      </w:r>
      <w:r w:rsidRPr="007C2D50">
        <w:rPr>
          <w:rFonts w:ascii="Times New Roman" w:hAnsi="Times New Roman"/>
          <w:kern w:val="22"/>
          <w:szCs w:val="24"/>
        </w:rPr>
        <w:t xml:space="preserve">Si bien se alcanzó un ciclo inicial de fuerte crecimiento económico, </w:t>
      </w:r>
      <w:r w:rsidRPr="007C2D50">
        <w:rPr>
          <w:rFonts w:ascii="Times New Roman" w:hAnsi="Times New Roman"/>
          <w:kern w:val="22"/>
          <w:szCs w:val="24"/>
          <w:lang w:val="es-MX"/>
        </w:rPr>
        <w:t>las políticas de reconversión productiva hicieron crecer el desempleo y aumentaron la precariedad laboral (</w:t>
      </w:r>
      <w:r w:rsidR="003D7CB1">
        <w:rPr>
          <w:rFonts w:ascii="Times New Roman" w:hAnsi="Times New Roman"/>
          <w:kern w:val="22"/>
          <w:szCs w:val="24"/>
          <w:lang w:val="es-MX"/>
        </w:rPr>
        <w:t>AUTOR</w:t>
      </w:r>
      <w:r w:rsidRPr="007C2D50">
        <w:rPr>
          <w:rFonts w:ascii="Times New Roman" w:hAnsi="Times New Roman"/>
          <w:kern w:val="22"/>
          <w:szCs w:val="24"/>
          <w:lang w:val="es-MX"/>
        </w:rPr>
        <w:t xml:space="preserve">). Tras el “efecto Tequila” </w:t>
      </w:r>
      <w:r w:rsidRPr="007C2D50">
        <w:rPr>
          <w:rFonts w:ascii="Times New Roman" w:hAnsi="Times New Roman"/>
          <w:bCs/>
          <w:kern w:val="22"/>
          <w:szCs w:val="24"/>
          <w:lang w:eastAsia="ar-SA"/>
        </w:rPr>
        <w:t xml:space="preserve">en 1995 la economía enfrentó una recesión que elevó los niveles de desempleo a cifras récord. Luego de una recuperación, a partir de 1998, las crisis financieras globales restringieron el financiamiento externo, lo que condujo a una prolongada recesión con efectos sociales regresivos. </w:t>
      </w:r>
      <w:r w:rsidRPr="007C2D50">
        <w:rPr>
          <w:rFonts w:ascii="Times New Roman" w:hAnsi="Times New Roman"/>
          <w:kern w:val="22"/>
          <w:szCs w:val="24"/>
          <w:lang w:val="es-MX"/>
        </w:rPr>
        <w:t xml:space="preserve">La fuerte crisis social e institucional condujo a un </w:t>
      </w:r>
      <w:r w:rsidRPr="007C2D50">
        <w:rPr>
          <w:rFonts w:ascii="Times New Roman" w:hAnsi="Times New Roman"/>
          <w:i/>
          <w:kern w:val="22"/>
          <w:szCs w:val="24"/>
          <w:lang w:val="es-MX"/>
        </w:rPr>
        <w:t>default</w:t>
      </w:r>
      <w:r w:rsidRPr="007C2D50">
        <w:rPr>
          <w:rFonts w:ascii="Times New Roman" w:hAnsi="Times New Roman"/>
          <w:kern w:val="22"/>
          <w:szCs w:val="24"/>
          <w:lang w:val="es-MX"/>
        </w:rPr>
        <w:t xml:space="preserve"> de la deuda externa a fines de 2001 y al abandono del régimen de paridad cambiaria. En lo inmediato, </w:t>
      </w:r>
      <w:r w:rsidRPr="007C2D50">
        <w:rPr>
          <w:rFonts w:ascii="Times New Roman" w:hAnsi="Times New Roman"/>
          <w:szCs w:val="24"/>
          <w:lang w:eastAsia="es-AR"/>
        </w:rPr>
        <w:t xml:space="preserve">la crisis de 2001-2002 dio lugar a un abrupto aumento del desempleo y de la pobreza (Lindenboim, 2012). </w:t>
      </w:r>
    </w:p>
    <w:p w14:paraId="5BF60EA0" w14:textId="77777777" w:rsidR="00922E37" w:rsidRPr="007C2D50" w:rsidRDefault="00922E37" w:rsidP="00922E37">
      <w:pPr>
        <w:tabs>
          <w:tab w:val="left" w:pos="-1560"/>
        </w:tabs>
        <w:spacing w:after="120" w:line="360" w:lineRule="auto"/>
        <w:jc w:val="both"/>
        <w:rPr>
          <w:rFonts w:ascii="Times New Roman" w:hAnsi="Times New Roman"/>
          <w:kern w:val="22"/>
          <w:szCs w:val="24"/>
          <w:lang w:val="es-MX"/>
        </w:rPr>
      </w:pPr>
      <w:r w:rsidRPr="007C2D50">
        <w:rPr>
          <w:rFonts w:ascii="Times New Roman" w:hAnsi="Times New Roman"/>
          <w:i/>
          <w:kern w:val="22"/>
          <w:szCs w:val="24"/>
        </w:rPr>
        <w:t>(3) Ciclo de crecimiento bajo políticas heterodoxas (2003-2014):</w:t>
      </w:r>
      <w:r w:rsidRPr="007C2D50">
        <w:rPr>
          <w:rFonts w:ascii="Times New Roman" w:hAnsi="Times New Roman"/>
          <w:b/>
          <w:kern w:val="22"/>
          <w:szCs w:val="24"/>
        </w:rPr>
        <w:t xml:space="preserve"> </w:t>
      </w:r>
      <w:r w:rsidRPr="007C2D50">
        <w:rPr>
          <w:rFonts w:ascii="Times New Roman" w:hAnsi="Times New Roman"/>
          <w:kern w:val="22"/>
          <w:szCs w:val="24"/>
        </w:rPr>
        <w:t>la devaluación de 2002 condujo a una nueva fase de crecimiento económico (Gaggero, Schorr y Wainer, 2014). La salida de la convertibilidad estimuló la producción local, lo cual se combinó con el aumento de precios de los productos de exportación. Ello se tradujo</w:t>
      </w:r>
      <w:r w:rsidRPr="007C2D50">
        <w:rPr>
          <w:rFonts w:ascii="Times New Roman" w:hAnsi="Times New Roman"/>
          <w:i/>
          <w:kern w:val="22"/>
          <w:szCs w:val="24"/>
        </w:rPr>
        <w:t xml:space="preserve"> </w:t>
      </w:r>
      <w:r w:rsidRPr="007C2D50">
        <w:rPr>
          <w:rFonts w:ascii="Times New Roman" w:hAnsi="Times New Roman"/>
          <w:kern w:val="22"/>
          <w:szCs w:val="24"/>
        </w:rPr>
        <w:t xml:space="preserve">en una intensa recuperación del PIB y de la demanda de empleo (Kulfas, 2016). Sin embargo, el perfil productivo del país mantuvo los rasgos heredados de la década previa: alta concentración, dependencia tecnológica y exportaciones de bajo valor agregado (Gaggero, Schorr y Wainer, 2014; Fernández Bugna y Porta, 2008). El Gobierno implementó políticas de ingresos, aumentó el salario mínimo y amplió su actividad regulatoria sobre el mercado laboral </w:t>
      </w:r>
      <w:r w:rsidRPr="007C2D50">
        <w:rPr>
          <w:rFonts w:ascii="Times New Roman" w:hAnsi="Times New Roman"/>
          <w:szCs w:val="24"/>
          <w:lang w:eastAsia="es-AR"/>
        </w:rPr>
        <w:t xml:space="preserve">(Beccaria y Maurizio, 2012; </w:t>
      </w:r>
      <w:r w:rsidR="00D52AD8" w:rsidRPr="007C2D50">
        <w:rPr>
          <w:rFonts w:ascii="Times New Roman" w:hAnsi="Times New Roman"/>
          <w:szCs w:val="24"/>
          <w:lang w:eastAsia="es-AR"/>
        </w:rPr>
        <w:t>CENDA, 2010;</w:t>
      </w:r>
      <w:r w:rsidR="00D52AD8">
        <w:rPr>
          <w:rFonts w:ascii="Times New Roman" w:hAnsi="Times New Roman"/>
          <w:szCs w:val="24"/>
          <w:lang w:eastAsia="es-AR"/>
        </w:rPr>
        <w:t xml:space="preserve"> </w:t>
      </w:r>
      <w:r w:rsidRPr="007C2D50">
        <w:rPr>
          <w:rFonts w:ascii="Times New Roman" w:hAnsi="Times New Roman"/>
          <w:szCs w:val="24"/>
          <w:lang w:eastAsia="es-AR"/>
        </w:rPr>
        <w:t>Cruces y Gasparini, 2009)</w:t>
      </w:r>
      <w:r w:rsidRPr="007C2D50">
        <w:rPr>
          <w:rFonts w:ascii="Times New Roman" w:hAnsi="Times New Roman"/>
          <w:kern w:val="22"/>
          <w:szCs w:val="24"/>
        </w:rPr>
        <w:t xml:space="preserve">. Sin embargo, a partir de 2007, el aumento de la oferta de bienes y servicios por debajo de la demanda agregada y el crecimiento de los precios de exportación, generaron un proceso inflacionario, lo cual dio lugar a desequilibrios del balance comercial y condujo a la reaparición de la “restricción externa” (Gaggero, Schorr y Wainer, 2014). Como resultado, descendió el ritmo de crecimiento y se implantó un sistema de control de cambios que hizo declinar aún más la tasa de inversión y el ritmo de creación de empleo. </w:t>
      </w:r>
      <w:r w:rsidRPr="007C2D50">
        <w:rPr>
          <w:rFonts w:ascii="Times New Roman" w:hAnsi="Times New Roman"/>
          <w:kern w:val="22"/>
          <w:szCs w:val="24"/>
          <w:lang w:val="es-MX"/>
        </w:rPr>
        <w:t>El resultado fue un nivel menor de crecimiento en el período 2008-2014 (Kulfas, 2016).</w:t>
      </w:r>
    </w:p>
    <w:p w14:paraId="099BF548" w14:textId="77777777" w:rsidR="00922E37" w:rsidRPr="007C2D50" w:rsidRDefault="00922E37" w:rsidP="003E0903">
      <w:pPr>
        <w:keepNext/>
        <w:tabs>
          <w:tab w:val="left" w:pos="4069"/>
        </w:tabs>
        <w:spacing w:before="240" w:after="240"/>
        <w:jc w:val="both"/>
        <w:rPr>
          <w:rFonts w:ascii="Times New Roman" w:eastAsia="Times New Roman" w:hAnsi="Times New Roman"/>
          <w:b/>
          <w:szCs w:val="24"/>
          <w:lang w:val="es-ES" w:eastAsia="es-AR"/>
        </w:rPr>
      </w:pPr>
      <w:r w:rsidRPr="007C2D50">
        <w:rPr>
          <w:rFonts w:ascii="Times New Roman" w:eastAsia="Times New Roman" w:hAnsi="Times New Roman"/>
          <w:b/>
          <w:szCs w:val="24"/>
          <w:lang w:val="es-ES" w:eastAsia="es-AR"/>
        </w:rPr>
        <w:lastRenderedPageBreak/>
        <w:t>3. Cambios macroeconómicos y mutaciones de la estructura económico-ocupacional</w:t>
      </w:r>
    </w:p>
    <w:p w14:paraId="3F1D86E0" w14:textId="77777777" w:rsidR="00922E37" w:rsidRPr="007C2D50" w:rsidRDefault="00922E37" w:rsidP="00922E37">
      <w:pPr>
        <w:spacing w:after="120" w:line="360" w:lineRule="auto"/>
        <w:jc w:val="both"/>
        <w:rPr>
          <w:rFonts w:ascii="Times New Roman" w:hAnsi="Times New Roman"/>
          <w:kern w:val="22"/>
          <w:szCs w:val="24"/>
          <w:lang w:val="es-MX"/>
        </w:rPr>
      </w:pPr>
      <w:r w:rsidRPr="007C2D50">
        <w:rPr>
          <w:rFonts w:ascii="Times New Roman" w:hAnsi="Times New Roman"/>
          <w:kern w:val="22"/>
          <w:szCs w:val="24"/>
          <w:lang w:val="es-MX"/>
        </w:rPr>
        <w:t xml:space="preserve">Esta sección considera las mutaciones de la estructura económico-ocupacional del Gran Buenos Aires durante distintas fases macroeconómicas. Este análisis ofrece un marco de referencia para el estudio de la incidencia de las condiciones de heterogeneidad estructural sobre la pauta de desigualdad distributiva de los ingresos familiares. </w:t>
      </w:r>
    </w:p>
    <w:p w14:paraId="6ACC104C" w14:textId="77777777" w:rsidR="00A7309C" w:rsidRDefault="00922E37" w:rsidP="00A7309C">
      <w:pPr>
        <w:keepNext/>
        <w:spacing w:after="120" w:line="240" w:lineRule="auto"/>
        <w:jc w:val="both"/>
        <w:rPr>
          <w:rFonts w:ascii="Times New Roman" w:hAnsi="Times New Roman"/>
          <w:szCs w:val="24"/>
        </w:rPr>
      </w:pPr>
      <w:r w:rsidRPr="00A7309C">
        <w:rPr>
          <w:rFonts w:ascii="Times New Roman" w:hAnsi="Times New Roman"/>
          <w:b/>
          <w:szCs w:val="24"/>
          <w:highlight w:val="yellow"/>
        </w:rPr>
        <w:t xml:space="preserve">Cuadro 1. Participación de los sectores y categorías económico-ocupacionales en la distribución de fuerza de trabajo. Gran Buenos Aires 1974-2014. </w:t>
      </w:r>
      <w:r w:rsidRPr="00A7309C">
        <w:rPr>
          <w:rFonts w:ascii="Times New Roman" w:hAnsi="Times New Roman"/>
          <w:szCs w:val="24"/>
          <w:highlight w:val="yellow"/>
        </w:rPr>
        <w:t>En porcentaje sobre el total de activos.</w:t>
      </w:r>
    </w:p>
    <w:tbl>
      <w:tblPr>
        <w:tblW w:w="8784" w:type="dxa"/>
        <w:tblInd w:w="80" w:type="dxa"/>
        <w:tblCellMar>
          <w:left w:w="70" w:type="dxa"/>
          <w:right w:w="70" w:type="dxa"/>
        </w:tblCellMar>
        <w:tblLook w:val="04A0" w:firstRow="1" w:lastRow="0" w:firstColumn="1" w:lastColumn="0" w:noHBand="0" w:noVBand="1"/>
      </w:tblPr>
      <w:tblGrid>
        <w:gridCol w:w="1951"/>
        <w:gridCol w:w="778"/>
        <w:gridCol w:w="839"/>
        <w:gridCol w:w="839"/>
        <w:gridCol w:w="839"/>
        <w:gridCol w:w="839"/>
        <w:gridCol w:w="185"/>
        <w:gridCol w:w="839"/>
        <w:gridCol w:w="839"/>
        <w:gridCol w:w="839"/>
      </w:tblGrid>
      <w:tr w:rsidR="00A7309C" w:rsidRPr="00A7309C" w14:paraId="42CA00B4" w14:textId="77777777" w:rsidTr="00A7309C">
        <w:trPr>
          <w:trHeight w:val="241"/>
        </w:trPr>
        <w:tc>
          <w:tcPr>
            <w:tcW w:w="195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319A140B"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778" w:type="dxa"/>
            <w:tcBorders>
              <w:top w:val="single" w:sz="8" w:space="0" w:color="auto"/>
              <w:left w:val="nil"/>
              <w:bottom w:val="nil"/>
              <w:right w:val="nil"/>
            </w:tcBorders>
            <w:shd w:val="clear" w:color="000000" w:fill="FFFFFF"/>
            <w:vAlign w:val="center"/>
            <w:hideMark/>
          </w:tcPr>
          <w:p w14:paraId="7EFFBB24"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1974</w:t>
            </w:r>
          </w:p>
        </w:tc>
        <w:tc>
          <w:tcPr>
            <w:tcW w:w="839" w:type="dxa"/>
            <w:tcBorders>
              <w:top w:val="single" w:sz="8" w:space="0" w:color="auto"/>
              <w:left w:val="nil"/>
              <w:bottom w:val="nil"/>
              <w:right w:val="nil"/>
            </w:tcBorders>
            <w:shd w:val="clear" w:color="000000" w:fill="FFFFFF"/>
            <w:vAlign w:val="center"/>
            <w:hideMark/>
          </w:tcPr>
          <w:p w14:paraId="33BB496B"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1980</w:t>
            </w:r>
          </w:p>
        </w:tc>
        <w:tc>
          <w:tcPr>
            <w:tcW w:w="839" w:type="dxa"/>
            <w:tcBorders>
              <w:top w:val="single" w:sz="8" w:space="0" w:color="auto"/>
              <w:left w:val="nil"/>
              <w:bottom w:val="nil"/>
              <w:right w:val="nil"/>
            </w:tcBorders>
            <w:shd w:val="clear" w:color="000000" w:fill="FFFFFF"/>
            <w:vAlign w:val="center"/>
            <w:hideMark/>
          </w:tcPr>
          <w:p w14:paraId="32FC52BB"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1988</w:t>
            </w:r>
          </w:p>
        </w:tc>
        <w:tc>
          <w:tcPr>
            <w:tcW w:w="839" w:type="dxa"/>
            <w:tcBorders>
              <w:top w:val="single" w:sz="8" w:space="0" w:color="auto"/>
              <w:left w:val="nil"/>
              <w:bottom w:val="nil"/>
              <w:right w:val="nil"/>
            </w:tcBorders>
            <w:shd w:val="clear" w:color="000000" w:fill="FFFFFF"/>
            <w:vAlign w:val="center"/>
            <w:hideMark/>
          </w:tcPr>
          <w:p w14:paraId="14FEA701"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1998</w:t>
            </w:r>
          </w:p>
        </w:tc>
        <w:tc>
          <w:tcPr>
            <w:tcW w:w="839" w:type="dxa"/>
            <w:tcBorders>
              <w:top w:val="single" w:sz="8" w:space="0" w:color="auto"/>
              <w:left w:val="nil"/>
              <w:bottom w:val="nil"/>
              <w:right w:val="nil"/>
            </w:tcBorders>
            <w:shd w:val="clear" w:color="000000" w:fill="FFFFFF"/>
            <w:vAlign w:val="center"/>
            <w:hideMark/>
          </w:tcPr>
          <w:p w14:paraId="08598764"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2003</w:t>
            </w:r>
          </w:p>
        </w:tc>
        <w:tc>
          <w:tcPr>
            <w:tcW w:w="182" w:type="dxa"/>
            <w:tcBorders>
              <w:top w:val="single" w:sz="8" w:space="0" w:color="auto"/>
              <w:left w:val="nil"/>
              <w:bottom w:val="nil"/>
              <w:right w:val="nil"/>
            </w:tcBorders>
            <w:shd w:val="clear" w:color="000000" w:fill="FFFFFF"/>
            <w:vAlign w:val="center"/>
            <w:hideMark/>
          </w:tcPr>
          <w:p w14:paraId="6DABB961"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39" w:type="dxa"/>
            <w:tcBorders>
              <w:top w:val="single" w:sz="8" w:space="0" w:color="auto"/>
              <w:left w:val="nil"/>
              <w:bottom w:val="nil"/>
              <w:right w:val="nil"/>
            </w:tcBorders>
            <w:shd w:val="clear" w:color="000000" w:fill="FFFFFF"/>
            <w:vAlign w:val="center"/>
            <w:hideMark/>
          </w:tcPr>
          <w:p w14:paraId="6FF3A4F6"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2003</w:t>
            </w:r>
          </w:p>
        </w:tc>
        <w:tc>
          <w:tcPr>
            <w:tcW w:w="839" w:type="dxa"/>
            <w:tcBorders>
              <w:top w:val="single" w:sz="8" w:space="0" w:color="auto"/>
              <w:left w:val="nil"/>
              <w:bottom w:val="nil"/>
              <w:right w:val="nil"/>
            </w:tcBorders>
            <w:shd w:val="clear" w:color="000000" w:fill="FFFFFF"/>
            <w:vAlign w:val="center"/>
            <w:hideMark/>
          </w:tcPr>
          <w:p w14:paraId="710C72C4"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2007</w:t>
            </w:r>
          </w:p>
        </w:tc>
        <w:tc>
          <w:tcPr>
            <w:tcW w:w="839" w:type="dxa"/>
            <w:tcBorders>
              <w:top w:val="single" w:sz="8" w:space="0" w:color="auto"/>
              <w:left w:val="nil"/>
              <w:bottom w:val="nil"/>
              <w:right w:val="single" w:sz="8" w:space="0" w:color="auto"/>
            </w:tcBorders>
            <w:shd w:val="clear" w:color="000000" w:fill="FFFFFF"/>
            <w:vAlign w:val="center"/>
            <w:hideMark/>
          </w:tcPr>
          <w:p w14:paraId="059BBDB8"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2014</w:t>
            </w:r>
          </w:p>
        </w:tc>
      </w:tr>
      <w:tr w:rsidR="00A7309C" w:rsidRPr="00A7309C" w14:paraId="3EA9222B" w14:textId="77777777" w:rsidTr="00A7309C">
        <w:trPr>
          <w:trHeight w:val="253"/>
        </w:trPr>
        <w:tc>
          <w:tcPr>
            <w:tcW w:w="1951" w:type="dxa"/>
            <w:vMerge/>
            <w:tcBorders>
              <w:top w:val="single" w:sz="8" w:space="0" w:color="auto"/>
              <w:left w:val="single" w:sz="8" w:space="0" w:color="auto"/>
              <w:bottom w:val="single" w:sz="8" w:space="0" w:color="000000"/>
              <w:right w:val="single" w:sz="8" w:space="0" w:color="auto"/>
            </w:tcBorders>
            <w:vAlign w:val="center"/>
            <w:hideMark/>
          </w:tcPr>
          <w:p w14:paraId="5A89D075"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p>
        </w:tc>
        <w:tc>
          <w:tcPr>
            <w:tcW w:w="778" w:type="dxa"/>
            <w:tcBorders>
              <w:top w:val="nil"/>
              <w:left w:val="nil"/>
              <w:bottom w:val="single" w:sz="8" w:space="0" w:color="auto"/>
              <w:right w:val="nil"/>
            </w:tcBorders>
            <w:shd w:val="clear" w:color="000000" w:fill="FFFFFF"/>
            <w:vAlign w:val="center"/>
            <w:hideMark/>
          </w:tcPr>
          <w:p w14:paraId="740EF4E3"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39" w:type="dxa"/>
            <w:tcBorders>
              <w:top w:val="nil"/>
              <w:left w:val="nil"/>
              <w:bottom w:val="single" w:sz="8" w:space="0" w:color="auto"/>
              <w:right w:val="nil"/>
            </w:tcBorders>
            <w:shd w:val="clear" w:color="000000" w:fill="FFFFFF"/>
            <w:vAlign w:val="center"/>
            <w:hideMark/>
          </w:tcPr>
          <w:p w14:paraId="7CD5A73D"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39" w:type="dxa"/>
            <w:tcBorders>
              <w:top w:val="nil"/>
              <w:left w:val="nil"/>
              <w:bottom w:val="single" w:sz="8" w:space="0" w:color="auto"/>
              <w:right w:val="nil"/>
            </w:tcBorders>
            <w:shd w:val="clear" w:color="000000" w:fill="FFFFFF"/>
            <w:vAlign w:val="center"/>
            <w:hideMark/>
          </w:tcPr>
          <w:p w14:paraId="2B7DDC4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39" w:type="dxa"/>
            <w:tcBorders>
              <w:top w:val="nil"/>
              <w:left w:val="nil"/>
              <w:bottom w:val="single" w:sz="8" w:space="0" w:color="auto"/>
              <w:right w:val="nil"/>
            </w:tcBorders>
            <w:shd w:val="clear" w:color="000000" w:fill="FFFFFF"/>
            <w:vAlign w:val="center"/>
            <w:hideMark/>
          </w:tcPr>
          <w:p w14:paraId="16775E4A"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39" w:type="dxa"/>
            <w:tcBorders>
              <w:top w:val="nil"/>
              <w:left w:val="nil"/>
              <w:bottom w:val="single" w:sz="8" w:space="0" w:color="auto"/>
              <w:right w:val="nil"/>
            </w:tcBorders>
            <w:shd w:val="clear" w:color="000000" w:fill="FFFFFF"/>
            <w:vAlign w:val="center"/>
            <w:hideMark/>
          </w:tcPr>
          <w:p w14:paraId="7C690AF4"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May</w:t>
            </w:r>
          </w:p>
        </w:tc>
        <w:tc>
          <w:tcPr>
            <w:tcW w:w="182" w:type="dxa"/>
            <w:tcBorders>
              <w:top w:val="nil"/>
              <w:left w:val="nil"/>
              <w:bottom w:val="nil"/>
              <w:right w:val="nil"/>
            </w:tcBorders>
            <w:shd w:val="clear" w:color="000000" w:fill="FFFFFF"/>
            <w:vAlign w:val="center"/>
            <w:hideMark/>
          </w:tcPr>
          <w:p w14:paraId="64D63D2E"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39" w:type="dxa"/>
            <w:tcBorders>
              <w:top w:val="nil"/>
              <w:left w:val="nil"/>
              <w:bottom w:val="single" w:sz="8" w:space="0" w:color="auto"/>
              <w:right w:val="nil"/>
            </w:tcBorders>
            <w:shd w:val="clear" w:color="000000" w:fill="FFFFFF"/>
            <w:vAlign w:val="center"/>
            <w:hideMark/>
          </w:tcPr>
          <w:p w14:paraId="09F6085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IV</w:t>
            </w:r>
          </w:p>
        </w:tc>
        <w:tc>
          <w:tcPr>
            <w:tcW w:w="839" w:type="dxa"/>
            <w:tcBorders>
              <w:top w:val="nil"/>
              <w:left w:val="nil"/>
              <w:bottom w:val="single" w:sz="8" w:space="0" w:color="auto"/>
              <w:right w:val="nil"/>
            </w:tcBorders>
            <w:shd w:val="clear" w:color="000000" w:fill="FFFFFF"/>
            <w:vAlign w:val="center"/>
            <w:hideMark/>
          </w:tcPr>
          <w:p w14:paraId="3EABE54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IV</w:t>
            </w:r>
          </w:p>
        </w:tc>
        <w:tc>
          <w:tcPr>
            <w:tcW w:w="839" w:type="dxa"/>
            <w:tcBorders>
              <w:top w:val="nil"/>
              <w:left w:val="nil"/>
              <w:bottom w:val="single" w:sz="8" w:space="0" w:color="auto"/>
              <w:right w:val="single" w:sz="8" w:space="0" w:color="auto"/>
            </w:tcBorders>
            <w:shd w:val="clear" w:color="000000" w:fill="FFFFFF"/>
            <w:vAlign w:val="center"/>
            <w:hideMark/>
          </w:tcPr>
          <w:p w14:paraId="63869FB1"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IV</w:t>
            </w:r>
          </w:p>
        </w:tc>
      </w:tr>
      <w:tr w:rsidR="00A7309C" w:rsidRPr="00A7309C" w14:paraId="191DF26F" w14:textId="77777777" w:rsidTr="00A7309C">
        <w:trPr>
          <w:trHeight w:val="241"/>
        </w:trPr>
        <w:tc>
          <w:tcPr>
            <w:tcW w:w="1951" w:type="dxa"/>
            <w:tcBorders>
              <w:top w:val="nil"/>
              <w:left w:val="single" w:sz="8" w:space="0" w:color="auto"/>
              <w:bottom w:val="nil"/>
              <w:right w:val="nil"/>
            </w:tcBorders>
            <w:shd w:val="clear" w:color="000000" w:fill="FFFFFF"/>
            <w:noWrap/>
            <w:vAlign w:val="center"/>
            <w:hideMark/>
          </w:tcPr>
          <w:p w14:paraId="79908F6E"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Sector formal público y privado</w:t>
            </w:r>
          </w:p>
        </w:tc>
        <w:tc>
          <w:tcPr>
            <w:tcW w:w="778" w:type="dxa"/>
            <w:tcBorders>
              <w:top w:val="nil"/>
              <w:left w:val="single" w:sz="8" w:space="0" w:color="auto"/>
              <w:bottom w:val="nil"/>
              <w:right w:val="nil"/>
            </w:tcBorders>
            <w:shd w:val="clear" w:color="000000" w:fill="FFFFFF"/>
            <w:noWrap/>
            <w:vAlign w:val="center"/>
            <w:hideMark/>
          </w:tcPr>
          <w:p w14:paraId="39DB579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60,9</w:t>
            </w:r>
          </w:p>
        </w:tc>
        <w:tc>
          <w:tcPr>
            <w:tcW w:w="839" w:type="dxa"/>
            <w:tcBorders>
              <w:top w:val="nil"/>
              <w:left w:val="nil"/>
              <w:bottom w:val="nil"/>
              <w:right w:val="nil"/>
            </w:tcBorders>
            <w:shd w:val="clear" w:color="000000" w:fill="FFFFFF"/>
            <w:noWrap/>
            <w:vAlign w:val="center"/>
            <w:hideMark/>
          </w:tcPr>
          <w:p w14:paraId="2EBAF8AB"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57,7</w:t>
            </w:r>
          </w:p>
        </w:tc>
        <w:tc>
          <w:tcPr>
            <w:tcW w:w="839" w:type="dxa"/>
            <w:tcBorders>
              <w:top w:val="nil"/>
              <w:left w:val="nil"/>
              <w:bottom w:val="nil"/>
              <w:right w:val="nil"/>
            </w:tcBorders>
            <w:shd w:val="clear" w:color="000000" w:fill="FFFFFF"/>
            <w:noWrap/>
            <w:vAlign w:val="center"/>
            <w:hideMark/>
          </w:tcPr>
          <w:p w14:paraId="55E28B4A"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53,3</w:t>
            </w:r>
          </w:p>
        </w:tc>
        <w:tc>
          <w:tcPr>
            <w:tcW w:w="839" w:type="dxa"/>
            <w:tcBorders>
              <w:top w:val="nil"/>
              <w:left w:val="nil"/>
              <w:bottom w:val="nil"/>
              <w:right w:val="nil"/>
            </w:tcBorders>
            <w:shd w:val="clear" w:color="000000" w:fill="FFFFFF"/>
            <w:noWrap/>
            <w:vAlign w:val="center"/>
            <w:hideMark/>
          </w:tcPr>
          <w:p w14:paraId="6F06878C"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49,9</w:t>
            </w:r>
          </w:p>
        </w:tc>
        <w:tc>
          <w:tcPr>
            <w:tcW w:w="839" w:type="dxa"/>
            <w:tcBorders>
              <w:top w:val="nil"/>
              <w:left w:val="nil"/>
              <w:bottom w:val="nil"/>
              <w:right w:val="nil"/>
            </w:tcBorders>
            <w:shd w:val="clear" w:color="000000" w:fill="FFFFFF"/>
            <w:noWrap/>
            <w:vAlign w:val="center"/>
            <w:hideMark/>
          </w:tcPr>
          <w:p w14:paraId="688AF4C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42,0</w:t>
            </w:r>
          </w:p>
        </w:tc>
        <w:tc>
          <w:tcPr>
            <w:tcW w:w="182" w:type="dxa"/>
            <w:tcBorders>
              <w:top w:val="nil"/>
              <w:left w:val="nil"/>
              <w:bottom w:val="nil"/>
              <w:right w:val="nil"/>
            </w:tcBorders>
            <w:shd w:val="clear" w:color="000000" w:fill="FFFFFF"/>
            <w:noWrap/>
            <w:vAlign w:val="center"/>
            <w:hideMark/>
          </w:tcPr>
          <w:p w14:paraId="35DC635C"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39" w:type="dxa"/>
            <w:tcBorders>
              <w:top w:val="nil"/>
              <w:left w:val="nil"/>
              <w:bottom w:val="nil"/>
              <w:right w:val="nil"/>
            </w:tcBorders>
            <w:shd w:val="clear" w:color="000000" w:fill="FFFFFF"/>
            <w:noWrap/>
            <w:vAlign w:val="center"/>
            <w:hideMark/>
          </w:tcPr>
          <w:p w14:paraId="62DC92B1"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40,1</w:t>
            </w:r>
          </w:p>
        </w:tc>
        <w:tc>
          <w:tcPr>
            <w:tcW w:w="839" w:type="dxa"/>
            <w:tcBorders>
              <w:top w:val="nil"/>
              <w:left w:val="nil"/>
              <w:bottom w:val="nil"/>
              <w:right w:val="nil"/>
            </w:tcBorders>
            <w:shd w:val="clear" w:color="000000" w:fill="FFFFFF"/>
            <w:noWrap/>
            <w:vAlign w:val="center"/>
            <w:hideMark/>
          </w:tcPr>
          <w:p w14:paraId="42F47B13"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50,1</w:t>
            </w:r>
          </w:p>
        </w:tc>
        <w:tc>
          <w:tcPr>
            <w:tcW w:w="839" w:type="dxa"/>
            <w:tcBorders>
              <w:top w:val="nil"/>
              <w:left w:val="nil"/>
              <w:bottom w:val="nil"/>
              <w:right w:val="single" w:sz="8" w:space="0" w:color="auto"/>
            </w:tcBorders>
            <w:shd w:val="clear" w:color="000000" w:fill="FFFFFF"/>
            <w:noWrap/>
            <w:vAlign w:val="center"/>
            <w:hideMark/>
          </w:tcPr>
          <w:p w14:paraId="38225B86"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53,2</w:t>
            </w:r>
          </w:p>
        </w:tc>
      </w:tr>
      <w:tr w:rsidR="00A7309C" w:rsidRPr="00A7309C" w14:paraId="0F2B039F" w14:textId="77777777" w:rsidTr="00A7309C">
        <w:trPr>
          <w:trHeight w:val="241"/>
        </w:trPr>
        <w:tc>
          <w:tcPr>
            <w:tcW w:w="1951" w:type="dxa"/>
            <w:tcBorders>
              <w:top w:val="nil"/>
              <w:left w:val="single" w:sz="8" w:space="0" w:color="auto"/>
              <w:bottom w:val="nil"/>
              <w:right w:val="nil"/>
            </w:tcBorders>
            <w:shd w:val="clear" w:color="000000" w:fill="FFFFFF"/>
            <w:noWrap/>
            <w:vAlign w:val="center"/>
            <w:hideMark/>
          </w:tcPr>
          <w:p w14:paraId="2CEA3C21" w14:textId="77777777" w:rsidR="00A7309C" w:rsidRPr="00A7309C" w:rsidRDefault="00A7309C" w:rsidP="00A7309C">
            <w:pPr>
              <w:keepNext/>
              <w:spacing w:after="0" w:line="240" w:lineRule="auto"/>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No asalariados</w:t>
            </w:r>
          </w:p>
        </w:tc>
        <w:tc>
          <w:tcPr>
            <w:tcW w:w="778" w:type="dxa"/>
            <w:tcBorders>
              <w:top w:val="nil"/>
              <w:left w:val="single" w:sz="8" w:space="0" w:color="auto"/>
              <w:bottom w:val="nil"/>
              <w:right w:val="nil"/>
            </w:tcBorders>
            <w:shd w:val="clear" w:color="000000" w:fill="FFFFFF"/>
            <w:noWrap/>
            <w:vAlign w:val="center"/>
            <w:hideMark/>
          </w:tcPr>
          <w:p w14:paraId="3111937C"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3,1</w:t>
            </w:r>
          </w:p>
        </w:tc>
        <w:tc>
          <w:tcPr>
            <w:tcW w:w="839" w:type="dxa"/>
            <w:tcBorders>
              <w:top w:val="nil"/>
              <w:left w:val="nil"/>
              <w:bottom w:val="nil"/>
              <w:right w:val="nil"/>
            </w:tcBorders>
            <w:shd w:val="clear" w:color="000000" w:fill="FFFFFF"/>
            <w:noWrap/>
            <w:vAlign w:val="center"/>
            <w:hideMark/>
          </w:tcPr>
          <w:p w14:paraId="0A53B931"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4,3</w:t>
            </w:r>
          </w:p>
        </w:tc>
        <w:tc>
          <w:tcPr>
            <w:tcW w:w="839" w:type="dxa"/>
            <w:tcBorders>
              <w:top w:val="nil"/>
              <w:left w:val="nil"/>
              <w:bottom w:val="nil"/>
              <w:right w:val="nil"/>
            </w:tcBorders>
            <w:shd w:val="clear" w:color="000000" w:fill="FFFFFF"/>
            <w:noWrap/>
            <w:vAlign w:val="center"/>
            <w:hideMark/>
          </w:tcPr>
          <w:p w14:paraId="48F448AB"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4,2</w:t>
            </w:r>
          </w:p>
        </w:tc>
        <w:tc>
          <w:tcPr>
            <w:tcW w:w="839" w:type="dxa"/>
            <w:tcBorders>
              <w:top w:val="nil"/>
              <w:left w:val="nil"/>
              <w:bottom w:val="nil"/>
              <w:right w:val="nil"/>
            </w:tcBorders>
            <w:shd w:val="clear" w:color="000000" w:fill="FFFFFF"/>
            <w:noWrap/>
            <w:vAlign w:val="center"/>
            <w:hideMark/>
          </w:tcPr>
          <w:p w14:paraId="5E94A6FB"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3,8</w:t>
            </w:r>
          </w:p>
        </w:tc>
        <w:tc>
          <w:tcPr>
            <w:tcW w:w="839" w:type="dxa"/>
            <w:tcBorders>
              <w:top w:val="nil"/>
              <w:left w:val="nil"/>
              <w:bottom w:val="nil"/>
              <w:right w:val="nil"/>
            </w:tcBorders>
            <w:shd w:val="clear" w:color="000000" w:fill="FFFFFF"/>
            <w:noWrap/>
            <w:vAlign w:val="center"/>
            <w:hideMark/>
          </w:tcPr>
          <w:p w14:paraId="07D6C361"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3,2</w:t>
            </w:r>
          </w:p>
        </w:tc>
        <w:tc>
          <w:tcPr>
            <w:tcW w:w="182" w:type="dxa"/>
            <w:tcBorders>
              <w:top w:val="nil"/>
              <w:left w:val="nil"/>
              <w:bottom w:val="nil"/>
              <w:right w:val="nil"/>
            </w:tcBorders>
            <w:shd w:val="clear" w:color="000000" w:fill="FFFFFF"/>
            <w:noWrap/>
            <w:vAlign w:val="center"/>
            <w:hideMark/>
          </w:tcPr>
          <w:p w14:paraId="55120BB2"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 </w:t>
            </w:r>
          </w:p>
        </w:tc>
        <w:tc>
          <w:tcPr>
            <w:tcW w:w="839" w:type="dxa"/>
            <w:tcBorders>
              <w:top w:val="nil"/>
              <w:left w:val="nil"/>
              <w:bottom w:val="nil"/>
              <w:right w:val="nil"/>
            </w:tcBorders>
            <w:shd w:val="clear" w:color="000000" w:fill="FFFFFF"/>
            <w:noWrap/>
            <w:vAlign w:val="center"/>
            <w:hideMark/>
          </w:tcPr>
          <w:p w14:paraId="305792FE"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2,8</w:t>
            </w:r>
          </w:p>
        </w:tc>
        <w:tc>
          <w:tcPr>
            <w:tcW w:w="839" w:type="dxa"/>
            <w:tcBorders>
              <w:top w:val="nil"/>
              <w:left w:val="nil"/>
              <w:bottom w:val="nil"/>
              <w:right w:val="nil"/>
            </w:tcBorders>
            <w:shd w:val="clear" w:color="000000" w:fill="FFFFFF"/>
            <w:noWrap/>
            <w:vAlign w:val="center"/>
            <w:hideMark/>
          </w:tcPr>
          <w:p w14:paraId="2AAEE042"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3,0</w:t>
            </w:r>
          </w:p>
        </w:tc>
        <w:tc>
          <w:tcPr>
            <w:tcW w:w="839" w:type="dxa"/>
            <w:tcBorders>
              <w:top w:val="nil"/>
              <w:left w:val="nil"/>
              <w:bottom w:val="nil"/>
              <w:right w:val="single" w:sz="8" w:space="0" w:color="auto"/>
            </w:tcBorders>
            <w:shd w:val="clear" w:color="000000" w:fill="FFFFFF"/>
            <w:noWrap/>
            <w:vAlign w:val="center"/>
            <w:hideMark/>
          </w:tcPr>
          <w:p w14:paraId="11DE107B"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3,1</w:t>
            </w:r>
          </w:p>
        </w:tc>
      </w:tr>
      <w:tr w:rsidR="00A7309C" w:rsidRPr="00A7309C" w14:paraId="39734DF0" w14:textId="77777777" w:rsidTr="00A7309C">
        <w:trPr>
          <w:trHeight w:val="241"/>
        </w:trPr>
        <w:tc>
          <w:tcPr>
            <w:tcW w:w="1951" w:type="dxa"/>
            <w:tcBorders>
              <w:top w:val="nil"/>
              <w:left w:val="single" w:sz="8" w:space="0" w:color="auto"/>
              <w:bottom w:val="nil"/>
              <w:right w:val="single" w:sz="8" w:space="0" w:color="auto"/>
            </w:tcBorders>
            <w:shd w:val="clear" w:color="000000" w:fill="FFFFFF"/>
            <w:noWrap/>
            <w:vAlign w:val="center"/>
            <w:hideMark/>
          </w:tcPr>
          <w:p w14:paraId="0036A270" w14:textId="77777777" w:rsidR="00A7309C" w:rsidRPr="00A7309C" w:rsidRDefault="00A7309C" w:rsidP="00A7309C">
            <w:pPr>
              <w:keepNext/>
              <w:spacing w:after="0" w:line="240" w:lineRule="auto"/>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Asalariados</w:t>
            </w:r>
          </w:p>
        </w:tc>
        <w:tc>
          <w:tcPr>
            <w:tcW w:w="778" w:type="dxa"/>
            <w:tcBorders>
              <w:top w:val="nil"/>
              <w:left w:val="nil"/>
              <w:bottom w:val="nil"/>
              <w:right w:val="nil"/>
            </w:tcBorders>
            <w:shd w:val="clear" w:color="000000" w:fill="FFFFFF"/>
            <w:noWrap/>
            <w:vAlign w:val="center"/>
            <w:hideMark/>
          </w:tcPr>
          <w:p w14:paraId="4B025497"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57,8</w:t>
            </w:r>
          </w:p>
        </w:tc>
        <w:tc>
          <w:tcPr>
            <w:tcW w:w="839" w:type="dxa"/>
            <w:tcBorders>
              <w:top w:val="nil"/>
              <w:left w:val="nil"/>
              <w:bottom w:val="nil"/>
              <w:right w:val="nil"/>
            </w:tcBorders>
            <w:shd w:val="clear" w:color="000000" w:fill="FFFFFF"/>
            <w:noWrap/>
            <w:vAlign w:val="center"/>
            <w:hideMark/>
          </w:tcPr>
          <w:p w14:paraId="3373FDA6"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53,4</w:t>
            </w:r>
          </w:p>
        </w:tc>
        <w:tc>
          <w:tcPr>
            <w:tcW w:w="839" w:type="dxa"/>
            <w:tcBorders>
              <w:top w:val="nil"/>
              <w:left w:val="nil"/>
              <w:bottom w:val="nil"/>
              <w:right w:val="nil"/>
            </w:tcBorders>
            <w:shd w:val="clear" w:color="000000" w:fill="FFFFFF"/>
            <w:noWrap/>
            <w:vAlign w:val="center"/>
            <w:hideMark/>
          </w:tcPr>
          <w:p w14:paraId="03D69489"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49,1</w:t>
            </w:r>
          </w:p>
        </w:tc>
        <w:tc>
          <w:tcPr>
            <w:tcW w:w="839" w:type="dxa"/>
            <w:tcBorders>
              <w:top w:val="nil"/>
              <w:left w:val="nil"/>
              <w:bottom w:val="nil"/>
              <w:right w:val="nil"/>
            </w:tcBorders>
            <w:shd w:val="clear" w:color="000000" w:fill="FFFFFF"/>
            <w:noWrap/>
            <w:vAlign w:val="center"/>
            <w:hideMark/>
          </w:tcPr>
          <w:p w14:paraId="5A0D0D55"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46,1</w:t>
            </w:r>
          </w:p>
        </w:tc>
        <w:tc>
          <w:tcPr>
            <w:tcW w:w="839" w:type="dxa"/>
            <w:tcBorders>
              <w:top w:val="nil"/>
              <w:left w:val="nil"/>
              <w:bottom w:val="nil"/>
              <w:right w:val="nil"/>
            </w:tcBorders>
            <w:shd w:val="clear" w:color="000000" w:fill="FFFFFF"/>
            <w:noWrap/>
            <w:vAlign w:val="center"/>
            <w:hideMark/>
          </w:tcPr>
          <w:p w14:paraId="41C54D3F"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38,8</w:t>
            </w:r>
          </w:p>
        </w:tc>
        <w:tc>
          <w:tcPr>
            <w:tcW w:w="182" w:type="dxa"/>
            <w:tcBorders>
              <w:top w:val="nil"/>
              <w:left w:val="nil"/>
              <w:bottom w:val="nil"/>
              <w:right w:val="nil"/>
            </w:tcBorders>
            <w:shd w:val="clear" w:color="000000" w:fill="FFFFFF"/>
            <w:noWrap/>
            <w:vAlign w:val="center"/>
            <w:hideMark/>
          </w:tcPr>
          <w:p w14:paraId="49313BC8"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 </w:t>
            </w:r>
          </w:p>
        </w:tc>
        <w:tc>
          <w:tcPr>
            <w:tcW w:w="839" w:type="dxa"/>
            <w:tcBorders>
              <w:top w:val="nil"/>
              <w:left w:val="nil"/>
              <w:bottom w:val="nil"/>
              <w:right w:val="nil"/>
            </w:tcBorders>
            <w:shd w:val="clear" w:color="000000" w:fill="FFFFFF"/>
            <w:noWrap/>
            <w:vAlign w:val="center"/>
            <w:hideMark/>
          </w:tcPr>
          <w:p w14:paraId="00CF55F4"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37,3</w:t>
            </w:r>
          </w:p>
        </w:tc>
        <w:tc>
          <w:tcPr>
            <w:tcW w:w="839" w:type="dxa"/>
            <w:tcBorders>
              <w:top w:val="nil"/>
              <w:left w:val="nil"/>
              <w:bottom w:val="nil"/>
              <w:right w:val="nil"/>
            </w:tcBorders>
            <w:shd w:val="clear" w:color="000000" w:fill="FFFFFF"/>
            <w:noWrap/>
            <w:vAlign w:val="center"/>
            <w:hideMark/>
          </w:tcPr>
          <w:p w14:paraId="2D213381"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47,1</w:t>
            </w:r>
          </w:p>
        </w:tc>
        <w:tc>
          <w:tcPr>
            <w:tcW w:w="839" w:type="dxa"/>
            <w:tcBorders>
              <w:top w:val="nil"/>
              <w:left w:val="nil"/>
              <w:bottom w:val="nil"/>
              <w:right w:val="single" w:sz="8" w:space="0" w:color="auto"/>
            </w:tcBorders>
            <w:shd w:val="clear" w:color="000000" w:fill="FFFFFF"/>
            <w:noWrap/>
            <w:vAlign w:val="center"/>
            <w:hideMark/>
          </w:tcPr>
          <w:p w14:paraId="6DC1A8BD"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50,1</w:t>
            </w:r>
          </w:p>
        </w:tc>
      </w:tr>
      <w:tr w:rsidR="00A7309C" w:rsidRPr="00A7309C" w14:paraId="0F85E301" w14:textId="77777777" w:rsidTr="00A7309C">
        <w:trPr>
          <w:trHeight w:val="241"/>
        </w:trPr>
        <w:tc>
          <w:tcPr>
            <w:tcW w:w="1951" w:type="dxa"/>
            <w:tcBorders>
              <w:top w:val="nil"/>
              <w:left w:val="single" w:sz="8" w:space="0" w:color="auto"/>
              <w:bottom w:val="nil"/>
              <w:right w:val="single" w:sz="8" w:space="0" w:color="auto"/>
            </w:tcBorders>
            <w:shd w:val="clear" w:color="000000" w:fill="FFFFFF"/>
            <w:noWrap/>
            <w:vAlign w:val="center"/>
            <w:hideMark/>
          </w:tcPr>
          <w:p w14:paraId="1781C862" w14:textId="77777777" w:rsidR="00A7309C" w:rsidRPr="00A7309C" w:rsidRDefault="00A7309C" w:rsidP="00A7309C">
            <w:pPr>
              <w:keepNext/>
              <w:spacing w:after="0" w:line="240" w:lineRule="auto"/>
              <w:ind w:firstLineChars="100" w:firstLine="180"/>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Sector formal privado</w:t>
            </w:r>
          </w:p>
        </w:tc>
        <w:tc>
          <w:tcPr>
            <w:tcW w:w="778" w:type="dxa"/>
            <w:tcBorders>
              <w:top w:val="nil"/>
              <w:left w:val="nil"/>
              <w:bottom w:val="nil"/>
              <w:right w:val="nil"/>
            </w:tcBorders>
            <w:shd w:val="clear" w:color="000000" w:fill="FFFFFF"/>
            <w:noWrap/>
            <w:vAlign w:val="center"/>
            <w:hideMark/>
          </w:tcPr>
          <w:p w14:paraId="68F1030F"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w:t>
            </w:r>
          </w:p>
        </w:tc>
        <w:tc>
          <w:tcPr>
            <w:tcW w:w="839" w:type="dxa"/>
            <w:tcBorders>
              <w:top w:val="nil"/>
              <w:left w:val="nil"/>
              <w:bottom w:val="nil"/>
              <w:right w:val="nil"/>
            </w:tcBorders>
            <w:shd w:val="clear" w:color="000000" w:fill="FFFFFF"/>
            <w:noWrap/>
            <w:vAlign w:val="center"/>
            <w:hideMark/>
          </w:tcPr>
          <w:p w14:paraId="010F3DC8"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w:t>
            </w:r>
          </w:p>
        </w:tc>
        <w:tc>
          <w:tcPr>
            <w:tcW w:w="839" w:type="dxa"/>
            <w:tcBorders>
              <w:top w:val="nil"/>
              <w:left w:val="nil"/>
              <w:bottom w:val="nil"/>
              <w:right w:val="nil"/>
            </w:tcBorders>
            <w:shd w:val="clear" w:color="000000" w:fill="FFFFFF"/>
            <w:noWrap/>
            <w:vAlign w:val="center"/>
            <w:hideMark/>
          </w:tcPr>
          <w:p w14:paraId="40C1C147"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w:t>
            </w:r>
          </w:p>
        </w:tc>
        <w:tc>
          <w:tcPr>
            <w:tcW w:w="839" w:type="dxa"/>
            <w:tcBorders>
              <w:top w:val="nil"/>
              <w:left w:val="nil"/>
              <w:bottom w:val="nil"/>
              <w:right w:val="nil"/>
            </w:tcBorders>
            <w:shd w:val="clear" w:color="000000" w:fill="FFFFFF"/>
            <w:noWrap/>
            <w:vAlign w:val="center"/>
            <w:hideMark/>
          </w:tcPr>
          <w:p w14:paraId="64208D4B"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35,6</w:t>
            </w:r>
          </w:p>
        </w:tc>
        <w:tc>
          <w:tcPr>
            <w:tcW w:w="839" w:type="dxa"/>
            <w:tcBorders>
              <w:top w:val="nil"/>
              <w:left w:val="nil"/>
              <w:bottom w:val="nil"/>
              <w:right w:val="nil"/>
            </w:tcBorders>
            <w:shd w:val="clear" w:color="000000" w:fill="FFFFFF"/>
            <w:noWrap/>
            <w:vAlign w:val="center"/>
            <w:hideMark/>
          </w:tcPr>
          <w:p w14:paraId="4FD96D02"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29,1</w:t>
            </w:r>
          </w:p>
        </w:tc>
        <w:tc>
          <w:tcPr>
            <w:tcW w:w="182" w:type="dxa"/>
            <w:tcBorders>
              <w:top w:val="nil"/>
              <w:left w:val="nil"/>
              <w:bottom w:val="nil"/>
              <w:right w:val="nil"/>
            </w:tcBorders>
            <w:shd w:val="clear" w:color="000000" w:fill="FFFFFF"/>
            <w:noWrap/>
            <w:vAlign w:val="center"/>
            <w:hideMark/>
          </w:tcPr>
          <w:p w14:paraId="6337BBBE"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 </w:t>
            </w:r>
          </w:p>
        </w:tc>
        <w:tc>
          <w:tcPr>
            <w:tcW w:w="839" w:type="dxa"/>
            <w:tcBorders>
              <w:top w:val="nil"/>
              <w:left w:val="nil"/>
              <w:bottom w:val="nil"/>
              <w:right w:val="nil"/>
            </w:tcBorders>
            <w:shd w:val="clear" w:color="000000" w:fill="FFFFFF"/>
            <w:noWrap/>
            <w:vAlign w:val="center"/>
            <w:hideMark/>
          </w:tcPr>
          <w:p w14:paraId="6C2A55F1"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28,0</w:t>
            </w:r>
          </w:p>
        </w:tc>
        <w:tc>
          <w:tcPr>
            <w:tcW w:w="839" w:type="dxa"/>
            <w:tcBorders>
              <w:top w:val="nil"/>
              <w:left w:val="nil"/>
              <w:bottom w:val="nil"/>
              <w:right w:val="nil"/>
            </w:tcBorders>
            <w:shd w:val="clear" w:color="000000" w:fill="FFFFFF"/>
            <w:noWrap/>
            <w:vAlign w:val="center"/>
            <w:hideMark/>
          </w:tcPr>
          <w:p w14:paraId="2F2FEA4D"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35,7</w:t>
            </w:r>
          </w:p>
        </w:tc>
        <w:tc>
          <w:tcPr>
            <w:tcW w:w="839" w:type="dxa"/>
            <w:tcBorders>
              <w:top w:val="nil"/>
              <w:left w:val="nil"/>
              <w:bottom w:val="nil"/>
              <w:right w:val="single" w:sz="8" w:space="0" w:color="auto"/>
            </w:tcBorders>
            <w:shd w:val="clear" w:color="000000" w:fill="FFFFFF"/>
            <w:noWrap/>
            <w:vAlign w:val="center"/>
            <w:hideMark/>
          </w:tcPr>
          <w:p w14:paraId="5C3C473D"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38,4</w:t>
            </w:r>
          </w:p>
        </w:tc>
      </w:tr>
      <w:tr w:rsidR="00A7309C" w:rsidRPr="00A7309C" w14:paraId="7182B950" w14:textId="77777777" w:rsidTr="00A7309C">
        <w:trPr>
          <w:trHeight w:val="253"/>
        </w:trPr>
        <w:tc>
          <w:tcPr>
            <w:tcW w:w="1951" w:type="dxa"/>
            <w:tcBorders>
              <w:top w:val="nil"/>
              <w:left w:val="single" w:sz="8" w:space="0" w:color="auto"/>
              <w:bottom w:val="single" w:sz="8" w:space="0" w:color="auto"/>
              <w:right w:val="single" w:sz="8" w:space="0" w:color="auto"/>
            </w:tcBorders>
            <w:shd w:val="clear" w:color="000000" w:fill="FFFFFF"/>
            <w:noWrap/>
            <w:vAlign w:val="center"/>
            <w:hideMark/>
          </w:tcPr>
          <w:p w14:paraId="1E6249CC" w14:textId="77777777" w:rsidR="00A7309C" w:rsidRPr="00A7309C" w:rsidRDefault="00A7309C" w:rsidP="00A7309C">
            <w:pPr>
              <w:keepNext/>
              <w:spacing w:after="0" w:line="240" w:lineRule="auto"/>
              <w:ind w:firstLineChars="100" w:firstLine="180"/>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Sector público</w:t>
            </w:r>
          </w:p>
        </w:tc>
        <w:tc>
          <w:tcPr>
            <w:tcW w:w="778" w:type="dxa"/>
            <w:tcBorders>
              <w:top w:val="nil"/>
              <w:left w:val="nil"/>
              <w:bottom w:val="single" w:sz="8" w:space="0" w:color="auto"/>
              <w:right w:val="nil"/>
            </w:tcBorders>
            <w:shd w:val="clear" w:color="000000" w:fill="FFFFFF"/>
            <w:noWrap/>
            <w:vAlign w:val="center"/>
            <w:hideMark/>
          </w:tcPr>
          <w:p w14:paraId="3BB5E5EF"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w:t>
            </w:r>
          </w:p>
        </w:tc>
        <w:tc>
          <w:tcPr>
            <w:tcW w:w="839" w:type="dxa"/>
            <w:tcBorders>
              <w:top w:val="nil"/>
              <w:left w:val="nil"/>
              <w:bottom w:val="single" w:sz="8" w:space="0" w:color="auto"/>
              <w:right w:val="nil"/>
            </w:tcBorders>
            <w:shd w:val="clear" w:color="000000" w:fill="FFFFFF"/>
            <w:noWrap/>
            <w:vAlign w:val="center"/>
            <w:hideMark/>
          </w:tcPr>
          <w:p w14:paraId="4C42DEF6"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w:t>
            </w:r>
          </w:p>
        </w:tc>
        <w:tc>
          <w:tcPr>
            <w:tcW w:w="839" w:type="dxa"/>
            <w:tcBorders>
              <w:top w:val="nil"/>
              <w:left w:val="nil"/>
              <w:bottom w:val="single" w:sz="8" w:space="0" w:color="auto"/>
              <w:right w:val="nil"/>
            </w:tcBorders>
            <w:shd w:val="clear" w:color="000000" w:fill="FFFFFF"/>
            <w:noWrap/>
            <w:vAlign w:val="center"/>
            <w:hideMark/>
          </w:tcPr>
          <w:p w14:paraId="3C7054BD"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w:t>
            </w:r>
          </w:p>
        </w:tc>
        <w:tc>
          <w:tcPr>
            <w:tcW w:w="839" w:type="dxa"/>
            <w:tcBorders>
              <w:top w:val="nil"/>
              <w:left w:val="nil"/>
              <w:bottom w:val="single" w:sz="8" w:space="0" w:color="auto"/>
              <w:right w:val="nil"/>
            </w:tcBorders>
            <w:shd w:val="clear" w:color="000000" w:fill="FFFFFF"/>
            <w:noWrap/>
            <w:vAlign w:val="center"/>
            <w:hideMark/>
          </w:tcPr>
          <w:p w14:paraId="3C6FBA8A"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10,4</w:t>
            </w:r>
          </w:p>
        </w:tc>
        <w:tc>
          <w:tcPr>
            <w:tcW w:w="839" w:type="dxa"/>
            <w:tcBorders>
              <w:top w:val="nil"/>
              <w:left w:val="nil"/>
              <w:bottom w:val="single" w:sz="8" w:space="0" w:color="auto"/>
              <w:right w:val="nil"/>
            </w:tcBorders>
            <w:shd w:val="clear" w:color="000000" w:fill="FFFFFF"/>
            <w:noWrap/>
            <w:vAlign w:val="center"/>
            <w:hideMark/>
          </w:tcPr>
          <w:p w14:paraId="25541ED8"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9,8</w:t>
            </w:r>
          </w:p>
        </w:tc>
        <w:tc>
          <w:tcPr>
            <w:tcW w:w="182" w:type="dxa"/>
            <w:tcBorders>
              <w:top w:val="nil"/>
              <w:left w:val="nil"/>
              <w:bottom w:val="nil"/>
              <w:right w:val="nil"/>
            </w:tcBorders>
            <w:shd w:val="clear" w:color="000000" w:fill="FFFFFF"/>
            <w:noWrap/>
            <w:vAlign w:val="center"/>
            <w:hideMark/>
          </w:tcPr>
          <w:p w14:paraId="27300EB9"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 </w:t>
            </w:r>
          </w:p>
        </w:tc>
        <w:tc>
          <w:tcPr>
            <w:tcW w:w="839" w:type="dxa"/>
            <w:tcBorders>
              <w:top w:val="nil"/>
              <w:left w:val="nil"/>
              <w:bottom w:val="single" w:sz="8" w:space="0" w:color="auto"/>
              <w:right w:val="nil"/>
            </w:tcBorders>
            <w:shd w:val="clear" w:color="000000" w:fill="FFFFFF"/>
            <w:noWrap/>
            <w:vAlign w:val="center"/>
            <w:hideMark/>
          </w:tcPr>
          <w:p w14:paraId="79B1A945"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9,3</w:t>
            </w:r>
          </w:p>
        </w:tc>
        <w:tc>
          <w:tcPr>
            <w:tcW w:w="839" w:type="dxa"/>
            <w:tcBorders>
              <w:top w:val="nil"/>
              <w:left w:val="nil"/>
              <w:bottom w:val="single" w:sz="8" w:space="0" w:color="auto"/>
              <w:right w:val="nil"/>
            </w:tcBorders>
            <w:shd w:val="clear" w:color="000000" w:fill="FFFFFF"/>
            <w:noWrap/>
            <w:vAlign w:val="center"/>
            <w:hideMark/>
          </w:tcPr>
          <w:p w14:paraId="2FB7A2A5"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11,4</w:t>
            </w:r>
          </w:p>
        </w:tc>
        <w:tc>
          <w:tcPr>
            <w:tcW w:w="839" w:type="dxa"/>
            <w:tcBorders>
              <w:top w:val="nil"/>
              <w:left w:val="nil"/>
              <w:bottom w:val="single" w:sz="8" w:space="0" w:color="auto"/>
              <w:right w:val="single" w:sz="8" w:space="0" w:color="auto"/>
            </w:tcBorders>
            <w:shd w:val="clear" w:color="000000" w:fill="FFFFFF"/>
            <w:noWrap/>
            <w:vAlign w:val="center"/>
            <w:hideMark/>
          </w:tcPr>
          <w:p w14:paraId="32E7610B" w14:textId="77777777" w:rsidR="00A7309C" w:rsidRPr="00A7309C" w:rsidRDefault="00A7309C" w:rsidP="00A7309C">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11,7</w:t>
            </w:r>
          </w:p>
        </w:tc>
      </w:tr>
      <w:tr w:rsidR="00A7309C" w:rsidRPr="00A7309C" w14:paraId="1790BED9" w14:textId="77777777" w:rsidTr="00A7309C">
        <w:trPr>
          <w:trHeight w:val="241"/>
        </w:trPr>
        <w:tc>
          <w:tcPr>
            <w:tcW w:w="1951" w:type="dxa"/>
            <w:tcBorders>
              <w:top w:val="nil"/>
              <w:left w:val="single" w:sz="8" w:space="0" w:color="auto"/>
              <w:bottom w:val="nil"/>
              <w:right w:val="single" w:sz="8" w:space="0" w:color="auto"/>
            </w:tcBorders>
            <w:shd w:val="clear" w:color="000000" w:fill="FFFFFF"/>
            <w:noWrap/>
            <w:vAlign w:val="center"/>
            <w:hideMark/>
          </w:tcPr>
          <w:p w14:paraId="3F0C157E"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Sector microinformal</w:t>
            </w:r>
          </w:p>
        </w:tc>
        <w:tc>
          <w:tcPr>
            <w:tcW w:w="778" w:type="dxa"/>
            <w:tcBorders>
              <w:top w:val="nil"/>
              <w:left w:val="nil"/>
              <w:bottom w:val="nil"/>
              <w:right w:val="nil"/>
            </w:tcBorders>
            <w:shd w:val="clear" w:color="000000" w:fill="FFFFFF"/>
            <w:noWrap/>
            <w:vAlign w:val="center"/>
            <w:hideMark/>
          </w:tcPr>
          <w:p w14:paraId="4DA15E1C"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36,7</w:t>
            </w:r>
          </w:p>
        </w:tc>
        <w:tc>
          <w:tcPr>
            <w:tcW w:w="839" w:type="dxa"/>
            <w:tcBorders>
              <w:top w:val="nil"/>
              <w:left w:val="nil"/>
              <w:bottom w:val="nil"/>
              <w:right w:val="nil"/>
            </w:tcBorders>
            <w:shd w:val="clear" w:color="000000" w:fill="FFFFFF"/>
            <w:noWrap/>
            <w:vAlign w:val="center"/>
            <w:hideMark/>
          </w:tcPr>
          <w:p w14:paraId="42A4421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40,0</w:t>
            </w:r>
          </w:p>
        </w:tc>
        <w:tc>
          <w:tcPr>
            <w:tcW w:w="839" w:type="dxa"/>
            <w:tcBorders>
              <w:top w:val="nil"/>
              <w:left w:val="nil"/>
              <w:bottom w:val="nil"/>
              <w:right w:val="nil"/>
            </w:tcBorders>
            <w:shd w:val="clear" w:color="000000" w:fill="FFFFFF"/>
            <w:noWrap/>
            <w:vAlign w:val="center"/>
            <w:hideMark/>
          </w:tcPr>
          <w:p w14:paraId="328972F5"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41,0</w:t>
            </w:r>
          </w:p>
        </w:tc>
        <w:tc>
          <w:tcPr>
            <w:tcW w:w="839" w:type="dxa"/>
            <w:tcBorders>
              <w:top w:val="nil"/>
              <w:left w:val="nil"/>
              <w:bottom w:val="nil"/>
              <w:right w:val="nil"/>
            </w:tcBorders>
            <w:shd w:val="clear" w:color="000000" w:fill="FFFFFF"/>
            <w:noWrap/>
            <w:vAlign w:val="center"/>
            <w:hideMark/>
          </w:tcPr>
          <w:p w14:paraId="5E0BF6B8"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36,7</w:t>
            </w:r>
          </w:p>
        </w:tc>
        <w:tc>
          <w:tcPr>
            <w:tcW w:w="839" w:type="dxa"/>
            <w:tcBorders>
              <w:top w:val="nil"/>
              <w:left w:val="nil"/>
              <w:bottom w:val="nil"/>
              <w:right w:val="nil"/>
            </w:tcBorders>
            <w:shd w:val="clear" w:color="000000" w:fill="FFFFFF"/>
            <w:noWrap/>
            <w:vAlign w:val="center"/>
            <w:hideMark/>
          </w:tcPr>
          <w:p w14:paraId="0C04E942"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36,1</w:t>
            </w:r>
          </w:p>
        </w:tc>
        <w:tc>
          <w:tcPr>
            <w:tcW w:w="182" w:type="dxa"/>
            <w:tcBorders>
              <w:top w:val="nil"/>
              <w:left w:val="nil"/>
              <w:bottom w:val="nil"/>
              <w:right w:val="nil"/>
            </w:tcBorders>
            <w:shd w:val="clear" w:color="000000" w:fill="FFFFFF"/>
            <w:noWrap/>
            <w:vAlign w:val="center"/>
            <w:hideMark/>
          </w:tcPr>
          <w:p w14:paraId="3375387B"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39" w:type="dxa"/>
            <w:tcBorders>
              <w:top w:val="nil"/>
              <w:left w:val="nil"/>
              <w:bottom w:val="nil"/>
              <w:right w:val="nil"/>
            </w:tcBorders>
            <w:shd w:val="clear" w:color="000000" w:fill="FFFFFF"/>
            <w:noWrap/>
            <w:vAlign w:val="center"/>
            <w:hideMark/>
          </w:tcPr>
          <w:p w14:paraId="3304A6AB"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39,4</w:t>
            </w:r>
          </w:p>
        </w:tc>
        <w:tc>
          <w:tcPr>
            <w:tcW w:w="839" w:type="dxa"/>
            <w:tcBorders>
              <w:top w:val="nil"/>
              <w:left w:val="nil"/>
              <w:bottom w:val="nil"/>
              <w:right w:val="nil"/>
            </w:tcBorders>
            <w:shd w:val="clear" w:color="000000" w:fill="FFFFFF"/>
            <w:noWrap/>
            <w:vAlign w:val="center"/>
            <w:hideMark/>
          </w:tcPr>
          <w:p w14:paraId="547ABBB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41,5</w:t>
            </w:r>
          </w:p>
        </w:tc>
        <w:tc>
          <w:tcPr>
            <w:tcW w:w="839" w:type="dxa"/>
            <w:tcBorders>
              <w:top w:val="nil"/>
              <w:left w:val="nil"/>
              <w:bottom w:val="nil"/>
              <w:right w:val="single" w:sz="8" w:space="0" w:color="auto"/>
            </w:tcBorders>
            <w:shd w:val="clear" w:color="000000" w:fill="FFFFFF"/>
            <w:noWrap/>
            <w:vAlign w:val="center"/>
            <w:hideMark/>
          </w:tcPr>
          <w:p w14:paraId="03816F2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38,8</w:t>
            </w:r>
          </w:p>
        </w:tc>
      </w:tr>
      <w:tr w:rsidR="00A7309C" w:rsidRPr="00A7309C" w14:paraId="54D0ECC6" w14:textId="77777777" w:rsidTr="00A7309C">
        <w:trPr>
          <w:trHeight w:val="241"/>
        </w:trPr>
        <w:tc>
          <w:tcPr>
            <w:tcW w:w="1951" w:type="dxa"/>
            <w:tcBorders>
              <w:top w:val="nil"/>
              <w:left w:val="single" w:sz="8" w:space="0" w:color="auto"/>
              <w:bottom w:val="nil"/>
              <w:right w:val="single" w:sz="8" w:space="0" w:color="auto"/>
            </w:tcBorders>
            <w:shd w:val="clear" w:color="000000" w:fill="FFFFFF"/>
            <w:noWrap/>
            <w:vAlign w:val="center"/>
            <w:hideMark/>
          </w:tcPr>
          <w:p w14:paraId="26F6425B" w14:textId="77777777" w:rsidR="00A7309C" w:rsidRPr="00A7309C" w:rsidRDefault="00A7309C" w:rsidP="00A7309C">
            <w:pPr>
              <w:keepNext/>
              <w:spacing w:after="0" w:line="240" w:lineRule="auto"/>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No asalariados</w:t>
            </w:r>
          </w:p>
        </w:tc>
        <w:tc>
          <w:tcPr>
            <w:tcW w:w="778" w:type="dxa"/>
            <w:tcBorders>
              <w:top w:val="nil"/>
              <w:left w:val="nil"/>
              <w:bottom w:val="nil"/>
              <w:right w:val="nil"/>
            </w:tcBorders>
            <w:shd w:val="clear" w:color="000000" w:fill="FFFFFF"/>
            <w:noWrap/>
            <w:vAlign w:val="center"/>
            <w:hideMark/>
          </w:tcPr>
          <w:p w14:paraId="505C6763"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25,0</w:t>
            </w:r>
          </w:p>
        </w:tc>
        <w:tc>
          <w:tcPr>
            <w:tcW w:w="839" w:type="dxa"/>
            <w:tcBorders>
              <w:top w:val="nil"/>
              <w:left w:val="nil"/>
              <w:bottom w:val="nil"/>
              <w:right w:val="nil"/>
            </w:tcBorders>
            <w:shd w:val="clear" w:color="000000" w:fill="FFFFFF"/>
            <w:noWrap/>
            <w:vAlign w:val="center"/>
            <w:hideMark/>
          </w:tcPr>
          <w:p w14:paraId="03F72200"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27,0</w:t>
            </w:r>
          </w:p>
        </w:tc>
        <w:tc>
          <w:tcPr>
            <w:tcW w:w="839" w:type="dxa"/>
            <w:tcBorders>
              <w:top w:val="nil"/>
              <w:left w:val="nil"/>
              <w:bottom w:val="nil"/>
              <w:right w:val="nil"/>
            </w:tcBorders>
            <w:shd w:val="clear" w:color="000000" w:fill="FFFFFF"/>
            <w:noWrap/>
            <w:vAlign w:val="center"/>
            <w:hideMark/>
          </w:tcPr>
          <w:p w14:paraId="3AE01618"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27,3</w:t>
            </w:r>
          </w:p>
        </w:tc>
        <w:tc>
          <w:tcPr>
            <w:tcW w:w="839" w:type="dxa"/>
            <w:tcBorders>
              <w:top w:val="nil"/>
              <w:left w:val="nil"/>
              <w:bottom w:val="nil"/>
              <w:right w:val="nil"/>
            </w:tcBorders>
            <w:shd w:val="clear" w:color="000000" w:fill="FFFFFF"/>
            <w:noWrap/>
            <w:vAlign w:val="center"/>
            <w:hideMark/>
          </w:tcPr>
          <w:p w14:paraId="41BC641F"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22,0</w:t>
            </w:r>
          </w:p>
        </w:tc>
        <w:tc>
          <w:tcPr>
            <w:tcW w:w="839" w:type="dxa"/>
            <w:tcBorders>
              <w:top w:val="nil"/>
              <w:left w:val="nil"/>
              <w:bottom w:val="nil"/>
              <w:right w:val="nil"/>
            </w:tcBorders>
            <w:shd w:val="clear" w:color="000000" w:fill="FFFFFF"/>
            <w:noWrap/>
            <w:vAlign w:val="center"/>
            <w:hideMark/>
          </w:tcPr>
          <w:p w14:paraId="7359C516"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23,4</w:t>
            </w:r>
          </w:p>
        </w:tc>
        <w:tc>
          <w:tcPr>
            <w:tcW w:w="182" w:type="dxa"/>
            <w:tcBorders>
              <w:top w:val="nil"/>
              <w:left w:val="nil"/>
              <w:bottom w:val="nil"/>
              <w:right w:val="nil"/>
            </w:tcBorders>
            <w:shd w:val="clear" w:color="000000" w:fill="FFFFFF"/>
            <w:noWrap/>
            <w:vAlign w:val="center"/>
            <w:hideMark/>
          </w:tcPr>
          <w:p w14:paraId="55EAD64D"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 </w:t>
            </w:r>
          </w:p>
        </w:tc>
        <w:tc>
          <w:tcPr>
            <w:tcW w:w="839" w:type="dxa"/>
            <w:tcBorders>
              <w:top w:val="nil"/>
              <w:left w:val="nil"/>
              <w:bottom w:val="nil"/>
              <w:right w:val="nil"/>
            </w:tcBorders>
            <w:shd w:val="clear" w:color="000000" w:fill="FFFFFF"/>
            <w:noWrap/>
            <w:vAlign w:val="center"/>
            <w:hideMark/>
          </w:tcPr>
          <w:p w14:paraId="2D2C24CF"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22,7</w:t>
            </w:r>
          </w:p>
        </w:tc>
        <w:tc>
          <w:tcPr>
            <w:tcW w:w="839" w:type="dxa"/>
            <w:tcBorders>
              <w:top w:val="nil"/>
              <w:left w:val="nil"/>
              <w:bottom w:val="nil"/>
              <w:right w:val="nil"/>
            </w:tcBorders>
            <w:shd w:val="clear" w:color="000000" w:fill="FFFFFF"/>
            <w:noWrap/>
            <w:vAlign w:val="center"/>
            <w:hideMark/>
          </w:tcPr>
          <w:p w14:paraId="118CF511"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23,6</w:t>
            </w:r>
          </w:p>
        </w:tc>
        <w:tc>
          <w:tcPr>
            <w:tcW w:w="839" w:type="dxa"/>
            <w:tcBorders>
              <w:top w:val="nil"/>
              <w:left w:val="nil"/>
              <w:bottom w:val="nil"/>
              <w:right w:val="single" w:sz="8" w:space="0" w:color="auto"/>
            </w:tcBorders>
            <w:shd w:val="clear" w:color="000000" w:fill="FFFFFF"/>
            <w:noWrap/>
            <w:vAlign w:val="center"/>
            <w:hideMark/>
          </w:tcPr>
          <w:p w14:paraId="67A234D0"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23,5</w:t>
            </w:r>
          </w:p>
        </w:tc>
      </w:tr>
      <w:tr w:rsidR="00A7309C" w:rsidRPr="00A7309C" w14:paraId="01DC9B93" w14:textId="77777777" w:rsidTr="00A7309C">
        <w:trPr>
          <w:trHeight w:val="253"/>
        </w:trPr>
        <w:tc>
          <w:tcPr>
            <w:tcW w:w="1951" w:type="dxa"/>
            <w:tcBorders>
              <w:top w:val="nil"/>
              <w:left w:val="single" w:sz="8" w:space="0" w:color="auto"/>
              <w:bottom w:val="single" w:sz="8" w:space="0" w:color="auto"/>
              <w:right w:val="nil"/>
            </w:tcBorders>
            <w:shd w:val="clear" w:color="000000" w:fill="FFFFFF"/>
            <w:noWrap/>
            <w:vAlign w:val="center"/>
            <w:hideMark/>
          </w:tcPr>
          <w:p w14:paraId="6E184045" w14:textId="77777777" w:rsidR="00A7309C" w:rsidRPr="00A7309C" w:rsidRDefault="00A7309C" w:rsidP="00A7309C">
            <w:pPr>
              <w:keepNext/>
              <w:spacing w:after="0" w:line="240" w:lineRule="auto"/>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Asalariados</w:t>
            </w:r>
          </w:p>
        </w:tc>
        <w:tc>
          <w:tcPr>
            <w:tcW w:w="778" w:type="dxa"/>
            <w:tcBorders>
              <w:top w:val="nil"/>
              <w:left w:val="single" w:sz="8" w:space="0" w:color="auto"/>
              <w:bottom w:val="single" w:sz="8" w:space="0" w:color="auto"/>
              <w:right w:val="nil"/>
            </w:tcBorders>
            <w:shd w:val="clear" w:color="000000" w:fill="FFFFFF"/>
            <w:noWrap/>
            <w:vAlign w:val="center"/>
            <w:hideMark/>
          </w:tcPr>
          <w:p w14:paraId="336676D3"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11,7</w:t>
            </w:r>
          </w:p>
        </w:tc>
        <w:tc>
          <w:tcPr>
            <w:tcW w:w="839" w:type="dxa"/>
            <w:tcBorders>
              <w:top w:val="nil"/>
              <w:left w:val="nil"/>
              <w:bottom w:val="single" w:sz="8" w:space="0" w:color="auto"/>
              <w:right w:val="nil"/>
            </w:tcBorders>
            <w:shd w:val="clear" w:color="000000" w:fill="FFFFFF"/>
            <w:noWrap/>
            <w:vAlign w:val="center"/>
            <w:hideMark/>
          </w:tcPr>
          <w:p w14:paraId="7CE95BE2"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13,0</w:t>
            </w:r>
          </w:p>
        </w:tc>
        <w:tc>
          <w:tcPr>
            <w:tcW w:w="839" w:type="dxa"/>
            <w:tcBorders>
              <w:top w:val="nil"/>
              <w:left w:val="nil"/>
              <w:bottom w:val="single" w:sz="8" w:space="0" w:color="auto"/>
              <w:right w:val="nil"/>
            </w:tcBorders>
            <w:shd w:val="clear" w:color="000000" w:fill="FFFFFF"/>
            <w:noWrap/>
            <w:vAlign w:val="center"/>
            <w:hideMark/>
          </w:tcPr>
          <w:p w14:paraId="1F76E823"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13,7</w:t>
            </w:r>
          </w:p>
        </w:tc>
        <w:tc>
          <w:tcPr>
            <w:tcW w:w="839" w:type="dxa"/>
            <w:tcBorders>
              <w:top w:val="nil"/>
              <w:left w:val="nil"/>
              <w:bottom w:val="single" w:sz="8" w:space="0" w:color="auto"/>
              <w:right w:val="nil"/>
            </w:tcBorders>
            <w:shd w:val="clear" w:color="000000" w:fill="FFFFFF"/>
            <w:noWrap/>
            <w:vAlign w:val="center"/>
            <w:hideMark/>
          </w:tcPr>
          <w:p w14:paraId="2FB44415"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14,7</w:t>
            </w:r>
          </w:p>
        </w:tc>
        <w:tc>
          <w:tcPr>
            <w:tcW w:w="839" w:type="dxa"/>
            <w:tcBorders>
              <w:top w:val="nil"/>
              <w:left w:val="nil"/>
              <w:bottom w:val="single" w:sz="8" w:space="0" w:color="auto"/>
              <w:right w:val="nil"/>
            </w:tcBorders>
            <w:shd w:val="clear" w:color="000000" w:fill="FFFFFF"/>
            <w:noWrap/>
            <w:vAlign w:val="center"/>
            <w:hideMark/>
          </w:tcPr>
          <w:p w14:paraId="31A4AA67"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12,7</w:t>
            </w:r>
          </w:p>
        </w:tc>
        <w:tc>
          <w:tcPr>
            <w:tcW w:w="182" w:type="dxa"/>
            <w:tcBorders>
              <w:top w:val="nil"/>
              <w:left w:val="nil"/>
              <w:bottom w:val="nil"/>
              <w:right w:val="nil"/>
            </w:tcBorders>
            <w:shd w:val="clear" w:color="000000" w:fill="FFFFFF"/>
            <w:noWrap/>
            <w:vAlign w:val="center"/>
            <w:hideMark/>
          </w:tcPr>
          <w:p w14:paraId="152A03EB"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 </w:t>
            </w:r>
          </w:p>
        </w:tc>
        <w:tc>
          <w:tcPr>
            <w:tcW w:w="839" w:type="dxa"/>
            <w:tcBorders>
              <w:top w:val="nil"/>
              <w:left w:val="nil"/>
              <w:bottom w:val="single" w:sz="8" w:space="0" w:color="auto"/>
              <w:right w:val="nil"/>
            </w:tcBorders>
            <w:shd w:val="clear" w:color="000000" w:fill="FFFFFF"/>
            <w:noWrap/>
            <w:vAlign w:val="center"/>
            <w:hideMark/>
          </w:tcPr>
          <w:p w14:paraId="07E50153"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16,7</w:t>
            </w:r>
          </w:p>
        </w:tc>
        <w:tc>
          <w:tcPr>
            <w:tcW w:w="839" w:type="dxa"/>
            <w:tcBorders>
              <w:top w:val="nil"/>
              <w:left w:val="nil"/>
              <w:bottom w:val="single" w:sz="8" w:space="0" w:color="auto"/>
              <w:right w:val="nil"/>
            </w:tcBorders>
            <w:shd w:val="clear" w:color="000000" w:fill="FFFFFF"/>
            <w:noWrap/>
            <w:vAlign w:val="center"/>
            <w:hideMark/>
          </w:tcPr>
          <w:p w14:paraId="77709468"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17,9</w:t>
            </w:r>
          </w:p>
        </w:tc>
        <w:tc>
          <w:tcPr>
            <w:tcW w:w="839" w:type="dxa"/>
            <w:tcBorders>
              <w:top w:val="nil"/>
              <w:left w:val="nil"/>
              <w:bottom w:val="single" w:sz="8" w:space="0" w:color="auto"/>
              <w:right w:val="single" w:sz="8" w:space="0" w:color="auto"/>
            </w:tcBorders>
            <w:shd w:val="clear" w:color="000000" w:fill="FFFFFF"/>
            <w:noWrap/>
            <w:vAlign w:val="center"/>
            <w:hideMark/>
          </w:tcPr>
          <w:p w14:paraId="34FA5005" w14:textId="77777777" w:rsidR="00A7309C" w:rsidRPr="00A7309C" w:rsidRDefault="00A7309C" w:rsidP="00A7309C">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15,2</w:t>
            </w:r>
          </w:p>
        </w:tc>
      </w:tr>
      <w:tr w:rsidR="00A7309C" w:rsidRPr="00A7309C" w14:paraId="7B4CB48E" w14:textId="77777777" w:rsidTr="00A7309C">
        <w:trPr>
          <w:trHeight w:val="253"/>
        </w:trPr>
        <w:tc>
          <w:tcPr>
            <w:tcW w:w="1951" w:type="dxa"/>
            <w:tcBorders>
              <w:top w:val="nil"/>
              <w:left w:val="single" w:sz="8" w:space="0" w:color="auto"/>
              <w:bottom w:val="single" w:sz="8" w:space="0" w:color="auto"/>
              <w:right w:val="nil"/>
            </w:tcBorders>
            <w:shd w:val="clear" w:color="000000" w:fill="FFFFFF"/>
            <w:noWrap/>
            <w:vAlign w:val="center"/>
            <w:hideMark/>
          </w:tcPr>
          <w:p w14:paraId="0748FC05"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Planes de empleo</w:t>
            </w:r>
          </w:p>
        </w:tc>
        <w:tc>
          <w:tcPr>
            <w:tcW w:w="778" w:type="dxa"/>
            <w:tcBorders>
              <w:top w:val="nil"/>
              <w:left w:val="single" w:sz="8" w:space="0" w:color="auto"/>
              <w:bottom w:val="single" w:sz="8" w:space="0" w:color="auto"/>
              <w:right w:val="nil"/>
            </w:tcBorders>
            <w:shd w:val="clear" w:color="000000" w:fill="FFFFFF"/>
            <w:noWrap/>
            <w:vAlign w:val="center"/>
            <w:hideMark/>
          </w:tcPr>
          <w:p w14:paraId="15F90657"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r w:rsidRPr="00A7309C">
              <w:rPr>
                <w:rFonts w:ascii="Times New Roman" w:eastAsia="Times New Roman" w:hAnsi="Times New Roman" w:cs="Times New Roman"/>
                <w:color w:val="000000"/>
                <w:sz w:val="18"/>
                <w:szCs w:val="18"/>
                <w:lang w:eastAsia="es-AR"/>
              </w:rPr>
              <w:t>//</w:t>
            </w:r>
          </w:p>
        </w:tc>
        <w:tc>
          <w:tcPr>
            <w:tcW w:w="839" w:type="dxa"/>
            <w:tcBorders>
              <w:top w:val="nil"/>
              <w:left w:val="nil"/>
              <w:bottom w:val="single" w:sz="8" w:space="0" w:color="auto"/>
              <w:right w:val="nil"/>
            </w:tcBorders>
            <w:shd w:val="clear" w:color="000000" w:fill="FFFFFF"/>
            <w:noWrap/>
            <w:vAlign w:val="center"/>
            <w:hideMark/>
          </w:tcPr>
          <w:p w14:paraId="0D74FCC2"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r w:rsidRPr="00A7309C">
              <w:rPr>
                <w:rFonts w:ascii="Times New Roman" w:eastAsia="Times New Roman" w:hAnsi="Times New Roman" w:cs="Times New Roman"/>
                <w:color w:val="000000"/>
                <w:sz w:val="18"/>
                <w:szCs w:val="18"/>
                <w:lang w:eastAsia="es-AR"/>
              </w:rPr>
              <w:t>//</w:t>
            </w:r>
          </w:p>
        </w:tc>
        <w:tc>
          <w:tcPr>
            <w:tcW w:w="839" w:type="dxa"/>
            <w:tcBorders>
              <w:top w:val="nil"/>
              <w:left w:val="nil"/>
              <w:bottom w:val="single" w:sz="8" w:space="0" w:color="auto"/>
              <w:right w:val="nil"/>
            </w:tcBorders>
            <w:shd w:val="clear" w:color="000000" w:fill="FFFFFF"/>
            <w:noWrap/>
            <w:vAlign w:val="center"/>
            <w:hideMark/>
          </w:tcPr>
          <w:p w14:paraId="5C115BCE"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w:t>
            </w:r>
            <w:r w:rsidRPr="00A7309C">
              <w:rPr>
                <w:rFonts w:ascii="Times New Roman" w:eastAsia="Times New Roman" w:hAnsi="Times New Roman" w:cs="Times New Roman"/>
                <w:b/>
                <w:bCs/>
                <w:color w:val="000000"/>
                <w:sz w:val="18"/>
                <w:szCs w:val="18"/>
                <w:lang w:eastAsia="es-AR"/>
              </w:rPr>
              <w:t> </w:t>
            </w:r>
          </w:p>
        </w:tc>
        <w:tc>
          <w:tcPr>
            <w:tcW w:w="839" w:type="dxa"/>
            <w:tcBorders>
              <w:top w:val="nil"/>
              <w:left w:val="nil"/>
              <w:bottom w:val="single" w:sz="8" w:space="0" w:color="auto"/>
              <w:right w:val="nil"/>
            </w:tcBorders>
            <w:shd w:val="clear" w:color="000000" w:fill="FFFFFF"/>
            <w:noWrap/>
            <w:vAlign w:val="center"/>
            <w:hideMark/>
          </w:tcPr>
          <w:p w14:paraId="20FBCE4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0,0</w:t>
            </w:r>
          </w:p>
        </w:tc>
        <w:tc>
          <w:tcPr>
            <w:tcW w:w="839" w:type="dxa"/>
            <w:tcBorders>
              <w:top w:val="nil"/>
              <w:left w:val="nil"/>
              <w:bottom w:val="single" w:sz="8" w:space="0" w:color="auto"/>
              <w:right w:val="nil"/>
            </w:tcBorders>
            <w:shd w:val="clear" w:color="000000" w:fill="FFFFFF"/>
            <w:noWrap/>
            <w:vAlign w:val="center"/>
            <w:hideMark/>
          </w:tcPr>
          <w:p w14:paraId="77266E09"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5,4</w:t>
            </w:r>
          </w:p>
        </w:tc>
        <w:tc>
          <w:tcPr>
            <w:tcW w:w="182" w:type="dxa"/>
            <w:tcBorders>
              <w:top w:val="nil"/>
              <w:left w:val="nil"/>
              <w:bottom w:val="nil"/>
              <w:right w:val="nil"/>
            </w:tcBorders>
            <w:shd w:val="clear" w:color="000000" w:fill="FFFFFF"/>
            <w:noWrap/>
            <w:vAlign w:val="center"/>
            <w:hideMark/>
          </w:tcPr>
          <w:p w14:paraId="18583819"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39" w:type="dxa"/>
            <w:tcBorders>
              <w:top w:val="nil"/>
              <w:left w:val="nil"/>
              <w:bottom w:val="single" w:sz="8" w:space="0" w:color="auto"/>
              <w:right w:val="nil"/>
            </w:tcBorders>
            <w:shd w:val="clear" w:color="000000" w:fill="FFFFFF"/>
            <w:noWrap/>
            <w:vAlign w:val="center"/>
            <w:hideMark/>
          </w:tcPr>
          <w:p w14:paraId="0B6CCF0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4,9</w:t>
            </w:r>
          </w:p>
        </w:tc>
        <w:tc>
          <w:tcPr>
            <w:tcW w:w="839" w:type="dxa"/>
            <w:tcBorders>
              <w:top w:val="nil"/>
              <w:left w:val="nil"/>
              <w:bottom w:val="single" w:sz="8" w:space="0" w:color="auto"/>
              <w:right w:val="nil"/>
            </w:tcBorders>
            <w:shd w:val="clear" w:color="000000" w:fill="FFFFFF"/>
            <w:noWrap/>
            <w:vAlign w:val="center"/>
            <w:hideMark/>
          </w:tcPr>
          <w:p w14:paraId="685019DC"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0,6</w:t>
            </w:r>
          </w:p>
        </w:tc>
        <w:tc>
          <w:tcPr>
            <w:tcW w:w="839" w:type="dxa"/>
            <w:tcBorders>
              <w:top w:val="nil"/>
              <w:left w:val="nil"/>
              <w:bottom w:val="single" w:sz="8" w:space="0" w:color="auto"/>
              <w:right w:val="single" w:sz="8" w:space="0" w:color="auto"/>
            </w:tcBorders>
            <w:shd w:val="clear" w:color="000000" w:fill="FFFFFF"/>
            <w:noWrap/>
            <w:vAlign w:val="center"/>
            <w:hideMark/>
          </w:tcPr>
          <w:p w14:paraId="63FCFB97"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0,9</w:t>
            </w:r>
          </w:p>
        </w:tc>
      </w:tr>
      <w:tr w:rsidR="00A7309C" w:rsidRPr="00A7309C" w14:paraId="5EAB8B8E" w14:textId="77777777" w:rsidTr="00A7309C">
        <w:trPr>
          <w:trHeight w:val="253"/>
        </w:trPr>
        <w:tc>
          <w:tcPr>
            <w:tcW w:w="1951" w:type="dxa"/>
            <w:tcBorders>
              <w:top w:val="nil"/>
              <w:left w:val="single" w:sz="8" w:space="0" w:color="auto"/>
              <w:bottom w:val="nil"/>
              <w:right w:val="nil"/>
            </w:tcBorders>
            <w:shd w:val="clear" w:color="000000" w:fill="FFFFFF"/>
            <w:noWrap/>
            <w:vAlign w:val="center"/>
            <w:hideMark/>
          </w:tcPr>
          <w:p w14:paraId="48B7B095"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Desocupados</w:t>
            </w:r>
          </w:p>
        </w:tc>
        <w:tc>
          <w:tcPr>
            <w:tcW w:w="778" w:type="dxa"/>
            <w:tcBorders>
              <w:top w:val="nil"/>
              <w:left w:val="single" w:sz="8" w:space="0" w:color="auto"/>
              <w:bottom w:val="nil"/>
              <w:right w:val="nil"/>
            </w:tcBorders>
            <w:shd w:val="clear" w:color="000000" w:fill="FFFFFF"/>
            <w:noWrap/>
            <w:vAlign w:val="center"/>
            <w:hideMark/>
          </w:tcPr>
          <w:p w14:paraId="49FE2DDA"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2,4</w:t>
            </w:r>
          </w:p>
        </w:tc>
        <w:tc>
          <w:tcPr>
            <w:tcW w:w="839" w:type="dxa"/>
            <w:tcBorders>
              <w:top w:val="nil"/>
              <w:left w:val="nil"/>
              <w:bottom w:val="nil"/>
              <w:right w:val="nil"/>
            </w:tcBorders>
            <w:shd w:val="clear" w:color="000000" w:fill="FFFFFF"/>
            <w:noWrap/>
            <w:vAlign w:val="center"/>
            <w:hideMark/>
          </w:tcPr>
          <w:p w14:paraId="3731E959"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2,3</w:t>
            </w:r>
          </w:p>
        </w:tc>
        <w:tc>
          <w:tcPr>
            <w:tcW w:w="839" w:type="dxa"/>
            <w:tcBorders>
              <w:top w:val="nil"/>
              <w:left w:val="nil"/>
              <w:bottom w:val="nil"/>
              <w:right w:val="nil"/>
            </w:tcBorders>
            <w:shd w:val="clear" w:color="000000" w:fill="FFFFFF"/>
            <w:noWrap/>
            <w:vAlign w:val="center"/>
            <w:hideMark/>
          </w:tcPr>
          <w:p w14:paraId="10D1DD6B"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5,7</w:t>
            </w:r>
          </w:p>
        </w:tc>
        <w:tc>
          <w:tcPr>
            <w:tcW w:w="839" w:type="dxa"/>
            <w:tcBorders>
              <w:top w:val="nil"/>
              <w:left w:val="nil"/>
              <w:bottom w:val="nil"/>
              <w:right w:val="nil"/>
            </w:tcBorders>
            <w:shd w:val="clear" w:color="000000" w:fill="FFFFFF"/>
            <w:noWrap/>
            <w:vAlign w:val="center"/>
            <w:hideMark/>
          </w:tcPr>
          <w:p w14:paraId="5E27FC6E"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13,4</w:t>
            </w:r>
          </w:p>
        </w:tc>
        <w:tc>
          <w:tcPr>
            <w:tcW w:w="839" w:type="dxa"/>
            <w:tcBorders>
              <w:top w:val="nil"/>
              <w:left w:val="nil"/>
              <w:bottom w:val="nil"/>
              <w:right w:val="nil"/>
            </w:tcBorders>
            <w:shd w:val="clear" w:color="000000" w:fill="FFFFFF"/>
            <w:noWrap/>
            <w:vAlign w:val="center"/>
            <w:hideMark/>
          </w:tcPr>
          <w:p w14:paraId="3F0BE865"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16,5</w:t>
            </w:r>
          </w:p>
        </w:tc>
        <w:tc>
          <w:tcPr>
            <w:tcW w:w="182" w:type="dxa"/>
            <w:tcBorders>
              <w:top w:val="nil"/>
              <w:left w:val="nil"/>
              <w:bottom w:val="nil"/>
              <w:right w:val="nil"/>
            </w:tcBorders>
            <w:shd w:val="clear" w:color="000000" w:fill="FFFFFF"/>
            <w:noWrap/>
            <w:vAlign w:val="center"/>
            <w:hideMark/>
          </w:tcPr>
          <w:p w14:paraId="46DF3BC4"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39" w:type="dxa"/>
            <w:tcBorders>
              <w:top w:val="nil"/>
              <w:left w:val="nil"/>
              <w:bottom w:val="nil"/>
              <w:right w:val="nil"/>
            </w:tcBorders>
            <w:shd w:val="clear" w:color="000000" w:fill="FFFFFF"/>
            <w:noWrap/>
            <w:vAlign w:val="center"/>
            <w:hideMark/>
          </w:tcPr>
          <w:p w14:paraId="7D049635"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15,5</w:t>
            </w:r>
          </w:p>
        </w:tc>
        <w:tc>
          <w:tcPr>
            <w:tcW w:w="839" w:type="dxa"/>
            <w:tcBorders>
              <w:top w:val="nil"/>
              <w:left w:val="nil"/>
              <w:bottom w:val="nil"/>
              <w:right w:val="nil"/>
            </w:tcBorders>
            <w:shd w:val="clear" w:color="000000" w:fill="FFFFFF"/>
            <w:noWrap/>
            <w:vAlign w:val="center"/>
            <w:hideMark/>
          </w:tcPr>
          <w:p w14:paraId="34035E73"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7,8</w:t>
            </w:r>
          </w:p>
        </w:tc>
        <w:tc>
          <w:tcPr>
            <w:tcW w:w="839" w:type="dxa"/>
            <w:tcBorders>
              <w:top w:val="nil"/>
              <w:left w:val="nil"/>
              <w:bottom w:val="nil"/>
              <w:right w:val="single" w:sz="8" w:space="0" w:color="auto"/>
            </w:tcBorders>
            <w:shd w:val="clear" w:color="000000" w:fill="FFFFFF"/>
            <w:noWrap/>
            <w:vAlign w:val="center"/>
            <w:hideMark/>
          </w:tcPr>
          <w:p w14:paraId="004B2A89"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7,2</w:t>
            </w:r>
          </w:p>
        </w:tc>
      </w:tr>
      <w:tr w:rsidR="00A7309C" w:rsidRPr="00A7309C" w14:paraId="0EB27156" w14:textId="77777777" w:rsidTr="00A7309C">
        <w:trPr>
          <w:trHeight w:val="253"/>
        </w:trPr>
        <w:tc>
          <w:tcPr>
            <w:tcW w:w="1951" w:type="dxa"/>
            <w:tcBorders>
              <w:top w:val="single" w:sz="8" w:space="0" w:color="auto"/>
              <w:left w:val="single" w:sz="8" w:space="0" w:color="auto"/>
              <w:bottom w:val="single" w:sz="8" w:space="0" w:color="auto"/>
              <w:right w:val="nil"/>
            </w:tcBorders>
            <w:shd w:val="clear" w:color="000000" w:fill="FFFFFF"/>
            <w:noWrap/>
            <w:vAlign w:val="center"/>
            <w:hideMark/>
          </w:tcPr>
          <w:p w14:paraId="7615B2DB"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Total</w:t>
            </w:r>
          </w:p>
        </w:tc>
        <w:tc>
          <w:tcPr>
            <w:tcW w:w="778" w:type="dxa"/>
            <w:tcBorders>
              <w:top w:val="single" w:sz="8" w:space="0" w:color="auto"/>
              <w:left w:val="single" w:sz="8" w:space="0" w:color="auto"/>
              <w:bottom w:val="single" w:sz="8" w:space="0" w:color="auto"/>
              <w:right w:val="nil"/>
            </w:tcBorders>
            <w:shd w:val="clear" w:color="000000" w:fill="FFFFFF"/>
            <w:noWrap/>
            <w:vAlign w:val="center"/>
            <w:hideMark/>
          </w:tcPr>
          <w:p w14:paraId="397B75D8"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100,0</w:t>
            </w:r>
          </w:p>
        </w:tc>
        <w:tc>
          <w:tcPr>
            <w:tcW w:w="839" w:type="dxa"/>
            <w:tcBorders>
              <w:top w:val="single" w:sz="8" w:space="0" w:color="auto"/>
              <w:left w:val="nil"/>
              <w:bottom w:val="single" w:sz="8" w:space="0" w:color="auto"/>
              <w:right w:val="nil"/>
            </w:tcBorders>
            <w:shd w:val="clear" w:color="000000" w:fill="FFFFFF"/>
            <w:noWrap/>
            <w:vAlign w:val="center"/>
            <w:hideMark/>
          </w:tcPr>
          <w:p w14:paraId="5064A3BA"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100,0</w:t>
            </w:r>
          </w:p>
        </w:tc>
        <w:tc>
          <w:tcPr>
            <w:tcW w:w="839" w:type="dxa"/>
            <w:tcBorders>
              <w:top w:val="single" w:sz="8" w:space="0" w:color="auto"/>
              <w:left w:val="nil"/>
              <w:bottom w:val="single" w:sz="8" w:space="0" w:color="auto"/>
              <w:right w:val="nil"/>
            </w:tcBorders>
            <w:shd w:val="clear" w:color="000000" w:fill="FFFFFF"/>
            <w:noWrap/>
            <w:vAlign w:val="center"/>
            <w:hideMark/>
          </w:tcPr>
          <w:p w14:paraId="3FEA029E"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100,0</w:t>
            </w:r>
          </w:p>
        </w:tc>
        <w:tc>
          <w:tcPr>
            <w:tcW w:w="839" w:type="dxa"/>
            <w:tcBorders>
              <w:top w:val="single" w:sz="8" w:space="0" w:color="auto"/>
              <w:left w:val="nil"/>
              <w:bottom w:val="single" w:sz="8" w:space="0" w:color="auto"/>
              <w:right w:val="nil"/>
            </w:tcBorders>
            <w:shd w:val="clear" w:color="000000" w:fill="FFFFFF"/>
            <w:noWrap/>
            <w:vAlign w:val="center"/>
            <w:hideMark/>
          </w:tcPr>
          <w:p w14:paraId="0F733E65"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100,0</w:t>
            </w:r>
          </w:p>
        </w:tc>
        <w:tc>
          <w:tcPr>
            <w:tcW w:w="839" w:type="dxa"/>
            <w:tcBorders>
              <w:top w:val="single" w:sz="8" w:space="0" w:color="auto"/>
              <w:left w:val="nil"/>
              <w:bottom w:val="single" w:sz="8" w:space="0" w:color="auto"/>
              <w:right w:val="nil"/>
            </w:tcBorders>
            <w:shd w:val="clear" w:color="000000" w:fill="FFFFFF"/>
            <w:noWrap/>
            <w:vAlign w:val="center"/>
            <w:hideMark/>
          </w:tcPr>
          <w:p w14:paraId="532D57B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100,0</w:t>
            </w:r>
          </w:p>
        </w:tc>
        <w:tc>
          <w:tcPr>
            <w:tcW w:w="182" w:type="dxa"/>
            <w:tcBorders>
              <w:top w:val="nil"/>
              <w:left w:val="nil"/>
              <w:bottom w:val="single" w:sz="8" w:space="0" w:color="auto"/>
              <w:right w:val="nil"/>
            </w:tcBorders>
            <w:shd w:val="clear" w:color="000000" w:fill="FFFFFF"/>
            <w:noWrap/>
            <w:vAlign w:val="center"/>
            <w:hideMark/>
          </w:tcPr>
          <w:p w14:paraId="0D8C16ED"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39" w:type="dxa"/>
            <w:tcBorders>
              <w:top w:val="single" w:sz="8" w:space="0" w:color="auto"/>
              <w:left w:val="nil"/>
              <w:bottom w:val="single" w:sz="8" w:space="0" w:color="auto"/>
              <w:right w:val="nil"/>
            </w:tcBorders>
            <w:shd w:val="clear" w:color="000000" w:fill="FFFFFF"/>
            <w:noWrap/>
            <w:vAlign w:val="center"/>
            <w:hideMark/>
          </w:tcPr>
          <w:p w14:paraId="52584216"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100,0</w:t>
            </w:r>
          </w:p>
        </w:tc>
        <w:tc>
          <w:tcPr>
            <w:tcW w:w="839" w:type="dxa"/>
            <w:tcBorders>
              <w:top w:val="single" w:sz="8" w:space="0" w:color="auto"/>
              <w:left w:val="nil"/>
              <w:bottom w:val="single" w:sz="8" w:space="0" w:color="auto"/>
              <w:right w:val="nil"/>
            </w:tcBorders>
            <w:shd w:val="clear" w:color="000000" w:fill="FFFFFF"/>
            <w:noWrap/>
            <w:vAlign w:val="center"/>
            <w:hideMark/>
          </w:tcPr>
          <w:p w14:paraId="1EEC247B"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100,0</w:t>
            </w:r>
          </w:p>
        </w:tc>
        <w:tc>
          <w:tcPr>
            <w:tcW w:w="839" w:type="dxa"/>
            <w:tcBorders>
              <w:top w:val="single" w:sz="8" w:space="0" w:color="auto"/>
              <w:left w:val="nil"/>
              <w:bottom w:val="single" w:sz="8" w:space="0" w:color="auto"/>
              <w:right w:val="single" w:sz="8" w:space="0" w:color="auto"/>
            </w:tcBorders>
            <w:shd w:val="clear" w:color="000000" w:fill="FFFFFF"/>
            <w:noWrap/>
            <w:vAlign w:val="center"/>
            <w:hideMark/>
          </w:tcPr>
          <w:p w14:paraId="64403808"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100,0</w:t>
            </w:r>
          </w:p>
        </w:tc>
      </w:tr>
    </w:tbl>
    <w:p w14:paraId="6EB2AF54" w14:textId="77777777" w:rsidR="00922E37" w:rsidRPr="007C2D50" w:rsidRDefault="00922E37" w:rsidP="00A7309C">
      <w:pPr>
        <w:keepNext/>
        <w:spacing w:after="12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57FD2778" w14:textId="77777777" w:rsidR="00D52AD8" w:rsidRPr="007C2D50" w:rsidRDefault="00D52AD8" w:rsidP="00D52AD8">
      <w:pPr>
        <w:spacing w:after="120" w:line="360" w:lineRule="auto"/>
        <w:jc w:val="both"/>
        <w:rPr>
          <w:rFonts w:ascii="Times New Roman" w:hAnsi="Times New Roman"/>
          <w:kern w:val="22"/>
          <w:szCs w:val="24"/>
        </w:rPr>
      </w:pPr>
      <w:r w:rsidRPr="007C2D50">
        <w:rPr>
          <w:rFonts w:ascii="Times New Roman" w:hAnsi="Times New Roman"/>
          <w:kern w:val="22"/>
          <w:szCs w:val="24"/>
          <w:lang w:val="es-MX"/>
        </w:rPr>
        <w:t>Tanto los procesos de reestructuración productiva inducidos por el programa económico del gobierno militar como el estancamiento de los ochenta propiciaron una reducción del peso del sector formal público y privado en la estructura ocupacional (que pasó de 62,4% a 56,5% entre 1974 y 1988). Como correlato, aumentó la participación del empleo en el sector microinformal y de la desocupación abierta (Cuadro 1). Las políticas de ajuste estructural implementadas durante la fase de reformas estructurales (1988-2003), condujeron a una nueva retracción de la participación del sector formal público y privado en la estructura social del trabajo. El sesgo en la demanda laboral del sector formal hacia fuerza de trabajo altamente calificada, la destrucción de empresas pequeñas y medianas y la saturación del sector microinformal se plasmaron en la renovada incidencia del desempleo abierto en el mercado de trabajo</w:t>
      </w:r>
      <w:r w:rsidR="00076044" w:rsidRPr="00144B64">
        <w:rPr>
          <w:rStyle w:val="Refdenotaalpie"/>
          <w:rFonts w:ascii="Times New Roman" w:hAnsi="Times New Roman"/>
          <w:kern w:val="22"/>
          <w:szCs w:val="24"/>
          <w:highlight w:val="yellow"/>
          <w:lang w:val="es-MX"/>
        </w:rPr>
        <w:footnoteReference w:id="5"/>
      </w:r>
      <w:r w:rsidRPr="00144B64">
        <w:rPr>
          <w:rFonts w:ascii="Times New Roman" w:hAnsi="Times New Roman"/>
          <w:kern w:val="22"/>
          <w:szCs w:val="24"/>
          <w:highlight w:val="yellow"/>
          <w:lang w:val="es-MX"/>
        </w:rPr>
        <w:t>.</w:t>
      </w:r>
      <w:r w:rsidRPr="007C2D50">
        <w:rPr>
          <w:rFonts w:ascii="Times New Roman" w:hAnsi="Times New Roman"/>
          <w:kern w:val="22"/>
          <w:szCs w:val="24"/>
          <w:lang w:val="es-MX"/>
        </w:rPr>
        <w:t xml:space="preserve"> Durante el ciclo de crecimiento bajo políticas heterodoxas (2003-2014) se </w:t>
      </w:r>
      <w:r w:rsidRPr="007C2D50">
        <w:rPr>
          <w:rFonts w:ascii="Times New Roman" w:hAnsi="Times New Roman"/>
          <w:kern w:val="22"/>
          <w:szCs w:val="24"/>
          <w:lang w:val="es-MX"/>
        </w:rPr>
        <w:lastRenderedPageBreak/>
        <w:t xml:space="preserve">verificó una recomposición de la participación del sector formal público y privado en la estructura económico-ocupacional (que pasó de 40,1% a 53,2% entre puntas del período), principalmente por la mayor incidencia de asalariados de establecimientos privados. A su vez, se retrajo la incidencia del desempleo abierto y se mantuvo inalterada la participación del sector microinformal en la estructura social del trabajo. </w:t>
      </w:r>
    </w:p>
    <w:p w14:paraId="25E00D79" w14:textId="56E6ED70" w:rsidR="00922E37" w:rsidRDefault="00922E37" w:rsidP="00922E37">
      <w:pPr>
        <w:spacing w:after="120" w:line="360" w:lineRule="auto"/>
        <w:jc w:val="both"/>
        <w:rPr>
          <w:rFonts w:ascii="Times New Roman" w:hAnsi="Times New Roman"/>
          <w:kern w:val="22"/>
          <w:szCs w:val="24"/>
          <w:lang w:val="es-MX"/>
        </w:rPr>
      </w:pPr>
      <w:r w:rsidRPr="009857EF">
        <w:rPr>
          <w:rFonts w:ascii="Times New Roman" w:hAnsi="Times New Roman"/>
          <w:kern w:val="22"/>
          <w:szCs w:val="24"/>
          <w:lang w:val="es-MX"/>
        </w:rPr>
        <w:t>Desde el enfoque teórico expuesto, la heterogeneidad estructural remite a la existencia de ostensibles brechas de productividad entre sectores económicos</w:t>
      </w:r>
      <w:r w:rsidR="00A34609" w:rsidRPr="009857EF">
        <w:rPr>
          <w:rFonts w:ascii="Times New Roman" w:hAnsi="Times New Roman"/>
          <w:kern w:val="22"/>
          <w:szCs w:val="24"/>
          <w:highlight w:val="yellow"/>
          <w:lang w:val="es-MX"/>
        </w:rPr>
        <w:t xml:space="preserve">, lo cual tiende a expresarse en las remuneraciones de mercado alcanzadas por los trabajadores dependiendo </w:t>
      </w:r>
      <w:r w:rsidR="00C20AE2" w:rsidRPr="009857EF">
        <w:rPr>
          <w:rFonts w:ascii="Times New Roman" w:hAnsi="Times New Roman"/>
          <w:kern w:val="22"/>
          <w:szCs w:val="24"/>
          <w:highlight w:val="yellow"/>
          <w:lang w:val="es-MX"/>
        </w:rPr>
        <w:t>del</w:t>
      </w:r>
      <w:r w:rsidR="00A34609" w:rsidRPr="009857EF">
        <w:rPr>
          <w:rFonts w:ascii="Times New Roman" w:hAnsi="Times New Roman"/>
          <w:kern w:val="22"/>
          <w:szCs w:val="24"/>
          <w:highlight w:val="yellow"/>
          <w:lang w:val="es-MX"/>
        </w:rPr>
        <w:t xml:space="preserve"> tipo de inserción económico-ocupacional</w:t>
      </w:r>
      <w:r w:rsidRPr="009857EF">
        <w:rPr>
          <w:rFonts w:ascii="Times New Roman" w:hAnsi="Times New Roman"/>
          <w:kern w:val="22"/>
          <w:szCs w:val="24"/>
          <w:highlight w:val="yellow"/>
          <w:lang w:val="es-MX"/>
        </w:rPr>
        <w:t>.</w:t>
      </w:r>
      <w:r w:rsidRPr="007C2D50">
        <w:rPr>
          <w:rFonts w:ascii="Times New Roman" w:hAnsi="Times New Roman"/>
          <w:kern w:val="22"/>
          <w:szCs w:val="24"/>
          <w:lang w:val="es-MX"/>
        </w:rPr>
        <w:t xml:space="preserve"> Por consiguiente, cabe examinar lo ocurrido en materia de brechas de ingresos horarios de los ocupados (como </w:t>
      </w:r>
      <w:r w:rsidRPr="007C2D50">
        <w:rPr>
          <w:rFonts w:ascii="Times New Roman" w:hAnsi="Times New Roman"/>
          <w:i/>
          <w:kern w:val="22"/>
          <w:szCs w:val="24"/>
          <w:lang w:val="es-MX"/>
        </w:rPr>
        <w:t>proxy</w:t>
      </w:r>
      <w:r w:rsidRPr="007C2D50">
        <w:rPr>
          <w:rFonts w:ascii="Times New Roman" w:hAnsi="Times New Roman"/>
          <w:kern w:val="22"/>
          <w:szCs w:val="24"/>
          <w:lang w:val="es-MX"/>
        </w:rPr>
        <w:t xml:space="preserve"> de productividad) bajo las diferentes fases político-económicas consideradas (Cuadro 2). </w:t>
      </w:r>
    </w:p>
    <w:p w14:paraId="1F719D7F" w14:textId="77777777" w:rsidR="009F17A9" w:rsidRDefault="009F17A9" w:rsidP="009F17A9">
      <w:pPr>
        <w:keepNext/>
        <w:spacing w:after="120" w:line="240" w:lineRule="auto"/>
        <w:jc w:val="both"/>
        <w:rPr>
          <w:rFonts w:ascii="Times New Roman" w:hAnsi="Times New Roman"/>
          <w:szCs w:val="24"/>
        </w:rPr>
      </w:pPr>
      <w:r w:rsidRPr="00A34609">
        <w:rPr>
          <w:rFonts w:ascii="Times New Roman" w:hAnsi="Times New Roman"/>
          <w:b/>
          <w:szCs w:val="24"/>
        </w:rPr>
        <w:t>Cuadro 2. Brechas de la remuneración horaria real de la ocupación principal. Gran Buenos Aires 1974-2014</w:t>
      </w:r>
      <w:r w:rsidRPr="00A34609">
        <w:rPr>
          <w:rFonts w:ascii="Times New Roman" w:hAnsi="Times New Roman"/>
          <w:b/>
          <w:szCs w:val="24"/>
          <w:vertAlign w:val="superscript"/>
        </w:rPr>
        <w:t>(a)</w:t>
      </w:r>
      <w:r w:rsidRPr="00A34609">
        <w:rPr>
          <w:rFonts w:ascii="Times New Roman" w:hAnsi="Times New Roman"/>
          <w:b/>
          <w:szCs w:val="24"/>
        </w:rPr>
        <w:t xml:space="preserve">. </w:t>
      </w:r>
      <w:r w:rsidRPr="00A34609">
        <w:rPr>
          <w:rFonts w:ascii="Times New Roman" w:hAnsi="Times New Roman"/>
          <w:szCs w:val="24"/>
        </w:rPr>
        <w:t>Ingreso medio horario=1.</w:t>
      </w:r>
    </w:p>
    <w:tbl>
      <w:tblPr>
        <w:tblW w:w="8876" w:type="dxa"/>
        <w:tblInd w:w="80" w:type="dxa"/>
        <w:tblCellMar>
          <w:left w:w="70" w:type="dxa"/>
          <w:right w:w="70" w:type="dxa"/>
        </w:tblCellMar>
        <w:tblLook w:val="04A0" w:firstRow="1" w:lastRow="0" w:firstColumn="1" w:lastColumn="0" w:noHBand="0" w:noVBand="1"/>
      </w:tblPr>
      <w:tblGrid>
        <w:gridCol w:w="1921"/>
        <w:gridCol w:w="853"/>
        <w:gridCol w:w="853"/>
        <w:gridCol w:w="853"/>
        <w:gridCol w:w="853"/>
        <w:gridCol w:w="853"/>
        <w:gridCol w:w="185"/>
        <w:gridCol w:w="853"/>
        <w:gridCol w:w="853"/>
        <w:gridCol w:w="853"/>
      </w:tblGrid>
      <w:tr w:rsidR="009F17A9" w:rsidRPr="00A7309C" w14:paraId="0CB4CF2B" w14:textId="77777777" w:rsidTr="00872F79">
        <w:trPr>
          <w:trHeight w:val="257"/>
        </w:trPr>
        <w:tc>
          <w:tcPr>
            <w:tcW w:w="192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4B3D000" w14:textId="77777777" w:rsidR="009F17A9" w:rsidRPr="00A7309C" w:rsidRDefault="009F17A9" w:rsidP="00872F79">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53" w:type="dxa"/>
            <w:tcBorders>
              <w:top w:val="single" w:sz="8" w:space="0" w:color="auto"/>
              <w:left w:val="nil"/>
              <w:bottom w:val="nil"/>
              <w:right w:val="nil"/>
            </w:tcBorders>
            <w:shd w:val="clear" w:color="000000" w:fill="FFFFFF"/>
            <w:vAlign w:val="center"/>
            <w:hideMark/>
          </w:tcPr>
          <w:p w14:paraId="613F790C"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1974</w:t>
            </w:r>
          </w:p>
        </w:tc>
        <w:tc>
          <w:tcPr>
            <w:tcW w:w="853" w:type="dxa"/>
            <w:tcBorders>
              <w:top w:val="single" w:sz="8" w:space="0" w:color="auto"/>
              <w:left w:val="nil"/>
              <w:bottom w:val="nil"/>
              <w:right w:val="nil"/>
            </w:tcBorders>
            <w:shd w:val="clear" w:color="000000" w:fill="FFFFFF"/>
            <w:vAlign w:val="center"/>
            <w:hideMark/>
          </w:tcPr>
          <w:p w14:paraId="5B13B486"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1980</w:t>
            </w:r>
          </w:p>
        </w:tc>
        <w:tc>
          <w:tcPr>
            <w:tcW w:w="853" w:type="dxa"/>
            <w:tcBorders>
              <w:top w:val="single" w:sz="8" w:space="0" w:color="auto"/>
              <w:left w:val="nil"/>
              <w:bottom w:val="nil"/>
              <w:right w:val="nil"/>
            </w:tcBorders>
            <w:shd w:val="clear" w:color="000000" w:fill="FFFFFF"/>
            <w:vAlign w:val="center"/>
            <w:hideMark/>
          </w:tcPr>
          <w:p w14:paraId="1E01597D"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1988</w:t>
            </w:r>
          </w:p>
        </w:tc>
        <w:tc>
          <w:tcPr>
            <w:tcW w:w="853" w:type="dxa"/>
            <w:tcBorders>
              <w:top w:val="single" w:sz="8" w:space="0" w:color="auto"/>
              <w:left w:val="nil"/>
              <w:bottom w:val="nil"/>
              <w:right w:val="nil"/>
            </w:tcBorders>
            <w:shd w:val="clear" w:color="000000" w:fill="FFFFFF"/>
            <w:vAlign w:val="center"/>
            <w:hideMark/>
          </w:tcPr>
          <w:p w14:paraId="34D2DDF6"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1998</w:t>
            </w:r>
          </w:p>
        </w:tc>
        <w:tc>
          <w:tcPr>
            <w:tcW w:w="853" w:type="dxa"/>
            <w:tcBorders>
              <w:top w:val="single" w:sz="8" w:space="0" w:color="auto"/>
              <w:left w:val="nil"/>
              <w:bottom w:val="nil"/>
              <w:right w:val="nil"/>
            </w:tcBorders>
            <w:shd w:val="clear" w:color="000000" w:fill="FFFFFF"/>
            <w:vAlign w:val="center"/>
            <w:hideMark/>
          </w:tcPr>
          <w:p w14:paraId="189A0022"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2003</w:t>
            </w:r>
          </w:p>
        </w:tc>
        <w:tc>
          <w:tcPr>
            <w:tcW w:w="131" w:type="dxa"/>
            <w:tcBorders>
              <w:top w:val="single" w:sz="8" w:space="0" w:color="auto"/>
              <w:left w:val="nil"/>
              <w:bottom w:val="nil"/>
              <w:right w:val="nil"/>
            </w:tcBorders>
            <w:shd w:val="clear" w:color="000000" w:fill="FFFFFF"/>
            <w:vAlign w:val="center"/>
            <w:hideMark/>
          </w:tcPr>
          <w:p w14:paraId="6703E30E"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53" w:type="dxa"/>
            <w:tcBorders>
              <w:top w:val="single" w:sz="8" w:space="0" w:color="auto"/>
              <w:left w:val="nil"/>
              <w:bottom w:val="nil"/>
              <w:right w:val="nil"/>
            </w:tcBorders>
            <w:shd w:val="clear" w:color="000000" w:fill="FFFFFF"/>
            <w:vAlign w:val="center"/>
            <w:hideMark/>
          </w:tcPr>
          <w:p w14:paraId="1B2A6D99"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2003</w:t>
            </w:r>
          </w:p>
        </w:tc>
        <w:tc>
          <w:tcPr>
            <w:tcW w:w="853" w:type="dxa"/>
            <w:tcBorders>
              <w:top w:val="single" w:sz="8" w:space="0" w:color="auto"/>
              <w:left w:val="nil"/>
              <w:bottom w:val="nil"/>
              <w:right w:val="nil"/>
            </w:tcBorders>
            <w:shd w:val="clear" w:color="000000" w:fill="FFFFFF"/>
            <w:vAlign w:val="center"/>
            <w:hideMark/>
          </w:tcPr>
          <w:p w14:paraId="45BB546F"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2007</w:t>
            </w:r>
          </w:p>
        </w:tc>
        <w:tc>
          <w:tcPr>
            <w:tcW w:w="853" w:type="dxa"/>
            <w:tcBorders>
              <w:top w:val="single" w:sz="8" w:space="0" w:color="auto"/>
              <w:left w:val="nil"/>
              <w:bottom w:val="nil"/>
              <w:right w:val="single" w:sz="8" w:space="0" w:color="auto"/>
            </w:tcBorders>
            <w:shd w:val="clear" w:color="000000" w:fill="FFFFFF"/>
            <w:vAlign w:val="center"/>
            <w:hideMark/>
          </w:tcPr>
          <w:p w14:paraId="3EA2F599"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2014</w:t>
            </w:r>
          </w:p>
        </w:tc>
      </w:tr>
      <w:tr w:rsidR="009F17A9" w:rsidRPr="00A7309C" w14:paraId="0392FCE3" w14:textId="77777777" w:rsidTr="00872F79">
        <w:trPr>
          <w:trHeight w:val="269"/>
        </w:trPr>
        <w:tc>
          <w:tcPr>
            <w:tcW w:w="1921" w:type="dxa"/>
            <w:vMerge/>
            <w:tcBorders>
              <w:top w:val="single" w:sz="8" w:space="0" w:color="auto"/>
              <w:left w:val="single" w:sz="8" w:space="0" w:color="auto"/>
              <w:bottom w:val="single" w:sz="8" w:space="0" w:color="000000"/>
              <w:right w:val="single" w:sz="8" w:space="0" w:color="auto"/>
            </w:tcBorders>
            <w:vAlign w:val="center"/>
            <w:hideMark/>
          </w:tcPr>
          <w:p w14:paraId="0F7C5D45" w14:textId="77777777" w:rsidR="009F17A9" w:rsidRPr="00A7309C" w:rsidRDefault="009F17A9" w:rsidP="00872F79">
            <w:pPr>
              <w:keepNext/>
              <w:spacing w:after="0" w:line="240" w:lineRule="auto"/>
              <w:rPr>
                <w:rFonts w:ascii="Times New Roman" w:eastAsia="Times New Roman" w:hAnsi="Times New Roman" w:cs="Times New Roman"/>
                <w:color w:val="000000"/>
                <w:sz w:val="18"/>
                <w:szCs w:val="18"/>
                <w:lang w:eastAsia="es-AR"/>
              </w:rPr>
            </w:pPr>
          </w:p>
        </w:tc>
        <w:tc>
          <w:tcPr>
            <w:tcW w:w="853" w:type="dxa"/>
            <w:tcBorders>
              <w:top w:val="nil"/>
              <w:left w:val="nil"/>
              <w:bottom w:val="single" w:sz="8" w:space="0" w:color="auto"/>
              <w:right w:val="nil"/>
            </w:tcBorders>
            <w:shd w:val="clear" w:color="000000" w:fill="FFFFFF"/>
            <w:vAlign w:val="center"/>
            <w:hideMark/>
          </w:tcPr>
          <w:p w14:paraId="3112DFD5"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53" w:type="dxa"/>
            <w:tcBorders>
              <w:top w:val="nil"/>
              <w:left w:val="nil"/>
              <w:bottom w:val="single" w:sz="8" w:space="0" w:color="auto"/>
              <w:right w:val="nil"/>
            </w:tcBorders>
            <w:shd w:val="clear" w:color="000000" w:fill="FFFFFF"/>
            <w:vAlign w:val="center"/>
            <w:hideMark/>
          </w:tcPr>
          <w:p w14:paraId="3C21B7F6"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53" w:type="dxa"/>
            <w:tcBorders>
              <w:top w:val="nil"/>
              <w:left w:val="nil"/>
              <w:bottom w:val="single" w:sz="8" w:space="0" w:color="auto"/>
              <w:right w:val="nil"/>
            </w:tcBorders>
            <w:shd w:val="clear" w:color="000000" w:fill="FFFFFF"/>
            <w:vAlign w:val="center"/>
            <w:hideMark/>
          </w:tcPr>
          <w:p w14:paraId="749B1A14"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53" w:type="dxa"/>
            <w:tcBorders>
              <w:top w:val="nil"/>
              <w:left w:val="nil"/>
              <w:bottom w:val="single" w:sz="8" w:space="0" w:color="auto"/>
              <w:right w:val="nil"/>
            </w:tcBorders>
            <w:shd w:val="clear" w:color="000000" w:fill="FFFFFF"/>
            <w:vAlign w:val="center"/>
            <w:hideMark/>
          </w:tcPr>
          <w:p w14:paraId="7D445691"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53" w:type="dxa"/>
            <w:tcBorders>
              <w:top w:val="nil"/>
              <w:left w:val="nil"/>
              <w:bottom w:val="single" w:sz="8" w:space="0" w:color="auto"/>
              <w:right w:val="nil"/>
            </w:tcBorders>
            <w:shd w:val="clear" w:color="000000" w:fill="FFFFFF"/>
            <w:vAlign w:val="center"/>
            <w:hideMark/>
          </w:tcPr>
          <w:p w14:paraId="41B9E8B2"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May</w:t>
            </w:r>
          </w:p>
        </w:tc>
        <w:tc>
          <w:tcPr>
            <w:tcW w:w="131" w:type="dxa"/>
            <w:tcBorders>
              <w:top w:val="nil"/>
              <w:left w:val="nil"/>
              <w:bottom w:val="nil"/>
              <w:right w:val="nil"/>
            </w:tcBorders>
            <w:shd w:val="clear" w:color="000000" w:fill="FFFFFF"/>
            <w:vAlign w:val="center"/>
            <w:hideMark/>
          </w:tcPr>
          <w:p w14:paraId="1420BD6C"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53" w:type="dxa"/>
            <w:tcBorders>
              <w:top w:val="nil"/>
              <w:left w:val="nil"/>
              <w:bottom w:val="single" w:sz="8" w:space="0" w:color="auto"/>
              <w:right w:val="nil"/>
            </w:tcBorders>
            <w:shd w:val="clear" w:color="000000" w:fill="FFFFFF"/>
            <w:vAlign w:val="center"/>
            <w:hideMark/>
          </w:tcPr>
          <w:p w14:paraId="470F9A05"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IV</w:t>
            </w:r>
          </w:p>
        </w:tc>
        <w:tc>
          <w:tcPr>
            <w:tcW w:w="853" w:type="dxa"/>
            <w:tcBorders>
              <w:top w:val="nil"/>
              <w:left w:val="nil"/>
              <w:bottom w:val="single" w:sz="8" w:space="0" w:color="auto"/>
              <w:right w:val="nil"/>
            </w:tcBorders>
            <w:shd w:val="clear" w:color="000000" w:fill="FFFFFF"/>
            <w:vAlign w:val="center"/>
            <w:hideMark/>
          </w:tcPr>
          <w:p w14:paraId="3C949E17"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IV</w:t>
            </w:r>
          </w:p>
        </w:tc>
        <w:tc>
          <w:tcPr>
            <w:tcW w:w="853" w:type="dxa"/>
            <w:tcBorders>
              <w:top w:val="nil"/>
              <w:left w:val="nil"/>
              <w:bottom w:val="single" w:sz="8" w:space="0" w:color="auto"/>
              <w:right w:val="single" w:sz="8" w:space="0" w:color="auto"/>
            </w:tcBorders>
            <w:shd w:val="clear" w:color="000000" w:fill="FFFFFF"/>
            <w:vAlign w:val="center"/>
            <w:hideMark/>
          </w:tcPr>
          <w:p w14:paraId="2C819DE4"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IV</w:t>
            </w:r>
          </w:p>
        </w:tc>
      </w:tr>
      <w:tr w:rsidR="009F17A9" w:rsidRPr="00A7309C" w14:paraId="2EB82CD0" w14:textId="77777777" w:rsidTr="00872F79">
        <w:trPr>
          <w:trHeight w:val="257"/>
        </w:trPr>
        <w:tc>
          <w:tcPr>
            <w:tcW w:w="1921" w:type="dxa"/>
            <w:tcBorders>
              <w:top w:val="nil"/>
              <w:left w:val="single" w:sz="8" w:space="0" w:color="auto"/>
              <w:bottom w:val="nil"/>
              <w:right w:val="nil"/>
            </w:tcBorders>
            <w:shd w:val="clear" w:color="000000" w:fill="FFFFFF"/>
            <w:noWrap/>
            <w:vAlign w:val="center"/>
            <w:hideMark/>
          </w:tcPr>
          <w:p w14:paraId="38FC47C3" w14:textId="77777777" w:rsidR="009F17A9" w:rsidRPr="00A7309C" w:rsidRDefault="009F17A9" w:rsidP="00872F79">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Sector formal público y privado</w:t>
            </w:r>
          </w:p>
        </w:tc>
        <w:tc>
          <w:tcPr>
            <w:tcW w:w="853" w:type="dxa"/>
            <w:tcBorders>
              <w:top w:val="nil"/>
              <w:left w:val="single" w:sz="8" w:space="0" w:color="auto"/>
              <w:bottom w:val="nil"/>
              <w:right w:val="nil"/>
            </w:tcBorders>
            <w:shd w:val="clear" w:color="000000" w:fill="FFFFFF"/>
            <w:noWrap/>
            <w:vAlign w:val="center"/>
            <w:hideMark/>
          </w:tcPr>
          <w:p w14:paraId="4159DFA1"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1,10</w:t>
            </w:r>
          </w:p>
        </w:tc>
        <w:tc>
          <w:tcPr>
            <w:tcW w:w="853" w:type="dxa"/>
            <w:tcBorders>
              <w:top w:val="nil"/>
              <w:left w:val="nil"/>
              <w:bottom w:val="nil"/>
              <w:right w:val="nil"/>
            </w:tcBorders>
            <w:shd w:val="clear" w:color="000000" w:fill="FFFFFF"/>
            <w:noWrap/>
            <w:vAlign w:val="center"/>
            <w:hideMark/>
          </w:tcPr>
          <w:p w14:paraId="2FE4EA86"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1,10</w:t>
            </w:r>
          </w:p>
        </w:tc>
        <w:tc>
          <w:tcPr>
            <w:tcW w:w="853" w:type="dxa"/>
            <w:tcBorders>
              <w:top w:val="nil"/>
              <w:left w:val="nil"/>
              <w:bottom w:val="nil"/>
              <w:right w:val="nil"/>
            </w:tcBorders>
            <w:shd w:val="clear" w:color="000000" w:fill="FFFFFF"/>
            <w:noWrap/>
            <w:vAlign w:val="center"/>
            <w:hideMark/>
          </w:tcPr>
          <w:p w14:paraId="7C05D1A5"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1,20</w:t>
            </w:r>
          </w:p>
        </w:tc>
        <w:tc>
          <w:tcPr>
            <w:tcW w:w="853" w:type="dxa"/>
            <w:tcBorders>
              <w:top w:val="nil"/>
              <w:left w:val="nil"/>
              <w:bottom w:val="nil"/>
              <w:right w:val="nil"/>
            </w:tcBorders>
            <w:shd w:val="clear" w:color="000000" w:fill="FFFFFF"/>
            <w:noWrap/>
            <w:vAlign w:val="center"/>
            <w:hideMark/>
          </w:tcPr>
          <w:p w14:paraId="0648A546"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1,20</w:t>
            </w:r>
          </w:p>
        </w:tc>
        <w:tc>
          <w:tcPr>
            <w:tcW w:w="853" w:type="dxa"/>
            <w:tcBorders>
              <w:top w:val="nil"/>
              <w:left w:val="nil"/>
              <w:bottom w:val="nil"/>
              <w:right w:val="nil"/>
            </w:tcBorders>
            <w:shd w:val="clear" w:color="000000" w:fill="FFFFFF"/>
            <w:noWrap/>
            <w:vAlign w:val="center"/>
            <w:hideMark/>
          </w:tcPr>
          <w:p w14:paraId="2BF92B7F"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1,24</w:t>
            </w:r>
          </w:p>
        </w:tc>
        <w:tc>
          <w:tcPr>
            <w:tcW w:w="131" w:type="dxa"/>
            <w:tcBorders>
              <w:top w:val="nil"/>
              <w:left w:val="nil"/>
              <w:bottom w:val="nil"/>
              <w:right w:val="nil"/>
            </w:tcBorders>
            <w:shd w:val="clear" w:color="000000" w:fill="FFFFFF"/>
            <w:noWrap/>
            <w:vAlign w:val="center"/>
            <w:hideMark/>
          </w:tcPr>
          <w:p w14:paraId="11068267"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53" w:type="dxa"/>
            <w:tcBorders>
              <w:top w:val="nil"/>
              <w:left w:val="nil"/>
              <w:bottom w:val="nil"/>
              <w:right w:val="nil"/>
            </w:tcBorders>
            <w:shd w:val="clear" w:color="000000" w:fill="FFFFFF"/>
            <w:noWrap/>
            <w:vAlign w:val="center"/>
            <w:hideMark/>
          </w:tcPr>
          <w:p w14:paraId="41C56609"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1,27</w:t>
            </w:r>
          </w:p>
        </w:tc>
        <w:tc>
          <w:tcPr>
            <w:tcW w:w="853" w:type="dxa"/>
            <w:tcBorders>
              <w:top w:val="nil"/>
              <w:left w:val="nil"/>
              <w:bottom w:val="nil"/>
              <w:right w:val="nil"/>
            </w:tcBorders>
            <w:shd w:val="clear" w:color="000000" w:fill="FFFFFF"/>
            <w:noWrap/>
            <w:vAlign w:val="center"/>
            <w:hideMark/>
          </w:tcPr>
          <w:p w14:paraId="4CE83F16"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1,21</w:t>
            </w:r>
          </w:p>
        </w:tc>
        <w:tc>
          <w:tcPr>
            <w:tcW w:w="853" w:type="dxa"/>
            <w:tcBorders>
              <w:top w:val="nil"/>
              <w:left w:val="nil"/>
              <w:bottom w:val="nil"/>
              <w:right w:val="single" w:sz="8" w:space="0" w:color="auto"/>
            </w:tcBorders>
            <w:shd w:val="clear" w:color="000000" w:fill="FFFFFF"/>
            <w:noWrap/>
            <w:vAlign w:val="center"/>
            <w:hideMark/>
          </w:tcPr>
          <w:p w14:paraId="04C90457"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1,20</w:t>
            </w:r>
          </w:p>
        </w:tc>
      </w:tr>
      <w:tr w:rsidR="009F17A9" w:rsidRPr="00A7309C" w14:paraId="0BA53378" w14:textId="77777777" w:rsidTr="00872F79">
        <w:trPr>
          <w:trHeight w:val="257"/>
        </w:trPr>
        <w:tc>
          <w:tcPr>
            <w:tcW w:w="1921" w:type="dxa"/>
            <w:tcBorders>
              <w:top w:val="nil"/>
              <w:left w:val="single" w:sz="8" w:space="0" w:color="auto"/>
              <w:bottom w:val="nil"/>
              <w:right w:val="nil"/>
            </w:tcBorders>
            <w:shd w:val="clear" w:color="000000" w:fill="FFFFFF"/>
            <w:noWrap/>
            <w:vAlign w:val="center"/>
            <w:hideMark/>
          </w:tcPr>
          <w:p w14:paraId="6A9BEBAC" w14:textId="77777777" w:rsidR="009F17A9" w:rsidRPr="00A7309C" w:rsidRDefault="009F17A9" w:rsidP="00872F79">
            <w:pPr>
              <w:keepNext/>
              <w:spacing w:after="0" w:line="240" w:lineRule="auto"/>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No asalariados</w:t>
            </w:r>
          </w:p>
        </w:tc>
        <w:tc>
          <w:tcPr>
            <w:tcW w:w="853" w:type="dxa"/>
            <w:tcBorders>
              <w:top w:val="nil"/>
              <w:left w:val="single" w:sz="8" w:space="0" w:color="auto"/>
              <w:bottom w:val="nil"/>
              <w:right w:val="nil"/>
            </w:tcBorders>
            <w:shd w:val="clear" w:color="000000" w:fill="FFFFFF"/>
            <w:noWrap/>
            <w:vAlign w:val="center"/>
            <w:hideMark/>
          </w:tcPr>
          <w:p w14:paraId="7AAD0397"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1,71</w:t>
            </w:r>
          </w:p>
        </w:tc>
        <w:tc>
          <w:tcPr>
            <w:tcW w:w="853" w:type="dxa"/>
            <w:tcBorders>
              <w:top w:val="nil"/>
              <w:left w:val="nil"/>
              <w:bottom w:val="nil"/>
              <w:right w:val="nil"/>
            </w:tcBorders>
            <w:shd w:val="clear" w:color="000000" w:fill="FFFFFF"/>
            <w:noWrap/>
            <w:vAlign w:val="center"/>
            <w:hideMark/>
          </w:tcPr>
          <w:p w14:paraId="5A6FBD74"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2,07</w:t>
            </w:r>
          </w:p>
        </w:tc>
        <w:tc>
          <w:tcPr>
            <w:tcW w:w="853" w:type="dxa"/>
            <w:tcBorders>
              <w:top w:val="nil"/>
              <w:left w:val="nil"/>
              <w:bottom w:val="nil"/>
              <w:right w:val="nil"/>
            </w:tcBorders>
            <w:shd w:val="clear" w:color="000000" w:fill="FFFFFF"/>
            <w:noWrap/>
            <w:vAlign w:val="center"/>
            <w:hideMark/>
          </w:tcPr>
          <w:p w14:paraId="0BC3DFE3"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2,91</w:t>
            </w:r>
          </w:p>
        </w:tc>
        <w:tc>
          <w:tcPr>
            <w:tcW w:w="853" w:type="dxa"/>
            <w:tcBorders>
              <w:top w:val="nil"/>
              <w:left w:val="nil"/>
              <w:bottom w:val="nil"/>
              <w:right w:val="nil"/>
            </w:tcBorders>
            <w:shd w:val="clear" w:color="000000" w:fill="FFFFFF"/>
            <w:noWrap/>
            <w:vAlign w:val="center"/>
            <w:hideMark/>
          </w:tcPr>
          <w:p w14:paraId="7470CBA6"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2,98</w:t>
            </w:r>
          </w:p>
        </w:tc>
        <w:tc>
          <w:tcPr>
            <w:tcW w:w="853" w:type="dxa"/>
            <w:tcBorders>
              <w:top w:val="nil"/>
              <w:left w:val="nil"/>
              <w:bottom w:val="nil"/>
              <w:right w:val="nil"/>
            </w:tcBorders>
            <w:shd w:val="clear" w:color="000000" w:fill="FFFFFF"/>
            <w:noWrap/>
            <w:vAlign w:val="center"/>
            <w:hideMark/>
          </w:tcPr>
          <w:p w14:paraId="26418463"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2,66</w:t>
            </w:r>
          </w:p>
        </w:tc>
        <w:tc>
          <w:tcPr>
            <w:tcW w:w="131" w:type="dxa"/>
            <w:tcBorders>
              <w:top w:val="nil"/>
              <w:left w:val="nil"/>
              <w:bottom w:val="nil"/>
              <w:right w:val="nil"/>
            </w:tcBorders>
            <w:shd w:val="clear" w:color="000000" w:fill="FFFFFF"/>
            <w:noWrap/>
            <w:vAlign w:val="center"/>
            <w:hideMark/>
          </w:tcPr>
          <w:p w14:paraId="3A807ECA"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 </w:t>
            </w:r>
          </w:p>
        </w:tc>
        <w:tc>
          <w:tcPr>
            <w:tcW w:w="853" w:type="dxa"/>
            <w:tcBorders>
              <w:top w:val="nil"/>
              <w:left w:val="nil"/>
              <w:bottom w:val="nil"/>
              <w:right w:val="nil"/>
            </w:tcBorders>
            <w:shd w:val="clear" w:color="000000" w:fill="FFFFFF"/>
            <w:noWrap/>
            <w:vAlign w:val="center"/>
            <w:hideMark/>
          </w:tcPr>
          <w:p w14:paraId="6E8CE764"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2,78</w:t>
            </w:r>
          </w:p>
        </w:tc>
        <w:tc>
          <w:tcPr>
            <w:tcW w:w="853" w:type="dxa"/>
            <w:tcBorders>
              <w:top w:val="nil"/>
              <w:left w:val="nil"/>
              <w:bottom w:val="nil"/>
              <w:right w:val="nil"/>
            </w:tcBorders>
            <w:shd w:val="clear" w:color="000000" w:fill="FFFFFF"/>
            <w:noWrap/>
            <w:vAlign w:val="center"/>
            <w:hideMark/>
          </w:tcPr>
          <w:p w14:paraId="2E95E9A1"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2,41</w:t>
            </w:r>
          </w:p>
        </w:tc>
        <w:tc>
          <w:tcPr>
            <w:tcW w:w="853" w:type="dxa"/>
            <w:tcBorders>
              <w:top w:val="nil"/>
              <w:left w:val="nil"/>
              <w:bottom w:val="nil"/>
              <w:right w:val="single" w:sz="8" w:space="0" w:color="auto"/>
            </w:tcBorders>
            <w:shd w:val="clear" w:color="000000" w:fill="FFFFFF"/>
            <w:noWrap/>
            <w:vAlign w:val="center"/>
            <w:hideMark/>
          </w:tcPr>
          <w:p w14:paraId="48309A88"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1,76</w:t>
            </w:r>
          </w:p>
        </w:tc>
      </w:tr>
      <w:tr w:rsidR="009F17A9" w:rsidRPr="00A7309C" w14:paraId="0815FB02" w14:textId="77777777" w:rsidTr="00872F79">
        <w:trPr>
          <w:trHeight w:val="257"/>
        </w:trPr>
        <w:tc>
          <w:tcPr>
            <w:tcW w:w="1921" w:type="dxa"/>
            <w:tcBorders>
              <w:top w:val="nil"/>
              <w:left w:val="single" w:sz="8" w:space="0" w:color="auto"/>
              <w:bottom w:val="nil"/>
              <w:right w:val="single" w:sz="8" w:space="0" w:color="auto"/>
            </w:tcBorders>
            <w:shd w:val="clear" w:color="000000" w:fill="FFFFFF"/>
            <w:noWrap/>
            <w:vAlign w:val="center"/>
            <w:hideMark/>
          </w:tcPr>
          <w:p w14:paraId="5BB430D3" w14:textId="77777777" w:rsidR="009F17A9" w:rsidRPr="00A7309C" w:rsidRDefault="009F17A9" w:rsidP="00872F79">
            <w:pPr>
              <w:keepNext/>
              <w:spacing w:after="0" w:line="240" w:lineRule="auto"/>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Asalariados</w:t>
            </w:r>
          </w:p>
        </w:tc>
        <w:tc>
          <w:tcPr>
            <w:tcW w:w="853" w:type="dxa"/>
            <w:tcBorders>
              <w:top w:val="nil"/>
              <w:left w:val="nil"/>
              <w:bottom w:val="nil"/>
              <w:right w:val="nil"/>
            </w:tcBorders>
            <w:shd w:val="clear" w:color="000000" w:fill="FFFFFF"/>
            <w:noWrap/>
            <w:vAlign w:val="center"/>
            <w:hideMark/>
          </w:tcPr>
          <w:p w14:paraId="2AC1EB44"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1,07</w:t>
            </w:r>
          </w:p>
        </w:tc>
        <w:tc>
          <w:tcPr>
            <w:tcW w:w="853" w:type="dxa"/>
            <w:tcBorders>
              <w:top w:val="nil"/>
              <w:left w:val="nil"/>
              <w:bottom w:val="nil"/>
              <w:right w:val="nil"/>
            </w:tcBorders>
            <w:shd w:val="clear" w:color="000000" w:fill="FFFFFF"/>
            <w:noWrap/>
            <w:vAlign w:val="center"/>
            <w:hideMark/>
          </w:tcPr>
          <w:p w14:paraId="6C6B56A8"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1,03</w:t>
            </w:r>
          </w:p>
        </w:tc>
        <w:tc>
          <w:tcPr>
            <w:tcW w:w="853" w:type="dxa"/>
            <w:tcBorders>
              <w:top w:val="nil"/>
              <w:left w:val="nil"/>
              <w:bottom w:val="nil"/>
              <w:right w:val="nil"/>
            </w:tcBorders>
            <w:shd w:val="clear" w:color="000000" w:fill="FFFFFF"/>
            <w:noWrap/>
            <w:vAlign w:val="center"/>
            <w:hideMark/>
          </w:tcPr>
          <w:p w14:paraId="6CE86BC1"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1,05</w:t>
            </w:r>
          </w:p>
        </w:tc>
        <w:tc>
          <w:tcPr>
            <w:tcW w:w="853" w:type="dxa"/>
            <w:tcBorders>
              <w:top w:val="nil"/>
              <w:left w:val="nil"/>
              <w:bottom w:val="nil"/>
              <w:right w:val="nil"/>
            </w:tcBorders>
            <w:shd w:val="clear" w:color="000000" w:fill="FFFFFF"/>
            <w:noWrap/>
            <w:vAlign w:val="center"/>
            <w:hideMark/>
          </w:tcPr>
          <w:p w14:paraId="2B7ACDB7"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0,99</w:t>
            </w:r>
          </w:p>
        </w:tc>
        <w:tc>
          <w:tcPr>
            <w:tcW w:w="853" w:type="dxa"/>
            <w:tcBorders>
              <w:top w:val="nil"/>
              <w:left w:val="nil"/>
              <w:bottom w:val="nil"/>
              <w:right w:val="nil"/>
            </w:tcBorders>
            <w:shd w:val="clear" w:color="000000" w:fill="FFFFFF"/>
            <w:noWrap/>
            <w:vAlign w:val="center"/>
            <w:hideMark/>
          </w:tcPr>
          <w:p w14:paraId="2132B009"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1,04</w:t>
            </w:r>
          </w:p>
        </w:tc>
        <w:tc>
          <w:tcPr>
            <w:tcW w:w="131" w:type="dxa"/>
            <w:tcBorders>
              <w:top w:val="nil"/>
              <w:left w:val="nil"/>
              <w:bottom w:val="nil"/>
              <w:right w:val="nil"/>
            </w:tcBorders>
            <w:shd w:val="clear" w:color="000000" w:fill="FFFFFF"/>
            <w:noWrap/>
            <w:vAlign w:val="center"/>
            <w:hideMark/>
          </w:tcPr>
          <w:p w14:paraId="309818D8"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 </w:t>
            </w:r>
          </w:p>
        </w:tc>
        <w:tc>
          <w:tcPr>
            <w:tcW w:w="853" w:type="dxa"/>
            <w:tcBorders>
              <w:top w:val="nil"/>
              <w:left w:val="nil"/>
              <w:bottom w:val="nil"/>
              <w:right w:val="nil"/>
            </w:tcBorders>
            <w:shd w:val="clear" w:color="000000" w:fill="FFFFFF"/>
            <w:noWrap/>
            <w:vAlign w:val="center"/>
            <w:hideMark/>
          </w:tcPr>
          <w:p w14:paraId="55FDEC8F"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1,16</w:t>
            </w:r>
          </w:p>
        </w:tc>
        <w:tc>
          <w:tcPr>
            <w:tcW w:w="853" w:type="dxa"/>
            <w:tcBorders>
              <w:top w:val="nil"/>
              <w:left w:val="nil"/>
              <w:bottom w:val="nil"/>
              <w:right w:val="nil"/>
            </w:tcBorders>
            <w:shd w:val="clear" w:color="000000" w:fill="FFFFFF"/>
            <w:noWrap/>
            <w:vAlign w:val="center"/>
            <w:hideMark/>
          </w:tcPr>
          <w:p w14:paraId="09691ED7"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1,13</w:t>
            </w:r>
          </w:p>
        </w:tc>
        <w:tc>
          <w:tcPr>
            <w:tcW w:w="853" w:type="dxa"/>
            <w:tcBorders>
              <w:top w:val="nil"/>
              <w:left w:val="nil"/>
              <w:bottom w:val="nil"/>
              <w:right w:val="single" w:sz="8" w:space="0" w:color="auto"/>
            </w:tcBorders>
            <w:shd w:val="clear" w:color="000000" w:fill="FFFFFF"/>
            <w:noWrap/>
            <w:vAlign w:val="center"/>
            <w:hideMark/>
          </w:tcPr>
          <w:p w14:paraId="20D0DF5F"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1,16</w:t>
            </w:r>
          </w:p>
        </w:tc>
      </w:tr>
      <w:tr w:rsidR="009F17A9" w:rsidRPr="00A7309C" w14:paraId="7F05A5DC" w14:textId="77777777" w:rsidTr="00872F79">
        <w:trPr>
          <w:trHeight w:val="257"/>
        </w:trPr>
        <w:tc>
          <w:tcPr>
            <w:tcW w:w="1921" w:type="dxa"/>
            <w:tcBorders>
              <w:top w:val="nil"/>
              <w:left w:val="single" w:sz="8" w:space="0" w:color="auto"/>
              <w:bottom w:val="nil"/>
              <w:right w:val="single" w:sz="8" w:space="0" w:color="auto"/>
            </w:tcBorders>
            <w:shd w:val="clear" w:color="000000" w:fill="FFFFFF"/>
            <w:noWrap/>
            <w:vAlign w:val="center"/>
            <w:hideMark/>
          </w:tcPr>
          <w:p w14:paraId="4E4B37BE" w14:textId="77777777" w:rsidR="009F17A9" w:rsidRPr="00A7309C" w:rsidRDefault="009F17A9" w:rsidP="00872F79">
            <w:pPr>
              <w:keepNext/>
              <w:spacing w:after="0" w:line="240" w:lineRule="auto"/>
              <w:ind w:firstLineChars="100" w:firstLine="180"/>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Sector formal privado</w:t>
            </w:r>
          </w:p>
        </w:tc>
        <w:tc>
          <w:tcPr>
            <w:tcW w:w="853" w:type="dxa"/>
            <w:tcBorders>
              <w:top w:val="nil"/>
              <w:left w:val="nil"/>
              <w:bottom w:val="nil"/>
              <w:right w:val="nil"/>
            </w:tcBorders>
            <w:shd w:val="clear" w:color="000000" w:fill="FFFFFF"/>
            <w:noWrap/>
            <w:vAlign w:val="center"/>
            <w:hideMark/>
          </w:tcPr>
          <w:p w14:paraId="36A660D2" w14:textId="77777777" w:rsidR="009F17A9" w:rsidRPr="00A7309C" w:rsidRDefault="009F17A9" w:rsidP="00872F79">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53" w:type="dxa"/>
            <w:tcBorders>
              <w:top w:val="nil"/>
              <w:left w:val="nil"/>
              <w:bottom w:val="nil"/>
              <w:right w:val="nil"/>
            </w:tcBorders>
            <w:shd w:val="clear" w:color="000000" w:fill="FFFFFF"/>
            <w:noWrap/>
            <w:vAlign w:val="center"/>
            <w:hideMark/>
          </w:tcPr>
          <w:p w14:paraId="27DD283D" w14:textId="77777777" w:rsidR="009F17A9" w:rsidRPr="00A7309C" w:rsidRDefault="009F17A9" w:rsidP="00872F79">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53" w:type="dxa"/>
            <w:tcBorders>
              <w:top w:val="nil"/>
              <w:left w:val="nil"/>
              <w:bottom w:val="nil"/>
              <w:right w:val="nil"/>
            </w:tcBorders>
            <w:shd w:val="clear" w:color="000000" w:fill="FFFFFF"/>
            <w:noWrap/>
            <w:vAlign w:val="center"/>
            <w:hideMark/>
          </w:tcPr>
          <w:p w14:paraId="6A5D7EBB" w14:textId="77777777" w:rsidR="009F17A9" w:rsidRPr="00A7309C" w:rsidRDefault="009F17A9" w:rsidP="00872F79">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53" w:type="dxa"/>
            <w:tcBorders>
              <w:top w:val="nil"/>
              <w:left w:val="nil"/>
              <w:bottom w:val="nil"/>
              <w:right w:val="nil"/>
            </w:tcBorders>
            <w:shd w:val="clear" w:color="000000" w:fill="FFFFFF"/>
            <w:noWrap/>
            <w:vAlign w:val="center"/>
            <w:hideMark/>
          </w:tcPr>
          <w:p w14:paraId="1FD3AC38"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0,99</w:t>
            </w:r>
          </w:p>
        </w:tc>
        <w:tc>
          <w:tcPr>
            <w:tcW w:w="853" w:type="dxa"/>
            <w:tcBorders>
              <w:top w:val="nil"/>
              <w:left w:val="nil"/>
              <w:bottom w:val="nil"/>
              <w:right w:val="nil"/>
            </w:tcBorders>
            <w:shd w:val="clear" w:color="000000" w:fill="FFFFFF"/>
            <w:noWrap/>
            <w:vAlign w:val="center"/>
            <w:hideMark/>
          </w:tcPr>
          <w:p w14:paraId="1682A37B"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1,04</w:t>
            </w:r>
          </w:p>
        </w:tc>
        <w:tc>
          <w:tcPr>
            <w:tcW w:w="131" w:type="dxa"/>
            <w:tcBorders>
              <w:top w:val="nil"/>
              <w:left w:val="nil"/>
              <w:bottom w:val="nil"/>
              <w:right w:val="nil"/>
            </w:tcBorders>
            <w:shd w:val="clear" w:color="000000" w:fill="FFFFFF"/>
            <w:noWrap/>
            <w:vAlign w:val="center"/>
            <w:hideMark/>
          </w:tcPr>
          <w:p w14:paraId="2CC675EF"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 </w:t>
            </w:r>
          </w:p>
        </w:tc>
        <w:tc>
          <w:tcPr>
            <w:tcW w:w="853" w:type="dxa"/>
            <w:tcBorders>
              <w:top w:val="nil"/>
              <w:left w:val="nil"/>
              <w:bottom w:val="nil"/>
              <w:right w:val="nil"/>
            </w:tcBorders>
            <w:shd w:val="clear" w:color="000000" w:fill="FFFFFF"/>
            <w:noWrap/>
            <w:vAlign w:val="center"/>
            <w:hideMark/>
          </w:tcPr>
          <w:p w14:paraId="54A719E8"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1,09</w:t>
            </w:r>
          </w:p>
        </w:tc>
        <w:tc>
          <w:tcPr>
            <w:tcW w:w="853" w:type="dxa"/>
            <w:tcBorders>
              <w:top w:val="nil"/>
              <w:left w:val="nil"/>
              <w:bottom w:val="nil"/>
              <w:right w:val="nil"/>
            </w:tcBorders>
            <w:shd w:val="clear" w:color="000000" w:fill="FFFFFF"/>
            <w:noWrap/>
            <w:vAlign w:val="center"/>
            <w:hideMark/>
          </w:tcPr>
          <w:p w14:paraId="2999A915"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1,08</w:t>
            </w:r>
          </w:p>
        </w:tc>
        <w:tc>
          <w:tcPr>
            <w:tcW w:w="853" w:type="dxa"/>
            <w:tcBorders>
              <w:top w:val="nil"/>
              <w:left w:val="nil"/>
              <w:bottom w:val="nil"/>
              <w:right w:val="single" w:sz="8" w:space="0" w:color="auto"/>
            </w:tcBorders>
            <w:shd w:val="clear" w:color="000000" w:fill="FFFFFF"/>
            <w:noWrap/>
            <w:vAlign w:val="center"/>
            <w:hideMark/>
          </w:tcPr>
          <w:p w14:paraId="06F84F44"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1,04</w:t>
            </w:r>
          </w:p>
        </w:tc>
      </w:tr>
      <w:tr w:rsidR="009F17A9" w:rsidRPr="00A7309C" w14:paraId="1707A613" w14:textId="77777777" w:rsidTr="00872F79">
        <w:trPr>
          <w:trHeight w:val="269"/>
        </w:trPr>
        <w:tc>
          <w:tcPr>
            <w:tcW w:w="1921" w:type="dxa"/>
            <w:tcBorders>
              <w:top w:val="nil"/>
              <w:left w:val="single" w:sz="8" w:space="0" w:color="auto"/>
              <w:bottom w:val="single" w:sz="8" w:space="0" w:color="auto"/>
              <w:right w:val="single" w:sz="8" w:space="0" w:color="auto"/>
            </w:tcBorders>
            <w:shd w:val="clear" w:color="000000" w:fill="FFFFFF"/>
            <w:noWrap/>
            <w:vAlign w:val="center"/>
            <w:hideMark/>
          </w:tcPr>
          <w:p w14:paraId="16B8F80A" w14:textId="77777777" w:rsidR="009F17A9" w:rsidRPr="00A7309C" w:rsidRDefault="009F17A9" w:rsidP="00872F79">
            <w:pPr>
              <w:keepNext/>
              <w:spacing w:after="0" w:line="240" w:lineRule="auto"/>
              <w:ind w:firstLineChars="100" w:firstLine="180"/>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Sector público</w:t>
            </w:r>
          </w:p>
        </w:tc>
        <w:tc>
          <w:tcPr>
            <w:tcW w:w="853" w:type="dxa"/>
            <w:tcBorders>
              <w:top w:val="nil"/>
              <w:left w:val="nil"/>
              <w:bottom w:val="single" w:sz="8" w:space="0" w:color="auto"/>
              <w:right w:val="nil"/>
            </w:tcBorders>
            <w:shd w:val="clear" w:color="000000" w:fill="FFFFFF"/>
            <w:noWrap/>
            <w:vAlign w:val="center"/>
            <w:hideMark/>
          </w:tcPr>
          <w:p w14:paraId="511048B6" w14:textId="77777777" w:rsidR="009F17A9" w:rsidRPr="00A7309C" w:rsidRDefault="009F17A9" w:rsidP="00872F79">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53" w:type="dxa"/>
            <w:tcBorders>
              <w:top w:val="nil"/>
              <w:left w:val="nil"/>
              <w:bottom w:val="single" w:sz="8" w:space="0" w:color="auto"/>
              <w:right w:val="nil"/>
            </w:tcBorders>
            <w:shd w:val="clear" w:color="000000" w:fill="FFFFFF"/>
            <w:noWrap/>
            <w:vAlign w:val="center"/>
            <w:hideMark/>
          </w:tcPr>
          <w:p w14:paraId="78C246FB" w14:textId="77777777" w:rsidR="009F17A9" w:rsidRPr="00A7309C" w:rsidRDefault="009F17A9" w:rsidP="00872F79">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53" w:type="dxa"/>
            <w:tcBorders>
              <w:top w:val="nil"/>
              <w:left w:val="nil"/>
              <w:bottom w:val="single" w:sz="8" w:space="0" w:color="auto"/>
              <w:right w:val="nil"/>
            </w:tcBorders>
            <w:shd w:val="clear" w:color="000000" w:fill="FFFFFF"/>
            <w:noWrap/>
            <w:vAlign w:val="center"/>
            <w:hideMark/>
          </w:tcPr>
          <w:p w14:paraId="5029F55B" w14:textId="77777777" w:rsidR="009F17A9" w:rsidRPr="00A7309C" w:rsidRDefault="009F17A9" w:rsidP="00872F79">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53" w:type="dxa"/>
            <w:tcBorders>
              <w:top w:val="nil"/>
              <w:left w:val="nil"/>
              <w:bottom w:val="single" w:sz="8" w:space="0" w:color="auto"/>
              <w:right w:val="nil"/>
            </w:tcBorders>
            <w:shd w:val="clear" w:color="000000" w:fill="FFFFFF"/>
            <w:noWrap/>
            <w:vAlign w:val="center"/>
            <w:hideMark/>
          </w:tcPr>
          <w:p w14:paraId="74B68CBB"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1,27</w:t>
            </w:r>
          </w:p>
        </w:tc>
        <w:tc>
          <w:tcPr>
            <w:tcW w:w="853" w:type="dxa"/>
            <w:tcBorders>
              <w:top w:val="nil"/>
              <w:left w:val="nil"/>
              <w:bottom w:val="single" w:sz="8" w:space="0" w:color="auto"/>
              <w:right w:val="nil"/>
            </w:tcBorders>
            <w:shd w:val="clear" w:color="000000" w:fill="FFFFFF"/>
            <w:noWrap/>
            <w:vAlign w:val="center"/>
            <w:hideMark/>
          </w:tcPr>
          <w:p w14:paraId="1A41D89F"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1,34</w:t>
            </w:r>
          </w:p>
        </w:tc>
        <w:tc>
          <w:tcPr>
            <w:tcW w:w="131" w:type="dxa"/>
            <w:tcBorders>
              <w:top w:val="nil"/>
              <w:left w:val="nil"/>
              <w:bottom w:val="nil"/>
              <w:right w:val="nil"/>
            </w:tcBorders>
            <w:shd w:val="clear" w:color="000000" w:fill="FFFFFF"/>
            <w:noWrap/>
            <w:vAlign w:val="center"/>
            <w:hideMark/>
          </w:tcPr>
          <w:p w14:paraId="6B201ACF"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 </w:t>
            </w:r>
          </w:p>
        </w:tc>
        <w:tc>
          <w:tcPr>
            <w:tcW w:w="853" w:type="dxa"/>
            <w:tcBorders>
              <w:top w:val="nil"/>
              <w:left w:val="nil"/>
              <w:bottom w:val="single" w:sz="8" w:space="0" w:color="auto"/>
              <w:right w:val="nil"/>
            </w:tcBorders>
            <w:shd w:val="clear" w:color="000000" w:fill="FFFFFF"/>
            <w:noWrap/>
            <w:vAlign w:val="center"/>
            <w:hideMark/>
          </w:tcPr>
          <w:p w14:paraId="49B1693D"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1,37</w:t>
            </w:r>
          </w:p>
        </w:tc>
        <w:tc>
          <w:tcPr>
            <w:tcW w:w="853" w:type="dxa"/>
            <w:tcBorders>
              <w:top w:val="nil"/>
              <w:left w:val="nil"/>
              <w:bottom w:val="single" w:sz="8" w:space="0" w:color="auto"/>
              <w:right w:val="nil"/>
            </w:tcBorders>
            <w:shd w:val="clear" w:color="000000" w:fill="FFFFFF"/>
            <w:noWrap/>
            <w:vAlign w:val="center"/>
            <w:hideMark/>
          </w:tcPr>
          <w:p w14:paraId="361F34AF"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1,30</w:t>
            </w:r>
          </w:p>
        </w:tc>
        <w:tc>
          <w:tcPr>
            <w:tcW w:w="853" w:type="dxa"/>
            <w:tcBorders>
              <w:top w:val="nil"/>
              <w:left w:val="nil"/>
              <w:bottom w:val="single" w:sz="8" w:space="0" w:color="auto"/>
              <w:right w:val="single" w:sz="8" w:space="0" w:color="auto"/>
            </w:tcBorders>
            <w:shd w:val="clear" w:color="000000" w:fill="FFFFFF"/>
            <w:noWrap/>
            <w:vAlign w:val="center"/>
            <w:hideMark/>
          </w:tcPr>
          <w:p w14:paraId="6634EA26" w14:textId="77777777" w:rsidR="009F17A9" w:rsidRPr="00A7309C" w:rsidRDefault="009F17A9" w:rsidP="00872F79">
            <w:pPr>
              <w:keepNext/>
              <w:spacing w:after="0" w:line="240" w:lineRule="auto"/>
              <w:jc w:val="center"/>
              <w:rPr>
                <w:rFonts w:ascii="Times New Roman" w:eastAsia="Times New Roman" w:hAnsi="Times New Roman" w:cs="Times New Roman"/>
                <w:i/>
                <w:iCs/>
                <w:color w:val="000000"/>
                <w:sz w:val="18"/>
                <w:szCs w:val="18"/>
                <w:lang w:eastAsia="es-AR"/>
              </w:rPr>
            </w:pPr>
            <w:r w:rsidRPr="00A7309C">
              <w:rPr>
                <w:rFonts w:ascii="Times New Roman" w:eastAsia="Times New Roman" w:hAnsi="Times New Roman" w:cs="Times New Roman"/>
                <w:i/>
                <w:iCs/>
                <w:color w:val="000000"/>
                <w:sz w:val="18"/>
                <w:szCs w:val="18"/>
                <w:lang w:eastAsia="es-AR"/>
              </w:rPr>
              <w:t>1,56</w:t>
            </w:r>
          </w:p>
        </w:tc>
      </w:tr>
      <w:tr w:rsidR="009F17A9" w:rsidRPr="00A7309C" w14:paraId="671C48A0" w14:textId="77777777" w:rsidTr="00872F79">
        <w:trPr>
          <w:trHeight w:val="257"/>
        </w:trPr>
        <w:tc>
          <w:tcPr>
            <w:tcW w:w="1921" w:type="dxa"/>
            <w:tcBorders>
              <w:top w:val="nil"/>
              <w:left w:val="single" w:sz="8" w:space="0" w:color="auto"/>
              <w:bottom w:val="nil"/>
              <w:right w:val="single" w:sz="8" w:space="0" w:color="auto"/>
            </w:tcBorders>
            <w:shd w:val="clear" w:color="000000" w:fill="FFFFFF"/>
            <w:noWrap/>
            <w:vAlign w:val="center"/>
            <w:hideMark/>
          </w:tcPr>
          <w:p w14:paraId="1B7ADA75" w14:textId="77777777" w:rsidR="009F17A9" w:rsidRPr="00A7309C" w:rsidRDefault="009F17A9" w:rsidP="00872F79">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Sector microinformal</w:t>
            </w:r>
          </w:p>
        </w:tc>
        <w:tc>
          <w:tcPr>
            <w:tcW w:w="853" w:type="dxa"/>
            <w:tcBorders>
              <w:top w:val="nil"/>
              <w:left w:val="nil"/>
              <w:bottom w:val="nil"/>
              <w:right w:val="nil"/>
            </w:tcBorders>
            <w:shd w:val="clear" w:color="000000" w:fill="FFFFFF"/>
            <w:noWrap/>
            <w:vAlign w:val="center"/>
            <w:hideMark/>
          </w:tcPr>
          <w:p w14:paraId="531B6CC8"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0,83</w:t>
            </w:r>
          </w:p>
        </w:tc>
        <w:tc>
          <w:tcPr>
            <w:tcW w:w="853" w:type="dxa"/>
            <w:tcBorders>
              <w:top w:val="nil"/>
              <w:left w:val="nil"/>
              <w:bottom w:val="nil"/>
              <w:right w:val="nil"/>
            </w:tcBorders>
            <w:shd w:val="clear" w:color="000000" w:fill="FFFFFF"/>
            <w:noWrap/>
            <w:vAlign w:val="center"/>
            <w:hideMark/>
          </w:tcPr>
          <w:p w14:paraId="5E2909EC"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0,85</w:t>
            </w:r>
          </w:p>
        </w:tc>
        <w:tc>
          <w:tcPr>
            <w:tcW w:w="853" w:type="dxa"/>
            <w:tcBorders>
              <w:top w:val="nil"/>
              <w:left w:val="nil"/>
              <w:bottom w:val="nil"/>
              <w:right w:val="nil"/>
            </w:tcBorders>
            <w:shd w:val="clear" w:color="000000" w:fill="FFFFFF"/>
            <w:noWrap/>
            <w:vAlign w:val="center"/>
            <w:hideMark/>
          </w:tcPr>
          <w:p w14:paraId="676E97B2"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0,75</w:t>
            </w:r>
          </w:p>
        </w:tc>
        <w:tc>
          <w:tcPr>
            <w:tcW w:w="853" w:type="dxa"/>
            <w:tcBorders>
              <w:top w:val="nil"/>
              <w:left w:val="nil"/>
              <w:bottom w:val="nil"/>
              <w:right w:val="nil"/>
            </w:tcBorders>
            <w:shd w:val="clear" w:color="000000" w:fill="FFFFFF"/>
            <w:noWrap/>
            <w:vAlign w:val="center"/>
            <w:hideMark/>
          </w:tcPr>
          <w:p w14:paraId="18BE7643"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0,81</w:t>
            </w:r>
          </w:p>
        </w:tc>
        <w:tc>
          <w:tcPr>
            <w:tcW w:w="853" w:type="dxa"/>
            <w:tcBorders>
              <w:top w:val="nil"/>
              <w:left w:val="nil"/>
              <w:bottom w:val="nil"/>
              <w:right w:val="nil"/>
            </w:tcBorders>
            <w:shd w:val="clear" w:color="000000" w:fill="FFFFFF"/>
            <w:noWrap/>
            <w:vAlign w:val="center"/>
            <w:hideMark/>
          </w:tcPr>
          <w:p w14:paraId="5DCB9FB6"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0,81</w:t>
            </w:r>
          </w:p>
        </w:tc>
        <w:tc>
          <w:tcPr>
            <w:tcW w:w="131" w:type="dxa"/>
            <w:tcBorders>
              <w:top w:val="nil"/>
              <w:left w:val="nil"/>
              <w:bottom w:val="nil"/>
              <w:right w:val="nil"/>
            </w:tcBorders>
            <w:shd w:val="clear" w:color="000000" w:fill="FFFFFF"/>
            <w:noWrap/>
            <w:vAlign w:val="center"/>
            <w:hideMark/>
          </w:tcPr>
          <w:p w14:paraId="67BAEBDF"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53" w:type="dxa"/>
            <w:tcBorders>
              <w:top w:val="nil"/>
              <w:left w:val="nil"/>
              <w:bottom w:val="nil"/>
              <w:right w:val="nil"/>
            </w:tcBorders>
            <w:shd w:val="clear" w:color="000000" w:fill="FFFFFF"/>
            <w:noWrap/>
            <w:vAlign w:val="center"/>
            <w:hideMark/>
          </w:tcPr>
          <w:p w14:paraId="08F7B34A"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0,72</w:t>
            </w:r>
          </w:p>
        </w:tc>
        <w:tc>
          <w:tcPr>
            <w:tcW w:w="853" w:type="dxa"/>
            <w:tcBorders>
              <w:top w:val="nil"/>
              <w:left w:val="nil"/>
              <w:bottom w:val="nil"/>
              <w:right w:val="nil"/>
            </w:tcBorders>
            <w:shd w:val="clear" w:color="000000" w:fill="FFFFFF"/>
            <w:noWrap/>
            <w:vAlign w:val="center"/>
            <w:hideMark/>
          </w:tcPr>
          <w:p w14:paraId="21A5D93A"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0,75</w:t>
            </w:r>
          </w:p>
        </w:tc>
        <w:tc>
          <w:tcPr>
            <w:tcW w:w="853" w:type="dxa"/>
            <w:tcBorders>
              <w:top w:val="nil"/>
              <w:left w:val="nil"/>
              <w:bottom w:val="nil"/>
              <w:right w:val="single" w:sz="8" w:space="0" w:color="auto"/>
            </w:tcBorders>
            <w:shd w:val="clear" w:color="000000" w:fill="FFFFFF"/>
            <w:noWrap/>
            <w:vAlign w:val="center"/>
            <w:hideMark/>
          </w:tcPr>
          <w:p w14:paraId="728B5A83"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0,73</w:t>
            </w:r>
          </w:p>
        </w:tc>
      </w:tr>
      <w:tr w:rsidR="009F17A9" w:rsidRPr="00A7309C" w14:paraId="4745EB76" w14:textId="77777777" w:rsidTr="00872F79">
        <w:trPr>
          <w:trHeight w:val="257"/>
        </w:trPr>
        <w:tc>
          <w:tcPr>
            <w:tcW w:w="1921" w:type="dxa"/>
            <w:tcBorders>
              <w:top w:val="nil"/>
              <w:left w:val="single" w:sz="8" w:space="0" w:color="auto"/>
              <w:bottom w:val="nil"/>
              <w:right w:val="single" w:sz="8" w:space="0" w:color="auto"/>
            </w:tcBorders>
            <w:shd w:val="clear" w:color="000000" w:fill="FFFFFF"/>
            <w:noWrap/>
            <w:vAlign w:val="center"/>
            <w:hideMark/>
          </w:tcPr>
          <w:p w14:paraId="431B17D6" w14:textId="77777777" w:rsidR="009F17A9" w:rsidRPr="00A7309C" w:rsidRDefault="009F17A9" w:rsidP="00872F79">
            <w:pPr>
              <w:keepNext/>
              <w:spacing w:after="0" w:line="240" w:lineRule="auto"/>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No asalariados</w:t>
            </w:r>
          </w:p>
        </w:tc>
        <w:tc>
          <w:tcPr>
            <w:tcW w:w="853" w:type="dxa"/>
            <w:tcBorders>
              <w:top w:val="nil"/>
              <w:left w:val="nil"/>
              <w:bottom w:val="nil"/>
              <w:right w:val="nil"/>
            </w:tcBorders>
            <w:shd w:val="clear" w:color="000000" w:fill="FFFFFF"/>
            <w:noWrap/>
            <w:vAlign w:val="center"/>
            <w:hideMark/>
          </w:tcPr>
          <w:p w14:paraId="016E544C"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0,91</w:t>
            </w:r>
          </w:p>
        </w:tc>
        <w:tc>
          <w:tcPr>
            <w:tcW w:w="853" w:type="dxa"/>
            <w:tcBorders>
              <w:top w:val="nil"/>
              <w:left w:val="nil"/>
              <w:bottom w:val="nil"/>
              <w:right w:val="nil"/>
            </w:tcBorders>
            <w:shd w:val="clear" w:color="000000" w:fill="FFFFFF"/>
            <w:noWrap/>
            <w:vAlign w:val="center"/>
            <w:hideMark/>
          </w:tcPr>
          <w:p w14:paraId="00A49C23"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0,94</w:t>
            </w:r>
          </w:p>
        </w:tc>
        <w:tc>
          <w:tcPr>
            <w:tcW w:w="853" w:type="dxa"/>
            <w:tcBorders>
              <w:top w:val="nil"/>
              <w:left w:val="nil"/>
              <w:bottom w:val="nil"/>
              <w:right w:val="nil"/>
            </w:tcBorders>
            <w:shd w:val="clear" w:color="000000" w:fill="FFFFFF"/>
            <w:noWrap/>
            <w:vAlign w:val="center"/>
            <w:hideMark/>
          </w:tcPr>
          <w:p w14:paraId="4606AADB"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0,82</w:t>
            </w:r>
          </w:p>
        </w:tc>
        <w:tc>
          <w:tcPr>
            <w:tcW w:w="853" w:type="dxa"/>
            <w:tcBorders>
              <w:top w:val="nil"/>
              <w:left w:val="nil"/>
              <w:bottom w:val="nil"/>
              <w:right w:val="nil"/>
            </w:tcBorders>
            <w:shd w:val="clear" w:color="000000" w:fill="FFFFFF"/>
            <w:noWrap/>
            <w:vAlign w:val="center"/>
            <w:hideMark/>
          </w:tcPr>
          <w:p w14:paraId="08D5651F"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0,96</w:t>
            </w:r>
          </w:p>
        </w:tc>
        <w:tc>
          <w:tcPr>
            <w:tcW w:w="853" w:type="dxa"/>
            <w:tcBorders>
              <w:top w:val="nil"/>
              <w:left w:val="nil"/>
              <w:bottom w:val="nil"/>
              <w:right w:val="nil"/>
            </w:tcBorders>
            <w:shd w:val="clear" w:color="000000" w:fill="FFFFFF"/>
            <w:noWrap/>
            <w:vAlign w:val="center"/>
            <w:hideMark/>
          </w:tcPr>
          <w:p w14:paraId="7D94FB0C"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0,93</w:t>
            </w:r>
          </w:p>
        </w:tc>
        <w:tc>
          <w:tcPr>
            <w:tcW w:w="131" w:type="dxa"/>
            <w:tcBorders>
              <w:top w:val="nil"/>
              <w:left w:val="nil"/>
              <w:bottom w:val="nil"/>
              <w:right w:val="nil"/>
            </w:tcBorders>
            <w:shd w:val="clear" w:color="000000" w:fill="FFFFFF"/>
            <w:noWrap/>
            <w:vAlign w:val="center"/>
            <w:hideMark/>
          </w:tcPr>
          <w:p w14:paraId="577002AE"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 </w:t>
            </w:r>
          </w:p>
        </w:tc>
        <w:tc>
          <w:tcPr>
            <w:tcW w:w="853" w:type="dxa"/>
            <w:tcBorders>
              <w:top w:val="nil"/>
              <w:left w:val="nil"/>
              <w:bottom w:val="nil"/>
              <w:right w:val="nil"/>
            </w:tcBorders>
            <w:shd w:val="clear" w:color="000000" w:fill="FFFFFF"/>
            <w:noWrap/>
            <w:vAlign w:val="center"/>
            <w:hideMark/>
          </w:tcPr>
          <w:p w14:paraId="7F23A8D8"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0,83</w:t>
            </w:r>
          </w:p>
        </w:tc>
        <w:tc>
          <w:tcPr>
            <w:tcW w:w="853" w:type="dxa"/>
            <w:tcBorders>
              <w:top w:val="nil"/>
              <w:left w:val="nil"/>
              <w:bottom w:val="nil"/>
              <w:right w:val="nil"/>
            </w:tcBorders>
            <w:shd w:val="clear" w:color="000000" w:fill="FFFFFF"/>
            <w:noWrap/>
            <w:vAlign w:val="center"/>
            <w:hideMark/>
          </w:tcPr>
          <w:p w14:paraId="16116C4B"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0,88</w:t>
            </w:r>
          </w:p>
        </w:tc>
        <w:tc>
          <w:tcPr>
            <w:tcW w:w="853" w:type="dxa"/>
            <w:tcBorders>
              <w:top w:val="nil"/>
              <w:left w:val="nil"/>
              <w:bottom w:val="nil"/>
              <w:right w:val="single" w:sz="8" w:space="0" w:color="auto"/>
            </w:tcBorders>
            <w:shd w:val="clear" w:color="000000" w:fill="FFFFFF"/>
            <w:noWrap/>
            <w:vAlign w:val="center"/>
            <w:hideMark/>
          </w:tcPr>
          <w:p w14:paraId="35743C9C"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0,76</w:t>
            </w:r>
          </w:p>
        </w:tc>
      </w:tr>
      <w:tr w:rsidR="009F17A9" w:rsidRPr="00A7309C" w14:paraId="2BB7A4A9" w14:textId="77777777" w:rsidTr="00872F79">
        <w:trPr>
          <w:trHeight w:val="269"/>
        </w:trPr>
        <w:tc>
          <w:tcPr>
            <w:tcW w:w="1921" w:type="dxa"/>
            <w:tcBorders>
              <w:top w:val="nil"/>
              <w:left w:val="single" w:sz="8" w:space="0" w:color="auto"/>
              <w:bottom w:val="single" w:sz="8" w:space="0" w:color="auto"/>
              <w:right w:val="nil"/>
            </w:tcBorders>
            <w:shd w:val="clear" w:color="000000" w:fill="FFFFFF"/>
            <w:noWrap/>
            <w:vAlign w:val="center"/>
            <w:hideMark/>
          </w:tcPr>
          <w:p w14:paraId="6066EFF2" w14:textId="77777777" w:rsidR="009F17A9" w:rsidRPr="00A7309C" w:rsidRDefault="009F17A9" w:rsidP="00872F79">
            <w:pPr>
              <w:keepNext/>
              <w:spacing w:after="0" w:line="240" w:lineRule="auto"/>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Asalariados</w:t>
            </w:r>
          </w:p>
        </w:tc>
        <w:tc>
          <w:tcPr>
            <w:tcW w:w="853" w:type="dxa"/>
            <w:tcBorders>
              <w:top w:val="nil"/>
              <w:left w:val="single" w:sz="8" w:space="0" w:color="auto"/>
              <w:bottom w:val="single" w:sz="8" w:space="0" w:color="auto"/>
              <w:right w:val="nil"/>
            </w:tcBorders>
            <w:shd w:val="clear" w:color="000000" w:fill="FFFFFF"/>
            <w:noWrap/>
            <w:vAlign w:val="center"/>
            <w:hideMark/>
          </w:tcPr>
          <w:p w14:paraId="68100E33"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0,67</w:t>
            </w:r>
          </w:p>
        </w:tc>
        <w:tc>
          <w:tcPr>
            <w:tcW w:w="853" w:type="dxa"/>
            <w:tcBorders>
              <w:top w:val="nil"/>
              <w:left w:val="nil"/>
              <w:bottom w:val="single" w:sz="8" w:space="0" w:color="auto"/>
              <w:right w:val="nil"/>
            </w:tcBorders>
            <w:shd w:val="clear" w:color="000000" w:fill="FFFFFF"/>
            <w:noWrap/>
            <w:vAlign w:val="center"/>
            <w:hideMark/>
          </w:tcPr>
          <w:p w14:paraId="4AFD9AF6"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0,65</w:t>
            </w:r>
          </w:p>
        </w:tc>
        <w:tc>
          <w:tcPr>
            <w:tcW w:w="853" w:type="dxa"/>
            <w:tcBorders>
              <w:top w:val="nil"/>
              <w:left w:val="nil"/>
              <w:bottom w:val="single" w:sz="8" w:space="0" w:color="auto"/>
              <w:right w:val="nil"/>
            </w:tcBorders>
            <w:shd w:val="clear" w:color="000000" w:fill="FFFFFF"/>
            <w:noWrap/>
            <w:vAlign w:val="center"/>
            <w:hideMark/>
          </w:tcPr>
          <w:p w14:paraId="7E2EA070"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0,60</w:t>
            </w:r>
          </w:p>
        </w:tc>
        <w:tc>
          <w:tcPr>
            <w:tcW w:w="853" w:type="dxa"/>
            <w:tcBorders>
              <w:top w:val="nil"/>
              <w:left w:val="nil"/>
              <w:bottom w:val="single" w:sz="8" w:space="0" w:color="auto"/>
              <w:right w:val="nil"/>
            </w:tcBorders>
            <w:shd w:val="clear" w:color="000000" w:fill="FFFFFF"/>
            <w:noWrap/>
            <w:vAlign w:val="center"/>
            <w:hideMark/>
          </w:tcPr>
          <w:p w14:paraId="5DCDD70E"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0,59</w:t>
            </w:r>
          </w:p>
        </w:tc>
        <w:tc>
          <w:tcPr>
            <w:tcW w:w="853" w:type="dxa"/>
            <w:tcBorders>
              <w:top w:val="nil"/>
              <w:left w:val="nil"/>
              <w:bottom w:val="single" w:sz="8" w:space="0" w:color="auto"/>
              <w:right w:val="nil"/>
            </w:tcBorders>
            <w:shd w:val="clear" w:color="000000" w:fill="FFFFFF"/>
            <w:noWrap/>
            <w:vAlign w:val="center"/>
            <w:hideMark/>
          </w:tcPr>
          <w:p w14:paraId="3CC0235B"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0,59</w:t>
            </w:r>
          </w:p>
        </w:tc>
        <w:tc>
          <w:tcPr>
            <w:tcW w:w="131" w:type="dxa"/>
            <w:tcBorders>
              <w:top w:val="nil"/>
              <w:left w:val="nil"/>
              <w:bottom w:val="nil"/>
              <w:right w:val="nil"/>
            </w:tcBorders>
            <w:shd w:val="clear" w:color="000000" w:fill="FFFFFF"/>
            <w:noWrap/>
            <w:vAlign w:val="center"/>
            <w:hideMark/>
          </w:tcPr>
          <w:p w14:paraId="321929C9"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 </w:t>
            </w:r>
          </w:p>
        </w:tc>
        <w:tc>
          <w:tcPr>
            <w:tcW w:w="853" w:type="dxa"/>
            <w:tcBorders>
              <w:top w:val="nil"/>
              <w:left w:val="nil"/>
              <w:bottom w:val="single" w:sz="8" w:space="0" w:color="auto"/>
              <w:right w:val="nil"/>
            </w:tcBorders>
            <w:shd w:val="clear" w:color="000000" w:fill="FFFFFF"/>
            <w:noWrap/>
            <w:vAlign w:val="center"/>
            <w:hideMark/>
          </w:tcPr>
          <w:p w14:paraId="0A64C1B0"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0,58</w:t>
            </w:r>
          </w:p>
        </w:tc>
        <w:tc>
          <w:tcPr>
            <w:tcW w:w="853" w:type="dxa"/>
            <w:tcBorders>
              <w:top w:val="nil"/>
              <w:left w:val="nil"/>
              <w:bottom w:val="single" w:sz="8" w:space="0" w:color="auto"/>
              <w:right w:val="nil"/>
            </w:tcBorders>
            <w:shd w:val="clear" w:color="000000" w:fill="FFFFFF"/>
            <w:noWrap/>
            <w:vAlign w:val="center"/>
            <w:hideMark/>
          </w:tcPr>
          <w:p w14:paraId="56674338"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0,58</w:t>
            </w:r>
          </w:p>
        </w:tc>
        <w:tc>
          <w:tcPr>
            <w:tcW w:w="853" w:type="dxa"/>
            <w:tcBorders>
              <w:top w:val="nil"/>
              <w:left w:val="nil"/>
              <w:bottom w:val="single" w:sz="8" w:space="0" w:color="auto"/>
              <w:right w:val="single" w:sz="8" w:space="0" w:color="auto"/>
            </w:tcBorders>
            <w:shd w:val="clear" w:color="000000" w:fill="FFFFFF"/>
            <w:noWrap/>
            <w:vAlign w:val="center"/>
            <w:hideMark/>
          </w:tcPr>
          <w:p w14:paraId="528AA3B8" w14:textId="77777777" w:rsidR="009F17A9" w:rsidRPr="00A7309C" w:rsidRDefault="009F17A9" w:rsidP="00872F79">
            <w:pPr>
              <w:keepNext/>
              <w:spacing w:after="0" w:line="240" w:lineRule="auto"/>
              <w:jc w:val="center"/>
              <w:rPr>
                <w:rFonts w:ascii="Times New Roman" w:eastAsia="Times New Roman" w:hAnsi="Times New Roman" w:cs="Times New Roman"/>
                <w:b/>
                <w:bCs/>
                <w:i/>
                <w:iCs/>
                <w:color w:val="000000"/>
                <w:sz w:val="18"/>
                <w:szCs w:val="18"/>
                <w:lang w:eastAsia="es-AR"/>
              </w:rPr>
            </w:pPr>
            <w:r w:rsidRPr="00A7309C">
              <w:rPr>
                <w:rFonts w:ascii="Times New Roman" w:eastAsia="Times New Roman" w:hAnsi="Times New Roman" w:cs="Times New Roman"/>
                <w:b/>
                <w:bCs/>
                <w:i/>
                <w:iCs/>
                <w:color w:val="000000"/>
                <w:sz w:val="18"/>
                <w:szCs w:val="18"/>
                <w:lang w:eastAsia="es-AR"/>
              </w:rPr>
              <w:t>0,68</w:t>
            </w:r>
          </w:p>
        </w:tc>
      </w:tr>
      <w:tr w:rsidR="009F17A9" w:rsidRPr="00A7309C" w14:paraId="38DEE9C5" w14:textId="77777777" w:rsidTr="00872F79">
        <w:trPr>
          <w:trHeight w:val="269"/>
        </w:trPr>
        <w:tc>
          <w:tcPr>
            <w:tcW w:w="1921" w:type="dxa"/>
            <w:tcBorders>
              <w:top w:val="nil"/>
              <w:left w:val="single" w:sz="8" w:space="0" w:color="auto"/>
              <w:bottom w:val="single" w:sz="8" w:space="0" w:color="auto"/>
              <w:right w:val="nil"/>
            </w:tcBorders>
            <w:shd w:val="clear" w:color="000000" w:fill="FFFFFF"/>
            <w:noWrap/>
            <w:vAlign w:val="center"/>
            <w:hideMark/>
          </w:tcPr>
          <w:p w14:paraId="3F34A091" w14:textId="77777777" w:rsidR="009F17A9" w:rsidRPr="00A7309C" w:rsidRDefault="009F17A9" w:rsidP="00872F79">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Total</w:t>
            </w:r>
          </w:p>
        </w:tc>
        <w:tc>
          <w:tcPr>
            <w:tcW w:w="853" w:type="dxa"/>
            <w:tcBorders>
              <w:top w:val="nil"/>
              <w:left w:val="single" w:sz="8" w:space="0" w:color="auto"/>
              <w:bottom w:val="single" w:sz="8" w:space="0" w:color="auto"/>
              <w:right w:val="nil"/>
            </w:tcBorders>
            <w:shd w:val="clear" w:color="000000" w:fill="FFFFFF"/>
            <w:noWrap/>
            <w:vAlign w:val="center"/>
            <w:hideMark/>
          </w:tcPr>
          <w:p w14:paraId="6100A4DA"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w:t>
            </w:r>
          </w:p>
        </w:tc>
        <w:tc>
          <w:tcPr>
            <w:tcW w:w="853" w:type="dxa"/>
            <w:tcBorders>
              <w:top w:val="nil"/>
              <w:left w:val="nil"/>
              <w:bottom w:val="single" w:sz="8" w:space="0" w:color="auto"/>
              <w:right w:val="nil"/>
            </w:tcBorders>
            <w:shd w:val="clear" w:color="000000" w:fill="FFFFFF"/>
            <w:noWrap/>
            <w:vAlign w:val="center"/>
            <w:hideMark/>
          </w:tcPr>
          <w:p w14:paraId="70C138A7"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w:t>
            </w:r>
          </w:p>
        </w:tc>
        <w:tc>
          <w:tcPr>
            <w:tcW w:w="853" w:type="dxa"/>
            <w:tcBorders>
              <w:top w:val="nil"/>
              <w:left w:val="nil"/>
              <w:bottom w:val="single" w:sz="8" w:space="0" w:color="auto"/>
              <w:right w:val="nil"/>
            </w:tcBorders>
            <w:shd w:val="clear" w:color="000000" w:fill="FFFFFF"/>
            <w:noWrap/>
            <w:vAlign w:val="center"/>
            <w:hideMark/>
          </w:tcPr>
          <w:p w14:paraId="3FA7495E"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w:t>
            </w:r>
          </w:p>
        </w:tc>
        <w:tc>
          <w:tcPr>
            <w:tcW w:w="853" w:type="dxa"/>
            <w:tcBorders>
              <w:top w:val="nil"/>
              <w:left w:val="nil"/>
              <w:bottom w:val="single" w:sz="8" w:space="0" w:color="auto"/>
              <w:right w:val="nil"/>
            </w:tcBorders>
            <w:shd w:val="clear" w:color="000000" w:fill="FFFFFF"/>
            <w:noWrap/>
            <w:vAlign w:val="center"/>
            <w:hideMark/>
          </w:tcPr>
          <w:p w14:paraId="0FB667CE"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w:t>
            </w:r>
          </w:p>
        </w:tc>
        <w:tc>
          <w:tcPr>
            <w:tcW w:w="853" w:type="dxa"/>
            <w:tcBorders>
              <w:top w:val="nil"/>
              <w:left w:val="nil"/>
              <w:bottom w:val="single" w:sz="8" w:space="0" w:color="auto"/>
              <w:right w:val="nil"/>
            </w:tcBorders>
            <w:shd w:val="clear" w:color="000000" w:fill="FFFFFF"/>
            <w:noWrap/>
            <w:vAlign w:val="center"/>
            <w:hideMark/>
          </w:tcPr>
          <w:p w14:paraId="63B8F657"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w:t>
            </w:r>
          </w:p>
        </w:tc>
        <w:tc>
          <w:tcPr>
            <w:tcW w:w="131" w:type="dxa"/>
            <w:tcBorders>
              <w:top w:val="nil"/>
              <w:left w:val="nil"/>
              <w:bottom w:val="single" w:sz="8" w:space="0" w:color="auto"/>
              <w:right w:val="nil"/>
            </w:tcBorders>
            <w:shd w:val="clear" w:color="000000" w:fill="FFFFFF"/>
            <w:noWrap/>
            <w:vAlign w:val="center"/>
            <w:hideMark/>
          </w:tcPr>
          <w:p w14:paraId="49CF63C3"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53" w:type="dxa"/>
            <w:tcBorders>
              <w:top w:val="nil"/>
              <w:left w:val="nil"/>
              <w:bottom w:val="single" w:sz="8" w:space="0" w:color="auto"/>
              <w:right w:val="nil"/>
            </w:tcBorders>
            <w:shd w:val="clear" w:color="000000" w:fill="FFFFFF"/>
            <w:noWrap/>
            <w:vAlign w:val="center"/>
            <w:hideMark/>
          </w:tcPr>
          <w:p w14:paraId="343308DB"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w:t>
            </w:r>
          </w:p>
        </w:tc>
        <w:tc>
          <w:tcPr>
            <w:tcW w:w="853" w:type="dxa"/>
            <w:tcBorders>
              <w:top w:val="nil"/>
              <w:left w:val="nil"/>
              <w:bottom w:val="single" w:sz="8" w:space="0" w:color="auto"/>
              <w:right w:val="nil"/>
            </w:tcBorders>
            <w:shd w:val="clear" w:color="000000" w:fill="FFFFFF"/>
            <w:noWrap/>
            <w:vAlign w:val="center"/>
            <w:hideMark/>
          </w:tcPr>
          <w:p w14:paraId="24E78B4F"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w:t>
            </w:r>
          </w:p>
        </w:tc>
        <w:tc>
          <w:tcPr>
            <w:tcW w:w="853" w:type="dxa"/>
            <w:tcBorders>
              <w:top w:val="nil"/>
              <w:left w:val="nil"/>
              <w:bottom w:val="single" w:sz="8" w:space="0" w:color="auto"/>
              <w:right w:val="single" w:sz="8" w:space="0" w:color="auto"/>
            </w:tcBorders>
            <w:shd w:val="clear" w:color="000000" w:fill="FFFFFF"/>
            <w:noWrap/>
            <w:vAlign w:val="center"/>
            <w:hideMark/>
          </w:tcPr>
          <w:p w14:paraId="61D80FB1" w14:textId="77777777" w:rsidR="009F17A9" w:rsidRPr="00A7309C" w:rsidRDefault="009F17A9" w:rsidP="00872F79">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1,00</w:t>
            </w:r>
          </w:p>
        </w:tc>
      </w:tr>
    </w:tbl>
    <w:p w14:paraId="5ABAF6B1" w14:textId="77777777" w:rsidR="009F17A9" w:rsidRDefault="009F17A9" w:rsidP="009F17A9">
      <w:pPr>
        <w:keepNext/>
        <w:spacing w:before="120" w:after="120" w:line="240" w:lineRule="auto"/>
        <w:jc w:val="both"/>
        <w:rPr>
          <w:rFonts w:ascii="Times New Roman" w:eastAsia="Times New Roman" w:hAnsi="Times New Roman"/>
          <w:sz w:val="18"/>
          <w:szCs w:val="16"/>
          <w:lang w:eastAsia="es-AR"/>
        </w:rPr>
      </w:pPr>
      <w:r w:rsidRPr="00A7309C">
        <w:rPr>
          <w:rFonts w:ascii="Times New Roman" w:eastAsia="Times New Roman" w:hAnsi="Times New Roman"/>
          <w:sz w:val="18"/>
          <w:szCs w:val="16"/>
          <w:highlight w:val="yellow"/>
          <w:lang w:eastAsia="es-AR"/>
        </w:rPr>
        <w:t>Nota: (a) se excluyó a los ocupados cuya ocupación principal es un plan de empleo.</w:t>
      </w:r>
    </w:p>
    <w:p w14:paraId="5196D31E" w14:textId="77777777" w:rsidR="009F17A9" w:rsidRPr="007C2D50" w:rsidRDefault="009F17A9" w:rsidP="009F17A9">
      <w:pPr>
        <w:keepNext/>
        <w:spacing w:before="120" w:after="12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222E188A" w14:textId="0CB79923" w:rsidR="00922E37" w:rsidRPr="007C2D50" w:rsidRDefault="00922E37" w:rsidP="009857EF">
      <w:pPr>
        <w:spacing w:after="120" w:line="360" w:lineRule="auto"/>
        <w:jc w:val="both"/>
        <w:rPr>
          <w:rFonts w:ascii="Times New Roman" w:hAnsi="Times New Roman"/>
          <w:kern w:val="22"/>
          <w:szCs w:val="24"/>
          <w:lang w:val="es-MX"/>
        </w:rPr>
      </w:pPr>
      <w:r w:rsidRPr="007C2D50">
        <w:rPr>
          <w:rFonts w:ascii="Times New Roman" w:hAnsi="Times New Roman"/>
          <w:kern w:val="22"/>
          <w:szCs w:val="24"/>
          <w:lang w:val="es-MX"/>
        </w:rPr>
        <w:t xml:space="preserve">Durante la fase final de la ISI e inicio del ajuste estructural (1974-1988), los procesos regresivos en materia laboral antes apuntados coexistieron con una profundización de las brechas de remuneraciones de los trabajadores según su posición económico-ocupacional. Los trabajadores del sector formal público y privado se distanciaron del ingreso laboral horario </w:t>
      </w:r>
      <w:r w:rsidRPr="00144B64">
        <w:rPr>
          <w:rFonts w:ascii="Times New Roman" w:hAnsi="Times New Roman"/>
          <w:kern w:val="22"/>
          <w:szCs w:val="24"/>
          <w:highlight w:val="yellow"/>
          <w:lang w:val="es-MX"/>
        </w:rPr>
        <w:t>promedio</w:t>
      </w:r>
      <w:r w:rsidR="009F17A9" w:rsidRPr="00144B64">
        <w:rPr>
          <w:rFonts w:ascii="Times New Roman" w:hAnsi="Times New Roman"/>
          <w:kern w:val="22"/>
          <w:szCs w:val="24"/>
          <w:highlight w:val="yellow"/>
          <w:lang w:val="es-MX"/>
        </w:rPr>
        <w:t xml:space="preserve"> como resultado de lo ocurrido con los no asalariados de dicho sector.</w:t>
      </w:r>
      <w:r w:rsidR="009F17A9">
        <w:rPr>
          <w:rFonts w:ascii="Times New Roman" w:hAnsi="Times New Roman"/>
          <w:kern w:val="22"/>
          <w:szCs w:val="24"/>
          <w:lang w:val="es-MX"/>
        </w:rPr>
        <w:t xml:space="preserve"> E</w:t>
      </w:r>
      <w:r w:rsidRPr="007C2D50">
        <w:rPr>
          <w:rFonts w:ascii="Times New Roman" w:hAnsi="Times New Roman"/>
          <w:kern w:val="22"/>
          <w:szCs w:val="24"/>
          <w:lang w:val="es-MX"/>
        </w:rPr>
        <w:t>n contrapartida, el sector microinformal inició un proceso de empobrecimiento relativo</w:t>
      </w:r>
      <w:r w:rsidR="009F17A9" w:rsidRPr="00144B64">
        <w:rPr>
          <w:rFonts w:ascii="Times New Roman" w:hAnsi="Times New Roman"/>
          <w:kern w:val="22"/>
          <w:szCs w:val="24"/>
          <w:highlight w:val="yellow"/>
          <w:lang w:val="es-MX"/>
        </w:rPr>
        <w:t>, que afectó tanto a los asalariados como a los no asalariados</w:t>
      </w:r>
      <w:r w:rsidRPr="007C2D50">
        <w:rPr>
          <w:rFonts w:ascii="Times New Roman" w:hAnsi="Times New Roman"/>
          <w:kern w:val="22"/>
          <w:szCs w:val="24"/>
          <w:lang w:val="es-MX"/>
        </w:rPr>
        <w:t xml:space="preserve">. Durante la fase de ajuste estructural (1988-2003), </w:t>
      </w:r>
      <w:r w:rsidR="00946736" w:rsidRPr="00144B64">
        <w:rPr>
          <w:rFonts w:ascii="Times New Roman" w:hAnsi="Times New Roman"/>
          <w:kern w:val="22"/>
          <w:szCs w:val="24"/>
          <w:highlight w:val="yellow"/>
          <w:lang w:val="es-MX"/>
        </w:rPr>
        <w:t>luego de una retracción inicial se profundizaron las tendencias precedentes.</w:t>
      </w:r>
      <w:r w:rsidR="00946736">
        <w:rPr>
          <w:rFonts w:ascii="Times New Roman" w:hAnsi="Times New Roman"/>
          <w:kern w:val="22"/>
          <w:szCs w:val="24"/>
          <w:lang w:val="es-MX"/>
        </w:rPr>
        <w:t xml:space="preserve"> </w:t>
      </w:r>
      <w:r w:rsidR="00047B43">
        <w:rPr>
          <w:rFonts w:ascii="Times New Roman" w:hAnsi="Times New Roman"/>
          <w:kern w:val="22"/>
          <w:szCs w:val="24"/>
          <w:lang w:val="es-MX"/>
        </w:rPr>
        <w:t xml:space="preserve"> </w:t>
      </w:r>
      <w:r w:rsidR="00946736" w:rsidRPr="00144B64">
        <w:rPr>
          <w:rFonts w:ascii="Times New Roman" w:hAnsi="Times New Roman"/>
          <w:kern w:val="22"/>
          <w:szCs w:val="24"/>
          <w:highlight w:val="yellow"/>
          <w:lang w:val="es-MX"/>
        </w:rPr>
        <w:t xml:space="preserve">En </w:t>
      </w:r>
      <w:r w:rsidR="00946736" w:rsidRPr="00144B64">
        <w:rPr>
          <w:rFonts w:ascii="Times New Roman" w:hAnsi="Times New Roman"/>
          <w:kern w:val="22"/>
          <w:szCs w:val="24"/>
          <w:highlight w:val="yellow"/>
          <w:lang w:val="es-MX"/>
        </w:rPr>
        <w:lastRenderedPageBreak/>
        <w:t>particular</w:t>
      </w:r>
      <w:r w:rsidR="00946736">
        <w:rPr>
          <w:rFonts w:ascii="Times New Roman" w:hAnsi="Times New Roman"/>
          <w:kern w:val="22"/>
          <w:szCs w:val="24"/>
          <w:lang w:val="es-MX"/>
        </w:rPr>
        <w:t>,</w:t>
      </w:r>
      <w:r w:rsidRPr="007C2D50">
        <w:rPr>
          <w:rFonts w:ascii="Times New Roman" w:hAnsi="Times New Roman"/>
          <w:kern w:val="22"/>
          <w:szCs w:val="24"/>
          <w:lang w:val="es-MX"/>
        </w:rPr>
        <w:t xml:space="preserve"> </w:t>
      </w:r>
      <w:r w:rsidR="00047B43" w:rsidRPr="00144B64">
        <w:rPr>
          <w:rFonts w:ascii="Times New Roman" w:hAnsi="Times New Roman"/>
          <w:kern w:val="22"/>
          <w:szCs w:val="24"/>
          <w:highlight w:val="yellow"/>
          <w:lang w:val="es-MX"/>
        </w:rPr>
        <w:t xml:space="preserve">los no asalariados mantuvieron la distancia relativa precedente (con una leve disminución </w:t>
      </w:r>
      <w:r w:rsidR="006300F0">
        <w:rPr>
          <w:rFonts w:ascii="Times New Roman" w:hAnsi="Times New Roman"/>
          <w:kern w:val="22"/>
          <w:szCs w:val="24"/>
          <w:highlight w:val="yellow"/>
          <w:lang w:val="es-MX"/>
        </w:rPr>
        <w:t>en la etapa inmediata posdevaluación, en 2003</w:t>
      </w:r>
      <w:r w:rsidR="00047B43" w:rsidRPr="00144B64">
        <w:rPr>
          <w:rFonts w:ascii="Times New Roman" w:hAnsi="Times New Roman"/>
          <w:kern w:val="22"/>
          <w:szCs w:val="24"/>
          <w:highlight w:val="yellow"/>
          <w:lang w:val="es-MX"/>
        </w:rPr>
        <w:t>) y</w:t>
      </w:r>
      <w:r w:rsidR="00047B43">
        <w:rPr>
          <w:rFonts w:ascii="Times New Roman" w:hAnsi="Times New Roman"/>
          <w:kern w:val="22"/>
          <w:szCs w:val="24"/>
          <w:lang w:val="es-MX"/>
        </w:rPr>
        <w:t xml:space="preserve"> </w:t>
      </w:r>
      <w:r w:rsidRPr="007C2D50">
        <w:rPr>
          <w:rFonts w:ascii="Times New Roman" w:hAnsi="Times New Roman"/>
          <w:kern w:val="22"/>
          <w:szCs w:val="24"/>
          <w:lang w:val="es-MX"/>
        </w:rPr>
        <w:t>los trabajadores del sector público profundizaron su distancia con respecto al conjunto de la fuerza laboral. Por último, el período de crecimiento bajo políticas heterodoxas (2003-2014) dio lugar a una doble tendencia. Por un lado, los trabajadores del sector microempresario mantuvieron su posición desfavorable en materia de remuneraciones horarias</w:t>
      </w:r>
      <w:r w:rsidR="00047B43">
        <w:rPr>
          <w:rFonts w:ascii="Times New Roman" w:hAnsi="Times New Roman"/>
          <w:kern w:val="22"/>
          <w:szCs w:val="24"/>
          <w:lang w:val="es-MX"/>
        </w:rPr>
        <w:t xml:space="preserve">. </w:t>
      </w:r>
      <w:r w:rsidR="006300F0">
        <w:rPr>
          <w:rFonts w:ascii="Times New Roman" w:hAnsi="Times New Roman"/>
          <w:kern w:val="22"/>
          <w:szCs w:val="24"/>
          <w:highlight w:val="yellow"/>
          <w:lang w:val="es-MX"/>
        </w:rPr>
        <w:t>Mientras que</w:t>
      </w:r>
      <w:r w:rsidR="00047B43" w:rsidRPr="007C2D50">
        <w:rPr>
          <w:rFonts w:ascii="Times New Roman" w:hAnsi="Times New Roman"/>
          <w:kern w:val="22"/>
          <w:szCs w:val="24"/>
          <w:lang w:val="es-MX"/>
        </w:rPr>
        <w:t xml:space="preserve"> </w:t>
      </w:r>
      <w:r w:rsidRPr="007C2D50">
        <w:rPr>
          <w:rFonts w:ascii="Times New Roman" w:hAnsi="Times New Roman"/>
          <w:kern w:val="22"/>
          <w:szCs w:val="24"/>
          <w:lang w:val="es-MX"/>
        </w:rPr>
        <w:t>los no asalariados conservaron el patrón de bajos ingresos que se había consolidado en los años previos,</w:t>
      </w:r>
      <w:r w:rsidR="00047B43">
        <w:rPr>
          <w:rFonts w:ascii="Times New Roman" w:hAnsi="Times New Roman"/>
          <w:kern w:val="22"/>
          <w:szCs w:val="24"/>
          <w:lang w:val="es-MX"/>
        </w:rPr>
        <w:t xml:space="preserve"> </w:t>
      </w:r>
      <w:r w:rsidR="006300F0">
        <w:rPr>
          <w:rFonts w:ascii="Times New Roman" w:hAnsi="Times New Roman"/>
          <w:kern w:val="22"/>
          <w:szCs w:val="24"/>
          <w:highlight w:val="yellow"/>
          <w:lang w:val="es-MX"/>
        </w:rPr>
        <w:t>se incrementaron los ingresos de los asalariados</w:t>
      </w:r>
      <w:r w:rsidR="00144B64">
        <w:rPr>
          <w:rFonts w:ascii="Times New Roman" w:hAnsi="Times New Roman"/>
          <w:kern w:val="22"/>
          <w:szCs w:val="24"/>
          <w:lang w:val="es-MX"/>
        </w:rPr>
        <w:t>.</w:t>
      </w:r>
      <w:r w:rsidRPr="007C2D50">
        <w:rPr>
          <w:rFonts w:ascii="Times New Roman" w:hAnsi="Times New Roman"/>
          <w:kern w:val="22"/>
          <w:szCs w:val="24"/>
          <w:lang w:val="es-MX"/>
        </w:rPr>
        <w:t xml:space="preserve"> </w:t>
      </w:r>
      <w:r w:rsidR="00047B43" w:rsidRPr="00144B64">
        <w:rPr>
          <w:rFonts w:ascii="Times New Roman" w:hAnsi="Times New Roman"/>
          <w:kern w:val="22"/>
          <w:szCs w:val="24"/>
          <w:highlight w:val="yellow"/>
          <w:lang w:val="es-MX"/>
        </w:rPr>
        <w:t>A su vez</w:t>
      </w:r>
      <w:r w:rsidR="00047B43">
        <w:rPr>
          <w:rFonts w:ascii="Times New Roman" w:hAnsi="Times New Roman"/>
          <w:kern w:val="22"/>
          <w:szCs w:val="24"/>
          <w:lang w:val="es-MX"/>
        </w:rPr>
        <w:t>,</w:t>
      </w:r>
      <w:r w:rsidRPr="007C2D50">
        <w:rPr>
          <w:rFonts w:ascii="Times New Roman" w:hAnsi="Times New Roman"/>
          <w:kern w:val="22"/>
          <w:szCs w:val="24"/>
          <w:lang w:val="es-MX"/>
        </w:rPr>
        <w:t xml:space="preserve"> en el sector más dinámico, los asalariados de establecimientos formales privados redujeron su distancia con respecto al promedio de ingreso (al igual que los no asalariados), mientras que las remuneraciones horarias de los trabajadores del sector público tuvieron un comportamiento opuesto</w:t>
      </w:r>
      <w:r w:rsidR="009857EF" w:rsidRPr="00144B64">
        <w:rPr>
          <w:rStyle w:val="Refdenotaalpie"/>
          <w:rFonts w:ascii="Times New Roman" w:hAnsi="Times New Roman"/>
          <w:kern w:val="22"/>
          <w:szCs w:val="24"/>
          <w:highlight w:val="yellow"/>
          <w:lang w:val="es-MX"/>
        </w:rPr>
        <w:footnoteReference w:id="6"/>
      </w:r>
      <w:r w:rsidRPr="007C2D50">
        <w:rPr>
          <w:rFonts w:ascii="Times New Roman" w:hAnsi="Times New Roman"/>
          <w:kern w:val="22"/>
          <w:szCs w:val="24"/>
          <w:lang w:val="es-MX"/>
        </w:rPr>
        <w:t>.</w:t>
      </w:r>
    </w:p>
    <w:p w14:paraId="5D703C86" w14:textId="75290A7F" w:rsidR="00922E37" w:rsidRPr="007C2D50" w:rsidRDefault="00922E37" w:rsidP="00922E37">
      <w:pPr>
        <w:spacing w:after="120" w:line="360" w:lineRule="auto"/>
        <w:jc w:val="both"/>
        <w:rPr>
          <w:rFonts w:ascii="Times New Roman" w:eastAsia="Times New Roman" w:hAnsi="Times New Roman"/>
          <w:b/>
          <w:szCs w:val="24"/>
          <w:lang w:val="es-ES" w:eastAsia="es-AR"/>
        </w:rPr>
      </w:pPr>
      <w:r w:rsidRPr="007C2D50">
        <w:rPr>
          <w:rFonts w:ascii="Times New Roman" w:hAnsi="Times New Roman"/>
          <w:kern w:val="22"/>
          <w:szCs w:val="24"/>
          <w:lang w:val="es-MX"/>
        </w:rPr>
        <w:t xml:space="preserve">El análisis presentado revela que durante el conjunto del período se consolidaron desigualdades ligadas a la heterogeneidad de la estructura económico-ocupacional del Gran Buenos Aires. Al respecto, cabe subrayar dos patrones significativos. Por un lado, las políticas de apertura y reestructuración económica implementadas a partir de los setenta </w:t>
      </w:r>
      <w:r w:rsidRPr="00144B64">
        <w:rPr>
          <w:rFonts w:ascii="Times New Roman" w:hAnsi="Times New Roman"/>
          <w:iCs/>
          <w:kern w:val="22"/>
          <w:szCs w:val="24"/>
          <w:lang w:val="es-MX"/>
        </w:rPr>
        <w:t>propiciaron una duradera profundización de la heterogeneidad de la estructura laboral urbana</w:t>
      </w:r>
      <w:r w:rsidRPr="00047B43">
        <w:rPr>
          <w:rFonts w:ascii="Times New Roman" w:hAnsi="Times New Roman"/>
          <w:iCs/>
          <w:kern w:val="22"/>
          <w:szCs w:val="24"/>
          <w:lang w:val="es-MX"/>
        </w:rPr>
        <w:t>.</w:t>
      </w:r>
      <w:r w:rsidRPr="007C2D50">
        <w:rPr>
          <w:rFonts w:ascii="Times New Roman" w:hAnsi="Times New Roman"/>
          <w:kern w:val="22"/>
          <w:szCs w:val="24"/>
          <w:lang w:val="es-MX"/>
        </w:rPr>
        <w:t xml:space="preserve"> Ello se evidenció en la magnitud alcanzada por el sector de microunidades en el volumen total del empleo, en la progresiva ampliación de la desocupación abierta y en la ampliación de las brechas de remuneraciones horarias entre distintas categorías económico-ocupacionales. Por otro lado, durante el ciclo de crecimiento bajo políticas heterodoxas </w:t>
      </w:r>
      <w:r w:rsidR="006300F0" w:rsidRPr="00144B64">
        <w:rPr>
          <w:rFonts w:ascii="Times New Roman" w:hAnsi="Times New Roman"/>
          <w:kern w:val="22"/>
          <w:szCs w:val="24"/>
          <w:highlight w:val="yellow"/>
          <w:lang w:val="es-MX"/>
        </w:rPr>
        <w:t>se produjo un fuerte proceso de absorción de fuerza laboral</w:t>
      </w:r>
      <w:r w:rsidR="00507003" w:rsidRPr="00144B64">
        <w:rPr>
          <w:rFonts w:ascii="Times New Roman" w:hAnsi="Times New Roman"/>
          <w:kern w:val="22"/>
          <w:szCs w:val="24"/>
          <w:highlight w:val="yellow"/>
          <w:lang w:val="es-MX"/>
        </w:rPr>
        <w:t xml:space="preserve"> y</w:t>
      </w:r>
      <w:r w:rsidR="006300F0" w:rsidRPr="00144B64">
        <w:rPr>
          <w:rFonts w:ascii="Times New Roman" w:hAnsi="Times New Roman"/>
          <w:kern w:val="22"/>
          <w:szCs w:val="24"/>
          <w:highlight w:val="yellow"/>
          <w:lang w:val="es-MX"/>
        </w:rPr>
        <w:t xml:space="preserve"> </w:t>
      </w:r>
      <w:r w:rsidR="00507003" w:rsidRPr="00144B64">
        <w:rPr>
          <w:rFonts w:ascii="Times New Roman" w:hAnsi="Times New Roman"/>
          <w:kern w:val="22"/>
          <w:szCs w:val="24"/>
          <w:highlight w:val="yellow"/>
          <w:lang w:val="es-MX"/>
        </w:rPr>
        <w:t xml:space="preserve">se interrumpió la tendencia a la profundización de las disparidades en las remuneraciones, aunque ello no se plasmó en </w:t>
      </w:r>
      <w:r w:rsidRPr="00144B64">
        <w:rPr>
          <w:rFonts w:ascii="Times New Roman" w:hAnsi="Times New Roman"/>
          <w:iCs/>
          <w:kern w:val="22"/>
          <w:szCs w:val="24"/>
          <w:lang w:val="es-MX"/>
        </w:rPr>
        <w:t>un proceso</w:t>
      </w:r>
      <w:r w:rsidR="00772677">
        <w:rPr>
          <w:rFonts w:ascii="Times New Roman" w:hAnsi="Times New Roman"/>
          <w:iCs/>
          <w:kern w:val="22"/>
          <w:szCs w:val="24"/>
          <w:lang w:val="es-MX"/>
        </w:rPr>
        <w:t xml:space="preserve"> de convergencia en términos de remuneraciones horarias </w:t>
      </w:r>
      <w:r w:rsidR="00047B43" w:rsidRPr="00144B64">
        <w:rPr>
          <w:rFonts w:ascii="Times New Roman" w:hAnsi="Times New Roman"/>
          <w:iCs/>
          <w:kern w:val="22"/>
          <w:szCs w:val="24"/>
          <w:highlight w:val="yellow"/>
          <w:lang w:val="es-MX"/>
        </w:rPr>
        <w:t>entre sectores económico-ocupacionales</w:t>
      </w:r>
      <w:r w:rsidR="00047B43">
        <w:rPr>
          <w:rFonts w:ascii="Times New Roman" w:hAnsi="Times New Roman"/>
          <w:iCs/>
          <w:kern w:val="22"/>
          <w:szCs w:val="24"/>
          <w:lang w:val="es-MX"/>
        </w:rPr>
        <w:t>.</w:t>
      </w:r>
    </w:p>
    <w:p w14:paraId="35CECB14" w14:textId="77777777" w:rsidR="00922E37" w:rsidRPr="007C2D50" w:rsidRDefault="00922E37" w:rsidP="00922E37">
      <w:pPr>
        <w:keepNext/>
        <w:tabs>
          <w:tab w:val="left" w:pos="4069"/>
        </w:tabs>
        <w:spacing w:before="240" w:after="240"/>
        <w:jc w:val="both"/>
        <w:rPr>
          <w:rFonts w:ascii="Times New Roman" w:eastAsia="Times New Roman" w:hAnsi="Times New Roman"/>
          <w:szCs w:val="24"/>
          <w:lang w:val="es-ES" w:eastAsia="es-AR"/>
        </w:rPr>
      </w:pPr>
      <w:r w:rsidRPr="007C2D50">
        <w:rPr>
          <w:rFonts w:ascii="Times New Roman" w:eastAsia="Times New Roman" w:hAnsi="Times New Roman"/>
          <w:b/>
          <w:szCs w:val="24"/>
          <w:lang w:val="es-ES" w:eastAsia="es-AR"/>
        </w:rPr>
        <w:t>4. Heterogeneidad estructural y distribución del ingreso familiar</w:t>
      </w:r>
    </w:p>
    <w:p w14:paraId="59519568" w14:textId="4517D491" w:rsidR="00AD0A49" w:rsidRPr="007C2D50" w:rsidRDefault="00922E37" w:rsidP="00AD0A49">
      <w:pPr>
        <w:tabs>
          <w:tab w:val="left" w:pos="4069"/>
        </w:tabs>
        <w:spacing w:after="0"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El propósito de este apartado es examinar </w:t>
      </w:r>
      <w:r w:rsidRPr="003E0903">
        <w:rPr>
          <w:rFonts w:ascii="Times New Roman" w:eastAsia="Times New Roman" w:hAnsi="Times New Roman"/>
          <w:szCs w:val="24"/>
          <w:highlight w:val="yellow"/>
          <w:lang w:val="es-ES" w:eastAsia="es-AR"/>
        </w:rPr>
        <w:t xml:space="preserve">el </w:t>
      </w:r>
      <w:r w:rsidR="003E0903" w:rsidRPr="003E0903">
        <w:rPr>
          <w:rFonts w:ascii="Times New Roman" w:eastAsia="Times New Roman" w:hAnsi="Times New Roman"/>
          <w:szCs w:val="24"/>
          <w:highlight w:val="yellow"/>
          <w:lang w:val="es-ES" w:eastAsia="es-AR"/>
        </w:rPr>
        <w:t>aporte de</w:t>
      </w:r>
      <w:r w:rsidRPr="003E0903">
        <w:rPr>
          <w:rFonts w:ascii="Times New Roman" w:eastAsia="Times New Roman" w:hAnsi="Times New Roman"/>
          <w:szCs w:val="24"/>
          <w:highlight w:val="yellow"/>
          <w:lang w:val="es-ES" w:eastAsia="es-AR"/>
        </w:rPr>
        <w:t xml:space="preserve"> los distintos sectores económico-ocupacionales</w:t>
      </w:r>
      <w:r w:rsidRPr="007C2D50">
        <w:rPr>
          <w:rFonts w:ascii="Times New Roman" w:eastAsia="Times New Roman" w:hAnsi="Times New Roman"/>
          <w:szCs w:val="24"/>
          <w:lang w:val="es-ES" w:eastAsia="es-AR"/>
        </w:rPr>
        <w:t xml:space="preserve"> (formal privado, público y microinformal) </w:t>
      </w:r>
      <w:r w:rsidR="003E0903">
        <w:rPr>
          <w:rFonts w:ascii="Times New Roman" w:eastAsia="Times New Roman" w:hAnsi="Times New Roman"/>
          <w:szCs w:val="24"/>
          <w:lang w:val="es-ES" w:eastAsia="es-AR"/>
        </w:rPr>
        <w:t>a</w:t>
      </w:r>
      <w:r w:rsidRPr="007C2D50">
        <w:rPr>
          <w:rFonts w:ascii="Times New Roman" w:eastAsia="Times New Roman" w:hAnsi="Times New Roman"/>
          <w:szCs w:val="24"/>
          <w:lang w:val="es-ES" w:eastAsia="es-AR"/>
        </w:rPr>
        <w:t xml:space="preserve"> la desigualdad distributiva de los </w:t>
      </w:r>
      <w:r w:rsidRPr="007C2D50">
        <w:rPr>
          <w:rFonts w:ascii="Times New Roman" w:eastAsia="Times New Roman" w:hAnsi="Times New Roman"/>
          <w:szCs w:val="24"/>
          <w:lang w:val="es-ES" w:eastAsia="es-AR"/>
        </w:rPr>
        <w:lastRenderedPageBreak/>
        <w:t xml:space="preserve">ingresos familiares, evaluada a partir del coeficiente de Gini. </w:t>
      </w:r>
      <w:r w:rsidRPr="00772677">
        <w:rPr>
          <w:rFonts w:ascii="Times New Roman" w:eastAsia="Times New Roman" w:hAnsi="Times New Roman"/>
          <w:szCs w:val="24"/>
          <w:highlight w:val="yellow"/>
          <w:lang w:val="es-ES" w:eastAsia="es-AR"/>
        </w:rPr>
        <w:t>Esta estrategia permite examinar la injerencia de las condiciones de heterogeneidad económico-ocupacional</w:t>
      </w:r>
      <w:r w:rsidR="00C20AE2" w:rsidRPr="00772677">
        <w:rPr>
          <w:rFonts w:ascii="Times New Roman" w:eastAsia="Times New Roman" w:hAnsi="Times New Roman"/>
          <w:szCs w:val="24"/>
          <w:highlight w:val="yellow"/>
          <w:lang w:val="es-ES" w:eastAsia="es-AR"/>
        </w:rPr>
        <w:t>, así como sus cambios en el tiempo, sobre</w:t>
      </w:r>
      <w:r w:rsidRPr="00772677">
        <w:rPr>
          <w:rFonts w:ascii="Times New Roman" w:eastAsia="Times New Roman" w:hAnsi="Times New Roman"/>
          <w:szCs w:val="24"/>
          <w:highlight w:val="yellow"/>
          <w:lang w:val="es-ES" w:eastAsia="es-AR"/>
        </w:rPr>
        <w:t xml:space="preserve"> el patrón distributivo de los hogares.</w:t>
      </w:r>
      <w:r w:rsidRPr="007C2D50">
        <w:rPr>
          <w:rFonts w:ascii="Times New Roman" w:eastAsia="Times New Roman" w:hAnsi="Times New Roman"/>
          <w:szCs w:val="24"/>
          <w:lang w:val="es-ES" w:eastAsia="es-AR"/>
        </w:rPr>
        <w:t xml:space="preserve"> </w:t>
      </w:r>
      <w:r w:rsidR="00AD0A49" w:rsidRPr="00AD0A49">
        <w:rPr>
          <w:rFonts w:ascii="Times New Roman" w:eastAsia="Times New Roman" w:hAnsi="Times New Roman"/>
          <w:szCs w:val="24"/>
          <w:highlight w:val="yellow"/>
          <w:lang w:val="es-ES" w:eastAsia="es-AR"/>
        </w:rPr>
        <w:t>Con este propósito, se apela a un modelo de descomposición del coeficiente de Gini propuesto por Lerman y Yitzhaki (1985), el cual guarda relación con los planteamientos de Kakwani (1977) y Shorrocks (1982) y ha sido utilizado por distintos investigadores a nivel local e internacional (AUTOR; Leibbrandt, Woolard y Woolard, 1996; Cortés, 2000; Medina y Galván, 2008; Trujillo y Villafañe, 2011).</w:t>
      </w:r>
    </w:p>
    <w:p w14:paraId="29DD9A23" w14:textId="77777777" w:rsidR="00922E37" w:rsidRPr="007C2D50" w:rsidRDefault="00922E37" w:rsidP="00922E37">
      <w:pPr>
        <w:tabs>
          <w:tab w:val="left" w:pos="4069"/>
        </w:tabs>
        <w:spacing w:before="120" w:after="120"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El Cuadro 3 presenta la evolución del coeficiente de concentración de Gini de los ingresos familiares laborales, no laborales y totales durante los distintos períodos político-económicos examinados. Por su predominancia en los presupuestos familiares, lo sucedido con los ingresos laborales resultó central para la evolución de la desigualdad general. En correspondencia con los hallazgos de otros estudios (Cruces y Gasparini, 2009; Judzkik, Trujillo y Villafañe, 2017), se observa que la desigualdad de ingresos laborales tendió a crecer a partir de mediados de los setenta y, especialmente, en los años noventa. En contraste, la desigualdad de ingresos laborales se redujo en los años post-reformas estructurales. La desigualdad de ingresos no laborales tuvo una tendencia diferente: también se incrementó a partir de los años setenta, pero los niveles de inequidad en esta fuente se estabilizaron a partir de los años noventa y no hubo cambios significativos en el plano agregado que traduce esta medida sintética</w:t>
      </w:r>
      <w:r w:rsidRPr="007C2D50">
        <w:rPr>
          <w:rStyle w:val="Refdenotaalpie"/>
          <w:rFonts w:ascii="Times New Roman" w:hAnsi="Times New Roman"/>
          <w:szCs w:val="24"/>
        </w:rPr>
        <w:footnoteReference w:id="7"/>
      </w:r>
      <w:r w:rsidRPr="007C2D50">
        <w:rPr>
          <w:rFonts w:ascii="Times New Roman" w:eastAsia="Times New Roman" w:hAnsi="Times New Roman"/>
          <w:szCs w:val="24"/>
          <w:lang w:val="es-ES" w:eastAsia="es-AR"/>
        </w:rPr>
        <w:t xml:space="preserve">. </w:t>
      </w:r>
    </w:p>
    <w:p w14:paraId="356F0503" w14:textId="77777777" w:rsidR="00A7309C" w:rsidRDefault="00922E37" w:rsidP="00A7309C">
      <w:pPr>
        <w:keepNext/>
        <w:spacing w:before="240" w:after="120" w:line="240" w:lineRule="auto"/>
        <w:jc w:val="both"/>
        <w:rPr>
          <w:rFonts w:ascii="Times New Roman" w:hAnsi="Times New Roman"/>
          <w:b/>
          <w:szCs w:val="24"/>
        </w:rPr>
      </w:pPr>
      <w:r w:rsidRPr="00A7309C">
        <w:rPr>
          <w:rFonts w:ascii="Times New Roman" w:hAnsi="Times New Roman"/>
          <w:b/>
          <w:szCs w:val="24"/>
          <w:highlight w:val="yellow"/>
        </w:rPr>
        <w:lastRenderedPageBreak/>
        <w:t>Cuadro 3. Coeficiente de Gini del ingreso total familiar</w:t>
      </w:r>
      <w:r w:rsidR="00A7309C" w:rsidRPr="00A7309C">
        <w:rPr>
          <w:rFonts w:ascii="Times New Roman" w:hAnsi="Times New Roman"/>
          <w:b/>
          <w:szCs w:val="24"/>
          <w:highlight w:val="yellow"/>
          <w:vertAlign w:val="superscript"/>
        </w:rPr>
        <w:t>(a)</w:t>
      </w:r>
      <w:r w:rsidRPr="00A7309C">
        <w:rPr>
          <w:rFonts w:ascii="Times New Roman" w:hAnsi="Times New Roman"/>
          <w:b/>
          <w:szCs w:val="24"/>
          <w:highlight w:val="yellow"/>
        </w:rPr>
        <w:t>, del ingreso laboral y no laboral</w:t>
      </w:r>
      <w:r w:rsidRPr="00A7309C">
        <w:rPr>
          <w:rFonts w:ascii="Times New Roman" w:hAnsi="Times New Roman"/>
          <w:b/>
          <w:szCs w:val="24"/>
          <w:highlight w:val="yellow"/>
          <w:vertAlign w:val="superscript"/>
        </w:rPr>
        <w:t>(a)</w:t>
      </w:r>
      <w:r w:rsidRPr="00A7309C">
        <w:rPr>
          <w:rFonts w:ascii="Times New Roman" w:hAnsi="Times New Roman"/>
          <w:b/>
          <w:szCs w:val="24"/>
          <w:highlight w:val="yellow"/>
        </w:rPr>
        <w:t>. Gran Buenos Aires, 1974-2014.</w:t>
      </w:r>
    </w:p>
    <w:tbl>
      <w:tblPr>
        <w:tblW w:w="8991" w:type="dxa"/>
        <w:tblInd w:w="80" w:type="dxa"/>
        <w:tblCellMar>
          <w:left w:w="70" w:type="dxa"/>
          <w:right w:w="70" w:type="dxa"/>
        </w:tblCellMar>
        <w:tblLook w:val="04A0" w:firstRow="1" w:lastRow="0" w:firstColumn="1" w:lastColumn="0" w:noHBand="0" w:noVBand="1"/>
      </w:tblPr>
      <w:tblGrid>
        <w:gridCol w:w="1461"/>
        <w:gridCol w:w="655"/>
        <w:gridCol w:w="840"/>
        <w:gridCol w:w="840"/>
        <w:gridCol w:w="840"/>
        <w:gridCol w:w="840"/>
        <w:gridCol w:w="840"/>
        <w:gridCol w:w="185"/>
        <w:gridCol w:w="840"/>
        <w:gridCol w:w="840"/>
        <w:gridCol w:w="840"/>
      </w:tblGrid>
      <w:tr w:rsidR="00A7309C" w:rsidRPr="00A7309C" w14:paraId="7BF45417" w14:textId="77777777" w:rsidTr="00A7309C">
        <w:trPr>
          <w:trHeight w:val="241"/>
        </w:trPr>
        <w:tc>
          <w:tcPr>
            <w:tcW w:w="146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7F2004D3"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655" w:type="dxa"/>
            <w:tcBorders>
              <w:top w:val="single" w:sz="8" w:space="0" w:color="auto"/>
              <w:left w:val="nil"/>
              <w:bottom w:val="nil"/>
              <w:right w:val="single" w:sz="8" w:space="0" w:color="auto"/>
            </w:tcBorders>
            <w:shd w:val="clear" w:color="000000" w:fill="FFFFFF"/>
            <w:noWrap/>
            <w:vAlign w:val="center"/>
            <w:hideMark/>
          </w:tcPr>
          <w:p w14:paraId="0A661076"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40" w:type="dxa"/>
            <w:tcBorders>
              <w:top w:val="single" w:sz="8" w:space="0" w:color="auto"/>
              <w:left w:val="nil"/>
              <w:bottom w:val="nil"/>
              <w:right w:val="nil"/>
            </w:tcBorders>
            <w:shd w:val="clear" w:color="000000" w:fill="FFFFFF"/>
            <w:vAlign w:val="center"/>
            <w:hideMark/>
          </w:tcPr>
          <w:p w14:paraId="08923173"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1974</w:t>
            </w:r>
          </w:p>
        </w:tc>
        <w:tc>
          <w:tcPr>
            <w:tcW w:w="840" w:type="dxa"/>
            <w:tcBorders>
              <w:top w:val="single" w:sz="8" w:space="0" w:color="auto"/>
              <w:left w:val="nil"/>
              <w:bottom w:val="nil"/>
              <w:right w:val="nil"/>
            </w:tcBorders>
            <w:shd w:val="clear" w:color="000000" w:fill="FFFFFF"/>
            <w:vAlign w:val="center"/>
            <w:hideMark/>
          </w:tcPr>
          <w:p w14:paraId="6B7FAD31"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1980</w:t>
            </w:r>
          </w:p>
        </w:tc>
        <w:tc>
          <w:tcPr>
            <w:tcW w:w="840" w:type="dxa"/>
            <w:tcBorders>
              <w:top w:val="single" w:sz="8" w:space="0" w:color="auto"/>
              <w:left w:val="nil"/>
              <w:bottom w:val="nil"/>
              <w:right w:val="nil"/>
            </w:tcBorders>
            <w:shd w:val="clear" w:color="000000" w:fill="FFFFFF"/>
            <w:vAlign w:val="center"/>
            <w:hideMark/>
          </w:tcPr>
          <w:p w14:paraId="1C241548"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1988</w:t>
            </w:r>
          </w:p>
        </w:tc>
        <w:tc>
          <w:tcPr>
            <w:tcW w:w="840" w:type="dxa"/>
            <w:tcBorders>
              <w:top w:val="single" w:sz="8" w:space="0" w:color="auto"/>
              <w:left w:val="nil"/>
              <w:bottom w:val="nil"/>
              <w:right w:val="nil"/>
            </w:tcBorders>
            <w:shd w:val="clear" w:color="000000" w:fill="FFFFFF"/>
            <w:vAlign w:val="center"/>
            <w:hideMark/>
          </w:tcPr>
          <w:p w14:paraId="2F5134F6"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1998</w:t>
            </w:r>
          </w:p>
        </w:tc>
        <w:tc>
          <w:tcPr>
            <w:tcW w:w="840" w:type="dxa"/>
            <w:tcBorders>
              <w:top w:val="single" w:sz="8" w:space="0" w:color="auto"/>
              <w:left w:val="nil"/>
              <w:bottom w:val="nil"/>
              <w:right w:val="nil"/>
            </w:tcBorders>
            <w:shd w:val="clear" w:color="000000" w:fill="FFFFFF"/>
            <w:vAlign w:val="center"/>
            <w:hideMark/>
          </w:tcPr>
          <w:p w14:paraId="596997FC"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2003</w:t>
            </w:r>
          </w:p>
        </w:tc>
        <w:tc>
          <w:tcPr>
            <w:tcW w:w="155" w:type="dxa"/>
            <w:tcBorders>
              <w:top w:val="single" w:sz="8" w:space="0" w:color="auto"/>
              <w:left w:val="nil"/>
              <w:bottom w:val="nil"/>
              <w:right w:val="nil"/>
            </w:tcBorders>
            <w:shd w:val="clear" w:color="000000" w:fill="FFFFFF"/>
            <w:vAlign w:val="center"/>
            <w:hideMark/>
          </w:tcPr>
          <w:p w14:paraId="42F8777D"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40" w:type="dxa"/>
            <w:tcBorders>
              <w:top w:val="single" w:sz="8" w:space="0" w:color="auto"/>
              <w:left w:val="nil"/>
              <w:bottom w:val="nil"/>
              <w:right w:val="nil"/>
            </w:tcBorders>
            <w:shd w:val="clear" w:color="000000" w:fill="FFFFFF"/>
            <w:vAlign w:val="center"/>
            <w:hideMark/>
          </w:tcPr>
          <w:p w14:paraId="510CC13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2003</w:t>
            </w:r>
          </w:p>
        </w:tc>
        <w:tc>
          <w:tcPr>
            <w:tcW w:w="840" w:type="dxa"/>
            <w:tcBorders>
              <w:top w:val="single" w:sz="8" w:space="0" w:color="auto"/>
              <w:left w:val="nil"/>
              <w:bottom w:val="nil"/>
              <w:right w:val="nil"/>
            </w:tcBorders>
            <w:shd w:val="clear" w:color="000000" w:fill="FFFFFF"/>
            <w:vAlign w:val="center"/>
            <w:hideMark/>
          </w:tcPr>
          <w:p w14:paraId="715C32EA"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2007</w:t>
            </w:r>
          </w:p>
        </w:tc>
        <w:tc>
          <w:tcPr>
            <w:tcW w:w="840" w:type="dxa"/>
            <w:tcBorders>
              <w:top w:val="single" w:sz="8" w:space="0" w:color="auto"/>
              <w:left w:val="nil"/>
              <w:bottom w:val="nil"/>
              <w:right w:val="single" w:sz="8" w:space="0" w:color="auto"/>
            </w:tcBorders>
            <w:shd w:val="clear" w:color="000000" w:fill="FFFFFF"/>
            <w:vAlign w:val="center"/>
            <w:hideMark/>
          </w:tcPr>
          <w:p w14:paraId="791A2B19"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2014</w:t>
            </w:r>
          </w:p>
        </w:tc>
      </w:tr>
      <w:tr w:rsidR="00A7309C" w:rsidRPr="00A7309C" w14:paraId="1FFA22E9" w14:textId="77777777" w:rsidTr="00A7309C">
        <w:trPr>
          <w:trHeight w:val="253"/>
        </w:trPr>
        <w:tc>
          <w:tcPr>
            <w:tcW w:w="1461" w:type="dxa"/>
            <w:vMerge/>
            <w:tcBorders>
              <w:top w:val="single" w:sz="8" w:space="0" w:color="auto"/>
              <w:left w:val="single" w:sz="8" w:space="0" w:color="auto"/>
              <w:bottom w:val="single" w:sz="8" w:space="0" w:color="000000"/>
              <w:right w:val="single" w:sz="8" w:space="0" w:color="auto"/>
            </w:tcBorders>
            <w:vAlign w:val="center"/>
            <w:hideMark/>
          </w:tcPr>
          <w:p w14:paraId="674AF9DA"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p>
        </w:tc>
        <w:tc>
          <w:tcPr>
            <w:tcW w:w="655" w:type="dxa"/>
            <w:tcBorders>
              <w:top w:val="nil"/>
              <w:left w:val="nil"/>
              <w:bottom w:val="single" w:sz="8" w:space="0" w:color="auto"/>
              <w:right w:val="single" w:sz="8" w:space="0" w:color="auto"/>
            </w:tcBorders>
            <w:shd w:val="clear" w:color="000000" w:fill="FFFFFF"/>
            <w:noWrap/>
            <w:vAlign w:val="center"/>
            <w:hideMark/>
          </w:tcPr>
          <w:p w14:paraId="42601801"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40" w:type="dxa"/>
            <w:tcBorders>
              <w:top w:val="nil"/>
              <w:left w:val="nil"/>
              <w:bottom w:val="single" w:sz="8" w:space="0" w:color="auto"/>
              <w:right w:val="nil"/>
            </w:tcBorders>
            <w:shd w:val="clear" w:color="000000" w:fill="FFFFFF"/>
            <w:vAlign w:val="center"/>
            <w:hideMark/>
          </w:tcPr>
          <w:p w14:paraId="7B85C935"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40" w:type="dxa"/>
            <w:tcBorders>
              <w:top w:val="nil"/>
              <w:left w:val="nil"/>
              <w:bottom w:val="single" w:sz="8" w:space="0" w:color="auto"/>
              <w:right w:val="nil"/>
            </w:tcBorders>
            <w:shd w:val="clear" w:color="000000" w:fill="FFFFFF"/>
            <w:vAlign w:val="center"/>
            <w:hideMark/>
          </w:tcPr>
          <w:p w14:paraId="5684F734"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40" w:type="dxa"/>
            <w:tcBorders>
              <w:top w:val="nil"/>
              <w:left w:val="nil"/>
              <w:bottom w:val="single" w:sz="8" w:space="0" w:color="auto"/>
              <w:right w:val="nil"/>
            </w:tcBorders>
            <w:shd w:val="clear" w:color="000000" w:fill="FFFFFF"/>
            <w:vAlign w:val="center"/>
            <w:hideMark/>
          </w:tcPr>
          <w:p w14:paraId="460C76F5"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40" w:type="dxa"/>
            <w:tcBorders>
              <w:top w:val="nil"/>
              <w:left w:val="nil"/>
              <w:bottom w:val="single" w:sz="8" w:space="0" w:color="auto"/>
              <w:right w:val="nil"/>
            </w:tcBorders>
            <w:shd w:val="clear" w:color="000000" w:fill="FFFFFF"/>
            <w:vAlign w:val="center"/>
            <w:hideMark/>
          </w:tcPr>
          <w:p w14:paraId="673C7283"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Oct</w:t>
            </w:r>
          </w:p>
        </w:tc>
        <w:tc>
          <w:tcPr>
            <w:tcW w:w="840" w:type="dxa"/>
            <w:tcBorders>
              <w:top w:val="nil"/>
              <w:left w:val="nil"/>
              <w:bottom w:val="single" w:sz="8" w:space="0" w:color="auto"/>
              <w:right w:val="nil"/>
            </w:tcBorders>
            <w:shd w:val="clear" w:color="000000" w:fill="FFFFFF"/>
            <w:vAlign w:val="center"/>
            <w:hideMark/>
          </w:tcPr>
          <w:p w14:paraId="1501FFCE"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May</w:t>
            </w:r>
          </w:p>
        </w:tc>
        <w:tc>
          <w:tcPr>
            <w:tcW w:w="155" w:type="dxa"/>
            <w:tcBorders>
              <w:top w:val="nil"/>
              <w:left w:val="nil"/>
              <w:bottom w:val="nil"/>
              <w:right w:val="nil"/>
            </w:tcBorders>
            <w:shd w:val="clear" w:color="000000" w:fill="FFFFFF"/>
            <w:vAlign w:val="center"/>
            <w:hideMark/>
          </w:tcPr>
          <w:p w14:paraId="08BF511D"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40" w:type="dxa"/>
            <w:tcBorders>
              <w:top w:val="nil"/>
              <w:left w:val="nil"/>
              <w:bottom w:val="single" w:sz="8" w:space="0" w:color="auto"/>
              <w:right w:val="nil"/>
            </w:tcBorders>
            <w:shd w:val="clear" w:color="000000" w:fill="FFFFFF"/>
            <w:vAlign w:val="center"/>
            <w:hideMark/>
          </w:tcPr>
          <w:p w14:paraId="2E977FC1"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IV</w:t>
            </w:r>
          </w:p>
        </w:tc>
        <w:tc>
          <w:tcPr>
            <w:tcW w:w="840" w:type="dxa"/>
            <w:tcBorders>
              <w:top w:val="nil"/>
              <w:left w:val="nil"/>
              <w:bottom w:val="single" w:sz="8" w:space="0" w:color="auto"/>
              <w:right w:val="nil"/>
            </w:tcBorders>
            <w:shd w:val="clear" w:color="000000" w:fill="FFFFFF"/>
            <w:vAlign w:val="center"/>
            <w:hideMark/>
          </w:tcPr>
          <w:p w14:paraId="050CEE2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IV</w:t>
            </w:r>
          </w:p>
        </w:tc>
        <w:tc>
          <w:tcPr>
            <w:tcW w:w="840" w:type="dxa"/>
            <w:tcBorders>
              <w:top w:val="nil"/>
              <w:left w:val="nil"/>
              <w:bottom w:val="single" w:sz="8" w:space="0" w:color="auto"/>
              <w:right w:val="single" w:sz="8" w:space="0" w:color="auto"/>
            </w:tcBorders>
            <w:shd w:val="clear" w:color="000000" w:fill="FFFFFF"/>
            <w:vAlign w:val="center"/>
            <w:hideMark/>
          </w:tcPr>
          <w:p w14:paraId="5C180163"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IV</w:t>
            </w:r>
          </w:p>
        </w:tc>
      </w:tr>
      <w:tr w:rsidR="00A7309C" w:rsidRPr="00A7309C" w14:paraId="0D6A5102" w14:textId="77777777" w:rsidTr="00A7309C">
        <w:trPr>
          <w:trHeight w:val="181"/>
        </w:trPr>
        <w:tc>
          <w:tcPr>
            <w:tcW w:w="146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A1A065B"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Ingresos laborales</w:t>
            </w:r>
          </w:p>
        </w:tc>
        <w:tc>
          <w:tcPr>
            <w:tcW w:w="655" w:type="dxa"/>
            <w:tcBorders>
              <w:top w:val="nil"/>
              <w:left w:val="nil"/>
              <w:bottom w:val="nil"/>
              <w:right w:val="single" w:sz="8" w:space="0" w:color="auto"/>
            </w:tcBorders>
            <w:shd w:val="clear" w:color="000000" w:fill="FFFFFF"/>
            <w:noWrap/>
            <w:vAlign w:val="center"/>
            <w:hideMark/>
          </w:tcPr>
          <w:p w14:paraId="3372B65D"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LI</w:t>
            </w:r>
          </w:p>
        </w:tc>
        <w:tc>
          <w:tcPr>
            <w:tcW w:w="840" w:type="dxa"/>
            <w:tcBorders>
              <w:top w:val="nil"/>
              <w:left w:val="nil"/>
              <w:bottom w:val="nil"/>
              <w:right w:val="nil"/>
            </w:tcBorders>
            <w:shd w:val="clear" w:color="000000" w:fill="FFFFFF"/>
            <w:vAlign w:val="center"/>
            <w:hideMark/>
          </w:tcPr>
          <w:p w14:paraId="52CAD770"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0,324</w:t>
            </w:r>
          </w:p>
        </w:tc>
        <w:tc>
          <w:tcPr>
            <w:tcW w:w="840" w:type="dxa"/>
            <w:tcBorders>
              <w:top w:val="nil"/>
              <w:left w:val="nil"/>
              <w:bottom w:val="nil"/>
              <w:right w:val="nil"/>
            </w:tcBorders>
            <w:shd w:val="clear" w:color="000000" w:fill="FFFFFF"/>
            <w:vAlign w:val="center"/>
            <w:hideMark/>
          </w:tcPr>
          <w:p w14:paraId="4AB7D2BB"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0,374</w:t>
            </w:r>
          </w:p>
        </w:tc>
        <w:tc>
          <w:tcPr>
            <w:tcW w:w="840" w:type="dxa"/>
            <w:tcBorders>
              <w:top w:val="nil"/>
              <w:left w:val="nil"/>
              <w:bottom w:val="nil"/>
              <w:right w:val="nil"/>
            </w:tcBorders>
            <w:shd w:val="clear" w:color="000000" w:fill="FFFFFF"/>
            <w:vAlign w:val="center"/>
            <w:hideMark/>
          </w:tcPr>
          <w:p w14:paraId="091C311F"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0,409</w:t>
            </w:r>
          </w:p>
        </w:tc>
        <w:tc>
          <w:tcPr>
            <w:tcW w:w="840" w:type="dxa"/>
            <w:tcBorders>
              <w:top w:val="nil"/>
              <w:left w:val="nil"/>
              <w:bottom w:val="nil"/>
              <w:right w:val="nil"/>
            </w:tcBorders>
            <w:shd w:val="clear" w:color="000000" w:fill="FFFFFF"/>
            <w:vAlign w:val="center"/>
            <w:hideMark/>
          </w:tcPr>
          <w:p w14:paraId="199515EE"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0,453</w:t>
            </w:r>
          </w:p>
        </w:tc>
        <w:tc>
          <w:tcPr>
            <w:tcW w:w="840" w:type="dxa"/>
            <w:tcBorders>
              <w:top w:val="nil"/>
              <w:left w:val="nil"/>
              <w:bottom w:val="nil"/>
              <w:right w:val="nil"/>
            </w:tcBorders>
            <w:shd w:val="clear" w:color="000000" w:fill="FFFFFF"/>
            <w:vAlign w:val="center"/>
            <w:hideMark/>
          </w:tcPr>
          <w:p w14:paraId="077710A0"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0,472</w:t>
            </w:r>
          </w:p>
        </w:tc>
        <w:tc>
          <w:tcPr>
            <w:tcW w:w="155" w:type="dxa"/>
            <w:tcBorders>
              <w:top w:val="nil"/>
              <w:left w:val="nil"/>
              <w:bottom w:val="nil"/>
              <w:right w:val="nil"/>
            </w:tcBorders>
            <w:shd w:val="clear" w:color="000000" w:fill="FFFFFF"/>
            <w:vAlign w:val="center"/>
            <w:hideMark/>
          </w:tcPr>
          <w:p w14:paraId="7DC57056"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40" w:type="dxa"/>
            <w:tcBorders>
              <w:top w:val="nil"/>
              <w:left w:val="nil"/>
              <w:bottom w:val="nil"/>
              <w:right w:val="nil"/>
            </w:tcBorders>
            <w:shd w:val="clear" w:color="000000" w:fill="FFFFFF"/>
            <w:vAlign w:val="center"/>
            <w:hideMark/>
          </w:tcPr>
          <w:p w14:paraId="1A738583"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0,448</w:t>
            </w:r>
          </w:p>
        </w:tc>
        <w:tc>
          <w:tcPr>
            <w:tcW w:w="840" w:type="dxa"/>
            <w:tcBorders>
              <w:top w:val="nil"/>
              <w:left w:val="nil"/>
              <w:bottom w:val="nil"/>
              <w:right w:val="nil"/>
            </w:tcBorders>
            <w:shd w:val="clear" w:color="000000" w:fill="FFFFFF"/>
            <w:vAlign w:val="center"/>
            <w:hideMark/>
          </w:tcPr>
          <w:p w14:paraId="5CD5A637"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0,413</w:t>
            </w:r>
          </w:p>
        </w:tc>
        <w:tc>
          <w:tcPr>
            <w:tcW w:w="840" w:type="dxa"/>
            <w:tcBorders>
              <w:top w:val="nil"/>
              <w:left w:val="nil"/>
              <w:bottom w:val="nil"/>
              <w:right w:val="single" w:sz="8" w:space="0" w:color="auto"/>
            </w:tcBorders>
            <w:shd w:val="clear" w:color="000000" w:fill="FFFFFF"/>
            <w:vAlign w:val="center"/>
            <w:hideMark/>
          </w:tcPr>
          <w:p w14:paraId="0B566B98"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0,378</w:t>
            </w:r>
          </w:p>
        </w:tc>
      </w:tr>
      <w:tr w:rsidR="00A7309C" w:rsidRPr="00A7309C" w14:paraId="124495CA" w14:textId="77777777" w:rsidTr="00A7309C">
        <w:trPr>
          <w:trHeight w:val="181"/>
        </w:trPr>
        <w:tc>
          <w:tcPr>
            <w:tcW w:w="1461" w:type="dxa"/>
            <w:vMerge/>
            <w:tcBorders>
              <w:top w:val="nil"/>
              <w:left w:val="single" w:sz="8" w:space="0" w:color="auto"/>
              <w:bottom w:val="single" w:sz="8" w:space="0" w:color="000000"/>
              <w:right w:val="single" w:sz="8" w:space="0" w:color="auto"/>
            </w:tcBorders>
            <w:vAlign w:val="center"/>
            <w:hideMark/>
          </w:tcPr>
          <w:p w14:paraId="42B26256"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p>
        </w:tc>
        <w:tc>
          <w:tcPr>
            <w:tcW w:w="655" w:type="dxa"/>
            <w:tcBorders>
              <w:top w:val="nil"/>
              <w:left w:val="nil"/>
              <w:bottom w:val="nil"/>
              <w:right w:val="single" w:sz="8" w:space="0" w:color="auto"/>
            </w:tcBorders>
            <w:shd w:val="clear" w:color="000000" w:fill="FFFFFF"/>
            <w:noWrap/>
            <w:vAlign w:val="center"/>
            <w:hideMark/>
          </w:tcPr>
          <w:p w14:paraId="50736850"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E</w:t>
            </w:r>
            <w:r>
              <w:rPr>
                <w:rFonts w:ascii="Times New Roman" w:eastAsia="Times New Roman" w:hAnsi="Times New Roman" w:cs="Times New Roman"/>
                <w:b/>
                <w:bCs/>
                <w:color w:val="000000"/>
                <w:sz w:val="18"/>
                <w:szCs w:val="18"/>
                <w:lang w:eastAsia="es-AR"/>
              </w:rPr>
              <w:t>st</w:t>
            </w:r>
            <w:r w:rsidRPr="00A7309C">
              <w:rPr>
                <w:rFonts w:ascii="Times New Roman" w:eastAsia="Times New Roman" w:hAnsi="Times New Roman" w:cs="Times New Roman"/>
                <w:b/>
                <w:bCs/>
                <w:color w:val="000000"/>
                <w:sz w:val="18"/>
                <w:szCs w:val="18"/>
                <w:lang w:eastAsia="es-AR"/>
              </w:rPr>
              <w:t>.</w:t>
            </w:r>
          </w:p>
        </w:tc>
        <w:tc>
          <w:tcPr>
            <w:tcW w:w="840" w:type="dxa"/>
            <w:tcBorders>
              <w:top w:val="nil"/>
              <w:left w:val="nil"/>
              <w:bottom w:val="nil"/>
              <w:right w:val="nil"/>
            </w:tcBorders>
            <w:shd w:val="clear" w:color="000000" w:fill="FFFFFF"/>
            <w:noWrap/>
            <w:vAlign w:val="center"/>
            <w:hideMark/>
          </w:tcPr>
          <w:p w14:paraId="7675B48E"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0,337</w:t>
            </w:r>
          </w:p>
        </w:tc>
        <w:tc>
          <w:tcPr>
            <w:tcW w:w="840" w:type="dxa"/>
            <w:tcBorders>
              <w:top w:val="nil"/>
              <w:left w:val="nil"/>
              <w:bottom w:val="nil"/>
              <w:right w:val="nil"/>
            </w:tcBorders>
            <w:shd w:val="clear" w:color="000000" w:fill="FFFFFF"/>
            <w:noWrap/>
            <w:vAlign w:val="center"/>
            <w:hideMark/>
          </w:tcPr>
          <w:p w14:paraId="1C9C9038"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0,391</w:t>
            </w:r>
          </w:p>
        </w:tc>
        <w:tc>
          <w:tcPr>
            <w:tcW w:w="840" w:type="dxa"/>
            <w:tcBorders>
              <w:top w:val="nil"/>
              <w:left w:val="nil"/>
              <w:bottom w:val="nil"/>
              <w:right w:val="nil"/>
            </w:tcBorders>
            <w:shd w:val="clear" w:color="000000" w:fill="FFFFFF"/>
            <w:noWrap/>
            <w:vAlign w:val="center"/>
            <w:hideMark/>
          </w:tcPr>
          <w:p w14:paraId="3D5565B9"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0,420</w:t>
            </w:r>
          </w:p>
        </w:tc>
        <w:tc>
          <w:tcPr>
            <w:tcW w:w="840" w:type="dxa"/>
            <w:tcBorders>
              <w:top w:val="nil"/>
              <w:left w:val="nil"/>
              <w:bottom w:val="nil"/>
              <w:right w:val="nil"/>
            </w:tcBorders>
            <w:shd w:val="clear" w:color="000000" w:fill="FFFFFF"/>
            <w:noWrap/>
            <w:vAlign w:val="center"/>
            <w:hideMark/>
          </w:tcPr>
          <w:p w14:paraId="102C3896"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0,466</w:t>
            </w:r>
          </w:p>
        </w:tc>
        <w:tc>
          <w:tcPr>
            <w:tcW w:w="840" w:type="dxa"/>
            <w:tcBorders>
              <w:top w:val="nil"/>
              <w:left w:val="nil"/>
              <w:bottom w:val="nil"/>
              <w:right w:val="nil"/>
            </w:tcBorders>
            <w:shd w:val="clear" w:color="000000" w:fill="FFFFFF"/>
            <w:noWrap/>
            <w:vAlign w:val="center"/>
            <w:hideMark/>
          </w:tcPr>
          <w:p w14:paraId="0B8385D2"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0,492</w:t>
            </w:r>
          </w:p>
        </w:tc>
        <w:tc>
          <w:tcPr>
            <w:tcW w:w="155" w:type="dxa"/>
            <w:tcBorders>
              <w:top w:val="nil"/>
              <w:left w:val="nil"/>
              <w:bottom w:val="nil"/>
              <w:right w:val="nil"/>
            </w:tcBorders>
            <w:shd w:val="clear" w:color="000000" w:fill="FFFFFF"/>
            <w:noWrap/>
            <w:vAlign w:val="center"/>
            <w:hideMark/>
          </w:tcPr>
          <w:p w14:paraId="4FB18D06"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40" w:type="dxa"/>
            <w:tcBorders>
              <w:top w:val="nil"/>
              <w:left w:val="nil"/>
              <w:bottom w:val="nil"/>
              <w:right w:val="nil"/>
            </w:tcBorders>
            <w:shd w:val="clear" w:color="000000" w:fill="FFFFFF"/>
            <w:noWrap/>
            <w:vAlign w:val="center"/>
            <w:hideMark/>
          </w:tcPr>
          <w:p w14:paraId="697C00C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0,466</w:t>
            </w:r>
          </w:p>
        </w:tc>
        <w:tc>
          <w:tcPr>
            <w:tcW w:w="840" w:type="dxa"/>
            <w:tcBorders>
              <w:top w:val="nil"/>
              <w:left w:val="nil"/>
              <w:bottom w:val="nil"/>
              <w:right w:val="nil"/>
            </w:tcBorders>
            <w:shd w:val="clear" w:color="000000" w:fill="FFFFFF"/>
            <w:noWrap/>
            <w:vAlign w:val="center"/>
            <w:hideMark/>
          </w:tcPr>
          <w:p w14:paraId="5537F90A"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0,437</w:t>
            </w:r>
          </w:p>
        </w:tc>
        <w:tc>
          <w:tcPr>
            <w:tcW w:w="840" w:type="dxa"/>
            <w:tcBorders>
              <w:top w:val="nil"/>
              <w:left w:val="nil"/>
              <w:bottom w:val="nil"/>
              <w:right w:val="single" w:sz="8" w:space="0" w:color="auto"/>
            </w:tcBorders>
            <w:shd w:val="clear" w:color="000000" w:fill="FFFFFF"/>
            <w:noWrap/>
            <w:vAlign w:val="center"/>
            <w:hideMark/>
          </w:tcPr>
          <w:p w14:paraId="5F59C76D"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0,391</w:t>
            </w:r>
          </w:p>
        </w:tc>
      </w:tr>
      <w:tr w:rsidR="00A7309C" w:rsidRPr="00A7309C" w14:paraId="354C9CDB" w14:textId="77777777" w:rsidTr="00A7309C">
        <w:trPr>
          <w:trHeight w:val="181"/>
        </w:trPr>
        <w:tc>
          <w:tcPr>
            <w:tcW w:w="1461" w:type="dxa"/>
            <w:vMerge/>
            <w:tcBorders>
              <w:top w:val="nil"/>
              <w:left w:val="single" w:sz="8" w:space="0" w:color="auto"/>
              <w:bottom w:val="single" w:sz="8" w:space="0" w:color="000000"/>
              <w:right w:val="single" w:sz="8" w:space="0" w:color="auto"/>
            </w:tcBorders>
            <w:vAlign w:val="center"/>
            <w:hideMark/>
          </w:tcPr>
          <w:p w14:paraId="6C331D27"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p>
        </w:tc>
        <w:tc>
          <w:tcPr>
            <w:tcW w:w="655" w:type="dxa"/>
            <w:tcBorders>
              <w:top w:val="nil"/>
              <w:left w:val="nil"/>
              <w:bottom w:val="single" w:sz="8" w:space="0" w:color="auto"/>
              <w:right w:val="single" w:sz="8" w:space="0" w:color="auto"/>
            </w:tcBorders>
            <w:shd w:val="clear" w:color="000000" w:fill="FFFFFF"/>
            <w:noWrap/>
            <w:vAlign w:val="center"/>
            <w:hideMark/>
          </w:tcPr>
          <w:p w14:paraId="7FF258E6"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LS</w:t>
            </w:r>
          </w:p>
        </w:tc>
        <w:tc>
          <w:tcPr>
            <w:tcW w:w="840" w:type="dxa"/>
            <w:tcBorders>
              <w:top w:val="nil"/>
              <w:left w:val="nil"/>
              <w:bottom w:val="single" w:sz="8" w:space="0" w:color="auto"/>
              <w:right w:val="nil"/>
            </w:tcBorders>
            <w:shd w:val="clear" w:color="000000" w:fill="FFFFFF"/>
            <w:noWrap/>
            <w:vAlign w:val="center"/>
            <w:hideMark/>
          </w:tcPr>
          <w:p w14:paraId="0F4979F3"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0,351</w:t>
            </w:r>
          </w:p>
        </w:tc>
        <w:tc>
          <w:tcPr>
            <w:tcW w:w="840" w:type="dxa"/>
            <w:tcBorders>
              <w:top w:val="nil"/>
              <w:left w:val="nil"/>
              <w:bottom w:val="single" w:sz="8" w:space="0" w:color="auto"/>
              <w:right w:val="nil"/>
            </w:tcBorders>
            <w:shd w:val="clear" w:color="000000" w:fill="FFFFFF"/>
            <w:noWrap/>
            <w:vAlign w:val="center"/>
            <w:hideMark/>
          </w:tcPr>
          <w:p w14:paraId="10D825A3"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0,407</w:t>
            </w:r>
          </w:p>
        </w:tc>
        <w:tc>
          <w:tcPr>
            <w:tcW w:w="840" w:type="dxa"/>
            <w:tcBorders>
              <w:top w:val="nil"/>
              <w:left w:val="nil"/>
              <w:bottom w:val="single" w:sz="8" w:space="0" w:color="auto"/>
              <w:right w:val="nil"/>
            </w:tcBorders>
            <w:shd w:val="clear" w:color="000000" w:fill="FFFFFF"/>
            <w:noWrap/>
            <w:vAlign w:val="center"/>
            <w:hideMark/>
          </w:tcPr>
          <w:p w14:paraId="4F28A732"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0,431</w:t>
            </w:r>
          </w:p>
        </w:tc>
        <w:tc>
          <w:tcPr>
            <w:tcW w:w="840" w:type="dxa"/>
            <w:tcBorders>
              <w:top w:val="nil"/>
              <w:left w:val="nil"/>
              <w:bottom w:val="single" w:sz="8" w:space="0" w:color="auto"/>
              <w:right w:val="nil"/>
            </w:tcBorders>
            <w:shd w:val="clear" w:color="000000" w:fill="FFFFFF"/>
            <w:noWrap/>
            <w:vAlign w:val="center"/>
            <w:hideMark/>
          </w:tcPr>
          <w:p w14:paraId="65A2FFDB"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0,480</w:t>
            </w:r>
          </w:p>
        </w:tc>
        <w:tc>
          <w:tcPr>
            <w:tcW w:w="840" w:type="dxa"/>
            <w:tcBorders>
              <w:top w:val="nil"/>
              <w:left w:val="nil"/>
              <w:bottom w:val="single" w:sz="8" w:space="0" w:color="auto"/>
              <w:right w:val="nil"/>
            </w:tcBorders>
            <w:shd w:val="clear" w:color="000000" w:fill="FFFFFF"/>
            <w:noWrap/>
            <w:vAlign w:val="center"/>
            <w:hideMark/>
          </w:tcPr>
          <w:p w14:paraId="393E5478"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0,512</w:t>
            </w:r>
          </w:p>
        </w:tc>
        <w:tc>
          <w:tcPr>
            <w:tcW w:w="155" w:type="dxa"/>
            <w:tcBorders>
              <w:top w:val="nil"/>
              <w:left w:val="nil"/>
              <w:bottom w:val="nil"/>
              <w:right w:val="nil"/>
            </w:tcBorders>
            <w:shd w:val="clear" w:color="000000" w:fill="FFFFFF"/>
            <w:noWrap/>
            <w:vAlign w:val="center"/>
            <w:hideMark/>
          </w:tcPr>
          <w:p w14:paraId="273B4641"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40" w:type="dxa"/>
            <w:tcBorders>
              <w:top w:val="nil"/>
              <w:left w:val="nil"/>
              <w:bottom w:val="single" w:sz="8" w:space="0" w:color="auto"/>
              <w:right w:val="nil"/>
            </w:tcBorders>
            <w:shd w:val="clear" w:color="000000" w:fill="FFFFFF"/>
            <w:noWrap/>
            <w:vAlign w:val="center"/>
            <w:hideMark/>
          </w:tcPr>
          <w:p w14:paraId="2802EA1B"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0,484</w:t>
            </w:r>
          </w:p>
        </w:tc>
        <w:tc>
          <w:tcPr>
            <w:tcW w:w="840" w:type="dxa"/>
            <w:tcBorders>
              <w:top w:val="nil"/>
              <w:left w:val="nil"/>
              <w:bottom w:val="single" w:sz="8" w:space="0" w:color="auto"/>
              <w:right w:val="nil"/>
            </w:tcBorders>
            <w:shd w:val="clear" w:color="000000" w:fill="FFFFFF"/>
            <w:noWrap/>
            <w:vAlign w:val="center"/>
            <w:hideMark/>
          </w:tcPr>
          <w:p w14:paraId="12DBD405"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0,461</w:t>
            </w:r>
          </w:p>
        </w:tc>
        <w:tc>
          <w:tcPr>
            <w:tcW w:w="840" w:type="dxa"/>
            <w:tcBorders>
              <w:top w:val="nil"/>
              <w:left w:val="nil"/>
              <w:bottom w:val="single" w:sz="8" w:space="0" w:color="auto"/>
              <w:right w:val="single" w:sz="8" w:space="0" w:color="auto"/>
            </w:tcBorders>
            <w:shd w:val="clear" w:color="000000" w:fill="FFFFFF"/>
            <w:noWrap/>
            <w:vAlign w:val="center"/>
            <w:hideMark/>
          </w:tcPr>
          <w:p w14:paraId="16617EDD"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0,403</w:t>
            </w:r>
          </w:p>
        </w:tc>
      </w:tr>
      <w:tr w:rsidR="00A7309C" w:rsidRPr="00A7309C" w14:paraId="1E8EA846" w14:textId="77777777" w:rsidTr="00A7309C">
        <w:trPr>
          <w:trHeight w:val="205"/>
        </w:trPr>
        <w:tc>
          <w:tcPr>
            <w:tcW w:w="146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72A5CB7"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Ingresos no laborales</w:t>
            </w:r>
          </w:p>
        </w:tc>
        <w:tc>
          <w:tcPr>
            <w:tcW w:w="655" w:type="dxa"/>
            <w:tcBorders>
              <w:top w:val="nil"/>
              <w:left w:val="nil"/>
              <w:bottom w:val="nil"/>
              <w:right w:val="single" w:sz="8" w:space="0" w:color="auto"/>
            </w:tcBorders>
            <w:shd w:val="clear" w:color="000000" w:fill="FFFFFF"/>
            <w:noWrap/>
            <w:vAlign w:val="center"/>
            <w:hideMark/>
          </w:tcPr>
          <w:p w14:paraId="0F33CC8C"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LI</w:t>
            </w:r>
          </w:p>
        </w:tc>
        <w:tc>
          <w:tcPr>
            <w:tcW w:w="840" w:type="dxa"/>
            <w:tcBorders>
              <w:top w:val="nil"/>
              <w:left w:val="nil"/>
              <w:bottom w:val="nil"/>
              <w:right w:val="nil"/>
            </w:tcBorders>
            <w:shd w:val="clear" w:color="000000" w:fill="FFFFFF"/>
            <w:noWrap/>
            <w:vAlign w:val="center"/>
            <w:hideMark/>
          </w:tcPr>
          <w:p w14:paraId="513AD832"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0,325</w:t>
            </w:r>
          </w:p>
        </w:tc>
        <w:tc>
          <w:tcPr>
            <w:tcW w:w="840" w:type="dxa"/>
            <w:tcBorders>
              <w:top w:val="nil"/>
              <w:left w:val="nil"/>
              <w:bottom w:val="nil"/>
              <w:right w:val="nil"/>
            </w:tcBorders>
            <w:shd w:val="clear" w:color="000000" w:fill="FFFFFF"/>
            <w:noWrap/>
            <w:vAlign w:val="center"/>
            <w:hideMark/>
          </w:tcPr>
          <w:p w14:paraId="5984DEFD"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0,405</w:t>
            </w:r>
          </w:p>
        </w:tc>
        <w:tc>
          <w:tcPr>
            <w:tcW w:w="840" w:type="dxa"/>
            <w:tcBorders>
              <w:top w:val="nil"/>
              <w:left w:val="nil"/>
              <w:bottom w:val="nil"/>
              <w:right w:val="nil"/>
            </w:tcBorders>
            <w:shd w:val="clear" w:color="000000" w:fill="FFFFFF"/>
            <w:noWrap/>
            <w:vAlign w:val="center"/>
            <w:hideMark/>
          </w:tcPr>
          <w:p w14:paraId="596B6E2B"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0,361</w:t>
            </w:r>
          </w:p>
        </w:tc>
        <w:tc>
          <w:tcPr>
            <w:tcW w:w="840" w:type="dxa"/>
            <w:tcBorders>
              <w:top w:val="nil"/>
              <w:left w:val="nil"/>
              <w:bottom w:val="nil"/>
              <w:right w:val="nil"/>
            </w:tcBorders>
            <w:shd w:val="clear" w:color="000000" w:fill="FFFFFF"/>
            <w:noWrap/>
            <w:vAlign w:val="center"/>
            <w:hideMark/>
          </w:tcPr>
          <w:p w14:paraId="096E54CC"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0,423</w:t>
            </w:r>
          </w:p>
        </w:tc>
        <w:tc>
          <w:tcPr>
            <w:tcW w:w="840" w:type="dxa"/>
            <w:tcBorders>
              <w:top w:val="nil"/>
              <w:left w:val="nil"/>
              <w:bottom w:val="nil"/>
              <w:right w:val="nil"/>
            </w:tcBorders>
            <w:shd w:val="clear" w:color="000000" w:fill="FFFFFF"/>
            <w:noWrap/>
            <w:vAlign w:val="center"/>
            <w:hideMark/>
          </w:tcPr>
          <w:p w14:paraId="68B7BC2C"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0,409</w:t>
            </w:r>
          </w:p>
        </w:tc>
        <w:tc>
          <w:tcPr>
            <w:tcW w:w="155" w:type="dxa"/>
            <w:tcBorders>
              <w:top w:val="nil"/>
              <w:left w:val="nil"/>
              <w:bottom w:val="nil"/>
              <w:right w:val="nil"/>
            </w:tcBorders>
            <w:shd w:val="clear" w:color="000000" w:fill="FFFFFF"/>
            <w:noWrap/>
            <w:vAlign w:val="center"/>
            <w:hideMark/>
          </w:tcPr>
          <w:p w14:paraId="6BBAC850"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40" w:type="dxa"/>
            <w:tcBorders>
              <w:top w:val="nil"/>
              <w:left w:val="nil"/>
              <w:bottom w:val="nil"/>
              <w:right w:val="nil"/>
            </w:tcBorders>
            <w:shd w:val="clear" w:color="000000" w:fill="FFFFFF"/>
            <w:noWrap/>
            <w:vAlign w:val="center"/>
            <w:hideMark/>
          </w:tcPr>
          <w:p w14:paraId="77A38737"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0,421</w:t>
            </w:r>
          </w:p>
        </w:tc>
        <w:tc>
          <w:tcPr>
            <w:tcW w:w="840" w:type="dxa"/>
            <w:tcBorders>
              <w:top w:val="nil"/>
              <w:left w:val="nil"/>
              <w:bottom w:val="nil"/>
              <w:right w:val="nil"/>
            </w:tcBorders>
            <w:shd w:val="clear" w:color="000000" w:fill="FFFFFF"/>
            <w:noWrap/>
            <w:vAlign w:val="center"/>
            <w:hideMark/>
          </w:tcPr>
          <w:p w14:paraId="57874762"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0,413</w:t>
            </w:r>
          </w:p>
        </w:tc>
        <w:tc>
          <w:tcPr>
            <w:tcW w:w="840" w:type="dxa"/>
            <w:tcBorders>
              <w:top w:val="nil"/>
              <w:left w:val="nil"/>
              <w:bottom w:val="nil"/>
              <w:right w:val="single" w:sz="8" w:space="0" w:color="auto"/>
            </w:tcBorders>
            <w:shd w:val="clear" w:color="000000" w:fill="FFFFFF"/>
            <w:noWrap/>
            <w:vAlign w:val="center"/>
            <w:hideMark/>
          </w:tcPr>
          <w:p w14:paraId="7BCA64EC"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0,420</w:t>
            </w:r>
          </w:p>
        </w:tc>
      </w:tr>
      <w:tr w:rsidR="00A7309C" w:rsidRPr="00A7309C" w14:paraId="7345F6FF" w14:textId="77777777" w:rsidTr="00A7309C">
        <w:trPr>
          <w:trHeight w:val="205"/>
        </w:trPr>
        <w:tc>
          <w:tcPr>
            <w:tcW w:w="1461" w:type="dxa"/>
            <w:vMerge/>
            <w:tcBorders>
              <w:top w:val="nil"/>
              <w:left w:val="single" w:sz="8" w:space="0" w:color="auto"/>
              <w:bottom w:val="single" w:sz="8" w:space="0" w:color="000000"/>
              <w:right w:val="single" w:sz="8" w:space="0" w:color="auto"/>
            </w:tcBorders>
            <w:vAlign w:val="center"/>
            <w:hideMark/>
          </w:tcPr>
          <w:p w14:paraId="61DA46B1"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p>
        </w:tc>
        <w:tc>
          <w:tcPr>
            <w:tcW w:w="655" w:type="dxa"/>
            <w:tcBorders>
              <w:top w:val="nil"/>
              <w:left w:val="nil"/>
              <w:bottom w:val="nil"/>
              <w:right w:val="single" w:sz="8" w:space="0" w:color="auto"/>
            </w:tcBorders>
            <w:shd w:val="clear" w:color="000000" w:fill="FFFFFF"/>
            <w:noWrap/>
            <w:vAlign w:val="center"/>
            <w:hideMark/>
          </w:tcPr>
          <w:p w14:paraId="0DD6D629"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E</w:t>
            </w:r>
            <w:r>
              <w:rPr>
                <w:rFonts w:ascii="Times New Roman" w:eastAsia="Times New Roman" w:hAnsi="Times New Roman" w:cs="Times New Roman"/>
                <w:b/>
                <w:bCs/>
                <w:color w:val="000000"/>
                <w:sz w:val="18"/>
                <w:szCs w:val="18"/>
                <w:lang w:eastAsia="es-AR"/>
              </w:rPr>
              <w:t>st</w:t>
            </w:r>
            <w:r w:rsidRPr="00A7309C">
              <w:rPr>
                <w:rFonts w:ascii="Times New Roman" w:eastAsia="Times New Roman" w:hAnsi="Times New Roman" w:cs="Times New Roman"/>
                <w:b/>
                <w:bCs/>
                <w:color w:val="000000"/>
                <w:sz w:val="18"/>
                <w:szCs w:val="18"/>
                <w:lang w:eastAsia="es-AR"/>
              </w:rPr>
              <w:t>.</w:t>
            </w:r>
          </w:p>
        </w:tc>
        <w:tc>
          <w:tcPr>
            <w:tcW w:w="840" w:type="dxa"/>
            <w:tcBorders>
              <w:top w:val="nil"/>
              <w:left w:val="nil"/>
              <w:bottom w:val="nil"/>
              <w:right w:val="nil"/>
            </w:tcBorders>
            <w:shd w:val="clear" w:color="000000" w:fill="FFFFFF"/>
            <w:noWrap/>
            <w:vAlign w:val="center"/>
            <w:hideMark/>
          </w:tcPr>
          <w:p w14:paraId="05E29EEA"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0,344</w:t>
            </w:r>
          </w:p>
        </w:tc>
        <w:tc>
          <w:tcPr>
            <w:tcW w:w="840" w:type="dxa"/>
            <w:tcBorders>
              <w:top w:val="nil"/>
              <w:left w:val="nil"/>
              <w:bottom w:val="nil"/>
              <w:right w:val="nil"/>
            </w:tcBorders>
            <w:shd w:val="clear" w:color="000000" w:fill="FFFFFF"/>
            <w:noWrap/>
            <w:vAlign w:val="center"/>
            <w:hideMark/>
          </w:tcPr>
          <w:p w14:paraId="61F73D7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0,438</w:t>
            </w:r>
          </w:p>
        </w:tc>
        <w:tc>
          <w:tcPr>
            <w:tcW w:w="840" w:type="dxa"/>
            <w:tcBorders>
              <w:top w:val="nil"/>
              <w:left w:val="nil"/>
              <w:bottom w:val="nil"/>
              <w:right w:val="nil"/>
            </w:tcBorders>
            <w:shd w:val="clear" w:color="000000" w:fill="FFFFFF"/>
            <w:noWrap/>
            <w:vAlign w:val="center"/>
            <w:hideMark/>
          </w:tcPr>
          <w:p w14:paraId="64FCE7F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0,400</w:t>
            </w:r>
          </w:p>
        </w:tc>
        <w:tc>
          <w:tcPr>
            <w:tcW w:w="840" w:type="dxa"/>
            <w:tcBorders>
              <w:top w:val="nil"/>
              <w:left w:val="nil"/>
              <w:bottom w:val="nil"/>
              <w:right w:val="nil"/>
            </w:tcBorders>
            <w:shd w:val="clear" w:color="000000" w:fill="FFFFFF"/>
            <w:noWrap/>
            <w:vAlign w:val="center"/>
            <w:hideMark/>
          </w:tcPr>
          <w:p w14:paraId="555D1A92"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0,444</w:t>
            </w:r>
          </w:p>
        </w:tc>
        <w:tc>
          <w:tcPr>
            <w:tcW w:w="840" w:type="dxa"/>
            <w:tcBorders>
              <w:top w:val="nil"/>
              <w:left w:val="nil"/>
              <w:bottom w:val="nil"/>
              <w:right w:val="nil"/>
            </w:tcBorders>
            <w:shd w:val="clear" w:color="000000" w:fill="FFFFFF"/>
            <w:noWrap/>
            <w:vAlign w:val="center"/>
            <w:hideMark/>
          </w:tcPr>
          <w:p w14:paraId="6FD13352"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0,443</w:t>
            </w:r>
          </w:p>
        </w:tc>
        <w:tc>
          <w:tcPr>
            <w:tcW w:w="155" w:type="dxa"/>
            <w:tcBorders>
              <w:top w:val="nil"/>
              <w:left w:val="nil"/>
              <w:bottom w:val="nil"/>
              <w:right w:val="nil"/>
            </w:tcBorders>
            <w:shd w:val="clear" w:color="000000" w:fill="FFFFFF"/>
            <w:noWrap/>
            <w:vAlign w:val="center"/>
            <w:hideMark/>
          </w:tcPr>
          <w:p w14:paraId="47AABA4A"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40" w:type="dxa"/>
            <w:tcBorders>
              <w:top w:val="nil"/>
              <w:left w:val="nil"/>
              <w:bottom w:val="nil"/>
              <w:right w:val="nil"/>
            </w:tcBorders>
            <w:shd w:val="clear" w:color="000000" w:fill="FFFFFF"/>
            <w:noWrap/>
            <w:vAlign w:val="center"/>
            <w:hideMark/>
          </w:tcPr>
          <w:p w14:paraId="7BB97921"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0,446</w:t>
            </w:r>
          </w:p>
        </w:tc>
        <w:tc>
          <w:tcPr>
            <w:tcW w:w="840" w:type="dxa"/>
            <w:tcBorders>
              <w:top w:val="nil"/>
              <w:left w:val="nil"/>
              <w:bottom w:val="nil"/>
              <w:right w:val="nil"/>
            </w:tcBorders>
            <w:shd w:val="clear" w:color="000000" w:fill="FFFFFF"/>
            <w:noWrap/>
            <w:vAlign w:val="center"/>
            <w:hideMark/>
          </w:tcPr>
          <w:p w14:paraId="1568D56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0,447</w:t>
            </w:r>
          </w:p>
        </w:tc>
        <w:tc>
          <w:tcPr>
            <w:tcW w:w="840" w:type="dxa"/>
            <w:tcBorders>
              <w:top w:val="nil"/>
              <w:left w:val="nil"/>
              <w:bottom w:val="nil"/>
              <w:right w:val="single" w:sz="8" w:space="0" w:color="auto"/>
            </w:tcBorders>
            <w:shd w:val="clear" w:color="000000" w:fill="FFFFFF"/>
            <w:noWrap/>
            <w:vAlign w:val="center"/>
            <w:hideMark/>
          </w:tcPr>
          <w:p w14:paraId="71D0D345"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0,442</w:t>
            </w:r>
          </w:p>
        </w:tc>
      </w:tr>
      <w:tr w:rsidR="00A7309C" w:rsidRPr="00A7309C" w14:paraId="02556B43" w14:textId="77777777" w:rsidTr="00A7309C">
        <w:trPr>
          <w:trHeight w:val="205"/>
        </w:trPr>
        <w:tc>
          <w:tcPr>
            <w:tcW w:w="1461" w:type="dxa"/>
            <w:vMerge/>
            <w:tcBorders>
              <w:top w:val="nil"/>
              <w:left w:val="single" w:sz="8" w:space="0" w:color="auto"/>
              <w:bottom w:val="single" w:sz="8" w:space="0" w:color="000000"/>
              <w:right w:val="single" w:sz="8" w:space="0" w:color="auto"/>
            </w:tcBorders>
            <w:vAlign w:val="center"/>
            <w:hideMark/>
          </w:tcPr>
          <w:p w14:paraId="5E219B6E"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p>
        </w:tc>
        <w:tc>
          <w:tcPr>
            <w:tcW w:w="655" w:type="dxa"/>
            <w:tcBorders>
              <w:top w:val="nil"/>
              <w:left w:val="nil"/>
              <w:bottom w:val="single" w:sz="8" w:space="0" w:color="auto"/>
              <w:right w:val="single" w:sz="8" w:space="0" w:color="auto"/>
            </w:tcBorders>
            <w:shd w:val="clear" w:color="000000" w:fill="FFFFFF"/>
            <w:noWrap/>
            <w:vAlign w:val="center"/>
            <w:hideMark/>
          </w:tcPr>
          <w:p w14:paraId="4A54C279"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LS</w:t>
            </w:r>
          </w:p>
        </w:tc>
        <w:tc>
          <w:tcPr>
            <w:tcW w:w="840" w:type="dxa"/>
            <w:tcBorders>
              <w:top w:val="nil"/>
              <w:left w:val="nil"/>
              <w:bottom w:val="single" w:sz="8" w:space="0" w:color="auto"/>
              <w:right w:val="nil"/>
            </w:tcBorders>
            <w:shd w:val="clear" w:color="000000" w:fill="FFFFFF"/>
            <w:noWrap/>
            <w:vAlign w:val="center"/>
            <w:hideMark/>
          </w:tcPr>
          <w:p w14:paraId="30B56AEF"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0,363</w:t>
            </w:r>
          </w:p>
        </w:tc>
        <w:tc>
          <w:tcPr>
            <w:tcW w:w="840" w:type="dxa"/>
            <w:tcBorders>
              <w:top w:val="nil"/>
              <w:left w:val="nil"/>
              <w:bottom w:val="single" w:sz="8" w:space="0" w:color="auto"/>
              <w:right w:val="nil"/>
            </w:tcBorders>
            <w:shd w:val="clear" w:color="000000" w:fill="FFFFFF"/>
            <w:noWrap/>
            <w:vAlign w:val="center"/>
            <w:hideMark/>
          </w:tcPr>
          <w:p w14:paraId="3AD41789"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0,470</w:t>
            </w:r>
          </w:p>
        </w:tc>
        <w:tc>
          <w:tcPr>
            <w:tcW w:w="840" w:type="dxa"/>
            <w:tcBorders>
              <w:top w:val="nil"/>
              <w:left w:val="nil"/>
              <w:bottom w:val="single" w:sz="8" w:space="0" w:color="auto"/>
              <w:right w:val="nil"/>
            </w:tcBorders>
            <w:shd w:val="clear" w:color="000000" w:fill="FFFFFF"/>
            <w:noWrap/>
            <w:vAlign w:val="center"/>
            <w:hideMark/>
          </w:tcPr>
          <w:p w14:paraId="7597ABE6"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0,439</w:t>
            </w:r>
          </w:p>
        </w:tc>
        <w:tc>
          <w:tcPr>
            <w:tcW w:w="840" w:type="dxa"/>
            <w:tcBorders>
              <w:top w:val="nil"/>
              <w:left w:val="nil"/>
              <w:bottom w:val="single" w:sz="8" w:space="0" w:color="auto"/>
              <w:right w:val="nil"/>
            </w:tcBorders>
            <w:shd w:val="clear" w:color="000000" w:fill="FFFFFF"/>
            <w:noWrap/>
            <w:vAlign w:val="center"/>
            <w:hideMark/>
          </w:tcPr>
          <w:p w14:paraId="56AA7B2F"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0,465</w:t>
            </w:r>
          </w:p>
        </w:tc>
        <w:tc>
          <w:tcPr>
            <w:tcW w:w="840" w:type="dxa"/>
            <w:tcBorders>
              <w:top w:val="nil"/>
              <w:left w:val="nil"/>
              <w:bottom w:val="single" w:sz="8" w:space="0" w:color="auto"/>
              <w:right w:val="nil"/>
            </w:tcBorders>
            <w:shd w:val="clear" w:color="000000" w:fill="FFFFFF"/>
            <w:noWrap/>
            <w:vAlign w:val="center"/>
            <w:hideMark/>
          </w:tcPr>
          <w:p w14:paraId="654491D0"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0,476</w:t>
            </w:r>
          </w:p>
        </w:tc>
        <w:tc>
          <w:tcPr>
            <w:tcW w:w="155" w:type="dxa"/>
            <w:tcBorders>
              <w:top w:val="nil"/>
              <w:left w:val="nil"/>
              <w:bottom w:val="nil"/>
              <w:right w:val="nil"/>
            </w:tcBorders>
            <w:shd w:val="clear" w:color="000000" w:fill="FFFFFF"/>
            <w:noWrap/>
            <w:vAlign w:val="center"/>
            <w:hideMark/>
          </w:tcPr>
          <w:p w14:paraId="129ACD4E"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40" w:type="dxa"/>
            <w:tcBorders>
              <w:top w:val="nil"/>
              <w:left w:val="nil"/>
              <w:bottom w:val="single" w:sz="8" w:space="0" w:color="auto"/>
              <w:right w:val="nil"/>
            </w:tcBorders>
            <w:shd w:val="clear" w:color="000000" w:fill="FFFFFF"/>
            <w:noWrap/>
            <w:vAlign w:val="center"/>
            <w:hideMark/>
          </w:tcPr>
          <w:p w14:paraId="57C2DCA9"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0,470</w:t>
            </w:r>
          </w:p>
        </w:tc>
        <w:tc>
          <w:tcPr>
            <w:tcW w:w="840" w:type="dxa"/>
            <w:tcBorders>
              <w:top w:val="nil"/>
              <w:left w:val="nil"/>
              <w:bottom w:val="single" w:sz="8" w:space="0" w:color="auto"/>
              <w:right w:val="nil"/>
            </w:tcBorders>
            <w:shd w:val="clear" w:color="000000" w:fill="FFFFFF"/>
            <w:noWrap/>
            <w:vAlign w:val="center"/>
            <w:hideMark/>
          </w:tcPr>
          <w:p w14:paraId="6998297E"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0,481</w:t>
            </w:r>
          </w:p>
        </w:tc>
        <w:tc>
          <w:tcPr>
            <w:tcW w:w="840" w:type="dxa"/>
            <w:tcBorders>
              <w:top w:val="nil"/>
              <w:left w:val="nil"/>
              <w:bottom w:val="single" w:sz="8" w:space="0" w:color="auto"/>
              <w:right w:val="single" w:sz="8" w:space="0" w:color="auto"/>
            </w:tcBorders>
            <w:shd w:val="clear" w:color="000000" w:fill="FFFFFF"/>
            <w:noWrap/>
            <w:vAlign w:val="center"/>
            <w:hideMark/>
          </w:tcPr>
          <w:p w14:paraId="0D7CA869"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0,463</w:t>
            </w:r>
          </w:p>
        </w:tc>
      </w:tr>
      <w:tr w:rsidR="00A7309C" w:rsidRPr="00A7309C" w14:paraId="21F4CAB0" w14:textId="77777777" w:rsidTr="00A7309C">
        <w:trPr>
          <w:trHeight w:val="205"/>
        </w:trPr>
        <w:tc>
          <w:tcPr>
            <w:tcW w:w="146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20095C6"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Ingreso total familiar</w:t>
            </w:r>
          </w:p>
        </w:tc>
        <w:tc>
          <w:tcPr>
            <w:tcW w:w="655" w:type="dxa"/>
            <w:tcBorders>
              <w:top w:val="nil"/>
              <w:left w:val="nil"/>
              <w:bottom w:val="nil"/>
              <w:right w:val="single" w:sz="8" w:space="0" w:color="auto"/>
            </w:tcBorders>
            <w:shd w:val="clear" w:color="000000" w:fill="FFFFFF"/>
            <w:noWrap/>
            <w:vAlign w:val="center"/>
            <w:hideMark/>
          </w:tcPr>
          <w:p w14:paraId="0B7E9BC3"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LI</w:t>
            </w:r>
          </w:p>
        </w:tc>
        <w:tc>
          <w:tcPr>
            <w:tcW w:w="840" w:type="dxa"/>
            <w:tcBorders>
              <w:top w:val="nil"/>
              <w:left w:val="nil"/>
              <w:bottom w:val="nil"/>
              <w:right w:val="nil"/>
            </w:tcBorders>
            <w:shd w:val="clear" w:color="000000" w:fill="FFFFFF"/>
            <w:noWrap/>
            <w:vAlign w:val="center"/>
            <w:hideMark/>
          </w:tcPr>
          <w:p w14:paraId="132A2F41"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0,354</w:t>
            </w:r>
          </w:p>
        </w:tc>
        <w:tc>
          <w:tcPr>
            <w:tcW w:w="840" w:type="dxa"/>
            <w:tcBorders>
              <w:top w:val="nil"/>
              <w:left w:val="nil"/>
              <w:bottom w:val="nil"/>
              <w:right w:val="nil"/>
            </w:tcBorders>
            <w:shd w:val="clear" w:color="000000" w:fill="FFFFFF"/>
            <w:noWrap/>
            <w:vAlign w:val="center"/>
            <w:hideMark/>
          </w:tcPr>
          <w:p w14:paraId="546398EB"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0,415</w:t>
            </w:r>
          </w:p>
        </w:tc>
        <w:tc>
          <w:tcPr>
            <w:tcW w:w="840" w:type="dxa"/>
            <w:tcBorders>
              <w:top w:val="nil"/>
              <w:left w:val="nil"/>
              <w:bottom w:val="nil"/>
              <w:right w:val="nil"/>
            </w:tcBorders>
            <w:shd w:val="clear" w:color="000000" w:fill="FFFFFF"/>
            <w:noWrap/>
            <w:vAlign w:val="center"/>
            <w:hideMark/>
          </w:tcPr>
          <w:p w14:paraId="0BEE5414"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0,429</w:t>
            </w:r>
          </w:p>
        </w:tc>
        <w:tc>
          <w:tcPr>
            <w:tcW w:w="840" w:type="dxa"/>
            <w:tcBorders>
              <w:top w:val="nil"/>
              <w:left w:val="nil"/>
              <w:bottom w:val="nil"/>
              <w:right w:val="nil"/>
            </w:tcBorders>
            <w:shd w:val="clear" w:color="000000" w:fill="FFFFFF"/>
            <w:noWrap/>
            <w:vAlign w:val="center"/>
            <w:hideMark/>
          </w:tcPr>
          <w:p w14:paraId="511C3B89"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0,465</w:t>
            </w:r>
          </w:p>
        </w:tc>
        <w:tc>
          <w:tcPr>
            <w:tcW w:w="840" w:type="dxa"/>
            <w:tcBorders>
              <w:top w:val="nil"/>
              <w:left w:val="nil"/>
              <w:bottom w:val="nil"/>
              <w:right w:val="nil"/>
            </w:tcBorders>
            <w:shd w:val="clear" w:color="000000" w:fill="FFFFFF"/>
            <w:noWrap/>
            <w:vAlign w:val="center"/>
            <w:hideMark/>
          </w:tcPr>
          <w:p w14:paraId="4324E06B"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0,469</w:t>
            </w:r>
          </w:p>
        </w:tc>
        <w:tc>
          <w:tcPr>
            <w:tcW w:w="155" w:type="dxa"/>
            <w:tcBorders>
              <w:top w:val="nil"/>
              <w:left w:val="nil"/>
              <w:bottom w:val="nil"/>
              <w:right w:val="nil"/>
            </w:tcBorders>
            <w:shd w:val="clear" w:color="000000" w:fill="FFFFFF"/>
            <w:noWrap/>
            <w:vAlign w:val="center"/>
            <w:hideMark/>
          </w:tcPr>
          <w:p w14:paraId="78C2470E"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40" w:type="dxa"/>
            <w:tcBorders>
              <w:top w:val="nil"/>
              <w:left w:val="nil"/>
              <w:bottom w:val="nil"/>
              <w:right w:val="nil"/>
            </w:tcBorders>
            <w:shd w:val="clear" w:color="000000" w:fill="FFFFFF"/>
            <w:noWrap/>
            <w:vAlign w:val="center"/>
            <w:hideMark/>
          </w:tcPr>
          <w:p w14:paraId="502CCA4A"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0,459</w:t>
            </w:r>
          </w:p>
        </w:tc>
        <w:tc>
          <w:tcPr>
            <w:tcW w:w="840" w:type="dxa"/>
            <w:tcBorders>
              <w:top w:val="nil"/>
              <w:left w:val="nil"/>
              <w:bottom w:val="nil"/>
              <w:right w:val="nil"/>
            </w:tcBorders>
            <w:shd w:val="clear" w:color="000000" w:fill="FFFFFF"/>
            <w:noWrap/>
            <w:vAlign w:val="center"/>
            <w:hideMark/>
          </w:tcPr>
          <w:p w14:paraId="6159496E"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0,421</w:t>
            </w:r>
          </w:p>
        </w:tc>
        <w:tc>
          <w:tcPr>
            <w:tcW w:w="840" w:type="dxa"/>
            <w:tcBorders>
              <w:top w:val="nil"/>
              <w:left w:val="nil"/>
              <w:bottom w:val="nil"/>
              <w:right w:val="single" w:sz="8" w:space="0" w:color="auto"/>
            </w:tcBorders>
            <w:shd w:val="clear" w:color="000000" w:fill="FFFFFF"/>
            <w:noWrap/>
            <w:vAlign w:val="center"/>
            <w:hideMark/>
          </w:tcPr>
          <w:p w14:paraId="3962E4EA"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0,374</w:t>
            </w:r>
          </w:p>
        </w:tc>
      </w:tr>
      <w:tr w:rsidR="00A7309C" w:rsidRPr="00A7309C" w14:paraId="297261AC" w14:textId="77777777" w:rsidTr="00A7309C">
        <w:trPr>
          <w:trHeight w:val="156"/>
        </w:trPr>
        <w:tc>
          <w:tcPr>
            <w:tcW w:w="1461" w:type="dxa"/>
            <w:vMerge/>
            <w:tcBorders>
              <w:top w:val="nil"/>
              <w:left w:val="single" w:sz="8" w:space="0" w:color="auto"/>
              <w:bottom w:val="single" w:sz="8" w:space="0" w:color="000000"/>
              <w:right w:val="single" w:sz="8" w:space="0" w:color="auto"/>
            </w:tcBorders>
            <w:vAlign w:val="center"/>
            <w:hideMark/>
          </w:tcPr>
          <w:p w14:paraId="47108812"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p>
        </w:tc>
        <w:tc>
          <w:tcPr>
            <w:tcW w:w="655" w:type="dxa"/>
            <w:tcBorders>
              <w:top w:val="nil"/>
              <w:left w:val="nil"/>
              <w:bottom w:val="nil"/>
              <w:right w:val="single" w:sz="8" w:space="0" w:color="auto"/>
            </w:tcBorders>
            <w:shd w:val="clear" w:color="000000" w:fill="FFFFFF"/>
            <w:noWrap/>
            <w:vAlign w:val="center"/>
            <w:hideMark/>
          </w:tcPr>
          <w:p w14:paraId="6040F4FA"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E</w:t>
            </w:r>
            <w:r>
              <w:rPr>
                <w:rFonts w:ascii="Times New Roman" w:eastAsia="Times New Roman" w:hAnsi="Times New Roman" w:cs="Times New Roman"/>
                <w:b/>
                <w:bCs/>
                <w:color w:val="000000"/>
                <w:sz w:val="18"/>
                <w:szCs w:val="18"/>
                <w:lang w:eastAsia="es-AR"/>
              </w:rPr>
              <w:t>st</w:t>
            </w:r>
            <w:r w:rsidRPr="00A7309C">
              <w:rPr>
                <w:rFonts w:ascii="Times New Roman" w:eastAsia="Times New Roman" w:hAnsi="Times New Roman" w:cs="Times New Roman"/>
                <w:b/>
                <w:bCs/>
                <w:color w:val="000000"/>
                <w:sz w:val="18"/>
                <w:szCs w:val="18"/>
                <w:lang w:eastAsia="es-AR"/>
              </w:rPr>
              <w:t>.</w:t>
            </w:r>
          </w:p>
        </w:tc>
        <w:tc>
          <w:tcPr>
            <w:tcW w:w="840" w:type="dxa"/>
            <w:tcBorders>
              <w:top w:val="nil"/>
              <w:left w:val="nil"/>
              <w:bottom w:val="nil"/>
              <w:right w:val="nil"/>
            </w:tcBorders>
            <w:shd w:val="clear" w:color="000000" w:fill="FFFFFF"/>
            <w:noWrap/>
            <w:vAlign w:val="center"/>
            <w:hideMark/>
          </w:tcPr>
          <w:p w14:paraId="3702FDE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0,366</w:t>
            </w:r>
          </w:p>
        </w:tc>
        <w:tc>
          <w:tcPr>
            <w:tcW w:w="840" w:type="dxa"/>
            <w:tcBorders>
              <w:top w:val="nil"/>
              <w:left w:val="nil"/>
              <w:bottom w:val="nil"/>
              <w:right w:val="nil"/>
            </w:tcBorders>
            <w:shd w:val="clear" w:color="000000" w:fill="FFFFFF"/>
            <w:noWrap/>
            <w:vAlign w:val="center"/>
            <w:hideMark/>
          </w:tcPr>
          <w:p w14:paraId="08D2592A"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0,432</w:t>
            </w:r>
          </w:p>
        </w:tc>
        <w:tc>
          <w:tcPr>
            <w:tcW w:w="840" w:type="dxa"/>
            <w:tcBorders>
              <w:top w:val="nil"/>
              <w:left w:val="nil"/>
              <w:bottom w:val="nil"/>
              <w:right w:val="nil"/>
            </w:tcBorders>
            <w:shd w:val="clear" w:color="000000" w:fill="FFFFFF"/>
            <w:noWrap/>
            <w:vAlign w:val="center"/>
            <w:hideMark/>
          </w:tcPr>
          <w:p w14:paraId="08B34B1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0,440</w:t>
            </w:r>
          </w:p>
        </w:tc>
        <w:tc>
          <w:tcPr>
            <w:tcW w:w="840" w:type="dxa"/>
            <w:tcBorders>
              <w:top w:val="nil"/>
              <w:left w:val="nil"/>
              <w:bottom w:val="nil"/>
              <w:right w:val="nil"/>
            </w:tcBorders>
            <w:shd w:val="clear" w:color="000000" w:fill="FFFFFF"/>
            <w:noWrap/>
            <w:vAlign w:val="center"/>
            <w:hideMark/>
          </w:tcPr>
          <w:p w14:paraId="615593D7"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0,477</w:t>
            </w:r>
          </w:p>
        </w:tc>
        <w:tc>
          <w:tcPr>
            <w:tcW w:w="840" w:type="dxa"/>
            <w:tcBorders>
              <w:top w:val="nil"/>
              <w:left w:val="nil"/>
              <w:bottom w:val="nil"/>
              <w:right w:val="nil"/>
            </w:tcBorders>
            <w:shd w:val="clear" w:color="000000" w:fill="FFFFFF"/>
            <w:noWrap/>
            <w:vAlign w:val="center"/>
            <w:hideMark/>
          </w:tcPr>
          <w:p w14:paraId="2B15860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0,487</w:t>
            </w:r>
          </w:p>
        </w:tc>
        <w:tc>
          <w:tcPr>
            <w:tcW w:w="155" w:type="dxa"/>
            <w:tcBorders>
              <w:top w:val="nil"/>
              <w:left w:val="nil"/>
              <w:bottom w:val="nil"/>
              <w:right w:val="nil"/>
            </w:tcBorders>
            <w:shd w:val="clear" w:color="000000" w:fill="FFFFFF"/>
            <w:noWrap/>
            <w:vAlign w:val="center"/>
            <w:hideMark/>
          </w:tcPr>
          <w:p w14:paraId="73C4B6F3"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 </w:t>
            </w:r>
          </w:p>
        </w:tc>
        <w:tc>
          <w:tcPr>
            <w:tcW w:w="840" w:type="dxa"/>
            <w:tcBorders>
              <w:top w:val="nil"/>
              <w:left w:val="nil"/>
              <w:bottom w:val="nil"/>
              <w:right w:val="nil"/>
            </w:tcBorders>
            <w:shd w:val="clear" w:color="000000" w:fill="FFFFFF"/>
            <w:noWrap/>
            <w:vAlign w:val="center"/>
            <w:hideMark/>
          </w:tcPr>
          <w:p w14:paraId="5CAB8FBF"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0,475</w:t>
            </w:r>
          </w:p>
        </w:tc>
        <w:tc>
          <w:tcPr>
            <w:tcW w:w="840" w:type="dxa"/>
            <w:tcBorders>
              <w:top w:val="nil"/>
              <w:left w:val="nil"/>
              <w:bottom w:val="nil"/>
              <w:right w:val="nil"/>
            </w:tcBorders>
            <w:shd w:val="clear" w:color="000000" w:fill="FFFFFF"/>
            <w:noWrap/>
            <w:vAlign w:val="center"/>
            <w:hideMark/>
          </w:tcPr>
          <w:p w14:paraId="3CB67BD0"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0,442</w:t>
            </w:r>
          </w:p>
        </w:tc>
        <w:tc>
          <w:tcPr>
            <w:tcW w:w="840" w:type="dxa"/>
            <w:tcBorders>
              <w:top w:val="nil"/>
              <w:left w:val="nil"/>
              <w:bottom w:val="nil"/>
              <w:right w:val="single" w:sz="8" w:space="0" w:color="auto"/>
            </w:tcBorders>
            <w:shd w:val="clear" w:color="000000" w:fill="FFFFFF"/>
            <w:noWrap/>
            <w:vAlign w:val="center"/>
            <w:hideMark/>
          </w:tcPr>
          <w:p w14:paraId="3FB8A3D8" w14:textId="77777777" w:rsidR="00A7309C" w:rsidRPr="00A7309C" w:rsidRDefault="00A7309C" w:rsidP="00A7309C">
            <w:pPr>
              <w:keepNext/>
              <w:spacing w:after="0" w:line="240" w:lineRule="auto"/>
              <w:jc w:val="center"/>
              <w:rPr>
                <w:rFonts w:ascii="Times New Roman" w:eastAsia="Times New Roman" w:hAnsi="Times New Roman" w:cs="Times New Roman"/>
                <w:b/>
                <w:bCs/>
                <w:color w:val="000000"/>
                <w:sz w:val="18"/>
                <w:szCs w:val="18"/>
                <w:lang w:eastAsia="es-AR"/>
              </w:rPr>
            </w:pPr>
            <w:r w:rsidRPr="00A7309C">
              <w:rPr>
                <w:rFonts w:ascii="Times New Roman" w:eastAsia="Times New Roman" w:hAnsi="Times New Roman" w:cs="Times New Roman"/>
                <w:b/>
                <w:bCs/>
                <w:color w:val="000000"/>
                <w:sz w:val="18"/>
                <w:szCs w:val="18"/>
                <w:lang w:eastAsia="es-AR"/>
              </w:rPr>
              <w:t>0,385</w:t>
            </w:r>
          </w:p>
        </w:tc>
      </w:tr>
      <w:tr w:rsidR="00A7309C" w:rsidRPr="00A7309C" w14:paraId="4830F74F" w14:textId="77777777" w:rsidTr="00A7309C">
        <w:trPr>
          <w:trHeight w:val="205"/>
        </w:trPr>
        <w:tc>
          <w:tcPr>
            <w:tcW w:w="1461" w:type="dxa"/>
            <w:vMerge/>
            <w:tcBorders>
              <w:top w:val="nil"/>
              <w:left w:val="single" w:sz="8" w:space="0" w:color="auto"/>
              <w:bottom w:val="single" w:sz="8" w:space="0" w:color="000000"/>
              <w:right w:val="single" w:sz="8" w:space="0" w:color="auto"/>
            </w:tcBorders>
            <w:vAlign w:val="center"/>
            <w:hideMark/>
          </w:tcPr>
          <w:p w14:paraId="2419D2E9" w14:textId="77777777" w:rsidR="00A7309C" w:rsidRPr="00A7309C" w:rsidRDefault="00A7309C" w:rsidP="00A7309C">
            <w:pPr>
              <w:keepNext/>
              <w:spacing w:after="0" w:line="240" w:lineRule="auto"/>
              <w:rPr>
                <w:rFonts w:ascii="Times New Roman" w:eastAsia="Times New Roman" w:hAnsi="Times New Roman" w:cs="Times New Roman"/>
                <w:b/>
                <w:bCs/>
                <w:color w:val="000000"/>
                <w:sz w:val="18"/>
                <w:szCs w:val="18"/>
                <w:lang w:eastAsia="es-AR"/>
              </w:rPr>
            </w:pPr>
          </w:p>
        </w:tc>
        <w:tc>
          <w:tcPr>
            <w:tcW w:w="655" w:type="dxa"/>
            <w:tcBorders>
              <w:top w:val="nil"/>
              <w:left w:val="nil"/>
              <w:bottom w:val="single" w:sz="8" w:space="0" w:color="auto"/>
              <w:right w:val="single" w:sz="8" w:space="0" w:color="auto"/>
            </w:tcBorders>
            <w:shd w:val="clear" w:color="000000" w:fill="FFFFFF"/>
            <w:noWrap/>
            <w:vAlign w:val="center"/>
            <w:hideMark/>
          </w:tcPr>
          <w:p w14:paraId="0DBCFCCE" w14:textId="77777777" w:rsidR="00A7309C" w:rsidRPr="00A7309C" w:rsidRDefault="00A7309C" w:rsidP="00A7309C">
            <w:pPr>
              <w:keepNext/>
              <w:spacing w:after="0" w:line="240" w:lineRule="auto"/>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LS</w:t>
            </w:r>
          </w:p>
        </w:tc>
        <w:tc>
          <w:tcPr>
            <w:tcW w:w="840" w:type="dxa"/>
            <w:tcBorders>
              <w:top w:val="nil"/>
              <w:left w:val="nil"/>
              <w:bottom w:val="single" w:sz="8" w:space="0" w:color="auto"/>
              <w:right w:val="nil"/>
            </w:tcBorders>
            <w:shd w:val="clear" w:color="000000" w:fill="FFFFFF"/>
            <w:noWrap/>
            <w:vAlign w:val="bottom"/>
            <w:hideMark/>
          </w:tcPr>
          <w:p w14:paraId="263B1B3E"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0,379</w:t>
            </w:r>
          </w:p>
        </w:tc>
        <w:tc>
          <w:tcPr>
            <w:tcW w:w="840" w:type="dxa"/>
            <w:tcBorders>
              <w:top w:val="nil"/>
              <w:left w:val="nil"/>
              <w:bottom w:val="single" w:sz="8" w:space="0" w:color="auto"/>
              <w:right w:val="nil"/>
            </w:tcBorders>
            <w:shd w:val="clear" w:color="000000" w:fill="FFFFFF"/>
            <w:noWrap/>
            <w:vAlign w:val="bottom"/>
            <w:hideMark/>
          </w:tcPr>
          <w:p w14:paraId="4490DA09"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0,450</w:t>
            </w:r>
          </w:p>
        </w:tc>
        <w:tc>
          <w:tcPr>
            <w:tcW w:w="840" w:type="dxa"/>
            <w:tcBorders>
              <w:top w:val="nil"/>
              <w:left w:val="nil"/>
              <w:bottom w:val="single" w:sz="8" w:space="0" w:color="auto"/>
              <w:right w:val="nil"/>
            </w:tcBorders>
            <w:shd w:val="clear" w:color="000000" w:fill="FFFFFF"/>
            <w:noWrap/>
            <w:vAlign w:val="bottom"/>
            <w:hideMark/>
          </w:tcPr>
          <w:p w14:paraId="0409742C"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0,451</w:t>
            </w:r>
          </w:p>
        </w:tc>
        <w:tc>
          <w:tcPr>
            <w:tcW w:w="840" w:type="dxa"/>
            <w:tcBorders>
              <w:top w:val="nil"/>
              <w:left w:val="nil"/>
              <w:bottom w:val="single" w:sz="8" w:space="0" w:color="auto"/>
              <w:right w:val="nil"/>
            </w:tcBorders>
            <w:shd w:val="clear" w:color="000000" w:fill="FFFFFF"/>
            <w:noWrap/>
            <w:vAlign w:val="bottom"/>
            <w:hideMark/>
          </w:tcPr>
          <w:p w14:paraId="79BA7AD9"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0,489</w:t>
            </w:r>
          </w:p>
        </w:tc>
        <w:tc>
          <w:tcPr>
            <w:tcW w:w="840" w:type="dxa"/>
            <w:tcBorders>
              <w:top w:val="nil"/>
              <w:left w:val="nil"/>
              <w:bottom w:val="single" w:sz="8" w:space="0" w:color="auto"/>
              <w:right w:val="nil"/>
            </w:tcBorders>
            <w:shd w:val="clear" w:color="000000" w:fill="FFFFFF"/>
            <w:noWrap/>
            <w:vAlign w:val="bottom"/>
            <w:hideMark/>
          </w:tcPr>
          <w:p w14:paraId="0207BFE3"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0,504</w:t>
            </w:r>
          </w:p>
        </w:tc>
        <w:tc>
          <w:tcPr>
            <w:tcW w:w="155" w:type="dxa"/>
            <w:tcBorders>
              <w:top w:val="nil"/>
              <w:left w:val="nil"/>
              <w:bottom w:val="single" w:sz="8" w:space="0" w:color="auto"/>
              <w:right w:val="nil"/>
            </w:tcBorders>
            <w:shd w:val="clear" w:color="000000" w:fill="FFFFFF"/>
            <w:noWrap/>
            <w:vAlign w:val="bottom"/>
            <w:hideMark/>
          </w:tcPr>
          <w:p w14:paraId="7E590E0D"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 </w:t>
            </w:r>
          </w:p>
        </w:tc>
        <w:tc>
          <w:tcPr>
            <w:tcW w:w="840" w:type="dxa"/>
            <w:tcBorders>
              <w:top w:val="nil"/>
              <w:left w:val="nil"/>
              <w:bottom w:val="single" w:sz="8" w:space="0" w:color="auto"/>
              <w:right w:val="nil"/>
            </w:tcBorders>
            <w:shd w:val="clear" w:color="000000" w:fill="FFFFFF"/>
            <w:noWrap/>
            <w:vAlign w:val="bottom"/>
            <w:hideMark/>
          </w:tcPr>
          <w:p w14:paraId="397CF778"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0,491</w:t>
            </w:r>
          </w:p>
        </w:tc>
        <w:tc>
          <w:tcPr>
            <w:tcW w:w="840" w:type="dxa"/>
            <w:tcBorders>
              <w:top w:val="nil"/>
              <w:left w:val="nil"/>
              <w:bottom w:val="single" w:sz="8" w:space="0" w:color="auto"/>
              <w:right w:val="nil"/>
            </w:tcBorders>
            <w:shd w:val="clear" w:color="000000" w:fill="FFFFFF"/>
            <w:noWrap/>
            <w:vAlign w:val="bottom"/>
            <w:hideMark/>
          </w:tcPr>
          <w:p w14:paraId="0A2E92FC"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0,462</w:t>
            </w:r>
          </w:p>
        </w:tc>
        <w:tc>
          <w:tcPr>
            <w:tcW w:w="840" w:type="dxa"/>
            <w:tcBorders>
              <w:top w:val="nil"/>
              <w:left w:val="nil"/>
              <w:bottom w:val="single" w:sz="8" w:space="0" w:color="auto"/>
              <w:right w:val="single" w:sz="8" w:space="0" w:color="auto"/>
            </w:tcBorders>
            <w:shd w:val="clear" w:color="000000" w:fill="FFFFFF"/>
            <w:noWrap/>
            <w:vAlign w:val="bottom"/>
            <w:hideMark/>
          </w:tcPr>
          <w:p w14:paraId="37C97F9A" w14:textId="77777777" w:rsidR="00A7309C" w:rsidRPr="00A7309C" w:rsidRDefault="00A7309C" w:rsidP="00A7309C">
            <w:pPr>
              <w:keepNext/>
              <w:spacing w:after="0" w:line="240" w:lineRule="auto"/>
              <w:jc w:val="center"/>
              <w:rPr>
                <w:rFonts w:ascii="Times New Roman" w:eastAsia="Times New Roman" w:hAnsi="Times New Roman" w:cs="Times New Roman"/>
                <w:color w:val="000000"/>
                <w:sz w:val="18"/>
                <w:szCs w:val="18"/>
                <w:lang w:eastAsia="es-AR"/>
              </w:rPr>
            </w:pPr>
            <w:r w:rsidRPr="00A7309C">
              <w:rPr>
                <w:rFonts w:ascii="Times New Roman" w:eastAsia="Times New Roman" w:hAnsi="Times New Roman" w:cs="Times New Roman"/>
                <w:color w:val="000000"/>
                <w:sz w:val="18"/>
                <w:szCs w:val="18"/>
                <w:lang w:eastAsia="es-AR"/>
              </w:rPr>
              <w:t>0,397</w:t>
            </w:r>
          </w:p>
        </w:tc>
      </w:tr>
    </w:tbl>
    <w:p w14:paraId="198C6CAA" w14:textId="77777777" w:rsidR="00922E37" w:rsidRPr="007C2D50" w:rsidRDefault="00922E37" w:rsidP="00A7309C">
      <w:pPr>
        <w:keepNext/>
        <w:spacing w:before="240" w:after="120" w:line="240" w:lineRule="auto"/>
        <w:jc w:val="both"/>
        <w:rPr>
          <w:rFonts w:ascii="Times New Roman" w:hAnsi="Times New Roman"/>
          <w:sz w:val="18"/>
          <w:szCs w:val="24"/>
        </w:rPr>
      </w:pPr>
      <w:r w:rsidRPr="007C2D50">
        <w:rPr>
          <w:rFonts w:ascii="Times New Roman" w:hAnsi="Times New Roman"/>
          <w:sz w:val="18"/>
          <w:szCs w:val="24"/>
        </w:rPr>
        <w:t xml:space="preserve">Nota: </w:t>
      </w:r>
      <w:r w:rsidR="00A7309C" w:rsidRPr="00A7309C">
        <w:rPr>
          <w:rFonts w:ascii="Times New Roman" w:hAnsi="Times New Roman"/>
          <w:sz w:val="18"/>
          <w:szCs w:val="24"/>
          <w:highlight w:val="yellow"/>
        </w:rPr>
        <w:t>(a) Se reportan los límites superiores e inferiores de los intervalos de confianza del 95</w:t>
      </w:r>
      <w:r w:rsidR="00A7309C" w:rsidRPr="00A7309C">
        <w:rPr>
          <w:rFonts w:ascii="Times New Roman" w:hAnsi="Times New Roman"/>
          <w:sz w:val="18"/>
          <w:szCs w:val="24"/>
        </w:rPr>
        <w:t>% / (b) Los ingresos laborales aquí considerados son netos de planes sociales de empleo.</w:t>
      </w:r>
    </w:p>
    <w:p w14:paraId="3B317CDE" w14:textId="77777777" w:rsidR="00922E37" w:rsidRPr="007C2D50" w:rsidRDefault="00922E37" w:rsidP="00922E37">
      <w:pPr>
        <w:spacing w:after="240" w:line="240" w:lineRule="auto"/>
        <w:jc w:val="both"/>
        <w:rPr>
          <w:rFonts w:ascii="Times New Roman" w:hAnsi="Times New Roman"/>
          <w:sz w:val="18"/>
          <w:szCs w:val="24"/>
        </w:rPr>
      </w:pPr>
      <w:r w:rsidRPr="007C2D50">
        <w:rPr>
          <w:rFonts w:ascii="Times New Roman" w:hAnsi="Times New Roman"/>
          <w:sz w:val="18"/>
          <w:szCs w:val="24"/>
        </w:rPr>
        <w:t>Fuente: Elaboración propia en base a microdatos de la EPH-INDEC para los períodos indicados. Disponibles en: &lt;www.indec.gov.ar&gt;</w:t>
      </w:r>
    </w:p>
    <w:p w14:paraId="74901295" w14:textId="77777777" w:rsidR="00922E37" w:rsidRPr="007C2D50" w:rsidRDefault="00922E37" w:rsidP="00922E37">
      <w:pPr>
        <w:tabs>
          <w:tab w:val="left" w:pos="4069"/>
        </w:tabs>
        <w:spacing w:after="120" w:line="360" w:lineRule="auto"/>
        <w:jc w:val="both"/>
        <w:rPr>
          <w:rFonts w:ascii="Times New Roman" w:eastAsia="Times New Roman" w:hAnsi="Times New Roman"/>
          <w:color w:val="000000"/>
          <w:szCs w:val="24"/>
          <w:lang w:val="es-ES" w:eastAsia="es-ES"/>
        </w:rPr>
      </w:pPr>
      <w:r w:rsidRPr="007C2D50">
        <w:rPr>
          <w:rFonts w:ascii="Times New Roman" w:eastAsia="Times New Roman" w:hAnsi="Times New Roman"/>
          <w:szCs w:val="24"/>
          <w:lang w:val="es-ES" w:eastAsia="es-AR"/>
        </w:rPr>
        <w:t xml:space="preserve">La introducción de un modelo de descomposición del cambio del coeficiente de Gini permite evaluar qué papel les correspondió a las condiciones de heterogeneidad de la estructura económico-ocupacional en la evolución de la desigualdad. </w:t>
      </w:r>
      <w:r w:rsidRPr="007C2D50">
        <w:rPr>
          <w:rFonts w:ascii="Times New Roman" w:eastAsia="Times New Roman" w:hAnsi="Times New Roman"/>
          <w:szCs w:val="24"/>
          <w:lang w:val="es-ES" w:eastAsia="es-ES"/>
        </w:rPr>
        <w:t xml:space="preserve">El método propuesto permite especificar el aporte que realizan diferentes fuentes de ingreso en el nivel de desigualdad total. </w:t>
      </w:r>
      <w:r w:rsidRPr="007C2D50">
        <w:rPr>
          <w:rFonts w:ascii="Times New Roman" w:eastAsia="Times New Roman" w:hAnsi="Times New Roman"/>
          <w:color w:val="000000"/>
          <w:szCs w:val="24"/>
          <w:lang w:val="es-ES" w:eastAsia="es-ES"/>
        </w:rPr>
        <w:t xml:space="preserve">Formalmente, el coeficiente de Gini familiar puede expresarse del siguiente modo: </w:t>
      </w:r>
    </w:p>
    <w:p w14:paraId="5625D856" w14:textId="77777777" w:rsidR="00922E37" w:rsidRPr="007C2D50" w:rsidRDefault="00922E37" w:rsidP="00922E37">
      <w:pPr>
        <w:spacing w:after="0" w:line="240" w:lineRule="auto"/>
        <w:jc w:val="center"/>
        <w:rPr>
          <w:rFonts w:ascii="Times New Roman" w:eastAsia="Times New Roman" w:hAnsi="Times New Roman"/>
          <w:color w:val="000000"/>
          <w:lang w:eastAsia="es-ES"/>
        </w:rPr>
      </w:pPr>
      <m:oMath>
        <m:r>
          <m:rPr>
            <m:sty m:val="p"/>
          </m:rPr>
          <w:rPr>
            <w:rFonts w:ascii="Cambria Math" w:eastAsia="Times New Roman" w:hAnsi="Cambria Math"/>
            <w:color w:val="000000"/>
            <w:sz w:val="20"/>
            <w:szCs w:val="20"/>
            <w:lang w:eastAsia="es-ES"/>
          </w:rPr>
          <m:t xml:space="preserve">G= </m:t>
        </m:r>
        <m:nary>
          <m:naryPr>
            <m:chr m:val="∑"/>
            <m:limLoc m:val="undOvr"/>
            <m:ctrlPr>
              <w:rPr>
                <w:rFonts w:ascii="Cambria Math" w:eastAsia="Times New Roman" w:hAnsi="Cambria Math"/>
                <w:color w:val="000000"/>
                <w:sz w:val="20"/>
                <w:szCs w:val="20"/>
                <w:lang w:eastAsia="es-ES"/>
              </w:rPr>
            </m:ctrlPr>
          </m:naryPr>
          <m:sub>
            <m:r>
              <m:rPr>
                <m:sty m:val="p"/>
              </m:rPr>
              <w:rPr>
                <w:rFonts w:ascii="Cambria Math" w:eastAsia="Times New Roman" w:hAnsi="Cambria Math"/>
                <w:color w:val="000000"/>
                <w:sz w:val="20"/>
                <w:szCs w:val="20"/>
                <w:lang w:eastAsia="es-ES"/>
              </w:rPr>
              <m:t>k=1</m:t>
            </m:r>
          </m:sub>
          <m:sup>
            <m:r>
              <m:rPr>
                <m:sty m:val="p"/>
              </m:rPr>
              <w:rPr>
                <w:rFonts w:ascii="Cambria Math" w:eastAsia="Times New Roman" w:hAnsi="Cambria Math"/>
                <w:color w:val="000000"/>
                <w:sz w:val="20"/>
                <w:szCs w:val="20"/>
                <w:lang w:eastAsia="es-ES"/>
              </w:rPr>
              <m:t>k</m:t>
            </m:r>
          </m:sup>
          <m:e>
            <m:r>
              <m:rPr>
                <m:sty m:val="p"/>
              </m:rPr>
              <w:rPr>
                <w:rFonts w:ascii="Cambria Math" w:eastAsia="Times New Roman" w:hAnsi="Cambria Math"/>
                <w:color w:val="000000"/>
                <w:sz w:val="20"/>
                <w:szCs w:val="20"/>
                <w:lang w:eastAsia="es-ES"/>
              </w:rPr>
              <m:t>(</m:t>
            </m:r>
            <m:sSub>
              <m:sSubPr>
                <m:ctrlPr>
                  <w:rPr>
                    <w:rFonts w:ascii="Cambria Math" w:eastAsia="Times New Roman" w:hAnsi="Cambria Math"/>
                    <w:color w:val="000000"/>
                    <w:sz w:val="20"/>
                    <w:szCs w:val="20"/>
                    <w:lang w:eastAsia="es-ES"/>
                  </w:rPr>
                </m:ctrlPr>
              </m:sSubPr>
              <m:e>
                <m:r>
                  <m:rPr>
                    <m:sty m:val="p"/>
                  </m:rPr>
                  <w:rPr>
                    <w:rFonts w:ascii="Cambria Math" w:eastAsia="Times New Roman" w:hAnsi="Cambria Math"/>
                    <w:color w:val="000000"/>
                    <w:sz w:val="20"/>
                    <w:szCs w:val="20"/>
                    <w:lang w:eastAsia="es-ES"/>
                  </w:rPr>
                  <m:t>R</m:t>
                </m:r>
              </m:e>
              <m:sub>
                <m:r>
                  <m:rPr>
                    <m:sty m:val="p"/>
                  </m:rPr>
                  <w:rPr>
                    <w:rFonts w:ascii="Cambria Math" w:eastAsia="Times New Roman" w:hAnsi="Cambria Math"/>
                    <w:color w:val="000000"/>
                    <w:sz w:val="20"/>
                    <w:szCs w:val="20"/>
                    <w:lang w:eastAsia="es-ES"/>
                  </w:rPr>
                  <m:t>k</m:t>
                </m:r>
              </m:sub>
            </m:sSub>
            <m:sSub>
              <m:sSubPr>
                <m:ctrlPr>
                  <w:rPr>
                    <w:rFonts w:ascii="Cambria Math" w:eastAsia="Times New Roman" w:hAnsi="Cambria Math"/>
                    <w:color w:val="000000"/>
                    <w:sz w:val="20"/>
                    <w:szCs w:val="20"/>
                    <w:lang w:eastAsia="es-ES"/>
                  </w:rPr>
                </m:ctrlPr>
              </m:sSubPr>
              <m:e>
                <m:r>
                  <m:rPr>
                    <m:sty m:val="p"/>
                  </m:rPr>
                  <w:rPr>
                    <w:rFonts w:ascii="Cambria Math" w:eastAsia="Times New Roman" w:hAnsi="Cambria Math"/>
                    <w:color w:val="000000"/>
                    <w:sz w:val="20"/>
                    <w:szCs w:val="20"/>
                    <w:lang w:eastAsia="es-ES"/>
                  </w:rPr>
                  <m:t>G</m:t>
                </m:r>
              </m:e>
              <m:sub>
                <m:r>
                  <m:rPr>
                    <m:sty m:val="p"/>
                  </m:rPr>
                  <w:rPr>
                    <w:rFonts w:ascii="Cambria Math" w:eastAsia="Times New Roman" w:hAnsi="Cambria Math"/>
                    <w:color w:val="000000"/>
                    <w:sz w:val="20"/>
                    <w:szCs w:val="20"/>
                    <w:lang w:eastAsia="es-ES"/>
                  </w:rPr>
                  <m:t>k</m:t>
                </m:r>
              </m:sub>
            </m:sSub>
            <m:sSub>
              <m:sSubPr>
                <m:ctrlPr>
                  <w:rPr>
                    <w:rFonts w:ascii="Cambria Math" w:eastAsia="Times New Roman" w:hAnsi="Cambria Math"/>
                    <w:color w:val="000000"/>
                    <w:sz w:val="20"/>
                    <w:szCs w:val="20"/>
                    <w:lang w:eastAsia="es-ES"/>
                  </w:rPr>
                </m:ctrlPr>
              </m:sSubPr>
              <m:e>
                <m:r>
                  <m:rPr>
                    <m:sty m:val="p"/>
                  </m:rPr>
                  <w:rPr>
                    <w:rFonts w:ascii="Cambria Math" w:eastAsia="Times New Roman" w:hAnsi="Cambria Math"/>
                    <w:color w:val="000000"/>
                    <w:sz w:val="20"/>
                    <w:szCs w:val="20"/>
                    <w:lang w:eastAsia="es-ES"/>
                  </w:rPr>
                  <m:t>S</m:t>
                </m:r>
              </m:e>
              <m:sub>
                <m:r>
                  <m:rPr>
                    <m:sty m:val="p"/>
                  </m:rPr>
                  <w:rPr>
                    <w:rFonts w:ascii="Cambria Math" w:eastAsia="Times New Roman" w:hAnsi="Cambria Math"/>
                    <w:color w:val="000000"/>
                    <w:sz w:val="20"/>
                    <w:szCs w:val="20"/>
                    <w:lang w:eastAsia="es-ES"/>
                  </w:rPr>
                  <m:t>k</m:t>
                </m:r>
              </m:sub>
            </m:sSub>
          </m:e>
        </m:nary>
      </m:oMath>
      <w:r w:rsidRPr="007C2D50">
        <w:rPr>
          <w:rFonts w:ascii="Times New Roman" w:eastAsia="Times New Roman" w:hAnsi="Times New Roman"/>
          <w:color w:val="000000"/>
          <w:sz w:val="20"/>
          <w:szCs w:val="20"/>
          <w:lang w:eastAsia="es-ES"/>
        </w:rPr>
        <w:t xml:space="preserve">) </w:t>
      </w:r>
      <w:r w:rsidRPr="007C2D50">
        <w:rPr>
          <w:rFonts w:ascii="Times New Roman" w:eastAsia="Times New Roman" w:hAnsi="Times New Roman"/>
          <w:color w:val="000000"/>
          <w:lang w:eastAsia="es-ES"/>
        </w:rPr>
        <w:t xml:space="preserve"> </w:t>
      </w:r>
      <w:r w:rsidRPr="007C2D50">
        <w:rPr>
          <w:rFonts w:ascii="Times New Roman" w:eastAsia="Times New Roman" w:hAnsi="Times New Roman"/>
          <w:color w:val="000000"/>
          <w:lang w:val="es-ES" w:eastAsia="es-ES"/>
        </w:rPr>
        <w:t>(1)</w:t>
      </w:r>
    </w:p>
    <w:p w14:paraId="04E93EFA" w14:textId="77777777" w:rsidR="00922E37" w:rsidRPr="007C2D50" w:rsidRDefault="00922E37" w:rsidP="00922E37">
      <w:pPr>
        <w:spacing w:after="0" w:line="240" w:lineRule="auto"/>
        <w:rPr>
          <w:rFonts w:ascii="Times New Roman" w:eastAsia="Times New Roman" w:hAnsi="Times New Roman"/>
          <w:szCs w:val="24"/>
          <w:lang w:val="es-ES" w:eastAsia="es-ES"/>
        </w:rPr>
      </w:pPr>
    </w:p>
    <w:p w14:paraId="0321A73C" w14:textId="77777777" w:rsidR="00922E37" w:rsidRPr="007C2D50" w:rsidRDefault="00922E37" w:rsidP="00922E37">
      <w:pPr>
        <w:spacing w:after="0" w:line="360" w:lineRule="auto"/>
        <w:jc w:val="both"/>
        <w:rPr>
          <w:rFonts w:ascii="Times New Roman" w:eastAsia="Times New Roman" w:hAnsi="Times New Roman"/>
          <w:color w:val="000000"/>
          <w:lang w:eastAsia="es-ES"/>
        </w:rPr>
      </w:pPr>
      <w:r w:rsidRPr="007C2D50">
        <w:rPr>
          <w:rFonts w:ascii="Times New Roman" w:eastAsia="Times New Roman" w:hAnsi="Times New Roman"/>
          <w:szCs w:val="24"/>
          <w:lang w:val="es-ES" w:eastAsia="es-ES"/>
        </w:rPr>
        <w:t>A partir de (1) y distinguiendo las fuentes de ingreso que son de interés, el valor del coeficiente de Gini de ingresos de los hogares puede ser descompuesto de la siguiente forma:</w:t>
      </w:r>
    </w:p>
    <w:p w14:paraId="3D1954EE" w14:textId="77777777" w:rsidR="00922E37" w:rsidRPr="007C2D50" w:rsidRDefault="00922E37" w:rsidP="00922E37">
      <w:pPr>
        <w:spacing w:after="0" w:line="240" w:lineRule="auto"/>
        <w:jc w:val="center"/>
        <w:rPr>
          <w:rFonts w:ascii="Times New Roman" w:eastAsia="Times New Roman" w:hAnsi="Times New Roman"/>
          <w:sz w:val="20"/>
          <w:lang w:val="en-US" w:eastAsia="es-ES"/>
        </w:rPr>
      </w:pPr>
      <w:r w:rsidRPr="007C2D50">
        <w:rPr>
          <w:rFonts w:ascii="Times New Roman" w:eastAsia="Times New Roman" w:hAnsi="Times New Roman"/>
          <w:i/>
          <w:sz w:val="20"/>
          <w:lang w:val="en-US" w:eastAsia="es-ES"/>
        </w:rPr>
        <w:t>G</w:t>
      </w:r>
      <w:r w:rsidRPr="007C2D50">
        <w:rPr>
          <w:rFonts w:ascii="Times New Roman" w:eastAsia="Times New Roman" w:hAnsi="Times New Roman"/>
          <w:i/>
          <w:sz w:val="20"/>
          <w:vertAlign w:val="subscript"/>
          <w:lang w:val="fr-FR" w:eastAsia="es-ES"/>
        </w:rPr>
        <w:t>t</w:t>
      </w:r>
      <w:r w:rsidRPr="007C2D50">
        <w:rPr>
          <w:rFonts w:ascii="Times New Roman" w:eastAsia="Times New Roman" w:hAnsi="Times New Roman"/>
          <w:i/>
          <w:sz w:val="20"/>
          <w:lang w:val="en-US" w:eastAsia="es-ES"/>
        </w:rPr>
        <w:t xml:space="preserve">  </w:t>
      </w:r>
      <w:r w:rsidRPr="007C2D50">
        <w:rPr>
          <w:rFonts w:ascii="Times New Roman" w:eastAsia="Times New Roman" w:hAnsi="Times New Roman"/>
          <w:sz w:val="20"/>
          <w:lang w:val="en-US" w:eastAsia="es-ES"/>
        </w:rPr>
        <w:t xml:space="preserve"> =   </w:t>
      </w:r>
      <w:r w:rsidRPr="007C2D50">
        <w:rPr>
          <w:rFonts w:ascii="Times New Roman" w:eastAsia="Times New Roman" w:hAnsi="Times New Roman"/>
          <w:i/>
          <w:sz w:val="20"/>
          <w:lang w:val="en-US" w:eastAsia="es-ES"/>
        </w:rPr>
        <w:t>D</w:t>
      </w:r>
      <w:r w:rsidRPr="007C2D50">
        <w:rPr>
          <w:rFonts w:ascii="Times New Roman" w:eastAsia="Times New Roman" w:hAnsi="Times New Roman"/>
          <w:i/>
          <w:sz w:val="20"/>
          <w:vertAlign w:val="subscript"/>
          <w:lang w:val="en-US" w:eastAsia="es-ES"/>
        </w:rPr>
        <w:t>IL</w:t>
      </w:r>
      <w:r w:rsidRPr="007C2D50">
        <w:rPr>
          <w:rFonts w:ascii="Times New Roman" w:eastAsia="Times New Roman" w:hAnsi="Times New Roman"/>
          <w:i/>
          <w:sz w:val="20"/>
          <w:vertAlign w:val="subscript"/>
          <w:lang w:val="fr-FR" w:eastAsia="es-ES"/>
        </w:rPr>
        <w:t>t</w:t>
      </w:r>
      <w:r w:rsidRPr="007C2D50">
        <w:rPr>
          <w:rFonts w:ascii="Times New Roman" w:eastAsia="Times New Roman" w:hAnsi="Times New Roman"/>
          <w:sz w:val="20"/>
          <w:lang w:val="en-US" w:eastAsia="es-ES"/>
        </w:rPr>
        <w:t xml:space="preserve">  +  </w:t>
      </w:r>
      <w:r w:rsidRPr="007C2D50">
        <w:rPr>
          <w:rFonts w:ascii="Times New Roman" w:eastAsia="Times New Roman" w:hAnsi="Times New Roman"/>
          <w:i/>
          <w:sz w:val="20"/>
          <w:lang w:val="en-US" w:eastAsia="es-ES"/>
        </w:rPr>
        <w:t>D</w:t>
      </w:r>
      <w:r w:rsidRPr="007C2D50">
        <w:rPr>
          <w:rFonts w:ascii="Times New Roman" w:eastAsia="Times New Roman" w:hAnsi="Times New Roman"/>
          <w:i/>
          <w:sz w:val="20"/>
          <w:vertAlign w:val="subscript"/>
          <w:lang w:val="en-US" w:eastAsia="es-ES"/>
        </w:rPr>
        <w:t>INL</w:t>
      </w:r>
      <w:r w:rsidRPr="007C2D50">
        <w:rPr>
          <w:rFonts w:ascii="Times New Roman" w:eastAsia="Times New Roman" w:hAnsi="Times New Roman"/>
          <w:i/>
          <w:sz w:val="20"/>
          <w:vertAlign w:val="subscript"/>
          <w:lang w:val="fr-FR" w:eastAsia="es-ES"/>
        </w:rPr>
        <w:t>t</w:t>
      </w:r>
      <w:r w:rsidRPr="007C2D50">
        <w:rPr>
          <w:rFonts w:ascii="Times New Roman" w:eastAsia="Times New Roman" w:hAnsi="Times New Roman"/>
          <w:sz w:val="20"/>
          <w:lang w:val="en-US" w:eastAsia="es-ES"/>
        </w:rPr>
        <w:t xml:space="preserve"> ,  donde</w:t>
      </w:r>
    </w:p>
    <w:p w14:paraId="0FDC07C8" w14:textId="77777777" w:rsidR="00922E37" w:rsidRPr="007C2D50" w:rsidRDefault="00922E37" w:rsidP="00922E37">
      <w:pPr>
        <w:spacing w:after="240" w:line="240" w:lineRule="auto"/>
        <w:jc w:val="center"/>
        <w:rPr>
          <w:rFonts w:ascii="Times New Roman" w:eastAsia="Times New Roman" w:hAnsi="Times New Roman"/>
          <w:sz w:val="20"/>
          <w:lang w:val="en-GB" w:eastAsia="es-ES"/>
        </w:rPr>
      </w:pPr>
      <w:r w:rsidRPr="007C2D50">
        <w:rPr>
          <w:rFonts w:ascii="Times New Roman" w:eastAsia="Times New Roman" w:hAnsi="Times New Roman"/>
          <w:i/>
          <w:sz w:val="20"/>
          <w:lang w:val="en-GB" w:eastAsia="es-ES"/>
        </w:rPr>
        <w:t>D</w:t>
      </w:r>
      <w:r w:rsidRPr="007C2D50">
        <w:rPr>
          <w:rFonts w:ascii="Times New Roman" w:eastAsia="Times New Roman" w:hAnsi="Times New Roman"/>
          <w:i/>
          <w:sz w:val="20"/>
          <w:vertAlign w:val="subscript"/>
          <w:lang w:val="en-GB" w:eastAsia="es-ES"/>
        </w:rPr>
        <w:t>IL</w:t>
      </w:r>
      <w:r w:rsidRPr="007C2D50">
        <w:rPr>
          <w:rFonts w:ascii="Times New Roman" w:eastAsia="Times New Roman" w:hAnsi="Times New Roman"/>
          <w:i/>
          <w:sz w:val="20"/>
          <w:vertAlign w:val="subscript"/>
          <w:lang w:val="fr-FR" w:eastAsia="es-ES"/>
        </w:rPr>
        <w:t>t</w:t>
      </w:r>
      <w:r w:rsidRPr="007C2D50">
        <w:rPr>
          <w:rFonts w:ascii="Times New Roman" w:eastAsia="Times New Roman" w:hAnsi="Times New Roman"/>
          <w:sz w:val="20"/>
          <w:lang w:val="en-GB" w:eastAsia="es-ES"/>
        </w:rPr>
        <w:t xml:space="preserve"> = D</w:t>
      </w:r>
      <w:r w:rsidRPr="007C2D50">
        <w:rPr>
          <w:rFonts w:ascii="Times New Roman" w:eastAsia="Times New Roman" w:hAnsi="Times New Roman"/>
          <w:i/>
          <w:sz w:val="20"/>
          <w:vertAlign w:val="subscript"/>
          <w:lang w:val="en-GB" w:eastAsia="es-ES"/>
        </w:rPr>
        <w:t>ILSF</w:t>
      </w:r>
      <w:r w:rsidRPr="007C2D50">
        <w:rPr>
          <w:rFonts w:ascii="Times New Roman" w:eastAsia="Times New Roman" w:hAnsi="Times New Roman"/>
          <w:i/>
          <w:sz w:val="20"/>
          <w:vertAlign w:val="subscript"/>
          <w:lang w:val="fr-FR" w:eastAsia="es-ES"/>
        </w:rPr>
        <w:t xml:space="preserve">t </w:t>
      </w:r>
      <w:r w:rsidRPr="007C2D50">
        <w:rPr>
          <w:rFonts w:ascii="Times New Roman" w:eastAsia="Times New Roman" w:hAnsi="Times New Roman"/>
          <w:sz w:val="20"/>
          <w:lang w:val="en-GB" w:eastAsia="es-ES"/>
        </w:rPr>
        <w:t>+ D</w:t>
      </w:r>
      <w:r w:rsidRPr="007C2D50">
        <w:rPr>
          <w:rFonts w:ascii="Times New Roman" w:eastAsia="Times New Roman" w:hAnsi="Times New Roman"/>
          <w:i/>
          <w:sz w:val="20"/>
          <w:vertAlign w:val="subscript"/>
          <w:lang w:val="en-GB" w:eastAsia="es-ES"/>
        </w:rPr>
        <w:t>ILSP</w:t>
      </w:r>
      <w:r w:rsidRPr="007C2D50">
        <w:rPr>
          <w:rFonts w:ascii="Times New Roman" w:eastAsia="Times New Roman" w:hAnsi="Times New Roman"/>
          <w:i/>
          <w:sz w:val="20"/>
          <w:vertAlign w:val="subscript"/>
          <w:lang w:val="fr-FR" w:eastAsia="es-ES"/>
        </w:rPr>
        <w:t>t</w:t>
      </w:r>
      <w:r w:rsidRPr="007C2D50">
        <w:rPr>
          <w:rFonts w:ascii="Times New Roman" w:eastAsia="Times New Roman" w:hAnsi="Times New Roman"/>
          <w:i/>
          <w:sz w:val="20"/>
          <w:lang w:val="en-GB" w:eastAsia="es-ES"/>
        </w:rPr>
        <w:t xml:space="preserve"> </w:t>
      </w:r>
      <w:r w:rsidRPr="007C2D50">
        <w:rPr>
          <w:rFonts w:ascii="Times New Roman" w:eastAsia="Times New Roman" w:hAnsi="Times New Roman"/>
          <w:sz w:val="20"/>
          <w:lang w:val="en-GB" w:eastAsia="es-ES"/>
        </w:rPr>
        <w:t>+D</w:t>
      </w:r>
      <w:r w:rsidRPr="007C2D50">
        <w:rPr>
          <w:rFonts w:ascii="Times New Roman" w:eastAsia="Times New Roman" w:hAnsi="Times New Roman"/>
          <w:i/>
          <w:sz w:val="20"/>
          <w:vertAlign w:val="subscript"/>
          <w:lang w:val="en-GB" w:eastAsia="es-ES"/>
        </w:rPr>
        <w:t>ILSI</w:t>
      </w:r>
      <w:r w:rsidRPr="007C2D50">
        <w:rPr>
          <w:rFonts w:ascii="Times New Roman" w:eastAsia="Times New Roman" w:hAnsi="Times New Roman"/>
          <w:i/>
          <w:sz w:val="20"/>
          <w:vertAlign w:val="subscript"/>
          <w:lang w:val="fr-FR" w:eastAsia="es-ES"/>
        </w:rPr>
        <w:t xml:space="preserve">t  </w:t>
      </w:r>
      <w:r w:rsidRPr="007C2D50">
        <w:rPr>
          <w:rFonts w:ascii="Times New Roman" w:eastAsia="Times New Roman" w:hAnsi="Times New Roman"/>
          <w:sz w:val="20"/>
          <w:lang w:val="en-GB" w:eastAsia="es-ES"/>
        </w:rPr>
        <w:t xml:space="preserve">(2) </w:t>
      </w:r>
    </w:p>
    <w:p w14:paraId="07233B8E" w14:textId="77777777" w:rsidR="00922E37" w:rsidRPr="007C2D50" w:rsidRDefault="00922E37" w:rsidP="00922E37">
      <w:pPr>
        <w:spacing w:before="120" w:after="120" w:line="360" w:lineRule="auto"/>
        <w:jc w:val="both"/>
        <w:rPr>
          <w:rFonts w:ascii="Times New Roman" w:eastAsia="Times New Roman" w:hAnsi="Times New Roman"/>
          <w:szCs w:val="24"/>
          <w:lang w:val="es-ES" w:eastAsia="es-ES"/>
        </w:rPr>
      </w:pPr>
      <w:r w:rsidRPr="007C2D50">
        <w:rPr>
          <w:rFonts w:ascii="Times New Roman" w:eastAsia="Times New Roman" w:hAnsi="Times New Roman"/>
          <w:szCs w:val="24"/>
          <w:lang w:val="es-ES" w:eastAsia="es-ES"/>
        </w:rPr>
        <w:t xml:space="preserve">En (2), </w:t>
      </w:r>
      <w:r w:rsidRPr="007C2D50">
        <w:rPr>
          <w:rFonts w:ascii="Times New Roman" w:eastAsia="Times New Roman" w:hAnsi="Times New Roman"/>
          <w:i/>
          <w:szCs w:val="24"/>
          <w:lang w:val="es-ES" w:eastAsia="es-ES"/>
        </w:rPr>
        <w:t>G</w:t>
      </w:r>
      <w:r w:rsidRPr="007C2D50">
        <w:rPr>
          <w:rFonts w:ascii="Times New Roman" w:eastAsia="Times New Roman" w:hAnsi="Times New Roman"/>
          <w:szCs w:val="24"/>
          <w:lang w:val="es-ES" w:eastAsia="es-ES"/>
        </w:rPr>
        <w:t xml:space="preserve"> representa el coeficiente de desigualdad de Gini de ingresos familiares. </w:t>
      </w:r>
      <w:r w:rsidRPr="007C2D50">
        <w:rPr>
          <w:rFonts w:ascii="Times New Roman" w:eastAsia="Times New Roman" w:hAnsi="Times New Roman"/>
          <w:i/>
          <w:szCs w:val="24"/>
          <w:lang w:val="es-ES" w:eastAsia="es-ES"/>
        </w:rPr>
        <w:t>D</w:t>
      </w:r>
      <w:r w:rsidRPr="007C2D50">
        <w:rPr>
          <w:rFonts w:ascii="Times New Roman" w:eastAsia="Times New Roman" w:hAnsi="Times New Roman"/>
          <w:i/>
          <w:szCs w:val="24"/>
          <w:vertAlign w:val="subscript"/>
          <w:lang w:val="es-ES" w:eastAsia="es-ES"/>
        </w:rPr>
        <w:t>IL</w:t>
      </w:r>
      <w:r w:rsidRPr="007C2D50">
        <w:rPr>
          <w:rFonts w:ascii="Times New Roman" w:eastAsia="Times New Roman" w:hAnsi="Times New Roman"/>
          <w:i/>
          <w:szCs w:val="24"/>
          <w:vertAlign w:val="subscript"/>
          <w:lang w:val="fr-FR" w:eastAsia="es-ES"/>
        </w:rPr>
        <w:t>t</w:t>
      </w:r>
      <w:r w:rsidRPr="007C2D50">
        <w:rPr>
          <w:rFonts w:ascii="Times New Roman" w:eastAsia="Times New Roman" w:hAnsi="Times New Roman"/>
          <w:szCs w:val="24"/>
          <w:lang w:val="es-ES" w:eastAsia="es-ES"/>
        </w:rPr>
        <w:t xml:space="preserve"> simboliza la desigualdad generada por los ingresos del mercado de trabajo y se descompone en aquella que proviene de ingresos monetarios de perceptores ocupados en el sector formal privado </w:t>
      </w:r>
      <w:r w:rsidRPr="007C2D50">
        <w:rPr>
          <w:rFonts w:ascii="Times New Roman" w:eastAsia="Times New Roman" w:hAnsi="Times New Roman"/>
          <w:szCs w:val="24"/>
          <w:lang w:eastAsia="es-ES"/>
        </w:rPr>
        <w:t>–</w:t>
      </w:r>
      <w:r w:rsidRPr="007C2D50">
        <w:rPr>
          <w:rFonts w:ascii="Times New Roman" w:eastAsia="Times New Roman" w:hAnsi="Times New Roman"/>
          <w:i/>
          <w:szCs w:val="24"/>
          <w:lang w:eastAsia="es-ES"/>
        </w:rPr>
        <w:t>D</w:t>
      </w:r>
      <w:r w:rsidRPr="007C2D50">
        <w:rPr>
          <w:rFonts w:ascii="Times New Roman" w:eastAsia="Times New Roman" w:hAnsi="Times New Roman"/>
          <w:i/>
          <w:szCs w:val="24"/>
          <w:vertAlign w:val="subscript"/>
          <w:lang w:eastAsia="es-ES"/>
        </w:rPr>
        <w:t>ILSFt</w:t>
      </w:r>
      <w:r w:rsidRPr="007C2D50">
        <w:rPr>
          <w:rFonts w:ascii="Times New Roman" w:eastAsia="Times New Roman" w:hAnsi="Times New Roman"/>
          <w:szCs w:val="24"/>
          <w:lang w:eastAsia="es-ES"/>
        </w:rPr>
        <w:t>–</w:t>
      </w:r>
      <w:r w:rsidRPr="007C2D50">
        <w:rPr>
          <w:rFonts w:ascii="Times New Roman" w:eastAsia="Times New Roman" w:hAnsi="Times New Roman"/>
          <w:szCs w:val="24"/>
          <w:lang w:val="es-ES" w:eastAsia="es-ES"/>
        </w:rPr>
        <w:t xml:space="preserve">, en el sector formal público </w:t>
      </w:r>
      <w:r w:rsidRPr="007C2D50">
        <w:rPr>
          <w:rFonts w:ascii="Times New Roman" w:eastAsia="Times New Roman" w:hAnsi="Times New Roman"/>
          <w:szCs w:val="24"/>
          <w:lang w:eastAsia="es-ES"/>
        </w:rPr>
        <w:t>–</w:t>
      </w:r>
      <w:r w:rsidRPr="007C2D50">
        <w:rPr>
          <w:rFonts w:ascii="Times New Roman" w:eastAsia="Times New Roman" w:hAnsi="Times New Roman"/>
          <w:i/>
          <w:szCs w:val="24"/>
          <w:lang w:eastAsia="es-ES"/>
        </w:rPr>
        <w:t>D</w:t>
      </w:r>
      <w:r w:rsidRPr="007C2D50">
        <w:rPr>
          <w:rFonts w:ascii="Times New Roman" w:eastAsia="Times New Roman" w:hAnsi="Times New Roman"/>
          <w:i/>
          <w:szCs w:val="24"/>
          <w:vertAlign w:val="subscript"/>
          <w:lang w:eastAsia="es-ES"/>
        </w:rPr>
        <w:t>ILSPt</w:t>
      </w:r>
      <w:r w:rsidRPr="007C2D50">
        <w:rPr>
          <w:rFonts w:ascii="Times New Roman" w:eastAsia="Times New Roman" w:hAnsi="Times New Roman"/>
          <w:szCs w:val="24"/>
          <w:lang w:eastAsia="es-ES"/>
        </w:rPr>
        <w:t>–</w:t>
      </w:r>
      <w:r w:rsidRPr="007C2D50">
        <w:rPr>
          <w:rFonts w:ascii="Times New Roman" w:eastAsia="Times New Roman" w:hAnsi="Times New Roman"/>
          <w:szCs w:val="24"/>
          <w:lang w:val="es-ES" w:eastAsia="es-ES"/>
        </w:rPr>
        <w:t xml:space="preserve">, y en el sector microinformal </w:t>
      </w:r>
      <w:r w:rsidRPr="007C2D50">
        <w:rPr>
          <w:rFonts w:ascii="Times New Roman" w:eastAsia="Times New Roman" w:hAnsi="Times New Roman"/>
          <w:szCs w:val="24"/>
          <w:lang w:eastAsia="es-ES"/>
        </w:rPr>
        <w:t>–</w:t>
      </w:r>
      <w:r w:rsidRPr="007C2D50">
        <w:rPr>
          <w:rFonts w:ascii="Times New Roman" w:eastAsia="Times New Roman" w:hAnsi="Times New Roman"/>
          <w:i/>
          <w:szCs w:val="24"/>
          <w:lang w:eastAsia="es-ES"/>
        </w:rPr>
        <w:t>D</w:t>
      </w:r>
      <w:r w:rsidRPr="007C2D50">
        <w:rPr>
          <w:rFonts w:ascii="Times New Roman" w:eastAsia="Times New Roman" w:hAnsi="Times New Roman"/>
          <w:i/>
          <w:szCs w:val="24"/>
          <w:vertAlign w:val="subscript"/>
          <w:lang w:eastAsia="es-ES"/>
        </w:rPr>
        <w:t>ILSIt</w:t>
      </w:r>
      <w:r w:rsidRPr="007C2D50">
        <w:rPr>
          <w:rFonts w:ascii="Times New Roman" w:eastAsia="Times New Roman" w:hAnsi="Times New Roman"/>
          <w:szCs w:val="24"/>
          <w:lang w:eastAsia="es-ES"/>
        </w:rPr>
        <w:t>–</w:t>
      </w:r>
      <w:r w:rsidRPr="007C2D50">
        <w:rPr>
          <w:rFonts w:ascii="Times New Roman" w:eastAsia="Times New Roman" w:hAnsi="Times New Roman"/>
          <w:szCs w:val="24"/>
          <w:lang w:val="es-ES" w:eastAsia="es-ES"/>
        </w:rPr>
        <w:t xml:space="preserve">. A su vez, </w:t>
      </w:r>
      <w:r w:rsidRPr="007C2D50">
        <w:rPr>
          <w:rFonts w:ascii="Times New Roman" w:eastAsia="Times New Roman" w:hAnsi="Times New Roman"/>
          <w:i/>
          <w:szCs w:val="24"/>
          <w:lang w:eastAsia="es-ES"/>
        </w:rPr>
        <w:t>D</w:t>
      </w:r>
      <w:r w:rsidRPr="007C2D50">
        <w:rPr>
          <w:rFonts w:ascii="Times New Roman" w:eastAsia="Times New Roman" w:hAnsi="Times New Roman"/>
          <w:i/>
          <w:szCs w:val="24"/>
          <w:vertAlign w:val="subscript"/>
          <w:lang w:eastAsia="es-ES"/>
        </w:rPr>
        <w:t>INL</w:t>
      </w:r>
      <w:r w:rsidRPr="007C2D50">
        <w:rPr>
          <w:rFonts w:ascii="Times New Roman" w:eastAsia="Times New Roman" w:hAnsi="Times New Roman"/>
          <w:i/>
          <w:szCs w:val="24"/>
          <w:vertAlign w:val="subscript"/>
          <w:lang w:val="fr-FR" w:eastAsia="es-ES"/>
        </w:rPr>
        <w:t>t</w:t>
      </w:r>
      <w:r w:rsidRPr="007C2D50">
        <w:rPr>
          <w:rFonts w:ascii="Times New Roman" w:eastAsia="Times New Roman" w:hAnsi="Times New Roman"/>
          <w:szCs w:val="24"/>
          <w:lang w:eastAsia="es-ES"/>
        </w:rPr>
        <w:t xml:space="preserve"> representa la desigualdad proveniente de los ingresos no laborales. </w:t>
      </w:r>
      <w:r w:rsidRPr="007C2D50">
        <w:rPr>
          <w:rFonts w:ascii="Times New Roman" w:eastAsia="Times New Roman" w:hAnsi="Times New Roman"/>
          <w:szCs w:val="24"/>
          <w:lang w:val="es-ES" w:eastAsia="es-ES"/>
        </w:rPr>
        <w:t xml:space="preserve">El subíndice </w:t>
      </w:r>
      <w:r w:rsidRPr="007C2D50">
        <w:rPr>
          <w:rFonts w:ascii="Times New Roman" w:eastAsia="Times New Roman" w:hAnsi="Times New Roman"/>
          <w:i/>
          <w:szCs w:val="24"/>
          <w:lang w:val="es-ES" w:eastAsia="es-ES"/>
        </w:rPr>
        <w:t>t</w:t>
      </w:r>
      <w:r w:rsidRPr="007C2D50">
        <w:rPr>
          <w:rFonts w:ascii="Times New Roman" w:eastAsia="Times New Roman" w:hAnsi="Times New Roman"/>
          <w:szCs w:val="24"/>
          <w:lang w:val="es-ES" w:eastAsia="es-ES"/>
        </w:rPr>
        <w:t xml:space="preserve"> simboliza el tiempo.</w:t>
      </w:r>
    </w:p>
    <w:p w14:paraId="6DB07D64" w14:textId="77777777" w:rsidR="00922E37" w:rsidRPr="007C2D50" w:rsidRDefault="00922E37" w:rsidP="00922E37">
      <w:pPr>
        <w:tabs>
          <w:tab w:val="left" w:pos="4069"/>
        </w:tabs>
        <w:spacing w:after="120" w:line="360" w:lineRule="auto"/>
        <w:jc w:val="both"/>
        <w:rPr>
          <w:rFonts w:ascii="Times New Roman" w:eastAsia="Times New Roman" w:hAnsi="Times New Roman"/>
          <w:szCs w:val="24"/>
          <w:lang w:val="es-ES" w:eastAsia="es-ES"/>
        </w:rPr>
      </w:pPr>
      <w:r w:rsidRPr="007C2D50">
        <w:rPr>
          <w:rFonts w:ascii="Times New Roman" w:eastAsia="Times New Roman" w:hAnsi="Times New Roman"/>
          <w:szCs w:val="24"/>
          <w:lang w:val="es-ES" w:eastAsia="es-ES"/>
        </w:rPr>
        <w:t xml:space="preserve">El método de descomposición también permite examinar los comportamientos subyacentes que intervinieron en los cambios del patrón distributivo. El aporte que una determinada fuente de ingreso </w:t>
      </w:r>
      <w:r w:rsidRPr="007C2D50">
        <w:rPr>
          <w:rFonts w:ascii="Times New Roman" w:eastAsia="Times New Roman" w:hAnsi="Times New Roman"/>
          <w:i/>
          <w:szCs w:val="24"/>
          <w:lang w:val="es-ES" w:eastAsia="es-ES"/>
        </w:rPr>
        <w:t>k –</w:t>
      </w:r>
      <w:r w:rsidRPr="007C2D50">
        <w:rPr>
          <w:rFonts w:ascii="Times New Roman" w:eastAsia="Times New Roman" w:hAnsi="Times New Roman"/>
          <w:szCs w:val="24"/>
          <w:lang w:val="es-ES" w:eastAsia="es-ES"/>
        </w:rPr>
        <w:t xml:space="preserve">en un tiempo </w:t>
      </w:r>
      <w:r w:rsidRPr="007C2D50">
        <w:rPr>
          <w:rFonts w:ascii="Times New Roman" w:eastAsia="Times New Roman" w:hAnsi="Times New Roman"/>
          <w:i/>
          <w:szCs w:val="24"/>
          <w:lang w:val="es-ES" w:eastAsia="es-ES"/>
        </w:rPr>
        <w:t xml:space="preserve">t– </w:t>
      </w:r>
      <w:r w:rsidRPr="007C2D50">
        <w:rPr>
          <w:rFonts w:ascii="Times New Roman" w:eastAsia="Times New Roman" w:hAnsi="Times New Roman"/>
          <w:szCs w:val="24"/>
          <w:lang w:val="es-ES" w:eastAsia="es-ES"/>
        </w:rPr>
        <w:t xml:space="preserve">haga a la desigualdad general habrá de depender de </w:t>
      </w:r>
      <w:r w:rsidRPr="007C2D50">
        <w:rPr>
          <w:rFonts w:ascii="Times New Roman" w:eastAsia="Times New Roman" w:hAnsi="Times New Roman"/>
          <w:szCs w:val="24"/>
          <w:lang w:val="es-ES" w:eastAsia="es-ES"/>
        </w:rPr>
        <w:lastRenderedPageBreak/>
        <w:t>cuánto participe en el ingreso total (S</w:t>
      </w:r>
      <w:r w:rsidRPr="007C2D50">
        <w:rPr>
          <w:rFonts w:ascii="Times New Roman" w:eastAsia="Times New Roman" w:hAnsi="Times New Roman"/>
          <w:szCs w:val="24"/>
          <w:vertAlign w:val="subscript"/>
          <w:lang w:val="es-ES" w:eastAsia="es-ES"/>
        </w:rPr>
        <w:t>k,t</w:t>
      </w:r>
      <w:r w:rsidRPr="007C2D50">
        <w:rPr>
          <w:rFonts w:ascii="Times New Roman" w:eastAsia="Times New Roman" w:hAnsi="Times New Roman"/>
          <w:szCs w:val="24"/>
          <w:lang w:val="es-ES" w:eastAsia="es-ES"/>
        </w:rPr>
        <w:t>), cuán desigual sea su distribución (G</w:t>
      </w:r>
      <w:r w:rsidRPr="007C2D50">
        <w:rPr>
          <w:rFonts w:ascii="Times New Roman" w:eastAsia="Times New Roman" w:hAnsi="Times New Roman"/>
          <w:szCs w:val="24"/>
          <w:vertAlign w:val="subscript"/>
          <w:lang w:val="es-ES" w:eastAsia="es-ES"/>
        </w:rPr>
        <w:t>k,t</w:t>
      </w:r>
      <w:r w:rsidRPr="007C2D50">
        <w:rPr>
          <w:rFonts w:ascii="Times New Roman" w:eastAsia="Times New Roman" w:hAnsi="Times New Roman"/>
          <w:szCs w:val="24"/>
          <w:lang w:val="es-ES" w:eastAsia="es-ES"/>
        </w:rPr>
        <w:t>) (cuanto más inequitativa sea, mayor será su aporte a la desigualdad), y en qué medida el ingreso generado en esa fuente se correlaciona ordinalmente con la posición relativa del hogar en la distribución general (R</w:t>
      </w:r>
      <w:r w:rsidRPr="007C2D50">
        <w:rPr>
          <w:rFonts w:ascii="Times New Roman" w:eastAsia="Times New Roman" w:hAnsi="Times New Roman"/>
          <w:szCs w:val="24"/>
          <w:vertAlign w:val="subscript"/>
          <w:lang w:val="es-ES" w:eastAsia="es-ES"/>
        </w:rPr>
        <w:t>k,t</w:t>
      </w:r>
      <w:r w:rsidRPr="007C2D50">
        <w:rPr>
          <w:rFonts w:ascii="Times New Roman" w:eastAsia="Times New Roman" w:hAnsi="Times New Roman"/>
          <w:szCs w:val="24"/>
          <w:lang w:val="es-ES" w:eastAsia="es-ES"/>
        </w:rPr>
        <w:t>) (cuanto mayor sea su correlación positiva</w:t>
      </w:r>
      <w:r w:rsidRPr="007C2D50">
        <w:rPr>
          <w:rFonts w:ascii="Times New Roman" w:eastAsia="Times New Roman" w:hAnsi="Times New Roman"/>
          <w:i/>
          <w:szCs w:val="24"/>
          <w:lang w:val="es-ES" w:eastAsia="es-ES"/>
        </w:rPr>
        <w:t xml:space="preserve">, </w:t>
      </w:r>
      <w:r w:rsidRPr="007C2D50">
        <w:rPr>
          <w:rFonts w:ascii="Times New Roman" w:eastAsia="Times New Roman" w:hAnsi="Times New Roman"/>
          <w:szCs w:val="24"/>
          <w:lang w:val="es-ES" w:eastAsia="es-ES"/>
        </w:rPr>
        <w:t>mayor será su aporte regresivo a la desigualdad). Dado que la ecuación de descomposición asume la forma expresada en (1), según demuestra Cort</w:t>
      </w:r>
      <w:r w:rsidR="00FF3BCD">
        <w:rPr>
          <w:rFonts w:ascii="Times New Roman" w:eastAsia="Times New Roman" w:hAnsi="Times New Roman"/>
          <w:szCs w:val="24"/>
          <w:lang w:val="es-ES" w:eastAsia="es-ES"/>
        </w:rPr>
        <w:t>é</w:t>
      </w:r>
      <w:r w:rsidRPr="007C2D50">
        <w:rPr>
          <w:rFonts w:ascii="Times New Roman" w:eastAsia="Times New Roman" w:hAnsi="Times New Roman"/>
          <w:szCs w:val="24"/>
          <w:lang w:val="es-ES" w:eastAsia="es-ES"/>
        </w:rPr>
        <w:t xml:space="preserve">s (2000), el cambio entre dos índices de Gini que expresen diferencias temporales, uno referido al tiempo </w:t>
      </w:r>
      <w:r w:rsidRPr="007C2D50">
        <w:rPr>
          <w:rFonts w:ascii="Times New Roman" w:eastAsia="Times New Roman" w:hAnsi="Times New Roman"/>
          <w:i/>
          <w:szCs w:val="24"/>
          <w:lang w:val="es-ES" w:eastAsia="es-ES"/>
        </w:rPr>
        <w:t>t</w:t>
      </w:r>
      <w:r w:rsidRPr="007C2D50">
        <w:rPr>
          <w:rFonts w:ascii="Times New Roman" w:eastAsia="Times New Roman" w:hAnsi="Times New Roman"/>
          <w:szCs w:val="24"/>
          <w:lang w:val="es-ES" w:eastAsia="es-ES"/>
        </w:rPr>
        <w:t xml:space="preserve"> (G</w:t>
      </w:r>
      <w:r w:rsidRPr="007C2D50">
        <w:rPr>
          <w:rFonts w:ascii="Times New Roman" w:eastAsia="Times New Roman" w:hAnsi="Times New Roman"/>
          <w:szCs w:val="24"/>
          <w:vertAlign w:val="subscript"/>
          <w:lang w:val="es-ES" w:eastAsia="es-ES"/>
        </w:rPr>
        <w:t>t</w:t>
      </w:r>
      <w:r w:rsidRPr="007C2D50">
        <w:rPr>
          <w:rFonts w:ascii="Times New Roman" w:eastAsia="Times New Roman" w:hAnsi="Times New Roman"/>
          <w:szCs w:val="24"/>
          <w:lang w:val="es-ES" w:eastAsia="es-ES"/>
        </w:rPr>
        <w:t xml:space="preserve">) y otro al tiempo </w:t>
      </w:r>
      <w:r w:rsidRPr="007C2D50">
        <w:rPr>
          <w:rFonts w:ascii="Times New Roman" w:eastAsia="Times New Roman" w:hAnsi="Times New Roman"/>
          <w:i/>
          <w:szCs w:val="24"/>
          <w:lang w:val="es-ES" w:eastAsia="es-ES"/>
        </w:rPr>
        <w:t>0</w:t>
      </w:r>
      <w:r w:rsidRPr="007C2D50">
        <w:rPr>
          <w:rFonts w:ascii="Times New Roman" w:eastAsia="Times New Roman" w:hAnsi="Times New Roman"/>
          <w:szCs w:val="24"/>
          <w:lang w:val="es-ES" w:eastAsia="es-ES"/>
        </w:rPr>
        <w:t xml:space="preserve"> (G</w:t>
      </w:r>
      <w:r w:rsidRPr="007C2D50">
        <w:rPr>
          <w:rFonts w:ascii="Times New Roman" w:eastAsia="Times New Roman" w:hAnsi="Times New Roman"/>
          <w:szCs w:val="24"/>
          <w:vertAlign w:val="subscript"/>
          <w:lang w:val="es-ES" w:eastAsia="es-ES"/>
        </w:rPr>
        <w:t>0</w:t>
      </w:r>
      <w:r w:rsidRPr="007C2D50">
        <w:rPr>
          <w:rFonts w:ascii="Times New Roman" w:eastAsia="Times New Roman" w:hAnsi="Times New Roman"/>
          <w:szCs w:val="24"/>
          <w:lang w:val="es-ES" w:eastAsia="es-ES"/>
        </w:rPr>
        <w:t xml:space="preserve">), puede descomponerse de acuerdo con la siguiente ecuación: </w:t>
      </w:r>
    </w:p>
    <w:p w14:paraId="26C7581F" w14:textId="77777777" w:rsidR="00922E37" w:rsidRPr="007C2D50" w:rsidRDefault="00922E37" w:rsidP="00922E37">
      <w:pPr>
        <w:spacing w:after="120" w:line="240" w:lineRule="auto"/>
        <w:jc w:val="center"/>
        <w:rPr>
          <w:rFonts w:ascii="Times New Roman" w:eastAsia="Times New Roman" w:hAnsi="Times New Roman"/>
          <w:lang w:val="es-ES" w:eastAsia="es-ES"/>
        </w:rPr>
      </w:pPr>
      <w:bookmarkStart w:id="0" w:name="OLE_LINK1"/>
      <m:oMath>
        <m:r>
          <w:rPr>
            <w:rFonts w:ascii="Cambria Math" w:eastAsia="Times New Roman" w:hAnsi="Cambria Math"/>
            <w:sz w:val="18"/>
            <w:lang w:val="es-ES" w:eastAsia="es-ES"/>
          </w:rPr>
          <m:t>∆</m:t>
        </m:r>
        <m:r>
          <m:rPr>
            <m:sty m:val="p"/>
          </m:rPr>
          <w:rPr>
            <w:rFonts w:ascii="Cambria Math" w:eastAsia="Times New Roman" w:hAnsi="Cambria Math"/>
            <w:sz w:val="18"/>
            <w:lang w:val="es-ES" w:eastAsia="es-ES"/>
          </w:rPr>
          <m:t>G=</m:t>
        </m:r>
        <m:sSub>
          <m:sSubPr>
            <m:ctrlPr>
              <w:rPr>
                <w:rFonts w:ascii="Cambria Math" w:eastAsia="Times New Roman" w:hAnsi="Cambria Math"/>
                <w:sz w:val="18"/>
                <w:lang w:eastAsia="es-ES"/>
              </w:rPr>
            </m:ctrlPr>
          </m:sSubPr>
          <m:e>
            <m:r>
              <m:rPr>
                <m:sty m:val="p"/>
              </m:rPr>
              <w:rPr>
                <w:rFonts w:ascii="Cambria Math" w:eastAsia="Times New Roman" w:hAnsi="Cambria Math"/>
                <w:sz w:val="18"/>
                <w:lang w:val="es-ES" w:eastAsia="es-ES"/>
              </w:rPr>
              <m:t>G</m:t>
            </m:r>
          </m:e>
          <m:sub>
            <m:r>
              <m:rPr>
                <m:sty m:val="p"/>
              </m:rPr>
              <w:rPr>
                <w:rFonts w:ascii="Cambria Math" w:eastAsia="Times New Roman" w:hAnsi="Cambria Math"/>
                <w:sz w:val="18"/>
                <w:lang w:val="es-ES" w:eastAsia="es-ES"/>
              </w:rPr>
              <m:t>t</m:t>
            </m:r>
          </m:sub>
        </m:sSub>
        <m:r>
          <m:rPr>
            <m:sty m:val="p"/>
          </m:rPr>
          <w:rPr>
            <w:rFonts w:ascii="Cambria Math" w:eastAsia="Times New Roman" w:hAnsi="Cambria Math"/>
            <w:sz w:val="18"/>
            <w:lang w:val="es-ES" w:eastAsia="es-ES"/>
          </w:rPr>
          <m:t>-</m:t>
        </m:r>
        <m:sSub>
          <m:sSubPr>
            <m:ctrlPr>
              <w:rPr>
                <w:rFonts w:ascii="Cambria Math" w:eastAsia="Times New Roman" w:hAnsi="Cambria Math"/>
                <w:sz w:val="18"/>
                <w:lang w:eastAsia="es-ES"/>
              </w:rPr>
            </m:ctrlPr>
          </m:sSubPr>
          <m:e>
            <m:r>
              <m:rPr>
                <m:sty m:val="p"/>
              </m:rPr>
              <w:rPr>
                <w:rFonts w:ascii="Cambria Math" w:eastAsia="Times New Roman" w:hAnsi="Cambria Math"/>
                <w:sz w:val="18"/>
                <w:lang w:val="es-ES" w:eastAsia="es-ES"/>
              </w:rPr>
              <m:t>G</m:t>
            </m:r>
          </m:e>
          <m:sub>
            <m:r>
              <m:rPr>
                <m:sty m:val="p"/>
              </m:rPr>
              <w:rPr>
                <w:rFonts w:ascii="Cambria Math" w:eastAsia="Times New Roman" w:hAnsi="Cambria Math"/>
                <w:sz w:val="18"/>
                <w:lang w:val="es-ES" w:eastAsia="es-ES"/>
              </w:rPr>
              <m:t>0</m:t>
            </m:r>
          </m:sub>
        </m:sSub>
        <m:r>
          <m:rPr>
            <m:sty m:val="p"/>
          </m:rPr>
          <w:rPr>
            <w:rFonts w:ascii="Cambria Math" w:eastAsia="Times New Roman" w:hAnsi="Cambria Math"/>
            <w:sz w:val="18"/>
            <w:lang w:val="es-ES" w:eastAsia="es-ES"/>
          </w:rPr>
          <m:t>=</m:t>
        </m:r>
        <m:nary>
          <m:naryPr>
            <m:chr m:val="∑"/>
            <m:limLoc m:val="undOvr"/>
            <m:ctrlPr>
              <w:rPr>
                <w:rFonts w:ascii="Cambria Math" w:eastAsia="Times New Roman" w:hAnsi="Cambria Math"/>
                <w:sz w:val="18"/>
                <w:lang w:eastAsia="es-ES"/>
              </w:rPr>
            </m:ctrlPr>
          </m:naryPr>
          <m:sub>
            <m:r>
              <m:rPr>
                <m:sty m:val="p"/>
              </m:rPr>
              <w:rPr>
                <w:rFonts w:ascii="Cambria Math" w:eastAsia="Times New Roman" w:hAnsi="Cambria Math"/>
                <w:sz w:val="18"/>
                <w:lang w:val="es-ES" w:eastAsia="es-ES"/>
              </w:rPr>
              <m:t>k=1</m:t>
            </m:r>
          </m:sub>
          <m:sup>
            <m:r>
              <m:rPr>
                <m:sty m:val="p"/>
              </m:rPr>
              <w:rPr>
                <w:rFonts w:ascii="Cambria Math" w:eastAsia="Times New Roman" w:hAnsi="Cambria Math"/>
                <w:sz w:val="18"/>
                <w:lang w:val="es-ES" w:eastAsia="es-ES"/>
              </w:rPr>
              <m:t>k</m:t>
            </m:r>
          </m:sup>
          <m:e>
            <m:sSub>
              <m:sSubPr>
                <m:ctrlPr>
                  <w:rPr>
                    <w:rFonts w:ascii="Cambria Math" w:eastAsia="Times New Roman" w:hAnsi="Cambria Math"/>
                    <w:sz w:val="18"/>
                    <w:lang w:eastAsia="es-ES"/>
                  </w:rPr>
                </m:ctrlPr>
              </m:sSubPr>
              <m:e>
                <m:r>
                  <m:rPr>
                    <m:sty m:val="p"/>
                  </m:rPr>
                  <w:rPr>
                    <w:rFonts w:ascii="Cambria Math" w:eastAsia="Times New Roman" w:hAnsi="Cambria Math"/>
                    <w:sz w:val="18"/>
                    <w:lang w:val="es-ES" w:eastAsia="es-ES"/>
                  </w:rPr>
                  <m:t>R</m:t>
                </m:r>
              </m:e>
              <m:sub>
                <m:r>
                  <m:rPr>
                    <m:sty m:val="p"/>
                  </m:rPr>
                  <w:rPr>
                    <w:rFonts w:ascii="Cambria Math" w:eastAsia="Times New Roman" w:hAnsi="Cambria Math"/>
                    <w:sz w:val="18"/>
                    <w:lang w:val="es-ES" w:eastAsia="es-ES"/>
                  </w:rPr>
                  <m:t>0,k</m:t>
                </m:r>
              </m:sub>
            </m:sSub>
          </m:e>
        </m:nary>
        <m:sSub>
          <m:sSubPr>
            <m:ctrlPr>
              <w:rPr>
                <w:rFonts w:ascii="Cambria Math" w:eastAsia="Times New Roman" w:hAnsi="Cambria Math"/>
                <w:sz w:val="18"/>
                <w:lang w:eastAsia="es-ES"/>
              </w:rPr>
            </m:ctrlPr>
          </m:sSubPr>
          <m:e>
            <m:r>
              <m:rPr>
                <m:sty m:val="p"/>
              </m:rPr>
              <w:rPr>
                <w:rFonts w:ascii="Cambria Math" w:eastAsia="Times New Roman" w:hAnsi="Cambria Math"/>
                <w:sz w:val="18"/>
                <w:lang w:val="es-ES" w:eastAsia="es-ES"/>
              </w:rPr>
              <m:t>G</m:t>
            </m:r>
          </m:e>
          <m:sub>
            <m:r>
              <m:rPr>
                <m:sty m:val="p"/>
              </m:rPr>
              <w:rPr>
                <w:rFonts w:ascii="Cambria Math" w:eastAsia="Times New Roman" w:hAnsi="Cambria Math"/>
                <w:sz w:val="18"/>
                <w:lang w:val="es-ES" w:eastAsia="es-ES"/>
              </w:rPr>
              <m:t>0,k</m:t>
            </m:r>
          </m:sub>
        </m:sSub>
        <m:sSub>
          <m:sSubPr>
            <m:ctrlPr>
              <w:rPr>
                <w:rFonts w:ascii="Cambria Math" w:eastAsia="Times New Roman" w:hAnsi="Cambria Math"/>
                <w:sz w:val="18"/>
                <w:lang w:eastAsia="es-ES"/>
              </w:rPr>
            </m:ctrlPr>
          </m:sSubPr>
          <m:e>
            <m:r>
              <m:rPr>
                <m:sty m:val="p"/>
              </m:rPr>
              <w:rPr>
                <w:rFonts w:ascii="Cambria Math" w:eastAsia="Times New Roman" w:hAnsi="Cambria Math"/>
                <w:sz w:val="18"/>
                <w:lang w:val="es-ES" w:eastAsia="es-ES"/>
              </w:rPr>
              <m:t>S</m:t>
            </m:r>
          </m:e>
          <m:sub>
            <m:r>
              <m:rPr>
                <m:sty m:val="p"/>
              </m:rPr>
              <w:rPr>
                <w:rFonts w:ascii="Cambria Math" w:eastAsia="Times New Roman" w:hAnsi="Cambria Math"/>
                <w:sz w:val="18"/>
                <w:lang w:val="es-ES" w:eastAsia="es-ES"/>
              </w:rPr>
              <m:t>0,k</m:t>
            </m:r>
          </m:sub>
        </m:sSub>
        <m:r>
          <m:rPr>
            <m:sty m:val="p"/>
          </m:rPr>
          <w:rPr>
            <w:rFonts w:ascii="Cambria Math" w:eastAsia="Times New Roman" w:hAnsi="Cambria Math"/>
            <w:sz w:val="18"/>
            <w:lang w:val="es-ES" w:eastAsia="es-ES"/>
          </w:rPr>
          <m:t xml:space="preserve"> [r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 + g</m:t>
        </m:r>
        <m:r>
          <m:rPr>
            <m:sty m:val="p"/>
          </m:rPr>
          <w:rPr>
            <w:rFonts w:ascii="Cambria Math" w:eastAsia="Times New Roman" w:hAnsi="Cambria Math"/>
            <w:sz w:val="18"/>
            <w:vertAlign w:val="subscript"/>
            <w:lang w:val="es-ES" w:eastAsia="es-ES"/>
          </w:rPr>
          <m:t xml:space="preserve"> k</m:t>
        </m:r>
        <m:r>
          <m:rPr>
            <m:sty m:val="p"/>
          </m:rPr>
          <w:rPr>
            <w:rFonts w:ascii="Cambria Math" w:eastAsia="Times New Roman" w:hAnsi="Cambria Math"/>
            <w:sz w:val="18"/>
            <w:lang w:val="es-ES" w:eastAsia="es-ES"/>
          </w:rPr>
          <m:t xml:space="preserve"> + s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 +  r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*g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  + r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*s</m:t>
        </m:r>
        <m:r>
          <m:rPr>
            <m:sty m:val="p"/>
          </m:rPr>
          <w:rPr>
            <w:rFonts w:ascii="Cambria Math" w:eastAsia="Times New Roman" w:hAnsi="Cambria Math"/>
            <w:sz w:val="18"/>
            <w:vertAlign w:val="subscript"/>
            <w:lang w:val="es-ES" w:eastAsia="es-ES"/>
          </w:rPr>
          <m:t xml:space="preserve"> k</m:t>
        </m:r>
        <m:r>
          <m:rPr>
            <m:sty m:val="p"/>
          </m:rPr>
          <w:rPr>
            <w:rFonts w:ascii="Cambria Math" w:eastAsia="Times New Roman" w:hAnsi="Cambria Math"/>
            <w:sz w:val="18"/>
            <w:lang w:val="es-ES" w:eastAsia="es-ES"/>
          </w:rPr>
          <m:t xml:space="preserve">  + g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*s</m:t>
        </m:r>
        <m:r>
          <m:rPr>
            <m:sty m:val="p"/>
          </m:rPr>
          <w:rPr>
            <w:rFonts w:ascii="Cambria Math" w:eastAsia="Times New Roman" w:hAnsi="Cambria Math"/>
            <w:sz w:val="18"/>
            <w:vertAlign w:val="subscript"/>
            <w:lang w:val="es-ES" w:eastAsia="es-ES"/>
          </w:rPr>
          <m:t xml:space="preserve"> k</m:t>
        </m:r>
        <m:r>
          <m:rPr>
            <m:sty m:val="p"/>
          </m:rPr>
          <w:rPr>
            <w:rFonts w:ascii="Cambria Math" w:eastAsia="Times New Roman" w:hAnsi="Cambria Math"/>
            <w:sz w:val="18"/>
            <w:lang w:val="es-ES" w:eastAsia="es-ES"/>
          </w:rPr>
          <m:t xml:space="preserve"> + r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 xml:space="preserve">*g </m:t>
        </m:r>
        <m:r>
          <m:rPr>
            <m:sty m:val="p"/>
          </m:rPr>
          <w:rPr>
            <w:rFonts w:ascii="Cambria Math" w:eastAsia="Times New Roman" w:hAnsi="Cambria Math"/>
            <w:sz w:val="18"/>
            <w:vertAlign w:val="subscript"/>
            <w:lang w:val="es-ES" w:eastAsia="es-ES"/>
          </w:rPr>
          <m:t>k</m:t>
        </m:r>
        <m:r>
          <m:rPr>
            <m:sty m:val="p"/>
          </m:rPr>
          <w:rPr>
            <w:rFonts w:ascii="Cambria Math" w:eastAsia="Times New Roman" w:hAnsi="Cambria Math"/>
            <w:sz w:val="18"/>
            <w:lang w:val="es-ES" w:eastAsia="es-ES"/>
          </w:rPr>
          <m:t>*s</m:t>
        </m:r>
        <m:r>
          <m:rPr>
            <m:sty m:val="p"/>
          </m:rPr>
          <w:rPr>
            <w:rFonts w:ascii="Cambria Math" w:eastAsia="Times New Roman" w:hAnsi="Cambria Math"/>
            <w:sz w:val="18"/>
            <w:vertAlign w:val="subscript"/>
            <w:lang w:val="es-ES" w:eastAsia="es-ES"/>
          </w:rPr>
          <m:t xml:space="preserve"> k</m:t>
        </m:r>
        <m:r>
          <m:rPr>
            <m:sty m:val="p"/>
          </m:rPr>
          <w:rPr>
            <w:rFonts w:ascii="Cambria Math" w:eastAsia="Times New Roman" w:hAnsi="Cambria Math"/>
            <w:sz w:val="18"/>
            <w:lang w:val="es-ES" w:eastAsia="es-ES"/>
          </w:rPr>
          <m:t>]</m:t>
        </m:r>
      </m:oMath>
      <w:bookmarkEnd w:id="0"/>
      <w:r w:rsidRPr="007C2D50">
        <w:rPr>
          <w:rFonts w:ascii="Times New Roman" w:eastAsia="Times New Roman" w:hAnsi="Times New Roman"/>
          <w:sz w:val="18"/>
          <w:lang w:val="es-ES" w:eastAsia="es-ES"/>
        </w:rPr>
        <w:t xml:space="preserve">   (3)</w:t>
      </w:r>
    </w:p>
    <w:p w14:paraId="488C5B3A" w14:textId="77777777" w:rsidR="00922E37" w:rsidRPr="007C2D50" w:rsidRDefault="00922E37" w:rsidP="00922E37">
      <w:pPr>
        <w:spacing w:after="0" w:line="240" w:lineRule="auto"/>
        <w:jc w:val="right"/>
        <w:rPr>
          <w:rFonts w:ascii="Times New Roman" w:eastAsia="Times New Roman" w:hAnsi="Times New Roman"/>
          <w:i/>
          <w:sz w:val="18"/>
          <w:lang w:eastAsia="es-ES"/>
        </w:rPr>
      </w:pPr>
      <w:r w:rsidRPr="007C2D50">
        <w:rPr>
          <w:rFonts w:ascii="Times New Roman" w:eastAsia="Times New Roman" w:hAnsi="Times New Roman"/>
          <w:i/>
          <w:sz w:val="18"/>
          <w:lang w:eastAsia="es-ES"/>
        </w:rPr>
        <w:t>(k = 1, 2,...., K)</w:t>
      </w:r>
    </w:p>
    <w:p w14:paraId="4B94A23A" w14:textId="77777777" w:rsidR="00922E37" w:rsidRPr="007C2D50" w:rsidRDefault="00922E37" w:rsidP="00922E37">
      <w:pPr>
        <w:spacing w:after="120" w:line="240" w:lineRule="auto"/>
        <w:jc w:val="right"/>
        <w:rPr>
          <w:rFonts w:ascii="Times New Roman" w:eastAsia="Times New Roman" w:hAnsi="Times New Roman"/>
          <w:i/>
          <w:sz w:val="18"/>
          <w:lang w:eastAsia="es-ES"/>
        </w:rPr>
      </w:pPr>
      <w:r w:rsidRPr="007C2D50">
        <w:rPr>
          <w:rFonts w:ascii="Times New Roman" w:eastAsia="Times New Roman" w:hAnsi="Times New Roman"/>
          <w:i/>
          <w:sz w:val="18"/>
          <w:lang w:eastAsia="es-ES"/>
        </w:rPr>
        <w:t>(t = 1974, 1988,……2014)</w:t>
      </w:r>
    </w:p>
    <w:p w14:paraId="202062F7" w14:textId="77777777" w:rsidR="00922E37" w:rsidRPr="007C2D50" w:rsidRDefault="00922E37" w:rsidP="00922E37">
      <w:pPr>
        <w:spacing w:after="120" w:line="360" w:lineRule="auto"/>
        <w:jc w:val="both"/>
        <w:rPr>
          <w:rFonts w:ascii="Times New Roman" w:eastAsia="Times New Roman" w:hAnsi="Times New Roman"/>
          <w:szCs w:val="24"/>
          <w:lang w:val="es-ES" w:eastAsia="es-ES"/>
        </w:rPr>
      </w:pPr>
      <w:r w:rsidRPr="007C2D50">
        <w:rPr>
          <w:rFonts w:ascii="Times New Roman" w:eastAsia="Times New Roman" w:hAnsi="Times New Roman"/>
          <w:szCs w:val="24"/>
          <w:lang w:val="es-ES" w:eastAsia="es-ES"/>
        </w:rPr>
        <w:t>Según la ecuación (3) la contribución de una determinada fuente al cambio general de la desigualdad estará determinada por: (i) los cambios en la correlación entre la distribución del ingreso familiar de un determinado origen con respecto a la distribución total del ingreso (R</w:t>
      </w:r>
      <w:r w:rsidRPr="007C2D50">
        <w:rPr>
          <w:rFonts w:ascii="Times New Roman" w:eastAsia="Times New Roman" w:hAnsi="Times New Roman"/>
          <w:szCs w:val="24"/>
          <w:vertAlign w:val="subscript"/>
          <w:lang w:val="es-ES" w:eastAsia="es-ES"/>
        </w:rPr>
        <w:t>k</w:t>
      </w:r>
      <w:r w:rsidRPr="007C2D50">
        <w:rPr>
          <w:rFonts w:ascii="Times New Roman" w:eastAsia="Times New Roman" w:hAnsi="Times New Roman"/>
          <w:szCs w:val="24"/>
          <w:lang w:val="es-ES" w:eastAsia="es-ES"/>
        </w:rPr>
        <w:t>); (ii) el cambio en la concentración relativa del ingreso por parte de cada fuente considerada (S</w:t>
      </w:r>
      <w:r w:rsidRPr="007C2D50">
        <w:rPr>
          <w:rFonts w:ascii="Times New Roman" w:eastAsia="Times New Roman" w:hAnsi="Times New Roman"/>
          <w:szCs w:val="24"/>
          <w:vertAlign w:val="subscript"/>
          <w:lang w:val="es-ES" w:eastAsia="es-ES"/>
        </w:rPr>
        <w:t>k</w:t>
      </w:r>
      <w:r w:rsidRPr="007C2D50">
        <w:rPr>
          <w:rFonts w:ascii="Times New Roman" w:eastAsia="Times New Roman" w:hAnsi="Times New Roman"/>
          <w:szCs w:val="24"/>
          <w:lang w:val="es-ES" w:eastAsia="es-ES"/>
        </w:rPr>
        <w:t>); (iii) los cambios que registre la desigualdad al interior de cada fuente (G</w:t>
      </w:r>
      <w:r w:rsidRPr="007C2D50">
        <w:rPr>
          <w:rFonts w:ascii="Times New Roman" w:eastAsia="Times New Roman" w:hAnsi="Times New Roman"/>
          <w:szCs w:val="24"/>
          <w:vertAlign w:val="subscript"/>
          <w:lang w:val="es-ES" w:eastAsia="es-ES"/>
        </w:rPr>
        <w:t>k</w:t>
      </w:r>
      <w:r w:rsidRPr="007C2D50">
        <w:rPr>
          <w:rFonts w:ascii="Times New Roman" w:eastAsia="Times New Roman" w:hAnsi="Times New Roman"/>
          <w:szCs w:val="24"/>
          <w:lang w:val="es-ES" w:eastAsia="es-ES"/>
        </w:rPr>
        <w:t>); y (iv) el efecto de cada una de las interacciones de primer y segundo orden entre estos factores</w:t>
      </w:r>
      <w:r w:rsidR="00144B64">
        <w:rPr>
          <w:rFonts w:ascii="Times New Roman" w:eastAsia="Times New Roman" w:hAnsi="Times New Roman"/>
          <w:szCs w:val="24"/>
          <w:lang w:val="es-ES" w:eastAsia="es-ES"/>
        </w:rPr>
        <w:t xml:space="preserve"> </w:t>
      </w:r>
      <w:r w:rsidR="00144B64" w:rsidRPr="00144B64">
        <w:rPr>
          <w:rFonts w:ascii="Times New Roman" w:eastAsia="Times New Roman" w:hAnsi="Times New Roman"/>
          <w:szCs w:val="24"/>
          <w:highlight w:val="yellow"/>
          <w:lang w:val="es-ES" w:eastAsia="es-ES"/>
        </w:rPr>
        <w:t>(las que carecen de significación analítica)</w:t>
      </w:r>
      <w:r w:rsidRPr="007C2D50">
        <w:rPr>
          <w:rFonts w:ascii="Times New Roman" w:eastAsia="Times New Roman" w:hAnsi="Times New Roman"/>
          <w:szCs w:val="24"/>
          <w:lang w:val="es-ES" w:eastAsia="es-ES"/>
        </w:rPr>
        <w:t>. El factor común que reúne la suma (</w:t>
      </w:r>
      <w:r w:rsidRPr="007C2D50">
        <w:rPr>
          <w:rFonts w:ascii="Times New Roman" w:eastAsia="Times New Roman" w:hAnsi="Times New Roman"/>
          <w:i/>
          <w:szCs w:val="24"/>
          <w:lang w:val="es-ES" w:eastAsia="es-ES"/>
        </w:rPr>
        <w:t>R</w:t>
      </w:r>
      <w:r w:rsidRPr="007C2D50">
        <w:rPr>
          <w:rFonts w:ascii="Times New Roman" w:eastAsia="Times New Roman" w:hAnsi="Times New Roman"/>
          <w:i/>
          <w:szCs w:val="24"/>
          <w:vertAlign w:val="subscript"/>
          <w:lang w:val="es-ES" w:eastAsia="es-ES"/>
        </w:rPr>
        <w:t>0,k</w:t>
      </w:r>
      <w:r w:rsidRPr="007C2D50">
        <w:rPr>
          <w:rFonts w:ascii="Times New Roman" w:eastAsia="Times New Roman" w:hAnsi="Times New Roman"/>
          <w:i/>
          <w:szCs w:val="24"/>
          <w:lang w:val="es-ES" w:eastAsia="es-ES"/>
        </w:rPr>
        <w:t xml:space="preserve"> G</w:t>
      </w:r>
      <w:r w:rsidRPr="007C2D50">
        <w:rPr>
          <w:rFonts w:ascii="Times New Roman" w:eastAsia="Times New Roman" w:hAnsi="Times New Roman"/>
          <w:i/>
          <w:szCs w:val="24"/>
          <w:vertAlign w:val="subscript"/>
          <w:lang w:val="es-ES" w:eastAsia="es-ES"/>
        </w:rPr>
        <w:t xml:space="preserve">0,k  </w:t>
      </w:r>
      <w:r w:rsidRPr="007C2D50">
        <w:rPr>
          <w:rFonts w:ascii="Times New Roman" w:eastAsia="Times New Roman" w:hAnsi="Times New Roman"/>
          <w:i/>
          <w:szCs w:val="24"/>
          <w:lang w:val="es-ES" w:eastAsia="es-ES"/>
        </w:rPr>
        <w:t>S</w:t>
      </w:r>
      <w:r w:rsidRPr="007C2D50">
        <w:rPr>
          <w:rFonts w:ascii="Times New Roman" w:eastAsia="Times New Roman" w:hAnsi="Times New Roman"/>
          <w:i/>
          <w:szCs w:val="24"/>
          <w:vertAlign w:val="subscript"/>
          <w:lang w:val="es-ES" w:eastAsia="es-ES"/>
        </w:rPr>
        <w:t>0,k</w:t>
      </w:r>
      <w:r w:rsidRPr="007C2D50">
        <w:rPr>
          <w:rFonts w:ascii="Times New Roman" w:eastAsia="Times New Roman" w:hAnsi="Times New Roman"/>
          <w:szCs w:val="24"/>
          <w:lang w:val="es-ES" w:eastAsia="es-ES"/>
        </w:rPr>
        <w:t xml:space="preserve">) representa la magnitud </w:t>
      </w:r>
      <w:r w:rsidR="00C40736">
        <w:rPr>
          <w:rFonts w:ascii="Times New Roman" w:eastAsia="Times New Roman" w:hAnsi="Times New Roman"/>
          <w:szCs w:val="24"/>
          <w:lang w:val="es-ES" w:eastAsia="es-ES"/>
        </w:rPr>
        <w:t>d</w:t>
      </w:r>
      <w:r w:rsidRPr="007C2D50">
        <w:rPr>
          <w:rFonts w:ascii="Times New Roman" w:eastAsia="Times New Roman" w:hAnsi="Times New Roman"/>
          <w:szCs w:val="24"/>
          <w:lang w:val="es-ES" w:eastAsia="es-ES"/>
        </w:rPr>
        <w:t xml:space="preserve">el aporte de cada uno de estos factores a la formación del índice de Gini del ingreso familiar </w:t>
      </w:r>
      <w:r w:rsidR="00507003">
        <w:rPr>
          <w:rFonts w:ascii="Times New Roman" w:eastAsia="Times New Roman" w:hAnsi="Times New Roman"/>
          <w:szCs w:val="24"/>
          <w:lang w:val="es-ES" w:eastAsia="es-ES"/>
        </w:rPr>
        <w:t xml:space="preserve"> </w:t>
      </w:r>
      <w:r w:rsidRPr="007C2D50">
        <w:rPr>
          <w:rFonts w:ascii="Times New Roman" w:eastAsia="Times New Roman" w:hAnsi="Times New Roman"/>
          <w:szCs w:val="24"/>
          <w:lang w:val="es-ES" w:eastAsia="es-ES"/>
        </w:rPr>
        <w:t>en el tiempo base</w:t>
      </w:r>
      <w:r w:rsidRPr="007C2D50">
        <w:rPr>
          <w:rStyle w:val="Refdenotaalpie"/>
          <w:rFonts w:ascii="Times New Roman" w:eastAsia="Times New Roman" w:hAnsi="Times New Roman"/>
          <w:szCs w:val="24"/>
          <w:lang w:val="es-ES" w:eastAsia="es-ES"/>
        </w:rPr>
        <w:footnoteReference w:id="8"/>
      </w:r>
      <w:r w:rsidRPr="007C2D50">
        <w:rPr>
          <w:rFonts w:ascii="Times New Roman" w:eastAsia="Times New Roman" w:hAnsi="Times New Roman"/>
          <w:szCs w:val="24"/>
          <w:lang w:val="es-ES" w:eastAsia="es-ES"/>
        </w:rPr>
        <w:t xml:space="preserve">. Por su parte, </w:t>
      </w:r>
      <w:r w:rsidRPr="007C2D50">
        <w:rPr>
          <w:rFonts w:ascii="Times New Roman" w:eastAsia="Times New Roman" w:hAnsi="Times New Roman"/>
          <w:i/>
          <w:szCs w:val="24"/>
          <w:lang w:val="es-ES" w:eastAsia="es-ES"/>
        </w:rPr>
        <w:t>r</w:t>
      </w:r>
      <w:r w:rsidRPr="007C2D50">
        <w:rPr>
          <w:rFonts w:ascii="Times New Roman" w:eastAsia="Times New Roman" w:hAnsi="Times New Roman"/>
          <w:i/>
          <w:szCs w:val="24"/>
          <w:vertAlign w:val="subscript"/>
          <w:lang w:val="es-ES" w:eastAsia="es-ES"/>
        </w:rPr>
        <w:t xml:space="preserve">k,, </w:t>
      </w:r>
      <w:r w:rsidRPr="007C2D50">
        <w:rPr>
          <w:rFonts w:ascii="Times New Roman" w:eastAsia="Times New Roman" w:hAnsi="Times New Roman"/>
          <w:i/>
          <w:szCs w:val="24"/>
          <w:lang w:val="es-ES" w:eastAsia="es-ES"/>
        </w:rPr>
        <w:t>g</w:t>
      </w:r>
      <w:r w:rsidRPr="007C2D50">
        <w:rPr>
          <w:rFonts w:ascii="Times New Roman" w:eastAsia="Times New Roman" w:hAnsi="Times New Roman"/>
          <w:i/>
          <w:szCs w:val="24"/>
          <w:vertAlign w:val="subscript"/>
          <w:lang w:val="es-ES" w:eastAsia="es-ES"/>
        </w:rPr>
        <w:t>k</w:t>
      </w:r>
      <w:r w:rsidRPr="007C2D50">
        <w:rPr>
          <w:rFonts w:ascii="Times New Roman" w:eastAsia="Times New Roman" w:hAnsi="Times New Roman"/>
          <w:i/>
          <w:szCs w:val="24"/>
          <w:lang w:val="es-ES" w:eastAsia="es-ES"/>
        </w:rPr>
        <w:t xml:space="preserve"> </w:t>
      </w:r>
      <w:r w:rsidRPr="007C2D50">
        <w:rPr>
          <w:rFonts w:ascii="Times New Roman" w:eastAsia="Times New Roman" w:hAnsi="Times New Roman"/>
          <w:szCs w:val="24"/>
          <w:lang w:val="es-ES" w:eastAsia="es-ES"/>
        </w:rPr>
        <w:t>y</w:t>
      </w:r>
      <w:r w:rsidRPr="007C2D50">
        <w:rPr>
          <w:rFonts w:ascii="Times New Roman" w:eastAsia="Times New Roman" w:hAnsi="Times New Roman"/>
          <w:i/>
          <w:szCs w:val="24"/>
          <w:lang w:val="es-ES" w:eastAsia="es-ES"/>
        </w:rPr>
        <w:t xml:space="preserve"> s</w:t>
      </w:r>
      <w:r w:rsidRPr="007C2D50">
        <w:rPr>
          <w:rFonts w:ascii="Times New Roman" w:eastAsia="Times New Roman" w:hAnsi="Times New Roman"/>
          <w:i/>
          <w:szCs w:val="24"/>
          <w:vertAlign w:val="subscript"/>
          <w:lang w:val="es-ES" w:eastAsia="es-ES"/>
        </w:rPr>
        <w:t>k</w:t>
      </w:r>
      <w:r w:rsidRPr="007C2D50">
        <w:rPr>
          <w:rFonts w:ascii="Times New Roman" w:eastAsia="Times New Roman" w:hAnsi="Times New Roman"/>
          <w:szCs w:val="24"/>
          <w:lang w:val="es-ES" w:eastAsia="es-ES"/>
        </w:rPr>
        <w:t xml:space="preserve"> son las tasas de variación de los componentes R</w:t>
      </w:r>
      <w:r w:rsidRPr="007C2D50">
        <w:rPr>
          <w:rFonts w:ascii="Times New Roman" w:eastAsia="Times New Roman" w:hAnsi="Times New Roman"/>
          <w:szCs w:val="24"/>
          <w:vertAlign w:val="subscript"/>
          <w:lang w:val="es-ES" w:eastAsia="es-ES"/>
        </w:rPr>
        <w:t>k</w:t>
      </w:r>
      <w:r w:rsidRPr="007C2D50">
        <w:rPr>
          <w:rFonts w:ascii="Times New Roman" w:eastAsia="Times New Roman" w:hAnsi="Times New Roman"/>
          <w:szCs w:val="24"/>
          <w:lang w:val="es-ES" w:eastAsia="es-ES"/>
        </w:rPr>
        <w:t>, S</w:t>
      </w:r>
      <w:r w:rsidRPr="007C2D50">
        <w:rPr>
          <w:rFonts w:ascii="Times New Roman" w:eastAsia="Times New Roman" w:hAnsi="Times New Roman"/>
          <w:szCs w:val="24"/>
          <w:vertAlign w:val="subscript"/>
          <w:lang w:val="es-ES" w:eastAsia="es-ES"/>
        </w:rPr>
        <w:t>k</w:t>
      </w:r>
      <w:r w:rsidRPr="007C2D50">
        <w:rPr>
          <w:rFonts w:ascii="Times New Roman" w:eastAsia="Times New Roman" w:hAnsi="Times New Roman"/>
          <w:szCs w:val="24"/>
          <w:lang w:val="es-ES" w:eastAsia="es-ES"/>
        </w:rPr>
        <w:t xml:space="preserve"> y G</w:t>
      </w:r>
      <w:r w:rsidRPr="007C2D50">
        <w:rPr>
          <w:rFonts w:ascii="Times New Roman" w:eastAsia="Times New Roman" w:hAnsi="Times New Roman"/>
          <w:szCs w:val="24"/>
          <w:vertAlign w:val="subscript"/>
          <w:lang w:val="es-ES" w:eastAsia="es-ES"/>
        </w:rPr>
        <w:t>k</w:t>
      </w:r>
      <w:r w:rsidR="00E83E51">
        <w:rPr>
          <w:rStyle w:val="Refdenotaalpie"/>
          <w:rFonts w:ascii="Times New Roman" w:eastAsia="Times New Roman" w:hAnsi="Times New Roman"/>
          <w:szCs w:val="24"/>
          <w:lang w:val="es-ES" w:eastAsia="es-ES"/>
        </w:rPr>
        <w:footnoteReference w:id="9"/>
      </w:r>
      <w:r w:rsidRPr="007002D3">
        <w:rPr>
          <w:rStyle w:val="Refdenotaalpie"/>
          <w:vertAlign w:val="baseline"/>
        </w:rPr>
        <w:t>.</w:t>
      </w:r>
      <w:r w:rsidRPr="007C2D50">
        <w:rPr>
          <w:rFonts w:ascii="Times New Roman" w:eastAsia="Times New Roman" w:hAnsi="Times New Roman"/>
          <w:szCs w:val="24"/>
          <w:lang w:val="es-ES" w:eastAsia="es-ES"/>
        </w:rPr>
        <w:t xml:space="preserve"> </w:t>
      </w:r>
    </w:p>
    <w:p w14:paraId="158153AF" w14:textId="3142B3D8" w:rsidR="00FF0A7B" w:rsidRPr="00FF0A7B" w:rsidRDefault="00FF0A7B" w:rsidP="00FF0A7B">
      <w:pPr>
        <w:pStyle w:val="NormalWeb"/>
        <w:spacing w:before="0" w:beforeAutospacing="0" w:after="120" w:afterAutospacing="0" w:line="360" w:lineRule="auto"/>
        <w:jc w:val="both"/>
        <w:rPr>
          <w:rFonts w:cstheme="minorBidi"/>
          <w:lang w:eastAsia="es-AR"/>
        </w:rPr>
      </w:pPr>
      <w:r w:rsidRPr="00FF0A7B">
        <w:rPr>
          <w:rFonts w:cstheme="minorBidi"/>
          <w:highlight w:val="yellow"/>
          <w:lang w:eastAsia="es-AR"/>
        </w:rPr>
        <w:t>E</w:t>
      </w:r>
      <w:r w:rsidR="007002D3">
        <w:rPr>
          <w:rFonts w:cstheme="minorBidi"/>
          <w:highlight w:val="yellow"/>
          <w:lang w:eastAsia="es-AR"/>
        </w:rPr>
        <w:t>ste</w:t>
      </w:r>
      <w:r w:rsidRPr="00FF0A7B">
        <w:rPr>
          <w:rFonts w:cstheme="minorBidi"/>
          <w:highlight w:val="yellow"/>
          <w:lang w:eastAsia="es-AR"/>
        </w:rPr>
        <w:t xml:space="preserve"> modelo de descomposición del índice de Gini aporta elementos para un análisis articulado de dos procesos económico-sociales: los cambios </w:t>
      </w:r>
      <w:r w:rsidR="007002D3">
        <w:rPr>
          <w:rFonts w:cstheme="minorBidi"/>
          <w:highlight w:val="yellow"/>
          <w:lang w:eastAsia="es-AR"/>
        </w:rPr>
        <w:t>y</w:t>
      </w:r>
      <w:r w:rsidRPr="00FF0A7B">
        <w:rPr>
          <w:rFonts w:cstheme="minorBidi"/>
          <w:highlight w:val="yellow"/>
          <w:lang w:eastAsia="es-AR"/>
        </w:rPr>
        <w:t xml:space="preserve"> continuidades en términos de </w:t>
      </w:r>
      <w:r w:rsidRPr="00FF0A7B">
        <w:rPr>
          <w:rFonts w:cstheme="minorBidi"/>
          <w:highlight w:val="yellow"/>
          <w:lang w:eastAsia="es-AR"/>
        </w:rPr>
        <w:lastRenderedPageBreak/>
        <w:t xml:space="preserve">heterogeneidad de la estructura económica-ocupacional y la evolución de la desigualdad en la distribución de ingresos entre los hogares. Si bien la técnica empleada no cuantifica el aporte de las desigualdades </w:t>
      </w:r>
      <w:r w:rsidRPr="007002D3">
        <w:rPr>
          <w:rFonts w:cstheme="minorBidi"/>
          <w:i/>
          <w:iCs/>
          <w:highlight w:val="yellow"/>
          <w:lang w:eastAsia="es-AR"/>
        </w:rPr>
        <w:t>entre</w:t>
      </w:r>
      <w:r w:rsidRPr="00FF0A7B">
        <w:rPr>
          <w:rFonts w:cstheme="minorBidi"/>
          <w:highlight w:val="yellow"/>
          <w:lang w:eastAsia="es-AR"/>
        </w:rPr>
        <w:t xml:space="preserve"> sectores a la desigualdad total</w:t>
      </w:r>
      <w:r>
        <w:rPr>
          <w:rStyle w:val="Refdenotaalpie"/>
          <w:rFonts w:cstheme="minorBidi"/>
          <w:highlight w:val="yellow"/>
          <w:lang w:eastAsia="es-AR"/>
        </w:rPr>
        <w:footnoteReference w:id="10"/>
      </w:r>
      <w:r w:rsidRPr="00FF0A7B">
        <w:rPr>
          <w:rFonts w:cstheme="minorBidi"/>
          <w:highlight w:val="yellow"/>
          <w:lang w:eastAsia="es-AR"/>
        </w:rPr>
        <w:t xml:space="preserve">, </w:t>
      </w:r>
      <w:r w:rsidR="007002D3">
        <w:rPr>
          <w:rFonts w:cstheme="minorBidi"/>
          <w:highlight w:val="yellow"/>
          <w:lang w:eastAsia="es-AR"/>
        </w:rPr>
        <w:t>permite</w:t>
      </w:r>
      <w:r w:rsidRPr="00FF0A7B">
        <w:rPr>
          <w:rFonts w:cstheme="minorBidi"/>
          <w:highlight w:val="yellow"/>
          <w:lang w:eastAsia="es-AR"/>
        </w:rPr>
        <w:t xml:space="preserve"> visibilizar las características de cada sector económico-ocupacional</w:t>
      </w:r>
      <w:r w:rsidR="007002D3">
        <w:rPr>
          <w:rFonts w:cstheme="minorBidi"/>
          <w:highlight w:val="yellow"/>
          <w:lang w:eastAsia="es-AR"/>
        </w:rPr>
        <w:t xml:space="preserve">, </w:t>
      </w:r>
      <w:r w:rsidRPr="00FF0A7B">
        <w:rPr>
          <w:rFonts w:cstheme="minorBidi"/>
          <w:highlight w:val="yellow"/>
          <w:lang w:eastAsia="es-AR"/>
        </w:rPr>
        <w:t>a través de sus componentes</w:t>
      </w:r>
      <w:r w:rsidR="003E0903">
        <w:rPr>
          <w:rFonts w:cstheme="minorBidi"/>
          <w:highlight w:val="yellow"/>
          <w:lang w:eastAsia="es-AR"/>
        </w:rPr>
        <w:t xml:space="preserve"> (</w:t>
      </w:r>
      <w:r w:rsidRPr="00FF0A7B">
        <w:rPr>
          <w:rFonts w:cstheme="minorBidi"/>
          <w:highlight w:val="yellow"/>
          <w:lang w:eastAsia="es-AR"/>
        </w:rPr>
        <w:t>participación, desigualdad interna y correlación con la distribución general</w:t>
      </w:r>
      <w:r w:rsidR="003E0903">
        <w:rPr>
          <w:rFonts w:cstheme="minorBidi"/>
          <w:highlight w:val="yellow"/>
          <w:lang w:eastAsia="es-AR"/>
        </w:rPr>
        <w:t>) y su aporte a la desigualdad</w:t>
      </w:r>
      <w:r w:rsidRPr="00FF0A7B">
        <w:rPr>
          <w:rFonts w:cstheme="minorBidi"/>
          <w:highlight w:val="yellow"/>
          <w:lang w:eastAsia="es-AR"/>
        </w:rPr>
        <w:t xml:space="preserve">. </w:t>
      </w:r>
    </w:p>
    <w:p w14:paraId="1D740BA9" w14:textId="77777777" w:rsidR="00922E37" w:rsidRPr="007C2D50" w:rsidRDefault="00922E37" w:rsidP="00922E37">
      <w:pPr>
        <w:spacing w:before="120" w:after="120" w:line="360" w:lineRule="auto"/>
        <w:jc w:val="both"/>
        <w:rPr>
          <w:rFonts w:ascii="Times New Roman" w:eastAsia="Times New Roman" w:hAnsi="Times New Roman"/>
          <w:szCs w:val="24"/>
          <w:lang w:val="es-ES" w:eastAsia="es-AR"/>
        </w:rPr>
      </w:pPr>
      <w:r w:rsidRPr="00144B64">
        <w:rPr>
          <w:rFonts w:ascii="Times New Roman" w:eastAsia="Times New Roman" w:hAnsi="Times New Roman"/>
          <w:szCs w:val="24"/>
          <w:lang w:val="es-ES" w:eastAsia="es-AR"/>
        </w:rPr>
        <w:t xml:space="preserve">Durante la fase final del modelo sustitutivo e inicio del ajuste ortodoxo (1974-1988), </w:t>
      </w:r>
      <w:r w:rsidRPr="007C2D50">
        <w:rPr>
          <w:rFonts w:ascii="Times New Roman" w:eastAsia="Times New Roman" w:hAnsi="Times New Roman"/>
          <w:szCs w:val="24"/>
          <w:lang w:val="es-ES" w:eastAsia="es-AR"/>
        </w:rPr>
        <w:t xml:space="preserve">el coeficiente de Gini del ingreso familiar en el Gran Buenos Aires pasó de 0,3662 a 0,4400 (Cuadro 4), un deterioro significativo que expresó los efectos del programa de ajuste militar y de los progresivos shocks que profundizaron la heterogeneidad estructural e incrementaron el desempleo. A lo largo de este período, se observó que el aporte relativo de los ingresos laborales al coeficiente de Gini se redujo levemente (pasando de 96,6% a 95,6%) mientras que aumentó la participación de los ingresos no laborales (3,4% a 4,4%). </w:t>
      </w:r>
    </w:p>
    <w:p w14:paraId="07F016E2" w14:textId="45A625CB" w:rsidR="00922E37" w:rsidRPr="007C2D50" w:rsidRDefault="00922E37" w:rsidP="00922E37">
      <w:pPr>
        <w:tabs>
          <w:tab w:val="left" w:pos="4069"/>
        </w:tabs>
        <w:spacing w:before="120" w:after="120"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Ahora bien, más allá de esta modificación, el aumento del coeficiente de Gini entre 1974 y 1988 (de 0,0738, el incremento más importante de toda la serie histórica) estuvo ligado, en un 90,7%, a lo ocurrido con los ingresos laborales. Cabe señalar que el programa económico de la dictadura militar tuvo como uno de sus principales efectos el incremento de la inequidad salarial (Cimillo, 2000). Al mismo tiempo, tanto los ingresos provenientes de ocupaciones en el sector formal privado (77%) como en el sector microinformal (13,7%) contribuyeron positivamente a la desigualdad, </w:t>
      </w:r>
      <w:r w:rsidR="003705E7">
        <w:rPr>
          <w:rFonts w:ascii="Times New Roman" w:eastAsia="Times New Roman" w:hAnsi="Times New Roman"/>
          <w:szCs w:val="24"/>
          <w:lang w:val="es-ES" w:eastAsia="es-AR"/>
        </w:rPr>
        <w:t>pero el primero desempeñó e</w:t>
      </w:r>
      <w:r w:rsidRPr="007C2D50">
        <w:rPr>
          <w:rFonts w:ascii="Times New Roman" w:eastAsia="Times New Roman" w:hAnsi="Times New Roman"/>
          <w:szCs w:val="24"/>
          <w:lang w:val="es-ES" w:eastAsia="es-AR"/>
        </w:rPr>
        <w:t xml:space="preserve">l rol predominante (Cuadro 4).  </w:t>
      </w:r>
    </w:p>
    <w:p w14:paraId="20AA9054" w14:textId="77777777" w:rsidR="00922E37" w:rsidRPr="007C2D50" w:rsidRDefault="00922E37" w:rsidP="00922E37">
      <w:pPr>
        <w:keepNext/>
        <w:tabs>
          <w:tab w:val="left" w:pos="4069"/>
        </w:tabs>
        <w:spacing w:after="120" w:line="240" w:lineRule="auto"/>
        <w:jc w:val="both"/>
        <w:rPr>
          <w:rFonts w:ascii="Times New Roman" w:eastAsia="Times New Roman" w:hAnsi="Times New Roman"/>
          <w:bCs/>
          <w:color w:val="000000"/>
          <w:lang w:eastAsia="es-AR"/>
        </w:rPr>
      </w:pPr>
      <w:r w:rsidRPr="007C2D50">
        <w:rPr>
          <w:rFonts w:ascii="Times New Roman" w:eastAsia="Times New Roman" w:hAnsi="Times New Roman"/>
          <w:b/>
          <w:bCs/>
          <w:color w:val="000000"/>
          <w:lang w:eastAsia="es-AR"/>
        </w:rPr>
        <w:lastRenderedPageBreak/>
        <w:t>Cuadro 4.</w:t>
      </w:r>
      <w:r w:rsidRPr="007C2D50">
        <w:rPr>
          <w:rFonts w:ascii="Times New Roman" w:eastAsia="Times New Roman" w:hAnsi="Times New Roman"/>
          <w:sz w:val="18"/>
          <w:szCs w:val="16"/>
          <w:lang w:eastAsia="es-AR"/>
        </w:rPr>
        <w:t xml:space="preserve"> </w:t>
      </w:r>
      <w:r w:rsidRPr="007C2D50">
        <w:rPr>
          <w:rFonts w:ascii="Times New Roman" w:eastAsia="Times New Roman" w:hAnsi="Times New Roman"/>
          <w:b/>
          <w:bCs/>
          <w:color w:val="000000"/>
          <w:lang w:eastAsia="es-AR"/>
        </w:rPr>
        <w:t xml:space="preserve">Coeficiente de Gini familiar, descomposición según aporte de cada fuente de ingreso y contribución de cada fuente al cambio. Gran Buenos Aires, 1974-1988. </w:t>
      </w:r>
      <w:r w:rsidRPr="007C2D50">
        <w:rPr>
          <w:rFonts w:ascii="Times New Roman" w:eastAsia="Times New Roman" w:hAnsi="Times New Roman"/>
          <w:bCs/>
          <w:color w:val="000000"/>
          <w:lang w:eastAsia="es-AR"/>
        </w:rPr>
        <w:t>En puntos del coeficiente de Gini y porcentaje respecto al total.</w:t>
      </w:r>
    </w:p>
    <w:tbl>
      <w:tblPr>
        <w:tblW w:w="8924" w:type="dxa"/>
        <w:tblInd w:w="-5" w:type="dxa"/>
        <w:tblCellMar>
          <w:left w:w="70" w:type="dxa"/>
          <w:right w:w="70" w:type="dxa"/>
        </w:tblCellMar>
        <w:tblLook w:val="04A0" w:firstRow="1" w:lastRow="0" w:firstColumn="1" w:lastColumn="0" w:noHBand="0" w:noVBand="1"/>
      </w:tblPr>
      <w:tblGrid>
        <w:gridCol w:w="2581"/>
        <w:gridCol w:w="869"/>
        <w:gridCol w:w="717"/>
        <w:gridCol w:w="869"/>
        <w:gridCol w:w="717"/>
        <w:gridCol w:w="869"/>
        <w:gridCol w:w="717"/>
        <w:gridCol w:w="866"/>
        <w:gridCol w:w="719"/>
      </w:tblGrid>
      <w:tr w:rsidR="00922E37" w:rsidRPr="007C2D50" w14:paraId="1B984CB3" w14:textId="77777777" w:rsidTr="00A7309C">
        <w:trPr>
          <w:trHeight w:val="253"/>
        </w:trPr>
        <w:tc>
          <w:tcPr>
            <w:tcW w:w="2581" w:type="dxa"/>
            <w:tcBorders>
              <w:top w:val="single" w:sz="4" w:space="0" w:color="auto"/>
              <w:left w:val="single" w:sz="4" w:space="0" w:color="auto"/>
              <w:bottom w:val="nil"/>
              <w:right w:val="single" w:sz="4" w:space="0" w:color="auto"/>
            </w:tcBorders>
            <w:shd w:val="clear" w:color="000000" w:fill="FFFFFF"/>
            <w:noWrap/>
            <w:vAlign w:val="bottom"/>
            <w:hideMark/>
          </w:tcPr>
          <w:p w14:paraId="4A6FB125" w14:textId="77777777" w:rsidR="00922E37" w:rsidRPr="007C2D50" w:rsidRDefault="00922E37" w:rsidP="008850F5">
            <w:pPr>
              <w:keepNext/>
              <w:spacing w:after="0" w:line="240" w:lineRule="auto"/>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1586" w:type="dxa"/>
            <w:gridSpan w:val="2"/>
            <w:tcBorders>
              <w:top w:val="single" w:sz="4" w:space="0" w:color="auto"/>
              <w:left w:val="nil"/>
              <w:bottom w:val="nil"/>
              <w:right w:val="single" w:sz="4" w:space="0" w:color="000000"/>
            </w:tcBorders>
            <w:shd w:val="clear" w:color="000000" w:fill="FFFFFF"/>
            <w:noWrap/>
            <w:vAlign w:val="bottom"/>
            <w:hideMark/>
          </w:tcPr>
          <w:p w14:paraId="39EBAEFC"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1974</w:t>
            </w:r>
          </w:p>
          <w:p w14:paraId="21A4CB85"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Oct</w:t>
            </w:r>
          </w:p>
        </w:tc>
        <w:tc>
          <w:tcPr>
            <w:tcW w:w="1586" w:type="dxa"/>
            <w:gridSpan w:val="2"/>
            <w:tcBorders>
              <w:top w:val="single" w:sz="4" w:space="0" w:color="auto"/>
              <w:left w:val="nil"/>
              <w:bottom w:val="nil"/>
              <w:right w:val="single" w:sz="4" w:space="0" w:color="000000"/>
            </w:tcBorders>
            <w:shd w:val="clear" w:color="000000" w:fill="FFFFFF"/>
            <w:noWrap/>
            <w:vAlign w:val="bottom"/>
            <w:hideMark/>
          </w:tcPr>
          <w:p w14:paraId="4A207C37"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1980</w:t>
            </w:r>
          </w:p>
          <w:p w14:paraId="5B4A2E15"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Oct</w:t>
            </w:r>
          </w:p>
        </w:tc>
        <w:tc>
          <w:tcPr>
            <w:tcW w:w="1586" w:type="dxa"/>
            <w:gridSpan w:val="2"/>
            <w:tcBorders>
              <w:top w:val="single" w:sz="4" w:space="0" w:color="auto"/>
              <w:left w:val="nil"/>
              <w:bottom w:val="nil"/>
              <w:right w:val="single" w:sz="4" w:space="0" w:color="000000"/>
            </w:tcBorders>
            <w:shd w:val="clear" w:color="000000" w:fill="FFFFFF"/>
            <w:noWrap/>
            <w:vAlign w:val="bottom"/>
            <w:hideMark/>
          </w:tcPr>
          <w:p w14:paraId="47D6CF3E"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1988</w:t>
            </w:r>
          </w:p>
          <w:p w14:paraId="16D961C8"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Oct</w:t>
            </w:r>
          </w:p>
        </w:tc>
        <w:tc>
          <w:tcPr>
            <w:tcW w:w="1585" w:type="dxa"/>
            <w:gridSpan w:val="2"/>
            <w:tcBorders>
              <w:top w:val="single" w:sz="4" w:space="0" w:color="auto"/>
              <w:left w:val="nil"/>
              <w:bottom w:val="nil"/>
              <w:right w:val="single" w:sz="4" w:space="0" w:color="000000"/>
            </w:tcBorders>
            <w:shd w:val="clear" w:color="000000" w:fill="FFFFFF"/>
            <w:noWrap/>
            <w:vAlign w:val="center"/>
            <w:hideMark/>
          </w:tcPr>
          <w:p w14:paraId="2C88EA7B"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1974-1988</w:t>
            </w:r>
          </w:p>
        </w:tc>
      </w:tr>
      <w:tr w:rsidR="00922E37" w:rsidRPr="007C2D50" w14:paraId="373822FA" w14:textId="77777777" w:rsidTr="00A7309C">
        <w:trPr>
          <w:trHeight w:val="253"/>
        </w:trPr>
        <w:tc>
          <w:tcPr>
            <w:tcW w:w="25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3249A" w14:textId="77777777" w:rsidR="00922E37" w:rsidRPr="007C2D50" w:rsidRDefault="00922E37" w:rsidP="008850F5">
            <w:pPr>
              <w:keepNext/>
              <w:spacing w:after="0" w:line="240" w:lineRule="auto"/>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Fuente de ingreso</w:t>
            </w:r>
          </w:p>
        </w:tc>
        <w:tc>
          <w:tcPr>
            <w:tcW w:w="869" w:type="dxa"/>
            <w:tcBorders>
              <w:top w:val="single" w:sz="4" w:space="0" w:color="auto"/>
              <w:left w:val="nil"/>
              <w:bottom w:val="single" w:sz="4" w:space="0" w:color="auto"/>
              <w:right w:val="nil"/>
            </w:tcBorders>
            <w:shd w:val="clear" w:color="000000" w:fill="FFFFFF"/>
            <w:noWrap/>
            <w:vAlign w:val="center"/>
            <w:hideMark/>
          </w:tcPr>
          <w:p w14:paraId="255FFCEA"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Aporte</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14:paraId="6E767618"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w:t>
            </w:r>
          </w:p>
        </w:tc>
        <w:tc>
          <w:tcPr>
            <w:tcW w:w="869" w:type="dxa"/>
            <w:tcBorders>
              <w:top w:val="single" w:sz="4" w:space="0" w:color="auto"/>
              <w:left w:val="nil"/>
              <w:bottom w:val="single" w:sz="4" w:space="0" w:color="auto"/>
              <w:right w:val="nil"/>
            </w:tcBorders>
            <w:shd w:val="clear" w:color="000000" w:fill="FFFFFF"/>
            <w:noWrap/>
            <w:vAlign w:val="center"/>
            <w:hideMark/>
          </w:tcPr>
          <w:p w14:paraId="519D75CC"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Aporte</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14:paraId="20BCEF59"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w:t>
            </w:r>
          </w:p>
        </w:tc>
        <w:tc>
          <w:tcPr>
            <w:tcW w:w="869" w:type="dxa"/>
            <w:tcBorders>
              <w:top w:val="single" w:sz="4" w:space="0" w:color="auto"/>
              <w:left w:val="nil"/>
              <w:bottom w:val="single" w:sz="4" w:space="0" w:color="auto"/>
              <w:right w:val="nil"/>
            </w:tcBorders>
            <w:shd w:val="clear" w:color="000000" w:fill="FFFFFF"/>
            <w:noWrap/>
            <w:vAlign w:val="center"/>
            <w:hideMark/>
          </w:tcPr>
          <w:p w14:paraId="0B36F3D0"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Aporte</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14:paraId="56343B2B"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w:t>
            </w:r>
          </w:p>
        </w:tc>
        <w:tc>
          <w:tcPr>
            <w:tcW w:w="866" w:type="dxa"/>
            <w:tcBorders>
              <w:top w:val="single" w:sz="4" w:space="0" w:color="auto"/>
              <w:left w:val="nil"/>
              <w:bottom w:val="single" w:sz="4" w:space="0" w:color="auto"/>
              <w:right w:val="nil"/>
            </w:tcBorders>
            <w:shd w:val="clear" w:color="000000" w:fill="FFFFFF"/>
            <w:noWrap/>
            <w:vAlign w:val="center"/>
            <w:hideMark/>
          </w:tcPr>
          <w:p w14:paraId="2CCEBAD6"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V. Abs.</w:t>
            </w:r>
          </w:p>
        </w:tc>
        <w:tc>
          <w:tcPr>
            <w:tcW w:w="719" w:type="dxa"/>
            <w:tcBorders>
              <w:top w:val="single" w:sz="4" w:space="0" w:color="auto"/>
              <w:left w:val="nil"/>
              <w:bottom w:val="single" w:sz="4" w:space="0" w:color="auto"/>
              <w:right w:val="single" w:sz="4" w:space="0" w:color="auto"/>
            </w:tcBorders>
            <w:shd w:val="clear" w:color="000000" w:fill="FFFFFF"/>
            <w:noWrap/>
            <w:vAlign w:val="center"/>
            <w:hideMark/>
          </w:tcPr>
          <w:p w14:paraId="11E271E5"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w:t>
            </w:r>
          </w:p>
        </w:tc>
      </w:tr>
      <w:tr w:rsidR="00922E37" w:rsidRPr="007C2D50" w14:paraId="55452B64" w14:textId="77777777" w:rsidTr="00A7309C">
        <w:trPr>
          <w:trHeight w:val="253"/>
        </w:trPr>
        <w:tc>
          <w:tcPr>
            <w:tcW w:w="2581" w:type="dxa"/>
            <w:tcBorders>
              <w:top w:val="nil"/>
              <w:left w:val="single" w:sz="4" w:space="0" w:color="auto"/>
              <w:bottom w:val="nil"/>
              <w:right w:val="single" w:sz="4" w:space="0" w:color="auto"/>
            </w:tcBorders>
            <w:shd w:val="clear" w:color="000000" w:fill="FFFFFF"/>
            <w:noWrap/>
            <w:vAlign w:val="bottom"/>
            <w:hideMark/>
          </w:tcPr>
          <w:p w14:paraId="7FA2A0EA"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laborales</w:t>
            </w:r>
          </w:p>
        </w:tc>
        <w:tc>
          <w:tcPr>
            <w:tcW w:w="869" w:type="dxa"/>
            <w:tcBorders>
              <w:top w:val="nil"/>
              <w:left w:val="nil"/>
              <w:bottom w:val="nil"/>
              <w:right w:val="nil"/>
            </w:tcBorders>
            <w:shd w:val="clear" w:color="000000" w:fill="FFFFFF"/>
            <w:noWrap/>
            <w:vAlign w:val="center"/>
            <w:hideMark/>
          </w:tcPr>
          <w:p w14:paraId="1D0437E2"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0,3538</w:t>
            </w:r>
          </w:p>
        </w:tc>
        <w:tc>
          <w:tcPr>
            <w:tcW w:w="717" w:type="dxa"/>
            <w:tcBorders>
              <w:top w:val="nil"/>
              <w:left w:val="nil"/>
              <w:bottom w:val="nil"/>
              <w:right w:val="single" w:sz="4" w:space="0" w:color="auto"/>
            </w:tcBorders>
            <w:shd w:val="clear" w:color="000000" w:fill="FFFFFF"/>
            <w:noWrap/>
            <w:vAlign w:val="center"/>
            <w:hideMark/>
          </w:tcPr>
          <w:p w14:paraId="45E08AC7"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96,6</w:t>
            </w:r>
          </w:p>
        </w:tc>
        <w:tc>
          <w:tcPr>
            <w:tcW w:w="869" w:type="dxa"/>
            <w:tcBorders>
              <w:top w:val="nil"/>
              <w:left w:val="nil"/>
              <w:bottom w:val="nil"/>
              <w:right w:val="nil"/>
            </w:tcBorders>
            <w:shd w:val="clear" w:color="000000" w:fill="FFFFFF"/>
            <w:noWrap/>
            <w:vAlign w:val="center"/>
            <w:hideMark/>
          </w:tcPr>
          <w:p w14:paraId="5238DE8A"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0,3884</w:t>
            </w:r>
          </w:p>
        </w:tc>
        <w:tc>
          <w:tcPr>
            <w:tcW w:w="717" w:type="dxa"/>
            <w:tcBorders>
              <w:top w:val="nil"/>
              <w:left w:val="nil"/>
              <w:bottom w:val="nil"/>
              <w:right w:val="single" w:sz="4" w:space="0" w:color="auto"/>
            </w:tcBorders>
            <w:shd w:val="clear" w:color="000000" w:fill="FFFFFF"/>
            <w:noWrap/>
            <w:vAlign w:val="center"/>
            <w:hideMark/>
          </w:tcPr>
          <w:p w14:paraId="6ABE43B3"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89,8</w:t>
            </w:r>
          </w:p>
        </w:tc>
        <w:tc>
          <w:tcPr>
            <w:tcW w:w="869" w:type="dxa"/>
            <w:tcBorders>
              <w:top w:val="nil"/>
              <w:left w:val="nil"/>
              <w:bottom w:val="nil"/>
              <w:right w:val="nil"/>
            </w:tcBorders>
            <w:shd w:val="clear" w:color="000000" w:fill="FFFFFF"/>
            <w:noWrap/>
            <w:vAlign w:val="center"/>
            <w:hideMark/>
          </w:tcPr>
          <w:p w14:paraId="203815A0"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0,4207</w:t>
            </w:r>
          </w:p>
        </w:tc>
        <w:tc>
          <w:tcPr>
            <w:tcW w:w="717" w:type="dxa"/>
            <w:tcBorders>
              <w:top w:val="nil"/>
              <w:left w:val="nil"/>
              <w:bottom w:val="nil"/>
              <w:right w:val="single" w:sz="4" w:space="0" w:color="auto"/>
            </w:tcBorders>
            <w:shd w:val="clear" w:color="000000" w:fill="FFFFFF"/>
            <w:noWrap/>
            <w:vAlign w:val="center"/>
            <w:hideMark/>
          </w:tcPr>
          <w:p w14:paraId="22A26EAC"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95,6</w:t>
            </w:r>
          </w:p>
        </w:tc>
        <w:tc>
          <w:tcPr>
            <w:tcW w:w="866" w:type="dxa"/>
            <w:tcBorders>
              <w:top w:val="nil"/>
              <w:left w:val="nil"/>
              <w:bottom w:val="nil"/>
              <w:right w:val="nil"/>
            </w:tcBorders>
            <w:shd w:val="clear" w:color="000000" w:fill="FFFFFF"/>
            <w:noWrap/>
            <w:vAlign w:val="center"/>
            <w:hideMark/>
          </w:tcPr>
          <w:p w14:paraId="4C7C8444" w14:textId="77777777" w:rsidR="00922E37" w:rsidRPr="002130A8"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2130A8">
              <w:rPr>
                <w:rFonts w:ascii="Times New Roman" w:eastAsia="Times New Roman" w:hAnsi="Times New Roman"/>
                <w:b/>
                <w:bCs/>
                <w:color w:val="000000"/>
                <w:sz w:val="16"/>
                <w:szCs w:val="16"/>
                <w:lang w:eastAsia="es-AR"/>
              </w:rPr>
              <w:t>0,0669</w:t>
            </w:r>
          </w:p>
        </w:tc>
        <w:tc>
          <w:tcPr>
            <w:tcW w:w="719" w:type="dxa"/>
            <w:tcBorders>
              <w:top w:val="nil"/>
              <w:left w:val="nil"/>
              <w:bottom w:val="nil"/>
              <w:right w:val="single" w:sz="4" w:space="0" w:color="auto"/>
            </w:tcBorders>
            <w:shd w:val="clear" w:color="000000" w:fill="FFFFFF"/>
            <w:noWrap/>
            <w:vAlign w:val="center"/>
            <w:hideMark/>
          </w:tcPr>
          <w:p w14:paraId="5FEAFEFD" w14:textId="77777777" w:rsidR="00922E37" w:rsidRPr="002130A8"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2130A8">
              <w:rPr>
                <w:rFonts w:ascii="Times New Roman" w:eastAsia="Times New Roman" w:hAnsi="Times New Roman"/>
                <w:b/>
                <w:bCs/>
                <w:color w:val="000000"/>
                <w:sz w:val="16"/>
                <w:szCs w:val="16"/>
                <w:lang w:eastAsia="es-AR"/>
              </w:rPr>
              <w:t>90,7</w:t>
            </w:r>
          </w:p>
        </w:tc>
      </w:tr>
      <w:tr w:rsidR="00922E37" w:rsidRPr="007C2D50" w14:paraId="2944A659" w14:textId="77777777" w:rsidTr="00A7309C">
        <w:trPr>
          <w:trHeight w:val="253"/>
        </w:trPr>
        <w:tc>
          <w:tcPr>
            <w:tcW w:w="2581" w:type="dxa"/>
            <w:tcBorders>
              <w:top w:val="nil"/>
              <w:left w:val="single" w:sz="4" w:space="0" w:color="auto"/>
              <w:bottom w:val="nil"/>
              <w:right w:val="single" w:sz="4" w:space="0" w:color="auto"/>
            </w:tcBorders>
            <w:shd w:val="clear" w:color="000000" w:fill="FFFFFF"/>
            <w:noWrap/>
            <w:vAlign w:val="bottom"/>
            <w:hideMark/>
          </w:tcPr>
          <w:p w14:paraId="599E825A"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formal público y privado</w:t>
            </w:r>
          </w:p>
        </w:tc>
        <w:tc>
          <w:tcPr>
            <w:tcW w:w="869" w:type="dxa"/>
            <w:tcBorders>
              <w:top w:val="nil"/>
              <w:left w:val="nil"/>
              <w:bottom w:val="nil"/>
              <w:right w:val="nil"/>
            </w:tcBorders>
            <w:shd w:val="clear" w:color="000000" w:fill="FFFFFF"/>
            <w:noWrap/>
            <w:vAlign w:val="center"/>
            <w:hideMark/>
          </w:tcPr>
          <w:p w14:paraId="30FBAD88"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0,2715</w:t>
            </w:r>
          </w:p>
        </w:tc>
        <w:tc>
          <w:tcPr>
            <w:tcW w:w="717" w:type="dxa"/>
            <w:tcBorders>
              <w:top w:val="nil"/>
              <w:left w:val="nil"/>
              <w:bottom w:val="nil"/>
              <w:right w:val="single" w:sz="4" w:space="0" w:color="auto"/>
            </w:tcBorders>
            <w:shd w:val="clear" w:color="000000" w:fill="FFFFFF"/>
            <w:noWrap/>
            <w:vAlign w:val="center"/>
            <w:hideMark/>
          </w:tcPr>
          <w:p w14:paraId="423D1764"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74,1</w:t>
            </w:r>
          </w:p>
        </w:tc>
        <w:tc>
          <w:tcPr>
            <w:tcW w:w="869" w:type="dxa"/>
            <w:tcBorders>
              <w:top w:val="nil"/>
              <w:left w:val="nil"/>
              <w:bottom w:val="nil"/>
              <w:right w:val="nil"/>
            </w:tcBorders>
            <w:shd w:val="clear" w:color="000000" w:fill="FFFFFF"/>
            <w:noWrap/>
            <w:vAlign w:val="center"/>
            <w:hideMark/>
          </w:tcPr>
          <w:p w14:paraId="3CB74121"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0,2755</w:t>
            </w:r>
          </w:p>
        </w:tc>
        <w:tc>
          <w:tcPr>
            <w:tcW w:w="717" w:type="dxa"/>
            <w:tcBorders>
              <w:top w:val="nil"/>
              <w:left w:val="nil"/>
              <w:bottom w:val="nil"/>
              <w:right w:val="single" w:sz="4" w:space="0" w:color="auto"/>
            </w:tcBorders>
            <w:shd w:val="clear" w:color="000000" w:fill="FFFFFF"/>
            <w:noWrap/>
            <w:vAlign w:val="center"/>
            <w:hideMark/>
          </w:tcPr>
          <w:p w14:paraId="5D4A54BF"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63,7</w:t>
            </w:r>
          </w:p>
        </w:tc>
        <w:tc>
          <w:tcPr>
            <w:tcW w:w="869" w:type="dxa"/>
            <w:tcBorders>
              <w:top w:val="nil"/>
              <w:left w:val="nil"/>
              <w:bottom w:val="nil"/>
              <w:right w:val="nil"/>
            </w:tcBorders>
            <w:shd w:val="clear" w:color="000000" w:fill="FFFFFF"/>
            <w:noWrap/>
            <w:vAlign w:val="center"/>
            <w:hideMark/>
          </w:tcPr>
          <w:p w14:paraId="07A2015A"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0,3284</w:t>
            </w:r>
          </w:p>
        </w:tc>
        <w:tc>
          <w:tcPr>
            <w:tcW w:w="717" w:type="dxa"/>
            <w:tcBorders>
              <w:top w:val="nil"/>
              <w:left w:val="nil"/>
              <w:bottom w:val="nil"/>
              <w:right w:val="single" w:sz="4" w:space="0" w:color="auto"/>
            </w:tcBorders>
            <w:shd w:val="clear" w:color="000000" w:fill="FFFFFF"/>
            <w:noWrap/>
            <w:vAlign w:val="center"/>
            <w:hideMark/>
          </w:tcPr>
          <w:p w14:paraId="6D1A84A0"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74,6</w:t>
            </w:r>
          </w:p>
        </w:tc>
        <w:tc>
          <w:tcPr>
            <w:tcW w:w="866" w:type="dxa"/>
            <w:tcBorders>
              <w:top w:val="nil"/>
              <w:left w:val="nil"/>
              <w:bottom w:val="nil"/>
              <w:right w:val="nil"/>
            </w:tcBorders>
            <w:shd w:val="clear" w:color="000000" w:fill="FFFFFF"/>
            <w:noWrap/>
            <w:vAlign w:val="center"/>
            <w:hideMark/>
          </w:tcPr>
          <w:p w14:paraId="2D5EF167" w14:textId="77777777" w:rsidR="00922E37" w:rsidRPr="002130A8"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2130A8">
              <w:rPr>
                <w:rFonts w:ascii="Times New Roman" w:eastAsia="Times New Roman" w:hAnsi="Times New Roman"/>
                <w:b/>
                <w:i/>
                <w:color w:val="000000"/>
                <w:sz w:val="16"/>
                <w:szCs w:val="16"/>
                <w:lang w:eastAsia="es-AR"/>
              </w:rPr>
              <w:t>0,0569</w:t>
            </w:r>
          </w:p>
        </w:tc>
        <w:tc>
          <w:tcPr>
            <w:tcW w:w="719" w:type="dxa"/>
            <w:tcBorders>
              <w:top w:val="nil"/>
              <w:left w:val="nil"/>
              <w:bottom w:val="nil"/>
              <w:right w:val="single" w:sz="4" w:space="0" w:color="auto"/>
            </w:tcBorders>
            <w:shd w:val="clear" w:color="000000" w:fill="FFFFFF"/>
            <w:noWrap/>
            <w:vAlign w:val="center"/>
            <w:hideMark/>
          </w:tcPr>
          <w:p w14:paraId="2E5FB8E3" w14:textId="77777777" w:rsidR="00922E37" w:rsidRPr="002130A8"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2130A8">
              <w:rPr>
                <w:rFonts w:ascii="Times New Roman" w:eastAsia="Times New Roman" w:hAnsi="Times New Roman"/>
                <w:b/>
                <w:i/>
                <w:color w:val="000000"/>
                <w:sz w:val="16"/>
                <w:szCs w:val="16"/>
                <w:lang w:eastAsia="es-AR"/>
              </w:rPr>
              <w:t>77,0</w:t>
            </w:r>
          </w:p>
        </w:tc>
      </w:tr>
      <w:tr w:rsidR="00922E37" w:rsidRPr="007C2D50" w14:paraId="34B56EB7" w14:textId="77777777" w:rsidTr="00A7309C">
        <w:trPr>
          <w:trHeight w:val="253"/>
        </w:trPr>
        <w:tc>
          <w:tcPr>
            <w:tcW w:w="2581" w:type="dxa"/>
            <w:tcBorders>
              <w:top w:val="nil"/>
              <w:left w:val="single" w:sz="4" w:space="0" w:color="auto"/>
              <w:bottom w:val="nil"/>
              <w:right w:val="single" w:sz="4" w:space="0" w:color="auto"/>
            </w:tcBorders>
            <w:shd w:val="clear" w:color="000000" w:fill="FFFFFF"/>
            <w:noWrap/>
            <w:vAlign w:val="bottom"/>
            <w:hideMark/>
          </w:tcPr>
          <w:p w14:paraId="49AE5B8E"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formal privado</w:t>
            </w:r>
          </w:p>
        </w:tc>
        <w:tc>
          <w:tcPr>
            <w:tcW w:w="869" w:type="dxa"/>
            <w:tcBorders>
              <w:top w:val="nil"/>
              <w:left w:val="nil"/>
              <w:bottom w:val="nil"/>
              <w:right w:val="nil"/>
            </w:tcBorders>
            <w:shd w:val="clear" w:color="000000" w:fill="FFFFFF"/>
            <w:noWrap/>
            <w:vAlign w:val="center"/>
            <w:hideMark/>
          </w:tcPr>
          <w:p w14:paraId="40FB2B68"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17" w:type="dxa"/>
            <w:tcBorders>
              <w:top w:val="nil"/>
              <w:left w:val="nil"/>
              <w:bottom w:val="nil"/>
              <w:right w:val="single" w:sz="4" w:space="0" w:color="auto"/>
            </w:tcBorders>
            <w:shd w:val="clear" w:color="000000" w:fill="FFFFFF"/>
            <w:noWrap/>
            <w:vAlign w:val="center"/>
            <w:hideMark/>
          </w:tcPr>
          <w:p w14:paraId="7EBCFFEE"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869" w:type="dxa"/>
            <w:tcBorders>
              <w:top w:val="nil"/>
              <w:left w:val="nil"/>
              <w:bottom w:val="nil"/>
              <w:right w:val="nil"/>
            </w:tcBorders>
            <w:shd w:val="clear" w:color="000000" w:fill="FFFFFF"/>
            <w:noWrap/>
            <w:vAlign w:val="center"/>
            <w:hideMark/>
          </w:tcPr>
          <w:p w14:paraId="33B354C8"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17" w:type="dxa"/>
            <w:tcBorders>
              <w:top w:val="nil"/>
              <w:left w:val="nil"/>
              <w:bottom w:val="nil"/>
              <w:right w:val="single" w:sz="4" w:space="0" w:color="auto"/>
            </w:tcBorders>
            <w:shd w:val="clear" w:color="000000" w:fill="FFFFFF"/>
            <w:noWrap/>
            <w:vAlign w:val="center"/>
            <w:hideMark/>
          </w:tcPr>
          <w:p w14:paraId="01C8584C"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869" w:type="dxa"/>
            <w:tcBorders>
              <w:top w:val="nil"/>
              <w:left w:val="nil"/>
              <w:bottom w:val="nil"/>
              <w:right w:val="nil"/>
            </w:tcBorders>
            <w:shd w:val="clear" w:color="000000" w:fill="FFFFFF"/>
            <w:noWrap/>
            <w:vAlign w:val="center"/>
            <w:hideMark/>
          </w:tcPr>
          <w:p w14:paraId="7DF014B4"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17" w:type="dxa"/>
            <w:tcBorders>
              <w:top w:val="nil"/>
              <w:left w:val="nil"/>
              <w:bottom w:val="nil"/>
              <w:right w:val="single" w:sz="4" w:space="0" w:color="auto"/>
            </w:tcBorders>
            <w:shd w:val="clear" w:color="000000" w:fill="FFFFFF"/>
            <w:noWrap/>
            <w:vAlign w:val="center"/>
            <w:hideMark/>
          </w:tcPr>
          <w:p w14:paraId="7E5726F7"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866" w:type="dxa"/>
            <w:tcBorders>
              <w:top w:val="nil"/>
              <w:left w:val="nil"/>
              <w:bottom w:val="nil"/>
              <w:right w:val="nil"/>
            </w:tcBorders>
            <w:shd w:val="clear" w:color="000000" w:fill="FFFFFF"/>
            <w:noWrap/>
            <w:vAlign w:val="center"/>
            <w:hideMark/>
          </w:tcPr>
          <w:p w14:paraId="707EBFF3" w14:textId="77777777" w:rsidR="00922E37" w:rsidRPr="002130A8" w:rsidRDefault="00922E37" w:rsidP="008850F5">
            <w:pPr>
              <w:keepNext/>
              <w:spacing w:after="0" w:line="240" w:lineRule="auto"/>
              <w:jc w:val="center"/>
              <w:rPr>
                <w:rFonts w:ascii="Times New Roman" w:eastAsia="Times New Roman" w:hAnsi="Times New Roman"/>
                <w:color w:val="000000"/>
                <w:sz w:val="16"/>
                <w:szCs w:val="16"/>
                <w:lang w:eastAsia="es-AR"/>
              </w:rPr>
            </w:pPr>
            <w:r w:rsidRPr="002130A8">
              <w:rPr>
                <w:rFonts w:ascii="Times New Roman" w:eastAsia="Times New Roman" w:hAnsi="Times New Roman"/>
                <w:color w:val="000000"/>
                <w:sz w:val="16"/>
                <w:szCs w:val="16"/>
                <w:lang w:eastAsia="es-AR"/>
              </w:rPr>
              <w:t>-</w:t>
            </w:r>
          </w:p>
        </w:tc>
        <w:tc>
          <w:tcPr>
            <w:tcW w:w="719" w:type="dxa"/>
            <w:tcBorders>
              <w:top w:val="nil"/>
              <w:left w:val="nil"/>
              <w:bottom w:val="nil"/>
              <w:right w:val="single" w:sz="4" w:space="0" w:color="auto"/>
            </w:tcBorders>
            <w:shd w:val="clear" w:color="000000" w:fill="FFFFFF"/>
            <w:noWrap/>
            <w:vAlign w:val="center"/>
            <w:hideMark/>
          </w:tcPr>
          <w:p w14:paraId="4996AE9C" w14:textId="77777777" w:rsidR="00922E37" w:rsidRPr="002130A8" w:rsidRDefault="00922E37" w:rsidP="008850F5">
            <w:pPr>
              <w:keepNext/>
              <w:spacing w:after="0" w:line="240" w:lineRule="auto"/>
              <w:jc w:val="center"/>
              <w:rPr>
                <w:rFonts w:ascii="Times New Roman" w:eastAsia="Times New Roman" w:hAnsi="Times New Roman"/>
                <w:color w:val="000000"/>
                <w:sz w:val="16"/>
                <w:szCs w:val="16"/>
                <w:lang w:eastAsia="es-AR"/>
              </w:rPr>
            </w:pPr>
            <w:r w:rsidRPr="002130A8">
              <w:rPr>
                <w:rFonts w:ascii="Times New Roman" w:eastAsia="Times New Roman" w:hAnsi="Times New Roman"/>
                <w:color w:val="000000"/>
                <w:sz w:val="16"/>
                <w:szCs w:val="16"/>
                <w:lang w:eastAsia="es-AR"/>
              </w:rPr>
              <w:t>-</w:t>
            </w:r>
          </w:p>
        </w:tc>
      </w:tr>
      <w:tr w:rsidR="00922E37" w:rsidRPr="007C2D50" w14:paraId="7AD2716B" w14:textId="77777777" w:rsidTr="00A7309C">
        <w:trPr>
          <w:trHeight w:val="253"/>
        </w:trPr>
        <w:tc>
          <w:tcPr>
            <w:tcW w:w="2581" w:type="dxa"/>
            <w:tcBorders>
              <w:top w:val="nil"/>
              <w:left w:val="single" w:sz="4" w:space="0" w:color="auto"/>
              <w:bottom w:val="nil"/>
              <w:right w:val="single" w:sz="4" w:space="0" w:color="auto"/>
            </w:tcBorders>
            <w:shd w:val="clear" w:color="000000" w:fill="FFFFFF"/>
            <w:noWrap/>
            <w:vAlign w:val="bottom"/>
            <w:hideMark/>
          </w:tcPr>
          <w:p w14:paraId="2F65265E"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público</w:t>
            </w:r>
          </w:p>
        </w:tc>
        <w:tc>
          <w:tcPr>
            <w:tcW w:w="869" w:type="dxa"/>
            <w:tcBorders>
              <w:top w:val="nil"/>
              <w:left w:val="nil"/>
              <w:bottom w:val="nil"/>
              <w:right w:val="nil"/>
            </w:tcBorders>
            <w:shd w:val="clear" w:color="000000" w:fill="FFFFFF"/>
            <w:noWrap/>
            <w:vAlign w:val="center"/>
            <w:hideMark/>
          </w:tcPr>
          <w:p w14:paraId="567DAD5A"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17" w:type="dxa"/>
            <w:tcBorders>
              <w:top w:val="nil"/>
              <w:left w:val="nil"/>
              <w:bottom w:val="nil"/>
              <w:right w:val="single" w:sz="4" w:space="0" w:color="auto"/>
            </w:tcBorders>
            <w:shd w:val="clear" w:color="000000" w:fill="FFFFFF"/>
            <w:noWrap/>
            <w:vAlign w:val="center"/>
            <w:hideMark/>
          </w:tcPr>
          <w:p w14:paraId="2E70414B"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869" w:type="dxa"/>
            <w:tcBorders>
              <w:top w:val="nil"/>
              <w:left w:val="nil"/>
              <w:bottom w:val="nil"/>
              <w:right w:val="nil"/>
            </w:tcBorders>
            <w:shd w:val="clear" w:color="000000" w:fill="FFFFFF"/>
            <w:noWrap/>
            <w:vAlign w:val="center"/>
            <w:hideMark/>
          </w:tcPr>
          <w:p w14:paraId="2385ADCB"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17" w:type="dxa"/>
            <w:tcBorders>
              <w:top w:val="nil"/>
              <w:left w:val="nil"/>
              <w:bottom w:val="nil"/>
              <w:right w:val="single" w:sz="4" w:space="0" w:color="auto"/>
            </w:tcBorders>
            <w:shd w:val="clear" w:color="000000" w:fill="FFFFFF"/>
            <w:noWrap/>
            <w:vAlign w:val="center"/>
            <w:hideMark/>
          </w:tcPr>
          <w:p w14:paraId="5A690C87"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869" w:type="dxa"/>
            <w:tcBorders>
              <w:top w:val="nil"/>
              <w:left w:val="nil"/>
              <w:bottom w:val="nil"/>
              <w:right w:val="nil"/>
            </w:tcBorders>
            <w:shd w:val="clear" w:color="000000" w:fill="FFFFFF"/>
            <w:noWrap/>
            <w:vAlign w:val="center"/>
            <w:hideMark/>
          </w:tcPr>
          <w:p w14:paraId="0B127156"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17" w:type="dxa"/>
            <w:tcBorders>
              <w:top w:val="nil"/>
              <w:left w:val="nil"/>
              <w:bottom w:val="nil"/>
              <w:right w:val="single" w:sz="4" w:space="0" w:color="auto"/>
            </w:tcBorders>
            <w:shd w:val="clear" w:color="000000" w:fill="FFFFFF"/>
            <w:noWrap/>
            <w:vAlign w:val="center"/>
            <w:hideMark/>
          </w:tcPr>
          <w:p w14:paraId="5D929EFF"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866" w:type="dxa"/>
            <w:tcBorders>
              <w:top w:val="nil"/>
              <w:left w:val="nil"/>
              <w:bottom w:val="nil"/>
              <w:right w:val="nil"/>
            </w:tcBorders>
            <w:shd w:val="clear" w:color="000000" w:fill="FFFFFF"/>
            <w:noWrap/>
            <w:vAlign w:val="center"/>
            <w:hideMark/>
          </w:tcPr>
          <w:p w14:paraId="5CEA83A9" w14:textId="77777777" w:rsidR="00922E37" w:rsidRPr="002130A8" w:rsidRDefault="00922E37" w:rsidP="008850F5">
            <w:pPr>
              <w:keepNext/>
              <w:spacing w:after="0" w:line="240" w:lineRule="auto"/>
              <w:jc w:val="center"/>
              <w:rPr>
                <w:rFonts w:ascii="Times New Roman" w:eastAsia="Times New Roman" w:hAnsi="Times New Roman"/>
                <w:color w:val="000000"/>
                <w:sz w:val="16"/>
                <w:szCs w:val="16"/>
                <w:lang w:eastAsia="es-AR"/>
              </w:rPr>
            </w:pPr>
            <w:r w:rsidRPr="002130A8">
              <w:rPr>
                <w:rFonts w:ascii="Times New Roman" w:eastAsia="Times New Roman" w:hAnsi="Times New Roman"/>
                <w:color w:val="000000"/>
                <w:sz w:val="16"/>
                <w:szCs w:val="16"/>
                <w:lang w:eastAsia="es-AR"/>
              </w:rPr>
              <w:t>-</w:t>
            </w:r>
          </w:p>
        </w:tc>
        <w:tc>
          <w:tcPr>
            <w:tcW w:w="719" w:type="dxa"/>
            <w:tcBorders>
              <w:top w:val="nil"/>
              <w:left w:val="nil"/>
              <w:bottom w:val="nil"/>
              <w:right w:val="single" w:sz="4" w:space="0" w:color="auto"/>
            </w:tcBorders>
            <w:shd w:val="clear" w:color="000000" w:fill="FFFFFF"/>
            <w:noWrap/>
            <w:vAlign w:val="center"/>
            <w:hideMark/>
          </w:tcPr>
          <w:p w14:paraId="2BC9E13B" w14:textId="77777777" w:rsidR="00922E37" w:rsidRPr="002130A8" w:rsidRDefault="00922E37" w:rsidP="008850F5">
            <w:pPr>
              <w:keepNext/>
              <w:spacing w:after="0" w:line="240" w:lineRule="auto"/>
              <w:jc w:val="center"/>
              <w:rPr>
                <w:rFonts w:ascii="Times New Roman" w:eastAsia="Times New Roman" w:hAnsi="Times New Roman"/>
                <w:color w:val="000000"/>
                <w:sz w:val="16"/>
                <w:szCs w:val="16"/>
                <w:lang w:eastAsia="es-AR"/>
              </w:rPr>
            </w:pPr>
            <w:r w:rsidRPr="002130A8">
              <w:rPr>
                <w:rFonts w:ascii="Times New Roman" w:eastAsia="Times New Roman" w:hAnsi="Times New Roman"/>
                <w:color w:val="000000"/>
                <w:sz w:val="16"/>
                <w:szCs w:val="16"/>
                <w:lang w:eastAsia="es-AR"/>
              </w:rPr>
              <w:t>-</w:t>
            </w:r>
          </w:p>
        </w:tc>
      </w:tr>
      <w:tr w:rsidR="00922E37" w:rsidRPr="007C2D50" w14:paraId="26F1A89F" w14:textId="77777777" w:rsidTr="00A7309C">
        <w:trPr>
          <w:trHeight w:val="253"/>
        </w:trPr>
        <w:tc>
          <w:tcPr>
            <w:tcW w:w="2581" w:type="dxa"/>
            <w:tcBorders>
              <w:top w:val="nil"/>
              <w:left w:val="single" w:sz="4" w:space="0" w:color="auto"/>
              <w:bottom w:val="nil"/>
              <w:right w:val="single" w:sz="4" w:space="0" w:color="auto"/>
            </w:tcBorders>
            <w:shd w:val="clear" w:color="000000" w:fill="FFFFFF"/>
            <w:noWrap/>
            <w:vAlign w:val="bottom"/>
            <w:hideMark/>
          </w:tcPr>
          <w:p w14:paraId="7655FFAB"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microinformal</w:t>
            </w:r>
          </w:p>
        </w:tc>
        <w:tc>
          <w:tcPr>
            <w:tcW w:w="869" w:type="dxa"/>
            <w:tcBorders>
              <w:top w:val="nil"/>
              <w:left w:val="nil"/>
              <w:bottom w:val="nil"/>
              <w:right w:val="nil"/>
            </w:tcBorders>
            <w:shd w:val="clear" w:color="000000" w:fill="FFFFFF"/>
            <w:noWrap/>
            <w:vAlign w:val="center"/>
            <w:hideMark/>
          </w:tcPr>
          <w:p w14:paraId="5C3E2F3E"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0,0823</w:t>
            </w:r>
          </w:p>
        </w:tc>
        <w:tc>
          <w:tcPr>
            <w:tcW w:w="717" w:type="dxa"/>
            <w:tcBorders>
              <w:top w:val="nil"/>
              <w:left w:val="nil"/>
              <w:bottom w:val="nil"/>
              <w:right w:val="single" w:sz="4" w:space="0" w:color="auto"/>
            </w:tcBorders>
            <w:shd w:val="clear" w:color="000000" w:fill="FFFFFF"/>
            <w:noWrap/>
            <w:vAlign w:val="center"/>
            <w:hideMark/>
          </w:tcPr>
          <w:p w14:paraId="58A73B8F"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22,5</w:t>
            </w:r>
          </w:p>
        </w:tc>
        <w:tc>
          <w:tcPr>
            <w:tcW w:w="869" w:type="dxa"/>
            <w:tcBorders>
              <w:top w:val="nil"/>
              <w:left w:val="nil"/>
              <w:bottom w:val="nil"/>
              <w:right w:val="nil"/>
            </w:tcBorders>
            <w:shd w:val="clear" w:color="000000" w:fill="FFFFFF"/>
            <w:noWrap/>
            <w:vAlign w:val="center"/>
            <w:hideMark/>
          </w:tcPr>
          <w:p w14:paraId="22A4B538"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0,1129</w:t>
            </w:r>
          </w:p>
        </w:tc>
        <w:tc>
          <w:tcPr>
            <w:tcW w:w="717" w:type="dxa"/>
            <w:tcBorders>
              <w:top w:val="nil"/>
              <w:left w:val="nil"/>
              <w:bottom w:val="nil"/>
              <w:right w:val="single" w:sz="4" w:space="0" w:color="auto"/>
            </w:tcBorders>
            <w:shd w:val="clear" w:color="000000" w:fill="FFFFFF"/>
            <w:noWrap/>
            <w:vAlign w:val="center"/>
            <w:hideMark/>
          </w:tcPr>
          <w:p w14:paraId="23C8D7C6"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26,1</w:t>
            </w:r>
          </w:p>
        </w:tc>
        <w:tc>
          <w:tcPr>
            <w:tcW w:w="869" w:type="dxa"/>
            <w:tcBorders>
              <w:top w:val="nil"/>
              <w:left w:val="nil"/>
              <w:bottom w:val="nil"/>
              <w:right w:val="nil"/>
            </w:tcBorders>
            <w:shd w:val="clear" w:color="000000" w:fill="FFFFFF"/>
            <w:noWrap/>
            <w:vAlign w:val="center"/>
            <w:hideMark/>
          </w:tcPr>
          <w:p w14:paraId="6B0A83C5"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0,0923</w:t>
            </w:r>
          </w:p>
        </w:tc>
        <w:tc>
          <w:tcPr>
            <w:tcW w:w="717" w:type="dxa"/>
            <w:tcBorders>
              <w:top w:val="nil"/>
              <w:left w:val="nil"/>
              <w:bottom w:val="nil"/>
              <w:right w:val="single" w:sz="4" w:space="0" w:color="auto"/>
            </w:tcBorders>
            <w:shd w:val="clear" w:color="000000" w:fill="FFFFFF"/>
            <w:noWrap/>
            <w:vAlign w:val="center"/>
            <w:hideMark/>
          </w:tcPr>
          <w:p w14:paraId="0D6E094A"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21,0</w:t>
            </w:r>
          </w:p>
        </w:tc>
        <w:tc>
          <w:tcPr>
            <w:tcW w:w="866" w:type="dxa"/>
            <w:tcBorders>
              <w:top w:val="nil"/>
              <w:left w:val="nil"/>
              <w:bottom w:val="nil"/>
              <w:right w:val="nil"/>
            </w:tcBorders>
            <w:shd w:val="clear" w:color="000000" w:fill="FFFFFF"/>
            <w:noWrap/>
            <w:vAlign w:val="center"/>
            <w:hideMark/>
          </w:tcPr>
          <w:p w14:paraId="516724F0" w14:textId="77777777" w:rsidR="00922E37" w:rsidRPr="002130A8"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2130A8">
              <w:rPr>
                <w:rFonts w:ascii="Times New Roman" w:eastAsia="Times New Roman" w:hAnsi="Times New Roman"/>
                <w:b/>
                <w:i/>
                <w:color w:val="000000"/>
                <w:sz w:val="16"/>
                <w:szCs w:val="16"/>
                <w:lang w:eastAsia="es-AR"/>
              </w:rPr>
              <w:t>0,0101</w:t>
            </w:r>
          </w:p>
        </w:tc>
        <w:tc>
          <w:tcPr>
            <w:tcW w:w="719" w:type="dxa"/>
            <w:tcBorders>
              <w:top w:val="nil"/>
              <w:left w:val="nil"/>
              <w:bottom w:val="nil"/>
              <w:right w:val="single" w:sz="4" w:space="0" w:color="auto"/>
            </w:tcBorders>
            <w:shd w:val="clear" w:color="000000" w:fill="FFFFFF"/>
            <w:noWrap/>
            <w:vAlign w:val="center"/>
            <w:hideMark/>
          </w:tcPr>
          <w:p w14:paraId="7D00E8D8" w14:textId="77777777" w:rsidR="00922E37" w:rsidRPr="002130A8"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2130A8">
              <w:rPr>
                <w:rFonts w:ascii="Times New Roman" w:eastAsia="Times New Roman" w:hAnsi="Times New Roman"/>
                <w:b/>
                <w:i/>
                <w:color w:val="000000"/>
                <w:sz w:val="16"/>
                <w:szCs w:val="16"/>
                <w:lang w:eastAsia="es-AR"/>
              </w:rPr>
              <w:t>13,7</w:t>
            </w:r>
          </w:p>
        </w:tc>
      </w:tr>
      <w:tr w:rsidR="00922E37" w:rsidRPr="007C2D50" w14:paraId="4028C205" w14:textId="77777777" w:rsidTr="00A7309C">
        <w:trPr>
          <w:trHeight w:val="253"/>
        </w:trPr>
        <w:tc>
          <w:tcPr>
            <w:tcW w:w="2581" w:type="dxa"/>
            <w:tcBorders>
              <w:top w:val="nil"/>
              <w:left w:val="single" w:sz="4" w:space="0" w:color="auto"/>
              <w:bottom w:val="nil"/>
              <w:right w:val="single" w:sz="4" w:space="0" w:color="auto"/>
            </w:tcBorders>
            <w:shd w:val="clear" w:color="000000" w:fill="FFFFFF"/>
            <w:noWrap/>
            <w:vAlign w:val="bottom"/>
            <w:hideMark/>
          </w:tcPr>
          <w:p w14:paraId="1FDEA2DF"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no laborales</w:t>
            </w:r>
          </w:p>
        </w:tc>
        <w:tc>
          <w:tcPr>
            <w:tcW w:w="869" w:type="dxa"/>
            <w:tcBorders>
              <w:top w:val="nil"/>
              <w:left w:val="nil"/>
              <w:bottom w:val="nil"/>
              <w:right w:val="nil"/>
            </w:tcBorders>
            <w:shd w:val="clear" w:color="000000" w:fill="FFFFFF"/>
            <w:noWrap/>
            <w:vAlign w:val="center"/>
            <w:hideMark/>
          </w:tcPr>
          <w:p w14:paraId="3B1B06F3"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0,0124</w:t>
            </w:r>
          </w:p>
        </w:tc>
        <w:tc>
          <w:tcPr>
            <w:tcW w:w="717" w:type="dxa"/>
            <w:tcBorders>
              <w:top w:val="nil"/>
              <w:left w:val="nil"/>
              <w:bottom w:val="nil"/>
              <w:right w:val="single" w:sz="4" w:space="0" w:color="auto"/>
            </w:tcBorders>
            <w:shd w:val="clear" w:color="000000" w:fill="FFFFFF"/>
            <w:noWrap/>
            <w:vAlign w:val="center"/>
            <w:hideMark/>
          </w:tcPr>
          <w:p w14:paraId="16E66C20"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3,4</w:t>
            </w:r>
          </w:p>
        </w:tc>
        <w:tc>
          <w:tcPr>
            <w:tcW w:w="869" w:type="dxa"/>
            <w:tcBorders>
              <w:top w:val="nil"/>
              <w:left w:val="nil"/>
              <w:bottom w:val="nil"/>
              <w:right w:val="nil"/>
            </w:tcBorders>
            <w:shd w:val="clear" w:color="000000" w:fill="FFFFFF"/>
            <w:noWrap/>
            <w:vAlign w:val="center"/>
            <w:hideMark/>
          </w:tcPr>
          <w:p w14:paraId="20CEC4EB"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0,0439</w:t>
            </w:r>
          </w:p>
        </w:tc>
        <w:tc>
          <w:tcPr>
            <w:tcW w:w="717" w:type="dxa"/>
            <w:tcBorders>
              <w:top w:val="nil"/>
              <w:left w:val="nil"/>
              <w:bottom w:val="nil"/>
              <w:right w:val="single" w:sz="4" w:space="0" w:color="auto"/>
            </w:tcBorders>
            <w:shd w:val="clear" w:color="000000" w:fill="FFFFFF"/>
            <w:noWrap/>
            <w:vAlign w:val="center"/>
            <w:hideMark/>
          </w:tcPr>
          <w:p w14:paraId="3765352D"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10,2</w:t>
            </w:r>
          </w:p>
        </w:tc>
        <w:tc>
          <w:tcPr>
            <w:tcW w:w="869" w:type="dxa"/>
            <w:tcBorders>
              <w:top w:val="nil"/>
              <w:left w:val="nil"/>
              <w:bottom w:val="nil"/>
              <w:right w:val="nil"/>
            </w:tcBorders>
            <w:shd w:val="clear" w:color="000000" w:fill="FFFFFF"/>
            <w:noWrap/>
            <w:vAlign w:val="center"/>
            <w:hideMark/>
          </w:tcPr>
          <w:p w14:paraId="40B5D5F7"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0,0193</w:t>
            </w:r>
          </w:p>
        </w:tc>
        <w:tc>
          <w:tcPr>
            <w:tcW w:w="717" w:type="dxa"/>
            <w:tcBorders>
              <w:top w:val="nil"/>
              <w:left w:val="nil"/>
              <w:bottom w:val="nil"/>
              <w:right w:val="single" w:sz="4" w:space="0" w:color="auto"/>
            </w:tcBorders>
            <w:shd w:val="clear" w:color="000000" w:fill="FFFFFF"/>
            <w:noWrap/>
            <w:vAlign w:val="center"/>
            <w:hideMark/>
          </w:tcPr>
          <w:p w14:paraId="1ADE3DAC"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4,4</w:t>
            </w:r>
          </w:p>
        </w:tc>
        <w:tc>
          <w:tcPr>
            <w:tcW w:w="866" w:type="dxa"/>
            <w:tcBorders>
              <w:top w:val="nil"/>
              <w:left w:val="nil"/>
              <w:bottom w:val="nil"/>
              <w:right w:val="nil"/>
            </w:tcBorders>
            <w:shd w:val="clear" w:color="000000" w:fill="FFFFFF"/>
            <w:noWrap/>
            <w:vAlign w:val="center"/>
            <w:hideMark/>
          </w:tcPr>
          <w:p w14:paraId="5AF0BA43" w14:textId="77777777" w:rsidR="00922E37" w:rsidRPr="002130A8"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2130A8">
              <w:rPr>
                <w:rFonts w:ascii="Times New Roman" w:eastAsia="Times New Roman" w:hAnsi="Times New Roman"/>
                <w:b/>
                <w:bCs/>
                <w:color w:val="000000"/>
                <w:sz w:val="16"/>
                <w:szCs w:val="16"/>
                <w:lang w:eastAsia="es-AR"/>
              </w:rPr>
              <w:t>0,0069</w:t>
            </w:r>
          </w:p>
        </w:tc>
        <w:tc>
          <w:tcPr>
            <w:tcW w:w="719" w:type="dxa"/>
            <w:tcBorders>
              <w:top w:val="nil"/>
              <w:left w:val="nil"/>
              <w:bottom w:val="nil"/>
              <w:right w:val="single" w:sz="4" w:space="0" w:color="auto"/>
            </w:tcBorders>
            <w:shd w:val="clear" w:color="000000" w:fill="FFFFFF"/>
            <w:noWrap/>
            <w:vAlign w:val="center"/>
            <w:hideMark/>
          </w:tcPr>
          <w:p w14:paraId="602680D1" w14:textId="77777777" w:rsidR="00922E37" w:rsidRPr="002130A8"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2130A8">
              <w:rPr>
                <w:rFonts w:ascii="Times New Roman" w:eastAsia="Times New Roman" w:hAnsi="Times New Roman"/>
                <w:b/>
                <w:bCs/>
                <w:color w:val="000000"/>
                <w:sz w:val="16"/>
                <w:szCs w:val="16"/>
                <w:lang w:eastAsia="es-AR"/>
              </w:rPr>
              <w:t>9,3</w:t>
            </w:r>
          </w:p>
        </w:tc>
      </w:tr>
      <w:tr w:rsidR="00922E37" w:rsidRPr="007C2D50" w14:paraId="08D94CDC" w14:textId="77777777" w:rsidTr="00A7309C">
        <w:trPr>
          <w:trHeight w:val="253"/>
        </w:trPr>
        <w:tc>
          <w:tcPr>
            <w:tcW w:w="25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A80976"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Coeficiente de Gini familiar</w:t>
            </w:r>
          </w:p>
        </w:tc>
        <w:tc>
          <w:tcPr>
            <w:tcW w:w="869" w:type="dxa"/>
            <w:tcBorders>
              <w:top w:val="single" w:sz="4" w:space="0" w:color="auto"/>
              <w:left w:val="nil"/>
              <w:bottom w:val="single" w:sz="4" w:space="0" w:color="auto"/>
              <w:right w:val="nil"/>
            </w:tcBorders>
            <w:shd w:val="clear" w:color="000000" w:fill="FFFFFF"/>
            <w:noWrap/>
            <w:vAlign w:val="center"/>
            <w:hideMark/>
          </w:tcPr>
          <w:p w14:paraId="277FF74B"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0,3662</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14:paraId="733EC2CC"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100,0</w:t>
            </w:r>
          </w:p>
        </w:tc>
        <w:tc>
          <w:tcPr>
            <w:tcW w:w="869" w:type="dxa"/>
            <w:tcBorders>
              <w:top w:val="single" w:sz="4" w:space="0" w:color="auto"/>
              <w:left w:val="nil"/>
              <w:bottom w:val="single" w:sz="4" w:space="0" w:color="auto"/>
              <w:right w:val="nil"/>
            </w:tcBorders>
            <w:shd w:val="clear" w:color="000000" w:fill="FFFFFF"/>
            <w:noWrap/>
            <w:vAlign w:val="center"/>
            <w:hideMark/>
          </w:tcPr>
          <w:p w14:paraId="49C4020C"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0,4322</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14:paraId="7F8F5C99"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100,0</w:t>
            </w:r>
          </w:p>
        </w:tc>
        <w:tc>
          <w:tcPr>
            <w:tcW w:w="869" w:type="dxa"/>
            <w:tcBorders>
              <w:top w:val="single" w:sz="4" w:space="0" w:color="auto"/>
              <w:left w:val="nil"/>
              <w:bottom w:val="single" w:sz="4" w:space="0" w:color="auto"/>
              <w:right w:val="nil"/>
            </w:tcBorders>
            <w:shd w:val="clear" w:color="000000" w:fill="FFFFFF"/>
            <w:noWrap/>
            <w:vAlign w:val="center"/>
            <w:hideMark/>
          </w:tcPr>
          <w:p w14:paraId="39E05C68"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0,4400</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14:paraId="6F45E150"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100,0</w:t>
            </w:r>
          </w:p>
        </w:tc>
        <w:tc>
          <w:tcPr>
            <w:tcW w:w="866" w:type="dxa"/>
            <w:tcBorders>
              <w:top w:val="single" w:sz="4" w:space="0" w:color="auto"/>
              <w:left w:val="nil"/>
              <w:bottom w:val="single" w:sz="4" w:space="0" w:color="auto"/>
              <w:right w:val="nil"/>
            </w:tcBorders>
            <w:shd w:val="clear" w:color="000000" w:fill="FFFFFF"/>
            <w:noWrap/>
            <w:vAlign w:val="center"/>
            <w:hideMark/>
          </w:tcPr>
          <w:p w14:paraId="66E1AA9A" w14:textId="77777777" w:rsidR="00922E37" w:rsidRPr="002130A8"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2130A8">
              <w:rPr>
                <w:rFonts w:ascii="Times New Roman" w:eastAsia="Times New Roman" w:hAnsi="Times New Roman"/>
                <w:b/>
                <w:bCs/>
                <w:color w:val="000000"/>
                <w:sz w:val="16"/>
                <w:szCs w:val="16"/>
                <w:lang w:eastAsia="es-AR"/>
              </w:rPr>
              <w:t>0,0738</w:t>
            </w:r>
          </w:p>
        </w:tc>
        <w:tc>
          <w:tcPr>
            <w:tcW w:w="719" w:type="dxa"/>
            <w:tcBorders>
              <w:top w:val="single" w:sz="4" w:space="0" w:color="auto"/>
              <w:left w:val="nil"/>
              <w:bottom w:val="single" w:sz="4" w:space="0" w:color="auto"/>
              <w:right w:val="single" w:sz="4" w:space="0" w:color="auto"/>
            </w:tcBorders>
            <w:shd w:val="clear" w:color="000000" w:fill="FFFFFF"/>
            <w:noWrap/>
            <w:vAlign w:val="center"/>
            <w:hideMark/>
          </w:tcPr>
          <w:p w14:paraId="7A5ACF8D" w14:textId="77777777" w:rsidR="00922E37" w:rsidRPr="002130A8"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2130A8">
              <w:rPr>
                <w:rFonts w:ascii="Times New Roman" w:eastAsia="Times New Roman" w:hAnsi="Times New Roman"/>
                <w:b/>
                <w:bCs/>
                <w:color w:val="000000"/>
                <w:sz w:val="16"/>
                <w:szCs w:val="16"/>
                <w:lang w:eastAsia="es-AR"/>
              </w:rPr>
              <w:t>100,0</w:t>
            </w:r>
          </w:p>
        </w:tc>
      </w:tr>
    </w:tbl>
    <w:p w14:paraId="1366587C" w14:textId="77777777" w:rsidR="00922E37" w:rsidRPr="007C2D50" w:rsidRDefault="00922E37" w:rsidP="00922E37">
      <w:pPr>
        <w:tabs>
          <w:tab w:val="left" w:pos="4069"/>
        </w:tabs>
        <w:spacing w:before="120" w:after="24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585D483D" w14:textId="7C344C23" w:rsidR="00922E37" w:rsidRPr="007C2D50" w:rsidRDefault="00922E37" w:rsidP="00922E37">
      <w:pPr>
        <w:tabs>
          <w:tab w:val="left" w:pos="4069"/>
        </w:tabs>
        <w:spacing w:after="120"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El modelo de descomposición propuesto –a partir de la ecuación (3)– permite examinar qué factores explican los cambios en la desigualdad distributiva. Entre 1974 y 1988, los ingresos laborales redujeron su participación relativa en el ingreso </w:t>
      </w:r>
      <w:r w:rsidR="00C20AE2" w:rsidRPr="007C2D50">
        <w:rPr>
          <w:rFonts w:ascii="Times New Roman" w:eastAsia="Times New Roman" w:hAnsi="Times New Roman"/>
          <w:szCs w:val="24"/>
          <w:lang w:val="es-ES" w:eastAsia="es-AR"/>
        </w:rPr>
        <w:t>familiar,</w:t>
      </w:r>
      <w:r w:rsidRPr="007C2D50">
        <w:rPr>
          <w:rFonts w:ascii="Times New Roman" w:eastAsia="Times New Roman" w:hAnsi="Times New Roman"/>
          <w:szCs w:val="24"/>
          <w:lang w:val="es-ES" w:eastAsia="es-AR"/>
        </w:rPr>
        <w:t xml:space="preserve"> pero se volvieron crecientemente desiguales a su interior, lo que explica su contribución a la desigualdad general (Cuadro 5). Los ingresos provenientes de ocupaciones en el sector formal público y privado aportaron positivamente a la desigualdad por el efecto combinado de tres procesos: si bien redujeron su participación en el ingreso total familiar (S) (lo que es consistente con la menor participación de este sector en el volumen total del empleo, como se analizó anteriormente), se volvieron crecientemente desiguales (G) y se correlacionaron con la distribución general de ingresos (R). Los ingresos provenientes de ocupaciones del sector microinformal tuvieron un comportamiento inverso en términos de participación, pero también aumentaron su desigualdad interna –lo que remitiría a la creciente heterogeneidad del sector (</w:t>
      </w:r>
      <w:r w:rsidR="003D7CB1">
        <w:rPr>
          <w:rFonts w:ascii="Times New Roman" w:eastAsia="Times New Roman" w:hAnsi="Times New Roman"/>
          <w:szCs w:val="24"/>
          <w:lang w:val="es-ES" w:eastAsia="es-AR"/>
        </w:rPr>
        <w:t>AUTOR</w:t>
      </w:r>
      <w:r w:rsidRPr="007C2D50">
        <w:rPr>
          <w:rFonts w:ascii="Times New Roman" w:eastAsia="Times New Roman" w:hAnsi="Times New Roman"/>
          <w:szCs w:val="24"/>
          <w:lang w:val="es-ES" w:eastAsia="es-AR"/>
        </w:rPr>
        <w:t xml:space="preserve">)– y su correlación con la distribución general. Este fenómeno expresa el rol “amortiguador” que el sector informal </w:t>
      </w:r>
      <w:r w:rsidR="000E1E44" w:rsidRPr="00144B64">
        <w:rPr>
          <w:rFonts w:ascii="Times New Roman" w:eastAsia="Times New Roman" w:hAnsi="Times New Roman"/>
          <w:szCs w:val="24"/>
          <w:highlight w:val="yellow"/>
          <w:lang w:val="es-ES" w:eastAsia="es-AR"/>
        </w:rPr>
        <w:t>habría desempeñado</w:t>
      </w:r>
      <w:r w:rsidR="000E1E44" w:rsidRPr="007C2D50">
        <w:rPr>
          <w:rFonts w:ascii="Times New Roman" w:eastAsia="Times New Roman" w:hAnsi="Times New Roman"/>
          <w:szCs w:val="24"/>
          <w:lang w:val="es-ES" w:eastAsia="es-AR"/>
        </w:rPr>
        <w:t xml:space="preserve"> </w:t>
      </w:r>
      <w:r w:rsidRPr="007C2D50">
        <w:rPr>
          <w:rFonts w:ascii="Times New Roman" w:eastAsia="Times New Roman" w:hAnsi="Times New Roman"/>
          <w:szCs w:val="24"/>
          <w:lang w:val="es-ES" w:eastAsia="es-AR"/>
        </w:rPr>
        <w:t xml:space="preserve">en los años ochenta en el mercado laboral y el hecho de que no estaba asociado de forma unívoca a la subsistencia durante este período (Beccaria, Carpio y Orsatti, 2000). </w:t>
      </w:r>
    </w:p>
    <w:p w14:paraId="0DA93909" w14:textId="77777777" w:rsidR="00922E37" w:rsidRPr="007C2D50" w:rsidRDefault="00922E37" w:rsidP="00922E37">
      <w:pPr>
        <w:keepNext/>
        <w:spacing w:before="120" w:after="120" w:line="240" w:lineRule="auto"/>
        <w:jc w:val="both"/>
        <w:rPr>
          <w:rFonts w:ascii="Times New Roman" w:eastAsia="Times New Roman" w:hAnsi="Times New Roman"/>
          <w:bCs/>
          <w:i/>
          <w:color w:val="000000"/>
          <w:szCs w:val="24"/>
          <w:lang w:eastAsia="es-AR"/>
        </w:rPr>
      </w:pPr>
      <w:r w:rsidRPr="007C2D50">
        <w:rPr>
          <w:rFonts w:ascii="Times New Roman" w:eastAsia="Times New Roman" w:hAnsi="Times New Roman"/>
          <w:b/>
          <w:bCs/>
          <w:color w:val="000000"/>
          <w:szCs w:val="24"/>
          <w:lang w:eastAsia="es-AR"/>
        </w:rPr>
        <w:lastRenderedPageBreak/>
        <w:t xml:space="preserve">Cuadro 5. Descomposición del cambio absoluto del coeficiente de Gini familiar según fuente de ingresos. Área Gran Buenos Aires, 1974-1988. </w:t>
      </w:r>
      <w:r w:rsidRPr="007C2D50">
        <w:rPr>
          <w:rFonts w:ascii="Times New Roman" w:eastAsia="Times New Roman" w:hAnsi="Times New Roman"/>
          <w:bCs/>
          <w:color w:val="000000"/>
          <w:szCs w:val="24"/>
          <w:lang w:eastAsia="es-AR"/>
        </w:rPr>
        <w:t>Variación interanual en valores absolutos/puntos del coeficiente de Gini.</w:t>
      </w:r>
    </w:p>
    <w:tbl>
      <w:tblPr>
        <w:tblW w:w="8799" w:type="dxa"/>
        <w:jc w:val="center"/>
        <w:tblCellMar>
          <w:left w:w="70" w:type="dxa"/>
          <w:right w:w="70" w:type="dxa"/>
        </w:tblCellMar>
        <w:tblLook w:val="04A0" w:firstRow="1" w:lastRow="0" w:firstColumn="1" w:lastColumn="0" w:noHBand="0" w:noVBand="1"/>
      </w:tblPr>
      <w:tblGrid>
        <w:gridCol w:w="2471"/>
        <w:gridCol w:w="791"/>
        <w:gridCol w:w="791"/>
        <w:gridCol w:w="791"/>
        <w:gridCol w:w="791"/>
        <w:gridCol w:w="791"/>
        <w:gridCol w:w="791"/>
        <w:gridCol w:w="791"/>
        <w:gridCol w:w="791"/>
      </w:tblGrid>
      <w:tr w:rsidR="00922E37" w:rsidRPr="007C2D50" w14:paraId="7B083065" w14:textId="77777777" w:rsidTr="008850F5">
        <w:trPr>
          <w:trHeight w:val="286"/>
          <w:jc w:val="center"/>
        </w:trPr>
        <w:tc>
          <w:tcPr>
            <w:tcW w:w="2471" w:type="dxa"/>
            <w:tcBorders>
              <w:top w:val="single" w:sz="4" w:space="0" w:color="auto"/>
              <w:left w:val="single" w:sz="4" w:space="0" w:color="auto"/>
              <w:bottom w:val="single" w:sz="4" w:space="0" w:color="auto"/>
              <w:right w:val="nil"/>
            </w:tcBorders>
            <w:shd w:val="clear" w:color="000000" w:fill="FFFFFF"/>
            <w:noWrap/>
            <w:vAlign w:val="center"/>
            <w:hideMark/>
          </w:tcPr>
          <w:p w14:paraId="2FFDBED3" w14:textId="77777777" w:rsidR="00922E37" w:rsidRPr="007C2D50" w:rsidRDefault="00922E37" w:rsidP="008850F5">
            <w:pPr>
              <w:keepNext/>
              <w:spacing w:after="0" w:line="240" w:lineRule="auto"/>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Fuente de ingreso</w:t>
            </w:r>
          </w:p>
        </w:tc>
        <w:tc>
          <w:tcPr>
            <w:tcW w:w="7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E731A"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Var. Gini</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57E28D1A"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r</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294C046D"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S</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6452853D"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g</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4CCE657A"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r*s</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2517DDE0"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r*g</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1FA7AB13"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s*g</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7E5AC36D"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r*s*g</w:t>
            </w:r>
          </w:p>
        </w:tc>
      </w:tr>
      <w:tr w:rsidR="00922E37" w:rsidRPr="007C2D50" w14:paraId="5015A47C" w14:textId="77777777" w:rsidTr="008850F5">
        <w:trPr>
          <w:trHeight w:val="286"/>
          <w:jc w:val="center"/>
        </w:trPr>
        <w:tc>
          <w:tcPr>
            <w:tcW w:w="2471" w:type="dxa"/>
            <w:tcBorders>
              <w:top w:val="nil"/>
              <w:left w:val="single" w:sz="4" w:space="0" w:color="auto"/>
              <w:bottom w:val="nil"/>
              <w:right w:val="single" w:sz="4" w:space="0" w:color="auto"/>
            </w:tcBorders>
            <w:shd w:val="clear" w:color="000000" w:fill="FFFFFF"/>
            <w:noWrap/>
            <w:vAlign w:val="center"/>
            <w:hideMark/>
          </w:tcPr>
          <w:p w14:paraId="04358004"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laborales</w:t>
            </w:r>
          </w:p>
        </w:tc>
        <w:tc>
          <w:tcPr>
            <w:tcW w:w="791" w:type="dxa"/>
            <w:tcBorders>
              <w:top w:val="nil"/>
              <w:left w:val="nil"/>
              <w:bottom w:val="nil"/>
              <w:right w:val="single" w:sz="4" w:space="0" w:color="auto"/>
            </w:tcBorders>
            <w:shd w:val="clear" w:color="000000" w:fill="FFFFFF"/>
            <w:noWrap/>
            <w:vAlign w:val="center"/>
            <w:hideMark/>
          </w:tcPr>
          <w:p w14:paraId="137CCD88"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0,0669</w:t>
            </w:r>
          </w:p>
        </w:tc>
        <w:tc>
          <w:tcPr>
            <w:tcW w:w="791" w:type="dxa"/>
            <w:tcBorders>
              <w:top w:val="nil"/>
              <w:left w:val="nil"/>
              <w:bottom w:val="nil"/>
              <w:right w:val="single" w:sz="4" w:space="0" w:color="auto"/>
            </w:tcBorders>
            <w:shd w:val="clear" w:color="000000" w:fill="FFFFFF"/>
            <w:noWrap/>
            <w:vAlign w:val="center"/>
            <w:hideMark/>
          </w:tcPr>
          <w:p w14:paraId="35E59719"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0,0014</w:t>
            </w:r>
          </w:p>
        </w:tc>
        <w:tc>
          <w:tcPr>
            <w:tcW w:w="791" w:type="dxa"/>
            <w:tcBorders>
              <w:top w:val="nil"/>
              <w:left w:val="nil"/>
              <w:bottom w:val="nil"/>
              <w:right w:val="single" w:sz="4" w:space="0" w:color="auto"/>
            </w:tcBorders>
            <w:shd w:val="clear" w:color="000000" w:fill="FFFFFF"/>
            <w:noWrap/>
            <w:vAlign w:val="center"/>
            <w:hideMark/>
          </w:tcPr>
          <w:p w14:paraId="43E278DE"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-0,0095</w:t>
            </w:r>
          </w:p>
        </w:tc>
        <w:tc>
          <w:tcPr>
            <w:tcW w:w="791" w:type="dxa"/>
            <w:tcBorders>
              <w:top w:val="nil"/>
              <w:left w:val="nil"/>
              <w:bottom w:val="nil"/>
              <w:right w:val="single" w:sz="4" w:space="0" w:color="auto"/>
            </w:tcBorders>
            <w:shd w:val="clear" w:color="000000" w:fill="FFFFFF"/>
            <w:noWrap/>
            <w:vAlign w:val="center"/>
            <w:hideMark/>
          </w:tcPr>
          <w:p w14:paraId="6243ADDE"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0,0769</w:t>
            </w:r>
          </w:p>
        </w:tc>
        <w:tc>
          <w:tcPr>
            <w:tcW w:w="791" w:type="dxa"/>
            <w:tcBorders>
              <w:top w:val="nil"/>
              <w:left w:val="nil"/>
              <w:bottom w:val="nil"/>
              <w:right w:val="single" w:sz="4" w:space="0" w:color="auto"/>
            </w:tcBorders>
            <w:shd w:val="clear" w:color="000000" w:fill="FFFFFF"/>
            <w:noWrap/>
            <w:vAlign w:val="center"/>
            <w:hideMark/>
          </w:tcPr>
          <w:p w14:paraId="597219F4"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0,0000</w:t>
            </w:r>
          </w:p>
        </w:tc>
        <w:tc>
          <w:tcPr>
            <w:tcW w:w="791" w:type="dxa"/>
            <w:tcBorders>
              <w:top w:val="nil"/>
              <w:left w:val="nil"/>
              <w:bottom w:val="nil"/>
              <w:right w:val="single" w:sz="4" w:space="0" w:color="auto"/>
            </w:tcBorders>
            <w:shd w:val="clear" w:color="000000" w:fill="FFFFFF"/>
            <w:noWrap/>
            <w:vAlign w:val="center"/>
            <w:hideMark/>
          </w:tcPr>
          <w:p w14:paraId="095A8C99"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0,0003</w:t>
            </w:r>
          </w:p>
        </w:tc>
        <w:tc>
          <w:tcPr>
            <w:tcW w:w="791" w:type="dxa"/>
            <w:tcBorders>
              <w:top w:val="nil"/>
              <w:left w:val="nil"/>
              <w:bottom w:val="nil"/>
              <w:right w:val="single" w:sz="4" w:space="0" w:color="auto"/>
            </w:tcBorders>
            <w:shd w:val="clear" w:color="000000" w:fill="FFFFFF"/>
            <w:noWrap/>
            <w:vAlign w:val="center"/>
            <w:hideMark/>
          </w:tcPr>
          <w:p w14:paraId="71D06CB8"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-0,0021</w:t>
            </w:r>
          </w:p>
        </w:tc>
        <w:tc>
          <w:tcPr>
            <w:tcW w:w="791" w:type="dxa"/>
            <w:tcBorders>
              <w:top w:val="nil"/>
              <w:left w:val="nil"/>
              <w:bottom w:val="nil"/>
              <w:right w:val="single" w:sz="4" w:space="0" w:color="auto"/>
            </w:tcBorders>
            <w:shd w:val="clear" w:color="000000" w:fill="FFFFFF"/>
            <w:noWrap/>
            <w:vAlign w:val="center"/>
            <w:hideMark/>
          </w:tcPr>
          <w:p w14:paraId="63E7D650"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0,0000</w:t>
            </w:r>
          </w:p>
        </w:tc>
      </w:tr>
      <w:tr w:rsidR="00922E37" w:rsidRPr="007C2D50" w14:paraId="4C648087" w14:textId="77777777" w:rsidTr="008850F5">
        <w:trPr>
          <w:trHeight w:val="286"/>
          <w:jc w:val="center"/>
        </w:trPr>
        <w:tc>
          <w:tcPr>
            <w:tcW w:w="2471" w:type="dxa"/>
            <w:tcBorders>
              <w:top w:val="nil"/>
              <w:left w:val="single" w:sz="4" w:space="0" w:color="auto"/>
              <w:bottom w:val="nil"/>
              <w:right w:val="single" w:sz="4" w:space="0" w:color="auto"/>
            </w:tcBorders>
            <w:shd w:val="clear" w:color="000000" w:fill="FFFFFF"/>
            <w:noWrap/>
            <w:vAlign w:val="center"/>
            <w:hideMark/>
          </w:tcPr>
          <w:p w14:paraId="695418B0"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formal público y privado</w:t>
            </w:r>
          </w:p>
        </w:tc>
        <w:tc>
          <w:tcPr>
            <w:tcW w:w="791" w:type="dxa"/>
            <w:tcBorders>
              <w:top w:val="nil"/>
              <w:left w:val="nil"/>
              <w:bottom w:val="nil"/>
              <w:right w:val="single" w:sz="4" w:space="0" w:color="auto"/>
            </w:tcBorders>
            <w:shd w:val="clear" w:color="000000" w:fill="FFFFFF"/>
            <w:noWrap/>
            <w:vAlign w:val="center"/>
            <w:hideMark/>
          </w:tcPr>
          <w:p w14:paraId="5A440A80"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0,0569</w:t>
            </w:r>
          </w:p>
        </w:tc>
        <w:tc>
          <w:tcPr>
            <w:tcW w:w="791" w:type="dxa"/>
            <w:tcBorders>
              <w:top w:val="nil"/>
              <w:left w:val="nil"/>
              <w:bottom w:val="nil"/>
              <w:right w:val="single" w:sz="4" w:space="0" w:color="auto"/>
            </w:tcBorders>
            <w:shd w:val="clear" w:color="000000" w:fill="FFFFFF"/>
            <w:noWrap/>
            <w:vAlign w:val="center"/>
            <w:hideMark/>
          </w:tcPr>
          <w:p w14:paraId="7F53C649"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0,0233</w:t>
            </w:r>
          </w:p>
        </w:tc>
        <w:tc>
          <w:tcPr>
            <w:tcW w:w="791" w:type="dxa"/>
            <w:tcBorders>
              <w:top w:val="nil"/>
              <w:left w:val="nil"/>
              <w:bottom w:val="nil"/>
              <w:right w:val="single" w:sz="4" w:space="0" w:color="auto"/>
            </w:tcBorders>
            <w:shd w:val="clear" w:color="000000" w:fill="FFFFFF"/>
            <w:noWrap/>
            <w:vAlign w:val="center"/>
            <w:hideMark/>
          </w:tcPr>
          <w:p w14:paraId="4BEACD0A"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-0,0117</w:t>
            </w:r>
          </w:p>
        </w:tc>
        <w:tc>
          <w:tcPr>
            <w:tcW w:w="791" w:type="dxa"/>
            <w:tcBorders>
              <w:top w:val="nil"/>
              <w:left w:val="nil"/>
              <w:bottom w:val="nil"/>
              <w:right w:val="single" w:sz="4" w:space="0" w:color="auto"/>
            </w:tcBorders>
            <w:shd w:val="clear" w:color="000000" w:fill="FFFFFF"/>
            <w:noWrap/>
            <w:vAlign w:val="center"/>
            <w:hideMark/>
          </w:tcPr>
          <w:p w14:paraId="09C8CF7A"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0,0446</w:t>
            </w:r>
          </w:p>
        </w:tc>
        <w:tc>
          <w:tcPr>
            <w:tcW w:w="791" w:type="dxa"/>
            <w:tcBorders>
              <w:top w:val="nil"/>
              <w:left w:val="nil"/>
              <w:bottom w:val="nil"/>
              <w:right w:val="single" w:sz="4" w:space="0" w:color="auto"/>
            </w:tcBorders>
            <w:shd w:val="clear" w:color="000000" w:fill="FFFFFF"/>
            <w:noWrap/>
            <w:vAlign w:val="center"/>
            <w:hideMark/>
          </w:tcPr>
          <w:p w14:paraId="77CC42CC"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-0,0010</w:t>
            </w:r>
          </w:p>
        </w:tc>
        <w:tc>
          <w:tcPr>
            <w:tcW w:w="791" w:type="dxa"/>
            <w:tcBorders>
              <w:top w:val="nil"/>
              <w:left w:val="nil"/>
              <w:bottom w:val="nil"/>
              <w:right w:val="single" w:sz="4" w:space="0" w:color="auto"/>
            </w:tcBorders>
            <w:shd w:val="clear" w:color="000000" w:fill="FFFFFF"/>
            <w:noWrap/>
            <w:vAlign w:val="center"/>
            <w:hideMark/>
          </w:tcPr>
          <w:p w14:paraId="722B9740"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0,0038</w:t>
            </w:r>
          </w:p>
        </w:tc>
        <w:tc>
          <w:tcPr>
            <w:tcW w:w="791" w:type="dxa"/>
            <w:tcBorders>
              <w:top w:val="nil"/>
              <w:left w:val="nil"/>
              <w:bottom w:val="nil"/>
              <w:right w:val="single" w:sz="4" w:space="0" w:color="auto"/>
            </w:tcBorders>
            <w:shd w:val="clear" w:color="000000" w:fill="FFFFFF"/>
            <w:noWrap/>
            <w:vAlign w:val="center"/>
            <w:hideMark/>
          </w:tcPr>
          <w:p w14:paraId="0D5657EE"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-0,0019</w:t>
            </w:r>
          </w:p>
        </w:tc>
        <w:tc>
          <w:tcPr>
            <w:tcW w:w="791" w:type="dxa"/>
            <w:tcBorders>
              <w:top w:val="nil"/>
              <w:left w:val="nil"/>
              <w:bottom w:val="nil"/>
              <w:right w:val="single" w:sz="4" w:space="0" w:color="auto"/>
            </w:tcBorders>
            <w:shd w:val="clear" w:color="000000" w:fill="FFFFFF"/>
            <w:noWrap/>
            <w:vAlign w:val="center"/>
            <w:hideMark/>
          </w:tcPr>
          <w:p w14:paraId="44780BAB"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-0,0002</w:t>
            </w:r>
          </w:p>
        </w:tc>
      </w:tr>
      <w:tr w:rsidR="00922E37" w:rsidRPr="007C2D50" w14:paraId="33FC875B" w14:textId="77777777" w:rsidTr="008850F5">
        <w:trPr>
          <w:trHeight w:val="286"/>
          <w:jc w:val="center"/>
        </w:trPr>
        <w:tc>
          <w:tcPr>
            <w:tcW w:w="2471" w:type="dxa"/>
            <w:tcBorders>
              <w:top w:val="nil"/>
              <w:left w:val="single" w:sz="4" w:space="0" w:color="auto"/>
              <w:bottom w:val="nil"/>
              <w:right w:val="single" w:sz="4" w:space="0" w:color="auto"/>
            </w:tcBorders>
            <w:shd w:val="clear" w:color="000000" w:fill="FFFFFF"/>
            <w:noWrap/>
            <w:vAlign w:val="center"/>
            <w:hideMark/>
          </w:tcPr>
          <w:p w14:paraId="46A399FA"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formal privado</w:t>
            </w:r>
          </w:p>
        </w:tc>
        <w:tc>
          <w:tcPr>
            <w:tcW w:w="791" w:type="dxa"/>
            <w:tcBorders>
              <w:top w:val="nil"/>
              <w:left w:val="nil"/>
              <w:bottom w:val="nil"/>
              <w:right w:val="single" w:sz="4" w:space="0" w:color="auto"/>
            </w:tcBorders>
            <w:shd w:val="clear" w:color="000000" w:fill="FFFFFF"/>
            <w:noWrap/>
            <w:vAlign w:val="center"/>
            <w:hideMark/>
          </w:tcPr>
          <w:p w14:paraId="0D56EAFC"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5A816CE2"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323B01CE"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1CC0FE4D"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32E887DF"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1DB13CD2"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337710B8"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79C920CE"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r>
      <w:tr w:rsidR="00922E37" w:rsidRPr="007C2D50" w14:paraId="4CD46E6B" w14:textId="77777777" w:rsidTr="008850F5">
        <w:trPr>
          <w:trHeight w:val="286"/>
          <w:jc w:val="center"/>
        </w:trPr>
        <w:tc>
          <w:tcPr>
            <w:tcW w:w="2471" w:type="dxa"/>
            <w:tcBorders>
              <w:top w:val="nil"/>
              <w:left w:val="single" w:sz="4" w:space="0" w:color="auto"/>
              <w:bottom w:val="nil"/>
              <w:right w:val="single" w:sz="4" w:space="0" w:color="auto"/>
            </w:tcBorders>
            <w:shd w:val="clear" w:color="000000" w:fill="FFFFFF"/>
            <w:noWrap/>
            <w:vAlign w:val="center"/>
            <w:hideMark/>
          </w:tcPr>
          <w:p w14:paraId="79E18619"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público</w:t>
            </w:r>
          </w:p>
        </w:tc>
        <w:tc>
          <w:tcPr>
            <w:tcW w:w="791" w:type="dxa"/>
            <w:tcBorders>
              <w:top w:val="nil"/>
              <w:left w:val="nil"/>
              <w:bottom w:val="nil"/>
              <w:right w:val="single" w:sz="4" w:space="0" w:color="auto"/>
            </w:tcBorders>
            <w:shd w:val="clear" w:color="000000" w:fill="FFFFFF"/>
            <w:noWrap/>
            <w:vAlign w:val="center"/>
            <w:hideMark/>
          </w:tcPr>
          <w:p w14:paraId="5BE25754"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153D213D"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6530CDF7"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1C5A6E66"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544A0796"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3711D8BD"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42B49CEE"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1" w:type="dxa"/>
            <w:tcBorders>
              <w:top w:val="nil"/>
              <w:left w:val="nil"/>
              <w:bottom w:val="nil"/>
              <w:right w:val="single" w:sz="4" w:space="0" w:color="auto"/>
            </w:tcBorders>
            <w:shd w:val="clear" w:color="000000" w:fill="FFFFFF"/>
            <w:noWrap/>
            <w:vAlign w:val="center"/>
            <w:hideMark/>
          </w:tcPr>
          <w:p w14:paraId="25F5413C"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r>
      <w:tr w:rsidR="00922E37" w:rsidRPr="007C2D50" w14:paraId="15B4BF57" w14:textId="77777777" w:rsidTr="008850F5">
        <w:trPr>
          <w:trHeight w:val="286"/>
          <w:jc w:val="center"/>
        </w:trPr>
        <w:tc>
          <w:tcPr>
            <w:tcW w:w="2471" w:type="dxa"/>
            <w:tcBorders>
              <w:top w:val="nil"/>
              <w:left w:val="single" w:sz="4" w:space="0" w:color="auto"/>
              <w:bottom w:val="nil"/>
              <w:right w:val="single" w:sz="4" w:space="0" w:color="auto"/>
            </w:tcBorders>
            <w:shd w:val="clear" w:color="000000" w:fill="FFFFFF"/>
            <w:noWrap/>
            <w:vAlign w:val="center"/>
            <w:hideMark/>
          </w:tcPr>
          <w:p w14:paraId="0C9CCDA0"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microinformal</w:t>
            </w:r>
          </w:p>
        </w:tc>
        <w:tc>
          <w:tcPr>
            <w:tcW w:w="791" w:type="dxa"/>
            <w:tcBorders>
              <w:top w:val="nil"/>
              <w:left w:val="nil"/>
              <w:bottom w:val="nil"/>
              <w:right w:val="single" w:sz="4" w:space="0" w:color="auto"/>
            </w:tcBorders>
            <w:shd w:val="clear" w:color="000000" w:fill="FFFFFF"/>
            <w:noWrap/>
            <w:vAlign w:val="center"/>
            <w:hideMark/>
          </w:tcPr>
          <w:p w14:paraId="768922ED"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0,0101</w:t>
            </w:r>
          </w:p>
        </w:tc>
        <w:tc>
          <w:tcPr>
            <w:tcW w:w="791" w:type="dxa"/>
            <w:tcBorders>
              <w:top w:val="nil"/>
              <w:left w:val="nil"/>
              <w:bottom w:val="nil"/>
              <w:right w:val="single" w:sz="4" w:space="0" w:color="auto"/>
            </w:tcBorders>
            <w:shd w:val="clear" w:color="000000" w:fill="FFFFFF"/>
            <w:noWrap/>
            <w:vAlign w:val="center"/>
            <w:hideMark/>
          </w:tcPr>
          <w:p w14:paraId="060DD9F5"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0,0076</w:t>
            </w:r>
          </w:p>
        </w:tc>
        <w:tc>
          <w:tcPr>
            <w:tcW w:w="791" w:type="dxa"/>
            <w:tcBorders>
              <w:top w:val="nil"/>
              <w:left w:val="nil"/>
              <w:bottom w:val="nil"/>
              <w:right w:val="single" w:sz="4" w:space="0" w:color="auto"/>
            </w:tcBorders>
            <w:shd w:val="clear" w:color="000000" w:fill="FFFFFF"/>
            <w:noWrap/>
            <w:vAlign w:val="center"/>
            <w:hideMark/>
          </w:tcPr>
          <w:p w14:paraId="5C6F4938"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0,0009</w:t>
            </w:r>
          </w:p>
        </w:tc>
        <w:tc>
          <w:tcPr>
            <w:tcW w:w="791" w:type="dxa"/>
            <w:tcBorders>
              <w:top w:val="nil"/>
              <w:left w:val="nil"/>
              <w:bottom w:val="nil"/>
              <w:right w:val="single" w:sz="4" w:space="0" w:color="auto"/>
            </w:tcBorders>
            <w:shd w:val="clear" w:color="000000" w:fill="FFFFFF"/>
            <w:noWrap/>
            <w:vAlign w:val="center"/>
            <w:hideMark/>
          </w:tcPr>
          <w:p w14:paraId="3458D28B"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0,0013</w:t>
            </w:r>
          </w:p>
        </w:tc>
        <w:tc>
          <w:tcPr>
            <w:tcW w:w="791" w:type="dxa"/>
            <w:tcBorders>
              <w:top w:val="nil"/>
              <w:left w:val="nil"/>
              <w:bottom w:val="nil"/>
              <w:right w:val="single" w:sz="4" w:space="0" w:color="auto"/>
            </w:tcBorders>
            <w:shd w:val="clear" w:color="000000" w:fill="FFFFFF"/>
            <w:noWrap/>
            <w:vAlign w:val="center"/>
            <w:hideMark/>
          </w:tcPr>
          <w:p w14:paraId="4E91F93C"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0,0001</w:t>
            </w:r>
          </w:p>
        </w:tc>
        <w:tc>
          <w:tcPr>
            <w:tcW w:w="791" w:type="dxa"/>
            <w:tcBorders>
              <w:top w:val="nil"/>
              <w:left w:val="nil"/>
              <w:bottom w:val="nil"/>
              <w:right w:val="single" w:sz="4" w:space="0" w:color="auto"/>
            </w:tcBorders>
            <w:shd w:val="clear" w:color="000000" w:fill="FFFFFF"/>
            <w:noWrap/>
            <w:vAlign w:val="center"/>
            <w:hideMark/>
          </w:tcPr>
          <w:p w14:paraId="51134B5D"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0,0001</w:t>
            </w:r>
          </w:p>
        </w:tc>
        <w:tc>
          <w:tcPr>
            <w:tcW w:w="791" w:type="dxa"/>
            <w:tcBorders>
              <w:top w:val="nil"/>
              <w:left w:val="nil"/>
              <w:bottom w:val="nil"/>
              <w:right w:val="single" w:sz="4" w:space="0" w:color="auto"/>
            </w:tcBorders>
            <w:shd w:val="clear" w:color="000000" w:fill="FFFFFF"/>
            <w:noWrap/>
            <w:vAlign w:val="center"/>
            <w:hideMark/>
          </w:tcPr>
          <w:p w14:paraId="6C3EFD15"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0,0000</w:t>
            </w:r>
          </w:p>
        </w:tc>
        <w:tc>
          <w:tcPr>
            <w:tcW w:w="791" w:type="dxa"/>
            <w:tcBorders>
              <w:top w:val="nil"/>
              <w:left w:val="nil"/>
              <w:bottom w:val="nil"/>
              <w:right w:val="single" w:sz="4" w:space="0" w:color="auto"/>
            </w:tcBorders>
            <w:shd w:val="clear" w:color="000000" w:fill="FFFFFF"/>
            <w:noWrap/>
            <w:vAlign w:val="center"/>
            <w:hideMark/>
          </w:tcPr>
          <w:p w14:paraId="478007B6"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0,0000</w:t>
            </w:r>
          </w:p>
        </w:tc>
      </w:tr>
      <w:tr w:rsidR="00922E37" w:rsidRPr="007C2D50" w14:paraId="1056DA34" w14:textId="77777777" w:rsidTr="008850F5">
        <w:trPr>
          <w:trHeight w:val="286"/>
          <w:jc w:val="center"/>
        </w:trPr>
        <w:tc>
          <w:tcPr>
            <w:tcW w:w="2471" w:type="dxa"/>
            <w:tcBorders>
              <w:top w:val="nil"/>
              <w:left w:val="single" w:sz="4" w:space="0" w:color="auto"/>
              <w:bottom w:val="single" w:sz="4" w:space="0" w:color="auto"/>
              <w:right w:val="single" w:sz="4" w:space="0" w:color="auto"/>
            </w:tcBorders>
            <w:shd w:val="clear" w:color="000000" w:fill="FFFFFF"/>
            <w:noWrap/>
            <w:vAlign w:val="center"/>
            <w:hideMark/>
          </w:tcPr>
          <w:p w14:paraId="521D2780"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no laborales</w:t>
            </w:r>
          </w:p>
        </w:tc>
        <w:tc>
          <w:tcPr>
            <w:tcW w:w="791" w:type="dxa"/>
            <w:tcBorders>
              <w:top w:val="nil"/>
              <w:left w:val="nil"/>
              <w:bottom w:val="single" w:sz="4" w:space="0" w:color="auto"/>
              <w:right w:val="single" w:sz="4" w:space="0" w:color="auto"/>
            </w:tcBorders>
            <w:shd w:val="clear" w:color="000000" w:fill="FFFFFF"/>
            <w:noWrap/>
            <w:vAlign w:val="center"/>
            <w:hideMark/>
          </w:tcPr>
          <w:p w14:paraId="43812A7F"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0,0069</w:t>
            </w:r>
          </w:p>
        </w:tc>
        <w:tc>
          <w:tcPr>
            <w:tcW w:w="791" w:type="dxa"/>
            <w:tcBorders>
              <w:top w:val="nil"/>
              <w:left w:val="nil"/>
              <w:bottom w:val="single" w:sz="4" w:space="0" w:color="auto"/>
              <w:right w:val="single" w:sz="4" w:space="0" w:color="auto"/>
            </w:tcBorders>
            <w:shd w:val="clear" w:color="000000" w:fill="FFFFFF"/>
            <w:noWrap/>
            <w:vAlign w:val="center"/>
            <w:hideMark/>
          </w:tcPr>
          <w:p w14:paraId="4D48318A"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0,0041</w:t>
            </w:r>
          </w:p>
        </w:tc>
        <w:tc>
          <w:tcPr>
            <w:tcW w:w="791" w:type="dxa"/>
            <w:tcBorders>
              <w:top w:val="nil"/>
              <w:left w:val="nil"/>
              <w:bottom w:val="single" w:sz="4" w:space="0" w:color="auto"/>
              <w:right w:val="single" w:sz="4" w:space="0" w:color="auto"/>
            </w:tcBorders>
            <w:shd w:val="clear" w:color="000000" w:fill="FFFFFF"/>
            <w:noWrap/>
            <w:vAlign w:val="center"/>
            <w:hideMark/>
          </w:tcPr>
          <w:p w14:paraId="65A14815"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0,0023</w:t>
            </w:r>
          </w:p>
        </w:tc>
        <w:tc>
          <w:tcPr>
            <w:tcW w:w="791" w:type="dxa"/>
            <w:tcBorders>
              <w:top w:val="nil"/>
              <w:left w:val="nil"/>
              <w:bottom w:val="single" w:sz="4" w:space="0" w:color="auto"/>
              <w:right w:val="single" w:sz="4" w:space="0" w:color="auto"/>
            </w:tcBorders>
            <w:shd w:val="clear" w:color="000000" w:fill="FFFFFF"/>
            <w:noWrap/>
            <w:vAlign w:val="center"/>
            <w:hideMark/>
          </w:tcPr>
          <w:p w14:paraId="77573C5F"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-0,0002</w:t>
            </w:r>
          </w:p>
        </w:tc>
        <w:tc>
          <w:tcPr>
            <w:tcW w:w="791" w:type="dxa"/>
            <w:tcBorders>
              <w:top w:val="nil"/>
              <w:left w:val="nil"/>
              <w:bottom w:val="single" w:sz="4" w:space="0" w:color="auto"/>
              <w:right w:val="single" w:sz="4" w:space="0" w:color="auto"/>
            </w:tcBorders>
            <w:shd w:val="clear" w:color="000000" w:fill="FFFFFF"/>
            <w:noWrap/>
            <w:vAlign w:val="center"/>
            <w:hideMark/>
          </w:tcPr>
          <w:p w14:paraId="68B3F42E"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0,0008</w:t>
            </w:r>
          </w:p>
        </w:tc>
        <w:tc>
          <w:tcPr>
            <w:tcW w:w="791" w:type="dxa"/>
            <w:tcBorders>
              <w:top w:val="nil"/>
              <w:left w:val="nil"/>
              <w:bottom w:val="single" w:sz="4" w:space="0" w:color="auto"/>
              <w:right w:val="single" w:sz="4" w:space="0" w:color="auto"/>
            </w:tcBorders>
            <w:shd w:val="clear" w:color="000000" w:fill="FFFFFF"/>
            <w:noWrap/>
            <w:vAlign w:val="center"/>
            <w:hideMark/>
          </w:tcPr>
          <w:p w14:paraId="5AAB89A9"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-0,0001</w:t>
            </w:r>
          </w:p>
        </w:tc>
        <w:tc>
          <w:tcPr>
            <w:tcW w:w="791" w:type="dxa"/>
            <w:tcBorders>
              <w:top w:val="nil"/>
              <w:left w:val="nil"/>
              <w:bottom w:val="single" w:sz="4" w:space="0" w:color="auto"/>
              <w:right w:val="single" w:sz="4" w:space="0" w:color="auto"/>
            </w:tcBorders>
            <w:shd w:val="clear" w:color="000000" w:fill="FFFFFF"/>
            <w:noWrap/>
            <w:vAlign w:val="center"/>
            <w:hideMark/>
          </w:tcPr>
          <w:p w14:paraId="01CD0964"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0,0000</w:t>
            </w:r>
          </w:p>
        </w:tc>
        <w:tc>
          <w:tcPr>
            <w:tcW w:w="791" w:type="dxa"/>
            <w:tcBorders>
              <w:top w:val="nil"/>
              <w:left w:val="nil"/>
              <w:bottom w:val="single" w:sz="4" w:space="0" w:color="auto"/>
              <w:right w:val="single" w:sz="4" w:space="0" w:color="auto"/>
            </w:tcBorders>
            <w:shd w:val="clear" w:color="000000" w:fill="FFFFFF"/>
            <w:noWrap/>
            <w:vAlign w:val="center"/>
            <w:hideMark/>
          </w:tcPr>
          <w:p w14:paraId="31EDF182"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0,0000</w:t>
            </w:r>
          </w:p>
        </w:tc>
      </w:tr>
      <w:tr w:rsidR="00922E37" w:rsidRPr="007C2D50" w14:paraId="218A881E" w14:textId="77777777" w:rsidTr="008850F5">
        <w:trPr>
          <w:trHeight w:val="286"/>
          <w:jc w:val="center"/>
        </w:trPr>
        <w:tc>
          <w:tcPr>
            <w:tcW w:w="2471" w:type="dxa"/>
            <w:tcBorders>
              <w:top w:val="single" w:sz="4" w:space="0" w:color="auto"/>
              <w:left w:val="single" w:sz="4" w:space="0" w:color="auto"/>
              <w:bottom w:val="single" w:sz="4" w:space="0" w:color="auto"/>
              <w:right w:val="nil"/>
            </w:tcBorders>
            <w:shd w:val="clear" w:color="000000" w:fill="FFFFFF"/>
            <w:noWrap/>
            <w:vAlign w:val="center"/>
            <w:hideMark/>
          </w:tcPr>
          <w:p w14:paraId="6EFDBC6D" w14:textId="77777777" w:rsidR="00922E37" w:rsidRPr="007C2D50" w:rsidRDefault="00922E37" w:rsidP="008850F5">
            <w:pPr>
              <w:keepNext/>
              <w:spacing w:after="0" w:line="240" w:lineRule="auto"/>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Total</w:t>
            </w:r>
          </w:p>
        </w:tc>
        <w:tc>
          <w:tcPr>
            <w:tcW w:w="7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2A300"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0,0738</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0CA40527"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p>
        </w:tc>
        <w:tc>
          <w:tcPr>
            <w:tcW w:w="791" w:type="dxa"/>
            <w:tcBorders>
              <w:top w:val="single" w:sz="4" w:space="0" w:color="auto"/>
              <w:left w:val="nil"/>
              <w:bottom w:val="single" w:sz="4" w:space="0" w:color="auto"/>
              <w:right w:val="single" w:sz="4" w:space="0" w:color="auto"/>
            </w:tcBorders>
            <w:shd w:val="clear" w:color="000000" w:fill="FFFFFF"/>
            <w:noWrap/>
            <w:vAlign w:val="bottom"/>
            <w:hideMark/>
          </w:tcPr>
          <w:p w14:paraId="0B666DF5"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1" w:type="dxa"/>
            <w:tcBorders>
              <w:top w:val="single" w:sz="4" w:space="0" w:color="auto"/>
              <w:left w:val="nil"/>
              <w:bottom w:val="single" w:sz="4" w:space="0" w:color="auto"/>
              <w:right w:val="single" w:sz="4" w:space="0" w:color="auto"/>
            </w:tcBorders>
            <w:shd w:val="clear" w:color="000000" w:fill="FFFFFF"/>
            <w:noWrap/>
            <w:vAlign w:val="bottom"/>
            <w:hideMark/>
          </w:tcPr>
          <w:p w14:paraId="7394F9BC"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1" w:type="dxa"/>
            <w:tcBorders>
              <w:top w:val="single" w:sz="4" w:space="0" w:color="auto"/>
              <w:left w:val="nil"/>
              <w:bottom w:val="single" w:sz="4" w:space="0" w:color="auto"/>
              <w:right w:val="single" w:sz="4" w:space="0" w:color="auto"/>
            </w:tcBorders>
            <w:shd w:val="clear" w:color="000000" w:fill="FFFFFF"/>
            <w:noWrap/>
            <w:vAlign w:val="bottom"/>
            <w:hideMark/>
          </w:tcPr>
          <w:p w14:paraId="353DA82B"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1" w:type="dxa"/>
            <w:tcBorders>
              <w:top w:val="single" w:sz="4" w:space="0" w:color="auto"/>
              <w:left w:val="nil"/>
              <w:bottom w:val="single" w:sz="4" w:space="0" w:color="auto"/>
              <w:right w:val="single" w:sz="4" w:space="0" w:color="auto"/>
            </w:tcBorders>
            <w:shd w:val="clear" w:color="000000" w:fill="FFFFFF"/>
            <w:noWrap/>
            <w:vAlign w:val="bottom"/>
            <w:hideMark/>
          </w:tcPr>
          <w:p w14:paraId="196951AA"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1" w:type="dxa"/>
            <w:tcBorders>
              <w:top w:val="single" w:sz="4" w:space="0" w:color="auto"/>
              <w:left w:val="nil"/>
              <w:bottom w:val="single" w:sz="4" w:space="0" w:color="auto"/>
              <w:right w:val="single" w:sz="4" w:space="0" w:color="auto"/>
            </w:tcBorders>
            <w:shd w:val="clear" w:color="000000" w:fill="FFFFFF"/>
            <w:noWrap/>
            <w:vAlign w:val="bottom"/>
            <w:hideMark/>
          </w:tcPr>
          <w:p w14:paraId="786EAAA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1" w:type="dxa"/>
            <w:tcBorders>
              <w:top w:val="single" w:sz="4" w:space="0" w:color="auto"/>
              <w:left w:val="nil"/>
              <w:bottom w:val="single" w:sz="4" w:space="0" w:color="auto"/>
              <w:right w:val="single" w:sz="4" w:space="0" w:color="auto"/>
            </w:tcBorders>
            <w:shd w:val="clear" w:color="000000" w:fill="FFFFFF"/>
            <w:noWrap/>
            <w:vAlign w:val="bottom"/>
            <w:hideMark/>
          </w:tcPr>
          <w:p w14:paraId="48954525"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r>
    </w:tbl>
    <w:p w14:paraId="5A949B0C" w14:textId="77777777" w:rsidR="00922E37" w:rsidRPr="007C2D50" w:rsidRDefault="00922E37" w:rsidP="00922E37">
      <w:pPr>
        <w:tabs>
          <w:tab w:val="left" w:pos="4069"/>
        </w:tabs>
        <w:spacing w:before="120" w:after="36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120D0563" w14:textId="77777777" w:rsidR="00922E37" w:rsidRPr="007C2D50" w:rsidRDefault="00922E37" w:rsidP="00922E37">
      <w:pPr>
        <w:tabs>
          <w:tab w:val="left" w:pos="4069"/>
        </w:tabs>
        <w:spacing w:before="120" w:after="120" w:line="360" w:lineRule="auto"/>
        <w:jc w:val="both"/>
        <w:rPr>
          <w:rFonts w:ascii="Times New Roman" w:eastAsia="Times New Roman" w:hAnsi="Times New Roman"/>
          <w:szCs w:val="24"/>
          <w:lang w:val="es-ES" w:eastAsia="es-AR"/>
        </w:rPr>
      </w:pPr>
      <w:r w:rsidRPr="007C2D50">
        <w:rPr>
          <w:rFonts w:ascii="Times New Roman" w:hAnsi="Times New Roman"/>
          <w:color w:val="010101"/>
          <w:szCs w:val="24"/>
          <w:lang w:eastAsia="es-MX"/>
        </w:rPr>
        <w:t xml:space="preserve">Durante los años </w:t>
      </w:r>
      <w:r w:rsidRPr="00144B64">
        <w:rPr>
          <w:rFonts w:ascii="Times New Roman" w:hAnsi="Times New Roman"/>
          <w:color w:val="010101"/>
          <w:szCs w:val="24"/>
          <w:lang w:eastAsia="es-MX"/>
        </w:rPr>
        <w:t>de reformas estructurales bajo un régimen de convertibilidad (1988-2003),</w:t>
      </w:r>
      <w:r w:rsidRPr="007C2D50">
        <w:rPr>
          <w:rFonts w:ascii="Times New Roman" w:hAnsi="Times New Roman"/>
          <w:color w:val="010101"/>
          <w:szCs w:val="24"/>
          <w:lang w:eastAsia="es-MX"/>
        </w:rPr>
        <w:t xml:space="preserve"> </w:t>
      </w:r>
      <w:r w:rsidRPr="007C2D50">
        <w:rPr>
          <w:rFonts w:ascii="Times New Roman" w:eastAsia="Times New Roman" w:hAnsi="Times New Roman"/>
          <w:szCs w:val="24"/>
          <w:lang w:val="es-ES" w:eastAsia="es-AR"/>
        </w:rPr>
        <w:t xml:space="preserve">la apertura comercial y la desregulación económica volvieron a profundizar los desajustes estructurales y, de manera más general, desfavorecieron la creación de empleo. Expresión de ello fue la evolución seguida por el coeficiente de Gini familiar, que pasó de 0,440 a 0,4867 (Cuadro 6). El aporte absoluto tanto de las fuentes laborales como no laborales a la desigualdad se incrementó; sin embargo, cambió sensiblemente el aporte relativo de estas fuentes: los procesos vinculados con el mercado de trabajo redujeron su importancia (pasando de 95,6% en 1988 a representar el 91,8% del coeficiente de Gini en mayo de 2003), mientras que lo inverso se verificó en el caso de los ingresos no laborales (4,4% a 8,2%). </w:t>
      </w:r>
    </w:p>
    <w:p w14:paraId="18945B44" w14:textId="77777777" w:rsidR="00922E37" w:rsidRPr="007C2D50" w:rsidRDefault="00922E37" w:rsidP="00922E37">
      <w:pPr>
        <w:keepNext/>
        <w:tabs>
          <w:tab w:val="left" w:pos="4069"/>
        </w:tabs>
        <w:spacing w:after="120" w:line="240" w:lineRule="auto"/>
        <w:jc w:val="both"/>
        <w:rPr>
          <w:rFonts w:ascii="Times New Roman" w:eastAsia="Times New Roman" w:hAnsi="Times New Roman"/>
          <w:bCs/>
          <w:color w:val="000000"/>
          <w:lang w:eastAsia="es-AR"/>
        </w:rPr>
      </w:pPr>
      <w:r w:rsidRPr="007C2D50">
        <w:rPr>
          <w:rFonts w:ascii="Times New Roman" w:eastAsia="Times New Roman" w:hAnsi="Times New Roman"/>
          <w:b/>
          <w:bCs/>
          <w:color w:val="000000"/>
          <w:lang w:eastAsia="es-AR"/>
        </w:rPr>
        <w:t>Cuadro 6.</w:t>
      </w:r>
      <w:r w:rsidRPr="007C2D50">
        <w:rPr>
          <w:rFonts w:ascii="Times New Roman" w:eastAsia="Times New Roman" w:hAnsi="Times New Roman"/>
          <w:sz w:val="18"/>
          <w:szCs w:val="16"/>
          <w:lang w:eastAsia="es-AR"/>
        </w:rPr>
        <w:t xml:space="preserve"> </w:t>
      </w:r>
      <w:r w:rsidRPr="007C2D50">
        <w:rPr>
          <w:rFonts w:ascii="Times New Roman" w:eastAsia="Times New Roman" w:hAnsi="Times New Roman"/>
          <w:b/>
          <w:bCs/>
          <w:color w:val="000000"/>
          <w:lang w:eastAsia="es-AR"/>
        </w:rPr>
        <w:t xml:space="preserve">Coeficiente de Gini familiar, descomposición según aporte de cada fuente de ingreso y contribución de cada fuente al cambio. Gran Buenos Aires, 1988-2003. </w:t>
      </w:r>
      <w:r w:rsidRPr="007C2D50">
        <w:rPr>
          <w:rFonts w:ascii="Times New Roman" w:eastAsia="Times New Roman" w:hAnsi="Times New Roman"/>
          <w:bCs/>
          <w:color w:val="000000"/>
          <w:lang w:eastAsia="es-AR"/>
        </w:rPr>
        <w:t>En puntos del coeficiente de Gini y porcentaje respecto al total.</w:t>
      </w:r>
    </w:p>
    <w:tbl>
      <w:tblPr>
        <w:tblW w:w="8937" w:type="dxa"/>
        <w:tblInd w:w="-5" w:type="dxa"/>
        <w:tblCellMar>
          <w:left w:w="70" w:type="dxa"/>
          <w:right w:w="70" w:type="dxa"/>
        </w:tblCellMar>
        <w:tblLook w:val="04A0" w:firstRow="1" w:lastRow="0" w:firstColumn="1" w:lastColumn="0" w:noHBand="0" w:noVBand="1"/>
      </w:tblPr>
      <w:tblGrid>
        <w:gridCol w:w="2516"/>
        <w:gridCol w:w="847"/>
        <w:gridCol w:w="698"/>
        <w:gridCol w:w="847"/>
        <w:gridCol w:w="698"/>
        <w:gridCol w:w="979"/>
        <w:gridCol w:w="807"/>
        <w:gridCol w:w="879"/>
        <w:gridCol w:w="666"/>
      </w:tblGrid>
      <w:tr w:rsidR="00922E37" w:rsidRPr="007C2D50" w14:paraId="6E64EEFA" w14:textId="77777777" w:rsidTr="00A7309C">
        <w:trPr>
          <w:trHeight w:val="267"/>
        </w:trPr>
        <w:tc>
          <w:tcPr>
            <w:tcW w:w="2516" w:type="dxa"/>
            <w:tcBorders>
              <w:top w:val="single" w:sz="4" w:space="0" w:color="auto"/>
              <w:left w:val="single" w:sz="4" w:space="0" w:color="auto"/>
              <w:bottom w:val="nil"/>
              <w:right w:val="single" w:sz="4" w:space="0" w:color="auto"/>
            </w:tcBorders>
            <w:shd w:val="clear" w:color="000000" w:fill="FFFFFF"/>
            <w:noWrap/>
            <w:vAlign w:val="bottom"/>
            <w:hideMark/>
          </w:tcPr>
          <w:p w14:paraId="0E7E114E" w14:textId="77777777" w:rsidR="00922E37" w:rsidRPr="007C2D50" w:rsidRDefault="00922E37" w:rsidP="008850F5">
            <w:pPr>
              <w:keepNext/>
              <w:spacing w:after="0" w:line="240" w:lineRule="auto"/>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1545" w:type="dxa"/>
            <w:gridSpan w:val="2"/>
            <w:tcBorders>
              <w:top w:val="single" w:sz="4" w:space="0" w:color="auto"/>
              <w:left w:val="nil"/>
              <w:bottom w:val="nil"/>
              <w:right w:val="single" w:sz="4" w:space="0" w:color="000000"/>
            </w:tcBorders>
            <w:shd w:val="clear" w:color="000000" w:fill="FFFFFF"/>
            <w:noWrap/>
            <w:vAlign w:val="center"/>
            <w:hideMark/>
          </w:tcPr>
          <w:p w14:paraId="156A8966"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1988</w:t>
            </w:r>
          </w:p>
        </w:tc>
        <w:tc>
          <w:tcPr>
            <w:tcW w:w="1545" w:type="dxa"/>
            <w:gridSpan w:val="2"/>
            <w:tcBorders>
              <w:top w:val="single" w:sz="4" w:space="0" w:color="auto"/>
              <w:left w:val="nil"/>
              <w:bottom w:val="nil"/>
              <w:right w:val="single" w:sz="4" w:space="0" w:color="000000"/>
            </w:tcBorders>
            <w:shd w:val="clear" w:color="000000" w:fill="FFFFFF"/>
            <w:noWrap/>
            <w:vAlign w:val="center"/>
            <w:hideMark/>
          </w:tcPr>
          <w:p w14:paraId="3325BA0A"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1998</w:t>
            </w:r>
          </w:p>
        </w:tc>
        <w:tc>
          <w:tcPr>
            <w:tcW w:w="1786" w:type="dxa"/>
            <w:gridSpan w:val="2"/>
            <w:tcBorders>
              <w:top w:val="single" w:sz="4" w:space="0" w:color="auto"/>
              <w:left w:val="nil"/>
              <w:bottom w:val="nil"/>
              <w:right w:val="single" w:sz="4" w:space="0" w:color="000000"/>
            </w:tcBorders>
            <w:shd w:val="clear" w:color="000000" w:fill="FFFFFF"/>
            <w:noWrap/>
            <w:vAlign w:val="center"/>
            <w:hideMark/>
          </w:tcPr>
          <w:p w14:paraId="495EDD03"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2003 (m)</w:t>
            </w:r>
          </w:p>
        </w:tc>
        <w:tc>
          <w:tcPr>
            <w:tcW w:w="1545" w:type="dxa"/>
            <w:gridSpan w:val="2"/>
            <w:tcBorders>
              <w:top w:val="single" w:sz="4" w:space="0" w:color="auto"/>
              <w:left w:val="nil"/>
              <w:bottom w:val="nil"/>
              <w:right w:val="single" w:sz="4" w:space="0" w:color="000000"/>
            </w:tcBorders>
            <w:shd w:val="clear" w:color="000000" w:fill="FFFFFF"/>
            <w:noWrap/>
            <w:vAlign w:val="center"/>
            <w:hideMark/>
          </w:tcPr>
          <w:p w14:paraId="57518B96"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1988-2003 (m)</w:t>
            </w:r>
          </w:p>
        </w:tc>
      </w:tr>
      <w:tr w:rsidR="00922E37" w:rsidRPr="007C2D50" w14:paraId="2F6FD8C4" w14:textId="77777777" w:rsidTr="00A7309C">
        <w:trPr>
          <w:trHeight w:val="267"/>
        </w:trPr>
        <w:tc>
          <w:tcPr>
            <w:tcW w:w="2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0E5D5" w14:textId="77777777" w:rsidR="00922E37" w:rsidRPr="007C2D50" w:rsidRDefault="00922E37" w:rsidP="008850F5">
            <w:pPr>
              <w:keepNext/>
              <w:spacing w:after="0" w:line="240" w:lineRule="auto"/>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Fuente de ingreso</w:t>
            </w:r>
          </w:p>
        </w:tc>
        <w:tc>
          <w:tcPr>
            <w:tcW w:w="847" w:type="dxa"/>
            <w:tcBorders>
              <w:top w:val="single" w:sz="4" w:space="0" w:color="auto"/>
              <w:left w:val="nil"/>
              <w:bottom w:val="single" w:sz="4" w:space="0" w:color="auto"/>
              <w:right w:val="nil"/>
            </w:tcBorders>
            <w:shd w:val="clear" w:color="000000" w:fill="FFFFFF"/>
            <w:noWrap/>
            <w:vAlign w:val="center"/>
            <w:hideMark/>
          </w:tcPr>
          <w:p w14:paraId="3BEDDD58"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Aporte</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14:paraId="2F513EF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w:t>
            </w:r>
          </w:p>
        </w:tc>
        <w:tc>
          <w:tcPr>
            <w:tcW w:w="847" w:type="dxa"/>
            <w:tcBorders>
              <w:top w:val="single" w:sz="4" w:space="0" w:color="auto"/>
              <w:left w:val="nil"/>
              <w:bottom w:val="single" w:sz="4" w:space="0" w:color="auto"/>
              <w:right w:val="nil"/>
            </w:tcBorders>
            <w:shd w:val="clear" w:color="000000" w:fill="FFFFFF"/>
            <w:noWrap/>
            <w:vAlign w:val="center"/>
            <w:hideMark/>
          </w:tcPr>
          <w:p w14:paraId="5AE8E32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Aporte</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14:paraId="335EC760"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w:t>
            </w:r>
          </w:p>
        </w:tc>
        <w:tc>
          <w:tcPr>
            <w:tcW w:w="979" w:type="dxa"/>
            <w:tcBorders>
              <w:top w:val="single" w:sz="4" w:space="0" w:color="auto"/>
              <w:left w:val="nil"/>
              <w:bottom w:val="single" w:sz="4" w:space="0" w:color="auto"/>
              <w:right w:val="nil"/>
            </w:tcBorders>
            <w:shd w:val="clear" w:color="000000" w:fill="FFFFFF"/>
            <w:noWrap/>
            <w:vAlign w:val="center"/>
            <w:hideMark/>
          </w:tcPr>
          <w:p w14:paraId="56138BE9"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Aporte</w:t>
            </w:r>
          </w:p>
        </w:tc>
        <w:tc>
          <w:tcPr>
            <w:tcW w:w="807" w:type="dxa"/>
            <w:tcBorders>
              <w:top w:val="single" w:sz="4" w:space="0" w:color="auto"/>
              <w:left w:val="nil"/>
              <w:bottom w:val="single" w:sz="4" w:space="0" w:color="auto"/>
              <w:right w:val="single" w:sz="4" w:space="0" w:color="auto"/>
            </w:tcBorders>
            <w:shd w:val="clear" w:color="000000" w:fill="FFFFFF"/>
            <w:noWrap/>
            <w:vAlign w:val="center"/>
            <w:hideMark/>
          </w:tcPr>
          <w:p w14:paraId="46EB41E9"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w:t>
            </w:r>
          </w:p>
        </w:tc>
        <w:tc>
          <w:tcPr>
            <w:tcW w:w="879" w:type="dxa"/>
            <w:tcBorders>
              <w:top w:val="single" w:sz="4" w:space="0" w:color="auto"/>
              <w:left w:val="nil"/>
              <w:bottom w:val="single" w:sz="4" w:space="0" w:color="auto"/>
              <w:right w:val="nil"/>
            </w:tcBorders>
            <w:shd w:val="clear" w:color="000000" w:fill="FFFFFF"/>
            <w:noWrap/>
            <w:vAlign w:val="center"/>
            <w:hideMark/>
          </w:tcPr>
          <w:p w14:paraId="4A4C606F"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V. Abs.</w:t>
            </w:r>
          </w:p>
        </w:tc>
        <w:tc>
          <w:tcPr>
            <w:tcW w:w="666" w:type="dxa"/>
            <w:tcBorders>
              <w:top w:val="single" w:sz="4" w:space="0" w:color="auto"/>
              <w:left w:val="nil"/>
              <w:bottom w:val="single" w:sz="4" w:space="0" w:color="auto"/>
              <w:right w:val="single" w:sz="4" w:space="0" w:color="auto"/>
            </w:tcBorders>
            <w:shd w:val="clear" w:color="000000" w:fill="FFFFFF"/>
            <w:noWrap/>
            <w:vAlign w:val="center"/>
            <w:hideMark/>
          </w:tcPr>
          <w:p w14:paraId="6F1C6587"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w:t>
            </w:r>
          </w:p>
        </w:tc>
      </w:tr>
      <w:tr w:rsidR="00922E37" w:rsidRPr="007C2D50" w14:paraId="461AAE1B" w14:textId="77777777" w:rsidTr="00A7309C">
        <w:trPr>
          <w:trHeight w:val="267"/>
        </w:trPr>
        <w:tc>
          <w:tcPr>
            <w:tcW w:w="2516" w:type="dxa"/>
            <w:tcBorders>
              <w:top w:val="nil"/>
              <w:left w:val="single" w:sz="4" w:space="0" w:color="auto"/>
              <w:bottom w:val="nil"/>
              <w:right w:val="single" w:sz="4" w:space="0" w:color="auto"/>
            </w:tcBorders>
            <w:shd w:val="clear" w:color="000000" w:fill="FFFFFF"/>
            <w:noWrap/>
            <w:vAlign w:val="center"/>
            <w:hideMark/>
          </w:tcPr>
          <w:p w14:paraId="70DBA041"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laborales</w:t>
            </w:r>
          </w:p>
        </w:tc>
        <w:tc>
          <w:tcPr>
            <w:tcW w:w="847" w:type="dxa"/>
            <w:tcBorders>
              <w:top w:val="nil"/>
              <w:left w:val="nil"/>
              <w:bottom w:val="nil"/>
              <w:right w:val="nil"/>
            </w:tcBorders>
            <w:shd w:val="clear" w:color="000000" w:fill="FFFFFF"/>
            <w:noWrap/>
            <w:vAlign w:val="center"/>
            <w:hideMark/>
          </w:tcPr>
          <w:p w14:paraId="349FE1A3"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0,4207</w:t>
            </w:r>
          </w:p>
        </w:tc>
        <w:tc>
          <w:tcPr>
            <w:tcW w:w="697" w:type="dxa"/>
            <w:tcBorders>
              <w:top w:val="nil"/>
              <w:left w:val="nil"/>
              <w:bottom w:val="nil"/>
              <w:right w:val="single" w:sz="4" w:space="0" w:color="auto"/>
            </w:tcBorders>
            <w:shd w:val="clear" w:color="000000" w:fill="FFFFFF"/>
            <w:noWrap/>
            <w:vAlign w:val="center"/>
            <w:hideMark/>
          </w:tcPr>
          <w:p w14:paraId="74A00626"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95,6</w:t>
            </w:r>
          </w:p>
        </w:tc>
        <w:tc>
          <w:tcPr>
            <w:tcW w:w="847" w:type="dxa"/>
            <w:tcBorders>
              <w:top w:val="nil"/>
              <w:left w:val="nil"/>
              <w:bottom w:val="nil"/>
              <w:right w:val="nil"/>
            </w:tcBorders>
            <w:shd w:val="clear" w:color="000000" w:fill="FFFFFF"/>
            <w:noWrap/>
            <w:vAlign w:val="center"/>
            <w:hideMark/>
          </w:tcPr>
          <w:p w14:paraId="3A18DB23"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0,4518</w:t>
            </w:r>
          </w:p>
        </w:tc>
        <w:tc>
          <w:tcPr>
            <w:tcW w:w="697" w:type="dxa"/>
            <w:tcBorders>
              <w:top w:val="nil"/>
              <w:left w:val="nil"/>
              <w:bottom w:val="nil"/>
              <w:right w:val="single" w:sz="4" w:space="0" w:color="auto"/>
            </w:tcBorders>
            <w:shd w:val="clear" w:color="000000" w:fill="FFFFFF"/>
            <w:noWrap/>
            <w:vAlign w:val="center"/>
            <w:hideMark/>
          </w:tcPr>
          <w:p w14:paraId="669BA6F4"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94,7</w:t>
            </w:r>
          </w:p>
        </w:tc>
        <w:tc>
          <w:tcPr>
            <w:tcW w:w="979" w:type="dxa"/>
            <w:tcBorders>
              <w:top w:val="nil"/>
              <w:left w:val="nil"/>
              <w:bottom w:val="nil"/>
              <w:right w:val="nil"/>
            </w:tcBorders>
            <w:shd w:val="clear" w:color="000000" w:fill="FFFFFF"/>
            <w:noWrap/>
            <w:vAlign w:val="center"/>
            <w:hideMark/>
          </w:tcPr>
          <w:p w14:paraId="7C60C54A"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0,4466</w:t>
            </w:r>
          </w:p>
        </w:tc>
        <w:tc>
          <w:tcPr>
            <w:tcW w:w="807" w:type="dxa"/>
            <w:tcBorders>
              <w:top w:val="nil"/>
              <w:left w:val="nil"/>
              <w:bottom w:val="nil"/>
              <w:right w:val="single" w:sz="4" w:space="0" w:color="auto"/>
            </w:tcBorders>
            <w:shd w:val="clear" w:color="000000" w:fill="FFFFFF"/>
            <w:noWrap/>
            <w:vAlign w:val="center"/>
            <w:hideMark/>
          </w:tcPr>
          <w:p w14:paraId="277DA23E"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91,8</w:t>
            </w:r>
          </w:p>
        </w:tc>
        <w:tc>
          <w:tcPr>
            <w:tcW w:w="879" w:type="dxa"/>
            <w:tcBorders>
              <w:top w:val="nil"/>
              <w:left w:val="nil"/>
              <w:bottom w:val="nil"/>
              <w:right w:val="nil"/>
            </w:tcBorders>
            <w:shd w:val="clear" w:color="000000" w:fill="FFFFFF"/>
            <w:noWrap/>
            <w:vAlign w:val="center"/>
            <w:hideMark/>
          </w:tcPr>
          <w:p w14:paraId="19C5EFD4"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0,0259</w:t>
            </w:r>
          </w:p>
        </w:tc>
        <w:tc>
          <w:tcPr>
            <w:tcW w:w="666" w:type="dxa"/>
            <w:tcBorders>
              <w:top w:val="nil"/>
              <w:left w:val="nil"/>
              <w:bottom w:val="nil"/>
              <w:right w:val="single" w:sz="4" w:space="0" w:color="auto"/>
            </w:tcBorders>
            <w:shd w:val="clear" w:color="000000" w:fill="FFFFFF"/>
            <w:noWrap/>
            <w:vAlign w:val="center"/>
            <w:hideMark/>
          </w:tcPr>
          <w:p w14:paraId="598E608C"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55,5</w:t>
            </w:r>
          </w:p>
        </w:tc>
      </w:tr>
      <w:tr w:rsidR="00922E37" w:rsidRPr="007C2D50" w14:paraId="7025FF28" w14:textId="77777777" w:rsidTr="00A7309C">
        <w:trPr>
          <w:trHeight w:val="267"/>
        </w:trPr>
        <w:tc>
          <w:tcPr>
            <w:tcW w:w="2516" w:type="dxa"/>
            <w:tcBorders>
              <w:top w:val="nil"/>
              <w:left w:val="single" w:sz="4" w:space="0" w:color="auto"/>
              <w:bottom w:val="nil"/>
              <w:right w:val="single" w:sz="4" w:space="0" w:color="auto"/>
            </w:tcBorders>
            <w:shd w:val="clear" w:color="000000" w:fill="FFFFFF"/>
            <w:noWrap/>
            <w:vAlign w:val="center"/>
            <w:hideMark/>
          </w:tcPr>
          <w:p w14:paraId="08961415"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formal público y privado</w:t>
            </w:r>
          </w:p>
        </w:tc>
        <w:tc>
          <w:tcPr>
            <w:tcW w:w="847" w:type="dxa"/>
            <w:tcBorders>
              <w:top w:val="nil"/>
              <w:left w:val="nil"/>
              <w:bottom w:val="nil"/>
              <w:right w:val="nil"/>
            </w:tcBorders>
            <w:shd w:val="clear" w:color="000000" w:fill="FFFFFF"/>
            <w:noWrap/>
            <w:vAlign w:val="center"/>
            <w:hideMark/>
          </w:tcPr>
          <w:p w14:paraId="008D2E0B"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0,3284</w:t>
            </w:r>
          </w:p>
        </w:tc>
        <w:tc>
          <w:tcPr>
            <w:tcW w:w="697" w:type="dxa"/>
            <w:tcBorders>
              <w:top w:val="nil"/>
              <w:left w:val="nil"/>
              <w:bottom w:val="nil"/>
              <w:right w:val="single" w:sz="4" w:space="0" w:color="auto"/>
            </w:tcBorders>
            <w:shd w:val="clear" w:color="000000" w:fill="FFFFFF"/>
            <w:noWrap/>
            <w:vAlign w:val="center"/>
            <w:hideMark/>
          </w:tcPr>
          <w:p w14:paraId="432C0941"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74,6</w:t>
            </w:r>
          </w:p>
        </w:tc>
        <w:tc>
          <w:tcPr>
            <w:tcW w:w="847" w:type="dxa"/>
            <w:tcBorders>
              <w:top w:val="nil"/>
              <w:left w:val="nil"/>
              <w:bottom w:val="nil"/>
              <w:right w:val="nil"/>
            </w:tcBorders>
            <w:shd w:val="clear" w:color="000000" w:fill="FFFFFF"/>
            <w:noWrap/>
            <w:vAlign w:val="center"/>
            <w:hideMark/>
          </w:tcPr>
          <w:p w14:paraId="0B6BD15E"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0,3618</w:t>
            </w:r>
          </w:p>
        </w:tc>
        <w:tc>
          <w:tcPr>
            <w:tcW w:w="697" w:type="dxa"/>
            <w:tcBorders>
              <w:top w:val="nil"/>
              <w:left w:val="nil"/>
              <w:bottom w:val="nil"/>
              <w:right w:val="single" w:sz="4" w:space="0" w:color="auto"/>
            </w:tcBorders>
            <w:shd w:val="clear" w:color="000000" w:fill="FFFFFF"/>
            <w:noWrap/>
            <w:vAlign w:val="center"/>
            <w:hideMark/>
          </w:tcPr>
          <w:p w14:paraId="424BBE6B"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75,9</w:t>
            </w:r>
          </w:p>
        </w:tc>
        <w:tc>
          <w:tcPr>
            <w:tcW w:w="979" w:type="dxa"/>
            <w:tcBorders>
              <w:top w:val="nil"/>
              <w:left w:val="nil"/>
              <w:bottom w:val="nil"/>
              <w:right w:val="nil"/>
            </w:tcBorders>
            <w:shd w:val="clear" w:color="000000" w:fill="FFFFFF"/>
            <w:noWrap/>
            <w:vAlign w:val="center"/>
            <w:hideMark/>
          </w:tcPr>
          <w:p w14:paraId="6ED4DC58"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0,3623</w:t>
            </w:r>
          </w:p>
        </w:tc>
        <w:tc>
          <w:tcPr>
            <w:tcW w:w="807" w:type="dxa"/>
            <w:tcBorders>
              <w:top w:val="nil"/>
              <w:left w:val="nil"/>
              <w:bottom w:val="nil"/>
              <w:right w:val="single" w:sz="4" w:space="0" w:color="auto"/>
            </w:tcBorders>
            <w:shd w:val="clear" w:color="000000" w:fill="FFFFFF"/>
            <w:noWrap/>
            <w:vAlign w:val="center"/>
            <w:hideMark/>
          </w:tcPr>
          <w:p w14:paraId="77161520"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74,4</w:t>
            </w:r>
          </w:p>
        </w:tc>
        <w:tc>
          <w:tcPr>
            <w:tcW w:w="879" w:type="dxa"/>
            <w:tcBorders>
              <w:top w:val="nil"/>
              <w:left w:val="nil"/>
              <w:bottom w:val="nil"/>
              <w:right w:val="nil"/>
            </w:tcBorders>
            <w:shd w:val="clear" w:color="000000" w:fill="FFFFFF"/>
            <w:noWrap/>
            <w:vAlign w:val="center"/>
            <w:hideMark/>
          </w:tcPr>
          <w:p w14:paraId="253561E4" w14:textId="77777777" w:rsidR="00922E37" w:rsidRPr="003705E7" w:rsidRDefault="00922E37" w:rsidP="008850F5">
            <w:pPr>
              <w:keepNext/>
              <w:spacing w:after="0" w:line="240" w:lineRule="auto"/>
              <w:jc w:val="center"/>
              <w:rPr>
                <w:rFonts w:ascii="Times New Roman" w:eastAsia="Times New Roman" w:hAnsi="Times New Roman"/>
                <w:bCs/>
                <w:i/>
                <w:color w:val="000000"/>
                <w:sz w:val="16"/>
                <w:szCs w:val="16"/>
                <w:lang w:eastAsia="es-AR"/>
              </w:rPr>
            </w:pPr>
            <w:r w:rsidRPr="003705E7">
              <w:rPr>
                <w:rFonts w:ascii="Times New Roman" w:eastAsia="Times New Roman" w:hAnsi="Times New Roman"/>
                <w:bCs/>
                <w:i/>
                <w:color w:val="000000"/>
                <w:sz w:val="16"/>
                <w:szCs w:val="16"/>
                <w:lang w:eastAsia="es-AR"/>
              </w:rPr>
              <w:t>0,0339</w:t>
            </w:r>
          </w:p>
        </w:tc>
        <w:tc>
          <w:tcPr>
            <w:tcW w:w="666" w:type="dxa"/>
            <w:tcBorders>
              <w:top w:val="nil"/>
              <w:left w:val="nil"/>
              <w:bottom w:val="nil"/>
              <w:right w:val="single" w:sz="4" w:space="0" w:color="auto"/>
            </w:tcBorders>
            <w:shd w:val="clear" w:color="000000" w:fill="FFFFFF"/>
            <w:noWrap/>
            <w:vAlign w:val="center"/>
            <w:hideMark/>
          </w:tcPr>
          <w:p w14:paraId="0BF925A6" w14:textId="77777777" w:rsidR="00922E37" w:rsidRPr="003705E7" w:rsidRDefault="00922E37" w:rsidP="008850F5">
            <w:pPr>
              <w:keepNext/>
              <w:spacing w:after="0" w:line="240" w:lineRule="auto"/>
              <w:jc w:val="center"/>
              <w:rPr>
                <w:rFonts w:ascii="Times New Roman" w:eastAsia="Times New Roman" w:hAnsi="Times New Roman"/>
                <w:bCs/>
                <w:i/>
                <w:color w:val="000000"/>
                <w:sz w:val="16"/>
                <w:szCs w:val="16"/>
                <w:lang w:eastAsia="es-AR"/>
              </w:rPr>
            </w:pPr>
            <w:r w:rsidRPr="003705E7">
              <w:rPr>
                <w:rFonts w:ascii="Times New Roman" w:eastAsia="Times New Roman" w:hAnsi="Times New Roman"/>
                <w:bCs/>
                <w:i/>
                <w:color w:val="000000"/>
                <w:sz w:val="16"/>
                <w:szCs w:val="16"/>
                <w:lang w:eastAsia="es-AR"/>
              </w:rPr>
              <w:t>72,6</w:t>
            </w:r>
          </w:p>
        </w:tc>
      </w:tr>
      <w:tr w:rsidR="00922E37" w:rsidRPr="007C2D50" w14:paraId="28E69821" w14:textId="77777777" w:rsidTr="00A7309C">
        <w:trPr>
          <w:trHeight w:val="267"/>
        </w:trPr>
        <w:tc>
          <w:tcPr>
            <w:tcW w:w="2516" w:type="dxa"/>
            <w:tcBorders>
              <w:top w:val="nil"/>
              <w:left w:val="single" w:sz="4" w:space="0" w:color="auto"/>
              <w:bottom w:val="nil"/>
              <w:right w:val="single" w:sz="4" w:space="0" w:color="auto"/>
            </w:tcBorders>
            <w:shd w:val="clear" w:color="000000" w:fill="FFFFFF"/>
            <w:noWrap/>
            <w:vAlign w:val="center"/>
            <w:hideMark/>
          </w:tcPr>
          <w:p w14:paraId="7CBAA806"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formal privado</w:t>
            </w:r>
          </w:p>
        </w:tc>
        <w:tc>
          <w:tcPr>
            <w:tcW w:w="847" w:type="dxa"/>
            <w:tcBorders>
              <w:top w:val="nil"/>
              <w:left w:val="nil"/>
              <w:bottom w:val="nil"/>
              <w:right w:val="nil"/>
            </w:tcBorders>
            <w:shd w:val="clear" w:color="000000" w:fill="FFFFFF"/>
            <w:noWrap/>
            <w:vAlign w:val="center"/>
            <w:hideMark/>
          </w:tcPr>
          <w:p w14:paraId="1FCCF02F"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w:t>
            </w:r>
          </w:p>
        </w:tc>
        <w:tc>
          <w:tcPr>
            <w:tcW w:w="697" w:type="dxa"/>
            <w:tcBorders>
              <w:top w:val="nil"/>
              <w:left w:val="nil"/>
              <w:bottom w:val="nil"/>
              <w:right w:val="single" w:sz="4" w:space="0" w:color="auto"/>
            </w:tcBorders>
            <w:shd w:val="clear" w:color="000000" w:fill="FFFFFF"/>
            <w:noWrap/>
            <w:vAlign w:val="center"/>
            <w:hideMark/>
          </w:tcPr>
          <w:p w14:paraId="1426F43F"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w:t>
            </w:r>
          </w:p>
        </w:tc>
        <w:tc>
          <w:tcPr>
            <w:tcW w:w="847" w:type="dxa"/>
            <w:tcBorders>
              <w:top w:val="nil"/>
              <w:left w:val="nil"/>
              <w:bottom w:val="nil"/>
              <w:right w:val="nil"/>
            </w:tcBorders>
            <w:shd w:val="clear" w:color="000000" w:fill="FFFFFF"/>
            <w:noWrap/>
            <w:vAlign w:val="center"/>
            <w:hideMark/>
          </w:tcPr>
          <w:p w14:paraId="3574DF11"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0,2861</w:t>
            </w:r>
          </w:p>
        </w:tc>
        <w:tc>
          <w:tcPr>
            <w:tcW w:w="697" w:type="dxa"/>
            <w:tcBorders>
              <w:top w:val="nil"/>
              <w:left w:val="nil"/>
              <w:bottom w:val="nil"/>
              <w:right w:val="single" w:sz="4" w:space="0" w:color="auto"/>
            </w:tcBorders>
            <w:shd w:val="clear" w:color="000000" w:fill="FFFFFF"/>
            <w:noWrap/>
            <w:vAlign w:val="center"/>
            <w:hideMark/>
          </w:tcPr>
          <w:p w14:paraId="5F9E6245"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60,0</w:t>
            </w:r>
          </w:p>
        </w:tc>
        <w:tc>
          <w:tcPr>
            <w:tcW w:w="979" w:type="dxa"/>
            <w:tcBorders>
              <w:top w:val="nil"/>
              <w:left w:val="nil"/>
              <w:bottom w:val="nil"/>
              <w:right w:val="nil"/>
            </w:tcBorders>
            <w:shd w:val="clear" w:color="000000" w:fill="FFFFFF"/>
            <w:noWrap/>
            <w:vAlign w:val="center"/>
            <w:hideMark/>
          </w:tcPr>
          <w:p w14:paraId="5A2CDBC3"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0,2719</w:t>
            </w:r>
          </w:p>
        </w:tc>
        <w:tc>
          <w:tcPr>
            <w:tcW w:w="807" w:type="dxa"/>
            <w:tcBorders>
              <w:top w:val="nil"/>
              <w:left w:val="nil"/>
              <w:bottom w:val="nil"/>
              <w:right w:val="single" w:sz="4" w:space="0" w:color="auto"/>
            </w:tcBorders>
            <w:shd w:val="clear" w:color="000000" w:fill="FFFFFF"/>
            <w:noWrap/>
            <w:vAlign w:val="center"/>
            <w:hideMark/>
          </w:tcPr>
          <w:p w14:paraId="05F7BADC"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55,9</w:t>
            </w:r>
          </w:p>
        </w:tc>
        <w:tc>
          <w:tcPr>
            <w:tcW w:w="879" w:type="dxa"/>
            <w:tcBorders>
              <w:top w:val="nil"/>
              <w:left w:val="nil"/>
              <w:bottom w:val="nil"/>
              <w:right w:val="nil"/>
            </w:tcBorders>
            <w:shd w:val="clear" w:color="000000" w:fill="FFFFFF"/>
            <w:noWrap/>
            <w:vAlign w:val="center"/>
            <w:hideMark/>
          </w:tcPr>
          <w:p w14:paraId="0BC8366F" w14:textId="77777777" w:rsidR="00922E37" w:rsidRPr="003705E7" w:rsidRDefault="00922E37" w:rsidP="008850F5">
            <w:pPr>
              <w:keepNext/>
              <w:spacing w:after="0" w:line="240" w:lineRule="auto"/>
              <w:jc w:val="center"/>
              <w:rPr>
                <w:rFonts w:ascii="Times New Roman" w:eastAsia="Times New Roman" w:hAnsi="Times New Roman"/>
                <w:bCs/>
                <w:color w:val="000000"/>
                <w:sz w:val="16"/>
                <w:szCs w:val="16"/>
                <w:lang w:eastAsia="es-AR"/>
              </w:rPr>
            </w:pPr>
            <w:r w:rsidRPr="003705E7">
              <w:rPr>
                <w:rFonts w:ascii="Times New Roman" w:eastAsia="Times New Roman" w:hAnsi="Times New Roman"/>
                <w:bCs/>
                <w:color w:val="000000"/>
                <w:sz w:val="16"/>
                <w:szCs w:val="16"/>
                <w:lang w:eastAsia="es-AR"/>
              </w:rPr>
              <w:t>-</w:t>
            </w:r>
          </w:p>
        </w:tc>
        <w:tc>
          <w:tcPr>
            <w:tcW w:w="666" w:type="dxa"/>
            <w:tcBorders>
              <w:top w:val="nil"/>
              <w:left w:val="nil"/>
              <w:bottom w:val="nil"/>
              <w:right w:val="single" w:sz="4" w:space="0" w:color="auto"/>
            </w:tcBorders>
            <w:shd w:val="clear" w:color="000000" w:fill="FFFFFF"/>
            <w:noWrap/>
            <w:vAlign w:val="center"/>
            <w:hideMark/>
          </w:tcPr>
          <w:p w14:paraId="1ADCEFC2" w14:textId="77777777" w:rsidR="00922E37" w:rsidRPr="003705E7" w:rsidRDefault="00922E37" w:rsidP="008850F5">
            <w:pPr>
              <w:keepNext/>
              <w:spacing w:after="0" w:line="240" w:lineRule="auto"/>
              <w:jc w:val="center"/>
              <w:rPr>
                <w:rFonts w:ascii="Times New Roman" w:eastAsia="Times New Roman" w:hAnsi="Times New Roman"/>
                <w:bCs/>
                <w:color w:val="000000"/>
                <w:sz w:val="16"/>
                <w:szCs w:val="16"/>
                <w:lang w:eastAsia="es-AR"/>
              </w:rPr>
            </w:pPr>
            <w:r w:rsidRPr="003705E7">
              <w:rPr>
                <w:rFonts w:ascii="Times New Roman" w:eastAsia="Times New Roman" w:hAnsi="Times New Roman"/>
                <w:bCs/>
                <w:color w:val="000000"/>
                <w:sz w:val="16"/>
                <w:szCs w:val="16"/>
                <w:lang w:eastAsia="es-AR"/>
              </w:rPr>
              <w:t>-</w:t>
            </w:r>
          </w:p>
        </w:tc>
      </w:tr>
      <w:tr w:rsidR="00922E37" w:rsidRPr="007C2D50" w14:paraId="1AB3A738" w14:textId="77777777" w:rsidTr="00A7309C">
        <w:trPr>
          <w:trHeight w:val="267"/>
        </w:trPr>
        <w:tc>
          <w:tcPr>
            <w:tcW w:w="2516" w:type="dxa"/>
            <w:tcBorders>
              <w:top w:val="nil"/>
              <w:left w:val="single" w:sz="4" w:space="0" w:color="auto"/>
              <w:bottom w:val="nil"/>
              <w:right w:val="single" w:sz="4" w:space="0" w:color="auto"/>
            </w:tcBorders>
            <w:shd w:val="clear" w:color="000000" w:fill="FFFFFF"/>
            <w:noWrap/>
            <w:vAlign w:val="center"/>
            <w:hideMark/>
          </w:tcPr>
          <w:p w14:paraId="3166FBBC"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público</w:t>
            </w:r>
          </w:p>
        </w:tc>
        <w:tc>
          <w:tcPr>
            <w:tcW w:w="847" w:type="dxa"/>
            <w:tcBorders>
              <w:top w:val="nil"/>
              <w:left w:val="nil"/>
              <w:bottom w:val="nil"/>
              <w:right w:val="nil"/>
            </w:tcBorders>
            <w:shd w:val="clear" w:color="000000" w:fill="FFFFFF"/>
            <w:noWrap/>
            <w:vAlign w:val="center"/>
            <w:hideMark/>
          </w:tcPr>
          <w:p w14:paraId="56D43BA7"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w:t>
            </w:r>
          </w:p>
        </w:tc>
        <w:tc>
          <w:tcPr>
            <w:tcW w:w="697" w:type="dxa"/>
            <w:tcBorders>
              <w:top w:val="nil"/>
              <w:left w:val="nil"/>
              <w:bottom w:val="nil"/>
              <w:right w:val="single" w:sz="4" w:space="0" w:color="auto"/>
            </w:tcBorders>
            <w:shd w:val="clear" w:color="000000" w:fill="FFFFFF"/>
            <w:noWrap/>
            <w:vAlign w:val="center"/>
            <w:hideMark/>
          </w:tcPr>
          <w:p w14:paraId="27016623"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w:t>
            </w:r>
          </w:p>
        </w:tc>
        <w:tc>
          <w:tcPr>
            <w:tcW w:w="847" w:type="dxa"/>
            <w:tcBorders>
              <w:top w:val="nil"/>
              <w:left w:val="nil"/>
              <w:bottom w:val="nil"/>
              <w:right w:val="nil"/>
            </w:tcBorders>
            <w:shd w:val="clear" w:color="000000" w:fill="FFFFFF"/>
            <w:noWrap/>
            <w:vAlign w:val="center"/>
            <w:hideMark/>
          </w:tcPr>
          <w:p w14:paraId="7BB818D7"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0,0757</w:t>
            </w:r>
          </w:p>
        </w:tc>
        <w:tc>
          <w:tcPr>
            <w:tcW w:w="697" w:type="dxa"/>
            <w:tcBorders>
              <w:top w:val="nil"/>
              <w:left w:val="nil"/>
              <w:bottom w:val="nil"/>
              <w:right w:val="single" w:sz="4" w:space="0" w:color="auto"/>
            </w:tcBorders>
            <w:shd w:val="clear" w:color="000000" w:fill="FFFFFF"/>
            <w:noWrap/>
            <w:vAlign w:val="center"/>
            <w:hideMark/>
          </w:tcPr>
          <w:p w14:paraId="609DDEEC"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15,9</w:t>
            </w:r>
          </w:p>
        </w:tc>
        <w:tc>
          <w:tcPr>
            <w:tcW w:w="979" w:type="dxa"/>
            <w:tcBorders>
              <w:top w:val="nil"/>
              <w:left w:val="nil"/>
              <w:bottom w:val="nil"/>
              <w:right w:val="nil"/>
            </w:tcBorders>
            <w:shd w:val="clear" w:color="000000" w:fill="FFFFFF"/>
            <w:noWrap/>
            <w:vAlign w:val="center"/>
            <w:hideMark/>
          </w:tcPr>
          <w:p w14:paraId="237DF674"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0,0903</w:t>
            </w:r>
          </w:p>
        </w:tc>
        <w:tc>
          <w:tcPr>
            <w:tcW w:w="807" w:type="dxa"/>
            <w:tcBorders>
              <w:top w:val="nil"/>
              <w:left w:val="nil"/>
              <w:bottom w:val="nil"/>
              <w:right w:val="single" w:sz="4" w:space="0" w:color="auto"/>
            </w:tcBorders>
            <w:shd w:val="clear" w:color="000000" w:fill="FFFFFF"/>
            <w:noWrap/>
            <w:vAlign w:val="center"/>
            <w:hideMark/>
          </w:tcPr>
          <w:p w14:paraId="32647724" w14:textId="77777777" w:rsidR="00922E37" w:rsidRPr="003705E7"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3705E7">
              <w:rPr>
                <w:rFonts w:ascii="Times New Roman" w:eastAsia="Times New Roman" w:hAnsi="Times New Roman"/>
                <w:i/>
                <w:iCs/>
                <w:color w:val="000000"/>
                <w:sz w:val="16"/>
                <w:szCs w:val="16"/>
                <w:lang w:eastAsia="es-AR"/>
              </w:rPr>
              <w:t>18,6</w:t>
            </w:r>
          </w:p>
        </w:tc>
        <w:tc>
          <w:tcPr>
            <w:tcW w:w="879" w:type="dxa"/>
            <w:tcBorders>
              <w:top w:val="nil"/>
              <w:left w:val="nil"/>
              <w:bottom w:val="nil"/>
              <w:right w:val="nil"/>
            </w:tcBorders>
            <w:shd w:val="clear" w:color="000000" w:fill="FFFFFF"/>
            <w:noWrap/>
            <w:vAlign w:val="center"/>
            <w:hideMark/>
          </w:tcPr>
          <w:p w14:paraId="533B5FFE" w14:textId="77777777" w:rsidR="00922E37" w:rsidRPr="003705E7" w:rsidRDefault="00922E37" w:rsidP="008850F5">
            <w:pPr>
              <w:keepNext/>
              <w:spacing w:after="0" w:line="240" w:lineRule="auto"/>
              <w:jc w:val="center"/>
              <w:rPr>
                <w:rFonts w:ascii="Times New Roman" w:eastAsia="Times New Roman" w:hAnsi="Times New Roman"/>
                <w:bCs/>
                <w:color w:val="000000"/>
                <w:sz w:val="16"/>
                <w:szCs w:val="16"/>
                <w:lang w:eastAsia="es-AR"/>
              </w:rPr>
            </w:pPr>
            <w:r w:rsidRPr="003705E7">
              <w:rPr>
                <w:rFonts w:ascii="Times New Roman" w:eastAsia="Times New Roman" w:hAnsi="Times New Roman"/>
                <w:bCs/>
                <w:color w:val="000000"/>
                <w:sz w:val="16"/>
                <w:szCs w:val="16"/>
                <w:lang w:eastAsia="es-AR"/>
              </w:rPr>
              <w:t>-</w:t>
            </w:r>
          </w:p>
        </w:tc>
        <w:tc>
          <w:tcPr>
            <w:tcW w:w="666" w:type="dxa"/>
            <w:tcBorders>
              <w:top w:val="nil"/>
              <w:left w:val="nil"/>
              <w:bottom w:val="nil"/>
              <w:right w:val="single" w:sz="4" w:space="0" w:color="auto"/>
            </w:tcBorders>
            <w:shd w:val="clear" w:color="000000" w:fill="FFFFFF"/>
            <w:noWrap/>
            <w:vAlign w:val="center"/>
            <w:hideMark/>
          </w:tcPr>
          <w:p w14:paraId="27DE6ACB" w14:textId="77777777" w:rsidR="00922E37" w:rsidRPr="003705E7" w:rsidRDefault="00922E37" w:rsidP="008850F5">
            <w:pPr>
              <w:keepNext/>
              <w:spacing w:after="0" w:line="240" w:lineRule="auto"/>
              <w:jc w:val="center"/>
              <w:rPr>
                <w:rFonts w:ascii="Times New Roman" w:eastAsia="Times New Roman" w:hAnsi="Times New Roman"/>
                <w:bCs/>
                <w:color w:val="000000"/>
                <w:sz w:val="16"/>
                <w:szCs w:val="16"/>
                <w:lang w:eastAsia="es-AR"/>
              </w:rPr>
            </w:pPr>
            <w:r w:rsidRPr="003705E7">
              <w:rPr>
                <w:rFonts w:ascii="Times New Roman" w:eastAsia="Times New Roman" w:hAnsi="Times New Roman"/>
                <w:bCs/>
                <w:color w:val="000000"/>
                <w:sz w:val="16"/>
                <w:szCs w:val="16"/>
                <w:lang w:eastAsia="es-AR"/>
              </w:rPr>
              <w:t>-</w:t>
            </w:r>
          </w:p>
        </w:tc>
      </w:tr>
      <w:tr w:rsidR="00922E37" w:rsidRPr="007C2D50" w14:paraId="564D03A1" w14:textId="77777777" w:rsidTr="00A7309C">
        <w:trPr>
          <w:trHeight w:val="267"/>
        </w:trPr>
        <w:tc>
          <w:tcPr>
            <w:tcW w:w="2516" w:type="dxa"/>
            <w:tcBorders>
              <w:top w:val="nil"/>
              <w:left w:val="single" w:sz="4" w:space="0" w:color="auto"/>
              <w:bottom w:val="nil"/>
              <w:right w:val="single" w:sz="4" w:space="0" w:color="auto"/>
            </w:tcBorders>
            <w:shd w:val="clear" w:color="000000" w:fill="FFFFFF"/>
            <w:noWrap/>
            <w:vAlign w:val="center"/>
            <w:hideMark/>
          </w:tcPr>
          <w:p w14:paraId="7922CF08"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microinformal</w:t>
            </w:r>
          </w:p>
        </w:tc>
        <w:tc>
          <w:tcPr>
            <w:tcW w:w="847" w:type="dxa"/>
            <w:tcBorders>
              <w:top w:val="nil"/>
              <w:left w:val="nil"/>
              <w:bottom w:val="nil"/>
              <w:right w:val="nil"/>
            </w:tcBorders>
            <w:shd w:val="clear" w:color="000000" w:fill="FFFFFF"/>
            <w:noWrap/>
            <w:vAlign w:val="center"/>
            <w:hideMark/>
          </w:tcPr>
          <w:p w14:paraId="476D4EE1"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0,0923</w:t>
            </w:r>
          </w:p>
        </w:tc>
        <w:tc>
          <w:tcPr>
            <w:tcW w:w="697" w:type="dxa"/>
            <w:tcBorders>
              <w:top w:val="nil"/>
              <w:left w:val="nil"/>
              <w:bottom w:val="nil"/>
              <w:right w:val="single" w:sz="4" w:space="0" w:color="auto"/>
            </w:tcBorders>
            <w:shd w:val="clear" w:color="000000" w:fill="FFFFFF"/>
            <w:noWrap/>
            <w:vAlign w:val="center"/>
            <w:hideMark/>
          </w:tcPr>
          <w:p w14:paraId="4777FA02"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21,0</w:t>
            </w:r>
          </w:p>
        </w:tc>
        <w:tc>
          <w:tcPr>
            <w:tcW w:w="847" w:type="dxa"/>
            <w:tcBorders>
              <w:top w:val="nil"/>
              <w:left w:val="nil"/>
              <w:bottom w:val="nil"/>
              <w:right w:val="nil"/>
            </w:tcBorders>
            <w:shd w:val="clear" w:color="000000" w:fill="FFFFFF"/>
            <w:noWrap/>
            <w:vAlign w:val="center"/>
            <w:hideMark/>
          </w:tcPr>
          <w:p w14:paraId="60BF0A9F"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0,0900</w:t>
            </w:r>
          </w:p>
        </w:tc>
        <w:tc>
          <w:tcPr>
            <w:tcW w:w="697" w:type="dxa"/>
            <w:tcBorders>
              <w:top w:val="nil"/>
              <w:left w:val="nil"/>
              <w:bottom w:val="nil"/>
              <w:right w:val="single" w:sz="4" w:space="0" w:color="auto"/>
            </w:tcBorders>
            <w:shd w:val="clear" w:color="000000" w:fill="FFFFFF"/>
            <w:noWrap/>
            <w:vAlign w:val="center"/>
            <w:hideMark/>
          </w:tcPr>
          <w:p w14:paraId="1C07652F"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18,9</w:t>
            </w:r>
          </w:p>
        </w:tc>
        <w:tc>
          <w:tcPr>
            <w:tcW w:w="979" w:type="dxa"/>
            <w:tcBorders>
              <w:top w:val="nil"/>
              <w:left w:val="nil"/>
              <w:bottom w:val="nil"/>
              <w:right w:val="nil"/>
            </w:tcBorders>
            <w:shd w:val="clear" w:color="000000" w:fill="FFFFFF"/>
            <w:noWrap/>
            <w:vAlign w:val="center"/>
            <w:hideMark/>
          </w:tcPr>
          <w:p w14:paraId="62C1735F"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0,0844</w:t>
            </w:r>
          </w:p>
        </w:tc>
        <w:tc>
          <w:tcPr>
            <w:tcW w:w="807" w:type="dxa"/>
            <w:tcBorders>
              <w:top w:val="nil"/>
              <w:left w:val="nil"/>
              <w:bottom w:val="nil"/>
              <w:right w:val="single" w:sz="4" w:space="0" w:color="auto"/>
            </w:tcBorders>
            <w:shd w:val="clear" w:color="000000" w:fill="FFFFFF"/>
            <w:noWrap/>
            <w:vAlign w:val="center"/>
            <w:hideMark/>
          </w:tcPr>
          <w:p w14:paraId="3273DF4D" w14:textId="77777777" w:rsidR="00922E37" w:rsidRPr="003705E7"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3705E7">
              <w:rPr>
                <w:rFonts w:ascii="Times New Roman" w:eastAsia="Times New Roman" w:hAnsi="Times New Roman"/>
                <w:b/>
                <w:i/>
                <w:color w:val="000000"/>
                <w:sz w:val="16"/>
                <w:szCs w:val="16"/>
                <w:lang w:eastAsia="es-AR"/>
              </w:rPr>
              <w:t>17,3</w:t>
            </w:r>
          </w:p>
        </w:tc>
        <w:tc>
          <w:tcPr>
            <w:tcW w:w="879" w:type="dxa"/>
            <w:tcBorders>
              <w:top w:val="nil"/>
              <w:left w:val="nil"/>
              <w:bottom w:val="nil"/>
              <w:right w:val="nil"/>
            </w:tcBorders>
            <w:shd w:val="clear" w:color="000000" w:fill="FFFFFF"/>
            <w:noWrap/>
            <w:vAlign w:val="center"/>
            <w:hideMark/>
          </w:tcPr>
          <w:p w14:paraId="224A5402" w14:textId="77777777" w:rsidR="00922E37" w:rsidRPr="003705E7" w:rsidRDefault="00922E37" w:rsidP="008850F5">
            <w:pPr>
              <w:keepNext/>
              <w:spacing w:after="0" w:line="240" w:lineRule="auto"/>
              <w:jc w:val="center"/>
              <w:rPr>
                <w:rFonts w:ascii="Times New Roman" w:eastAsia="Times New Roman" w:hAnsi="Times New Roman"/>
                <w:bCs/>
                <w:i/>
                <w:color w:val="000000"/>
                <w:sz w:val="16"/>
                <w:szCs w:val="16"/>
                <w:lang w:eastAsia="es-AR"/>
              </w:rPr>
            </w:pPr>
            <w:r w:rsidRPr="003705E7">
              <w:rPr>
                <w:rFonts w:ascii="Times New Roman" w:eastAsia="Times New Roman" w:hAnsi="Times New Roman"/>
                <w:bCs/>
                <w:i/>
                <w:color w:val="000000"/>
                <w:sz w:val="16"/>
                <w:szCs w:val="16"/>
                <w:lang w:eastAsia="es-AR"/>
              </w:rPr>
              <w:t>-0,0080</w:t>
            </w:r>
          </w:p>
        </w:tc>
        <w:tc>
          <w:tcPr>
            <w:tcW w:w="666" w:type="dxa"/>
            <w:tcBorders>
              <w:top w:val="nil"/>
              <w:left w:val="nil"/>
              <w:bottom w:val="nil"/>
              <w:right w:val="single" w:sz="4" w:space="0" w:color="auto"/>
            </w:tcBorders>
            <w:shd w:val="clear" w:color="000000" w:fill="FFFFFF"/>
            <w:noWrap/>
            <w:vAlign w:val="center"/>
            <w:hideMark/>
          </w:tcPr>
          <w:p w14:paraId="18858BB3" w14:textId="77777777" w:rsidR="00922E37" w:rsidRPr="003705E7" w:rsidRDefault="00922E37" w:rsidP="008850F5">
            <w:pPr>
              <w:keepNext/>
              <w:spacing w:after="0" w:line="240" w:lineRule="auto"/>
              <w:jc w:val="center"/>
              <w:rPr>
                <w:rFonts w:ascii="Times New Roman" w:eastAsia="Times New Roman" w:hAnsi="Times New Roman"/>
                <w:bCs/>
                <w:i/>
                <w:color w:val="000000"/>
                <w:sz w:val="16"/>
                <w:szCs w:val="16"/>
                <w:lang w:eastAsia="es-AR"/>
              </w:rPr>
            </w:pPr>
            <w:r w:rsidRPr="003705E7">
              <w:rPr>
                <w:rFonts w:ascii="Times New Roman" w:eastAsia="Times New Roman" w:hAnsi="Times New Roman"/>
                <w:bCs/>
                <w:i/>
                <w:color w:val="000000"/>
                <w:sz w:val="16"/>
                <w:szCs w:val="16"/>
                <w:lang w:eastAsia="es-AR"/>
              </w:rPr>
              <w:t>-17,1</w:t>
            </w:r>
          </w:p>
        </w:tc>
      </w:tr>
      <w:tr w:rsidR="00922E37" w:rsidRPr="007C2D50" w14:paraId="1D75ABC7" w14:textId="77777777" w:rsidTr="00A7309C">
        <w:trPr>
          <w:trHeight w:val="267"/>
        </w:trPr>
        <w:tc>
          <w:tcPr>
            <w:tcW w:w="2516" w:type="dxa"/>
            <w:tcBorders>
              <w:top w:val="nil"/>
              <w:left w:val="single" w:sz="4" w:space="0" w:color="auto"/>
              <w:bottom w:val="nil"/>
              <w:right w:val="single" w:sz="4" w:space="0" w:color="auto"/>
            </w:tcBorders>
            <w:shd w:val="clear" w:color="000000" w:fill="FFFFFF"/>
            <w:noWrap/>
            <w:vAlign w:val="center"/>
            <w:hideMark/>
          </w:tcPr>
          <w:p w14:paraId="63911AC4"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no laborales</w:t>
            </w:r>
          </w:p>
        </w:tc>
        <w:tc>
          <w:tcPr>
            <w:tcW w:w="847" w:type="dxa"/>
            <w:tcBorders>
              <w:top w:val="nil"/>
              <w:left w:val="nil"/>
              <w:bottom w:val="nil"/>
              <w:right w:val="nil"/>
            </w:tcBorders>
            <w:shd w:val="clear" w:color="000000" w:fill="FFFFFF"/>
            <w:noWrap/>
            <w:vAlign w:val="center"/>
            <w:hideMark/>
          </w:tcPr>
          <w:p w14:paraId="50BCC4E4"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0,0193</w:t>
            </w:r>
          </w:p>
        </w:tc>
        <w:tc>
          <w:tcPr>
            <w:tcW w:w="697" w:type="dxa"/>
            <w:tcBorders>
              <w:top w:val="nil"/>
              <w:left w:val="nil"/>
              <w:bottom w:val="nil"/>
              <w:right w:val="single" w:sz="4" w:space="0" w:color="auto"/>
            </w:tcBorders>
            <w:shd w:val="clear" w:color="000000" w:fill="FFFFFF"/>
            <w:noWrap/>
            <w:vAlign w:val="center"/>
            <w:hideMark/>
          </w:tcPr>
          <w:p w14:paraId="74DA4A0C"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4,4</w:t>
            </w:r>
          </w:p>
        </w:tc>
        <w:tc>
          <w:tcPr>
            <w:tcW w:w="847" w:type="dxa"/>
            <w:tcBorders>
              <w:top w:val="nil"/>
              <w:left w:val="nil"/>
              <w:bottom w:val="nil"/>
              <w:right w:val="nil"/>
            </w:tcBorders>
            <w:shd w:val="clear" w:color="000000" w:fill="FFFFFF"/>
            <w:noWrap/>
            <w:vAlign w:val="center"/>
            <w:hideMark/>
          </w:tcPr>
          <w:p w14:paraId="7557ABC9"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0,0251</w:t>
            </w:r>
          </w:p>
        </w:tc>
        <w:tc>
          <w:tcPr>
            <w:tcW w:w="697" w:type="dxa"/>
            <w:tcBorders>
              <w:top w:val="nil"/>
              <w:left w:val="nil"/>
              <w:bottom w:val="nil"/>
              <w:right w:val="single" w:sz="4" w:space="0" w:color="auto"/>
            </w:tcBorders>
            <w:shd w:val="clear" w:color="000000" w:fill="FFFFFF"/>
            <w:noWrap/>
            <w:vAlign w:val="center"/>
            <w:hideMark/>
          </w:tcPr>
          <w:p w14:paraId="3F6640EB"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5,3</w:t>
            </w:r>
          </w:p>
        </w:tc>
        <w:tc>
          <w:tcPr>
            <w:tcW w:w="979" w:type="dxa"/>
            <w:tcBorders>
              <w:top w:val="nil"/>
              <w:left w:val="nil"/>
              <w:bottom w:val="nil"/>
              <w:right w:val="nil"/>
            </w:tcBorders>
            <w:shd w:val="clear" w:color="000000" w:fill="FFFFFF"/>
            <w:noWrap/>
            <w:vAlign w:val="center"/>
            <w:hideMark/>
          </w:tcPr>
          <w:p w14:paraId="50D55DCC"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0,0401</w:t>
            </w:r>
          </w:p>
        </w:tc>
        <w:tc>
          <w:tcPr>
            <w:tcW w:w="807" w:type="dxa"/>
            <w:tcBorders>
              <w:top w:val="nil"/>
              <w:left w:val="nil"/>
              <w:bottom w:val="nil"/>
              <w:right w:val="single" w:sz="4" w:space="0" w:color="auto"/>
            </w:tcBorders>
            <w:shd w:val="clear" w:color="000000" w:fill="FFFFFF"/>
            <w:noWrap/>
            <w:vAlign w:val="center"/>
            <w:hideMark/>
          </w:tcPr>
          <w:p w14:paraId="247C4090"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8,2</w:t>
            </w:r>
          </w:p>
        </w:tc>
        <w:tc>
          <w:tcPr>
            <w:tcW w:w="879" w:type="dxa"/>
            <w:tcBorders>
              <w:top w:val="nil"/>
              <w:left w:val="nil"/>
              <w:bottom w:val="nil"/>
              <w:right w:val="nil"/>
            </w:tcBorders>
            <w:shd w:val="clear" w:color="000000" w:fill="FFFFFF"/>
            <w:noWrap/>
            <w:vAlign w:val="center"/>
            <w:hideMark/>
          </w:tcPr>
          <w:p w14:paraId="4DC5ABE7"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0,0208</w:t>
            </w:r>
          </w:p>
        </w:tc>
        <w:tc>
          <w:tcPr>
            <w:tcW w:w="666" w:type="dxa"/>
            <w:tcBorders>
              <w:top w:val="nil"/>
              <w:left w:val="nil"/>
              <w:bottom w:val="nil"/>
              <w:right w:val="single" w:sz="4" w:space="0" w:color="auto"/>
            </w:tcBorders>
            <w:shd w:val="clear" w:color="000000" w:fill="FFFFFF"/>
            <w:noWrap/>
            <w:vAlign w:val="center"/>
            <w:hideMark/>
          </w:tcPr>
          <w:p w14:paraId="3360A3B8"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44,5</w:t>
            </w:r>
          </w:p>
        </w:tc>
      </w:tr>
      <w:tr w:rsidR="00922E37" w:rsidRPr="007C2D50" w14:paraId="6ED41746" w14:textId="77777777" w:rsidTr="00A7309C">
        <w:trPr>
          <w:trHeight w:val="267"/>
        </w:trPr>
        <w:tc>
          <w:tcPr>
            <w:tcW w:w="2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BB447"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Coeficiente de Gini familiar</w:t>
            </w:r>
          </w:p>
        </w:tc>
        <w:tc>
          <w:tcPr>
            <w:tcW w:w="847" w:type="dxa"/>
            <w:tcBorders>
              <w:top w:val="single" w:sz="4" w:space="0" w:color="auto"/>
              <w:left w:val="nil"/>
              <w:bottom w:val="single" w:sz="4" w:space="0" w:color="auto"/>
              <w:right w:val="nil"/>
            </w:tcBorders>
            <w:shd w:val="clear" w:color="000000" w:fill="FFFFFF"/>
            <w:noWrap/>
            <w:vAlign w:val="center"/>
            <w:hideMark/>
          </w:tcPr>
          <w:p w14:paraId="614FF077"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0,4400</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14:paraId="52C8FBEB"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100,0</w:t>
            </w:r>
          </w:p>
        </w:tc>
        <w:tc>
          <w:tcPr>
            <w:tcW w:w="847" w:type="dxa"/>
            <w:tcBorders>
              <w:top w:val="single" w:sz="4" w:space="0" w:color="auto"/>
              <w:left w:val="nil"/>
              <w:bottom w:val="single" w:sz="4" w:space="0" w:color="auto"/>
              <w:right w:val="nil"/>
            </w:tcBorders>
            <w:shd w:val="clear" w:color="000000" w:fill="FFFFFF"/>
            <w:noWrap/>
            <w:vAlign w:val="center"/>
            <w:hideMark/>
          </w:tcPr>
          <w:p w14:paraId="0375356D"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0,4770</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14:paraId="428F3BEA"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100,0</w:t>
            </w:r>
          </w:p>
        </w:tc>
        <w:tc>
          <w:tcPr>
            <w:tcW w:w="979" w:type="dxa"/>
            <w:tcBorders>
              <w:top w:val="single" w:sz="4" w:space="0" w:color="auto"/>
              <w:left w:val="nil"/>
              <w:bottom w:val="single" w:sz="4" w:space="0" w:color="auto"/>
              <w:right w:val="nil"/>
            </w:tcBorders>
            <w:shd w:val="clear" w:color="000000" w:fill="FFFFFF"/>
            <w:noWrap/>
            <w:vAlign w:val="center"/>
            <w:hideMark/>
          </w:tcPr>
          <w:p w14:paraId="0BFA4505"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0,4867</w:t>
            </w:r>
          </w:p>
        </w:tc>
        <w:tc>
          <w:tcPr>
            <w:tcW w:w="807" w:type="dxa"/>
            <w:tcBorders>
              <w:top w:val="single" w:sz="4" w:space="0" w:color="auto"/>
              <w:left w:val="nil"/>
              <w:bottom w:val="single" w:sz="4" w:space="0" w:color="auto"/>
              <w:right w:val="single" w:sz="4" w:space="0" w:color="auto"/>
            </w:tcBorders>
            <w:shd w:val="clear" w:color="000000" w:fill="FFFFFF"/>
            <w:noWrap/>
            <w:vAlign w:val="center"/>
            <w:hideMark/>
          </w:tcPr>
          <w:p w14:paraId="1B368F76"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100,0</w:t>
            </w:r>
          </w:p>
        </w:tc>
        <w:tc>
          <w:tcPr>
            <w:tcW w:w="879" w:type="dxa"/>
            <w:tcBorders>
              <w:top w:val="single" w:sz="4" w:space="0" w:color="auto"/>
              <w:left w:val="nil"/>
              <w:bottom w:val="single" w:sz="4" w:space="0" w:color="auto"/>
              <w:right w:val="nil"/>
            </w:tcBorders>
            <w:shd w:val="clear" w:color="000000" w:fill="FFFFFF"/>
            <w:noWrap/>
            <w:vAlign w:val="center"/>
            <w:hideMark/>
          </w:tcPr>
          <w:p w14:paraId="172A4FA7"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0,0467</w:t>
            </w:r>
          </w:p>
        </w:tc>
        <w:tc>
          <w:tcPr>
            <w:tcW w:w="666" w:type="dxa"/>
            <w:tcBorders>
              <w:top w:val="single" w:sz="4" w:space="0" w:color="auto"/>
              <w:left w:val="nil"/>
              <w:bottom w:val="single" w:sz="4" w:space="0" w:color="auto"/>
              <w:right w:val="single" w:sz="4" w:space="0" w:color="auto"/>
            </w:tcBorders>
            <w:shd w:val="clear" w:color="000000" w:fill="FFFFFF"/>
            <w:noWrap/>
            <w:vAlign w:val="center"/>
            <w:hideMark/>
          </w:tcPr>
          <w:p w14:paraId="4D3E6C78" w14:textId="77777777" w:rsidR="00922E37" w:rsidRPr="003705E7"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3705E7">
              <w:rPr>
                <w:rFonts w:ascii="Times New Roman" w:eastAsia="Times New Roman" w:hAnsi="Times New Roman"/>
                <w:b/>
                <w:bCs/>
                <w:color w:val="000000"/>
                <w:sz w:val="16"/>
                <w:szCs w:val="16"/>
                <w:lang w:eastAsia="es-AR"/>
              </w:rPr>
              <w:t>100,0</w:t>
            </w:r>
          </w:p>
        </w:tc>
      </w:tr>
    </w:tbl>
    <w:p w14:paraId="598DD6E8" w14:textId="77777777" w:rsidR="00922E37" w:rsidRPr="007C2D50" w:rsidRDefault="00922E37" w:rsidP="00922E37">
      <w:pPr>
        <w:tabs>
          <w:tab w:val="left" w:pos="4069"/>
        </w:tabs>
        <w:spacing w:before="120" w:after="24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317A7380" w14:textId="73E0D564" w:rsidR="00922E37" w:rsidRPr="007C2D50" w:rsidRDefault="00922E37" w:rsidP="00922E37">
      <w:pPr>
        <w:tabs>
          <w:tab w:val="left" w:pos="4069"/>
        </w:tabs>
        <w:spacing w:after="0"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Como resultado de estos cambios, una parte significativa del incremento del coeficiente de Gini familiar verificado entre 1988 y 2003 (de 0,0467 puntos) se debió a procesos externos </w:t>
      </w:r>
      <w:r w:rsidRPr="007C2D50">
        <w:rPr>
          <w:rFonts w:ascii="Times New Roman" w:eastAsia="Times New Roman" w:hAnsi="Times New Roman"/>
          <w:szCs w:val="24"/>
          <w:lang w:val="es-ES" w:eastAsia="es-AR"/>
        </w:rPr>
        <w:lastRenderedPageBreak/>
        <w:t>al mercado de trabajo</w:t>
      </w:r>
      <w:r w:rsidR="002C6E50">
        <w:rPr>
          <w:rFonts w:ascii="Times New Roman" w:eastAsia="Times New Roman" w:hAnsi="Times New Roman"/>
          <w:szCs w:val="24"/>
          <w:lang w:val="es-ES" w:eastAsia="es-AR"/>
        </w:rPr>
        <w:t xml:space="preserve"> (</w:t>
      </w:r>
      <w:r w:rsidR="006B003C">
        <w:rPr>
          <w:rFonts w:ascii="Times New Roman" w:eastAsia="Times New Roman" w:hAnsi="Times New Roman"/>
          <w:szCs w:val="24"/>
          <w:lang w:val="es-ES" w:eastAsia="es-AR"/>
        </w:rPr>
        <w:t xml:space="preserve">un </w:t>
      </w:r>
      <w:r w:rsidRPr="007C2D50">
        <w:rPr>
          <w:rFonts w:ascii="Times New Roman" w:eastAsia="Times New Roman" w:hAnsi="Times New Roman"/>
          <w:szCs w:val="24"/>
          <w:lang w:val="es-ES" w:eastAsia="es-AR"/>
        </w:rPr>
        <w:t>44,5%</w:t>
      </w:r>
      <w:r w:rsidR="006B003C">
        <w:rPr>
          <w:rFonts w:ascii="Times New Roman" w:eastAsia="Times New Roman" w:hAnsi="Times New Roman"/>
          <w:szCs w:val="24"/>
          <w:lang w:val="es-ES" w:eastAsia="es-AR"/>
        </w:rPr>
        <w:t xml:space="preserve">). </w:t>
      </w:r>
      <w:r w:rsidRPr="007C2D50">
        <w:rPr>
          <w:rFonts w:ascii="Times New Roman" w:eastAsia="Times New Roman" w:hAnsi="Times New Roman"/>
          <w:szCs w:val="24"/>
          <w:lang w:val="es-ES" w:eastAsia="es-AR"/>
        </w:rPr>
        <w:t xml:space="preserve">Ahora bien, la reducción del aporte relativo de las fuentes laborales al coeficiente de Gini se debió, principalmente, a la retracción verificada por los ingresos familiares provenientes de ocupaciones en el sector microinformal </w:t>
      </w:r>
      <w:r w:rsidR="006B003C">
        <w:rPr>
          <w:rFonts w:ascii="Times New Roman" w:eastAsia="Times New Roman" w:hAnsi="Times New Roman"/>
          <w:szCs w:val="24"/>
          <w:lang w:val="es-ES" w:eastAsia="es-AR"/>
        </w:rPr>
        <w:t xml:space="preserve">(21% a 17,3% entre 1988 y 2003); mientras que </w:t>
      </w:r>
      <w:r w:rsidRPr="007C2D50">
        <w:rPr>
          <w:rFonts w:ascii="Times New Roman" w:eastAsia="Times New Roman" w:hAnsi="Times New Roman"/>
          <w:szCs w:val="24"/>
          <w:lang w:val="es-ES" w:eastAsia="es-AR"/>
        </w:rPr>
        <w:t xml:space="preserve">el aporte de los ingresos del sector formal se mantuvo casi inalterado (74,6% y 74,4% entre puntas del período) (Cuadro 6). </w:t>
      </w:r>
      <w:r w:rsidR="006B003C">
        <w:rPr>
          <w:rFonts w:ascii="Times New Roman" w:eastAsia="Times New Roman" w:hAnsi="Times New Roman"/>
          <w:szCs w:val="24"/>
          <w:lang w:val="es-ES" w:eastAsia="es-AR"/>
        </w:rPr>
        <w:t xml:space="preserve">De este modo, </w:t>
      </w:r>
      <w:r w:rsidRPr="007C2D50">
        <w:rPr>
          <w:rFonts w:ascii="Times New Roman" w:eastAsia="Times New Roman" w:hAnsi="Times New Roman"/>
          <w:szCs w:val="24"/>
          <w:lang w:val="es-ES" w:eastAsia="es-AR"/>
        </w:rPr>
        <w:t>los ingresos provenientes de ocupaciones en el sector formal público y privado aportaron significativamente a la desigualdad (72,6%), en tanto que los ingresos provenientes de ocupaciones en el sector informal tuvieron un papel opuesto (-17,1%), que “amortiguó” el efecto desigualador del sector formal</w:t>
      </w:r>
      <w:r w:rsidRPr="007C2D50">
        <w:rPr>
          <w:rStyle w:val="Refdenotaalpie"/>
          <w:rFonts w:ascii="Times New Roman" w:eastAsia="Times New Roman" w:hAnsi="Times New Roman"/>
          <w:szCs w:val="24"/>
          <w:lang w:val="es-ES" w:eastAsia="es-AR"/>
        </w:rPr>
        <w:footnoteReference w:id="11"/>
      </w:r>
      <w:r w:rsidRPr="007C2D50">
        <w:rPr>
          <w:rFonts w:ascii="Times New Roman" w:eastAsia="Times New Roman" w:hAnsi="Times New Roman"/>
          <w:szCs w:val="24"/>
          <w:lang w:val="es-ES" w:eastAsia="es-AR"/>
        </w:rPr>
        <w:t>. Es decir, el aumento de la inequidad en el mercado laboral tuvo como principal factor explicativo el comportamiento de los sectores más dinámicos del empleo en proceso de modernización.</w:t>
      </w:r>
    </w:p>
    <w:p w14:paraId="41ADBA96" w14:textId="77777777" w:rsidR="00922E37" w:rsidRPr="007C2D50" w:rsidRDefault="00922E37" w:rsidP="00922E37">
      <w:pPr>
        <w:keepNext/>
        <w:spacing w:after="120" w:line="240" w:lineRule="auto"/>
        <w:jc w:val="both"/>
        <w:rPr>
          <w:rFonts w:ascii="Times New Roman" w:eastAsia="Times New Roman" w:hAnsi="Times New Roman"/>
          <w:bCs/>
          <w:color w:val="000000"/>
          <w:szCs w:val="20"/>
          <w:lang w:eastAsia="es-AR"/>
        </w:rPr>
      </w:pPr>
      <w:r w:rsidRPr="007C2D50">
        <w:rPr>
          <w:rFonts w:ascii="Times New Roman" w:eastAsia="Times New Roman" w:hAnsi="Times New Roman"/>
          <w:b/>
          <w:bCs/>
          <w:color w:val="000000"/>
          <w:lang w:eastAsia="es-AR"/>
        </w:rPr>
        <w:t xml:space="preserve">Cuadro 7. Descomposición del cambio absoluto del coeficiente de Gini familiar según fuente de ingresos. Área Gran Buenos Aires, 1988-2003. </w:t>
      </w:r>
      <w:r w:rsidRPr="007C2D50">
        <w:rPr>
          <w:rFonts w:ascii="Times New Roman" w:eastAsia="Times New Roman" w:hAnsi="Times New Roman"/>
          <w:bCs/>
          <w:color w:val="000000"/>
          <w:szCs w:val="20"/>
          <w:lang w:eastAsia="es-AR"/>
        </w:rPr>
        <w:t>Variación interanual en valores absolutos/puntos del coeficiente de Gini.</w:t>
      </w:r>
    </w:p>
    <w:tbl>
      <w:tblPr>
        <w:tblW w:w="8859" w:type="dxa"/>
        <w:jc w:val="center"/>
        <w:tblCellMar>
          <w:left w:w="70" w:type="dxa"/>
          <w:right w:w="70" w:type="dxa"/>
        </w:tblCellMar>
        <w:tblLook w:val="04A0" w:firstRow="1" w:lastRow="0" w:firstColumn="1" w:lastColumn="0" w:noHBand="0" w:noVBand="1"/>
      </w:tblPr>
      <w:tblGrid>
        <w:gridCol w:w="2483"/>
        <w:gridCol w:w="797"/>
        <w:gridCol w:w="797"/>
        <w:gridCol w:w="797"/>
        <w:gridCol w:w="797"/>
        <w:gridCol w:w="797"/>
        <w:gridCol w:w="797"/>
        <w:gridCol w:w="797"/>
        <w:gridCol w:w="797"/>
      </w:tblGrid>
      <w:tr w:rsidR="00922E37" w:rsidRPr="007C2D50" w14:paraId="2AD59BD2" w14:textId="77777777" w:rsidTr="008850F5">
        <w:trPr>
          <w:trHeight w:val="278"/>
          <w:jc w:val="center"/>
        </w:trPr>
        <w:tc>
          <w:tcPr>
            <w:tcW w:w="2483" w:type="dxa"/>
            <w:tcBorders>
              <w:top w:val="single" w:sz="4" w:space="0" w:color="auto"/>
              <w:left w:val="single" w:sz="4" w:space="0" w:color="auto"/>
              <w:bottom w:val="single" w:sz="4" w:space="0" w:color="auto"/>
              <w:right w:val="nil"/>
            </w:tcBorders>
            <w:shd w:val="clear" w:color="000000" w:fill="FFFFFF"/>
            <w:noWrap/>
            <w:vAlign w:val="center"/>
            <w:hideMark/>
          </w:tcPr>
          <w:p w14:paraId="40DBD21A" w14:textId="77777777" w:rsidR="00922E37" w:rsidRPr="007C2D50" w:rsidRDefault="00922E37" w:rsidP="008850F5">
            <w:pPr>
              <w:keepNext/>
              <w:spacing w:after="0" w:line="240" w:lineRule="auto"/>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Fuente de ingreso</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7FF78"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Var. Gini</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4FB07822"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r</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3FFD8C84"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S</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7D046776"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g</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2D020CF5"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r*s</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42B7ECD8"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r*g</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2505EC24"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s*g</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6F40FA77"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r*s*g</w:t>
            </w:r>
          </w:p>
        </w:tc>
      </w:tr>
      <w:tr w:rsidR="00922E37" w:rsidRPr="007C2D50" w14:paraId="43047069" w14:textId="77777777" w:rsidTr="008850F5">
        <w:trPr>
          <w:trHeight w:val="278"/>
          <w:jc w:val="center"/>
        </w:trPr>
        <w:tc>
          <w:tcPr>
            <w:tcW w:w="2483" w:type="dxa"/>
            <w:tcBorders>
              <w:top w:val="single" w:sz="4" w:space="0" w:color="auto"/>
              <w:left w:val="single" w:sz="4" w:space="0" w:color="auto"/>
              <w:bottom w:val="nil"/>
              <w:right w:val="single" w:sz="4" w:space="0" w:color="auto"/>
            </w:tcBorders>
            <w:shd w:val="clear" w:color="000000" w:fill="FFFFFF"/>
            <w:noWrap/>
            <w:vAlign w:val="center"/>
            <w:hideMark/>
          </w:tcPr>
          <w:p w14:paraId="5FC7930A"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laborales</w:t>
            </w:r>
          </w:p>
        </w:tc>
        <w:tc>
          <w:tcPr>
            <w:tcW w:w="797" w:type="dxa"/>
            <w:tcBorders>
              <w:top w:val="single" w:sz="4" w:space="0" w:color="auto"/>
              <w:left w:val="nil"/>
              <w:bottom w:val="nil"/>
              <w:right w:val="single" w:sz="4" w:space="0" w:color="auto"/>
            </w:tcBorders>
            <w:shd w:val="clear" w:color="000000" w:fill="FFFFFF"/>
            <w:noWrap/>
            <w:vAlign w:val="center"/>
            <w:hideMark/>
          </w:tcPr>
          <w:p w14:paraId="0660D8FA"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0,0259</w:t>
            </w:r>
          </w:p>
        </w:tc>
        <w:tc>
          <w:tcPr>
            <w:tcW w:w="797" w:type="dxa"/>
            <w:tcBorders>
              <w:top w:val="single" w:sz="4" w:space="0" w:color="auto"/>
              <w:left w:val="nil"/>
              <w:bottom w:val="nil"/>
              <w:right w:val="single" w:sz="4" w:space="0" w:color="auto"/>
            </w:tcBorders>
            <w:shd w:val="clear" w:color="000000" w:fill="FFFFFF"/>
            <w:noWrap/>
            <w:vAlign w:val="center"/>
            <w:hideMark/>
          </w:tcPr>
          <w:p w14:paraId="4C70A957"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-0,0084</w:t>
            </w:r>
          </w:p>
        </w:tc>
        <w:tc>
          <w:tcPr>
            <w:tcW w:w="797" w:type="dxa"/>
            <w:tcBorders>
              <w:top w:val="single" w:sz="4" w:space="0" w:color="auto"/>
              <w:left w:val="nil"/>
              <w:bottom w:val="nil"/>
              <w:right w:val="single" w:sz="4" w:space="0" w:color="auto"/>
            </w:tcBorders>
            <w:shd w:val="clear" w:color="000000" w:fill="FFFFFF"/>
            <w:noWrap/>
            <w:vAlign w:val="center"/>
            <w:hideMark/>
          </w:tcPr>
          <w:p w14:paraId="191D4321"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-0,0238</w:t>
            </w:r>
          </w:p>
        </w:tc>
        <w:tc>
          <w:tcPr>
            <w:tcW w:w="797" w:type="dxa"/>
            <w:tcBorders>
              <w:top w:val="single" w:sz="4" w:space="0" w:color="auto"/>
              <w:left w:val="nil"/>
              <w:bottom w:val="nil"/>
              <w:right w:val="single" w:sz="4" w:space="0" w:color="auto"/>
            </w:tcBorders>
            <w:shd w:val="clear" w:color="000000" w:fill="FFFFFF"/>
            <w:noWrap/>
            <w:vAlign w:val="center"/>
            <w:hideMark/>
          </w:tcPr>
          <w:p w14:paraId="12A4F845"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0,0623</w:t>
            </w:r>
          </w:p>
        </w:tc>
        <w:tc>
          <w:tcPr>
            <w:tcW w:w="797" w:type="dxa"/>
            <w:tcBorders>
              <w:top w:val="single" w:sz="4" w:space="0" w:color="auto"/>
              <w:left w:val="nil"/>
              <w:bottom w:val="nil"/>
              <w:right w:val="single" w:sz="4" w:space="0" w:color="auto"/>
            </w:tcBorders>
            <w:shd w:val="clear" w:color="000000" w:fill="FFFFFF"/>
            <w:noWrap/>
            <w:vAlign w:val="center"/>
            <w:hideMark/>
          </w:tcPr>
          <w:p w14:paraId="5DD53A25"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0,0005</w:t>
            </w:r>
          </w:p>
        </w:tc>
        <w:tc>
          <w:tcPr>
            <w:tcW w:w="797" w:type="dxa"/>
            <w:tcBorders>
              <w:top w:val="single" w:sz="4" w:space="0" w:color="auto"/>
              <w:left w:val="nil"/>
              <w:bottom w:val="nil"/>
              <w:right w:val="single" w:sz="4" w:space="0" w:color="auto"/>
            </w:tcBorders>
            <w:shd w:val="clear" w:color="000000" w:fill="FFFFFF"/>
            <w:noWrap/>
            <w:vAlign w:val="center"/>
            <w:hideMark/>
          </w:tcPr>
          <w:p w14:paraId="5824776E"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-0,0012</w:t>
            </w:r>
          </w:p>
        </w:tc>
        <w:tc>
          <w:tcPr>
            <w:tcW w:w="797" w:type="dxa"/>
            <w:tcBorders>
              <w:top w:val="single" w:sz="4" w:space="0" w:color="auto"/>
              <w:left w:val="nil"/>
              <w:bottom w:val="nil"/>
              <w:right w:val="single" w:sz="4" w:space="0" w:color="auto"/>
            </w:tcBorders>
            <w:shd w:val="clear" w:color="000000" w:fill="FFFFFF"/>
            <w:noWrap/>
            <w:vAlign w:val="center"/>
            <w:hideMark/>
          </w:tcPr>
          <w:p w14:paraId="0A069693"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-0,0035</w:t>
            </w:r>
          </w:p>
        </w:tc>
        <w:tc>
          <w:tcPr>
            <w:tcW w:w="797" w:type="dxa"/>
            <w:tcBorders>
              <w:top w:val="single" w:sz="4" w:space="0" w:color="auto"/>
              <w:left w:val="nil"/>
              <w:bottom w:val="nil"/>
              <w:right w:val="single" w:sz="4" w:space="0" w:color="auto"/>
            </w:tcBorders>
            <w:shd w:val="clear" w:color="000000" w:fill="FFFFFF"/>
            <w:noWrap/>
            <w:vAlign w:val="center"/>
            <w:hideMark/>
          </w:tcPr>
          <w:p w14:paraId="39CB3030"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0,0001</w:t>
            </w:r>
          </w:p>
        </w:tc>
      </w:tr>
      <w:tr w:rsidR="00922E37" w:rsidRPr="007C2D50" w14:paraId="1801D281" w14:textId="77777777" w:rsidTr="008850F5">
        <w:trPr>
          <w:trHeight w:val="278"/>
          <w:jc w:val="center"/>
        </w:trPr>
        <w:tc>
          <w:tcPr>
            <w:tcW w:w="2483" w:type="dxa"/>
            <w:tcBorders>
              <w:top w:val="nil"/>
              <w:left w:val="single" w:sz="4" w:space="0" w:color="auto"/>
              <w:bottom w:val="nil"/>
              <w:right w:val="single" w:sz="4" w:space="0" w:color="auto"/>
            </w:tcBorders>
            <w:shd w:val="clear" w:color="000000" w:fill="FFFFFF"/>
            <w:noWrap/>
            <w:vAlign w:val="center"/>
            <w:hideMark/>
          </w:tcPr>
          <w:p w14:paraId="1C595738"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formal público y privado</w:t>
            </w:r>
          </w:p>
        </w:tc>
        <w:tc>
          <w:tcPr>
            <w:tcW w:w="797" w:type="dxa"/>
            <w:tcBorders>
              <w:top w:val="nil"/>
              <w:left w:val="nil"/>
              <w:bottom w:val="nil"/>
              <w:right w:val="single" w:sz="4" w:space="0" w:color="auto"/>
            </w:tcBorders>
            <w:shd w:val="clear" w:color="000000" w:fill="FFFFFF"/>
            <w:noWrap/>
            <w:vAlign w:val="center"/>
            <w:hideMark/>
          </w:tcPr>
          <w:p w14:paraId="2A73C87A"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0,0339</w:t>
            </w:r>
          </w:p>
        </w:tc>
        <w:tc>
          <w:tcPr>
            <w:tcW w:w="797" w:type="dxa"/>
            <w:tcBorders>
              <w:top w:val="nil"/>
              <w:left w:val="nil"/>
              <w:bottom w:val="nil"/>
              <w:right w:val="single" w:sz="4" w:space="0" w:color="auto"/>
            </w:tcBorders>
            <w:shd w:val="clear" w:color="000000" w:fill="FFFFFF"/>
            <w:noWrap/>
            <w:vAlign w:val="center"/>
            <w:hideMark/>
          </w:tcPr>
          <w:p w14:paraId="36DEAE96"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0,0125</w:t>
            </w:r>
          </w:p>
        </w:tc>
        <w:tc>
          <w:tcPr>
            <w:tcW w:w="797" w:type="dxa"/>
            <w:tcBorders>
              <w:top w:val="nil"/>
              <w:left w:val="nil"/>
              <w:bottom w:val="nil"/>
              <w:right w:val="single" w:sz="4" w:space="0" w:color="auto"/>
            </w:tcBorders>
            <w:shd w:val="clear" w:color="000000" w:fill="FFFFFF"/>
            <w:noWrap/>
            <w:vAlign w:val="center"/>
            <w:hideMark/>
          </w:tcPr>
          <w:p w14:paraId="17DC8829"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-0,0097</w:t>
            </w:r>
          </w:p>
        </w:tc>
        <w:tc>
          <w:tcPr>
            <w:tcW w:w="797" w:type="dxa"/>
            <w:tcBorders>
              <w:top w:val="nil"/>
              <w:left w:val="nil"/>
              <w:bottom w:val="nil"/>
              <w:right w:val="single" w:sz="4" w:space="0" w:color="auto"/>
            </w:tcBorders>
            <w:shd w:val="clear" w:color="000000" w:fill="FFFFFF"/>
            <w:noWrap/>
            <w:vAlign w:val="center"/>
            <w:hideMark/>
          </w:tcPr>
          <w:p w14:paraId="0260544E"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0,0313</w:t>
            </w:r>
          </w:p>
        </w:tc>
        <w:tc>
          <w:tcPr>
            <w:tcW w:w="797" w:type="dxa"/>
            <w:tcBorders>
              <w:top w:val="nil"/>
              <w:left w:val="nil"/>
              <w:bottom w:val="nil"/>
              <w:right w:val="single" w:sz="4" w:space="0" w:color="auto"/>
            </w:tcBorders>
            <w:shd w:val="clear" w:color="000000" w:fill="FFFFFF"/>
            <w:noWrap/>
            <w:vAlign w:val="center"/>
            <w:hideMark/>
          </w:tcPr>
          <w:p w14:paraId="448EEBC8"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-0,0004</w:t>
            </w:r>
          </w:p>
        </w:tc>
        <w:tc>
          <w:tcPr>
            <w:tcW w:w="797" w:type="dxa"/>
            <w:tcBorders>
              <w:top w:val="nil"/>
              <w:left w:val="nil"/>
              <w:bottom w:val="nil"/>
              <w:right w:val="single" w:sz="4" w:space="0" w:color="auto"/>
            </w:tcBorders>
            <w:shd w:val="clear" w:color="000000" w:fill="FFFFFF"/>
            <w:noWrap/>
            <w:vAlign w:val="center"/>
            <w:hideMark/>
          </w:tcPr>
          <w:p w14:paraId="39F84162"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0,0012</w:t>
            </w:r>
          </w:p>
        </w:tc>
        <w:tc>
          <w:tcPr>
            <w:tcW w:w="797" w:type="dxa"/>
            <w:tcBorders>
              <w:top w:val="nil"/>
              <w:left w:val="nil"/>
              <w:bottom w:val="nil"/>
              <w:right w:val="single" w:sz="4" w:space="0" w:color="auto"/>
            </w:tcBorders>
            <w:shd w:val="clear" w:color="000000" w:fill="FFFFFF"/>
            <w:noWrap/>
            <w:vAlign w:val="center"/>
            <w:hideMark/>
          </w:tcPr>
          <w:p w14:paraId="03F12266"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-0,0009</w:t>
            </w:r>
          </w:p>
        </w:tc>
        <w:tc>
          <w:tcPr>
            <w:tcW w:w="797" w:type="dxa"/>
            <w:tcBorders>
              <w:top w:val="nil"/>
              <w:left w:val="nil"/>
              <w:bottom w:val="nil"/>
              <w:right w:val="single" w:sz="4" w:space="0" w:color="auto"/>
            </w:tcBorders>
            <w:shd w:val="clear" w:color="000000" w:fill="FFFFFF"/>
            <w:noWrap/>
            <w:vAlign w:val="center"/>
            <w:hideMark/>
          </w:tcPr>
          <w:p w14:paraId="54C155B5"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0,0000</w:t>
            </w:r>
          </w:p>
        </w:tc>
      </w:tr>
      <w:tr w:rsidR="00922E37" w:rsidRPr="007C2D50" w14:paraId="607AAE84" w14:textId="77777777" w:rsidTr="008850F5">
        <w:trPr>
          <w:trHeight w:val="278"/>
          <w:jc w:val="center"/>
        </w:trPr>
        <w:tc>
          <w:tcPr>
            <w:tcW w:w="2483" w:type="dxa"/>
            <w:tcBorders>
              <w:top w:val="nil"/>
              <w:left w:val="single" w:sz="4" w:space="0" w:color="auto"/>
              <w:bottom w:val="nil"/>
              <w:right w:val="single" w:sz="4" w:space="0" w:color="auto"/>
            </w:tcBorders>
            <w:shd w:val="clear" w:color="000000" w:fill="FFFFFF"/>
            <w:noWrap/>
            <w:vAlign w:val="center"/>
            <w:hideMark/>
          </w:tcPr>
          <w:p w14:paraId="18F558DC"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formal privado</w:t>
            </w:r>
          </w:p>
        </w:tc>
        <w:tc>
          <w:tcPr>
            <w:tcW w:w="797" w:type="dxa"/>
            <w:tcBorders>
              <w:top w:val="nil"/>
              <w:left w:val="nil"/>
              <w:bottom w:val="nil"/>
              <w:right w:val="single" w:sz="4" w:space="0" w:color="auto"/>
            </w:tcBorders>
            <w:shd w:val="clear" w:color="000000" w:fill="FFFFFF"/>
            <w:noWrap/>
            <w:vAlign w:val="center"/>
            <w:hideMark/>
          </w:tcPr>
          <w:p w14:paraId="175EBA07"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28136AAC"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0BF010F2"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13C6B9D5"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49D3D068"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5DEF102E"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374C8BDA"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0E9E0D8E"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r>
      <w:tr w:rsidR="00922E37" w:rsidRPr="007C2D50" w14:paraId="62B41B40" w14:textId="77777777" w:rsidTr="008850F5">
        <w:trPr>
          <w:trHeight w:val="278"/>
          <w:jc w:val="center"/>
        </w:trPr>
        <w:tc>
          <w:tcPr>
            <w:tcW w:w="2483" w:type="dxa"/>
            <w:tcBorders>
              <w:top w:val="nil"/>
              <w:left w:val="single" w:sz="4" w:space="0" w:color="auto"/>
              <w:bottom w:val="nil"/>
              <w:right w:val="single" w:sz="4" w:space="0" w:color="auto"/>
            </w:tcBorders>
            <w:shd w:val="clear" w:color="000000" w:fill="FFFFFF"/>
            <w:noWrap/>
            <w:vAlign w:val="center"/>
            <w:hideMark/>
          </w:tcPr>
          <w:p w14:paraId="5D85E50E"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público</w:t>
            </w:r>
          </w:p>
        </w:tc>
        <w:tc>
          <w:tcPr>
            <w:tcW w:w="797" w:type="dxa"/>
            <w:tcBorders>
              <w:top w:val="nil"/>
              <w:left w:val="nil"/>
              <w:bottom w:val="nil"/>
              <w:right w:val="single" w:sz="4" w:space="0" w:color="auto"/>
            </w:tcBorders>
            <w:shd w:val="clear" w:color="000000" w:fill="FFFFFF"/>
            <w:noWrap/>
            <w:vAlign w:val="center"/>
            <w:hideMark/>
          </w:tcPr>
          <w:p w14:paraId="74B12186"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4A6010E8"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62757E9A"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5086D07B"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5EF8E628"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0DA286D1"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2F1AC430"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c>
          <w:tcPr>
            <w:tcW w:w="797" w:type="dxa"/>
            <w:tcBorders>
              <w:top w:val="nil"/>
              <w:left w:val="nil"/>
              <w:bottom w:val="nil"/>
              <w:right w:val="single" w:sz="4" w:space="0" w:color="auto"/>
            </w:tcBorders>
            <w:shd w:val="clear" w:color="000000" w:fill="FFFFFF"/>
            <w:noWrap/>
            <w:vAlign w:val="center"/>
            <w:hideMark/>
          </w:tcPr>
          <w:p w14:paraId="30E52B1F" w14:textId="77777777" w:rsidR="00922E37" w:rsidRPr="007C2D50" w:rsidRDefault="00922E37" w:rsidP="008850F5">
            <w:pPr>
              <w:keepNext/>
              <w:spacing w:after="0" w:line="240" w:lineRule="auto"/>
              <w:jc w:val="center"/>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w:t>
            </w:r>
          </w:p>
        </w:tc>
      </w:tr>
      <w:tr w:rsidR="00922E37" w:rsidRPr="007C2D50" w14:paraId="74E71B44" w14:textId="77777777" w:rsidTr="008850F5">
        <w:trPr>
          <w:trHeight w:val="278"/>
          <w:jc w:val="center"/>
        </w:trPr>
        <w:tc>
          <w:tcPr>
            <w:tcW w:w="2483" w:type="dxa"/>
            <w:tcBorders>
              <w:top w:val="nil"/>
              <w:left w:val="single" w:sz="4" w:space="0" w:color="auto"/>
              <w:bottom w:val="nil"/>
              <w:right w:val="single" w:sz="4" w:space="0" w:color="auto"/>
            </w:tcBorders>
            <w:shd w:val="clear" w:color="000000" w:fill="FFFFFF"/>
            <w:noWrap/>
            <w:vAlign w:val="center"/>
            <w:hideMark/>
          </w:tcPr>
          <w:p w14:paraId="32866208"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microinformal</w:t>
            </w:r>
          </w:p>
        </w:tc>
        <w:tc>
          <w:tcPr>
            <w:tcW w:w="797" w:type="dxa"/>
            <w:tcBorders>
              <w:top w:val="nil"/>
              <w:left w:val="nil"/>
              <w:bottom w:val="nil"/>
              <w:right w:val="single" w:sz="4" w:space="0" w:color="auto"/>
            </w:tcBorders>
            <w:shd w:val="clear" w:color="000000" w:fill="FFFFFF"/>
            <w:noWrap/>
            <w:vAlign w:val="center"/>
            <w:hideMark/>
          </w:tcPr>
          <w:p w14:paraId="686BA971"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-0,0080</w:t>
            </w:r>
          </w:p>
        </w:tc>
        <w:tc>
          <w:tcPr>
            <w:tcW w:w="797" w:type="dxa"/>
            <w:tcBorders>
              <w:top w:val="nil"/>
              <w:left w:val="nil"/>
              <w:bottom w:val="nil"/>
              <w:right w:val="single" w:sz="4" w:space="0" w:color="auto"/>
            </w:tcBorders>
            <w:shd w:val="clear" w:color="000000" w:fill="FFFFFF"/>
            <w:noWrap/>
            <w:vAlign w:val="center"/>
            <w:hideMark/>
          </w:tcPr>
          <w:p w14:paraId="05503A68"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0,0003</w:t>
            </w:r>
          </w:p>
        </w:tc>
        <w:tc>
          <w:tcPr>
            <w:tcW w:w="797" w:type="dxa"/>
            <w:tcBorders>
              <w:top w:val="nil"/>
              <w:left w:val="nil"/>
              <w:bottom w:val="nil"/>
              <w:right w:val="single" w:sz="4" w:space="0" w:color="auto"/>
            </w:tcBorders>
            <w:shd w:val="clear" w:color="000000" w:fill="FFFFFF"/>
            <w:noWrap/>
            <w:vAlign w:val="center"/>
            <w:hideMark/>
          </w:tcPr>
          <w:p w14:paraId="71DD5FE6"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-0,0107</w:t>
            </w:r>
          </w:p>
        </w:tc>
        <w:tc>
          <w:tcPr>
            <w:tcW w:w="797" w:type="dxa"/>
            <w:tcBorders>
              <w:top w:val="nil"/>
              <w:left w:val="nil"/>
              <w:bottom w:val="nil"/>
              <w:right w:val="single" w:sz="4" w:space="0" w:color="auto"/>
            </w:tcBorders>
            <w:shd w:val="clear" w:color="000000" w:fill="FFFFFF"/>
            <w:noWrap/>
            <w:vAlign w:val="center"/>
            <w:hideMark/>
          </w:tcPr>
          <w:p w14:paraId="54B4FCA1"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0,0027</w:t>
            </w:r>
          </w:p>
        </w:tc>
        <w:tc>
          <w:tcPr>
            <w:tcW w:w="797" w:type="dxa"/>
            <w:tcBorders>
              <w:top w:val="nil"/>
              <w:left w:val="nil"/>
              <w:bottom w:val="nil"/>
              <w:right w:val="single" w:sz="4" w:space="0" w:color="auto"/>
            </w:tcBorders>
            <w:shd w:val="clear" w:color="000000" w:fill="FFFFFF"/>
            <w:noWrap/>
            <w:vAlign w:val="center"/>
            <w:hideMark/>
          </w:tcPr>
          <w:p w14:paraId="3E4C92EA"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0,0000</w:t>
            </w:r>
          </w:p>
        </w:tc>
        <w:tc>
          <w:tcPr>
            <w:tcW w:w="797" w:type="dxa"/>
            <w:tcBorders>
              <w:top w:val="nil"/>
              <w:left w:val="nil"/>
              <w:bottom w:val="nil"/>
              <w:right w:val="single" w:sz="4" w:space="0" w:color="auto"/>
            </w:tcBorders>
            <w:shd w:val="clear" w:color="000000" w:fill="FFFFFF"/>
            <w:noWrap/>
            <w:vAlign w:val="center"/>
            <w:hideMark/>
          </w:tcPr>
          <w:p w14:paraId="1AAD0077"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0,0000</w:t>
            </w:r>
          </w:p>
        </w:tc>
        <w:tc>
          <w:tcPr>
            <w:tcW w:w="797" w:type="dxa"/>
            <w:tcBorders>
              <w:top w:val="nil"/>
              <w:left w:val="nil"/>
              <w:bottom w:val="nil"/>
              <w:right w:val="single" w:sz="4" w:space="0" w:color="auto"/>
            </w:tcBorders>
            <w:shd w:val="clear" w:color="000000" w:fill="FFFFFF"/>
            <w:noWrap/>
            <w:vAlign w:val="center"/>
            <w:hideMark/>
          </w:tcPr>
          <w:p w14:paraId="79F78675"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-0,0003</w:t>
            </w:r>
          </w:p>
        </w:tc>
        <w:tc>
          <w:tcPr>
            <w:tcW w:w="797" w:type="dxa"/>
            <w:tcBorders>
              <w:top w:val="nil"/>
              <w:left w:val="nil"/>
              <w:bottom w:val="nil"/>
              <w:right w:val="single" w:sz="4" w:space="0" w:color="auto"/>
            </w:tcBorders>
            <w:shd w:val="clear" w:color="000000" w:fill="FFFFFF"/>
            <w:noWrap/>
            <w:vAlign w:val="center"/>
            <w:hideMark/>
          </w:tcPr>
          <w:p w14:paraId="27EE1D4F"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0,0000</w:t>
            </w:r>
          </w:p>
        </w:tc>
      </w:tr>
      <w:tr w:rsidR="00922E37" w:rsidRPr="007C2D50" w14:paraId="1B8F64A9" w14:textId="77777777" w:rsidTr="008850F5">
        <w:trPr>
          <w:trHeight w:val="314"/>
          <w:jc w:val="center"/>
        </w:trPr>
        <w:tc>
          <w:tcPr>
            <w:tcW w:w="2483" w:type="dxa"/>
            <w:tcBorders>
              <w:top w:val="nil"/>
              <w:left w:val="single" w:sz="4" w:space="0" w:color="auto"/>
              <w:bottom w:val="single" w:sz="4" w:space="0" w:color="auto"/>
              <w:right w:val="single" w:sz="4" w:space="0" w:color="auto"/>
            </w:tcBorders>
            <w:shd w:val="clear" w:color="000000" w:fill="FFFFFF"/>
            <w:noWrap/>
            <w:vAlign w:val="center"/>
            <w:hideMark/>
          </w:tcPr>
          <w:p w14:paraId="610DE90D"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no laborales</w:t>
            </w:r>
          </w:p>
        </w:tc>
        <w:tc>
          <w:tcPr>
            <w:tcW w:w="797" w:type="dxa"/>
            <w:tcBorders>
              <w:top w:val="nil"/>
              <w:left w:val="nil"/>
              <w:bottom w:val="single" w:sz="4" w:space="0" w:color="auto"/>
              <w:right w:val="single" w:sz="4" w:space="0" w:color="auto"/>
            </w:tcBorders>
            <w:shd w:val="clear" w:color="000000" w:fill="FFFFFF"/>
            <w:noWrap/>
            <w:vAlign w:val="center"/>
            <w:hideMark/>
          </w:tcPr>
          <w:p w14:paraId="6DB2808B"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0,0208</w:t>
            </w:r>
          </w:p>
        </w:tc>
        <w:tc>
          <w:tcPr>
            <w:tcW w:w="797" w:type="dxa"/>
            <w:tcBorders>
              <w:top w:val="nil"/>
              <w:left w:val="nil"/>
              <w:bottom w:val="single" w:sz="4" w:space="0" w:color="auto"/>
              <w:right w:val="single" w:sz="4" w:space="0" w:color="auto"/>
            </w:tcBorders>
            <w:shd w:val="clear" w:color="000000" w:fill="FFFFFF"/>
            <w:noWrap/>
            <w:vAlign w:val="center"/>
            <w:hideMark/>
          </w:tcPr>
          <w:p w14:paraId="73FA591E"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0,0124</w:t>
            </w:r>
          </w:p>
        </w:tc>
        <w:tc>
          <w:tcPr>
            <w:tcW w:w="797" w:type="dxa"/>
            <w:tcBorders>
              <w:top w:val="nil"/>
              <w:left w:val="nil"/>
              <w:bottom w:val="single" w:sz="4" w:space="0" w:color="auto"/>
              <w:right w:val="single" w:sz="4" w:space="0" w:color="auto"/>
            </w:tcBorders>
            <w:shd w:val="clear" w:color="000000" w:fill="FFFFFF"/>
            <w:noWrap/>
            <w:vAlign w:val="center"/>
            <w:hideMark/>
          </w:tcPr>
          <w:p w14:paraId="6639C138"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0,0062</w:t>
            </w:r>
          </w:p>
        </w:tc>
        <w:tc>
          <w:tcPr>
            <w:tcW w:w="797" w:type="dxa"/>
            <w:tcBorders>
              <w:top w:val="nil"/>
              <w:left w:val="nil"/>
              <w:bottom w:val="single" w:sz="4" w:space="0" w:color="auto"/>
              <w:right w:val="single" w:sz="4" w:space="0" w:color="auto"/>
            </w:tcBorders>
            <w:shd w:val="clear" w:color="000000" w:fill="FFFFFF"/>
            <w:noWrap/>
            <w:vAlign w:val="center"/>
            <w:hideMark/>
          </w:tcPr>
          <w:p w14:paraId="50B65BC8"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-0,0008</w:t>
            </w:r>
          </w:p>
        </w:tc>
        <w:tc>
          <w:tcPr>
            <w:tcW w:w="797" w:type="dxa"/>
            <w:tcBorders>
              <w:top w:val="nil"/>
              <w:left w:val="nil"/>
              <w:bottom w:val="single" w:sz="4" w:space="0" w:color="auto"/>
              <w:right w:val="single" w:sz="4" w:space="0" w:color="auto"/>
            </w:tcBorders>
            <w:shd w:val="clear" w:color="000000" w:fill="FFFFFF"/>
            <w:noWrap/>
            <w:vAlign w:val="center"/>
            <w:hideMark/>
          </w:tcPr>
          <w:p w14:paraId="7EEBEAB5"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0,0040</w:t>
            </w:r>
          </w:p>
        </w:tc>
        <w:tc>
          <w:tcPr>
            <w:tcW w:w="797" w:type="dxa"/>
            <w:tcBorders>
              <w:top w:val="nil"/>
              <w:left w:val="nil"/>
              <w:bottom w:val="single" w:sz="4" w:space="0" w:color="auto"/>
              <w:right w:val="single" w:sz="4" w:space="0" w:color="auto"/>
            </w:tcBorders>
            <w:shd w:val="clear" w:color="000000" w:fill="FFFFFF"/>
            <w:noWrap/>
            <w:vAlign w:val="center"/>
            <w:hideMark/>
          </w:tcPr>
          <w:p w14:paraId="3B9826E7"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-0,0005</w:t>
            </w:r>
          </w:p>
        </w:tc>
        <w:tc>
          <w:tcPr>
            <w:tcW w:w="797" w:type="dxa"/>
            <w:tcBorders>
              <w:top w:val="nil"/>
              <w:left w:val="nil"/>
              <w:bottom w:val="single" w:sz="4" w:space="0" w:color="auto"/>
              <w:right w:val="single" w:sz="4" w:space="0" w:color="auto"/>
            </w:tcBorders>
            <w:shd w:val="clear" w:color="000000" w:fill="FFFFFF"/>
            <w:noWrap/>
            <w:vAlign w:val="center"/>
            <w:hideMark/>
          </w:tcPr>
          <w:p w14:paraId="57193D37"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-0,0003</w:t>
            </w:r>
          </w:p>
        </w:tc>
        <w:tc>
          <w:tcPr>
            <w:tcW w:w="797" w:type="dxa"/>
            <w:tcBorders>
              <w:top w:val="nil"/>
              <w:left w:val="nil"/>
              <w:bottom w:val="single" w:sz="4" w:space="0" w:color="auto"/>
              <w:right w:val="single" w:sz="4" w:space="0" w:color="auto"/>
            </w:tcBorders>
            <w:shd w:val="clear" w:color="000000" w:fill="FFFFFF"/>
            <w:noWrap/>
            <w:vAlign w:val="center"/>
            <w:hideMark/>
          </w:tcPr>
          <w:p w14:paraId="7E4E43E3"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-0,0002</w:t>
            </w:r>
          </w:p>
        </w:tc>
      </w:tr>
      <w:tr w:rsidR="00922E37" w:rsidRPr="007C2D50" w14:paraId="6CE8BA30" w14:textId="77777777" w:rsidTr="008850F5">
        <w:trPr>
          <w:trHeight w:val="278"/>
          <w:jc w:val="center"/>
        </w:trPr>
        <w:tc>
          <w:tcPr>
            <w:tcW w:w="2483" w:type="dxa"/>
            <w:tcBorders>
              <w:top w:val="single" w:sz="4" w:space="0" w:color="auto"/>
              <w:left w:val="single" w:sz="4" w:space="0" w:color="auto"/>
              <w:bottom w:val="single" w:sz="4" w:space="0" w:color="auto"/>
              <w:right w:val="nil"/>
            </w:tcBorders>
            <w:shd w:val="clear" w:color="000000" w:fill="FFFFFF"/>
            <w:noWrap/>
            <w:vAlign w:val="center"/>
            <w:hideMark/>
          </w:tcPr>
          <w:p w14:paraId="67157159" w14:textId="77777777" w:rsidR="00922E37" w:rsidRPr="007C2D50" w:rsidRDefault="00922E37" w:rsidP="008850F5">
            <w:pPr>
              <w:keepNext/>
              <w:spacing w:after="0" w:line="240" w:lineRule="auto"/>
              <w:rPr>
                <w:rFonts w:ascii="Times New Roman" w:eastAsia="Times New Roman" w:hAnsi="Times New Roman"/>
                <w:color w:val="000000"/>
                <w:sz w:val="16"/>
                <w:szCs w:val="16"/>
                <w:lang w:eastAsia="es-AR"/>
              </w:rPr>
            </w:pPr>
            <w:r w:rsidRPr="007C2D50">
              <w:rPr>
                <w:rFonts w:ascii="Times New Roman" w:eastAsia="Times New Roman" w:hAnsi="Times New Roman"/>
                <w:b/>
                <w:color w:val="000000"/>
                <w:sz w:val="16"/>
                <w:szCs w:val="16"/>
                <w:lang w:eastAsia="es-AR"/>
              </w:rPr>
              <w:t>Total</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A47E3"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0,0467</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6B94A029"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 </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3FD136C9"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582F9A7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35454163"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3CEA465C"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029A17A2"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6C895E0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r>
    </w:tbl>
    <w:p w14:paraId="373BA239" w14:textId="77777777" w:rsidR="00922E37" w:rsidRPr="007C2D50" w:rsidRDefault="00922E37" w:rsidP="00922E37">
      <w:pPr>
        <w:tabs>
          <w:tab w:val="left" w:pos="4069"/>
        </w:tabs>
        <w:spacing w:before="120" w:after="24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05CB3602" w14:textId="77777777" w:rsidR="00922E37" w:rsidRPr="007C2D50" w:rsidRDefault="00922E37" w:rsidP="00922E37">
      <w:pPr>
        <w:tabs>
          <w:tab w:val="left" w:pos="4069"/>
        </w:tabs>
        <w:spacing w:after="120" w:line="360" w:lineRule="auto"/>
        <w:jc w:val="both"/>
        <w:rPr>
          <w:rFonts w:ascii="Times New Roman" w:eastAsia="Times New Roman" w:hAnsi="Times New Roman"/>
          <w:b/>
          <w:bCs/>
          <w:color w:val="000000"/>
          <w:lang w:val="es-ES" w:eastAsia="es-AR"/>
        </w:rPr>
      </w:pPr>
      <w:r w:rsidRPr="007C2D50">
        <w:rPr>
          <w:rFonts w:ascii="Times New Roman" w:eastAsia="Times New Roman" w:hAnsi="Times New Roman"/>
          <w:szCs w:val="24"/>
          <w:lang w:val="es-ES" w:eastAsia="es-AR"/>
        </w:rPr>
        <w:t xml:space="preserve">El Cuadro 7 describe los factores que explican los cambios en la desigualdad del ingreso familiar. Los ingresos laborales aumentaron su contribución a la desigualdad, principalmente, porque se volvieron más inequitativos (G). Este proceso afectó, en particular, a los ingresos provenientes de ocupaciones en el sector formal público y privado. Es decir que, durante estos años se profundizó un proceso iniciado con anterioridad, caracterizado por las fuertes inequidades internas en el mercado laboral. La contribución compensadora de la </w:t>
      </w:r>
      <w:r w:rsidRPr="007C2D50">
        <w:rPr>
          <w:rFonts w:ascii="Times New Roman" w:eastAsia="Times New Roman" w:hAnsi="Times New Roman"/>
          <w:szCs w:val="24"/>
          <w:lang w:val="es-ES" w:eastAsia="es-AR"/>
        </w:rPr>
        <w:lastRenderedPageBreak/>
        <w:t>desigualdad derivada de los ingresos por ocupaciones en el sector microinformal se debió a su pérdida de participación en el ingreso familiar (S). Es decir que el sector microinformal contribuyó a la equidad por el empobrecimiento de aquellas actividades que, hasta los ochenta, habían resultado lucrativas, y no por ganancias en productividad que llevaran a la convergencia sectorial (</w:t>
      </w:r>
      <w:r w:rsidR="003D7CB1">
        <w:rPr>
          <w:rFonts w:ascii="Times New Roman" w:eastAsia="Times New Roman" w:hAnsi="Times New Roman"/>
          <w:szCs w:val="24"/>
          <w:lang w:val="es-ES" w:eastAsia="es-AR"/>
        </w:rPr>
        <w:t>AUTOR</w:t>
      </w:r>
      <w:r w:rsidRPr="007C2D50">
        <w:rPr>
          <w:rFonts w:ascii="Times New Roman" w:eastAsia="Times New Roman" w:hAnsi="Times New Roman"/>
          <w:szCs w:val="24"/>
          <w:lang w:val="es-ES" w:eastAsia="es-AR"/>
        </w:rPr>
        <w:t>). Por último, los ingresos no laborales nuevamente –al igual que había ocurrido en la etapa anterior– aumentaron su correlación con la distribución general (R). Esta tendencia se habría debido a los ingresos provenientes de políticas sociales y del sistema jubilatorio (</w:t>
      </w:r>
      <w:r w:rsidR="003D7CB1">
        <w:rPr>
          <w:rFonts w:ascii="Times New Roman" w:eastAsia="Times New Roman" w:hAnsi="Times New Roman"/>
          <w:szCs w:val="24"/>
          <w:lang w:val="es-ES" w:eastAsia="es-AR"/>
        </w:rPr>
        <w:t>AUTOR</w:t>
      </w:r>
      <w:r w:rsidRPr="007C2D50">
        <w:rPr>
          <w:rFonts w:ascii="Times New Roman" w:eastAsia="Times New Roman" w:hAnsi="Times New Roman"/>
          <w:szCs w:val="24"/>
          <w:lang w:val="es-ES" w:eastAsia="es-AR"/>
        </w:rPr>
        <w:t xml:space="preserve">). </w:t>
      </w:r>
    </w:p>
    <w:p w14:paraId="5FE3A146" w14:textId="77777777" w:rsidR="00922E37" w:rsidRPr="007C2D50" w:rsidRDefault="00922E37" w:rsidP="00922E37">
      <w:pPr>
        <w:tabs>
          <w:tab w:val="left" w:pos="4069"/>
        </w:tabs>
        <w:spacing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A diferencia de los períodos previos, </w:t>
      </w:r>
      <w:r w:rsidRPr="00144B64">
        <w:rPr>
          <w:rFonts w:ascii="Times New Roman" w:hAnsi="Times New Roman"/>
          <w:color w:val="010101"/>
          <w:szCs w:val="24"/>
          <w:lang w:eastAsia="es-MX"/>
        </w:rPr>
        <w:t>el ciclo de crecimiento bajo políticas heterodoxas (2003-2014)</w:t>
      </w:r>
      <w:r w:rsidRPr="00734FE0">
        <w:rPr>
          <w:rFonts w:ascii="Times New Roman" w:hAnsi="Times New Roman"/>
          <w:color w:val="010101"/>
          <w:szCs w:val="24"/>
          <w:lang w:eastAsia="es-MX"/>
        </w:rPr>
        <w:t xml:space="preserve"> </w:t>
      </w:r>
      <w:r w:rsidRPr="007C2D50">
        <w:rPr>
          <w:rFonts w:ascii="Times New Roman" w:eastAsia="Times New Roman" w:hAnsi="Times New Roman"/>
          <w:szCs w:val="24"/>
          <w:lang w:val="es-ES" w:eastAsia="es-AR"/>
        </w:rPr>
        <w:t>fue el primero en el cual el coeficiente de desigualdad de Gini tuvo un comportamiento decreciente, pasando de 0,4753 a 0,3851 (Cuadro 8). Este proceso estuvo muy influido por la recuperación de los principales indicadores del mercado de trabajo, una activa política laboral y de ingresos por parte del Estado y una expansión de los diferentes componentes del sistema de política social y previsional.</w:t>
      </w:r>
    </w:p>
    <w:p w14:paraId="3AAEDD43" w14:textId="77777777" w:rsidR="00922E37" w:rsidRPr="007C2D50" w:rsidRDefault="00922E37" w:rsidP="00922E37">
      <w:pPr>
        <w:tabs>
          <w:tab w:val="left" w:pos="4069"/>
        </w:tabs>
        <w:spacing w:before="240" w:after="120" w:line="240" w:lineRule="auto"/>
        <w:jc w:val="both"/>
        <w:rPr>
          <w:rFonts w:ascii="Times New Roman" w:eastAsia="Times New Roman" w:hAnsi="Times New Roman"/>
          <w:bCs/>
          <w:color w:val="000000"/>
          <w:lang w:eastAsia="es-AR"/>
        </w:rPr>
      </w:pPr>
      <w:r w:rsidRPr="007C2D50">
        <w:rPr>
          <w:rFonts w:ascii="Times New Roman" w:eastAsia="Times New Roman" w:hAnsi="Times New Roman"/>
          <w:b/>
          <w:bCs/>
          <w:color w:val="000000"/>
          <w:lang w:eastAsia="es-AR"/>
        </w:rPr>
        <w:t>Cuadro 8.</w:t>
      </w:r>
      <w:r w:rsidRPr="007C2D50">
        <w:rPr>
          <w:rFonts w:ascii="Times New Roman" w:eastAsia="Times New Roman" w:hAnsi="Times New Roman"/>
          <w:sz w:val="18"/>
          <w:szCs w:val="16"/>
          <w:lang w:eastAsia="es-AR"/>
        </w:rPr>
        <w:t xml:space="preserve"> </w:t>
      </w:r>
      <w:r w:rsidRPr="007C2D50">
        <w:rPr>
          <w:rFonts w:ascii="Times New Roman" w:eastAsia="Times New Roman" w:hAnsi="Times New Roman"/>
          <w:b/>
          <w:bCs/>
          <w:color w:val="000000"/>
          <w:lang w:eastAsia="es-AR"/>
        </w:rPr>
        <w:t xml:space="preserve">Coeficiente de Gini familiar, descomposición según aporte de cada fuente de ingreso y contribución de cada fuente al cambio. Gran Buenos Aires, 2014-2003. </w:t>
      </w:r>
      <w:r w:rsidRPr="007C2D50">
        <w:rPr>
          <w:rFonts w:ascii="Times New Roman" w:eastAsia="Times New Roman" w:hAnsi="Times New Roman"/>
          <w:bCs/>
          <w:color w:val="000000"/>
          <w:lang w:eastAsia="es-AR"/>
        </w:rPr>
        <w:t>En puntos del coeficiente de Gini y porcentaje respecto al total.</w:t>
      </w:r>
    </w:p>
    <w:tbl>
      <w:tblPr>
        <w:tblW w:w="8495" w:type="dxa"/>
        <w:jc w:val="center"/>
        <w:tblCellMar>
          <w:left w:w="70" w:type="dxa"/>
          <w:right w:w="70" w:type="dxa"/>
        </w:tblCellMar>
        <w:tblLook w:val="04A0" w:firstRow="1" w:lastRow="0" w:firstColumn="1" w:lastColumn="0" w:noHBand="0" w:noVBand="1"/>
      </w:tblPr>
      <w:tblGrid>
        <w:gridCol w:w="2641"/>
        <w:gridCol w:w="649"/>
        <w:gridCol w:w="827"/>
        <w:gridCol w:w="650"/>
        <w:gridCol w:w="683"/>
        <w:gridCol w:w="650"/>
        <w:gridCol w:w="839"/>
        <w:gridCol w:w="941"/>
        <w:gridCol w:w="615"/>
      </w:tblGrid>
      <w:tr w:rsidR="00922E37" w:rsidRPr="007C2D50" w14:paraId="68F0E584" w14:textId="77777777" w:rsidTr="008850F5">
        <w:trPr>
          <w:trHeight w:val="261"/>
          <w:jc w:val="center"/>
        </w:trPr>
        <w:tc>
          <w:tcPr>
            <w:tcW w:w="2641" w:type="dxa"/>
            <w:tcBorders>
              <w:top w:val="single" w:sz="4" w:space="0" w:color="auto"/>
              <w:left w:val="single" w:sz="4" w:space="0" w:color="auto"/>
              <w:bottom w:val="nil"/>
              <w:right w:val="single" w:sz="4" w:space="0" w:color="auto"/>
            </w:tcBorders>
            <w:shd w:val="clear" w:color="000000" w:fill="FFFFFF"/>
            <w:noWrap/>
            <w:vAlign w:val="bottom"/>
            <w:hideMark/>
          </w:tcPr>
          <w:p w14:paraId="616B1D38" w14:textId="77777777" w:rsidR="00922E37" w:rsidRPr="007C2D50" w:rsidRDefault="00922E37" w:rsidP="008850F5">
            <w:pPr>
              <w:spacing w:after="0" w:line="240" w:lineRule="auto"/>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 </w:t>
            </w:r>
          </w:p>
        </w:tc>
        <w:tc>
          <w:tcPr>
            <w:tcW w:w="1476" w:type="dxa"/>
            <w:gridSpan w:val="2"/>
            <w:tcBorders>
              <w:top w:val="single" w:sz="4" w:space="0" w:color="auto"/>
              <w:left w:val="nil"/>
              <w:bottom w:val="nil"/>
              <w:right w:val="single" w:sz="4" w:space="0" w:color="000000"/>
            </w:tcBorders>
            <w:shd w:val="clear" w:color="000000" w:fill="FFFFFF"/>
            <w:noWrap/>
            <w:vAlign w:val="center"/>
            <w:hideMark/>
          </w:tcPr>
          <w:p w14:paraId="654CCAED"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2003 (IV)</w:t>
            </w:r>
          </w:p>
        </w:tc>
        <w:tc>
          <w:tcPr>
            <w:tcW w:w="1333" w:type="dxa"/>
            <w:gridSpan w:val="2"/>
            <w:tcBorders>
              <w:top w:val="single" w:sz="4" w:space="0" w:color="auto"/>
              <w:left w:val="nil"/>
              <w:bottom w:val="nil"/>
              <w:right w:val="single" w:sz="4" w:space="0" w:color="000000"/>
            </w:tcBorders>
            <w:shd w:val="clear" w:color="000000" w:fill="FFFFFF"/>
            <w:noWrap/>
            <w:vAlign w:val="center"/>
            <w:hideMark/>
          </w:tcPr>
          <w:p w14:paraId="4E11E147"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2007</w:t>
            </w:r>
          </w:p>
        </w:tc>
        <w:tc>
          <w:tcPr>
            <w:tcW w:w="1489" w:type="dxa"/>
            <w:gridSpan w:val="2"/>
            <w:tcBorders>
              <w:top w:val="single" w:sz="4" w:space="0" w:color="auto"/>
              <w:left w:val="nil"/>
              <w:bottom w:val="nil"/>
              <w:right w:val="single" w:sz="4" w:space="0" w:color="000000"/>
            </w:tcBorders>
            <w:shd w:val="clear" w:color="000000" w:fill="FFFFFF"/>
            <w:noWrap/>
            <w:vAlign w:val="center"/>
            <w:hideMark/>
          </w:tcPr>
          <w:p w14:paraId="1EFC5250"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2014</w:t>
            </w:r>
          </w:p>
        </w:tc>
        <w:tc>
          <w:tcPr>
            <w:tcW w:w="1556" w:type="dxa"/>
            <w:gridSpan w:val="2"/>
            <w:tcBorders>
              <w:top w:val="single" w:sz="4" w:space="0" w:color="auto"/>
              <w:left w:val="nil"/>
              <w:bottom w:val="nil"/>
              <w:right w:val="single" w:sz="4" w:space="0" w:color="000000"/>
            </w:tcBorders>
            <w:shd w:val="clear" w:color="000000" w:fill="FFFFFF"/>
            <w:noWrap/>
            <w:vAlign w:val="center"/>
            <w:hideMark/>
          </w:tcPr>
          <w:p w14:paraId="50EE81A8"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2003-2014</w:t>
            </w:r>
          </w:p>
        </w:tc>
      </w:tr>
      <w:tr w:rsidR="00922E37" w:rsidRPr="007C2D50" w14:paraId="69B66162" w14:textId="77777777" w:rsidTr="008850F5">
        <w:trPr>
          <w:trHeight w:val="261"/>
          <w:jc w:val="center"/>
        </w:trPr>
        <w:tc>
          <w:tcPr>
            <w:tcW w:w="26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1F0D6" w14:textId="77777777" w:rsidR="00922E37" w:rsidRPr="007C2D50" w:rsidRDefault="00922E37" w:rsidP="008850F5">
            <w:pPr>
              <w:spacing w:after="0" w:line="240" w:lineRule="auto"/>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 Fuente de ingreso</w:t>
            </w:r>
          </w:p>
        </w:tc>
        <w:tc>
          <w:tcPr>
            <w:tcW w:w="649" w:type="dxa"/>
            <w:tcBorders>
              <w:top w:val="single" w:sz="4" w:space="0" w:color="auto"/>
              <w:left w:val="nil"/>
              <w:bottom w:val="single" w:sz="4" w:space="0" w:color="auto"/>
              <w:right w:val="nil"/>
            </w:tcBorders>
            <w:shd w:val="clear" w:color="000000" w:fill="FFFFFF"/>
            <w:noWrap/>
            <w:vAlign w:val="center"/>
            <w:hideMark/>
          </w:tcPr>
          <w:p w14:paraId="6BA1338E"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Aporte</w:t>
            </w:r>
          </w:p>
        </w:tc>
        <w:tc>
          <w:tcPr>
            <w:tcW w:w="827" w:type="dxa"/>
            <w:tcBorders>
              <w:top w:val="single" w:sz="4" w:space="0" w:color="auto"/>
              <w:left w:val="nil"/>
              <w:bottom w:val="single" w:sz="4" w:space="0" w:color="auto"/>
              <w:right w:val="single" w:sz="4" w:space="0" w:color="auto"/>
            </w:tcBorders>
            <w:shd w:val="clear" w:color="000000" w:fill="FFFFFF"/>
            <w:noWrap/>
            <w:vAlign w:val="center"/>
            <w:hideMark/>
          </w:tcPr>
          <w:p w14:paraId="2243CB7E"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w:t>
            </w:r>
          </w:p>
        </w:tc>
        <w:tc>
          <w:tcPr>
            <w:tcW w:w="650" w:type="dxa"/>
            <w:tcBorders>
              <w:top w:val="single" w:sz="4" w:space="0" w:color="auto"/>
              <w:left w:val="nil"/>
              <w:bottom w:val="single" w:sz="4" w:space="0" w:color="auto"/>
              <w:right w:val="nil"/>
            </w:tcBorders>
            <w:shd w:val="clear" w:color="000000" w:fill="FFFFFF"/>
            <w:noWrap/>
            <w:vAlign w:val="center"/>
            <w:hideMark/>
          </w:tcPr>
          <w:p w14:paraId="1DE272D3"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Aporte</w:t>
            </w:r>
          </w:p>
        </w:tc>
        <w:tc>
          <w:tcPr>
            <w:tcW w:w="683" w:type="dxa"/>
            <w:tcBorders>
              <w:top w:val="single" w:sz="4" w:space="0" w:color="auto"/>
              <w:left w:val="nil"/>
              <w:bottom w:val="single" w:sz="4" w:space="0" w:color="auto"/>
              <w:right w:val="single" w:sz="4" w:space="0" w:color="auto"/>
            </w:tcBorders>
            <w:shd w:val="clear" w:color="000000" w:fill="FFFFFF"/>
            <w:noWrap/>
            <w:vAlign w:val="center"/>
            <w:hideMark/>
          </w:tcPr>
          <w:p w14:paraId="135BB829"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w:t>
            </w:r>
          </w:p>
        </w:tc>
        <w:tc>
          <w:tcPr>
            <w:tcW w:w="650" w:type="dxa"/>
            <w:tcBorders>
              <w:top w:val="single" w:sz="4" w:space="0" w:color="auto"/>
              <w:left w:val="nil"/>
              <w:bottom w:val="single" w:sz="4" w:space="0" w:color="auto"/>
              <w:right w:val="nil"/>
            </w:tcBorders>
            <w:shd w:val="clear" w:color="000000" w:fill="FFFFFF"/>
            <w:noWrap/>
            <w:vAlign w:val="center"/>
            <w:hideMark/>
          </w:tcPr>
          <w:p w14:paraId="40B4B684"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Aporte</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14:paraId="6FCAB394"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w:t>
            </w:r>
          </w:p>
        </w:tc>
        <w:tc>
          <w:tcPr>
            <w:tcW w:w="941" w:type="dxa"/>
            <w:tcBorders>
              <w:top w:val="single" w:sz="4" w:space="0" w:color="auto"/>
              <w:left w:val="nil"/>
              <w:bottom w:val="single" w:sz="4" w:space="0" w:color="auto"/>
              <w:right w:val="nil"/>
            </w:tcBorders>
            <w:shd w:val="clear" w:color="000000" w:fill="FFFFFF"/>
            <w:noWrap/>
            <w:vAlign w:val="center"/>
            <w:hideMark/>
          </w:tcPr>
          <w:p w14:paraId="4E58157F"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V. Abs.</w:t>
            </w:r>
          </w:p>
        </w:tc>
        <w:tc>
          <w:tcPr>
            <w:tcW w:w="615" w:type="dxa"/>
            <w:tcBorders>
              <w:top w:val="single" w:sz="4" w:space="0" w:color="auto"/>
              <w:left w:val="nil"/>
              <w:bottom w:val="single" w:sz="4" w:space="0" w:color="auto"/>
              <w:right w:val="single" w:sz="4" w:space="0" w:color="auto"/>
            </w:tcBorders>
            <w:shd w:val="clear" w:color="000000" w:fill="FFFFFF"/>
            <w:noWrap/>
            <w:vAlign w:val="center"/>
            <w:hideMark/>
          </w:tcPr>
          <w:p w14:paraId="243D9629" w14:textId="77777777" w:rsidR="00922E37" w:rsidRPr="007C2D50" w:rsidRDefault="00922E37" w:rsidP="008850F5">
            <w:pPr>
              <w:spacing w:after="0" w:line="240" w:lineRule="auto"/>
              <w:jc w:val="center"/>
              <w:rPr>
                <w:rFonts w:ascii="Times New Roman" w:eastAsia="Times New Roman" w:hAnsi="Times New Roman"/>
                <w:color w:val="000000"/>
                <w:sz w:val="15"/>
                <w:szCs w:val="15"/>
                <w:lang w:eastAsia="es-AR"/>
              </w:rPr>
            </w:pPr>
            <w:r w:rsidRPr="007C2D50">
              <w:rPr>
                <w:rFonts w:ascii="Times New Roman" w:eastAsia="Times New Roman" w:hAnsi="Times New Roman"/>
                <w:color w:val="000000"/>
                <w:sz w:val="15"/>
                <w:szCs w:val="15"/>
                <w:lang w:eastAsia="es-AR"/>
              </w:rPr>
              <w:t>%</w:t>
            </w:r>
          </w:p>
        </w:tc>
      </w:tr>
      <w:tr w:rsidR="00922E37" w:rsidRPr="007C2D50" w14:paraId="06EDD814" w14:textId="77777777" w:rsidTr="008850F5">
        <w:trPr>
          <w:trHeight w:val="261"/>
          <w:jc w:val="center"/>
        </w:trPr>
        <w:tc>
          <w:tcPr>
            <w:tcW w:w="2641" w:type="dxa"/>
            <w:tcBorders>
              <w:top w:val="nil"/>
              <w:left w:val="single" w:sz="4" w:space="0" w:color="auto"/>
              <w:bottom w:val="nil"/>
              <w:right w:val="single" w:sz="4" w:space="0" w:color="auto"/>
            </w:tcBorders>
            <w:shd w:val="clear" w:color="000000" w:fill="FFFFFF"/>
            <w:noWrap/>
            <w:vAlign w:val="center"/>
            <w:hideMark/>
          </w:tcPr>
          <w:p w14:paraId="14C2D92D" w14:textId="77777777" w:rsidR="00922E37" w:rsidRPr="007C2D50" w:rsidRDefault="00922E37" w:rsidP="008850F5">
            <w:pPr>
              <w:keepNext/>
              <w:spacing w:after="0" w:line="240" w:lineRule="auto"/>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Ingresos laborales</w:t>
            </w:r>
          </w:p>
        </w:tc>
        <w:tc>
          <w:tcPr>
            <w:tcW w:w="649" w:type="dxa"/>
            <w:tcBorders>
              <w:top w:val="nil"/>
              <w:left w:val="nil"/>
              <w:bottom w:val="nil"/>
              <w:right w:val="nil"/>
            </w:tcBorders>
            <w:shd w:val="clear" w:color="000000" w:fill="FFFFFF"/>
            <w:noWrap/>
            <w:vAlign w:val="center"/>
            <w:hideMark/>
          </w:tcPr>
          <w:p w14:paraId="12124E65"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0,4426</w:t>
            </w:r>
          </w:p>
        </w:tc>
        <w:tc>
          <w:tcPr>
            <w:tcW w:w="827" w:type="dxa"/>
            <w:tcBorders>
              <w:top w:val="nil"/>
              <w:left w:val="nil"/>
              <w:bottom w:val="nil"/>
              <w:right w:val="single" w:sz="4" w:space="0" w:color="auto"/>
            </w:tcBorders>
            <w:shd w:val="clear" w:color="000000" w:fill="FFFFFF"/>
            <w:noWrap/>
            <w:vAlign w:val="center"/>
            <w:hideMark/>
          </w:tcPr>
          <w:p w14:paraId="63563143"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93,1</w:t>
            </w:r>
          </w:p>
        </w:tc>
        <w:tc>
          <w:tcPr>
            <w:tcW w:w="650" w:type="dxa"/>
            <w:tcBorders>
              <w:top w:val="nil"/>
              <w:left w:val="nil"/>
              <w:bottom w:val="nil"/>
              <w:right w:val="nil"/>
            </w:tcBorders>
            <w:shd w:val="clear" w:color="000000" w:fill="FFFFFF"/>
            <w:noWrap/>
            <w:vAlign w:val="center"/>
            <w:hideMark/>
          </w:tcPr>
          <w:p w14:paraId="7CACB67F"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0,4219</w:t>
            </w:r>
          </w:p>
        </w:tc>
        <w:tc>
          <w:tcPr>
            <w:tcW w:w="683" w:type="dxa"/>
            <w:tcBorders>
              <w:top w:val="nil"/>
              <w:left w:val="nil"/>
              <w:bottom w:val="nil"/>
              <w:right w:val="single" w:sz="4" w:space="0" w:color="auto"/>
            </w:tcBorders>
            <w:shd w:val="clear" w:color="000000" w:fill="FFFFFF"/>
            <w:noWrap/>
            <w:vAlign w:val="center"/>
            <w:hideMark/>
          </w:tcPr>
          <w:p w14:paraId="08E21A34"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95,5</w:t>
            </w:r>
          </w:p>
        </w:tc>
        <w:tc>
          <w:tcPr>
            <w:tcW w:w="650" w:type="dxa"/>
            <w:tcBorders>
              <w:top w:val="nil"/>
              <w:left w:val="nil"/>
              <w:bottom w:val="nil"/>
              <w:right w:val="nil"/>
            </w:tcBorders>
            <w:shd w:val="clear" w:color="000000" w:fill="FFFFFF"/>
            <w:noWrap/>
            <w:vAlign w:val="center"/>
            <w:hideMark/>
          </w:tcPr>
          <w:p w14:paraId="6513FE4D"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0,3637</w:t>
            </w:r>
          </w:p>
        </w:tc>
        <w:tc>
          <w:tcPr>
            <w:tcW w:w="839" w:type="dxa"/>
            <w:tcBorders>
              <w:top w:val="nil"/>
              <w:left w:val="nil"/>
              <w:bottom w:val="nil"/>
              <w:right w:val="single" w:sz="4" w:space="0" w:color="auto"/>
            </w:tcBorders>
            <w:shd w:val="clear" w:color="000000" w:fill="FFFFFF"/>
            <w:noWrap/>
            <w:vAlign w:val="center"/>
            <w:hideMark/>
          </w:tcPr>
          <w:p w14:paraId="4B0FBFC4"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94,4</w:t>
            </w:r>
          </w:p>
        </w:tc>
        <w:tc>
          <w:tcPr>
            <w:tcW w:w="941" w:type="dxa"/>
            <w:tcBorders>
              <w:top w:val="nil"/>
              <w:left w:val="nil"/>
              <w:bottom w:val="nil"/>
              <w:right w:val="nil"/>
            </w:tcBorders>
            <w:shd w:val="clear" w:color="000000" w:fill="FFFFFF"/>
            <w:noWrap/>
            <w:vAlign w:val="center"/>
            <w:hideMark/>
          </w:tcPr>
          <w:p w14:paraId="363C9C58" w14:textId="77777777" w:rsidR="00922E37" w:rsidRPr="002130A8" w:rsidRDefault="00922E37" w:rsidP="008850F5">
            <w:pPr>
              <w:spacing w:after="0" w:line="240" w:lineRule="auto"/>
              <w:jc w:val="center"/>
              <w:rPr>
                <w:rFonts w:ascii="Times New Roman" w:eastAsia="Times New Roman" w:hAnsi="Times New Roman"/>
                <w:b/>
                <w:bCs/>
                <w:color w:val="000000"/>
                <w:sz w:val="15"/>
                <w:szCs w:val="15"/>
                <w:lang w:eastAsia="es-AR"/>
              </w:rPr>
            </w:pPr>
            <w:r w:rsidRPr="002130A8">
              <w:rPr>
                <w:rFonts w:ascii="Times New Roman" w:eastAsia="Times New Roman" w:hAnsi="Times New Roman"/>
                <w:b/>
                <w:bCs/>
                <w:color w:val="000000"/>
                <w:sz w:val="15"/>
                <w:szCs w:val="15"/>
                <w:lang w:eastAsia="es-AR"/>
              </w:rPr>
              <w:t>-0,0790</w:t>
            </w:r>
          </w:p>
        </w:tc>
        <w:tc>
          <w:tcPr>
            <w:tcW w:w="615" w:type="dxa"/>
            <w:tcBorders>
              <w:top w:val="nil"/>
              <w:left w:val="nil"/>
              <w:bottom w:val="nil"/>
              <w:right w:val="single" w:sz="4" w:space="0" w:color="auto"/>
            </w:tcBorders>
            <w:shd w:val="clear" w:color="000000" w:fill="FFFFFF"/>
            <w:noWrap/>
            <w:vAlign w:val="center"/>
            <w:hideMark/>
          </w:tcPr>
          <w:p w14:paraId="4E46A326" w14:textId="77777777" w:rsidR="00922E37" w:rsidRPr="002130A8" w:rsidRDefault="00922E37" w:rsidP="008850F5">
            <w:pPr>
              <w:spacing w:after="0" w:line="240" w:lineRule="auto"/>
              <w:jc w:val="center"/>
              <w:rPr>
                <w:rFonts w:ascii="Times New Roman" w:eastAsia="Times New Roman" w:hAnsi="Times New Roman"/>
                <w:b/>
                <w:bCs/>
                <w:color w:val="000000"/>
                <w:sz w:val="15"/>
                <w:szCs w:val="15"/>
                <w:lang w:eastAsia="es-AR"/>
              </w:rPr>
            </w:pPr>
            <w:r w:rsidRPr="002130A8">
              <w:rPr>
                <w:rFonts w:ascii="Times New Roman" w:eastAsia="Times New Roman" w:hAnsi="Times New Roman"/>
                <w:b/>
                <w:bCs/>
                <w:color w:val="000000"/>
                <w:sz w:val="15"/>
                <w:szCs w:val="15"/>
                <w:lang w:eastAsia="es-AR"/>
              </w:rPr>
              <w:t>87,6</w:t>
            </w:r>
          </w:p>
        </w:tc>
      </w:tr>
      <w:tr w:rsidR="00922E37" w:rsidRPr="007C2D50" w14:paraId="07A92B09" w14:textId="77777777" w:rsidTr="008850F5">
        <w:trPr>
          <w:trHeight w:val="261"/>
          <w:jc w:val="center"/>
        </w:trPr>
        <w:tc>
          <w:tcPr>
            <w:tcW w:w="2641" w:type="dxa"/>
            <w:tcBorders>
              <w:top w:val="nil"/>
              <w:left w:val="single" w:sz="4" w:space="0" w:color="auto"/>
              <w:bottom w:val="nil"/>
              <w:right w:val="single" w:sz="4" w:space="0" w:color="auto"/>
            </w:tcBorders>
            <w:shd w:val="clear" w:color="000000" w:fill="FFFFFF"/>
            <w:noWrap/>
            <w:vAlign w:val="center"/>
            <w:hideMark/>
          </w:tcPr>
          <w:p w14:paraId="6D8720A0" w14:textId="77777777" w:rsidR="00922E37" w:rsidRPr="007C2D50" w:rsidRDefault="00922E37" w:rsidP="008850F5">
            <w:pPr>
              <w:keepNext/>
              <w:spacing w:after="0" w:line="240" w:lineRule="auto"/>
              <w:ind w:firstLineChars="100" w:firstLine="150"/>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Sector formal público y privado</w:t>
            </w:r>
          </w:p>
        </w:tc>
        <w:tc>
          <w:tcPr>
            <w:tcW w:w="649" w:type="dxa"/>
            <w:tcBorders>
              <w:top w:val="nil"/>
              <w:left w:val="nil"/>
              <w:bottom w:val="nil"/>
              <w:right w:val="nil"/>
            </w:tcBorders>
            <w:shd w:val="clear" w:color="000000" w:fill="FFFFFF"/>
            <w:noWrap/>
            <w:vAlign w:val="center"/>
            <w:hideMark/>
          </w:tcPr>
          <w:p w14:paraId="73FB7E27"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0,3582</w:t>
            </w:r>
          </w:p>
        </w:tc>
        <w:tc>
          <w:tcPr>
            <w:tcW w:w="827" w:type="dxa"/>
            <w:tcBorders>
              <w:top w:val="nil"/>
              <w:left w:val="nil"/>
              <w:bottom w:val="nil"/>
              <w:right w:val="single" w:sz="4" w:space="0" w:color="auto"/>
            </w:tcBorders>
            <w:shd w:val="clear" w:color="000000" w:fill="FFFFFF"/>
            <w:noWrap/>
            <w:vAlign w:val="center"/>
            <w:hideMark/>
          </w:tcPr>
          <w:p w14:paraId="12238AE4"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75,4</w:t>
            </w:r>
          </w:p>
        </w:tc>
        <w:tc>
          <w:tcPr>
            <w:tcW w:w="650" w:type="dxa"/>
            <w:tcBorders>
              <w:top w:val="nil"/>
              <w:left w:val="nil"/>
              <w:bottom w:val="nil"/>
              <w:right w:val="nil"/>
            </w:tcBorders>
            <w:shd w:val="clear" w:color="000000" w:fill="FFFFFF"/>
            <w:noWrap/>
            <w:vAlign w:val="center"/>
            <w:hideMark/>
          </w:tcPr>
          <w:p w14:paraId="789415E1"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0,3309</w:t>
            </w:r>
          </w:p>
        </w:tc>
        <w:tc>
          <w:tcPr>
            <w:tcW w:w="683" w:type="dxa"/>
            <w:tcBorders>
              <w:top w:val="nil"/>
              <w:left w:val="nil"/>
              <w:bottom w:val="nil"/>
              <w:right w:val="single" w:sz="4" w:space="0" w:color="auto"/>
            </w:tcBorders>
            <w:shd w:val="clear" w:color="000000" w:fill="FFFFFF"/>
            <w:noWrap/>
            <w:vAlign w:val="center"/>
            <w:hideMark/>
          </w:tcPr>
          <w:p w14:paraId="64185CC3"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74,9</w:t>
            </w:r>
          </w:p>
        </w:tc>
        <w:tc>
          <w:tcPr>
            <w:tcW w:w="650" w:type="dxa"/>
            <w:tcBorders>
              <w:top w:val="nil"/>
              <w:left w:val="nil"/>
              <w:bottom w:val="nil"/>
              <w:right w:val="nil"/>
            </w:tcBorders>
            <w:shd w:val="clear" w:color="000000" w:fill="FFFFFF"/>
            <w:noWrap/>
            <w:vAlign w:val="center"/>
            <w:hideMark/>
          </w:tcPr>
          <w:p w14:paraId="15AB80C8"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0,3009</w:t>
            </w:r>
          </w:p>
        </w:tc>
        <w:tc>
          <w:tcPr>
            <w:tcW w:w="839" w:type="dxa"/>
            <w:tcBorders>
              <w:top w:val="nil"/>
              <w:left w:val="nil"/>
              <w:bottom w:val="nil"/>
              <w:right w:val="single" w:sz="4" w:space="0" w:color="auto"/>
            </w:tcBorders>
            <w:shd w:val="clear" w:color="000000" w:fill="FFFFFF"/>
            <w:noWrap/>
            <w:vAlign w:val="center"/>
            <w:hideMark/>
          </w:tcPr>
          <w:p w14:paraId="6F782742"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78,1</w:t>
            </w:r>
          </w:p>
        </w:tc>
        <w:tc>
          <w:tcPr>
            <w:tcW w:w="941" w:type="dxa"/>
            <w:tcBorders>
              <w:top w:val="nil"/>
              <w:left w:val="nil"/>
              <w:bottom w:val="nil"/>
              <w:right w:val="nil"/>
            </w:tcBorders>
            <w:shd w:val="clear" w:color="000000" w:fill="FFFFFF"/>
            <w:noWrap/>
            <w:vAlign w:val="center"/>
            <w:hideMark/>
          </w:tcPr>
          <w:p w14:paraId="6F870E6D" w14:textId="77777777" w:rsidR="00922E37" w:rsidRPr="002130A8" w:rsidRDefault="00922E37" w:rsidP="008850F5">
            <w:pPr>
              <w:spacing w:after="0" w:line="240" w:lineRule="auto"/>
              <w:jc w:val="center"/>
              <w:rPr>
                <w:rFonts w:ascii="Times New Roman" w:eastAsia="Times New Roman" w:hAnsi="Times New Roman"/>
                <w:b/>
                <w:bCs/>
                <w:i/>
                <w:color w:val="000000"/>
                <w:sz w:val="15"/>
                <w:szCs w:val="15"/>
                <w:lang w:eastAsia="es-AR"/>
              </w:rPr>
            </w:pPr>
            <w:r w:rsidRPr="002130A8">
              <w:rPr>
                <w:rFonts w:ascii="Times New Roman" w:eastAsia="Times New Roman" w:hAnsi="Times New Roman"/>
                <w:b/>
                <w:bCs/>
                <w:i/>
                <w:color w:val="000000"/>
                <w:sz w:val="15"/>
                <w:szCs w:val="15"/>
                <w:lang w:eastAsia="es-AR"/>
              </w:rPr>
              <w:t>-0,0573</w:t>
            </w:r>
          </w:p>
        </w:tc>
        <w:tc>
          <w:tcPr>
            <w:tcW w:w="615" w:type="dxa"/>
            <w:tcBorders>
              <w:top w:val="nil"/>
              <w:left w:val="nil"/>
              <w:bottom w:val="nil"/>
              <w:right w:val="single" w:sz="4" w:space="0" w:color="auto"/>
            </w:tcBorders>
            <w:shd w:val="clear" w:color="000000" w:fill="FFFFFF"/>
            <w:noWrap/>
            <w:vAlign w:val="center"/>
            <w:hideMark/>
          </w:tcPr>
          <w:p w14:paraId="2B416AC1" w14:textId="77777777" w:rsidR="00922E37" w:rsidRPr="002130A8" w:rsidRDefault="00922E37" w:rsidP="008850F5">
            <w:pPr>
              <w:spacing w:after="0" w:line="240" w:lineRule="auto"/>
              <w:jc w:val="center"/>
              <w:rPr>
                <w:rFonts w:ascii="Times New Roman" w:eastAsia="Times New Roman" w:hAnsi="Times New Roman"/>
                <w:b/>
                <w:bCs/>
                <w:i/>
                <w:color w:val="000000"/>
                <w:sz w:val="15"/>
                <w:szCs w:val="15"/>
                <w:lang w:eastAsia="es-AR"/>
              </w:rPr>
            </w:pPr>
            <w:r w:rsidRPr="002130A8">
              <w:rPr>
                <w:rFonts w:ascii="Times New Roman" w:eastAsia="Times New Roman" w:hAnsi="Times New Roman"/>
                <w:b/>
                <w:bCs/>
                <w:i/>
                <w:color w:val="000000"/>
                <w:sz w:val="15"/>
                <w:szCs w:val="15"/>
                <w:lang w:eastAsia="es-AR"/>
              </w:rPr>
              <w:t>63,5</w:t>
            </w:r>
          </w:p>
        </w:tc>
      </w:tr>
      <w:tr w:rsidR="00922E37" w:rsidRPr="007C2D50" w14:paraId="7EA12601" w14:textId="77777777" w:rsidTr="008850F5">
        <w:trPr>
          <w:trHeight w:val="261"/>
          <w:jc w:val="center"/>
        </w:trPr>
        <w:tc>
          <w:tcPr>
            <w:tcW w:w="2641" w:type="dxa"/>
            <w:tcBorders>
              <w:top w:val="nil"/>
              <w:left w:val="single" w:sz="4" w:space="0" w:color="auto"/>
              <w:bottom w:val="nil"/>
              <w:right w:val="single" w:sz="4" w:space="0" w:color="auto"/>
            </w:tcBorders>
            <w:shd w:val="clear" w:color="000000" w:fill="FFFFFF"/>
            <w:noWrap/>
            <w:vAlign w:val="center"/>
            <w:hideMark/>
          </w:tcPr>
          <w:p w14:paraId="7FE49F3B" w14:textId="77777777" w:rsidR="00922E37" w:rsidRPr="007C2D50" w:rsidRDefault="00922E37" w:rsidP="008850F5">
            <w:pPr>
              <w:keepNext/>
              <w:spacing w:after="0" w:line="240" w:lineRule="auto"/>
              <w:ind w:firstLineChars="200" w:firstLine="300"/>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Sector formal privado</w:t>
            </w:r>
          </w:p>
        </w:tc>
        <w:tc>
          <w:tcPr>
            <w:tcW w:w="649" w:type="dxa"/>
            <w:tcBorders>
              <w:top w:val="nil"/>
              <w:left w:val="nil"/>
              <w:bottom w:val="nil"/>
              <w:right w:val="nil"/>
            </w:tcBorders>
            <w:shd w:val="clear" w:color="000000" w:fill="FFFFFF"/>
            <w:noWrap/>
            <w:vAlign w:val="center"/>
            <w:hideMark/>
          </w:tcPr>
          <w:p w14:paraId="00BD85A9"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0,2817</w:t>
            </w:r>
          </w:p>
        </w:tc>
        <w:tc>
          <w:tcPr>
            <w:tcW w:w="827" w:type="dxa"/>
            <w:tcBorders>
              <w:top w:val="nil"/>
              <w:left w:val="nil"/>
              <w:bottom w:val="nil"/>
              <w:right w:val="single" w:sz="4" w:space="0" w:color="auto"/>
            </w:tcBorders>
            <w:shd w:val="clear" w:color="000000" w:fill="FFFFFF"/>
            <w:noWrap/>
            <w:vAlign w:val="center"/>
            <w:hideMark/>
          </w:tcPr>
          <w:p w14:paraId="01BD552D"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59,3</w:t>
            </w:r>
          </w:p>
        </w:tc>
        <w:tc>
          <w:tcPr>
            <w:tcW w:w="650" w:type="dxa"/>
            <w:tcBorders>
              <w:top w:val="nil"/>
              <w:left w:val="nil"/>
              <w:bottom w:val="nil"/>
              <w:right w:val="nil"/>
            </w:tcBorders>
            <w:shd w:val="clear" w:color="000000" w:fill="FFFFFF"/>
            <w:noWrap/>
            <w:vAlign w:val="center"/>
            <w:hideMark/>
          </w:tcPr>
          <w:p w14:paraId="57795C57"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0,2464</w:t>
            </w:r>
          </w:p>
        </w:tc>
        <w:tc>
          <w:tcPr>
            <w:tcW w:w="683" w:type="dxa"/>
            <w:tcBorders>
              <w:top w:val="nil"/>
              <w:left w:val="nil"/>
              <w:bottom w:val="nil"/>
              <w:right w:val="single" w:sz="4" w:space="0" w:color="auto"/>
            </w:tcBorders>
            <w:shd w:val="clear" w:color="000000" w:fill="FFFFFF"/>
            <w:noWrap/>
            <w:vAlign w:val="center"/>
            <w:hideMark/>
          </w:tcPr>
          <w:p w14:paraId="65D85566"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55,8</w:t>
            </w:r>
          </w:p>
        </w:tc>
        <w:tc>
          <w:tcPr>
            <w:tcW w:w="650" w:type="dxa"/>
            <w:tcBorders>
              <w:top w:val="nil"/>
              <w:left w:val="nil"/>
              <w:bottom w:val="nil"/>
              <w:right w:val="nil"/>
            </w:tcBorders>
            <w:shd w:val="clear" w:color="000000" w:fill="FFFFFF"/>
            <w:noWrap/>
            <w:vAlign w:val="center"/>
            <w:hideMark/>
          </w:tcPr>
          <w:p w14:paraId="375108D7"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0,2039</w:t>
            </w:r>
          </w:p>
        </w:tc>
        <w:tc>
          <w:tcPr>
            <w:tcW w:w="839" w:type="dxa"/>
            <w:tcBorders>
              <w:top w:val="nil"/>
              <w:left w:val="nil"/>
              <w:bottom w:val="nil"/>
              <w:right w:val="single" w:sz="4" w:space="0" w:color="auto"/>
            </w:tcBorders>
            <w:shd w:val="clear" w:color="000000" w:fill="FFFFFF"/>
            <w:noWrap/>
            <w:vAlign w:val="center"/>
            <w:hideMark/>
          </w:tcPr>
          <w:p w14:paraId="3ACCF154"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53,0</w:t>
            </w:r>
          </w:p>
        </w:tc>
        <w:tc>
          <w:tcPr>
            <w:tcW w:w="941" w:type="dxa"/>
            <w:tcBorders>
              <w:top w:val="nil"/>
              <w:left w:val="nil"/>
              <w:bottom w:val="nil"/>
              <w:right w:val="nil"/>
            </w:tcBorders>
            <w:shd w:val="clear" w:color="000000" w:fill="FFFFFF"/>
            <w:noWrap/>
            <w:vAlign w:val="center"/>
            <w:hideMark/>
          </w:tcPr>
          <w:p w14:paraId="6352F975" w14:textId="77777777" w:rsidR="00922E37" w:rsidRPr="002130A8" w:rsidRDefault="00922E37" w:rsidP="008850F5">
            <w:pPr>
              <w:spacing w:after="0" w:line="240" w:lineRule="auto"/>
              <w:jc w:val="center"/>
              <w:rPr>
                <w:rFonts w:ascii="Times New Roman" w:eastAsia="Times New Roman" w:hAnsi="Times New Roman"/>
                <w:bCs/>
                <w:i/>
                <w:color w:val="000000"/>
                <w:sz w:val="15"/>
                <w:szCs w:val="15"/>
                <w:lang w:eastAsia="es-AR"/>
              </w:rPr>
            </w:pPr>
            <w:r w:rsidRPr="002130A8">
              <w:rPr>
                <w:rFonts w:ascii="Times New Roman" w:eastAsia="Times New Roman" w:hAnsi="Times New Roman"/>
                <w:bCs/>
                <w:i/>
                <w:color w:val="000000"/>
                <w:sz w:val="15"/>
                <w:szCs w:val="15"/>
                <w:lang w:eastAsia="es-AR"/>
              </w:rPr>
              <w:t>-0,0778</w:t>
            </w:r>
          </w:p>
        </w:tc>
        <w:tc>
          <w:tcPr>
            <w:tcW w:w="615" w:type="dxa"/>
            <w:tcBorders>
              <w:top w:val="nil"/>
              <w:left w:val="nil"/>
              <w:bottom w:val="nil"/>
              <w:right w:val="single" w:sz="4" w:space="0" w:color="auto"/>
            </w:tcBorders>
            <w:shd w:val="clear" w:color="000000" w:fill="FFFFFF"/>
            <w:noWrap/>
            <w:vAlign w:val="center"/>
            <w:hideMark/>
          </w:tcPr>
          <w:p w14:paraId="0138E476" w14:textId="77777777" w:rsidR="00922E37" w:rsidRPr="002130A8" w:rsidRDefault="00922E37" w:rsidP="008850F5">
            <w:pPr>
              <w:spacing w:after="0" w:line="240" w:lineRule="auto"/>
              <w:jc w:val="center"/>
              <w:rPr>
                <w:rFonts w:ascii="Times New Roman" w:eastAsia="Times New Roman" w:hAnsi="Times New Roman"/>
                <w:bCs/>
                <w:i/>
                <w:color w:val="000000"/>
                <w:sz w:val="15"/>
                <w:szCs w:val="15"/>
                <w:lang w:eastAsia="es-AR"/>
              </w:rPr>
            </w:pPr>
            <w:r w:rsidRPr="002130A8">
              <w:rPr>
                <w:rFonts w:ascii="Times New Roman" w:eastAsia="Times New Roman" w:hAnsi="Times New Roman"/>
                <w:bCs/>
                <w:i/>
                <w:color w:val="000000"/>
                <w:sz w:val="15"/>
                <w:szCs w:val="15"/>
                <w:lang w:eastAsia="es-AR"/>
              </w:rPr>
              <w:t>86,3</w:t>
            </w:r>
          </w:p>
        </w:tc>
      </w:tr>
      <w:tr w:rsidR="00922E37" w:rsidRPr="007C2D50" w14:paraId="45C08E9B" w14:textId="77777777" w:rsidTr="008850F5">
        <w:trPr>
          <w:trHeight w:val="261"/>
          <w:jc w:val="center"/>
        </w:trPr>
        <w:tc>
          <w:tcPr>
            <w:tcW w:w="2641" w:type="dxa"/>
            <w:tcBorders>
              <w:top w:val="nil"/>
              <w:left w:val="single" w:sz="4" w:space="0" w:color="auto"/>
              <w:bottom w:val="nil"/>
              <w:right w:val="single" w:sz="4" w:space="0" w:color="auto"/>
            </w:tcBorders>
            <w:shd w:val="clear" w:color="000000" w:fill="FFFFFF"/>
            <w:noWrap/>
            <w:vAlign w:val="center"/>
            <w:hideMark/>
          </w:tcPr>
          <w:p w14:paraId="073BFBD7" w14:textId="77777777" w:rsidR="00922E37" w:rsidRPr="007C2D50" w:rsidRDefault="00922E37" w:rsidP="008850F5">
            <w:pPr>
              <w:keepNext/>
              <w:spacing w:after="0" w:line="240" w:lineRule="auto"/>
              <w:ind w:firstLineChars="200" w:firstLine="300"/>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Sector público</w:t>
            </w:r>
          </w:p>
        </w:tc>
        <w:tc>
          <w:tcPr>
            <w:tcW w:w="649" w:type="dxa"/>
            <w:tcBorders>
              <w:top w:val="nil"/>
              <w:left w:val="nil"/>
              <w:bottom w:val="nil"/>
              <w:right w:val="nil"/>
            </w:tcBorders>
            <w:shd w:val="clear" w:color="000000" w:fill="FFFFFF"/>
            <w:noWrap/>
            <w:vAlign w:val="center"/>
            <w:hideMark/>
          </w:tcPr>
          <w:p w14:paraId="23390F58"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0,0764</w:t>
            </w:r>
          </w:p>
        </w:tc>
        <w:tc>
          <w:tcPr>
            <w:tcW w:w="827" w:type="dxa"/>
            <w:tcBorders>
              <w:top w:val="nil"/>
              <w:left w:val="nil"/>
              <w:bottom w:val="nil"/>
              <w:right w:val="single" w:sz="4" w:space="0" w:color="auto"/>
            </w:tcBorders>
            <w:shd w:val="clear" w:color="000000" w:fill="FFFFFF"/>
            <w:noWrap/>
            <w:vAlign w:val="center"/>
            <w:hideMark/>
          </w:tcPr>
          <w:p w14:paraId="5F0E6B33"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16,1</w:t>
            </w:r>
          </w:p>
        </w:tc>
        <w:tc>
          <w:tcPr>
            <w:tcW w:w="650" w:type="dxa"/>
            <w:tcBorders>
              <w:top w:val="nil"/>
              <w:left w:val="nil"/>
              <w:bottom w:val="nil"/>
              <w:right w:val="nil"/>
            </w:tcBorders>
            <w:shd w:val="clear" w:color="000000" w:fill="FFFFFF"/>
            <w:noWrap/>
            <w:vAlign w:val="center"/>
            <w:hideMark/>
          </w:tcPr>
          <w:p w14:paraId="47336143"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0,0844</w:t>
            </w:r>
          </w:p>
        </w:tc>
        <w:tc>
          <w:tcPr>
            <w:tcW w:w="683" w:type="dxa"/>
            <w:tcBorders>
              <w:top w:val="nil"/>
              <w:left w:val="nil"/>
              <w:bottom w:val="nil"/>
              <w:right w:val="single" w:sz="4" w:space="0" w:color="auto"/>
            </w:tcBorders>
            <w:shd w:val="clear" w:color="000000" w:fill="FFFFFF"/>
            <w:noWrap/>
            <w:vAlign w:val="center"/>
            <w:hideMark/>
          </w:tcPr>
          <w:p w14:paraId="19272A19"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19,1</w:t>
            </w:r>
          </w:p>
        </w:tc>
        <w:tc>
          <w:tcPr>
            <w:tcW w:w="650" w:type="dxa"/>
            <w:tcBorders>
              <w:top w:val="nil"/>
              <w:left w:val="nil"/>
              <w:bottom w:val="nil"/>
              <w:right w:val="nil"/>
            </w:tcBorders>
            <w:shd w:val="clear" w:color="000000" w:fill="FFFFFF"/>
            <w:noWrap/>
            <w:vAlign w:val="center"/>
            <w:hideMark/>
          </w:tcPr>
          <w:p w14:paraId="0E86C3FF"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0,0970</w:t>
            </w:r>
          </w:p>
        </w:tc>
        <w:tc>
          <w:tcPr>
            <w:tcW w:w="839" w:type="dxa"/>
            <w:tcBorders>
              <w:top w:val="nil"/>
              <w:left w:val="nil"/>
              <w:bottom w:val="nil"/>
              <w:right w:val="single" w:sz="4" w:space="0" w:color="auto"/>
            </w:tcBorders>
            <w:shd w:val="clear" w:color="000000" w:fill="FFFFFF"/>
            <w:noWrap/>
            <w:vAlign w:val="center"/>
            <w:hideMark/>
          </w:tcPr>
          <w:p w14:paraId="6319C8FA" w14:textId="77777777" w:rsidR="00922E37" w:rsidRPr="007C2D50" w:rsidRDefault="00922E37" w:rsidP="008850F5">
            <w:pPr>
              <w:spacing w:after="0" w:line="240" w:lineRule="auto"/>
              <w:jc w:val="center"/>
              <w:rPr>
                <w:rFonts w:ascii="Times New Roman" w:eastAsia="Times New Roman" w:hAnsi="Times New Roman"/>
                <w:i/>
                <w:iCs/>
                <w:color w:val="000000"/>
                <w:sz w:val="15"/>
                <w:szCs w:val="15"/>
                <w:lang w:eastAsia="es-AR"/>
              </w:rPr>
            </w:pPr>
            <w:r w:rsidRPr="007C2D50">
              <w:rPr>
                <w:rFonts w:ascii="Times New Roman" w:eastAsia="Times New Roman" w:hAnsi="Times New Roman"/>
                <w:i/>
                <w:iCs/>
                <w:color w:val="000000"/>
                <w:sz w:val="15"/>
                <w:szCs w:val="15"/>
                <w:lang w:eastAsia="es-AR"/>
              </w:rPr>
              <w:t>25,2</w:t>
            </w:r>
          </w:p>
        </w:tc>
        <w:tc>
          <w:tcPr>
            <w:tcW w:w="941" w:type="dxa"/>
            <w:tcBorders>
              <w:top w:val="nil"/>
              <w:left w:val="nil"/>
              <w:bottom w:val="nil"/>
              <w:right w:val="nil"/>
            </w:tcBorders>
            <w:shd w:val="clear" w:color="000000" w:fill="FFFFFF"/>
            <w:noWrap/>
            <w:vAlign w:val="center"/>
            <w:hideMark/>
          </w:tcPr>
          <w:p w14:paraId="6F4019A0" w14:textId="77777777" w:rsidR="00922E37" w:rsidRPr="002130A8" w:rsidRDefault="00922E37" w:rsidP="008850F5">
            <w:pPr>
              <w:spacing w:after="0" w:line="240" w:lineRule="auto"/>
              <w:jc w:val="center"/>
              <w:rPr>
                <w:rFonts w:ascii="Times New Roman" w:eastAsia="Times New Roman" w:hAnsi="Times New Roman"/>
                <w:bCs/>
                <w:i/>
                <w:color w:val="000000"/>
                <w:sz w:val="15"/>
                <w:szCs w:val="15"/>
                <w:lang w:eastAsia="es-AR"/>
              </w:rPr>
            </w:pPr>
            <w:r w:rsidRPr="002130A8">
              <w:rPr>
                <w:rFonts w:ascii="Times New Roman" w:eastAsia="Times New Roman" w:hAnsi="Times New Roman"/>
                <w:bCs/>
                <w:i/>
                <w:color w:val="000000"/>
                <w:sz w:val="15"/>
                <w:szCs w:val="15"/>
                <w:lang w:eastAsia="es-AR"/>
              </w:rPr>
              <w:t>0,0206</w:t>
            </w:r>
          </w:p>
        </w:tc>
        <w:tc>
          <w:tcPr>
            <w:tcW w:w="615" w:type="dxa"/>
            <w:tcBorders>
              <w:top w:val="nil"/>
              <w:left w:val="nil"/>
              <w:bottom w:val="nil"/>
              <w:right w:val="single" w:sz="4" w:space="0" w:color="auto"/>
            </w:tcBorders>
            <w:shd w:val="clear" w:color="000000" w:fill="FFFFFF"/>
            <w:noWrap/>
            <w:vAlign w:val="center"/>
            <w:hideMark/>
          </w:tcPr>
          <w:p w14:paraId="0924042B" w14:textId="77777777" w:rsidR="00922E37" w:rsidRPr="002130A8" w:rsidRDefault="00922E37" w:rsidP="008850F5">
            <w:pPr>
              <w:spacing w:after="0" w:line="240" w:lineRule="auto"/>
              <w:jc w:val="center"/>
              <w:rPr>
                <w:rFonts w:ascii="Times New Roman" w:eastAsia="Times New Roman" w:hAnsi="Times New Roman"/>
                <w:bCs/>
                <w:i/>
                <w:color w:val="000000"/>
                <w:sz w:val="15"/>
                <w:szCs w:val="15"/>
                <w:lang w:eastAsia="es-AR"/>
              </w:rPr>
            </w:pPr>
            <w:r w:rsidRPr="002130A8">
              <w:rPr>
                <w:rFonts w:ascii="Times New Roman" w:eastAsia="Times New Roman" w:hAnsi="Times New Roman"/>
                <w:bCs/>
                <w:i/>
                <w:color w:val="000000"/>
                <w:sz w:val="15"/>
                <w:szCs w:val="15"/>
                <w:lang w:eastAsia="es-AR"/>
              </w:rPr>
              <w:t>-22,8</w:t>
            </w:r>
          </w:p>
        </w:tc>
      </w:tr>
      <w:tr w:rsidR="00922E37" w:rsidRPr="007C2D50" w14:paraId="2CF9E9F9" w14:textId="77777777" w:rsidTr="008850F5">
        <w:trPr>
          <w:trHeight w:val="261"/>
          <w:jc w:val="center"/>
        </w:trPr>
        <w:tc>
          <w:tcPr>
            <w:tcW w:w="2641" w:type="dxa"/>
            <w:tcBorders>
              <w:top w:val="nil"/>
              <w:left w:val="single" w:sz="4" w:space="0" w:color="auto"/>
              <w:bottom w:val="nil"/>
              <w:right w:val="single" w:sz="4" w:space="0" w:color="auto"/>
            </w:tcBorders>
            <w:shd w:val="clear" w:color="000000" w:fill="FFFFFF"/>
            <w:noWrap/>
            <w:vAlign w:val="center"/>
            <w:hideMark/>
          </w:tcPr>
          <w:p w14:paraId="072BB7DD" w14:textId="77777777" w:rsidR="00922E37" w:rsidRPr="007C2D50" w:rsidRDefault="00922E37" w:rsidP="008850F5">
            <w:pPr>
              <w:keepNext/>
              <w:spacing w:after="0" w:line="240" w:lineRule="auto"/>
              <w:ind w:firstLineChars="100" w:firstLine="150"/>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Sector microinformal</w:t>
            </w:r>
          </w:p>
        </w:tc>
        <w:tc>
          <w:tcPr>
            <w:tcW w:w="649" w:type="dxa"/>
            <w:tcBorders>
              <w:top w:val="nil"/>
              <w:left w:val="nil"/>
              <w:bottom w:val="nil"/>
              <w:right w:val="nil"/>
            </w:tcBorders>
            <w:shd w:val="clear" w:color="000000" w:fill="FFFFFF"/>
            <w:noWrap/>
            <w:vAlign w:val="center"/>
            <w:hideMark/>
          </w:tcPr>
          <w:p w14:paraId="33394DD0"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0,0844</w:t>
            </w:r>
          </w:p>
        </w:tc>
        <w:tc>
          <w:tcPr>
            <w:tcW w:w="827" w:type="dxa"/>
            <w:tcBorders>
              <w:top w:val="nil"/>
              <w:left w:val="nil"/>
              <w:bottom w:val="nil"/>
              <w:right w:val="single" w:sz="4" w:space="0" w:color="auto"/>
            </w:tcBorders>
            <w:shd w:val="clear" w:color="000000" w:fill="FFFFFF"/>
            <w:noWrap/>
            <w:vAlign w:val="center"/>
            <w:hideMark/>
          </w:tcPr>
          <w:p w14:paraId="386AE4B4"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17,8</w:t>
            </w:r>
          </w:p>
        </w:tc>
        <w:tc>
          <w:tcPr>
            <w:tcW w:w="650" w:type="dxa"/>
            <w:tcBorders>
              <w:top w:val="nil"/>
              <w:left w:val="nil"/>
              <w:bottom w:val="nil"/>
              <w:right w:val="nil"/>
            </w:tcBorders>
            <w:shd w:val="clear" w:color="000000" w:fill="FFFFFF"/>
            <w:noWrap/>
            <w:vAlign w:val="center"/>
            <w:hideMark/>
          </w:tcPr>
          <w:p w14:paraId="77D49372"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0,0910</w:t>
            </w:r>
          </w:p>
        </w:tc>
        <w:tc>
          <w:tcPr>
            <w:tcW w:w="683" w:type="dxa"/>
            <w:tcBorders>
              <w:top w:val="nil"/>
              <w:left w:val="nil"/>
              <w:bottom w:val="nil"/>
              <w:right w:val="single" w:sz="4" w:space="0" w:color="auto"/>
            </w:tcBorders>
            <w:shd w:val="clear" w:color="000000" w:fill="FFFFFF"/>
            <w:noWrap/>
            <w:vAlign w:val="center"/>
            <w:hideMark/>
          </w:tcPr>
          <w:p w14:paraId="31297640"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20,6</w:t>
            </w:r>
          </w:p>
        </w:tc>
        <w:tc>
          <w:tcPr>
            <w:tcW w:w="650" w:type="dxa"/>
            <w:tcBorders>
              <w:top w:val="nil"/>
              <w:left w:val="nil"/>
              <w:bottom w:val="nil"/>
              <w:right w:val="nil"/>
            </w:tcBorders>
            <w:shd w:val="clear" w:color="000000" w:fill="FFFFFF"/>
            <w:noWrap/>
            <w:vAlign w:val="center"/>
            <w:hideMark/>
          </w:tcPr>
          <w:p w14:paraId="1EAA3637"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0,0627</w:t>
            </w:r>
          </w:p>
        </w:tc>
        <w:tc>
          <w:tcPr>
            <w:tcW w:w="839" w:type="dxa"/>
            <w:tcBorders>
              <w:top w:val="nil"/>
              <w:left w:val="nil"/>
              <w:bottom w:val="nil"/>
              <w:right w:val="single" w:sz="4" w:space="0" w:color="auto"/>
            </w:tcBorders>
            <w:shd w:val="clear" w:color="000000" w:fill="FFFFFF"/>
            <w:noWrap/>
            <w:vAlign w:val="center"/>
            <w:hideMark/>
          </w:tcPr>
          <w:p w14:paraId="02EEA1F8" w14:textId="77777777" w:rsidR="00922E37" w:rsidRPr="007C2D50" w:rsidRDefault="00922E37" w:rsidP="008850F5">
            <w:pPr>
              <w:spacing w:after="0" w:line="240" w:lineRule="auto"/>
              <w:jc w:val="center"/>
              <w:rPr>
                <w:rFonts w:ascii="Times New Roman" w:eastAsia="Times New Roman" w:hAnsi="Times New Roman"/>
                <w:b/>
                <w:i/>
                <w:color w:val="000000"/>
                <w:sz w:val="15"/>
                <w:szCs w:val="15"/>
                <w:lang w:eastAsia="es-AR"/>
              </w:rPr>
            </w:pPr>
            <w:r w:rsidRPr="007C2D50">
              <w:rPr>
                <w:rFonts w:ascii="Times New Roman" w:eastAsia="Times New Roman" w:hAnsi="Times New Roman"/>
                <w:b/>
                <w:i/>
                <w:color w:val="000000"/>
                <w:sz w:val="15"/>
                <w:szCs w:val="15"/>
                <w:lang w:eastAsia="es-AR"/>
              </w:rPr>
              <w:t>16,3</w:t>
            </w:r>
          </w:p>
        </w:tc>
        <w:tc>
          <w:tcPr>
            <w:tcW w:w="941" w:type="dxa"/>
            <w:tcBorders>
              <w:top w:val="nil"/>
              <w:left w:val="nil"/>
              <w:bottom w:val="nil"/>
              <w:right w:val="nil"/>
            </w:tcBorders>
            <w:shd w:val="clear" w:color="000000" w:fill="FFFFFF"/>
            <w:noWrap/>
            <w:vAlign w:val="center"/>
            <w:hideMark/>
          </w:tcPr>
          <w:p w14:paraId="17C84D3C" w14:textId="77777777" w:rsidR="00922E37" w:rsidRPr="002130A8" w:rsidRDefault="00922E37" w:rsidP="008850F5">
            <w:pPr>
              <w:spacing w:after="0" w:line="240" w:lineRule="auto"/>
              <w:jc w:val="center"/>
              <w:rPr>
                <w:rFonts w:ascii="Times New Roman" w:eastAsia="Times New Roman" w:hAnsi="Times New Roman"/>
                <w:b/>
                <w:bCs/>
                <w:i/>
                <w:color w:val="000000"/>
                <w:sz w:val="15"/>
                <w:szCs w:val="15"/>
                <w:lang w:eastAsia="es-AR"/>
              </w:rPr>
            </w:pPr>
            <w:r w:rsidRPr="002130A8">
              <w:rPr>
                <w:rFonts w:ascii="Times New Roman" w:eastAsia="Times New Roman" w:hAnsi="Times New Roman"/>
                <w:b/>
                <w:bCs/>
                <w:i/>
                <w:color w:val="000000"/>
                <w:sz w:val="15"/>
                <w:szCs w:val="15"/>
                <w:lang w:eastAsia="es-AR"/>
              </w:rPr>
              <w:t>-0,0217</w:t>
            </w:r>
          </w:p>
        </w:tc>
        <w:tc>
          <w:tcPr>
            <w:tcW w:w="615" w:type="dxa"/>
            <w:tcBorders>
              <w:top w:val="nil"/>
              <w:left w:val="nil"/>
              <w:bottom w:val="nil"/>
              <w:right w:val="single" w:sz="4" w:space="0" w:color="auto"/>
            </w:tcBorders>
            <w:shd w:val="clear" w:color="000000" w:fill="FFFFFF"/>
            <w:noWrap/>
            <w:vAlign w:val="center"/>
            <w:hideMark/>
          </w:tcPr>
          <w:p w14:paraId="7A47BBBB" w14:textId="77777777" w:rsidR="00922E37" w:rsidRPr="002130A8" w:rsidRDefault="00922E37" w:rsidP="008850F5">
            <w:pPr>
              <w:spacing w:after="0" w:line="240" w:lineRule="auto"/>
              <w:jc w:val="center"/>
              <w:rPr>
                <w:rFonts w:ascii="Times New Roman" w:eastAsia="Times New Roman" w:hAnsi="Times New Roman"/>
                <w:b/>
                <w:bCs/>
                <w:i/>
                <w:color w:val="000000"/>
                <w:sz w:val="15"/>
                <w:szCs w:val="15"/>
                <w:lang w:eastAsia="es-AR"/>
              </w:rPr>
            </w:pPr>
            <w:r w:rsidRPr="002130A8">
              <w:rPr>
                <w:rFonts w:ascii="Times New Roman" w:eastAsia="Times New Roman" w:hAnsi="Times New Roman"/>
                <w:b/>
                <w:bCs/>
                <w:i/>
                <w:color w:val="000000"/>
                <w:sz w:val="15"/>
                <w:szCs w:val="15"/>
                <w:lang w:eastAsia="es-AR"/>
              </w:rPr>
              <w:t>24,1</w:t>
            </w:r>
          </w:p>
        </w:tc>
      </w:tr>
      <w:tr w:rsidR="00922E37" w:rsidRPr="007C2D50" w14:paraId="220E7AB6" w14:textId="77777777" w:rsidTr="008850F5">
        <w:trPr>
          <w:trHeight w:val="261"/>
          <w:jc w:val="center"/>
        </w:trPr>
        <w:tc>
          <w:tcPr>
            <w:tcW w:w="2641" w:type="dxa"/>
            <w:tcBorders>
              <w:top w:val="nil"/>
              <w:left w:val="single" w:sz="4" w:space="0" w:color="auto"/>
              <w:bottom w:val="nil"/>
              <w:right w:val="single" w:sz="4" w:space="0" w:color="auto"/>
            </w:tcBorders>
            <w:shd w:val="clear" w:color="000000" w:fill="FFFFFF"/>
            <w:noWrap/>
            <w:vAlign w:val="center"/>
            <w:hideMark/>
          </w:tcPr>
          <w:p w14:paraId="0A91C4CF" w14:textId="77777777" w:rsidR="00922E37" w:rsidRPr="007C2D50" w:rsidRDefault="00922E37" w:rsidP="008850F5">
            <w:pPr>
              <w:keepNext/>
              <w:spacing w:after="0" w:line="240" w:lineRule="auto"/>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Ingresos no laborales</w:t>
            </w:r>
          </w:p>
        </w:tc>
        <w:tc>
          <w:tcPr>
            <w:tcW w:w="649" w:type="dxa"/>
            <w:tcBorders>
              <w:top w:val="nil"/>
              <w:left w:val="nil"/>
              <w:bottom w:val="nil"/>
              <w:right w:val="nil"/>
            </w:tcBorders>
            <w:shd w:val="clear" w:color="000000" w:fill="FFFFFF"/>
            <w:noWrap/>
            <w:vAlign w:val="center"/>
            <w:hideMark/>
          </w:tcPr>
          <w:p w14:paraId="1537FA64"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0,0327</w:t>
            </w:r>
          </w:p>
        </w:tc>
        <w:tc>
          <w:tcPr>
            <w:tcW w:w="827" w:type="dxa"/>
            <w:tcBorders>
              <w:top w:val="nil"/>
              <w:left w:val="nil"/>
              <w:bottom w:val="nil"/>
              <w:right w:val="single" w:sz="4" w:space="0" w:color="auto"/>
            </w:tcBorders>
            <w:shd w:val="clear" w:color="000000" w:fill="FFFFFF"/>
            <w:noWrap/>
            <w:vAlign w:val="center"/>
            <w:hideMark/>
          </w:tcPr>
          <w:p w14:paraId="1F8D82DB"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6,9</w:t>
            </w:r>
          </w:p>
        </w:tc>
        <w:tc>
          <w:tcPr>
            <w:tcW w:w="650" w:type="dxa"/>
            <w:tcBorders>
              <w:top w:val="nil"/>
              <w:left w:val="nil"/>
              <w:bottom w:val="nil"/>
              <w:right w:val="nil"/>
            </w:tcBorders>
            <w:shd w:val="clear" w:color="000000" w:fill="FFFFFF"/>
            <w:noWrap/>
            <w:vAlign w:val="center"/>
            <w:hideMark/>
          </w:tcPr>
          <w:p w14:paraId="12E1CBB3"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0,0198</w:t>
            </w:r>
          </w:p>
        </w:tc>
        <w:tc>
          <w:tcPr>
            <w:tcW w:w="683" w:type="dxa"/>
            <w:tcBorders>
              <w:top w:val="nil"/>
              <w:left w:val="nil"/>
              <w:bottom w:val="nil"/>
              <w:right w:val="single" w:sz="4" w:space="0" w:color="auto"/>
            </w:tcBorders>
            <w:shd w:val="clear" w:color="000000" w:fill="FFFFFF"/>
            <w:noWrap/>
            <w:vAlign w:val="center"/>
            <w:hideMark/>
          </w:tcPr>
          <w:p w14:paraId="7B505815"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4,5</w:t>
            </w:r>
          </w:p>
        </w:tc>
        <w:tc>
          <w:tcPr>
            <w:tcW w:w="650" w:type="dxa"/>
            <w:tcBorders>
              <w:top w:val="nil"/>
              <w:left w:val="nil"/>
              <w:bottom w:val="nil"/>
              <w:right w:val="nil"/>
            </w:tcBorders>
            <w:shd w:val="clear" w:color="000000" w:fill="FFFFFF"/>
            <w:noWrap/>
            <w:vAlign w:val="center"/>
            <w:hideMark/>
          </w:tcPr>
          <w:p w14:paraId="54501776"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0,0215</w:t>
            </w:r>
          </w:p>
        </w:tc>
        <w:tc>
          <w:tcPr>
            <w:tcW w:w="839" w:type="dxa"/>
            <w:tcBorders>
              <w:top w:val="nil"/>
              <w:left w:val="nil"/>
              <w:bottom w:val="nil"/>
              <w:right w:val="single" w:sz="4" w:space="0" w:color="auto"/>
            </w:tcBorders>
            <w:shd w:val="clear" w:color="000000" w:fill="FFFFFF"/>
            <w:noWrap/>
            <w:vAlign w:val="center"/>
            <w:hideMark/>
          </w:tcPr>
          <w:p w14:paraId="1FA0F132"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5,6</w:t>
            </w:r>
          </w:p>
        </w:tc>
        <w:tc>
          <w:tcPr>
            <w:tcW w:w="941" w:type="dxa"/>
            <w:tcBorders>
              <w:top w:val="nil"/>
              <w:left w:val="nil"/>
              <w:bottom w:val="nil"/>
              <w:right w:val="nil"/>
            </w:tcBorders>
            <w:shd w:val="clear" w:color="000000" w:fill="FFFFFF"/>
            <w:noWrap/>
            <w:vAlign w:val="center"/>
            <w:hideMark/>
          </w:tcPr>
          <w:p w14:paraId="7C51D125" w14:textId="77777777" w:rsidR="00922E37" w:rsidRPr="002130A8" w:rsidRDefault="00922E37" w:rsidP="008850F5">
            <w:pPr>
              <w:spacing w:after="0" w:line="240" w:lineRule="auto"/>
              <w:jc w:val="center"/>
              <w:rPr>
                <w:rFonts w:ascii="Times New Roman" w:eastAsia="Times New Roman" w:hAnsi="Times New Roman"/>
                <w:b/>
                <w:bCs/>
                <w:color w:val="000000"/>
                <w:sz w:val="15"/>
                <w:szCs w:val="15"/>
                <w:lang w:eastAsia="es-AR"/>
              </w:rPr>
            </w:pPr>
            <w:r w:rsidRPr="002130A8">
              <w:rPr>
                <w:rFonts w:ascii="Times New Roman" w:eastAsia="Times New Roman" w:hAnsi="Times New Roman"/>
                <w:b/>
                <w:bCs/>
                <w:color w:val="000000"/>
                <w:sz w:val="15"/>
                <w:szCs w:val="15"/>
                <w:lang w:eastAsia="es-AR"/>
              </w:rPr>
              <w:t>-0,0112</w:t>
            </w:r>
          </w:p>
        </w:tc>
        <w:tc>
          <w:tcPr>
            <w:tcW w:w="615" w:type="dxa"/>
            <w:tcBorders>
              <w:top w:val="nil"/>
              <w:left w:val="nil"/>
              <w:bottom w:val="nil"/>
              <w:right w:val="single" w:sz="4" w:space="0" w:color="auto"/>
            </w:tcBorders>
            <w:shd w:val="clear" w:color="000000" w:fill="FFFFFF"/>
            <w:noWrap/>
            <w:vAlign w:val="center"/>
            <w:hideMark/>
          </w:tcPr>
          <w:p w14:paraId="69D16B4E" w14:textId="77777777" w:rsidR="00922E37" w:rsidRPr="002130A8" w:rsidRDefault="00922E37" w:rsidP="008850F5">
            <w:pPr>
              <w:spacing w:after="0" w:line="240" w:lineRule="auto"/>
              <w:jc w:val="center"/>
              <w:rPr>
                <w:rFonts w:ascii="Times New Roman" w:eastAsia="Times New Roman" w:hAnsi="Times New Roman"/>
                <w:b/>
                <w:bCs/>
                <w:color w:val="000000"/>
                <w:sz w:val="15"/>
                <w:szCs w:val="15"/>
                <w:lang w:eastAsia="es-AR"/>
              </w:rPr>
            </w:pPr>
            <w:r w:rsidRPr="002130A8">
              <w:rPr>
                <w:rFonts w:ascii="Times New Roman" w:eastAsia="Times New Roman" w:hAnsi="Times New Roman"/>
                <w:b/>
                <w:bCs/>
                <w:color w:val="000000"/>
                <w:sz w:val="15"/>
                <w:szCs w:val="15"/>
                <w:lang w:eastAsia="es-AR"/>
              </w:rPr>
              <w:t>12,4</w:t>
            </w:r>
          </w:p>
        </w:tc>
      </w:tr>
      <w:tr w:rsidR="00922E37" w:rsidRPr="007C2D50" w14:paraId="750C6099" w14:textId="77777777" w:rsidTr="008850F5">
        <w:trPr>
          <w:trHeight w:val="261"/>
          <w:jc w:val="center"/>
        </w:trPr>
        <w:tc>
          <w:tcPr>
            <w:tcW w:w="26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656C2" w14:textId="77777777" w:rsidR="00922E37" w:rsidRPr="007C2D50" w:rsidRDefault="00922E37" w:rsidP="008850F5">
            <w:pPr>
              <w:spacing w:after="0" w:line="240" w:lineRule="auto"/>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Coeficiente de Gini familiar</w:t>
            </w:r>
          </w:p>
        </w:tc>
        <w:tc>
          <w:tcPr>
            <w:tcW w:w="649" w:type="dxa"/>
            <w:tcBorders>
              <w:top w:val="single" w:sz="4" w:space="0" w:color="auto"/>
              <w:left w:val="nil"/>
              <w:bottom w:val="single" w:sz="4" w:space="0" w:color="auto"/>
              <w:right w:val="nil"/>
            </w:tcBorders>
            <w:shd w:val="clear" w:color="000000" w:fill="FFFFFF"/>
            <w:noWrap/>
            <w:vAlign w:val="center"/>
            <w:hideMark/>
          </w:tcPr>
          <w:p w14:paraId="5CBB249F"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0,4753</w:t>
            </w:r>
          </w:p>
        </w:tc>
        <w:tc>
          <w:tcPr>
            <w:tcW w:w="827" w:type="dxa"/>
            <w:tcBorders>
              <w:top w:val="single" w:sz="4" w:space="0" w:color="auto"/>
              <w:left w:val="nil"/>
              <w:bottom w:val="single" w:sz="4" w:space="0" w:color="auto"/>
              <w:right w:val="single" w:sz="4" w:space="0" w:color="auto"/>
            </w:tcBorders>
            <w:shd w:val="clear" w:color="000000" w:fill="FFFFFF"/>
            <w:noWrap/>
            <w:vAlign w:val="center"/>
            <w:hideMark/>
          </w:tcPr>
          <w:p w14:paraId="1278C0EE"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100,0</w:t>
            </w:r>
          </w:p>
        </w:tc>
        <w:tc>
          <w:tcPr>
            <w:tcW w:w="650" w:type="dxa"/>
            <w:tcBorders>
              <w:top w:val="single" w:sz="4" w:space="0" w:color="auto"/>
              <w:left w:val="nil"/>
              <w:bottom w:val="single" w:sz="4" w:space="0" w:color="auto"/>
              <w:right w:val="nil"/>
            </w:tcBorders>
            <w:shd w:val="clear" w:color="000000" w:fill="FFFFFF"/>
            <w:noWrap/>
            <w:vAlign w:val="center"/>
            <w:hideMark/>
          </w:tcPr>
          <w:p w14:paraId="3D8E23C8"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0,4416</w:t>
            </w:r>
          </w:p>
        </w:tc>
        <w:tc>
          <w:tcPr>
            <w:tcW w:w="683" w:type="dxa"/>
            <w:tcBorders>
              <w:top w:val="single" w:sz="4" w:space="0" w:color="auto"/>
              <w:left w:val="nil"/>
              <w:bottom w:val="single" w:sz="4" w:space="0" w:color="auto"/>
              <w:right w:val="single" w:sz="4" w:space="0" w:color="auto"/>
            </w:tcBorders>
            <w:shd w:val="clear" w:color="000000" w:fill="FFFFFF"/>
            <w:noWrap/>
            <w:vAlign w:val="center"/>
            <w:hideMark/>
          </w:tcPr>
          <w:p w14:paraId="10FF87C6"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100,0</w:t>
            </w:r>
          </w:p>
        </w:tc>
        <w:tc>
          <w:tcPr>
            <w:tcW w:w="650" w:type="dxa"/>
            <w:tcBorders>
              <w:top w:val="single" w:sz="4" w:space="0" w:color="auto"/>
              <w:left w:val="nil"/>
              <w:bottom w:val="single" w:sz="4" w:space="0" w:color="auto"/>
              <w:right w:val="nil"/>
            </w:tcBorders>
            <w:shd w:val="clear" w:color="000000" w:fill="FFFFFF"/>
            <w:noWrap/>
            <w:vAlign w:val="center"/>
            <w:hideMark/>
          </w:tcPr>
          <w:p w14:paraId="360881C9"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0,3851</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14:paraId="7F67C11A" w14:textId="77777777" w:rsidR="00922E37" w:rsidRPr="007C2D50" w:rsidRDefault="00922E37" w:rsidP="008850F5">
            <w:pPr>
              <w:spacing w:after="0" w:line="240" w:lineRule="auto"/>
              <w:jc w:val="center"/>
              <w:rPr>
                <w:rFonts w:ascii="Times New Roman" w:eastAsia="Times New Roman" w:hAnsi="Times New Roman"/>
                <w:b/>
                <w:bCs/>
                <w:color w:val="000000"/>
                <w:sz w:val="15"/>
                <w:szCs w:val="15"/>
                <w:lang w:eastAsia="es-AR"/>
              </w:rPr>
            </w:pPr>
            <w:r w:rsidRPr="007C2D50">
              <w:rPr>
                <w:rFonts w:ascii="Times New Roman" w:eastAsia="Times New Roman" w:hAnsi="Times New Roman"/>
                <w:b/>
                <w:bCs/>
                <w:color w:val="000000"/>
                <w:sz w:val="15"/>
                <w:szCs w:val="15"/>
                <w:lang w:eastAsia="es-AR"/>
              </w:rPr>
              <w:t>100,0</w:t>
            </w:r>
          </w:p>
        </w:tc>
        <w:tc>
          <w:tcPr>
            <w:tcW w:w="941" w:type="dxa"/>
            <w:tcBorders>
              <w:top w:val="single" w:sz="4" w:space="0" w:color="auto"/>
              <w:left w:val="nil"/>
              <w:bottom w:val="single" w:sz="4" w:space="0" w:color="auto"/>
              <w:right w:val="nil"/>
            </w:tcBorders>
            <w:shd w:val="clear" w:color="000000" w:fill="FFFFFF"/>
            <w:noWrap/>
            <w:vAlign w:val="center"/>
            <w:hideMark/>
          </w:tcPr>
          <w:p w14:paraId="4A67EE6B" w14:textId="77777777" w:rsidR="00922E37" w:rsidRPr="002130A8" w:rsidRDefault="00922E37" w:rsidP="008850F5">
            <w:pPr>
              <w:spacing w:after="0" w:line="240" w:lineRule="auto"/>
              <w:jc w:val="center"/>
              <w:rPr>
                <w:rFonts w:ascii="Times New Roman" w:eastAsia="Times New Roman" w:hAnsi="Times New Roman"/>
                <w:b/>
                <w:bCs/>
                <w:color w:val="000000"/>
                <w:sz w:val="15"/>
                <w:szCs w:val="15"/>
                <w:lang w:eastAsia="es-AR"/>
              </w:rPr>
            </w:pPr>
            <w:r w:rsidRPr="002130A8">
              <w:rPr>
                <w:rFonts w:ascii="Times New Roman" w:eastAsia="Times New Roman" w:hAnsi="Times New Roman"/>
                <w:b/>
                <w:bCs/>
                <w:color w:val="000000"/>
                <w:sz w:val="15"/>
                <w:szCs w:val="15"/>
                <w:lang w:eastAsia="es-AR"/>
              </w:rPr>
              <w:t>-0,0902</w:t>
            </w:r>
          </w:p>
        </w:tc>
        <w:tc>
          <w:tcPr>
            <w:tcW w:w="615" w:type="dxa"/>
            <w:tcBorders>
              <w:top w:val="single" w:sz="4" w:space="0" w:color="auto"/>
              <w:left w:val="nil"/>
              <w:bottom w:val="single" w:sz="4" w:space="0" w:color="auto"/>
              <w:right w:val="single" w:sz="4" w:space="0" w:color="auto"/>
            </w:tcBorders>
            <w:shd w:val="clear" w:color="000000" w:fill="FFFFFF"/>
            <w:noWrap/>
            <w:vAlign w:val="center"/>
            <w:hideMark/>
          </w:tcPr>
          <w:p w14:paraId="10324EF9" w14:textId="2AD41C2F" w:rsidR="00922E37" w:rsidRPr="002130A8" w:rsidRDefault="00772677" w:rsidP="008850F5">
            <w:pPr>
              <w:spacing w:after="0" w:line="240" w:lineRule="auto"/>
              <w:jc w:val="center"/>
              <w:rPr>
                <w:rFonts w:ascii="Times New Roman" w:eastAsia="Times New Roman" w:hAnsi="Times New Roman"/>
                <w:b/>
                <w:bCs/>
                <w:color w:val="000000"/>
                <w:sz w:val="15"/>
                <w:szCs w:val="15"/>
                <w:lang w:eastAsia="es-AR"/>
              </w:rPr>
            </w:pPr>
            <w:r w:rsidRPr="002130A8">
              <w:rPr>
                <w:rFonts w:ascii="Times New Roman" w:eastAsia="Times New Roman" w:hAnsi="Times New Roman"/>
                <w:b/>
                <w:bCs/>
                <w:color w:val="000000"/>
                <w:sz w:val="15"/>
                <w:szCs w:val="15"/>
                <w:lang w:eastAsia="es-AR"/>
              </w:rPr>
              <w:t>100,0</w:t>
            </w:r>
          </w:p>
        </w:tc>
      </w:tr>
    </w:tbl>
    <w:p w14:paraId="76E2CBFC" w14:textId="77777777" w:rsidR="00922E37" w:rsidRPr="007C2D50" w:rsidRDefault="00922E37" w:rsidP="00922E37">
      <w:pPr>
        <w:tabs>
          <w:tab w:val="left" w:pos="4069"/>
        </w:tabs>
        <w:spacing w:before="120" w:after="36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75B86CDE" w14:textId="52BAFBBB" w:rsidR="00922E37" w:rsidRPr="007C2D50" w:rsidRDefault="00922E37" w:rsidP="00922E37">
      <w:pPr>
        <w:tabs>
          <w:tab w:val="left" w:pos="4069"/>
        </w:tabs>
        <w:spacing w:before="120" w:after="120"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Entre 2003 y 2014, descendió el aporte absoluto tanto de los ingresos laborales como de los no laborales a la desigualdad. En términos relativos, creció levemente la contribución de las fuentes laborales al coeficiente de Gini general (de 93,1% a 94,4%). Ello se debió, exclusivamente, al mayor aporte que hicieron los ingresos provenientes de ocupaciones en el sector público (16,1% a 25,2%)</w:t>
      </w:r>
      <w:r w:rsidR="002130A8">
        <w:rPr>
          <w:rFonts w:ascii="Times New Roman" w:eastAsia="Times New Roman" w:hAnsi="Times New Roman"/>
          <w:szCs w:val="24"/>
          <w:lang w:val="es-ES" w:eastAsia="es-AR"/>
        </w:rPr>
        <w:t xml:space="preserve">. En contraste, se redujo </w:t>
      </w:r>
      <w:r w:rsidRPr="007C2D50">
        <w:rPr>
          <w:rFonts w:ascii="Times New Roman" w:eastAsia="Times New Roman" w:hAnsi="Times New Roman"/>
          <w:szCs w:val="24"/>
          <w:lang w:val="es-ES" w:eastAsia="es-AR"/>
        </w:rPr>
        <w:t xml:space="preserve">la contribución de los ingresos del sector formal privado (59,3% a </w:t>
      </w:r>
      <w:r w:rsidR="002130A8">
        <w:rPr>
          <w:rFonts w:ascii="Times New Roman" w:eastAsia="Times New Roman" w:hAnsi="Times New Roman"/>
          <w:szCs w:val="24"/>
          <w:lang w:val="es-ES" w:eastAsia="es-AR"/>
        </w:rPr>
        <w:t>53</w:t>
      </w:r>
      <w:r w:rsidRPr="007C2D50">
        <w:rPr>
          <w:rFonts w:ascii="Times New Roman" w:eastAsia="Times New Roman" w:hAnsi="Times New Roman"/>
          <w:szCs w:val="24"/>
          <w:lang w:val="es-ES" w:eastAsia="es-AR"/>
        </w:rPr>
        <w:t xml:space="preserve">%) y </w:t>
      </w:r>
      <w:r w:rsidR="002130A8">
        <w:rPr>
          <w:rFonts w:ascii="Times New Roman" w:eastAsia="Times New Roman" w:hAnsi="Times New Roman"/>
          <w:szCs w:val="24"/>
          <w:lang w:val="es-ES" w:eastAsia="es-AR"/>
        </w:rPr>
        <w:t xml:space="preserve">de los </w:t>
      </w:r>
      <w:r w:rsidRPr="007C2D50">
        <w:rPr>
          <w:rFonts w:ascii="Times New Roman" w:eastAsia="Times New Roman" w:hAnsi="Times New Roman"/>
          <w:szCs w:val="24"/>
          <w:lang w:val="es-ES" w:eastAsia="es-AR"/>
        </w:rPr>
        <w:t xml:space="preserve">provenientes de ocupaciones en el sector </w:t>
      </w:r>
      <w:r w:rsidRPr="007C2D50">
        <w:rPr>
          <w:rFonts w:ascii="Times New Roman" w:eastAsia="Times New Roman" w:hAnsi="Times New Roman"/>
          <w:szCs w:val="24"/>
          <w:lang w:val="es-ES" w:eastAsia="es-AR"/>
        </w:rPr>
        <w:lastRenderedPageBreak/>
        <w:t xml:space="preserve">microinformal (17,8% a 16,3%). </w:t>
      </w:r>
      <w:r w:rsidR="003705E7">
        <w:rPr>
          <w:rFonts w:ascii="Times New Roman" w:eastAsia="Times New Roman" w:hAnsi="Times New Roman"/>
          <w:szCs w:val="24"/>
          <w:lang w:val="es-ES" w:eastAsia="es-AR"/>
        </w:rPr>
        <w:t>La</w:t>
      </w:r>
      <w:r w:rsidRPr="007C2D50">
        <w:rPr>
          <w:rFonts w:ascii="Times New Roman" w:eastAsia="Times New Roman" w:hAnsi="Times New Roman"/>
          <w:szCs w:val="24"/>
          <w:lang w:val="es-ES" w:eastAsia="es-AR"/>
        </w:rPr>
        <w:t xml:space="preserve"> reducción de 0,0902 puntos del coeficiente de Gini se explicó</w:t>
      </w:r>
      <w:r w:rsidR="003705E7">
        <w:rPr>
          <w:rFonts w:ascii="Times New Roman" w:eastAsia="Times New Roman" w:hAnsi="Times New Roman"/>
          <w:szCs w:val="24"/>
          <w:lang w:val="es-ES" w:eastAsia="es-AR"/>
        </w:rPr>
        <w:t>,</w:t>
      </w:r>
      <w:r w:rsidR="003705E7" w:rsidRPr="003705E7">
        <w:rPr>
          <w:rFonts w:ascii="Times New Roman" w:eastAsia="Times New Roman" w:hAnsi="Times New Roman"/>
          <w:szCs w:val="24"/>
          <w:lang w:val="es-ES" w:eastAsia="es-AR"/>
        </w:rPr>
        <w:t xml:space="preserve"> </w:t>
      </w:r>
      <w:r w:rsidR="003705E7" w:rsidRPr="007C2D50">
        <w:rPr>
          <w:rFonts w:ascii="Times New Roman" w:eastAsia="Times New Roman" w:hAnsi="Times New Roman"/>
          <w:szCs w:val="24"/>
          <w:lang w:val="es-ES" w:eastAsia="es-AR"/>
        </w:rPr>
        <w:t>en un 12,4%</w:t>
      </w:r>
      <w:r w:rsidR="003705E7">
        <w:rPr>
          <w:rFonts w:ascii="Times New Roman" w:eastAsia="Times New Roman" w:hAnsi="Times New Roman"/>
          <w:szCs w:val="24"/>
          <w:lang w:val="es-ES" w:eastAsia="es-AR"/>
        </w:rPr>
        <w:t>,</w:t>
      </w:r>
      <w:r w:rsidR="003705E7" w:rsidRPr="007C2D50">
        <w:rPr>
          <w:rFonts w:ascii="Times New Roman" w:eastAsia="Times New Roman" w:hAnsi="Times New Roman"/>
          <w:szCs w:val="24"/>
          <w:lang w:val="es-ES" w:eastAsia="es-AR"/>
        </w:rPr>
        <w:t xml:space="preserve"> por lo ocurrido con los ingresos no laborales</w:t>
      </w:r>
      <w:r w:rsidR="003705E7">
        <w:rPr>
          <w:rFonts w:ascii="Times New Roman" w:eastAsia="Times New Roman" w:hAnsi="Times New Roman"/>
          <w:szCs w:val="24"/>
          <w:lang w:val="es-ES" w:eastAsia="es-AR"/>
        </w:rPr>
        <w:t xml:space="preserve"> y, </w:t>
      </w:r>
      <w:r w:rsidRPr="007C2D50">
        <w:rPr>
          <w:rFonts w:ascii="Times New Roman" w:eastAsia="Times New Roman" w:hAnsi="Times New Roman"/>
          <w:szCs w:val="24"/>
          <w:lang w:val="es-ES" w:eastAsia="es-AR"/>
        </w:rPr>
        <w:t>en un 87,6%, por la contribución de los ingresos laborales</w:t>
      </w:r>
      <w:r w:rsidR="003705E7">
        <w:rPr>
          <w:rFonts w:ascii="Times New Roman" w:eastAsia="Times New Roman" w:hAnsi="Times New Roman"/>
          <w:szCs w:val="24"/>
          <w:lang w:val="es-ES" w:eastAsia="es-AR"/>
        </w:rPr>
        <w:t>. Sin embargo, entre estos últimos</w:t>
      </w:r>
      <w:r w:rsidR="003705E7">
        <w:rPr>
          <w:rFonts w:ascii="Times New Roman" w:eastAsia="Times New Roman" w:hAnsi="Times New Roman"/>
          <w:szCs w:val="24"/>
          <w:lang w:val="es-ES" w:eastAsia="es-AR"/>
        </w:rPr>
        <w:t>, m</w:t>
      </w:r>
      <w:r w:rsidR="003705E7" w:rsidRPr="007C2D50">
        <w:rPr>
          <w:rFonts w:ascii="Times New Roman" w:eastAsia="Times New Roman" w:hAnsi="Times New Roman"/>
          <w:szCs w:val="24"/>
          <w:lang w:val="es-ES" w:eastAsia="es-AR"/>
        </w:rPr>
        <w:t xml:space="preserve">ientras que los ingresos de ocupaciones </w:t>
      </w:r>
      <w:r w:rsidR="003705E7">
        <w:rPr>
          <w:rFonts w:ascii="Times New Roman" w:eastAsia="Times New Roman" w:hAnsi="Times New Roman"/>
          <w:szCs w:val="24"/>
          <w:lang w:val="es-ES" w:eastAsia="es-AR"/>
        </w:rPr>
        <w:t>d</w:t>
      </w:r>
      <w:r w:rsidR="003705E7" w:rsidRPr="007C2D50">
        <w:rPr>
          <w:rFonts w:ascii="Times New Roman" w:eastAsia="Times New Roman" w:hAnsi="Times New Roman"/>
          <w:szCs w:val="24"/>
          <w:lang w:val="es-ES" w:eastAsia="es-AR"/>
        </w:rPr>
        <w:t xml:space="preserve">el sector formal privado y microinformal propendieron a una reducción de la desigualdad, los de posiciones en el sector público </w:t>
      </w:r>
      <w:r w:rsidR="003705E7">
        <w:rPr>
          <w:rFonts w:ascii="Times New Roman" w:eastAsia="Times New Roman" w:hAnsi="Times New Roman"/>
          <w:szCs w:val="24"/>
          <w:lang w:val="es-ES" w:eastAsia="es-AR"/>
        </w:rPr>
        <w:t>provocaron una mayor inequidad en la distribución del ingreso</w:t>
      </w:r>
      <w:r w:rsidR="003705E7">
        <w:rPr>
          <w:rFonts w:ascii="Times New Roman" w:eastAsia="Times New Roman" w:hAnsi="Times New Roman"/>
          <w:szCs w:val="24"/>
          <w:lang w:val="es-ES" w:eastAsia="es-AR"/>
        </w:rPr>
        <w:t xml:space="preserve"> familiar</w:t>
      </w:r>
      <w:r w:rsidR="003705E7" w:rsidRPr="007C2D50">
        <w:rPr>
          <w:rFonts w:ascii="Times New Roman" w:eastAsia="Times New Roman" w:hAnsi="Times New Roman"/>
          <w:szCs w:val="24"/>
          <w:lang w:val="es-ES" w:eastAsia="es-AR"/>
        </w:rPr>
        <w:t>.</w:t>
      </w:r>
    </w:p>
    <w:p w14:paraId="3F357743" w14:textId="77777777" w:rsidR="00922E37" w:rsidRPr="007C2D50" w:rsidRDefault="00922E37" w:rsidP="00922E37">
      <w:pPr>
        <w:spacing w:before="120" w:after="120" w:line="360" w:lineRule="auto"/>
        <w:jc w:val="both"/>
        <w:rPr>
          <w:rFonts w:ascii="Times New Roman" w:eastAsia="Times New Roman" w:hAnsi="Times New Roman"/>
          <w:bCs/>
          <w:color w:val="000000"/>
          <w:szCs w:val="24"/>
          <w:lang w:val="es-ES" w:eastAsia="es-AR"/>
        </w:rPr>
      </w:pPr>
      <w:r w:rsidRPr="007C2D50">
        <w:rPr>
          <w:rFonts w:ascii="Times New Roman" w:eastAsia="Times New Roman" w:hAnsi="Times New Roman"/>
          <w:bCs/>
          <w:color w:val="000000"/>
          <w:szCs w:val="24"/>
          <w:lang w:val="es-ES" w:eastAsia="es-AR"/>
        </w:rPr>
        <w:t xml:space="preserve">¿Qué factores explican este comportamiento? Entre 2003 y 2014, los ingresos laborales provenientes del sector formal tuvieron tendencias disímiles según se trate del sector privado o del público. Los ingresos provenientes del sector formal privado contribuyeron a una reducción de la desigualdad principalmente porque redujeron su desigualdad interna (G) y su correlación con la distribución general (R) (Cuadro 9). Es decir que se interrumpió el proceso verificado en los ochenta y noventa, caracterizado por la expansión de la inequidad interna de ingresos en el sector más estructurado de la economía. Este comportamiento puede explicarse por la incorporación de fuerza de trabajo de baja calificación a establecimientos del sector formal privado y por una reducción </w:t>
      </w:r>
      <w:r w:rsidRPr="007C2D50">
        <w:rPr>
          <w:rFonts w:ascii="Times New Roman" w:hAnsi="Times New Roman"/>
          <w:szCs w:val="24"/>
        </w:rPr>
        <w:t>de las “primas” por calificación (Beccaria y Maurizio, 2012), así como por un empeoramiento relativo de la posición de profesionales independientes (</w:t>
      </w:r>
      <w:r w:rsidR="003D7CB1">
        <w:rPr>
          <w:rFonts w:ascii="Times New Roman" w:hAnsi="Times New Roman"/>
          <w:szCs w:val="24"/>
        </w:rPr>
        <w:t xml:space="preserve">AUTOR; </w:t>
      </w:r>
      <w:r w:rsidRPr="007C2D50">
        <w:rPr>
          <w:rFonts w:ascii="Times New Roman" w:hAnsi="Times New Roman"/>
          <w:szCs w:val="24"/>
        </w:rPr>
        <w:t xml:space="preserve">Dalle, 2012). </w:t>
      </w:r>
      <w:r w:rsidRPr="007C2D50">
        <w:rPr>
          <w:rFonts w:ascii="Times New Roman" w:eastAsia="Times New Roman" w:hAnsi="Times New Roman"/>
          <w:bCs/>
          <w:color w:val="000000"/>
          <w:szCs w:val="24"/>
          <w:lang w:val="es-ES" w:eastAsia="es-AR"/>
        </w:rPr>
        <w:t>En contraste, los ingresos del sector público contribuyeron a aumentar la desigualdad, por su mayor participación en el ingreso total (S) y por un aumento de su correlación con la distribución general (R)</w:t>
      </w:r>
      <w:r w:rsidR="00625EDF">
        <w:rPr>
          <w:rFonts w:ascii="Times New Roman" w:eastAsia="Times New Roman" w:hAnsi="Times New Roman"/>
          <w:bCs/>
          <w:color w:val="000000"/>
          <w:szCs w:val="24"/>
          <w:lang w:val="es-ES" w:eastAsia="es-AR"/>
        </w:rPr>
        <w:t xml:space="preserve">, </w:t>
      </w:r>
      <w:r w:rsidR="00625EDF">
        <w:rPr>
          <w:rFonts w:ascii="Times New Roman" w:eastAsia="Times New Roman" w:hAnsi="Times New Roman"/>
          <w:bCs/>
          <w:color w:val="000000"/>
          <w:szCs w:val="24"/>
          <w:highlight w:val="yellow"/>
          <w:lang w:val="es-ES" w:eastAsia="es-AR"/>
        </w:rPr>
        <w:t>a pesar de haber reducido</w:t>
      </w:r>
      <w:r w:rsidR="00625EDF" w:rsidRPr="00625EDF">
        <w:rPr>
          <w:rFonts w:ascii="Times New Roman" w:eastAsia="Times New Roman" w:hAnsi="Times New Roman"/>
          <w:bCs/>
          <w:color w:val="000000"/>
          <w:szCs w:val="24"/>
          <w:highlight w:val="yellow"/>
          <w:lang w:val="es-ES" w:eastAsia="es-AR"/>
        </w:rPr>
        <w:t xml:space="preserve"> su desigualdad interna (G)</w:t>
      </w:r>
      <w:r w:rsidRPr="00625EDF">
        <w:rPr>
          <w:rFonts w:ascii="Times New Roman" w:eastAsia="Times New Roman" w:hAnsi="Times New Roman"/>
          <w:bCs/>
          <w:color w:val="000000"/>
          <w:szCs w:val="24"/>
          <w:highlight w:val="yellow"/>
          <w:lang w:val="es-ES" w:eastAsia="es-AR"/>
        </w:rPr>
        <w:t>.</w:t>
      </w:r>
      <w:r w:rsidRPr="007C2D50">
        <w:rPr>
          <w:rFonts w:ascii="Times New Roman" w:eastAsia="Times New Roman" w:hAnsi="Times New Roman"/>
          <w:bCs/>
          <w:color w:val="000000"/>
          <w:szCs w:val="24"/>
          <w:lang w:val="es-ES" w:eastAsia="es-AR"/>
        </w:rPr>
        <w:t xml:space="preserve"> </w:t>
      </w:r>
    </w:p>
    <w:p w14:paraId="012D0D80" w14:textId="70545E2E" w:rsidR="00922E37" w:rsidRPr="007C2D50" w:rsidRDefault="00922E37" w:rsidP="00922E37">
      <w:pPr>
        <w:keepNext/>
        <w:spacing w:before="240" w:after="120" w:line="240" w:lineRule="auto"/>
        <w:jc w:val="both"/>
        <w:rPr>
          <w:rFonts w:ascii="Times New Roman" w:eastAsia="Times New Roman" w:hAnsi="Times New Roman"/>
          <w:bCs/>
          <w:color w:val="000000"/>
          <w:szCs w:val="24"/>
          <w:lang w:eastAsia="es-AR"/>
        </w:rPr>
      </w:pPr>
      <w:r w:rsidRPr="007C2D50">
        <w:rPr>
          <w:rFonts w:ascii="Times New Roman" w:eastAsia="Times New Roman" w:hAnsi="Times New Roman"/>
          <w:b/>
          <w:bCs/>
          <w:color w:val="000000"/>
          <w:lang w:eastAsia="es-AR"/>
        </w:rPr>
        <w:lastRenderedPageBreak/>
        <w:t>Cuadro 9. Descomposición del cambio absoluto del coeficiente de Gini familiar según fuente de ingresos. Área Gran Buenos Aires</w:t>
      </w:r>
      <w:r w:rsidRPr="00772677">
        <w:rPr>
          <w:rFonts w:ascii="Times New Roman" w:eastAsia="Times New Roman" w:hAnsi="Times New Roman"/>
          <w:b/>
          <w:bCs/>
          <w:color w:val="000000"/>
          <w:highlight w:val="yellow"/>
          <w:lang w:eastAsia="es-AR"/>
        </w:rPr>
        <w:t xml:space="preserve">, </w:t>
      </w:r>
      <w:r w:rsidR="00C20AE2" w:rsidRPr="00772677">
        <w:rPr>
          <w:rFonts w:ascii="Times New Roman" w:eastAsia="Times New Roman" w:hAnsi="Times New Roman"/>
          <w:b/>
          <w:bCs/>
          <w:color w:val="000000"/>
          <w:highlight w:val="yellow"/>
          <w:lang w:eastAsia="es-AR"/>
        </w:rPr>
        <w:t>2003-2014</w:t>
      </w:r>
      <w:r w:rsidRPr="00772677">
        <w:rPr>
          <w:rFonts w:ascii="Times New Roman" w:eastAsia="Times New Roman" w:hAnsi="Times New Roman"/>
          <w:b/>
          <w:bCs/>
          <w:color w:val="000000"/>
          <w:highlight w:val="yellow"/>
          <w:lang w:eastAsia="es-AR"/>
        </w:rPr>
        <w:t>.</w:t>
      </w:r>
      <w:r w:rsidRPr="007C2D50">
        <w:rPr>
          <w:rFonts w:ascii="Times New Roman" w:eastAsia="Times New Roman" w:hAnsi="Times New Roman"/>
          <w:b/>
          <w:bCs/>
          <w:color w:val="000000"/>
          <w:lang w:eastAsia="es-AR"/>
        </w:rPr>
        <w:t xml:space="preserve"> </w:t>
      </w:r>
      <w:r w:rsidRPr="007C2D50">
        <w:rPr>
          <w:rFonts w:ascii="Times New Roman" w:eastAsia="Times New Roman" w:hAnsi="Times New Roman"/>
          <w:bCs/>
          <w:color w:val="000000"/>
          <w:szCs w:val="24"/>
          <w:lang w:eastAsia="es-AR"/>
        </w:rPr>
        <w:t>Variación interanual en valores absolutos/puntos del coeficiente de Gini.</w:t>
      </w:r>
    </w:p>
    <w:tbl>
      <w:tblPr>
        <w:tblW w:w="8506" w:type="dxa"/>
        <w:tblCellMar>
          <w:left w:w="70" w:type="dxa"/>
          <w:right w:w="70" w:type="dxa"/>
        </w:tblCellMar>
        <w:tblLook w:val="04A0" w:firstRow="1" w:lastRow="0" w:firstColumn="1" w:lastColumn="0" w:noHBand="0" w:noVBand="1"/>
      </w:tblPr>
      <w:tblGrid>
        <w:gridCol w:w="2418"/>
        <w:gridCol w:w="761"/>
        <w:gridCol w:w="761"/>
        <w:gridCol w:w="761"/>
        <w:gridCol w:w="761"/>
        <w:gridCol w:w="761"/>
        <w:gridCol w:w="761"/>
        <w:gridCol w:w="761"/>
        <w:gridCol w:w="761"/>
      </w:tblGrid>
      <w:tr w:rsidR="00922E37" w:rsidRPr="007C2D50" w14:paraId="51B6E1DB" w14:textId="77777777" w:rsidTr="008850F5">
        <w:trPr>
          <w:trHeight w:val="262"/>
        </w:trPr>
        <w:tc>
          <w:tcPr>
            <w:tcW w:w="2418" w:type="dxa"/>
            <w:tcBorders>
              <w:top w:val="single" w:sz="4" w:space="0" w:color="auto"/>
              <w:left w:val="single" w:sz="4" w:space="0" w:color="auto"/>
              <w:bottom w:val="single" w:sz="4" w:space="0" w:color="auto"/>
              <w:right w:val="nil"/>
            </w:tcBorders>
            <w:shd w:val="clear" w:color="000000" w:fill="FFFFFF"/>
            <w:noWrap/>
            <w:vAlign w:val="bottom"/>
            <w:hideMark/>
          </w:tcPr>
          <w:p w14:paraId="386B97E8" w14:textId="77777777" w:rsidR="00922E37" w:rsidRPr="007C2D50" w:rsidRDefault="00922E37" w:rsidP="008850F5">
            <w:pPr>
              <w:keepNext/>
              <w:spacing w:after="0" w:line="240" w:lineRule="auto"/>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Fuente de ingreso</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AF5FCC"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Var. Gini</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6CFAE31B"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r</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6FE78661"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S</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201B35F2"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g</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4EF13E62"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r*s</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17F31BA8"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r*g</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6478BEA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s*g</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073685C7"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r*s*g</w:t>
            </w:r>
          </w:p>
        </w:tc>
      </w:tr>
      <w:tr w:rsidR="00922E37" w:rsidRPr="007C2D50" w14:paraId="1E632D9F" w14:textId="77777777" w:rsidTr="008850F5">
        <w:trPr>
          <w:trHeight w:val="262"/>
        </w:trPr>
        <w:tc>
          <w:tcPr>
            <w:tcW w:w="2418" w:type="dxa"/>
            <w:tcBorders>
              <w:top w:val="nil"/>
              <w:left w:val="single" w:sz="4" w:space="0" w:color="auto"/>
              <w:bottom w:val="nil"/>
              <w:right w:val="single" w:sz="4" w:space="0" w:color="auto"/>
            </w:tcBorders>
            <w:shd w:val="clear" w:color="000000" w:fill="FFFFFF"/>
            <w:noWrap/>
            <w:vAlign w:val="bottom"/>
            <w:hideMark/>
          </w:tcPr>
          <w:p w14:paraId="70038218"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laborales</w:t>
            </w:r>
          </w:p>
        </w:tc>
        <w:tc>
          <w:tcPr>
            <w:tcW w:w="761" w:type="dxa"/>
            <w:tcBorders>
              <w:top w:val="nil"/>
              <w:left w:val="nil"/>
              <w:bottom w:val="nil"/>
              <w:right w:val="single" w:sz="4" w:space="0" w:color="auto"/>
            </w:tcBorders>
            <w:shd w:val="clear" w:color="000000" w:fill="FFFFFF"/>
            <w:noWrap/>
            <w:vAlign w:val="bottom"/>
            <w:hideMark/>
          </w:tcPr>
          <w:p w14:paraId="51A2D65E"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-0,0790</w:t>
            </w:r>
          </w:p>
        </w:tc>
        <w:tc>
          <w:tcPr>
            <w:tcW w:w="761" w:type="dxa"/>
            <w:tcBorders>
              <w:top w:val="nil"/>
              <w:left w:val="nil"/>
              <w:bottom w:val="nil"/>
              <w:right w:val="single" w:sz="4" w:space="0" w:color="auto"/>
            </w:tcBorders>
            <w:shd w:val="clear" w:color="000000" w:fill="FFFFFF"/>
            <w:noWrap/>
            <w:vAlign w:val="bottom"/>
            <w:hideMark/>
          </w:tcPr>
          <w:p w14:paraId="6F06B388"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-0,0109</w:t>
            </w:r>
          </w:p>
        </w:tc>
        <w:tc>
          <w:tcPr>
            <w:tcW w:w="761" w:type="dxa"/>
            <w:tcBorders>
              <w:top w:val="nil"/>
              <w:left w:val="nil"/>
              <w:bottom w:val="nil"/>
              <w:right w:val="single" w:sz="4" w:space="0" w:color="auto"/>
            </w:tcBorders>
            <w:shd w:val="clear" w:color="000000" w:fill="FFFFFF"/>
            <w:noWrap/>
            <w:vAlign w:val="bottom"/>
            <w:hideMark/>
          </w:tcPr>
          <w:p w14:paraId="6F224B02"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-0,0117</w:t>
            </w:r>
          </w:p>
        </w:tc>
        <w:tc>
          <w:tcPr>
            <w:tcW w:w="761" w:type="dxa"/>
            <w:tcBorders>
              <w:top w:val="nil"/>
              <w:left w:val="nil"/>
              <w:bottom w:val="nil"/>
              <w:right w:val="single" w:sz="4" w:space="0" w:color="auto"/>
            </w:tcBorders>
            <w:shd w:val="clear" w:color="000000" w:fill="FFFFFF"/>
            <w:noWrap/>
            <w:vAlign w:val="bottom"/>
            <w:hideMark/>
          </w:tcPr>
          <w:p w14:paraId="11A48D6E"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-0,0596</w:t>
            </w:r>
          </w:p>
        </w:tc>
        <w:tc>
          <w:tcPr>
            <w:tcW w:w="761" w:type="dxa"/>
            <w:tcBorders>
              <w:top w:val="nil"/>
              <w:left w:val="nil"/>
              <w:bottom w:val="nil"/>
              <w:right w:val="single" w:sz="4" w:space="0" w:color="auto"/>
            </w:tcBorders>
            <w:shd w:val="clear" w:color="000000" w:fill="FFFFFF"/>
            <w:noWrap/>
            <w:vAlign w:val="bottom"/>
            <w:hideMark/>
          </w:tcPr>
          <w:p w14:paraId="70D2789E"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0,0003</w:t>
            </w:r>
          </w:p>
        </w:tc>
        <w:tc>
          <w:tcPr>
            <w:tcW w:w="761" w:type="dxa"/>
            <w:tcBorders>
              <w:top w:val="nil"/>
              <w:left w:val="nil"/>
              <w:bottom w:val="nil"/>
              <w:right w:val="single" w:sz="4" w:space="0" w:color="auto"/>
            </w:tcBorders>
            <w:shd w:val="clear" w:color="000000" w:fill="FFFFFF"/>
            <w:noWrap/>
            <w:vAlign w:val="bottom"/>
            <w:hideMark/>
          </w:tcPr>
          <w:p w14:paraId="556A466D"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0,0015</w:t>
            </w:r>
          </w:p>
        </w:tc>
        <w:tc>
          <w:tcPr>
            <w:tcW w:w="761" w:type="dxa"/>
            <w:tcBorders>
              <w:top w:val="nil"/>
              <w:left w:val="nil"/>
              <w:bottom w:val="nil"/>
              <w:right w:val="single" w:sz="4" w:space="0" w:color="auto"/>
            </w:tcBorders>
            <w:shd w:val="clear" w:color="000000" w:fill="FFFFFF"/>
            <w:noWrap/>
            <w:vAlign w:val="bottom"/>
            <w:hideMark/>
          </w:tcPr>
          <w:p w14:paraId="691C9558"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0,0016</w:t>
            </w:r>
          </w:p>
        </w:tc>
        <w:tc>
          <w:tcPr>
            <w:tcW w:w="761" w:type="dxa"/>
            <w:tcBorders>
              <w:top w:val="nil"/>
              <w:left w:val="nil"/>
              <w:bottom w:val="nil"/>
              <w:right w:val="single" w:sz="4" w:space="0" w:color="auto"/>
            </w:tcBorders>
            <w:shd w:val="clear" w:color="000000" w:fill="FFFFFF"/>
            <w:noWrap/>
            <w:vAlign w:val="bottom"/>
            <w:hideMark/>
          </w:tcPr>
          <w:p w14:paraId="089A3155"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0,0000</w:t>
            </w:r>
          </w:p>
        </w:tc>
      </w:tr>
      <w:tr w:rsidR="00922E37" w:rsidRPr="007C2D50" w14:paraId="597DD2DF" w14:textId="77777777" w:rsidTr="008850F5">
        <w:trPr>
          <w:trHeight w:val="262"/>
        </w:trPr>
        <w:tc>
          <w:tcPr>
            <w:tcW w:w="2418" w:type="dxa"/>
            <w:tcBorders>
              <w:top w:val="nil"/>
              <w:left w:val="single" w:sz="4" w:space="0" w:color="auto"/>
              <w:bottom w:val="nil"/>
              <w:right w:val="single" w:sz="4" w:space="0" w:color="auto"/>
            </w:tcBorders>
            <w:shd w:val="clear" w:color="000000" w:fill="FFFFFF"/>
            <w:noWrap/>
            <w:vAlign w:val="bottom"/>
            <w:hideMark/>
          </w:tcPr>
          <w:p w14:paraId="5DD9F8E3"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formal público y privado</w:t>
            </w:r>
          </w:p>
        </w:tc>
        <w:tc>
          <w:tcPr>
            <w:tcW w:w="761" w:type="dxa"/>
            <w:tcBorders>
              <w:top w:val="nil"/>
              <w:left w:val="nil"/>
              <w:bottom w:val="nil"/>
              <w:right w:val="single" w:sz="4" w:space="0" w:color="auto"/>
            </w:tcBorders>
            <w:shd w:val="clear" w:color="000000" w:fill="FFFFFF"/>
            <w:noWrap/>
            <w:vAlign w:val="bottom"/>
            <w:hideMark/>
          </w:tcPr>
          <w:p w14:paraId="0E2E0B4A"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-0,0573</w:t>
            </w:r>
          </w:p>
        </w:tc>
        <w:tc>
          <w:tcPr>
            <w:tcW w:w="761" w:type="dxa"/>
            <w:tcBorders>
              <w:top w:val="nil"/>
              <w:left w:val="nil"/>
              <w:bottom w:val="nil"/>
              <w:right w:val="single" w:sz="4" w:space="0" w:color="auto"/>
            </w:tcBorders>
            <w:shd w:val="clear" w:color="000000" w:fill="FFFFFF"/>
            <w:noWrap/>
            <w:vAlign w:val="bottom"/>
            <w:hideMark/>
          </w:tcPr>
          <w:p w14:paraId="1773BBCD"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-0,0198</w:t>
            </w:r>
          </w:p>
        </w:tc>
        <w:tc>
          <w:tcPr>
            <w:tcW w:w="761" w:type="dxa"/>
            <w:tcBorders>
              <w:top w:val="nil"/>
              <w:left w:val="nil"/>
              <w:bottom w:val="nil"/>
              <w:right w:val="single" w:sz="4" w:space="0" w:color="auto"/>
            </w:tcBorders>
            <w:shd w:val="clear" w:color="000000" w:fill="FFFFFF"/>
            <w:noWrap/>
            <w:vAlign w:val="bottom"/>
            <w:hideMark/>
          </w:tcPr>
          <w:p w14:paraId="4DF85780"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0,0066</w:t>
            </w:r>
          </w:p>
        </w:tc>
        <w:tc>
          <w:tcPr>
            <w:tcW w:w="761" w:type="dxa"/>
            <w:tcBorders>
              <w:top w:val="nil"/>
              <w:left w:val="nil"/>
              <w:bottom w:val="nil"/>
              <w:right w:val="single" w:sz="4" w:space="0" w:color="auto"/>
            </w:tcBorders>
            <w:shd w:val="clear" w:color="000000" w:fill="FFFFFF"/>
            <w:noWrap/>
            <w:vAlign w:val="bottom"/>
            <w:hideMark/>
          </w:tcPr>
          <w:p w14:paraId="4B41B3E6"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-0,0454</w:t>
            </w:r>
          </w:p>
        </w:tc>
        <w:tc>
          <w:tcPr>
            <w:tcW w:w="761" w:type="dxa"/>
            <w:tcBorders>
              <w:top w:val="nil"/>
              <w:left w:val="nil"/>
              <w:bottom w:val="nil"/>
              <w:right w:val="single" w:sz="4" w:space="0" w:color="auto"/>
            </w:tcBorders>
            <w:shd w:val="clear" w:color="000000" w:fill="FFFFFF"/>
            <w:noWrap/>
            <w:vAlign w:val="bottom"/>
            <w:hideMark/>
          </w:tcPr>
          <w:p w14:paraId="329F55B3"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-0,0004</w:t>
            </w:r>
          </w:p>
        </w:tc>
        <w:tc>
          <w:tcPr>
            <w:tcW w:w="761" w:type="dxa"/>
            <w:tcBorders>
              <w:top w:val="nil"/>
              <w:left w:val="nil"/>
              <w:bottom w:val="nil"/>
              <w:right w:val="single" w:sz="4" w:space="0" w:color="auto"/>
            </w:tcBorders>
            <w:shd w:val="clear" w:color="000000" w:fill="FFFFFF"/>
            <w:noWrap/>
            <w:vAlign w:val="bottom"/>
            <w:hideMark/>
          </w:tcPr>
          <w:p w14:paraId="25A77105"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0,0025</w:t>
            </w:r>
          </w:p>
        </w:tc>
        <w:tc>
          <w:tcPr>
            <w:tcW w:w="761" w:type="dxa"/>
            <w:tcBorders>
              <w:top w:val="nil"/>
              <w:left w:val="nil"/>
              <w:bottom w:val="nil"/>
              <w:right w:val="single" w:sz="4" w:space="0" w:color="auto"/>
            </w:tcBorders>
            <w:shd w:val="clear" w:color="000000" w:fill="FFFFFF"/>
            <w:noWrap/>
            <w:vAlign w:val="bottom"/>
            <w:hideMark/>
          </w:tcPr>
          <w:p w14:paraId="23A7A11D"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-0,0008</w:t>
            </w:r>
          </w:p>
        </w:tc>
        <w:tc>
          <w:tcPr>
            <w:tcW w:w="761" w:type="dxa"/>
            <w:tcBorders>
              <w:top w:val="nil"/>
              <w:left w:val="nil"/>
              <w:bottom w:val="nil"/>
              <w:right w:val="single" w:sz="4" w:space="0" w:color="auto"/>
            </w:tcBorders>
            <w:shd w:val="clear" w:color="000000" w:fill="FFFFFF"/>
            <w:noWrap/>
            <w:vAlign w:val="bottom"/>
            <w:hideMark/>
          </w:tcPr>
          <w:p w14:paraId="70DC9645"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0,0000</w:t>
            </w:r>
          </w:p>
        </w:tc>
      </w:tr>
      <w:tr w:rsidR="00922E37" w:rsidRPr="007C2D50" w14:paraId="3418EF6B" w14:textId="77777777" w:rsidTr="008850F5">
        <w:trPr>
          <w:trHeight w:val="262"/>
        </w:trPr>
        <w:tc>
          <w:tcPr>
            <w:tcW w:w="2418" w:type="dxa"/>
            <w:tcBorders>
              <w:top w:val="nil"/>
              <w:left w:val="single" w:sz="4" w:space="0" w:color="auto"/>
              <w:bottom w:val="nil"/>
              <w:right w:val="single" w:sz="4" w:space="0" w:color="auto"/>
            </w:tcBorders>
            <w:shd w:val="clear" w:color="000000" w:fill="FFFFFF"/>
            <w:noWrap/>
            <w:vAlign w:val="bottom"/>
            <w:hideMark/>
          </w:tcPr>
          <w:p w14:paraId="4B0F8DF4"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formal privado</w:t>
            </w:r>
          </w:p>
        </w:tc>
        <w:tc>
          <w:tcPr>
            <w:tcW w:w="761" w:type="dxa"/>
            <w:tcBorders>
              <w:top w:val="nil"/>
              <w:left w:val="nil"/>
              <w:bottom w:val="nil"/>
              <w:right w:val="single" w:sz="4" w:space="0" w:color="auto"/>
            </w:tcBorders>
            <w:shd w:val="clear" w:color="000000" w:fill="FFFFFF"/>
            <w:noWrap/>
            <w:vAlign w:val="bottom"/>
            <w:hideMark/>
          </w:tcPr>
          <w:p w14:paraId="2EC5946C"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-0,0778</w:t>
            </w:r>
          </w:p>
        </w:tc>
        <w:tc>
          <w:tcPr>
            <w:tcW w:w="761" w:type="dxa"/>
            <w:tcBorders>
              <w:top w:val="nil"/>
              <w:left w:val="nil"/>
              <w:bottom w:val="nil"/>
              <w:right w:val="single" w:sz="4" w:space="0" w:color="auto"/>
            </w:tcBorders>
            <w:shd w:val="clear" w:color="000000" w:fill="FFFFFF"/>
            <w:noWrap/>
            <w:vAlign w:val="bottom"/>
            <w:hideMark/>
          </w:tcPr>
          <w:p w14:paraId="6CDBB159"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-0,0406</w:t>
            </w:r>
          </w:p>
        </w:tc>
        <w:tc>
          <w:tcPr>
            <w:tcW w:w="761" w:type="dxa"/>
            <w:tcBorders>
              <w:top w:val="nil"/>
              <w:left w:val="nil"/>
              <w:bottom w:val="nil"/>
              <w:right w:val="single" w:sz="4" w:space="0" w:color="auto"/>
            </w:tcBorders>
            <w:shd w:val="clear" w:color="000000" w:fill="FFFFFF"/>
            <w:noWrap/>
            <w:vAlign w:val="bottom"/>
            <w:hideMark/>
          </w:tcPr>
          <w:p w14:paraId="432F936D"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-0,0109</w:t>
            </w:r>
          </w:p>
        </w:tc>
        <w:tc>
          <w:tcPr>
            <w:tcW w:w="761" w:type="dxa"/>
            <w:tcBorders>
              <w:top w:val="nil"/>
              <w:left w:val="nil"/>
              <w:bottom w:val="nil"/>
              <w:right w:val="single" w:sz="4" w:space="0" w:color="auto"/>
            </w:tcBorders>
            <w:shd w:val="clear" w:color="000000" w:fill="FFFFFF"/>
            <w:noWrap/>
            <w:vAlign w:val="bottom"/>
            <w:hideMark/>
          </w:tcPr>
          <w:p w14:paraId="13378C40"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-0,0339</w:t>
            </w:r>
          </w:p>
        </w:tc>
        <w:tc>
          <w:tcPr>
            <w:tcW w:w="761" w:type="dxa"/>
            <w:tcBorders>
              <w:top w:val="nil"/>
              <w:left w:val="nil"/>
              <w:bottom w:val="nil"/>
              <w:right w:val="single" w:sz="4" w:space="0" w:color="auto"/>
            </w:tcBorders>
            <w:shd w:val="clear" w:color="000000" w:fill="FFFFFF"/>
            <w:noWrap/>
            <w:vAlign w:val="bottom"/>
            <w:hideMark/>
          </w:tcPr>
          <w:p w14:paraId="550C29F2"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0,0016</w:t>
            </w:r>
          </w:p>
        </w:tc>
        <w:tc>
          <w:tcPr>
            <w:tcW w:w="761" w:type="dxa"/>
            <w:tcBorders>
              <w:top w:val="nil"/>
              <w:left w:val="nil"/>
              <w:bottom w:val="nil"/>
              <w:right w:val="single" w:sz="4" w:space="0" w:color="auto"/>
            </w:tcBorders>
            <w:shd w:val="clear" w:color="000000" w:fill="FFFFFF"/>
            <w:noWrap/>
            <w:vAlign w:val="bottom"/>
            <w:hideMark/>
          </w:tcPr>
          <w:p w14:paraId="4EB219AE"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0,0049</w:t>
            </w:r>
          </w:p>
        </w:tc>
        <w:tc>
          <w:tcPr>
            <w:tcW w:w="761" w:type="dxa"/>
            <w:tcBorders>
              <w:top w:val="nil"/>
              <w:left w:val="nil"/>
              <w:bottom w:val="nil"/>
              <w:right w:val="single" w:sz="4" w:space="0" w:color="auto"/>
            </w:tcBorders>
            <w:shd w:val="clear" w:color="000000" w:fill="FFFFFF"/>
            <w:noWrap/>
            <w:vAlign w:val="bottom"/>
            <w:hideMark/>
          </w:tcPr>
          <w:p w14:paraId="21901037"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0,0013</w:t>
            </w:r>
          </w:p>
        </w:tc>
        <w:tc>
          <w:tcPr>
            <w:tcW w:w="761" w:type="dxa"/>
            <w:tcBorders>
              <w:top w:val="nil"/>
              <w:left w:val="nil"/>
              <w:bottom w:val="nil"/>
              <w:right w:val="single" w:sz="4" w:space="0" w:color="auto"/>
            </w:tcBorders>
            <w:shd w:val="clear" w:color="000000" w:fill="FFFFFF"/>
            <w:noWrap/>
            <w:vAlign w:val="bottom"/>
            <w:hideMark/>
          </w:tcPr>
          <w:p w14:paraId="2ECAC5F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-0,0002</w:t>
            </w:r>
          </w:p>
        </w:tc>
      </w:tr>
      <w:tr w:rsidR="00922E37" w:rsidRPr="007C2D50" w14:paraId="0855374D" w14:textId="77777777" w:rsidTr="008850F5">
        <w:trPr>
          <w:trHeight w:val="262"/>
        </w:trPr>
        <w:tc>
          <w:tcPr>
            <w:tcW w:w="2418" w:type="dxa"/>
            <w:tcBorders>
              <w:top w:val="nil"/>
              <w:left w:val="single" w:sz="4" w:space="0" w:color="auto"/>
              <w:bottom w:val="nil"/>
              <w:right w:val="single" w:sz="4" w:space="0" w:color="auto"/>
            </w:tcBorders>
            <w:shd w:val="clear" w:color="000000" w:fill="FFFFFF"/>
            <w:noWrap/>
            <w:vAlign w:val="bottom"/>
            <w:hideMark/>
          </w:tcPr>
          <w:p w14:paraId="3BA5A42D" w14:textId="77777777" w:rsidR="00922E37" w:rsidRPr="007C2D50" w:rsidRDefault="00922E37" w:rsidP="008850F5">
            <w:pPr>
              <w:keepNext/>
              <w:spacing w:after="0" w:line="240" w:lineRule="auto"/>
              <w:ind w:firstLineChars="200" w:firstLine="320"/>
              <w:rPr>
                <w:rFonts w:ascii="Times New Roman" w:eastAsia="Times New Roman" w:hAnsi="Times New Roman"/>
                <w:i/>
                <w:iCs/>
                <w:color w:val="000000"/>
                <w:sz w:val="16"/>
                <w:szCs w:val="16"/>
                <w:lang w:eastAsia="es-AR"/>
              </w:rPr>
            </w:pPr>
            <w:r w:rsidRPr="007C2D50">
              <w:rPr>
                <w:rFonts w:ascii="Times New Roman" w:eastAsia="Times New Roman" w:hAnsi="Times New Roman"/>
                <w:i/>
                <w:iCs/>
                <w:color w:val="000000"/>
                <w:sz w:val="16"/>
                <w:szCs w:val="16"/>
                <w:lang w:eastAsia="es-AR"/>
              </w:rPr>
              <w:t>Sector público</w:t>
            </w:r>
          </w:p>
        </w:tc>
        <w:tc>
          <w:tcPr>
            <w:tcW w:w="761" w:type="dxa"/>
            <w:tcBorders>
              <w:top w:val="nil"/>
              <w:left w:val="nil"/>
              <w:bottom w:val="nil"/>
              <w:right w:val="single" w:sz="4" w:space="0" w:color="auto"/>
            </w:tcBorders>
            <w:shd w:val="clear" w:color="000000" w:fill="FFFFFF"/>
            <w:noWrap/>
            <w:vAlign w:val="bottom"/>
            <w:hideMark/>
          </w:tcPr>
          <w:p w14:paraId="5C98370D"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0,0206</w:t>
            </w:r>
          </w:p>
        </w:tc>
        <w:tc>
          <w:tcPr>
            <w:tcW w:w="761" w:type="dxa"/>
            <w:tcBorders>
              <w:top w:val="nil"/>
              <w:left w:val="nil"/>
              <w:bottom w:val="nil"/>
              <w:right w:val="single" w:sz="4" w:space="0" w:color="auto"/>
            </w:tcBorders>
            <w:shd w:val="clear" w:color="000000" w:fill="FFFFFF"/>
            <w:noWrap/>
            <w:vAlign w:val="bottom"/>
            <w:hideMark/>
          </w:tcPr>
          <w:p w14:paraId="5684CC5B"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0,0043</w:t>
            </w:r>
          </w:p>
        </w:tc>
        <w:tc>
          <w:tcPr>
            <w:tcW w:w="761" w:type="dxa"/>
            <w:tcBorders>
              <w:top w:val="nil"/>
              <w:left w:val="nil"/>
              <w:bottom w:val="nil"/>
              <w:right w:val="single" w:sz="4" w:space="0" w:color="auto"/>
            </w:tcBorders>
            <w:shd w:val="clear" w:color="000000" w:fill="FFFFFF"/>
            <w:noWrap/>
            <w:vAlign w:val="bottom"/>
            <w:hideMark/>
          </w:tcPr>
          <w:p w14:paraId="3FA0A8B5"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0,0170</w:t>
            </w:r>
          </w:p>
        </w:tc>
        <w:tc>
          <w:tcPr>
            <w:tcW w:w="761" w:type="dxa"/>
            <w:tcBorders>
              <w:top w:val="nil"/>
              <w:left w:val="nil"/>
              <w:bottom w:val="nil"/>
              <w:right w:val="single" w:sz="4" w:space="0" w:color="auto"/>
            </w:tcBorders>
            <w:shd w:val="clear" w:color="000000" w:fill="FFFFFF"/>
            <w:noWrap/>
            <w:vAlign w:val="bottom"/>
            <w:hideMark/>
          </w:tcPr>
          <w:p w14:paraId="117505F1"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-0,0013</w:t>
            </w:r>
          </w:p>
        </w:tc>
        <w:tc>
          <w:tcPr>
            <w:tcW w:w="761" w:type="dxa"/>
            <w:tcBorders>
              <w:top w:val="nil"/>
              <w:left w:val="nil"/>
              <w:bottom w:val="nil"/>
              <w:right w:val="single" w:sz="4" w:space="0" w:color="auto"/>
            </w:tcBorders>
            <w:shd w:val="clear" w:color="000000" w:fill="FFFFFF"/>
            <w:noWrap/>
            <w:vAlign w:val="bottom"/>
            <w:hideMark/>
          </w:tcPr>
          <w:p w14:paraId="5171AE6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0,0010</w:t>
            </w:r>
          </w:p>
        </w:tc>
        <w:tc>
          <w:tcPr>
            <w:tcW w:w="761" w:type="dxa"/>
            <w:tcBorders>
              <w:top w:val="nil"/>
              <w:left w:val="nil"/>
              <w:bottom w:val="nil"/>
              <w:right w:val="single" w:sz="4" w:space="0" w:color="auto"/>
            </w:tcBorders>
            <w:shd w:val="clear" w:color="000000" w:fill="FFFFFF"/>
            <w:noWrap/>
            <w:vAlign w:val="bottom"/>
            <w:hideMark/>
          </w:tcPr>
          <w:p w14:paraId="113C02E1"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-0,0001</w:t>
            </w:r>
          </w:p>
        </w:tc>
        <w:tc>
          <w:tcPr>
            <w:tcW w:w="761" w:type="dxa"/>
            <w:tcBorders>
              <w:top w:val="nil"/>
              <w:left w:val="nil"/>
              <w:bottom w:val="nil"/>
              <w:right w:val="single" w:sz="4" w:space="0" w:color="auto"/>
            </w:tcBorders>
            <w:shd w:val="clear" w:color="000000" w:fill="FFFFFF"/>
            <w:noWrap/>
            <w:vAlign w:val="bottom"/>
            <w:hideMark/>
          </w:tcPr>
          <w:p w14:paraId="46472F5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-0,0003</w:t>
            </w:r>
          </w:p>
        </w:tc>
        <w:tc>
          <w:tcPr>
            <w:tcW w:w="761" w:type="dxa"/>
            <w:tcBorders>
              <w:top w:val="nil"/>
              <w:left w:val="nil"/>
              <w:bottom w:val="nil"/>
              <w:right w:val="single" w:sz="4" w:space="0" w:color="auto"/>
            </w:tcBorders>
            <w:shd w:val="clear" w:color="000000" w:fill="FFFFFF"/>
            <w:noWrap/>
            <w:vAlign w:val="bottom"/>
            <w:hideMark/>
          </w:tcPr>
          <w:p w14:paraId="33EF8F32"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0,0000</w:t>
            </w:r>
          </w:p>
        </w:tc>
      </w:tr>
      <w:tr w:rsidR="00922E37" w:rsidRPr="007C2D50" w14:paraId="37A890A2" w14:textId="77777777" w:rsidTr="008850F5">
        <w:trPr>
          <w:trHeight w:val="262"/>
        </w:trPr>
        <w:tc>
          <w:tcPr>
            <w:tcW w:w="2418" w:type="dxa"/>
            <w:tcBorders>
              <w:top w:val="nil"/>
              <w:left w:val="single" w:sz="4" w:space="0" w:color="auto"/>
              <w:bottom w:val="nil"/>
              <w:right w:val="single" w:sz="4" w:space="0" w:color="auto"/>
            </w:tcBorders>
            <w:shd w:val="clear" w:color="000000" w:fill="FFFFFF"/>
            <w:noWrap/>
            <w:vAlign w:val="bottom"/>
            <w:hideMark/>
          </w:tcPr>
          <w:p w14:paraId="4837390C" w14:textId="77777777" w:rsidR="00922E37" w:rsidRPr="007C2D50" w:rsidRDefault="00922E37" w:rsidP="008850F5">
            <w:pPr>
              <w:keepNext/>
              <w:spacing w:after="0" w:line="240" w:lineRule="auto"/>
              <w:ind w:firstLineChars="100" w:firstLine="160"/>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Sector microinformal</w:t>
            </w:r>
          </w:p>
        </w:tc>
        <w:tc>
          <w:tcPr>
            <w:tcW w:w="761" w:type="dxa"/>
            <w:tcBorders>
              <w:top w:val="nil"/>
              <w:left w:val="nil"/>
              <w:bottom w:val="nil"/>
              <w:right w:val="single" w:sz="4" w:space="0" w:color="auto"/>
            </w:tcBorders>
            <w:shd w:val="clear" w:color="000000" w:fill="FFFFFF"/>
            <w:noWrap/>
            <w:vAlign w:val="bottom"/>
            <w:hideMark/>
          </w:tcPr>
          <w:p w14:paraId="0994646B"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-0,0217</w:t>
            </w:r>
          </w:p>
        </w:tc>
        <w:tc>
          <w:tcPr>
            <w:tcW w:w="761" w:type="dxa"/>
            <w:tcBorders>
              <w:top w:val="nil"/>
              <w:left w:val="nil"/>
              <w:bottom w:val="nil"/>
              <w:right w:val="single" w:sz="4" w:space="0" w:color="auto"/>
            </w:tcBorders>
            <w:shd w:val="clear" w:color="000000" w:fill="FFFFFF"/>
            <w:noWrap/>
            <w:vAlign w:val="bottom"/>
            <w:hideMark/>
          </w:tcPr>
          <w:p w14:paraId="1CDD154B"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-0,0134</w:t>
            </w:r>
          </w:p>
        </w:tc>
        <w:tc>
          <w:tcPr>
            <w:tcW w:w="761" w:type="dxa"/>
            <w:tcBorders>
              <w:top w:val="nil"/>
              <w:left w:val="nil"/>
              <w:bottom w:val="nil"/>
              <w:right w:val="single" w:sz="4" w:space="0" w:color="auto"/>
            </w:tcBorders>
            <w:shd w:val="clear" w:color="000000" w:fill="FFFFFF"/>
            <w:noWrap/>
            <w:vAlign w:val="bottom"/>
            <w:hideMark/>
          </w:tcPr>
          <w:p w14:paraId="6886AF77"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-0,0107</w:t>
            </w:r>
          </w:p>
        </w:tc>
        <w:tc>
          <w:tcPr>
            <w:tcW w:w="761" w:type="dxa"/>
            <w:tcBorders>
              <w:top w:val="nil"/>
              <w:left w:val="nil"/>
              <w:bottom w:val="nil"/>
              <w:right w:val="single" w:sz="4" w:space="0" w:color="auto"/>
            </w:tcBorders>
            <w:shd w:val="clear" w:color="000000" w:fill="FFFFFF"/>
            <w:noWrap/>
            <w:vAlign w:val="bottom"/>
            <w:hideMark/>
          </w:tcPr>
          <w:p w14:paraId="1206648A"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0,0010</w:t>
            </w:r>
          </w:p>
        </w:tc>
        <w:tc>
          <w:tcPr>
            <w:tcW w:w="761" w:type="dxa"/>
            <w:tcBorders>
              <w:top w:val="nil"/>
              <w:left w:val="nil"/>
              <w:bottom w:val="nil"/>
              <w:right w:val="single" w:sz="4" w:space="0" w:color="auto"/>
            </w:tcBorders>
            <w:shd w:val="clear" w:color="000000" w:fill="FFFFFF"/>
            <w:noWrap/>
            <w:vAlign w:val="bottom"/>
            <w:hideMark/>
          </w:tcPr>
          <w:p w14:paraId="1A4BC2B9"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0,0017</w:t>
            </w:r>
          </w:p>
        </w:tc>
        <w:tc>
          <w:tcPr>
            <w:tcW w:w="761" w:type="dxa"/>
            <w:tcBorders>
              <w:top w:val="nil"/>
              <w:left w:val="nil"/>
              <w:bottom w:val="nil"/>
              <w:right w:val="single" w:sz="4" w:space="0" w:color="auto"/>
            </w:tcBorders>
            <w:shd w:val="clear" w:color="000000" w:fill="FFFFFF"/>
            <w:noWrap/>
            <w:vAlign w:val="bottom"/>
            <w:hideMark/>
          </w:tcPr>
          <w:p w14:paraId="6779FCB6"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-0,0002</w:t>
            </w:r>
          </w:p>
        </w:tc>
        <w:tc>
          <w:tcPr>
            <w:tcW w:w="761" w:type="dxa"/>
            <w:tcBorders>
              <w:top w:val="nil"/>
              <w:left w:val="nil"/>
              <w:bottom w:val="nil"/>
              <w:right w:val="single" w:sz="4" w:space="0" w:color="auto"/>
            </w:tcBorders>
            <w:shd w:val="clear" w:color="000000" w:fill="FFFFFF"/>
            <w:noWrap/>
            <w:vAlign w:val="bottom"/>
            <w:hideMark/>
          </w:tcPr>
          <w:p w14:paraId="4DE0B339"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-0,0001</w:t>
            </w:r>
          </w:p>
        </w:tc>
        <w:tc>
          <w:tcPr>
            <w:tcW w:w="761" w:type="dxa"/>
            <w:tcBorders>
              <w:top w:val="nil"/>
              <w:left w:val="nil"/>
              <w:bottom w:val="nil"/>
              <w:right w:val="single" w:sz="4" w:space="0" w:color="auto"/>
            </w:tcBorders>
            <w:shd w:val="clear" w:color="000000" w:fill="FFFFFF"/>
            <w:noWrap/>
            <w:vAlign w:val="bottom"/>
            <w:hideMark/>
          </w:tcPr>
          <w:p w14:paraId="40487B22" w14:textId="77777777" w:rsidR="00922E37" w:rsidRPr="007C2D50" w:rsidRDefault="00922E37" w:rsidP="008850F5">
            <w:pPr>
              <w:keepNext/>
              <w:spacing w:after="0" w:line="240" w:lineRule="auto"/>
              <w:jc w:val="center"/>
              <w:rPr>
                <w:rFonts w:ascii="Times New Roman" w:eastAsia="Times New Roman" w:hAnsi="Times New Roman"/>
                <w:b/>
                <w:i/>
                <w:color w:val="000000"/>
                <w:sz w:val="16"/>
                <w:szCs w:val="16"/>
                <w:lang w:eastAsia="es-AR"/>
              </w:rPr>
            </w:pPr>
            <w:r w:rsidRPr="007C2D50">
              <w:rPr>
                <w:rFonts w:ascii="Times New Roman" w:eastAsia="Times New Roman" w:hAnsi="Times New Roman"/>
                <w:b/>
                <w:i/>
                <w:color w:val="000000"/>
                <w:sz w:val="16"/>
                <w:szCs w:val="16"/>
                <w:lang w:eastAsia="es-AR"/>
              </w:rPr>
              <w:t>0,0000</w:t>
            </w:r>
          </w:p>
        </w:tc>
      </w:tr>
      <w:tr w:rsidR="00922E37" w:rsidRPr="007C2D50" w14:paraId="375F9A64" w14:textId="77777777" w:rsidTr="008850F5">
        <w:trPr>
          <w:trHeight w:val="262"/>
        </w:trPr>
        <w:tc>
          <w:tcPr>
            <w:tcW w:w="2418" w:type="dxa"/>
            <w:tcBorders>
              <w:top w:val="nil"/>
              <w:left w:val="single" w:sz="4" w:space="0" w:color="auto"/>
              <w:bottom w:val="single" w:sz="4" w:space="0" w:color="auto"/>
              <w:right w:val="single" w:sz="4" w:space="0" w:color="auto"/>
            </w:tcBorders>
            <w:shd w:val="clear" w:color="000000" w:fill="FFFFFF"/>
            <w:noWrap/>
            <w:vAlign w:val="bottom"/>
            <w:hideMark/>
          </w:tcPr>
          <w:p w14:paraId="58C1630D" w14:textId="77777777" w:rsidR="00922E37" w:rsidRPr="007C2D50" w:rsidRDefault="00922E37" w:rsidP="008850F5">
            <w:pPr>
              <w:keepNext/>
              <w:spacing w:after="0" w:line="240" w:lineRule="auto"/>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Ingresos no laborales</w:t>
            </w:r>
          </w:p>
        </w:tc>
        <w:tc>
          <w:tcPr>
            <w:tcW w:w="761" w:type="dxa"/>
            <w:tcBorders>
              <w:top w:val="nil"/>
              <w:left w:val="nil"/>
              <w:bottom w:val="single" w:sz="4" w:space="0" w:color="auto"/>
              <w:right w:val="single" w:sz="4" w:space="0" w:color="auto"/>
            </w:tcBorders>
            <w:shd w:val="clear" w:color="000000" w:fill="FFFFFF"/>
            <w:noWrap/>
            <w:vAlign w:val="bottom"/>
            <w:hideMark/>
          </w:tcPr>
          <w:p w14:paraId="0E01DF83"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-0,0112</w:t>
            </w:r>
          </w:p>
        </w:tc>
        <w:tc>
          <w:tcPr>
            <w:tcW w:w="761" w:type="dxa"/>
            <w:tcBorders>
              <w:top w:val="nil"/>
              <w:left w:val="nil"/>
              <w:bottom w:val="single" w:sz="4" w:space="0" w:color="auto"/>
              <w:right w:val="single" w:sz="4" w:space="0" w:color="auto"/>
            </w:tcBorders>
            <w:shd w:val="clear" w:color="000000" w:fill="FFFFFF"/>
            <w:noWrap/>
            <w:vAlign w:val="bottom"/>
            <w:hideMark/>
          </w:tcPr>
          <w:p w14:paraId="78E86CBE"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-0,0124</w:t>
            </w:r>
          </w:p>
        </w:tc>
        <w:tc>
          <w:tcPr>
            <w:tcW w:w="761" w:type="dxa"/>
            <w:tcBorders>
              <w:top w:val="nil"/>
              <w:left w:val="nil"/>
              <w:bottom w:val="single" w:sz="4" w:space="0" w:color="auto"/>
              <w:right w:val="single" w:sz="4" w:space="0" w:color="auto"/>
            </w:tcBorders>
            <w:shd w:val="clear" w:color="000000" w:fill="FFFFFF"/>
            <w:noWrap/>
            <w:vAlign w:val="bottom"/>
            <w:hideMark/>
          </w:tcPr>
          <w:p w14:paraId="07A0B228"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0,0042</w:t>
            </w:r>
          </w:p>
        </w:tc>
        <w:tc>
          <w:tcPr>
            <w:tcW w:w="761" w:type="dxa"/>
            <w:tcBorders>
              <w:top w:val="nil"/>
              <w:left w:val="nil"/>
              <w:bottom w:val="single" w:sz="4" w:space="0" w:color="auto"/>
              <w:right w:val="single" w:sz="4" w:space="0" w:color="auto"/>
            </w:tcBorders>
            <w:shd w:val="clear" w:color="000000" w:fill="FFFFFF"/>
            <w:noWrap/>
            <w:vAlign w:val="bottom"/>
            <w:hideMark/>
          </w:tcPr>
          <w:p w14:paraId="3ADF6932"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-0,0021</w:t>
            </w:r>
          </w:p>
        </w:tc>
        <w:tc>
          <w:tcPr>
            <w:tcW w:w="761" w:type="dxa"/>
            <w:tcBorders>
              <w:top w:val="nil"/>
              <w:left w:val="nil"/>
              <w:bottom w:val="single" w:sz="4" w:space="0" w:color="auto"/>
              <w:right w:val="single" w:sz="4" w:space="0" w:color="auto"/>
            </w:tcBorders>
            <w:shd w:val="clear" w:color="000000" w:fill="FFFFFF"/>
            <w:noWrap/>
            <w:vAlign w:val="bottom"/>
            <w:hideMark/>
          </w:tcPr>
          <w:p w14:paraId="27D373A4"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-0,0016</w:t>
            </w:r>
          </w:p>
        </w:tc>
        <w:tc>
          <w:tcPr>
            <w:tcW w:w="761" w:type="dxa"/>
            <w:tcBorders>
              <w:top w:val="nil"/>
              <w:left w:val="nil"/>
              <w:bottom w:val="single" w:sz="4" w:space="0" w:color="auto"/>
              <w:right w:val="single" w:sz="4" w:space="0" w:color="auto"/>
            </w:tcBorders>
            <w:shd w:val="clear" w:color="000000" w:fill="FFFFFF"/>
            <w:noWrap/>
            <w:vAlign w:val="bottom"/>
            <w:hideMark/>
          </w:tcPr>
          <w:p w14:paraId="76081133"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0,0008</w:t>
            </w:r>
          </w:p>
        </w:tc>
        <w:tc>
          <w:tcPr>
            <w:tcW w:w="761" w:type="dxa"/>
            <w:tcBorders>
              <w:top w:val="nil"/>
              <w:left w:val="nil"/>
              <w:bottom w:val="single" w:sz="4" w:space="0" w:color="auto"/>
              <w:right w:val="single" w:sz="4" w:space="0" w:color="auto"/>
            </w:tcBorders>
            <w:shd w:val="clear" w:color="000000" w:fill="FFFFFF"/>
            <w:noWrap/>
            <w:vAlign w:val="bottom"/>
            <w:hideMark/>
          </w:tcPr>
          <w:p w14:paraId="2E88BB54"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-0,0003</w:t>
            </w:r>
          </w:p>
        </w:tc>
        <w:tc>
          <w:tcPr>
            <w:tcW w:w="761" w:type="dxa"/>
            <w:tcBorders>
              <w:top w:val="nil"/>
              <w:left w:val="nil"/>
              <w:bottom w:val="single" w:sz="4" w:space="0" w:color="auto"/>
              <w:right w:val="single" w:sz="4" w:space="0" w:color="auto"/>
            </w:tcBorders>
            <w:shd w:val="clear" w:color="000000" w:fill="FFFFFF"/>
            <w:noWrap/>
            <w:vAlign w:val="bottom"/>
            <w:hideMark/>
          </w:tcPr>
          <w:p w14:paraId="4E874B46" w14:textId="77777777" w:rsidR="00922E37" w:rsidRPr="007C2D50" w:rsidRDefault="00922E37" w:rsidP="008850F5">
            <w:pPr>
              <w:keepNext/>
              <w:spacing w:after="0" w:line="240" w:lineRule="auto"/>
              <w:jc w:val="center"/>
              <w:rPr>
                <w:rFonts w:ascii="Times New Roman" w:eastAsia="Times New Roman" w:hAnsi="Times New Roman"/>
                <w:b/>
                <w:bCs/>
                <w:color w:val="000000"/>
                <w:sz w:val="16"/>
                <w:szCs w:val="16"/>
                <w:lang w:eastAsia="es-AR"/>
              </w:rPr>
            </w:pPr>
            <w:r w:rsidRPr="007C2D50">
              <w:rPr>
                <w:rFonts w:ascii="Times New Roman" w:eastAsia="Times New Roman" w:hAnsi="Times New Roman"/>
                <w:b/>
                <w:bCs/>
                <w:color w:val="000000"/>
                <w:sz w:val="16"/>
                <w:szCs w:val="16"/>
                <w:lang w:eastAsia="es-AR"/>
              </w:rPr>
              <w:t>0,0001</w:t>
            </w:r>
          </w:p>
        </w:tc>
      </w:tr>
      <w:tr w:rsidR="00922E37" w:rsidRPr="007C2D50" w14:paraId="467B8B7A" w14:textId="77777777" w:rsidTr="008850F5">
        <w:trPr>
          <w:trHeight w:val="262"/>
        </w:trPr>
        <w:tc>
          <w:tcPr>
            <w:tcW w:w="2418" w:type="dxa"/>
            <w:tcBorders>
              <w:top w:val="single" w:sz="4" w:space="0" w:color="auto"/>
              <w:left w:val="single" w:sz="4" w:space="0" w:color="auto"/>
              <w:bottom w:val="single" w:sz="4" w:space="0" w:color="auto"/>
              <w:right w:val="nil"/>
            </w:tcBorders>
            <w:shd w:val="clear" w:color="000000" w:fill="FFFFFF"/>
            <w:noWrap/>
            <w:vAlign w:val="bottom"/>
            <w:hideMark/>
          </w:tcPr>
          <w:p w14:paraId="69B2BFA0" w14:textId="77777777" w:rsidR="00922E37" w:rsidRPr="007C2D50" w:rsidRDefault="00922E37" w:rsidP="008850F5">
            <w:pPr>
              <w:keepNext/>
              <w:spacing w:after="0" w:line="240" w:lineRule="auto"/>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Total</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6E3A0A"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-0,0902</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64B54E19" w14:textId="77777777" w:rsidR="00922E37" w:rsidRPr="007C2D50" w:rsidRDefault="00922E37" w:rsidP="008850F5">
            <w:pPr>
              <w:keepNext/>
              <w:spacing w:after="0" w:line="240" w:lineRule="auto"/>
              <w:jc w:val="center"/>
              <w:rPr>
                <w:rFonts w:ascii="Times New Roman" w:eastAsia="Times New Roman" w:hAnsi="Times New Roman"/>
                <w:b/>
                <w:color w:val="000000"/>
                <w:sz w:val="16"/>
                <w:szCs w:val="16"/>
                <w:lang w:eastAsia="es-AR"/>
              </w:rPr>
            </w:pPr>
            <w:r w:rsidRPr="007C2D50">
              <w:rPr>
                <w:rFonts w:ascii="Times New Roman" w:eastAsia="Times New Roman" w:hAnsi="Times New Roman"/>
                <w:b/>
                <w:color w:val="000000"/>
                <w:sz w:val="16"/>
                <w:szCs w:val="16"/>
                <w:lang w:eastAsia="es-AR"/>
              </w:rPr>
              <w:t> </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1A82055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09131EBE"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3D8F0D7B"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3404F2D6"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3CE4DCB3"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c>
          <w:tcPr>
            <w:tcW w:w="761" w:type="dxa"/>
            <w:tcBorders>
              <w:top w:val="single" w:sz="4" w:space="0" w:color="auto"/>
              <w:left w:val="nil"/>
              <w:bottom w:val="single" w:sz="4" w:space="0" w:color="auto"/>
              <w:right w:val="single" w:sz="4" w:space="0" w:color="auto"/>
            </w:tcBorders>
            <w:shd w:val="clear" w:color="000000" w:fill="FFFFFF"/>
            <w:noWrap/>
            <w:vAlign w:val="bottom"/>
            <w:hideMark/>
          </w:tcPr>
          <w:p w14:paraId="32F39A84" w14:textId="77777777" w:rsidR="00922E37" w:rsidRPr="007C2D50" w:rsidRDefault="00922E37" w:rsidP="008850F5">
            <w:pPr>
              <w:keepNext/>
              <w:spacing w:after="0" w:line="240" w:lineRule="auto"/>
              <w:jc w:val="center"/>
              <w:rPr>
                <w:rFonts w:ascii="Times New Roman" w:eastAsia="Times New Roman" w:hAnsi="Times New Roman"/>
                <w:color w:val="000000"/>
                <w:sz w:val="16"/>
                <w:szCs w:val="16"/>
                <w:lang w:eastAsia="es-AR"/>
              </w:rPr>
            </w:pPr>
            <w:r w:rsidRPr="007C2D50">
              <w:rPr>
                <w:rFonts w:ascii="Times New Roman" w:eastAsia="Times New Roman" w:hAnsi="Times New Roman"/>
                <w:color w:val="000000"/>
                <w:sz w:val="16"/>
                <w:szCs w:val="16"/>
                <w:lang w:eastAsia="es-AR"/>
              </w:rPr>
              <w:t> </w:t>
            </w:r>
          </w:p>
        </w:tc>
      </w:tr>
    </w:tbl>
    <w:p w14:paraId="0CA292C7" w14:textId="77777777" w:rsidR="00922E37" w:rsidRPr="007C2D50" w:rsidRDefault="00922E37" w:rsidP="00922E37">
      <w:pPr>
        <w:keepNext/>
        <w:spacing w:before="120" w:after="24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53E58C65" w14:textId="77777777" w:rsidR="00922E37" w:rsidRPr="007C2D50" w:rsidRDefault="00922E37" w:rsidP="00922E37">
      <w:pPr>
        <w:spacing w:after="120" w:line="360" w:lineRule="auto"/>
        <w:jc w:val="both"/>
        <w:rPr>
          <w:rFonts w:ascii="Times New Roman" w:eastAsia="Times New Roman" w:hAnsi="Times New Roman"/>
          <w:bCs/>
          <w:color w:val="000000"/>
          <w:szCs w:val="24"/>
          <w:lang w:val="es-ES" w:eastAsia="es-AR"/>
        </w:rPr>
      </w:pPr>
      <w:r w:rsidRPr="007C2D50">
        <w:rPr>
          <w:rFonts w:ascii="Times New Roman" w:eastAsia="Times New Roman" w:hAnsi="Times New Roman"/>
          <w:bCs/>
          <w:color w:val="000000"/>
          <w:szCs w:val="24"/>
          <w:lang w:val="es-ES" w:eastAsia="es-AR"/>
        </w:rPr>
        <w:t xml:space="preserve">Los ingresos provenientes de ocupaciones en el sector microinformal aportaron a la reducción de la desigualdad. Sin embargo, ello se debió a que </w:t>
      </w:r>
      <w:r w:rsidRPr="007C2D50">
        <w:rPr>
          <w:rFonts w:ascii="Times New Roman" w:hAnsi="Times New Roman"/>
          <w:szCs w:val="24"/>
        </w:rPr>
        <w:t>perdieron peso en el total de ingresos familiares (S) (aun cuando no se registraron cambios significativos en su participación en el volumen del empleo) y redujeron su correlación con la distribución (R). Estos resultados sugieren que durante el ciclo de crecimiento bajo políticas heterodoxas mantuvo vigencia el proceso de empobrecimiento relativo que se había consolidado en los años noventa a la luz de las transformaciones estructurales y que se registra una mayor concentración de ingresos del sector microinformal en los hogares más desfavorecidos de la estructura social.</w:t>
      </w:r>
    </w:p>
    <w:p w14:paraId="2847F00F" w14:textId="77777777" w:rsidR="00922E37" w:rsidRPr="007C2D50" w:rsidRDefault="00922E37" w:rsidP="00922E37">
      <w:pPr>
        <w:tabs>
          <w:tab w:val="left" w:pos="4069"/>
        </w:tabs>
        <w:spacing w:before="240" w:after="240" w:line="240" w:lineRule="auto"/>
        <w:rPr>
          <w:rFonts w:ascii="Times New Roman" w:eastAsia="Times New Roman" w:hAnsi="Times New Roman"/>
          <w:b/>
          <w:color w:val="FF0000"/>
          <w:szCs w:val="24"/>
          <w:lang w:val="es-ES" w:eastAsia="es-AR"/>
        </w:rPr>
      </w:pPr>
      <w:r w:rsidRPr="007C2D50">
        <w:rPr>
          <w:rFonts w:ascii="Times New Roman" w:eastAsia="Times New Roman" w:hAnsi="Times New Roman"/>
          <w:b/>
          <w:szCs w:val="24"/>
          <w:lang w:val="es-ES" w:eastAsia="es-AR"/>
        </w:rPr>
        <w:t>5. Resumen de hallazgos y reflexiones finales</w:t>
      </w:r>
    </w:p>
    <w:p w14:paraId="6AD14278" w14:textId="77777777" w:rsidR="00922E37" w:rsidRPr="007C2D50" w:rsidRDefault="00922E37" w:rsidP="00922E37">
      <w:pPr>
        <w:tabs>
          <w:tab w:val="left" w:pos="4069"/>
        </w:tabs>
        <w:spacing w:before="120" w:after="120"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La persistencia de la desigualdad económica y de marginaciones sociales en América Latina justifican los esfuerzos por comprender los factores que explican la configuración del patrón distributivo en la región. Este documento centró su interés en los componentes estructurales que subyacen a la recreación de una matriz de desigualdad económica persistente en la Argentina. Desde una perspectiva teórica basada en el estructuralismo latinoamericano, se otorgó prioridad analítica a la manera en que el comportamiento de la estructura productiva y el mercado laboral organizan pautas de concentración, acumulación y distribución en una economía periférica. </w:t>
      </w:r>
    </w:p>
    <w:p w14:paraId="78EFD952" w14:textId="6C32097F" w:rsidR="00922E37" w:rsidRPr="007C2D50" w:rsidRDefault="00922E37" w:rsidP="00922E37">
      <w:pPr>
        <w:tabs>
          <w:tab w:val="left" w:pos="4069"/>
        </w:tabs>
        <w:spacing w:before="120" w:after="120"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Con este propósito, </w:t>
      </w:r>
      <w:r w:rsidR="00606149">
        <w:rPr>
          <w:rFonts w:ascii="Times New Roman" w:eastAsia="Times New Roman" w:hAnsi="Times New Roman"/>
          <w:szCs w:val="24"/>
          <w:lang w:val="es-ES" w:eastAsia="es-AR"/>
        </w:rPr>
        <w:t>se</w:t>
      </w:r>
      <w:r w:rsidRPr="007C2D50">
        <w:rPr>
          <w:rFonts w:ascii="Times New Roman" w:eastAsia="Times New Roman" w:hAnsi="Times New Roman"/>
          <w:szCs w:val="24"/>
          <w:lang w:val="es-ES" w:eastAsia="es-AR"/>
        </w:rPr>
        <w:t xml:space="preserve"> </w:t>
      </w:r>
      <w:r w:rsidR="00606149" w:rsidRPr="00606149">
        <w:rPr>
          <w:rFonts w:ascii="Times New Roman" w:eastAsia="Times New Roman" w:hAnsi="Times New Roman"/>
          <w:szCs w:val="24"/>
          <w:highlight w:val="yellow"/>
          <w:lang w:val="es-ES" w:eastAsia="es-AR"/>
        </w:rPr>
        <w:t>analizó</w:t>
      </w:r>
      <w:r w:rsidRPr="007C2D50">
        <w:rPr>
          <w:rFonts w:ascii="Times New Roman" w:eastAsia="Times New Roman" w:hAnsi="Times New Roman"/>
          <w:szCs w:val="24"/>
          <w:lang w:val="es-ES" w:eastAsia="es-AR"/>
        </w:rPr>
        <w:t xml:space="preserve"> la distribución del ingreso familiar en el Gran Buenos Aires bajo distintas fases político-económicas. El abordaje teórico-metodológico desarrollado permitió ligar el comportamiento de distintos agregados sectoriales económico-</w:t>
      </w:r>
      <w:r w:rsidRPr="007C2D50">
        <w:rPr>
          <w:rFonts w:ascii="Times New Roman" w:eastAsia="Times New Roman" w:hAnsi="Times New Roman"/>
          <w:szCs w:val="24"/>
          <w:lang w:val="es-ES" w:eastAsia="es-AR"/>
        </w:rPr>
        <w:lastRenderedPageBreak/>
        <w:t xml:space="preserve">ocupacionales (establecimientos modernos, sector público y sector microinformal de baja productividad) </w:t>
      </w:r>
      <w:r w:rsidR="00606149" w:rsidRPr="00606149">
        <w:rPr>
          <w:rFonts w:ascii="Times New Roman" w:eastAsia="Times New Roman" w:hAnsi="Times New Roman"/>
          <w:szCs w:val="24"/>
          <w:highlight w:val="yellow"/>
          <w:lang w:val="es-ES" w:eastAsia="es-AR"/>
        </w:rPr>
        <w:t>con su aporte</w:t>
      </w:r>
      <w:r w:rsidR="00606149">
        <w:rPr>
          <w:rFonts w:ascii="Times New Roman" w:eastAsia="Times New Roman" w:hAnsi="Times New Roman"/>
          <w:szCs w:val="24"/>
          <w:lang w:val="es-ES" w:eastAsia="es-AR"/>
        </w:rPr>
        <w:t xml:space="preserve"> a</w:t>
      </w:r>
      <w:r w:rsidRPr="007C2D50">
        <w:rPr>
          <w:rFonts w:ascii="Times New Roman" w:eastAsia="Times New Roman" w:hAnsi="Times New Roman"/>
          <w:szCs w:val="24"/>
          <w:lang w:val="es-ES" w:eastAsia="es-AR"/>
        </w:rPr>
        <w:t xml:space="preserve"> la desigualdad distributiva. A partir de la consideración de los sectores económico-ocupacionales en los que participa la fuerza de trabajo de los hogares fue posible examinar el papel de las condiciones de heterogeneidad estructural sobre la pauta distributiva del ingreso familiar.  </w:t>
      </w:r>
    </w:p>
    <w:p w14:paraId="24711601" w14:textId="33626F5B" w:rsidR="00922E37" w:rsidRPr="007C2D50" w:rsidRDefault="00606149" w:rsidP="00922E37">
      <w:pPr>
        <w:tabs>
          <w:tab w:val="left" w:pos="4069"/>
        </w:tabs>
        <w:spacing w:line="360" w:lineRule="auto"/>
        <w:jc w:val="both"/>
        <w:rPr>
          <w:rFonts w:ascii="Times New Roman" w:eastAsia="Times New Roman" w:hAnsi="Times New Roman"/>
          <w:szCs w:val="24"/>
          <w:lang w:val="es-ES" w:eastAsia="es-AR"/>
        </w:rPr>
      </w:pPr>
      <w:r>
        <w:rPr>
          <w:rFonts w:ascii="Times New Roman" w:eastAsia="Times New Roman" w:hAnsi="Times New Roman"/>
          <w:szCs w:val="24"/>
          <w:lang w:val="es-ES" w:eastAsia="es-AR"/>
        </w:rPr>
        <w:t>Se</w:t>
      </w:r>
      <w:r w:rsidR="00922E37" w:rsidRPr="007C2D50">
        <w:rPr>
          <w:rFonts w:ascii="Times New Roman" w:eastAsia="Times New Roman" w:hAnsi="Times New Roman"/>
          <w:szCs w:val="24"/>
          <w:lang w:val="es-ES" w:eastAsia="es-AR"/>
        </w:rPr>
        <w:t xml:space="preserve"> discutió la hipótesis de que, durante las últimas cuatro décadas, se habría consolidado una matriz de desigualdad asociada a la persistente “heterogeneidad estructural” del régimen de acumulación. Estas condiciones explicarían los límites de la convergencia socioeconómica, incluso en el contexto de activas políticas de ingresos de carácter redistributivo –como las verificadas en los años 2000–. A lo largo del período se habría consolidado una estructura económico-ocupacional de funcionamiento segmentado y una parte significativa de la fuerza de trabajo permanecería ocupada en un sector microinfo</w:t>
      </w:r>
      <w:r>
        <w:rPr>
          <w:rFonts w:ascii="Times New Roman" w:eastAsia="Times New Roman" w:hAnsi="Times New Roman"/>
          <w:szCs w:val="24"/>
          <w:lang w:val="es-ES" w:eastAsia="es-AR"/>
        </w:rPr>
        <w:t>rmal de baja productividad</w:t>
      </w:r>
      <w:r w:rsidR="00922E37" w:rsidRPr="007C2D50">
        <w:rPr>
          <w:rFonts w:ascii="Times New Roman" w:eastAsia="Times New Roman" w:hAnsi="Times New Roman"/>
          <w:szCs w:val="24"/>
          <w:lang w:val="es-ES" w:eastAsia="es-AR"/>
        </w:rPr>
        <w:t>.</w:t>
      </w:r>
    </w:p>
    <w:p w14:paraId="2165D78B" w14:textId="77777777" w:rsidR="00922E37" w:rsidRPr="007C2D50" w:rsidRDefault="00922E37" w:rsidP="00922E37">
      <w:pPr>
        <w:spacing w:after="120" w:line="360" w:lineRule="auto"/>
        <w:jc w:val="both"/>
        <w:rPr>
          <w:rFonts w:ascii="Times New Roman" w:eastAsia="Times New Roman" w:hAnsi="Times New Roman"/>
          <w:b/>
          <w:szCs w:val="24"/>
          <w:lang w:val="es-ES" w:eastAsia="es-AR"/>
        </w:rPr>
      </w:pPr>
      <w:r w:rsidRPr="007C2D50">
        <w:rPr>
          <w:rFonts w:ascii="Times New Roman" w:hAnsi="Times New Roman"/>
          <w:kern w:val="22"/>
          <w:szCs w:val="24"/>
          <w:lang w:val="es-ES"/>
        </w:rPr>
        <w:t xml:space="preserve">Un primer conjunto de evidencias permitió caracterizar </w:t>
      </w:r>
      <w:r w:rsidRPr="007C2D50">
        <w:rPr>
          <w:rFonts w:ascii="Times New Roman" w:hAnsi="Times New Roman"/>
          <w:kern w:val="22"/>
          <w:szCs w:val="24"/>
          <w:lang w:val="es-MX"/>
        </w:rPr>
        <w:t xml:space="preserve">la consolidación de una estructura económico-ocupacional heterogénea y surcada por desigualdades relevantes. Las políticas de apertura y reestructuración productiva implementadas desde mediados de los setenta y profundizadas en los noventa (que desarticularon el modelo ISI preexistente) profundizaron la heterogeneidad de la estructura laboral urbana. Por una parte, se incrementó la participación del sector microinformal en el volumen del empleo y aumentó el desempleo. Por otra parte, se ampliaron las brechas de remuneraciones horarias (tomadas como </w:t>
      </w:r>
      <w:r w:rsidRPr="007C2D50">
        <w:rPr>
          <w:rFonts w:ascii="Times New Roman" w:hAnsi="Times New Roman"/>
          <w:i/>
          <w:kern w:val="22"/>
          <w:szCs w:val="24"/>
          <w:lang w:val="es-MX"/>
        </w:rPr>
        <w:t xml:space="preserve">proxy </w:t>
      </w:r>
      <w:r w:rsidRPr="007C2D50">
        <w:rPr>
          <w:rFonts w:ascii="Times New Roman" w:hAnsi="Times New Roman"/>
          <w:kern w:val="22"/>
          <w:szCs w:val="24"/>
          <w:lang w:val="es-MX"/>
        </w:rPr>
        <w:t xml:space="preserve">de la productividad sectorial) entre distintas categorías económico-ocupacionales. Al respecto, si bien durante el ciclo de políticas heterodoxas no se profundizaron las inequidades previas, tampoco se verificó un proceso de convergencia en términos de productividad ni una reducción sustantiva de la participación del sector microinformal en </w:t>
      </w:r>
      <w:r w:rsidR="00221905">
        <w:rPr>
          <w:rFonts w:ascii="Times New Roman" w:hAnsi="Times New Roman"/>
          <w:kern w:val="22"/>
          <w:szCs w:val="24"/>
          <w:lang w:val="es-MX"/>
        </w:rPr>
        <w:t>la estructura social del trabajo</w:t>
      </w:r>
      <w:r w:rsidRPr="007C2D50">
        <w:rPr>
          <w:rFonts w:ascii="Times New Roman" w:hAnsi="Times New Roman"/>
          <w:kern w:val="22"/>
          <w:szCs w:val="24"/>
          <w:lang w:val="es-MX"/>
        </w:rPr>
        <w:t xml:space="preserve">. </w:t>
      </w:r>
    </w:p>
    <w:p w14:paraId="5B0AA54B" w14:textId="77777777" w:rsidR="00922E37" w:rsidRPr="007C2D50" w:rsidRDefault="00922E37" w:rsidP="00922E37">
      <w:pPr>
        <w:tabs>
          <w:tab w:val="left" w:pos="4069"/>
        </w:tabs>
        <w:spacing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 xml:space="preserve">Un segundo conjunto de evidencias ligó este comportamiento económico-ocupacional con sus implicancias en términos de desigualdad del ingreso familiar. Con este propósito, se desarrolló un ejercicio de descomposición del cambio del coeficiente de Gini en las distintas fases político-económicas, tomando en cuenta la contribución de los ingresos provenientes de distintos sectores económico-ocupacionales a la desigualdad. </w:t>
      </w:r>
    </w:p>
    <w:p w14:paraId="4274181F" w14:textId="739EB01B" w:rsidR="00922E37" w:rsidRPr="007C2D50" w:rsidRDefault="00922E37" w:rsidP="00922E37">
      <w:pPr>
        <w:tabs>
          <w:tab w:val="left" w:pos="4069"/>
        </w:tabs>
        <w:spacing w:line="360" w:lineRule="auto"/>
        <w:jc w:val="both"/>
        <w:rPr>
          <w:rFonts w:ascii="Times New Roman" w:eastAsia="Times New Roman" w:hAnsi="Times New Roman"/>
          <w:bCs/>
          <w:color w:val="000000"/>
          <w:szCs w:val="24"/>
          <w:lang w:val="es-ES" w:eastAsia="es-AR"/>
        </w:rPr>
      </w:pPr>
      <w:r w:rsidRPr="007C2D50">
        <w:rPr>
          <w:rFonts w:ascii="Times New Roman" w:eastAsia="Times New Roman" w:hAnsi="Times New Roman"/>
          <w:szCs w:val="24"/>
          <w:lang w:val="es-ES" w:eastAsia="es-AR"/>
        </w:rPr>
        <w:lastRenderedPageBreak/>
        <w:t xml:space="preserve">Durante la fase final del ciclo de sustitución de importaciones e inicio del ajuste ortodoxo (1974-1988), </w:t>
      </w:r>
      <w:r w:rsidRPr="007C2D50">
        <w:rPr>
          <w:rFonts w:ascii="Times New Roman" w:eastAsia="Times New Roman" w:hAnsi="Times New Roman"/>
          <w:bCs/>
          <w:color w:val="000000"/>
          <w:szCs w:val="24"/>
          <w:lang w:val="es-ES" w:eastAsia="es-AR"/>
        </w:rPr>
        <w:t xml:space="preserve">tanto los ingresos laborales como los no laborales contribuyeron a aumentar la </w:t>
      </w:r>
      <w:r w:rsidR="00606149" w:rsidRPr="007C2D50">
        <w:rPr>
          <w:rFonts w:ascii="Times New Roman" w:eastAsia="Times New Roman" w:hAnsi="Times New Roman"/>
          <w:bCs/>
          <w:color w:val="000000"/>
          <w:szCs w:val="24"/>
          <w:lang w:val="es-ES" w:eastAsia="es-AR"/>
        </w:rPr>
        <w:t>desigualdad,</w:t>
      </w:r>
      <w:r w:rsidRPr="007C2D50">
        <w:rPr>
          <w:rFonts w:ascii="Times New Roman" w:eastAsia="Times New Roman" w:hAnsi="Times New Roman"/>
          <w:bCs/>
          <w:color w:val="000000"/>
          <w:szCs w:val="24"/>
          <w:lang w:val="es-ES" w:eastAsia="es-AR"/>
        </w:rPr>
        <w:t xml:space="preserve"> pero los primeros tuvieron un rol dominante. El principal factor explicativo de la mayor desigualdad en el Gran Buenos Aires fue que los ingresos laborales provenientes del sector formal público y privado se hicieron más inequitativos y, además, aumentaron su correlación con la distribución general. </w:t>
      </w:r>
    </w:p>
    <w:p w14:paraId="7ACE29FC" w14:textId="77777777" w:rsidR="00922E37" w:rsidRPr="007C2D50" w:rsidRDefault="00922E37" w:rsidP="00922E37">
      <w:pPr>
        <w:tabs>
          <w:tab w:val="left" w:pos="4069"/>
        </w:tabs>
        <w:spacing w:line="360" w:lineRule="auto"/>
        <w:jc w:val="both"/>
        <w:rPr>
          <w:rFonts w:ascii="Times New Roman" w:eastAsia="Times New Roman" w:hAnsi="Times New Roman"/>
          <w:szCs w:val="24"/>
          <w:lang w:val="es-ES" w:eastAsia="es-AR"/>
        </w:rPr>
      </w:pPr>
      <w:r w:rsidRPr="007C2D50">
        <w:rPr>
          <w:rFonts w:ascii="Times New Roman" w:eastAsia="Times New Roman" w:hAnsi="Times New Roman"/>
          <w:szCs w:val="24"/>
          <w:lang w:val="es-ES" w:eastAsia="es-AR"/>
        </w:rPr>
        <w:t>A lo largo del ciclo de reformas estructurales bajo un régimen de convertibilidad (1988-2003) también se incrementó la desigualdad distributiva y lo ocurrido en la estructura económico-ocupacional fue relevante en dicha evolución. Al respecto, se dio cuenta de dos procesos divergentes. Por un lado, aumentó la inequidad del ingreso laboral proveniente de ocupaciones en el sector formal público y privado, principalmente como resultado de un incremento de las “primas” por calificación en contexto de intensificación del cambio tecnológico y demanda laboral especializada. Ello promovió un incremento de la desigualdad general. Por otro lado, el sector microinformal aportó hacia una mayor igualdad, pero por razones opuestas a las que cabría esperar en un proceso de desarrollo: se empobreció en términos relativos y perdió participación en el ingreso.</w:t>
      </w:r>
    </w:p>
    <w:p w14:paraId="522DA8C0" w14:textId="34E56E2B" w:rsidR="00922E37" w:rsidRDefault="00922E37" w:rsidP="00922E37">
      <w:pPr>
        <w:tabs>
          <w:tab w:val="left" w:pos="4069"/>
        </w:tabs>
        <w:spacing w:line="360" w:lineRule="auto"/>
        <w:jc w:val="both"/>
        <w:rPr>
          <w:rFonts w:ascii="Times New Roman" w:eastAsia="Times New Roman" w:hAnsi="Times New Roman"/>
          <w:szCs w:val="24"/>
          <w:lang w:val="es-ES" w:eastAsia="es-AR"/>
        </w:rPr>
      </w:pPr>
      <w:r w:rsidRPr="003705E7">
        <w:rPr>
          <w:rFonts w:ascii="Times New Roman" w:eastAsia="Times New Roman" w:hAnsi="Times New Roman"/>
          <w:szCs w:val="24"/>
          <w:lang w:val="es-ES" w:eastAsia="es-AR"/>
        </w:rPr>
        <w:t>El ciclo de crecimiento bajo políticas heterodoxas (2003-2014) dio lugar a una retracción de la desigualdad distributiva. Los ingresos provenientes de ocupaciones en el sector privado formal contribuyeron a reducir la desigualdad, principalmente como resultado de la menor inequidad interna de estos ingresos y su menor correlación con la distribución general. Sin embargo, el sector público contribuyó en sentido contrario, propiciando una mayor desigualdad. El sector microinformal mantuvo un comportamiento similar al precedente, en tanto que aportó a una reducción de la desigualdad por su pérdida de participación en el ingreso total y por su menor correlación con la distribución</w:t>
      </w:r>
      <w:r w:rsidR="003705E7" w:rsidRPr="003705E7">
        <w:rPr>
          <w:rFonts w:ascii="Times New Roman" w:eastAsia="Times New Roman" w:hAnsi="Times New Roman"/>
          <w:szCs w:val="24"/>
          <w:lang w:val="es-ES" w:eastAsia="es-AR"/>
        </w:rPr>
        <w:t>, a la vez que se volvió más desigual en su interior.</w:t>
      </w:r>
    </w:p>
    <w:p w14:paraId="3CAF9F7F" w14:textId="77184488" w:rsidR="00922E37" w:rsidRPr="0004453E" w:rsidRDefault="00922E37" w:rsidP="00922E37">
      <w:pPr>
        <w:tabs>
          <w:tab w:val="left" w:pos="4069"/>
        </w:tabs>
        <w:spacing w:line="360" w:lineRule="auto"/>
        <w:jc w:val="both"/>
        <w:rPr>
          <w:rFonts w:ascii="Times New Roman" w:hAnsi="Times New Roman"/>
          <w:szCs w:val="24"/>
        </w:rPr>
      </w:pPr>
      <w:bookmarkStart w:id="1" w:name="_GoBack"/>
      <w:r w:rsidRPr="00606149">
        <w:rPr>
          <w:rFonts w:ascii="Times New Roman" w:eastAsia="Times New Roman" w:hAnsi="Times New Roman"/>
          <w:szCs w:val="24"/>
          <w:highlight w:val="yellow"/>
          <w:lang w:val="es-ES" w:eastAsia="es-AR"/>
        </w:rPr>
        <w:t xml:space="preserve">De esta manera, el artículo ofreció </w:t>
      </w:r>
      <w:r w:rsidR="00606149" w:rsidRPr="00606149">
        <w:rPr>
          <w:rFonts w:ascii="Times New Roman" w:eastAsia="Times New Roman" w:hAnsi="Times New Roman"/>
          <w:szCs w:val="24"/>
          <w:highlight w:val="yellow"/>
          <w:lang w:val="es-ES" w:eastAsia="es-AR"/>
        </w:rPr>
        <w:t xml:space="preserve">un conjunto de </w:t>
      </w:r>
      <w:r w:rsidRPr="00606149">
        <w:rPr>
          <w:rFonts w:ascii="Times New Roman" w:eastAsia="Times New Roman" w:hAnsi="Times New Roman"/>
          <w:szCs w:val="24"/>
          <w:highlight w:val="yellow"/>
          <w:lang w:val="es-ES" w:eastAsia="es-AR"/>
        </w:rPr>
        <w:t xml:space="preserve">evidencias </w:t>
      </w:r>
      <w:r w:rsidR="00606149" w:rsidRPr="00606149">
        <w:rPr>
          <w:rFonts w:ascii="Times New Roman" w:eastAsia="Times New Roman" w:hAnsi="Times New Roman"/>
          <w:szCs w:val="24"/>
          <w:highlight w:val="yellow"/>
          <w:lang w:val="es-ES" w:eastAsia="es-AR"/>
        </w:rPr>
        <w:t>sobre</w:t>
      </w:r>
      <w:r w:rsidRPr="00606149">
        <w:rPr>
          <w:rFonts w:ascii="Times New Roman" w:eastAsia="Times New Roman" w:hAnsi="Times New Roman"/>
          <w:szCs w:val="24"/>
          <w:highlight w:val="yellow"/>
          <w:lang w:val="es-ES" w:eastAsia="es-AR"/>
        </w:rPr>
        <w:t xml:space="preserve"> los factores que subyacen a la</w:t>
      </w:r>
      <w:r w:rsidR="00606149" w:rsidRPr="00606149">
        <w:rPr>
          <w:rFonts w:ascii="Times New Roman" w:eastAsia="Times New Roman" w:hAnsi="Times New Roman"/>
          <w:szCs w:val="24"/>
          <w:highlight w:val="yellow"/>
          <w:lang w:val="es-ES" w:eastAsia="es-AR"/>
        </w:rPr>
        <w:t xml:space="preserve"> matriz de</w:t>
      </w:r>
      <w:r w:rsidRPr="00606149">
        <w:rPr>
          <w:rFonts w:ascii="Times New Roman" w:eastAsia="Times New Roman" w:hAnsi="Times New Roman"/>
          <w:szCs w:val="24"/>
          <w:highlight w:val="yellow"/>
          <w:lang w:val="es-ES" w:eastAsia="es-AR"/>
        </w:rPr>
        <w:t xml:space="preserve"> desigualdad distributiva en la Argentina. </w:t>
      </w:r>
      <w:r w:rsidR="00606149" w:rsidRPr="00606149">
        <w:rPr>
          <w:rFonts w:ascii="Times New Roman" w:eastAsia="Times New Roman" w:hAnsi="Times New Roman"/>
          <w:szCs w:val="24"/>
          <w:highlight w:val="yellow"/>
          <w:lang w:val="es-ES" w:eastAsia="es-AR"/>
        </w:rPr>
        <w:t>Bajo</w:t>
      </w:r>
      <w:r w:rsidRPr="00606149">
        <w:rPr>
          <w:rFonts w:ascii="Times New Roman" w:eastAsia="Times New Roman" w:hAnsi="Times New Roman"/>
          <w:szCs w:val="24"/>
          <w:highlight w:val="yellow"/>
          <w:lang w:val="es-ES" w:eastAsia="es-AR"/>
        </w:rPr>
        <w:t xml:space="preserve"> </w:t>
      </w:r>
      <w:r w:rsidR="00606149" w:rsidRPr="00606149">
        <w:rPr>
          <w:rFonts w:ascii="Times New Roman" w:eastAsia="Times New Roman" w:hAnsi="Times New Roman"/>
          <w:szCs w:val="24"/>
          <w:highlight w:val="yellow"/>
          <w:lang w:val="es-ES" w:eastAsia="es-AR"/>
        </w:rPr>
        <w:t>distintas fases político-económicas,</w:t>
      </w:r>
      <w:r w:rsidRPr="00606149">
        <w:rPr>
          <w:rFonts w:ascii="Times New Roman" w:eastAsia="Times New Roman" w:hAnsi="Times New Roman"/>
          <w:szCs w:val="24"/>
          <w:highlight w:val="yellow"/>
          <w:lang w:val="es-ES" w:eastAsia="es-AR"/>
        </w:rPr>
        <w:t xml:space="preserve"> los sectores modernos de la estructura económico-ocupacional</w:t>
      </w:r>
      <w:r w:rsidR="00606149" w:rsidRPr="00606149">
        <w:rPr>
          <w:rFonts w:ascii="Times New Roman" w:eastAsia="Times New Roman" w:hAnsi="Times New Roman"/>
          <w:szCs w:val="24"/>
          <w:highlight w:val="yellow"/>
          <w:lang w:val="es-ES" w:eastAsia="es-AR"/>
        </w:rPr>
        <w:t xml:space="preserve"> –públicos o privados– tuvieron comportamientos asociados a</w:t>
      </w:r>
      <w:r w:rsidRPr="00606149">
        <w:rPr>
          <w:rFonts w:ascii="Times New Roman" w:eastAsia="Times New Roman" w:hAnsi="Times New Roman"/>
          <w:szCs w:val="24"/>
          <w:highlight w:val="yellow"/>
          <w:lang w:val="es-ES" w:eastAsia="es-AR"/>
        </w:rPr>
        <w:t xml:space="preserve"> la inequidad</w:t>
      </w:r>
      <w:r w:rsidR="00606149" w:rsidRPr="00606149">
        <w:rPr>
          <w:rFonts w:ascii="Times New Roman" w:eastAsia="Times New Roman" w:hAnsi="Times New Roman"/>
          <w:szCs w:val="24"/>
          <w:highlight w:val="yellow"/>
          <w:lang w:val="es-ES" w:eastAsia="es-AR"/>
        </w:rPr>
        <w:t xml:space="preserve"> distributiva. S</w:t>
      </w:r>
      <w:r w:rsidRPr="00606149">
        <w:rPr>
          <w:rFonts w:ascii="Times New Roman" w:eastAsia="Times New Roman" w:hAnsi="Times New Roman"/>
          <w:szCs w:val="24"/>
          <w:highlight w:val="yellow"/>
          <w:lang w:val="es-ES" w:eastAsia="es-AR"/>
        </w:rPr>
        <w:t xml:space="preserve">imultáneamente, una porción significativa de la fuerza de trabajo de los hogares permanece ligada a </w:t>
      </w:r>
      <w:r w:rsidRPr="00606149">
        <w:rPr>
          <w:rFonts w:ascii="Times New Roman" w:eastAsia="Times New Roman" w:hAnsi="Times New Roman"/>
          <w:szCs w:val="24"/>
          <w:highlight w:val="yellow"/>
          <w:lang w:val="es-ES" w:eastAsia="es-AR"/>
        </w:rPr>
        <w:lastRenderedPageBreak/>
        <w:t xml:space="preserve">actividades de baja productividad e ingresos. Estas actividades microinformales se empobrecieron </w:t>
      </w:r>
      <w:r w:rsidR="00606149" w:rsidRPr="00606149">
        <w:rPr>
          <w:rFonts w:ascii="Times New Roman" w:eastAsia="Times New Roman" w:hAnsi="Times New Roman"/>
          <w:szCs w:val="24"/>
          <w:highlight w:val="yellow"/>
          <w:lang w:val="es-ES" w:eastAsia="es-AR"/>
        </w:rPr>
        <w:t xml:space="preserve">–en términos relativos– </w:t>
      </w:r>
      <w:r w:rsidRPr="00606149">
        <w:rPr>
          <w:rFonts w:ascii="Times New Roman" w:eastAsia="Times New Roman" w:hAnsi="Times New Roman"/>
          <w:szCs w:val="24"/>
          <w:highlight w:val="yellow"/>
          <w:lang w:val="es-ES" w:eastAsia="es-AR"/>
        </w:rPr>
        <w:t>durante las últimas décadas</w:t>
      </w:r>
      <w:r w:rsidR="00606149" w:rsidRPr="00606149">
        <w:rPr>
          <w:rFonts w:ascii="Times New Roman" w:eastAsia="Times New Roman" w:hAnsi="Times New Roman"/>
          <w:szCs w:val="24"/>
          <w:highlight w:val="yellow"/>
          <w:lang w:val="es-ES" w:eastAsia="es-AR"/>
        </w:rPr>
        <w:t>,</w:t>
      </w:r>
      <w:r w:rsidRPr="00606149">
        <w:rPr>
          <w:rFonts w:ascii="Times New Roman" w:eastAsia="Times New Roman" w:hAnsi="Times New Roman"/>
          <w:szCs w:val="24"/>
          <w:highlight w:val="yellow"/>
          <w:lang w:val="es-ES" w:eastAsia="es-AR"/>
        </w:rPr>
        <w:t xml:space="preserve"> perdieron participación en el ingreso</w:t>
      </w:r>
      <w:r w:rsidR="003705E7">
        <w:rPr>
          <w:rFonts w:ascii="Times New Roman" w:eastAsia="Times New Roman" w:hAnsi="Times New Roman"/>
          <w:szCs w:val="24"/>
          <w:highlight w:val="yellow"/>
          <w:lang w:val="es-ES" w:eastAsia="es-AR"/>
        </w:rPr>
        <w:t>, se tornaron más heterogéneas</w:t>
      </w:r>
      <w:r w:rsidRPr="00606149">
        <w:rPr>
          <w:rFonts w:ascii="Times New Roman" w:eastAsia="Times New Roman" w:hAnsi="Times New Roman"/>
          <w:szCs w:val="24"/>
          <w:highlight w:val="yellow"/>
          <w:lang w:val="es-ES" w:eastAsia="es-AR"/>
        </w:rPr>
        <w:t xml:space="preserve"> y </w:t>
      </w:r>
      <w:r w:rsidRPr="00606149">
        <w:rPr>
          <w:rFonts w:ascii="Times New Roman" w:hAnsi="Times New Roman"/>
          <w:szCs w:val="24"/>
          <w:highlight w:val="yellow"/>
        </w:rPr>
        <w:t>se concentraron en los hogares más desfavorecidos de la estructura social</w:t>
      </w:r>
      <w:r w:rsidR="00606149" w:rsidRPr="00606149">
        <w:rPr>
          <w:rFonts w:ascii="Times New Roman" w:hAnsi="Times New Roman"/>
          <w:szCs w:val="24"/>
          <w:highlight w:val="yellow"/>
        </w:rPr>
        <w:t>.</w:t>
      </w:r>
    </w:p>
    <w:bookmarkEnd w:id="1"/>
    <w:p w14:paraId="3886AB7F" w14:textId="77777777" w:rsidR="00922E37" w:rsidRPr="007C2D50" w:rsidRDefault="00922E37" w:rsidP="00922E37">
      <w:pPr>
        <w:tabs>
          <w:tab w:val="left" w:pos="4069"/>
        </w:tabs>
        <w:spacing w:before="240" w:after="240" w:line="240" w:lineRule="auto"/>
        <w:rPr>
          <w:rFonts w:ascii="Times New Roman" w:eastAsia="Times New Roman" w:hAnsi="Times New Roman"/>
          <w:b/>
          <w:color w:val="FF0000"/>
          <w:szCs w:val="24"/>
          <w:lang w:val="es-ES" w:eastAsia="es-AR"/>
        </w:rPr>
      </w:pPr>
      <w:r w:rsidRPr="007C2D50">
        <w:rPr>
          <w:rFonts w:ascii="Times New Roman" w:eastAsia="Times New Roman" w:hAnsi="Times New Roman"/>
          <w:b/>
          <w:szCs w:val="24"/>
          <w:lang w:val="es-ES" w:eastAsia="es-AR"/>
        </w:rPr>
        <w:t>6. Referencias Bibliográficas</w:t>
      </w:r>
    </w:p>
    <w:p w14:paraId="216DF13E" w14:textId="77777777" w:rsidR="00FE7F2C" w:rsidRPr="00FE7F2C" w:rsidRDefault="00FE7F2C" w:rsidP="00FE7F2C">
      <w:pPr>
        <w:autoSpaceDE w:val="0"/>
        <w:autoSpaceDN w:val="0"/>
        <w:adjustRightInd w:val="0"/>
        <w:spacing w:after="0" w:line="240" w:lineRule="auto"/>
        <w:ind w:left="284" w:hanging="284"/>
        <w:jc w:val="both"/>
        <w:rPr>
          <w:rFonts w:ascii="Times New Roman" w:hAnsi="Times New Roman"/>
          <w:iCs/>
          <w:szCs w:val="24"/>
        </w:rPr>
      </w:pPr>
      <w:r w:rsidRPr="00FE7F2C">
        <w:rPr>
          <w:rFonts w:ascii="Times New Roman" w:hAnsi="Times New Roman"/>
          <w:iCs/>
          <w:szCs w:val="24"/>
          <w:highlight w:val="yellow"/>
        </w:rPr>
        <w:t>Altimir, O. y Beccaria, L. (1999)</w:t>
      </w:r>
      <w:r w:rsidR="00872F79">
        <w:rPr>
          <w:rFonts w:ascii="Times New Roman" w:hAnsi="Times New Roman"/>
          <w:iCs/>
          <w:szCs w:val="24"/>
          <w:highlight w:val="yellow"/>
        </w:rPr>
        <w:t xml:space="preserve">. </w:t>
      </w:r>
      <w:r w:rsidRPr="00FE7F2C">
        <w:rPr>
          <w:rFonts w:ascii="Times New Roman" w:hAnsi="Times New Roman"/>
          <w:iCs/>
          <w:szCs w:val="24"/>
          <w:highlight w:val="yellow"/>
        </w:rPr>
        <w:t>Distribución del Ingreso en Argentina</w:t>
      </w:r>
      <w:r w:rsidR="00872F79">
        <w:rPr>
          <w:rFonts w:ascii="Times New Roman" w:hAnsi="Times New Roman"/>
          <w:iCs/>
          <w:szCs w:val="24"/>
          <w:highlight w:val="yellow"/>
        </w:rPr>
        <w:t xml:space="preserve">. </w:t>
      </w:r>
      <w:r w:rsidRPr="00D1480F">
        <w:rPr>
          <w:rFonts w:ascii="Times New Roman" w:hAnsi="Times New Roman"/>
          <w:i/>
          <w:iCs/>
          <w:szCs w:val="24"/>
          <w:highlight w:val="yellow"/>
        </w:rPr>
        <w:t>Serie Reformas Económicas</w:t>
      </w:r>
      <w:r w:rsidRPr="00FE7F2C">
        <w:rPr>
          <w:rFonts w:ascii="Times New Roman" w:hAnsi="Times New Roman"/>
          <w:iCs/>
          <w:szCs w:val="24"/>
          <w:highlight w:val="yellow"/>
        </w:rPr>
        <w:t>. N°40, CEPAL, Chile.</w:t>
      </w:r>
    </w:p>
    <w:p w14:paraId="11CCA3A7" w14:textId="77777777" w:rsidR="00922E37" w:rsidRPr="00922E37" w:rsidRDefault="00922E37" w:rsidP="00E30CB1">
      <w:pPr>
        <w:widowControl w:val="0"/>
        <w:autoSpaceDE w:val="0"/>
        <w:autoSpaceDN w:val="0"/>
        <w:adjustRightInd w:val="0"/>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Altimir, O. y Beccaria, L. (2001). El persistente deterioro de la distribución del ingreso en la Argentina. </w:t>
      </w:r>
      <w:r w:rsidRPr="00922E37">
        <w:rPr>
          <w:rFonts w:ascii="Times New Roman" w:hAnsi="Times New Roman"/>
          <w:i/>
          <w:iCs/>
          <w:szCs w:val="24"/>
        </w:rPr>
        <w:t xml:space="preserve">Desarrollo Económico, </w:t>
      </w:r>
      <w:r w:rsidRPr="00922E37">
        <w:rPr>
          <w:rFonts w:ascii="Times New Roman" w:hAnsi="Times New Roman"/>
          <w:iCs/>
          <w:szCs w:val="24"/>
        </w:rPr>
        <w:t>40 (160), pp. 589-618</w:t>
      </w:r>
      <w:r w:rsidRPr="00922E37">
        <w:rPr>
          <w:rFonts w:ascii="Times New Roman" w:hAnsi="Times New Roman"/>
          <w:szCs w:val="24"/>
        </w:rPr>
        <w:t xml:space="preserve"> </w:t>
      </w:r>
    </w:p>
    <w:p w14:paraId="72AF061F"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Bárcena, A. y Prado, A. (2016). </w:t>
      </w:r>
      <w:r w:rsidRPr="007C2D50">
        <w:rPr>
          <w:rFonts w:ascii="Times New Roman" w:hAnsi="Times New Roman"/>
          <w:i/>
          <w:szCs w:val="24"/>
        </w:rPr>
        <w:t>El imperativo de la igualdad. Por un desarrollo sostenible en América Latina y el Caribe.</w:t>
      </w:r>
      <w:r w:rsidRPr="007C2D50">
        <w:rPr>
          <w:rFonts w:ascii="Times New Roman" w:hAnsi="Times New Roman"/>
          <w:szCs w:val="24"/>
        </w:rPr>
        <w:t xml:space="preserve"> Buenos Aires: Siglo XXI y CEPAL. </w:t>
      </w:r>
    </w:p>
    <w:p w14:paraId="3F8AC5E7"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Basualdo, E. (2010) </w:t>
      </w:r>
      <w:r w:rsidRPr="007C2D50">
        <w:rPr>
          <w:rFonts w:ascii="Times New Roman" w:hAnsi="Times New Roman"/>
          <w:i/>
          <w:szCs w:val="24"/>
        </w:rPr>
        <w:t>Estudios de historia económica argentina</w:t>
      </w:r>
      <w:r w:rsidRPr="007C2D50">
        <w:rPr>
          <w:rFonts w:ascii="Times New Roman" w:hAnsi="Times New Roman"/>
          <w:szCs w:val="24"/>
        </w:rPr>
        <w:t xml:space="preserve">, Buenos Aires, Siglo XXI. </w:t>
      </w:r>
    </w:p>
    <w:p w14:paraId="49D70576"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Beccaria, L., Carpio, J. y Orsatti, A. (2000). Argentina: informalidad laboral en el nuevo modelo económico. En J. Carpio, E. Klein, e I. Novacovsky (comps.), </w:t>
      </w:r>
      <w:r w:rsidRPr="007C2D50">
        <w:rPr>
          <w:rFonts w:ascii="Times New Roman" w:hAnsi="Times New Roman"/>
          <w:i/>
          <w:szCs w:val="24"/>
        </w:rPr>
        <w:t>Informalidad y exclusión social</w:t>
      </w:r>
      <w:r w:rsidRPr="007C2D50">
        <w:rPr>
          <w:rFonts w:ascii="Times New Roman" w:hAnsi="Times New Roman"/>
          <w:szCs w:val="24"/>
        </w:rPr>
        <w:t xml:space="preserve"> (pp. 139-160). Buenos Aires: Fondo de Cultura Económica-SIEMPRO-OIT.</w:t>
      </w:r>
    </w:p>
    <w:p w14:paraId="58F951D6"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Beccaria, L. y Maurizio, R. (2012). Reversión y continuidades bajo dos regímenes macroeconómicos diferentes. Mercado de trabajo e ingresos en Argentina 1990-2010. </w:t>
      </w:r>
      <w:r w:rsidRPr="007C2D50">
        <w:rPr>
          <w:rFonts w:ascii="Times New Roman" w:hAnsi="Times New Roman"/>
          <w:i/>
          <w:szCs w:val="24"/>
        </w:rPr>
        <w:t>Desarrollo Económico</w:t>
      </w:r>
      <w:r w:rsidRPr="007C2D50">
        <w:rPr>
          <w:rFonts w:ascii="Times New Roman" w:hAnsi="Times New Roman"/>
          <w:szCs w:val="24"/>
        </w:rPr>
        <w:t>, 52 (206), pp. 205-228.</w:t>
      </w:r>
    </w:p>
    <w:p w14:paraId="6FC57401"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Benza, G. y Calvi, G. (2005). Reestructuración económica, concentración del ingreso y ciclos de desigualdad en la Argentina. </w:t>
      </w:r>
      <w:r w:rsidRPr="007C2D50">
        <w:rPr>
          <w:rFonts w:ascii="Times New Roman" w:hAnsi="Times New Roman"/>
          <w:i/>
          <w:szCs w:val="24"/>
        </w:rPr>
        <w:t>Realidad Económica</w:t>
      </w:r>
      <w:r w:rsidRPr="007C2D50">
        <w:rPr>
          <w:rFonts w:ascii="Times New Roman" w:hAnsi="Times New Roman"/>
          <w:szCs w:val="24"/>
        </w:rPr>
        <w:t xml:space="preserve">, 214, pp. 74-104. </w:t>
      </w:r>
    </w:p>
    <w:p w14:paraId="05002E79" w14:textId="77777777" w:rsidR="00FE7F2C" w:rsidRPr="00FE7F2C" w:rsidRDefault="00FE7F2C" w:rsidP="00FE7F2C">
      <w:pPr>
        <w:autoSpaceDE w:val="0"/>
        <w:autoSpaceDN w:val="0"/>
        <w:adjustRightInd w:val="0"/>
        <w:spacing w:after="0" w:line="240" w:lineRule="auto"/>
        <w:ind w:left="284" w:hanging="284"/>
        <w:jc w:val="both"/>
        <w:rPr>
          <w:rFonts w:ascii="Times New Roman" w:eastAsia="Times New Roman" w:hAnsi="Times New Roman" w:cs="Times New Roman"/>
          <w:szCs w:val="24"/>
          <w:highlight w:val="yellow"/>
          <w:lang w:val="es-ES" w:eastAsia="es-ES"/>
        </w:rPr>
      </w:pPr>
      <w:r w:rsidRPr="004F3339">
        <w:rPr>
          <w:rFonts w:ascii="Times New Roman" w:eastAsia="Times New Roman" w:hAnsi="Times New Roman" w:cs="Times New Roman"/>
          <w:szCs w:val="24"/>
          <w:highlight w:val="yellow"/>
          <w:lang w:val="es-ES" w:eastAsia="es-ES"/>
        </w:rPr>
        <w:t>Calderón, M. y</w:t>
      </w:r>
      <w:r>
        <w:rPr>
          <w:rFonts w:ascii="Times New Roman" w:eastAsia="Times New Roman" w:hAnsi="Times New Roman" w:cs="Times New Roman"/>
          <w:szCs w:val="24"/>
          <w:highlight w:val="yellow"/>
          <w:lang w:val="es-ES" w:eastAsia="es-ES"/>
        </w:rPr>
        <w:t xml:space="preserve"> </w:t>
      </w:r>
      <w:r w:rsidRPr="004F3339">
        <w:rPr>
          <w:rFonts w:ascii="Times New Roman" w:eastAsia="Times New Roman" w:hAnsi="Times New Roman" w:cs="Times New Roman"/>
          <w:szCs w:val="24"/>
          <w:highlight w:val="yellow"/>
          <w:lang w:val="es-ES" w:eastAsia="es-ES"/>
        </w:rPr>
        <w:t>Massini</w:t>
      </w:r>
      <w:r>
        <w:rPr>
          <w:rFonts w:ascii="Times New Roman" w:eastAsia="Times New Roman" w:hAnsi="Times New Roman" w:cs="Times New Roman"/>
          <w:szCs w:val="24"/>
          <w:highlight w:val="yellow"/>
          <w:lang w:val="es-ES" w:eastAsia="es-ES"/>
        </w:rPr>
        <w:t>, M</w:t>
      </w:r>
      <w:r w:rsidRPr="004F3339">
        <w:rPr>
          <w:rFonts w:ascii="Times New Roman" w:eastAsia="Times New Roman" w:hAnsi="Times New Roman" w:cs="Times New Roman"/>
          <w:szCs w:val="24"/>
          <w:highlight w:val="yellow"/>
          <w:lang w:val="es-ES" w:eastAsia="es-ES"/>
        </w:rPr>
        <w:t xml:space="preserve"> (2003) Convergencia en desigualdad. Aplicación para la Argentina durante los 90.</w:t>
      </w:r>
      <w:r>
        <w:rPr>
          <w:rFonts w:ascii="Times New Roman" w:eastAsia="Times New Roman" w:hAnsi="Times New Roman" w:cs="Times New Roman"/>
          <w:szCs w:val="24"/>
          <w:highlight w:val="yellow"/>
          <w:lang w:val="es-ES" w:eastAsia="es-ES"/>
        </w:rPr>
        <w:t xml:space="preserve"> </w:t>
      </w:r>
      <w:r w:rsidRPr="004F3339">
        <w:rPr>
          <w:rFonts w:ascii="Times New Roman" w:eastAsia="Times New Roman" w:hAnsi="Times New Roman" w:cs="Times New Roman"/>
          <w:szCs w:val="24"/>
          <w:highlight w:val="yellow"/>
          <w:lang w:val="es-ES" w:eastAsia="es-ES"/>
        </w:rPr>
        <w:t>Documento de Trabajo, CEDLAS-UNLP.</w:t>
      </w:r>
    </w:p>
    <w:p w14:paraId="73037ED8"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Centro de Estudios para el Desarrollo Argentino [CENDA] (2010). </w:t>
      </w:r>
      <w:r w:rsidRPr="007C2D50">
        <w:rPr>
          <w:rFonts w:ascii="Times New Roman" w:hAnsi="Times New Roman"/>
          <w:i/>
          <w:szCs w:val="24"/>
        </w:rPr>
        <w:t>La anatomía del nuevo patrón de crecimiento y la encrucijada actual. La economía argentina en el período 2002-2010</w:t>
      </w:r>
      <w:r w:rsidRPr="007C2D50">
        <w:rPr>
          <w:rFonts w:ascii="Times New Roman" w:hAnsi="Times New Roman"/>
          <w:szCs w:val="24"/>
        </w:rPr>
        <w:t>. Buenos Aires: CENDA-Cara o Ceca</w:t>
      </w:r>
    </w:p>
    <w:p w14:paraId="682608B8"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Cimillo, Elsa (2000). Empleo e ingresos en el sector informal en una economía abierta: el caso argentino. En J. Carpio, E. Klein, e I. Novacovsky (comps.). </w:t>
      </w:r>
      <w:r w:rsidRPr="007C2D50">
        <w:rPr>
          <w:rFonts w:ascii="Times New Roman" w:hAnsi="Times New Roman"/>
          <w:i/>
          <w:szCs w:val="24"/>
        </w:rPr>
        <w:t>Informalidad y exclusión social</w:t>
      </w:r>
      <w:r w:rsidRPr="007C2D50">
        <w:rPr>
          <w:rFonts w:ascii="Times New Roman" w:hAnsi="Times New Roman"/>
          <w:szCs w:val="24"/>
        </w:rPr>
        <w:t xml:space="preserve"> (pp. 175-200), Buenos Aires: Fondo de Cultura Económica-SIEMPRO-OIT.</w:t>
      </w:r>
    </w:p>
    <w:p w14:paraId="16297C8C"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lang w:val="es-ES"/>
        </w:rPr>
        <w:t xml:space="preserve">Comisión Económica para América Latina y el Caribe [CEPAL] (2017). </w:t>
      </w:r>
      <w:r w:rsidRPr="007C2D50">
        <w:rPr>
          <w:rFonts w:ascii="Times New Roman" w:hAnsi="Times New Roman"/>
          <w:i/>
          <w:szCs w:val="24"/>
          <w:lang w:val="es-ES"/>
        </w:rPr>
        <w:t>Panorama Social de América Latina</w:t>
      </w:r>
      <w:r w:rsidRPr="007C2D50">
        <w:rPr>
          <w:rFonts w:ascii="Times New Roman" w:hAnsi="Times New Roman"/>
          <w:szCs w:val="24"/>
          <w:lang w:val="es-ES"/>
        </w:rPr>
        <w:t>. Santiago de Chile: CEPAL.</w:t>
      </w:r>
    </w:p>
    <w:p w14:paraId="509BCA72"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Cortés, F. (2000), </w:t>
      </w:r>
      <w:r w:rsidRPr="007C2D50">
        <w:rPr>
          <w:rFonts w:ascii="Times New Roman" w:hAnsi="Times New Roman"/>
          <w:i/>
          <w:szCs w:val="24"/>
        </w:rPr>
        <w:t>La distribución de la riqueza en México en épocas de estabilización y reformas económicas</w:t>
      </w:r>
      <w:r w:rsidRPr="007C2D50">
        <w:rPr>
          <w:rFonts w:ascii="Times New Roman" w:hAnsi="Times New Roman"/>
          <w:szCs w:val="24"/>
        </w:rPr>
        <w:t>. México D. F.: M. A. Porrua Grupo Editorial. Cortés, 2000</w:t>
      </w:r>
    </w:p>
    <w:p w14:paraId="03B24B1D"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Cortés, F. (2001). Acerca de la reforma y la desigualdad económica. En A. Ziccardi (comp.) </w:t>
      </w:r>
      <w:r w:rsidRPr="007C2D50">
        <w:rPr>
          <w:rFonts w:ascii="Times New Roman" w:hAnsi="Times New Roman"/>
          <w:i/>
          <w:szCs w:val="24"/>
        </w:rPr>
        <w:t>Pobreza, desigualdad social y ciudadanía. Los límites de las políticas sociales</w:t>
      </w:r>
      <w:r w:rsidRPr="007C2D50">
        <w:rPr>
          <w:rFonts w:ascii="Times New Roman" w:hAnsi="Times New Roman"/>
          <w:szCs w:val="24"/>
        </w:rPr>
        <w:t xml:space="preserve"> (pp. 199-244). Buenos Aires: CLACSO.</w:t>
      </w:r>
    </w:p>
    <w:p w14:paraId="69F846E3" w14:textId="77777777" w:rsidR="00922E37" w:rsidRPr="007C2D50" w:rsidRDefault="00922E37" w:rsidP="00E30CB1">
      <w:pPr>
        <w:spacing w:before="120" w:after="120" w:line="240" w:lineRule="auto"/>
        <w:ind w:left="284" w:hanging="284"/>
        <w:jc w:val="both"/>
        <w:rPr>
          <w:rFonts w:ascii="Times New Roman" w:hAnsi="Times New Roman"/>
          <w:szCs w:val="24"/>
          <w:lang w:eastAsia="es-MX"/>
        </w:rPr>
      </w:pPr>
      <w:r w:rsidRPr="007C2D50">
        <w:rPr>
          <w:rFonts w:ascii="Times New Roman" w:hAnsi="Times New Roman"/>
          <w:szCs w:val="24"/>
          <w:lang w:eastAsia="es-MX"/>
        </w:rPr>
        <w:lastRenderedPageBreak/>
        <w:t>Cruces, G., y Gasparini, L. (2009). “Los determinantes de los cambios en la desigualdad de ingresos en Argentina”, Documentos de Trabajo sobre Políticas Sociales 5, Banco Mundial: Buenos Aires</w:t>
      </w:r>
    </w:p>
    <w:p w14:paraId="74C46ADF" w14:textId="77777777" w:rsidR="00922E37" w:rsidRPr="007C2D50" w:rsidRDefault="00922E37" w:rsidP="00E30CB1">
      <w:pPr>
        <w:spacing w:before="120" w:after="120" w:line="240" w:lineRule="auto"/>
        <w:ind w:left="284" w:hanging="284"/>
        <w:jc w:val="both"/>
        <w:rPr>
          <w:rFonts w:ascii="Times New Roman" w:hAnsi="Times New Roman"/>
          <w:szCs w:val="24"/>
          <w:lang w:eastAsia="es-MX"/>
        </w:rPr>
      </w:pPr>
      <w:r w:rsidRPr="007C2D50">
        <w:rPr>
          <w:rFonts w:ascii="Times New Roman" w:hAnsi="Times New Roman"/>
          <w:szCs w:val="24"/>
          <w:lang w:eastAsia="es-MX"/>
        </w:rPr>
        <w:t>Cruces, G. y L. Gasparini (2009), “Desigualdad en Argentina. Una revisión de la evidencia empírica”, en Desarrollo Económico Nº 192, vol. 42, enero-marzo 2009, IDES, Buenos Aires.</w:t>
      </w:r>
    </w:p>
    <w:p w14:paraId="2E44E93F" w14:textId="77777777" w:rsidR="00922E37" w:rsidRPr="007C2D50" w:rsidRDefault="00922E37" w:rsidP="00E30CB1">
      <w:pPr>
        <w:widowControl w:val="0"/>
        <w:autoSpaceDE w:val="0"/>
        <w:autoSpaceDN w:val="0"/>
        <w:adjustRightInd w:val="0"/>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Dalle, P. (2012). Cambios recientes en la estratificación social en Argentina (2003-2011). Inflexiones y dinámicas emergentes de movilidad social. </w:t>
      </w:r>
      <w:r w:rsidRPr="007C2D50">
        <w:rPr>
          <w:rFonts w:ascii="Times New Roman" w:hAnsi="Times New Roman"/>
          <w:i/>
          <w:szCs w:val="24"/>
        </w:rPr>
        <w:t>Argumentos</w:t>
      </w:r>
      <w:r w:rsidRPr="007C2D50">
        <w:rPr>
          <w:rFonts w:ascii="Times New Roman" w:hAnsi="Times New Roman"/>
          <w:szCs w:val="24"/>
        </w:rPr>
        <w:t xml:space="preserve"> (14), 77-114.</w:t>
      </w:r>
    </w:p>
    <w:p w14:paraId="24B4CFA9" w14:textId="77777777" w:rsidR="00922E37" w:rsidRPr="007C2D50" w:rsidRDefault="00922E37" w:rsidP="00E30CB1">
      <w:pPr>
        <w:tabs>
          <w:tab w:val="left" w:pos="142"/>
        </w:tabs>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Diamand, M. (1972). La estructura productiva desequilibrada argentina y el tipo de cambio. </w:t>
      </w:r>
      <w:r w:rsidRPr="007C2D50">
        <w:rPr>
          <w:rFonts w:ascii="Times New Roman" w:hAnsi="Times New Roman"/>
          <w:i/>
          <w:szCs w:val="24"/>
        </w:rPr>
        <w:t>Desarrollo Económico</w:t>
      </w:r>
      <w:r w:rsidRPr="007C2D50">
        <w:rPr>
          <w:rFonts w:ascii="Times New Roman" w:hAnsi="Times New Roman"/>
          <w:szCs w:val="24"/>
        </w:rPr>
        <w:t xml:space="preserve">, 12 (45), pp. 25-47. </w:t>
      </w:r>
    </w:p>
    <w:p w14:paraId="478F3B98" w14:textId="77777777" w:rsidR="00922E37" w:rsidRPr="007C2D50" w:rsidRDefault="00922E37" w:rsidP="00E30CB1">
      <w:pPr>
        <w:autoSpaceDE w:val="0"/>
        <w:autoSpaceDN w:val="0"/>
        <w:adjustRightInd w:val="0"/>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Fernández Bugna, C. y Porta, F. (2008). El crecimiento reciente de la industria argentina. Nuevo régimen sin cambio estructural. </w:t>
      </w:r>
      <w:r w:rsidRPr="007C2D50">
        <w:rPr>
          <w:rFonts w:ascii="Times New Roman" w:hAnsi="Times New Roman"/>
          <w:i/>
          <w:iCs/>
          <w:szCs w:val="24"/>
        </w:rPr>
        <w:t>Realidad Económica</w:t>
      </w:r>
      <w:r w:rsidRPr="007C2D50">
        <w:rPr>
          <w:rFonts w:ascii="Times New Roman" w:hAnsi="Times New Roman"/>
          <w:szCs w:val="24"/>
        </w:rPr>
        <w:t>, 233, 17-48.</w:t>
      </w:r>
    </w:p>
    <w:p w14:paraId="5CEE0EB5" w14:textId="77777777" w:rsidR="00922E37" w:rsidRPr="007C2D50" w:rsidRDefault="00922E37" w:rsidP="00E30CB1">
      <w:pPr>
        <w:widowControl w:val="0"/>
        <w:autoSpaceDE w:val="0"/>
        <w:autoSpaceDN w:val="0"/>
        <w:adjustRightInd w:val="0"/>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Gaggero, A., Schorr, M. y Wainer, A. (2014) </w:t>
      </w:r>
      <w:r w:rsidRPr="007C2D50">
        <w:rPr>
          <w:rFonts w:ascii="Times New Roman" w:hAnsi="Times New Roman"/>
          <w:i/>
          <w:szCs w:val="24"/>
        </w:rPr>
        <w:t>Restricción eterna. El poder económico durante el kirchnerismo</w:t>
      </w:r>
      <w:r w:rsidRPr="007C2D50">
        <w:rPr>
          <w:rFonts w:ascii="Times New Roman" w:hAnsi="Times New Roman"/>
          <w:szCs w:val="24"/>
        </w:rPr>
        <w:t>. Buenos Aires: Crisis y Futuro Anterior.</w:t>
      </w:r>
    </w:p>
    <w:p w14:paraId="33B72373"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Gasparini, L., Cruces, G. y Tornarolli, L. (2016). </w:t>
      </w:r>
      <w:r w:rsidRPr="007C2D50">
        <w:rPr>
          <w:rFonts w:ascii="Times New Roman" w:hAnsi="Times New Roman"/>
          <w:szCs w:val="24"/>
          <w:lang w:val="en-GB"/>
        </w:rPr>
        <w:t xml:space="preserve">Chronicle of a Deceleration Foretold Income Inequality in Latin America in the 2010s. </w:t>
      </w:r>
      <w:r w:rsidRPr="007C2D50">
        <w:rPr>
          <w:rFonts w:ascii="Times New Roman" w:hAnsi="Times New Roman"/>
          <w:i/>
          <w:szCs w:val="24"/>
        </w:rPr>
        <w:t>Revista de Economía Mundial</w:t>
      </w:r>
      <w:r w:rsidRPr="007C2D50">
        <w:rPr>
          <w:rFonts w:ascii="Times New Roman" w:hAnsi="Times New Roman"/>
          <w:szCs w:val="24"/>
        </w:rPr>
        <w:t>, 43, pp. 25-45.</w:t>
      </w:r>
    </w:p>
    <w:p w14:paraId="13D7C99F" w14:textId="77777777" w:rsidR="00922E37" w:rsidRPr="007C2D50"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Groisman, F. (2013). Gran Buenos Aires: Polarización del ingreso, clase media e informalidad laboral (1974-2010). </w:t>
      </w:r>
      <w:r w:rsidRPr="007C2D50">
        <w:rPr>
          <w:rFonts w:ascii="Times New Roman" w:hAnsi="Times New Roman"/>
          <w:i/>
          <w:szCs w:val="24"/>
        </w:rPr>
        <w:t>Revista de la CEPAL</w:t>
      </w:r>
      <w:r w:rsidRPr="007C2D50">
        <w:rPr>
          <w:rFonts w:ascii="Times New Roman" w:hAnsi="Times New Roman"/>
          <w:szCs w:val="24"/>
        </w:rPr>
        <w:t>, 109, 85-105.</w:t>
      </w:r>
    </w:p>
    <w:p w14:paraId="585EA03E" w14:textId="77777777" w:rsidR="00922E37"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Groisman, F. (2014). “Empleo, salarios y desigualdad en Argentina: análisis de los determinantes distributivos”, </w:t>
      </w:r>
      <w:r w:rsidRPr="007C2D50">
        <w:rPr>
          <w:rFonts w:ascii="Times New Roman" w:hAnsi="Times New Roman"/>
          <w:i/>
          <w:szCs w:val="24"/>
        </w:rPr>
        <w:t>Problemas del Desarrollo</w:t>
      </w:r>
      <w:r w:rsidRPr="007C2D50">
        <w:rPr>
          <w:rFonts w:ascii="Times New Roman" w:hAnsi="Times New Roman"/>
          <w:szCs w:val="24"/>
        </w:rPr>
        <w:t>, vol. 117, núm. 45, México, UNAM-IIEC, abril-junio.</w:t>
      </w:r>
    </w:p>
    <w:p w14:paraId="41364F4D" w14:textId="77777777" w:rsidR="00A625F4" w:rsidRPr="00BB4E57" w:rsidRDefault="00A625F4" w:rsidP="00A625F4">
      <w:pPr>
        <w:autoSpaceDE w:val="0"/>
        <w:autoSpaceDN w:val="0"/>
        <w:adjustRightInd w:val="0"/>
        <w:spacing w:after="120"/>
        <w:ind w:left="284" w:hanging="284"/>
        <w:jc w:val="both"/>
        <w:rPr>
          <w:rFonts w:ascii="Times New Roman" w:eastAsia="Times New Roman" w:hAnsi="Times New Roman"/>
          <w:szCs w:val="24"/>
          <w:highlight w:val="yellow"/>
          <w:lang w:val="es-ES" w:eastAsia="es-ES"/>
        </w:rPr>
      </w:pPr>
      <w:r w:rsidRPr="00BB4E57">
        <w:rPr>
          <w:rFonts w:ascii="Times New Roman" w:eastAsia="Times New Roman" w:hAnsi="Times New Roman"/>
          <w:szCs w:val="24"/>
          <w:highlight w:val="yellow"/>
          <w:lang w:val="es-ES" w:eastAsia="es-ES"/>
        </w:rPr>
        <w:t>Helfand, S.</w:t>
      </w:r>
      <w:r w:rsidR="00872F79">
        <w:rPr>
          <w:rFonts w:ascii="Times New Roman" w:eastAsia="Times New Roman" w:hAnsi="Times New Roman"/>
          <w:szCs w:val="24"/>
          <w:highlight w:val="yellow"/>
          <w:lang w:val="es-ES" w:eastAsia="es-ES"/>
        </w:rPr>
        <w:t>,</w:t>
      </w:r>
      <w:r w:rsidRPr="00BB4E57">
        <w:rPr>
          <w:rFonts w:ascii="Times New Roman" w:eastAsia="Times New Roman" w:hAnsi="Times New Roman"/>
          <w:szCs w:val="24"/>
          <w:highlight w:val="yellow"/>
          <w:lang w:val="es-ES" w:eastAsia="es-ES"/>
        </w:rPr>
        <w:t xml:space="preserve"> Rocha, R.</w:t>
      </w:r>
      <w:r w:rsidR="00872F79">
        <w:rPr>
          <w:rFonts w:ascii="Times New Roman" w:eastAsia="Times New Roman" w:hAnsi="Times New Roman"/>
          <w:szCs w:val="24"/>
          <w:highlight w:val="yellow"/>
          <w:lang w:val="es-ES" w:eastAsia="es-ES"/>
        </w:rPr>
        <w:t xml:space="preserve"> y</w:t>
      </w:r>
      <w:r w:rsidRPr="00BB4E57">
        <w:rPr>
          <w:rFonts w:ascii="Times New Roman" w:eastAsia="Times New Roman" w:hAnsi="Times New Roman"/>
          <w:szCs w:val="24"/>
          <w:highlight w:val="yellow"/>
          <w:lang w:val="es-ES" w:eastAsia="es-ES"/>
        </w:rPr>
        <w:t xml:space="preserve"> Vinhais, H. (2009) Pobreza e desigualdade de renda no Brasil rural: Uma análise da queda recente. </w:t>
      </w:r>
      <w:r w:rsidRPr="00872F79">
        <w:rPr>
          <w:rFonts w:ascii="Times New Roman" w:eastAsia="Times New Roman" w:hAnsi="Times New Roman"/>
          <w:i/>
          <w:iCs/>
          <w:szCs w:val="24"/>
          <w:highlight w:val="yellow"/>
          <w:lang w:val="es-ES" w:eastAsia="es-ES"/>
        </w:rPr>
        <w:t>Pesquisa e planejamento econômico</w:t>
      </w:r>
      <w:r w:rsidRPr="00BB4E57">
        <w:rPr>
          <w:rFonts w:ascii="Times New Roman" w:eastAsia="Times New Roman" w:hAnsi="Times New Roman"/>
          <w:szCs w:val="24"/>
          <w:highlight w:val="yellow"/>
          <w:lang w:val="es-ES" w:eastAsia="es-ES"/>
        </w:rPr>
        <w:t xml:space="preserve">, </w:t>
      </w:r>
      <w:r w:rsidR="00872F79">
        <w:rPr>
          <w:rFonts w:ascii="Times New Roman" w:eastAsia="Times New Roman" w:hAnsi="Times New Roman"/>
          <w:szCs w:val="24"/>
          <w:highlight w:val="yellow"/>
          <w:lang w:val="es-ES" w:eastAsia="es-ES"/>
        </w:rPr>
        <w:t>39 (1), pp. 59-80</w:t>
      </w:r>
      <w:r w:rsidRPr="00BB4E57">
        <w:rPr>
          <w:rFonts w:ascii="Times New Roman" w:eastAsia="Times New Roman" w:hAnsi="Times New Roman"/>
          <w:szCs w:val="24"/>
          <w:highlight w:val="yellow"/>
          <w:lang w:val="es-ES" w:eastAsia="es-ES"/>
        </w:rPr>
        <w:t>.</w:t>
      </w:r>
    </w:p>
    <w:p w14:paraId="5B8D2293" w14:textId="77777777" w:rsidR="00A625F4" w:rsidRPr="00A625F4" w:rsidRDefault="00A625F4" w:rsidP="00A625F4">
      <w:pPr>
        <w:autoSpaceDE w:val="0"/>
        <w:autoSpaceDN w:val="0"/>
        <w:adjustRightInd w:val="0"/>
        <w:spacing w:after="120"/>
        <w:ind w:left="284" w:hanging="284"/>
        <w:jc w:val="both"/>
        <w:rPr>
          <w:rFonts w:ascii="Times New Roman" w:eastAsia="Times New Roman" w:hAnsi="Times New Roman"/>
          <w:szCs w:val="24"/>
          <w:lang w:val="es-ES" w:eastAsia="es-ES"/>
        </w:rPr>
      </w:pPr>
      <w:r w:rsidRPr="00BB4E57">
        <w:rPr>
          <w:rFonts w:ascii="Times New Roman" w:eastAsia="Times New Roman" w:hAnsi="Times New Roman"/>
          <w:szCs w:val="24"/>
          <w:highlight w:val="yellow"/>
          <w:lang w:val="es-ES" w:eastAsia="es-ES"/>
        </w:rPr>
        <w:t>Hoffman, R. (2006)</w:t>
      </w:r>
      <w:r w:rsidR="00872F79">
        <w:rPr>
          <w:rFonts w:ascii="Times New Roman" w:eastAsia="Times New Roman" w:hAnsi="Times New Roman"/>
          <w:szCs w:val="24"/>
          <w:highlight w:val="yellow"/>
          <w:lang w:val="es-ES" w:eastAsia="es-ES"/>
        </w:rPr>
        <w:t xml:space="preserve">. </w:t>
      </w:r>
      <w:r w:rsidRPr="00BB4E57">
        <w:rPr>
          <w:rFonts w:ascii="Times New Roman" w:eastAsia="Times New Roman" w:hAnsi="Times New Roman"/>
          <w:szCs w:val="24"/>
          <w:highlight w:val="yellow"/>
          <w:lang w:val="es-ES" w:eastAsia="es-ES"/>
        </w:rPr>
        <w:t xml:space="preserve">Transferências de renda e a reduto da desigualdade no Brasil e cinco regiões entre 1997 e 2004. </w:t>
      </w:r>
      <w:r w:rsidRPr="00872F79">
        <w:rPr>
          <w:rFonts w:ascii="Times New Roman" w:eastAsia="Times New Roman" w:hAnsi="Times New Roman"/>
          <w:i/>
          <w:iCs/>
          <w:szCs w:val="24"/>
          <w:highlight w:val="yellow"/>
          <w:lang w:val="es-ES" w:eastAsia="es-ES"/>
        </w:rPr>
        <w:t>Econômica</w:t>
      </w:r>
      <w:r w:rsidRPr="00BB4E57">
        <w:rPr>
          <w:rFonts w:ascii="Times New Roman" w:eastAsia="Times New Roman" w:hAnsi="Times New Roman"/>
          <w:szCs w:val="24"/>
          <w:highlight w:val="yellow"/>
          <w:lang w:val="es-ES" w:eastAsia="es-ES"/>
        </w:rPr>
        <w:t xml:space="preserve">, </w:t>
      </w:r>
      <w:r w:rsidR="00872F79">
        <w:rPr>
          <w:rFonts w:ascii="Times New Roman" w:eastAsia="Times New Roman" w:hAnsi="Times New Roman"/>
          <w:szCs w:val="24"/>
          <w:highlight w:val="yellow"/>
          <w:lang w:val="es-ES" w:eastAsia="es-ES"/>
        </w:rPr>
        <w:t>8 (1), pp. 55-81</w:t>
      </w:r>
      <w:r w:rsidRPr="00BB4E57">
        <w:rPr>
          <w:rFonts w:ascii="Times New Roman" w:eastAsia="Times New Roman" w:hAnsi="Times New Roman"/>
          <w:szCs w:val="24"/>
          <w:highlight w:val="yellow"/>
          <w:lang w:val="es-ES" w:eastAsia="es-ES"/>
        </w:rPr>
        <w:t>.</w:t>
      </w:r>
    </w:p>
    <w:p w14:paraId="507446EE" w14:textId="77777777" w:rsidR="00922E37" w:rsidRPr="007C2D50" w:rsidRDefault="00922E37" w:rsidP="00E30CB1">
      <w:pPr>
        <w:autoSpaceDE w:val="0"/>
        <w:autoSpaceDN w:val="0"/>
        <w:adjustRightInd w:val="0"/>
        <w:spacing w:before="120" w:after="120" w:line="240" w:lineRule="auto"/>
        <w:ind w:left="284" w:hanging="284"/>
        <w:jc w:val="both"/>
        <w:rPr>
          <w:rFonts w:ascii="Times New Roman" w:hAnsi="Times New Roman"/>
          <w:szCs w:val="24"/>
          <w:lang w:eastAsia="es-ES"/>
        </w:rPr>
      </w:pPr>
      <w:r w:rsidRPr="007C2D50">
        <w:rPr>
          <w:rFonts w:ascii="Times New Roman" w:hAnsi="Times New Roman"/>
          <w:szCs w:val="24"/>
          <w:lang w:eastAsia="es-ES"/>
        </w:rPr>
        <w:t xml:space="preserve">Instituto Nacional de Estadística y Censos [INDEC] (2003). </w:t>
      </w:r>
      <w:r w:rsidRPr="007C2D50">
        <w:rPr>
          <w:rFonts w:ascii="Times New Roman" w:hAnsi="Times New Roman"/>
          <w:i/>
          <w:iCs/>
          <w:szCs w:val="24"/>
          <w:lang w:eastAsia="es-ES"/>
        </w:rPr>
        <w:t>La nueva Encuesta Permanente de Hogares de Argentina. 2003</w:t>
      </w:r>
      <w:r w:rsidRPr="007C2D50">
        <w:rPr>
          <w:rFonts w:ascii="Times New Roman" w:hAnsi="Times New Roman"/>
          <w:szCs w:val="24"/>
          <w:lang w:eastAsia="es-ES"/>
        </w:rPr>
        <w:t>. Buenos Aires, Ministerio de Economía y Producción/Secretaría de Política Económica, Instituto Nacional de Estadística y Censos.</w:t>
      </w:r>
    </w:p>
    <w:p w14:paraId="17D1F706" w14:textId="77777777" w:rsidR="00922E37" w:rsidRDefault="00922E37" w:rsidP="00E30CB1">
      <w:pPr>
        <w:spacing w:before="120" w:after="120" w:line="240" w:lineRule="auto"/>
        <w:ind w:left="284" w:hanging="284"/>
        <w:jc w:val="both"/>
        <w:rPr>
          <w:rFonts w:ascii="Times New Roman" w:hAnsi="Times New Roman"/>
          <w:szCs w:val="24"/>
        </w:rPr>
      </w:pPr>
      <w:r w:rsidRPr="007C2D50">
        <w:rPr>
          <w:rFonts w:ascii="Times New Roman" w:hAnsi="Times New Roman"/>
          <w:szCs w:val="24"/>
        </w:rPr>
        <w:t xml:space="preserve">Infante, R. (2011). </w:t>
      </w:r>
      <w:r w:rsidRPr="007C2D50">
        <w:rPr>
          <w:rFonts w:ascii="Times New Roman" w:hAnsi="Times New Roman"/>
          <w:i/>
          <w:szCs w:val="24"/>
        </w:rPr>
        <w:t xml:space="preserve">El desarrollo inclusivo en América Latina y el Caribe. Ensayos sobre políticas de convergencia productiva para la igualdad. </w:t>
      </w:r>
      <w:r w:rsidRPr="007C2D50">
        <w:rPr>
          <w:rFonts w:ascii="Times New Roman" w:hAnsi="Times New Roman"/>
          <w:szCs w:val="24"/>
        </w:rPr>
        <w:t>Santiago de Chile: CEPAL.</w:t>
      </w:r>
    </w:p>
    <w:p w14:paraId="6CFE5D7F" w14:textId="77777777" w:rsidR="00E30CB1" w:rsidRPr="00E30CB1" w:rsidRDefault="00E30CB1" w:rsidP="00E30CB1">
      <w:pPr>
        <w:spacing w:before="120" w:after="120" w:line="240" w:lineRule="auto"/>
        <w:ind w:left="284" w:hanging="284"/>
        <w:jc w:val="both"/>
        <w:rPr>
          <w:rFonts w:ascii="Times New Roman" w:hAnsi="Times New Roman" w:cs="Times New Roman"/>
          <w:szCs w:val="24"/>
          <w:highlight w:val="yellow"/>
        </w:rPr>
      </w:pPr>
      <w:r w:rsidRPr="00C9567B">
        <w:rPr>
          <w:rFonts w:ascii="Times New Roman" w:hAnsi="Times New Roman" w:cs="Times New Roman"/>
          <w:szCs w:val="24"/>
          <w:highlight w:val="yellow"/>
        </w:rPr>
        <w:t xml:space="preserve">Jiménez, J. P. y Rossignolo, D. (2019). </w:t>
      </w:r>
      <w:r w:rsidRPr="00C9567B">
        <w:rPr>
          <w:rFonts w:ascii="Times New Roman" w:hAnsi="Times New Roman" w:cs="Times New Roman"/>
          <w:i/>
          <w:szCs w:val="24"/>
          <w:highlight w:val="yellow"/>
        </w:rPr>
        <w:t xml:space="preserve">Concentración del ingreso y desigualdad en América Latina: el caso argentino. </w:t>
      </w:r>
      <w:r w:rsidRPr="00E30CB1">
        <w:rPr>
          <w:rFonts w:ascii="Times New Roman" w:hAnsi="Times New Roman" w:cs="Times New Roman"/>
          <w:szCs w:val="24"/>
          <w:highlight w:val="yellow"/>
        </w:rPr>
        <w:t>Buenos Aires: Fundación CECE.</w:t>
      </w:r>
    </w:p>
    <w:p w14:paraId="7555B371" w14:textId="77777777" w:rsidR="00922E37" w:rsidRPr="00872F79" w:rsidRDefault="00922E37" w:rsidP="00E30CB1">
      <w:pPr>
        <w:spacing w:before="120" w:after="120" w:line="240" w:lineRule="auto"/>
        <w:ind w:left="284" w:hanging="284"/>
        <w:jc w:val="both"/>
        <w:rPr>
          <w:rFonts w:ascii="Times New Roman" w:hAnsi="Times New Roman"/>
          <w:szCs w:val="24"/>
          <w:lang w:val="en-US"/>
        </w:rPr>
      </w:pPr>
      <w:r w:rsidRPr="007C2D50">
        <w:rPr>
          <w:rFonts w:ascii="Times New Roman" w:hAnsi="Times New Roman"/>
          <w:szCs w:val="24"/>
        </w:rPr>
        <w:t xml:space="preserve">Judzik, D., Trujillo, L., y Villafañe, S. (2017). </w:t>
      </w:r>
      <w:r w:rsidRPr="007C2D50">
        <w:rPr>
          <w:rFonts w:ascii="Times New Roman" w:hAnsi="Times New Roman"/>
          <w:szCs w:val="24"/>
          <w:lang w:val="en-US"/>
        </w:rPr>
        <w:t xml:space="preserve">A tale of two decades: Income inequality and public policy in Argentina (1996-2014). </w:t>
      </w:r>
      <w:r w:rsidRPr="00872F79">
        <w:rPr>
          <w:rFonts w:ascii="Times New Roman" w:hAnsi="Times New Roman"/>
          <w:i/>
          <w:szCs w:val="24"/>
          <w:lang w:val="en-US"/>
        </w:rPr>
        <w:t>Cuadernos de Economía</w:t>
      </w:r>
      <w:r w:rsidRPr="00872F79">
        <w:rPr>
          <w:rFonts w:ascii="Times New Roman" w:hAnsi="Times New Roman"/>
          <w:szCs w:val="24"/>
          <w:lang w:val="en-US"/>
        </w:rPr>
        <w:t>, 36 (72), 261-291.</w:t>
      </w:r>
    </w:p>
    <w:p w14:paraId="73D1DBE0" w14:textId="77777777" w:rsidR="00A625F4" w:rsidRPr="00DC5AC3" w:rsidRDefault="00A625F4" w:rsidP="00A625F4">
      <w:pPr>
        <w:autoSpaceDE w:val="0"/>
        <w:autoSpaceDN w:val="0"/>
        <w:adjustRightInd w:val="0"/>
        <w:spacing w:after="0" w:line="240" w:lineRule="auto"/>
        <w:ind w:left="284" w:hanging="284"/>
        <w:jc w:val="both"/>
        <w:rPr>
          <w:rFonts w:ascii="Times New Roman" w:eastAsia="Times New Roman" w:hAnsi="Times New Roman" w:cs="Times New Roman"/>
          <w:szCs w:val="24"/>
          <w:highlight w:val="yellow"/>
          <w:lang w:eastAsia="es-ES"/>
        </w:rPr>
      </w:pPr>
      <w:r w:rsidRPr="00872F79">
        <w:rPr>
          <w:rFonts w:ascii="Times New Roman" w:eastAsia="Times New Roman" w:hAnsi="Times New Roman" w:cs="Times New Roman"/>
          <w:szCs w:val="24"/>
          <w:highlight w:val="yellow"/>
          <w:lang w:val="en-US" w:eastAsia="es-ES"/>
        </w:rPr>
        <w:t>Kakwani, N. C.</w:t>
      </w:r>
      <w:r w:rsidR="00872F79">
        <w:rPr>
          <w:rFonts w:ascii="Times New Roman" w:eastAsia="Times New Roman" w:hAnsi="Times New Roman" w:cs="Times New Roman"/>
          <w:szCs w:val="24"/>
          <w:highlight w:val="yellow"/>
          <w:lang w:val="en-US" w:eastAsia="es-ES"/>
        </w:rPr>
        <w:t xml:space="preserve"> (1977). </w:t>
      </w:r>
      <w:r w:rsidRPr="00872F79">
        <w:rPr>
          <w:rFonts w:ascii="Times New Roman" w:eastAsia="Times New Roman" w:hAnsi="Times New Roman" w:cs="Times New Roman"/>
          <w:szCs w:val="24"/>
          <w:highlight w:val="yellow"/>
          <w:lang w:val="en-US" w:eastAsia="es-ES"/>
        </w:rPr>
        <w:t>Applications of Lorenz Curves in Economic Analysis</w:t>
      </w:r>
      <w:r w:rsidR="00872F79">
        <w:rPr>
          <w:rFonts w:ascii="Times New Roman" w:eastAsia="Times New Roman" w:hAnsi="Times New Roman" w:cs="Times New Roman"/>
          <w:szCs w:val="24"/>
          <w:highlight w:val="yellow"/>
          <w:lang w:val="en-US" w:eastAsia="es-ES"/>
        </w:rPr>
        <w:t xml:space="preserve">. </w:t>
      </w:r>
      <w:r w:rsidRPr="00DC5AC3">
        <w:rPr>
          <w:rFonts w:ascii="Times New Roman" w:eastAsia="Times New Roman" w:hAnsi="Times New Roman" w:cs="Times New Roman"/>
          <w:i/>
          <w:iCs/>
          <w:szCs w:val="24"/>
          <w:highlight w:val="yellow"/>
          <w:lang w:eastAsia="es-ES"/>
        </w:rPr>
        <w:t>Econometrica</w:t>
      </w:r>
      <w:r w:rsidR="00872F79" w:rsidRPr="00DC5AC3">
        <w:rPr>
          <w:rFonts w:ascii="Times New Roman" w:eastAsia="Times New Roman" w:hAnsi="Times New Roman" w:cs="Times New Roman"/>
          <w:szCs w:val="24"/>
          <w:highlight w:val="yellow"/>
          <w:lang w:eastAsia="es-ES"/>
        </w:rPr>
        <w:t xml:space="preserve">, </w:t>
      </w:r>
      <w:r w:rsidRPr="00DC5AC3">
        <w:rPr>
          <w:rFonts w:ascii="Times New Roman" w:eastAsia="Times New Roman" w:hAnsi="Times New Roman" w:cs="Times New Roman"/>
          <w:szCs w:val="24"/>
          <w:highlight w:val="yellow"/>
          <w:lang w:eastAsia="es-ES"/>
        </w:rPr>
        <w:t xml:space="preserve">45, </w:t>
      </w:r>
      <w:r w:rsidR="00872F79" w:rsidRPr="00DC5AC3">
        <w:rPr>
          <w:rFonts w:ascii="Times New Roman" w:eastAsia="Times New Roman" w:hAnsi="Times New Roman" w:cs="Times New Roman"/>
          <w:szCs w:val="24"/>
          <w:highlight w:val="yellow"/>
          <w:lang w:eastAsia="es-ES"/>
        </w:rPr>
        <w:t xml:space="preserve">pp. </w:t>
      </w:r>
      <w:r w:rsidRPr="00DC5AC3">
        <w:rPr>
          <w:rFonts w:ascii="Times New Roman" w:eastAsia="Times New Roman" w:hAnsi="Times New Roman" w:cs="Times New Roman"/>
          <w:szCs w:val="24"/>
          <w:highlight w:val="yellow"/>
          <w:lang w:eastAsia="es-ES"/>
        </w:rPr>
        <w:t>719-727.</w:t>
      </w:r>
    </w:p>
    <w:p w14:paraId="54ED1AE2" w14:textId="77777777" w:rsidR="00922E37" w:rsidRPr="007C2D50" w:rsidRDefault="00922E37" w:rsidP="00E30CB1">
      <w:pPr>
        <w:spacing w:before="120" w:after="120" w:line="240" w:lineRule="auto"/>
        <w:ind w:left="284" w:hanging="284"/>
        <w:jc w:val="both"/>
        <w:rPr>
          <w:rFonts w:ascii="Times New Roman" w:hAnsi="Times New Roman"/>
          <w:szCs w:val="24"/>
        </w:rPr>
      </w:pPr>
      <w:r w:rsidRPr="00DC5AC3">
        <w:rPr>
          <w:rFonts w:ascii="Times New Roman" w:hAnsi="Times New Roman"/>
          <w:szCs w:val="24"/>
        </w:rPr>
        <w:t xml:space="preserve">Kulfas, M. (2016). </w:t>
      </w:r>
      <w:r w:rsidRPr="00DC5AC3">
        <w:rPr>
          <w:rFonts w:ascii="Times New Roman" w:hAnsi="Times New Roman"/>
          <w:i/>
          <w:szCs w:val="24"/>
        </w:rPr>
        <w:t xml:space="preserve">Los tres kirchnerismos. </w:t>
      </w:r>
      <w:r w:rsidRPr="007C2D50">
        <w:rPr>
          <w:rFonts w:ascii="Times New Roman" w:hAnsi="Times New Roman"/>
          <w:i/>
          <w:szCs w:val="24"/>
        </w:rPr>
        <w:t>Una historia de la economía argentina. 2003-2015</w:t>
      </w:r>
      <w:r w:rsidRPr="007C2D50">
        <w:rPr>
          <w:rFonts w:ascii="Times New Roman" w:hAnsi="Times New Roman"/>
          <w:szCs w:val="24"/>
        </w:rPr>
        <w:t>. Buenos Aires: Siglo XXI</w:t>
      </w:r>
    </w:p>
    <w:p w14:paraId="272D2958" w14:textId="77777777" w:rsidR="00922E37" w:rsidRPr="007C2D50" w:rsidRDefault="00922E37" w:rsidP="00E30CB1">
      <w:pPr>
        <w:spacing w:before="120" w:after="120"/>
        <w:ind w:left="284" w:hanging="284"/>
        <w:jc w:val="both"/>
        <w:rPr>
          <w:rFonts w:ascii="Times New Roman" w:hAnsi="Times New Roman"/>
          <w:szCs w:val="24"/>
          <w:lang w:val="en-US"/>
        </w:rPr>
      </w:pPr>
      <w:r w:rsidRPr="00922E37">
        <w:rPr>
          <w:rFonts w:ascii="Times New Roman" w:hAnsi="Times New Roman"/>
          <w:szCs w:val="24"/>
        </w:rPr>
        <w:lastRenderedPageBreak/>
        <w:t xml:space="preserve">Leibbrandt. M., Woolard, C. y Woolard, I. (1996). </w:t>
      </w:r>
      <w:r w:rsidRPr="007C2D50">
        <w:rPr>
          <w:rFonts w:ascii="Times New Roman" w:hAnsi="Times New Roman"/>
          <w:szCs w:val="24"/>
          <w:lang w:val="en-US"/>
        </w:rPr>
        <w:t xml:space="preserve">The contribution of income components to income inequality in South Africa: A decomposable Gini Analysis.  </w:t>
      </w:r>
      <w:r w:rsidRPr="007C2D50">
        <w:rPr>
          <w:rFonts w:ascii="Times New Roman" w:hAnsi="Times New Roman"/>
          <w:i/>
          <w:szCs w:val="24"/>
          <w:lang w:val="en-US"/>
        </w:rPr>
        <w:t>LSMS Working Paper Nº 125</w:t>
      </w:r>
      <w:r w:rsidRPr="007C2D50">
        <w:rPr>
          <w:rFonts w:ascii="Times New Roman" w:hAnsi="Times New Roman"/>
          <w:szCs w:val="24"/>
          <w:lang w:val="en-US"/>
        </w:rPr>
        <w:t xml:space="preserve">. Washington: The World Bank. </w:t>
      </w:r>
    </w:p>
    <w:p w14:paraId="0A97D543" w14:textId="77777777" w:rsidR="00E30CB1" w:rsidRPr="00144B64" w:rsidRDefault="00E30CB1" w:rsidP="00E30CB1">
      <w:pPr>
        <w:shd w:val="clear" w:color="auto" w:fill="FFFFFF"/>
        <w:spacing w:before="120" w:after="120" w:line="240" w:lineRule="auto"/>
        <w:ind w:left="284" w:hanging="284"/>
        <w:jc w:val="both"/>
        <w:outlineLvl w:val="0"/>
        <w:rPr>
          <w:rFonts w:ascii="Times New Roman" w:eastAsia="Times New Roman" w:hAnsi="Times New Roman" w:cs="Times New Roman"/>
          <w:szCs w:val="24"/>
          <w:lang w:eastAsia="es-AR"/>
        </w:rPr>
      </w:pPr>
      <w:r w:rsidRPr="00872F79">
        <w:rPr>
          <w:rFonts w:ascii="Times New Roman" w:eastAsia="Times New Roman" w:hAnsi="Times New Roman" w:cs="Times New Roman"/>
          <w:kern w:val="36"/>
          <w:szCs w:val="24"/>
          <w:highlight w:val="yellow"/>
          <w:lang w:val="en-US" w:eastAsia="es-AR"/>
        </w:rPr>
        <w:t xml:space="preserve">Lerman, R. y Yitzhaki, S. (1985). </w:t>
      </w:r>
      <w:r w:rsidRPr="00C9567B">
        <w:rPr>
          <w:rFonts w:ascii="Times New Roman" w:eastAsia="Times New Roman" w:hAnsi="Times New Roman" w:cs="Times New Roman"/>
          <w:kern w:val="36"/>
          <w:szCs w:val="24"/>
          <w:highlight w:val="yellow"/>
          <w:lang w:val="en-GB" w:eastAsia="es-AR"/>
        </w:rPr>
        <w:t xml:space="preserve">Income Inequality Effects by Income Source: A New Approach and Applications to the United States. </w:t>
      </w:r>
      <w:r w:rsidRPr="00144B64">
        <w:rPr>
          <w:rFonts w:ascii="Times New Roman" w:eastAsia="Times New Roman" w:hAnsi="Times New Roman" w:cs="Times New Roman"/>
          <w:i/>
          <w:iCs/>
          <w:szCs w:val="24"/>
          <w:highlight w:val="yellow"/>
          <w:lang w:eastAsia="es-AR"/>
        </w:rPr>
        <w:t xml:space="preserve">The Review of Economics and Statistics, </w:t>
      </w:r>
      <w:r w:rsidRPr="00144B64">
        <w:rPr>
          <w:rFonts w:ascii="Times New Roman" w:eastAsia="Times New Roman" w:hAnsi="Times New Roman" w:cs="Times New Roman"/>
          <w:szCs w:val="24"/>
          <w:highlight w:val="yellow"/>
          <w:lang w:eastAsia="es-AR"/>
        </w:rPr>
        <w:t>67 (1), pp. 151-156.</w:t>
      </w:r>
    </w:p>
    <w:p w14:paraId="7DDD18F8" w14:textId="77777777" w:rsidR="00922E37" w:rsidRPr="007C2D50" w:rsidRDefault="00922E37" w:rsidP="00E30CB1">
      <w:pPr>
        <w:pStyle w:val="Sinespaciado"/>
        <w:spacing w:before="120" w:after="120"/>
        <w:ind w:left="284" w:hanging="284"/>
        <w:jc w:val="both"/>
        <w:rPr>
          <w:rFonts w:ascii="Times New Roman" w:hAnsi="Times New Roman"/>
          <w:sz w:val="24"/>
          <w:szCs w:val="24"/>
          <w:lang w:val="en-US"/>
        </w:rPr>
      </w:pPr>
      <w:r w:rsidRPr="00872F79">
        <w:rPr>
          <w:rFonts w:ascii="Times New Roman" w:hAnsi="Times New Roman"/>
          <w:sz w:val="24"/>
          <w:szCs w:val="24"/>
        </w:rPr>
        <w:t xml:space="preserve">Lindenboim, J. (2012). </w:t>
      </w:r>
      <w:r w:rsidRPr="007C2D50">
        <w:rPr>
          <w:rFonts w:ascii="Times New Roman" w:hAnsi="Times New Roman"/>
          <w:sz w:val="24"/>
          <w:szCs w:val="24"/>
        </w:rPr>
        <w:t xml:space="preserve">"La pobreza: una tensión social más allá de la metrópolis", en L. Ainstein (comp.) </w:t>
      </w:r>
      <w:r w:rsidRPr="007C2D50">
        <w:rPr>
          <w:rFonts w:ascii="Times New Roman" w:hAnsi="Times New Roman"/>
          <w:i/>
          <w:sz w:val="24"/>
          <w:szCs w:val="24"/>
        </w:rPr>
        <w:t>Estructuración urbana, institucionalidad y sustentabilidad de ciudades metropolitanas y regiones difusas. Miradas comparadas sobre Buenos Aires, Londres, Los Angeles, Paris, Tokio y Toronto</w:t>
      </w:r>
      <w:r w:rsidRPr="007C2D50">
        <w:rPr>
          <w:rFonts w:ascii="Times New Roman" w:hAnsi="Times New Roman"/>
          <w:sz w:val="24"/>
          <w:szCs w:val="24"/>
        </w:rPr>
        <w:t xml:space="preserve">. </w:t>
      </w:r>
      <w:r w:rsidRPr="007C2D50">
        <w:rPr>
          <w:rFonts w:ascii="Times New Roman" w:hAnsi="Times New Roman"/>
          <w:sz w:val="24"/>
          <w:szCs w:val="24"/>
          <w:lang w:val="en-US"/>
        </w:rPr>
        <w:t>Buenos Aires, Eudeba.</w:t>
      </w:r>
    </w:p>
    <w:p w14:paraId="2613D3B0" w14:textId="77777777" w:rsidR="00922E37" w:rsidRPr="007C2D50" w:rsidRDefault="00922E37" w:rsidP="00E30CB1">
      <w:pPr>
        <w:pStyle w:val="Sinespaciado"/>
        <w:spacing w:before="120" w:after="120"/>
        <w:ind w:left="284" w:hanging="284"/>
        <w:jc w:val="both"/>
        <w:rPr>
          <w:rFonts w:ascii="Times New Roman" w:hAnsi="Times New Roman"/>
          <w:sz w:val="24"/>
          <w:szCs w:val="24"/>
          <w:lang w:val="en-US"/>
        </w:rPr>
      </w:pPr>
      <w:r w:rsidRPr="007C2D50">
        <w:rPr>
          <w:rFonts w:ascii="Times New Roman" w:hAnsi="Times New Roman"/>
          <w:sz w:val="24"/>
          <w:szCs w:val="24"/>
          <w:lang w:val="en-US"/>
        </w:rPr>
        <w:t xml:space="preserve">López­Calva, L, y Lustig, N (2010) </w:t>
      </w:r>
      <w:r w:rsidRPr="007C2D50">
        <w:rPr>
          <w:rFonts w:ascii="Times New Roman" w:hAnsi="Times New Roman"/>
          <w:i/>
          <w:sz w:val="24"/>
          <w:szCs w:val="24"/>
          <w:lang w:val="en-US"/>
        </w:rPr>
        <w:t>Declining Inequality in Latin America: A Decade of Progress?</w:t>
      </w:r>
      <w:r w:rsidRPr="007C2D50">
        <w:rPr>
          <w:rFonts w:ascii="Times New Roman" w:hAnsi="Times New Roman"/>
          <w:sz w:val="24"/>
          <w:szCs w:val="24"/>
          <w:lang w:val="en-US"/>
        </w:rPr>
        <w:t xml:space="preserve"> </w:t>
      </w:r>
      <w:r w:rsidRPr="007C2D50">
        <w:rPr>
          <w:rFonts w:ascii="Times New Roman" w:hAnsi="Times New Roman"/>
          <w:sz w:val="24"/>
          <w:szCs w:val="24"/>
          <w:lang w:val="en-GB"/>
        </w:rPr>
        <w:t>Washington, D. C.: Brookings Institution Press</w:t>
      </w:r>
    </w:p>
    <w:p w14:paraId="61ACC87F" w14:textId="77777777" w:rsidR="00E30CB1" w:rsidRPr="00C9567B" w:rsidRDefault="00E30CB1" w:rsidP="00E30CB1">
      <w:pPr>
        <w:spacing w:before="120" w:after="120" w:line="240" w:lineRule="auto"/>
        <w:ind w:left="284" w:hanging="284"/>
        <w:jc w:val="both"/>
        <w:rPr>
          <w:rFonts w:ascii="Times New Roman" w:hAnsi="Times New Roman" w:cs="Times New Roman"/>
          <w:szCs w:val="24"/>
          <w:highlight w:val="yellow"/>
          <w:shd w:val="clear" w:color="auto" w:fill="FFFFFF"/>
        </w:rPr>
      </w:pPr>
      <w:r w:rsidRPr="00C9567B">
        <w:rPr>
          <w:rFonts w:ascii="Times New Roman" w:hAnsi="Times New Roman" w:cs="Times New Roman"/>
          <w:szCs w:val="24"/>
          <w:highlight w:val="yellow"/>
        </w:rPr>
        <w:t>Maurizio, R. (2014). El impacto distributivo del salario mínimo en Argentina, Brasil, Chile y Uruguay. Serie Políticas Sociales 194, CEPAL.</w:t>
      </w:r>
    </w:p>
    <w:p w14:paraId="3C94ADDE" w14:textId="77777777" w:rsidR="00922E37" w:rsidRPr="00872F79" w:rsidRDefault="00922E37" w:rsidP="00E30CB1">
      <w:pPr>
        <w:autoSpaceDE w:val="0"/>
        <w:autoSpaceDN w:val="0"/>
        <w:spacing w:before="120" w:after="120" w:line="240" w:lineRule="auto"/>
        <w:ind w:left="284" w:hanging="284"/>
        <w:jc w:val="both"/>
        <w:rPr>
          <w:rFonts w:ascii="Times New Roman" w:hAnsi="Times New Roman"/>
          <w:szCs w:val="24"/>
          <w:lang w:val="en-US"/>
        </w:rPr>
      </w:pPr>
      <w:r w:rsidRPr="007C2D50">
        <w:rPr>
          <w:rFonts w:ascii="Times New Roman" w:hAnsi="Times New Roman"/>
          <w:szCs w:val="24"/>
        </w:rPr>
        <w:t>Medina, F. y Galván, M. (2008). Crecimiento económico, pobreza y distribución del ingreso. Fundamentos teóricos y evidencia empírica para América Latina, 1997-</w:t>
      </w:r>
      <w:r w:rsidRPr="00DA38D9">
        <w:rPr>
          <w:rFonts w:ascii="Times New Roman" w:hAnsi="Times New Roman"/>
          <w:szCs w:val="24"/>
        </w:rPr>
        <w:t>2007</w:t>
      </w:r>
      <w:r w:rsidRPr="00DA38D9">
        <w:rPr>
          <w:rFonts w:ascii="Times New Roman" w:hAnsi="Times New Roman"/>
          <w:color w:val="545454"/>
          <w:szCs w:val="24"/>
          <w:shd w:val="clear" w:color="auto" w:fill="FFFFFF"/>
        </w:rPr>
        <w:t xml:space="preserve">, </w:t>
      </w:r>
      <w:r w:rsidRPr="00DA38D9">
        <w:rPr>
          <w:rFonts w:ascii="Times New Roman" w:hAnsi="Times New Roman"/>
          <w:i/>
          <w:szCs w:val="24"/>
        </w:rPr>
        <w:t>Serie de Estudios Estadísticos</w:t>
      </w:r>
      <w:r w:rsidRPr="00DA38D9">
        <w:rPr>
          <w:rFonts w:ascii="Times New Roman" w:hAnsi="Times New Roman"/>
          <w:szCs w:val="24"/>
        </w:rPr>
        <w:t xml:space="preserve">. </w:t>
      </w:r>
      <w:r w:rsidRPr="00872F79">
        <w:rPr>
          <w:rFonts w:ascii="Times New Roman" w:hAnsi="Times New Roman"/>
          <w:szCs w:val="24"/>
          <w:lang w:val="en-US"/>
        </w:rPr>
        <w:t>Santiago de Chile: CEPAL.</w:t>
      </w:r>
    </w:p>
    <w:p w14:paraId="2EDEEF8C" w14:textId="77777777" w:rsidR="00A625F4" w:rsidRPr="00872F79" w:rsidRDefault="00A625F4" w:rsidP="00A625F4">
      <w:pPr>
        <w:autoSpaceDE w:val="0"/>
        <w:autoSpaceDN w:val="0"/>
        <w:adjustRightInd w:val="0"/>
        <w:spacing w:after="120"/>
        <w:ind w:left="284" w:hanging="284"/>
        <w:jc w:val="both"/>
        <w:rPr>
          <w:rFonts w:ascii="Times New Roman" w:eastAsia="Times New Roman" w:hAnsi="Times New Roman"/>
          <w:szCs w:val="24"/>
          <w:lang w:eastAsia="es-ES"/>
        </w:rPr>
      </w:pPr>
      <w:r w:rsidRPr="00D74FC1">
        <w:rPr>
          <w:rFonts w:ascii="Times New Roman" w:eastAsia="Times New Roman" w:hAnsi="Times New Roman"/>
          <w:szCs w:val="24"/>
          <w:highlight w:val="yellow"/>
          <w:lang w:val="en-US" w:eastAsia="es-ES"/>
        </w:rPr>
        <w:t xml:space="preserve">Milanovic, B. (1998) </w:t>
      </w:r>
      <w:r w:rsidRPr="00872F79">
        <w:rPr>
          <w:rFonts w:ascii="Times New Roman" w:eastAsia="Times New Roman" w:hAnsi="Times New Roman"/>
          <w:i/>
          <w:iCs/>
          <w:szCs w:val="24"/>
          <w:highlight w:val="yellow"/>
          <w:lang w:val="en-US" w:eastAsia="es-ES"/>
        </w:rPr>
        <w:t>Income, Inequality, and Poverty during the Transition from Planned to Market Economy</w:t>
      </w:r>
      <w:r w:rsidRPr="00D74FC1">
        <w:rPr>
          <w:rFonts w:ascii="Times New Roman" w:eastAsia="Times New Roman" w:hAnsi="Times New Roman"/>
          <w:szCs w:val="24"/>
          <w:highlight w:val="yellow"/>
          <w:lang w:val="en-US" w:eastAsia="es-ES"/>
        </w:rPr>
        <w:t xml:space="preserve">. </w:t>
      </w:r>
      <w:r w:rsidRPr="00872F79">
        <w:rPr>
          <w:rFonts w:ascii="Times New Roman" w:eastAsia="Times New Roman" w:hAnsi="Times New Roman"/>
          <w:szCs w:val="24"/>
          <w:highlight w:val="yellow"/>
          <w:lang w:eastAsia="es-ES"/>
        </w:rPr>
        <w:t>World Bank. Washington D.C.</w:t>
      </w:r>
    </w:p>
    <w:p w14:paraId="399895CB" w14:textId="77777777" w:rsidR="00922E37" w:rsidRPr="00DD640E" w:rsidRDefault="00922E37" w:rsidP="00E30CB1">
      <w:pPr>
        <w:pStyle w:val="Sinespaciado"/>
        <w:spacing w:before="120" w:after="120"/>
        <w:ind w:left="284" w:hanging="284"/>
        <w:jc w:val="both"/>
        <w:rPr>
          <w:rFonts w:ascii="Times New Roman" w:hAnsi="Times New Roman"/>
          <w:sz w:val="24"/>
          <w:szCs w:val="24"/>
        </w:rPr>
      </w:pPr>
      <w:r w:rsidRPr="00DD640E">
        <w:rPr>
          <w:rFonts w:ascii="Times New Roman" w:hAnsi="Times New Roman"/>
          <w:sz w:val="24"/>
          <w:szCs w:val="24"/>
        </w:rPr>
        <w:t xml:space="preserve">Pinto, </w:t>
      </w:r>
      <w:r w:rsidRPr="00DD640E">
        <w:rPr>
          <w:rFonts w:ascii="Times New Roman" w:hAnsi="Times New Roman"/>
          <w:spacing w:val="-3"/>
          <w:sz w:val="24"/>
          <w:szCs w:val="24"/>
        </w:rPr>
        <w:t>A.</w:t>
      </w:r>
      <w:r w:rsidRPr="00DD640E">
        <w:rPr>
          <w:rFonts w:ascii="Times New Roman" w:hAnsi="Times New Roman"/>
          <w:smallCaps/>
          <w:spacing w:val="-3"/>
          <w:sz w:val="24"/>
          <w:szCs w:val="24"/>
        </w:rPr>
        <w:t xml:space="preserve"> </w:t>
      </w:r>
      <w:r w:rsidRPr="00DD640E">
        <w:rPr>
          <w:rFonts w:ascii="Times New Roman" w:hAnsi="Times New Roman"/>
          <w:sz w:val="24"/>
          <w:szCs w:val="24"/>
        </w:rPr>
        <w:t xml:space="preserve">(1976). Naturaleza e implicaciones de la heterogeneidad estructural de América Latina. </w:t>
      </w:r>
      <w:r w:rsidRPr="00DD640E">
        <w:rPr>
          <w:rFonts w:ascii="Times New Roman" w:hAnsi="Times New Roman"/>
          <w:i/>
          <w:sz w:val="24"/>
          <w:szCs w:val="24"/>
        </w:rPr>
        <w:t>El</w:t>
      </w:r>
      <w:r w:rsidRPr="00DD640E">
        <w:rPr>
          <w:rFonts w:ascii="Times New Roman" w:hAnsi="Times New Roman"/>
          <w:i/>
          <w:iCs/>
          <w:sz w:val="24"/>
          <w:szCs w:val="24"/>
        </w:rPr>
        <w:t xml:space="preserve"> </w:t>
      </w:r>
      <w:r w:rsidRPr="00DD640E">
        <w:rPr>
          <w:rFonts w:ascii="Times New Roman" w:hAnsi="Times New Roman"/>
          <w:i/>
          <w:sz w:val="24"/>
          <w:szCs w:val="24"/>
        </w:rPr>
        <w:t>trimestre económico</w:t>
      </w:r>
      <w:r w:rsidRPr="00DD640E">
        <w:rPr>
          <w:rFonts w:ascii="Times New Roman" w:hAnsi="Times New Roman"/>
          <w:sz w:val="24"/>
          <w:szCs w:val="24"/>
        </w:rPr>
        <w:t>, 37 (145), pp. 83-100.</w:t>
      </w:r>
    </w:p>
    <w:p w14:paraId="2DB74E9C" w14:textId="77777777" w:rsidR="00922E37" w:rsidRPr="00DA38D9" w:rsidRDefault="003D7CB1" w:rsidP="00E30CB1">
      <w:pPr>
        <w:spacing w:before="120" w:after="120" w:line="240" w:lineRule="auto"/>
        <w:ind w:left="284" w:hanging="284"/>
        <w:jc w:val="both"/>
        <w:rPr>
          <w:rFonts w:ascii="Times New Roman" w:hAnsi="Times New Roman"/>
          <w:szCs w:val="24"/>
        </w:rPr>
      </w:pPr>
      <w:r>
        <w:rPr>
          <w:rFonts w:ascii="Times New Roman" w:hAnsi="Times New Roman"/>
          <w:szCs w:val="24"/>
        </w:rPr>
        <w:t>AUTOR</w:t>
      </w:r>
    </w:p>
    <w:p w14:paraId="6C4F838C" w14:textId="77777777" w:rsidR="00922E37" w:rsidRPr="00DA38D9" w:rsidRDefault="00922E37" w:rsidP="00E30CB1">
      <w:pPr>
        <w:spacing w:before="120" w:after="120" w:line="240" w:lineRule="auto"/>
        <w:ind w:left="284" w:hanging="284"/>
        <w:jc w:val="both"/>
        <w:rPr>
          <w:rFonts w:ascii="Times New Roman" w:hAnsi="Times New Roman"/>
          <w:szCs w:val="24"/>
        </w:rPr>
      </w:pPr>
      <w:r w:rsidRPr="00DA38D9">
        <w:rPr>
          <w:rFonts w:ascii="Times New Roman" w:hAnsi="Times New Roman"/>
          <w:szCs w:val="24"/>
        </w:rPr>
        <w:t xml:space="preserve">Prebisch, R. (1949). </w:t>
      </w:r>
      <w:r w:rsidRPr="00DA38D9">
        <w:rPr>
          <w:rFonts w:ascii="Times New Roman" w:hAnsi="Times New Roman"/>
          <w:i/>
          <w:szCs w:val="24"/>
        </w:rPr>
        <w:t>El desarrollo económico de América Latina y algunos de sus principales problemas</w:t>
      </w:r>
      <w:r w:rsidRPr="00DA38D9">
        <w:rPr>
          <w:rFonts w:ascii="Times New Roman" w:hAnsi="Times New Roman"/>
          <w:szCs w:val="24"/>
        </w:rPr>
        <w:t>, Santiago de Chile: Naciones Unidas.</w:t>
      </w:r>
    </w:p>
    <w:p w14:paraId="417679A3" w14:textId="77777777" w:rsidR="00922E37" w:rsidRDefault="00922E37" w:rsidP="00E30CB1">
      <w:pPr>
        <w:spacing w:before="120" w:after="120" w:line="240" w:lineRule="auto"/>
        <w:ind w:left="284" w:hanging="284"/>
        <w:jc w:val="both"/>
        <w:rPr>
          <w:rFonts w:ascii="Times New Roman" w:hAnsi="Times New Roman"/>
          <w:szCs w:val="24"/>
        </w:rPr>
      </w:pPr>
      <w:r w:rsidRPr="00DA38D9">
        <w:rPr>
          <w:rFonts w:ascii="Times New Roman" w:hAnsi="Times New Roman"/>
          <w:szCs w:val="24"/>
        </w:rPr>
        <w:t xml:space="preserve">Prebisch, R. (1967 [1963]). </w:t>
      </w:r>
      <w:r w:rsidRPr="00DA38D9">
        <w:rPr>
          <w:rFonts w:ascii="Times New Roman" w:hAnsi="Times New Roman"/>
          <w:i/>
          <w:szCs w:val="24"/>
        </w:rPr>
        <w:t>Hacia una dinámica del desarrollo latinoamericano</w:t>
      </w:r>
      <w:r w:rsidRPr="00DA38D9">
        <w:rPr>
          <w:rFonts w:ascii="Times New Roman" w:hAnsi="Times New Roman"/>
          <w:szCs w:val="24"/>
        </w:rPr>
        <w:t>, Montevideo: Ediciones de la Banda Oriental.</w:t>
      </w:r>
    </w:p>
    <w:p w14:paraId="79252BB7" w14:textId="77777777" w:rsidR="00922E37" w:rsidRPr="00EC5C15" w:rsidRDefault="00922E37" w:rsidP="00E30CB1">
      <w:pPr>
        <w:widowControl w:val="0"/>
        <w:autoSpaceDE w:val="0"/>
        <w:autoSpaceDN w:val="0"/>
        <w:adjustRightInd w:val="0"/>
        <w:spacing w:before="120" w:after="120" w:line="240" w:lineRule="auto"/>
        <w:ind w:left="284" w:hanging="284"/>
        <w:jc w:val="both"/>
        <w:rPr>
          <w:rFonts w:ascii="Times New Roman" w:hAnsi="Times New Roman"/>
          <w:szCs w:val="24"/>
        </w:rPr>
      </w:pPr>
      <w:r w:rsidRPr="00EC5C15">
        <w:rPr>
          <w:rFonts w:ascii="Times New Roman" w:hAnsi="Times New Roman"/>
          <w:szCs w:val="24"/>
        </w:rPr>
        <w:t xml:space="preserve">Programa Regional de Empleo para América Latina y el Caribe [PREALC] (1978). </w:t>
      </w:r>
      <w:r w:rsidRPr="00EC5C15">
        <w:rPr>
          <w:rFonts w:ascii="Times New Roman" w:hAnsi="Times New Roman"/>
          <w:i/>
          <w:szCs w:val="24"/>
        </w:rPr>
        <w:t>Sector Informal. Funcionamiento y Políticas</w:t>
      </w:r>
      <w:r w:rsidRPr="00EC5C15">
        <w:rPr>
          <w:rFonts w:ascii="Times New Roman" w:hAnsi="Times New Roman"/>
          <w:szCs w:val="24"/>
        </w:rPr>
        <w:t xml:space="preserve">. Santiago de Chile: OIT. </w:t>
      </w:r>
    </w:p>
    <w:p w14:paraId="220B12F4" w14:textId="77777777" w:rsidR="00922E37" w:rsidRPr="00872F79" w:rsidRDefault="00922E37" w:rsidP="00E30CB1">
      <w:pPr>
        <w:spacing w:before="120" w:after="120" w:line="240" w:lineRule="auto"/>
        <w:ind w:left="284" w:hanging="284"/>
        <w:jc w:val="both"/>
        <w:rPr>
          <w:rFonts w:ascii="Times New Roman" w:hAnsi="Times New Roman"/>
          <w:szCs w:val="24"/>
        </w:rPr>
      </w:pPr>
      <w:r w:rsidRPr="00DA38D9">
        <w:rPr>
          <w:rFonts w:ascii="Times New Roman" w:hAnsi="Times New Roman"/>
          <w:szCs w:val="24"/>
          <w:lang w:val="es-ES"/>
        </w:rPr>
        <w:t xml:space="preserve">Rodríguez, O. (2001). Prebisch: actualidad de sus ideas básicas. </w:t>
      </w:r>
      <w:r w:rsidRPr="00872F79">
        <w:rPr>
          <w:rFonts w:ascii="Times New Roman" w:hAnsi="Times New Roman"/>
          <w:i/>
          <w:szCs w:val="24"/>
        </w:rPr>
        <w:t>Revista de la CEPAL</w:t>
      </w:r>
      <w:r w:rsidRPr="00872F79">
        <w:rPr>
          <w:rFonts w:ascii="Times New Roman" w:hAnsi="Times New Roman"/>
          <w:szCs w:val="24"/>
        </w:rPr>
        <w:t xml:space="preserve">, 75, pp. 41-52. </w:t>
      </w:r>
    </w:p>
    <w:p w14:paraId="1DE2DDB4" w14:textId="77777777" w:rsidR="00E30CB1" w:rsidRDefault="00E30CB1" w:rsidP="00E30CB1">
      <w:pPr>
        <w:spacing w:before="120" w:after="120" w:line="240" w:lineRule="auto"/>
        <w:ind w:left="284" w:hanging="284"/>
        <w:jc w:val="both"/>
        <w:rPr>
          <w:rFonts w:ascii="Times New Roman" w:hAnsi="Times New Roman" w:cs="Times New Roman"/>
          <w:szCs w:val="24"/>
          <w:shd w:val="clear" w:color="auto" w:fill="FFFFFF"/>
        </w:rPr>
      </w:pPr>
      <w:r w:rsidRPr="00C9567B">
        <w:rPr>
          <w:rFonts w:ascii="Times New Roman" w:hAnsi="Times New Roman" w:cs="Times New Roman"/>
          <w:szCs w:val="24"/>
          <w:highlight w:val="yellow"/>
          <w:shd w:val="clear" w:color="auto" w:fill="FFFFFF"/>
        </w:rPr>
        <w:t>Rossignolo, D. (2018). El impacto de los impuestos y gastos sobre la pobreza y la distribución de ingresos en Argentina y algunas simulaciones de políticas. </w:t>
      </w:r>
      <w:r w:rsidRPr="00C9567B">
        <w:rPr>
          <w:rFonts w:ascii="Times New Roman" w:hAnsi="Times New Roman" w:cs="Times New Roman"/>
          <w:i/>
          <w:iCs/>
          <w:szCs w:val="24"/>
          <w:highlight w:val="yellow"/>
          <w:shd w:val="clear" w:color="auto" w:fill="FFFFFF"/>
        </w:rPr>
        <w:t>Revista De Economía Y Estadística</w:t>
      </w:r>
      <w:r w:rsidRPr="00C9567B">
        <w:rPr>
          <w:rFonts w:ascii="Times New Roman" w:hAnsi="Times New Roman" w:cs="Times New Roman"/>
          <w:szCs w:val="24"/>
          <w:highlight w:val="yellow"/>
          <w:shd w:val="clear" w:color="auto" w:fill="FFFFFF"/>
        </w:rPr>
        <w:t>, </w:t>
      </w:r>
      <w:r w:rsidRPr="00C9567B">
        <w:rPr>
          <w:rFonts w:ascii="Times New Roman" w:hAnsi="Times New Roman" w:cs="Times New Roman"/>
          <w:i/>
          <w:iCs/>
          <w:szCs w:val="24"/>
          <w:highlight w:val="yellow"/>
          <w:shd w:val="clear" w:color="auto" w:fill="FFFFFF"/>
        </w:rPr>
        <w:t>54</w:t>
      </w:r>
      <w:r w:rsidRPr="00C9567B">
        <w:rPr>
          <w:rFonts w:ascii="Times New Roman" w:hAnsi="Times New Roman" w:cs="Times New Roman"/>
          <w:szCs w:val="24"/>
          <w:highlight w:val="yellow"/>
          <w:shd w:val="clear" w:color="auto" w:fill="FFFFFF"/>
        </w:rPr>
        <w:t xml:space="preserve">(1), 13-58. Recuperado a partir de </w:t>
      </w:r>
      <w:hyperlink r:id="rId8" w:history="1">
        <w:r w:rsidRPr="00C9567B">
          <w:rPr>
            <w:rStyle w:val="Hipervnculo"/>
            <w:rFonts w:ascii="Times New Roman" w:hAnsi="Times New Roman" w:cs="Times New Roman"/>
            <w:color w:val="auto"/>
            <w:szCs w:val="24"/>
            <w:highlight w:val="yellow"/>
            <w:shd w:val="clear" w:color="auto" w:fill="FFFFFF"/>
          </w:rPr>
          <w:t>https://revistas.unc.edu.ar/index.php/REyE/article/view/19428</w:t>
        </w:r>
      </w:hyperlink>
    </w:p>
    <w:p w14:paraId="35A92E68" w14:textId="77777777" w:rsidR="002130A8" w:rsidRPr="00432F9F" w:rsidRDefault="002130A8" w:rsidP="002130A8">
      <w:pPr>
        <w:spacing w:before="120" w:after="120" w:line="240" w:lineRule="auto"/>
        <w:ind w:left="567" w:hanging="567"/>
        <w:jc w:val="both"/>
        <w:rPr>
          <w:rFonts w:ascii="Times New Roman" w:hAnsi="Times New Roman" w:cs="Times New Roman"/>
          <w:szCs w:val="24"/>
        </w:rPr>
      </w:pPr>
      <w:r w:rsidRPr="002130A8">
        <w:rPr>
          <w:rFonts w:ascii="Times New Roman" w:hAnsi="Times New Roman" w:cs="Times New Roman"/>
          <w:szCs w:val="24"/>
          <w:highlight w:val="yellow"/>
        </w:rPr>
        <w:t xml:space="preserve">Sánchez, M., Pacífico, L. y Kennedy, D. (2016). </w:t>
      </w:r>
      <w:r w:rsidRPr="002130A8">
        <w:rPr>
          <w:rFonts w:ascii="Times New Roman" w:hAnsi="Times New Roman" w:cs="Times New Roman"/>
          <w:i/>
          <w:szCs w:val="24"/>
          <w:highlight w:val="yellow"/>
        </w:rPr>
        <w:t>La participación asalariada en el ingreso y su composición según el vínculo laboral</w:t>
      </w:r>
      <w:r w:rsidRPr="002130A8">
        <w:rPr>
          <w:rFonts w:ascii="Times New Roman" w:hAnsi="Times New Roman" w:cs="Times New Roman"/>
          <w:szCs w:val="24"/>
          <w:highlight w:val="yellow"/>
        </w:rPr>
        <w:t>. (Documento de Trabajo N° 21). Buenos Aires: Centro de Estudios sobre Población, Empleo y Desarrollo.</w:t>
      </w:r>
    </w:p>
    <w:p w14:paraId="23600BAC" w14:textId="6DBB5EA8" w:rsidR="00A625F4" w:rsidRPr="00FF3BCD" w:rsidRDefault="00A625F4" w:rsidP="00A625F4">
      <w:pPr>
        <w:autoSpaceDE w:val="0"/>
        <w:autoSpaceDN w:val="0"/>
        <w:adjustRightInd w:val="0"/>
        <w:spacing w:after="0" w:line="240" w:lineRule="auto"/>
        <w:ind w:left="284" w:hanging="284"/>
        <w:jc w:val="both"/>
        <w:rPr>
          <w:rFonts w:ascii="Times New Roman" w:eastAsia="Times New Roman" w:hAnsi="Times New Roman" w:cs="Times New Roman"/>
          <w:szCs w:val="24"/>
          <w:lang w:eastAsia="es-ES"/>
        </w:rPr>
      </w:pPr>
      <w:r w:rsidRPr="00872F79">
        <w:rPr>
          <w:rFonts w:ascii="Times New Roman" w:eastAsia="Times New Roman" w:hAnsi="Times New Roman" w:cs="Times New Roman"/>
          <w:szCs w:val="24"/>
          <w:highlight w:val="yellow"/>
          <w:lang w:val="en-US" w:eastAsia="es-ES"/>
        </w:rPr>
        <w:t>Shorrocks, A. (1982).</w:t>
      </w:r>
      <w:r w:rsidR="00872F79">
        <w:rPr>
          <w:rFonts w:ascii="Times New Roman" w:eastAsia="Times New Roman" w:hAnsi="Times New Roman" w:cs="Times New Roman"/>
          <w:szCs w:val="24"/>
          <w:highlight w:val="yellow"/>
          <w:lang w:val="en-US" w:eastAsia="es-ES"/>
        </w:rPr>
        <w:t xml:space="preserve"> </w:t>
      </w:r>
      <w:r w:rsidRPr="00872F79">
        <w:rPr>
          <w:rFonts w:ascii="Times New Roman" w:eastAsia="Times New Roman" w:hAnsi="Times New Roman" w:cs="Times New Roman"/>
          <w:szCs w:val="24"/>
          <w:highlight w:val="yellow"/>
          <w:lang w:val="en-US" w:eastAsia="es-ES"/>
        </w:rPr>
        <w:t>Inequality Decomposition by Factor Components</w:t>
      </w:r>
      <w:r w:rsidR="00872F79">
        <w:rPr>
          <w:rFonts w:ascii="Times New Roman" w:eastAsia="Times New Roman" w:hAnsi="Times New Roman" w:cs="Times New Roman"/>
          <w:szCs w:val="24"/>
          <w:highlight w:val="yellow"/>
          <w:lang w:val="en-US" w:eastAsia="es-ES"/>
        </w:rPr>
        <w:t xml:space="preserve">. </w:t>
      </w:r>
      <w:r w:rsidRPr="00FF3BCD">
        <w:rPr>
          <w:rFonts w:ascii="Times New Roman" w:eastAsia="Times New Roman" w:hAnsi="Times New Roman" w:cs="Times New Roman"/>
          <w:i/>
          <w:iCs/>
          <w:szCs w:val="24"/>
          <w:highlight w:val="yellow"/>
          <w:lang w:eastAsia="es-ES"/>
        </w:rPr>
        <w:t>Econometrica</w:t>
      </w:r>
      <w:r w:rsidR="00872F79" w:rsidRPr="00FF3BCD">
        <w:rPr>
          <w:rFonts w:ascii="Times New Roman" w:eastAsia="Times New Roman" w:hAnsi="Times New Roman" w:cs="Times New Roman"/>
          <w:szCs w:val="24"/>
          <w:highlight w:val="yellow"/>
          <w:lang w:eastAsia="es-ES"/>
        </w:rPr>
        <w:t>,</w:t>
      </w:r>
      <w:r w:rsidRPr="00FF3BCD">
        <w:rPr>
          <w:rFonts w:ascii="Times New Roman" w:eastAsia="Times New Roman" w:hAnsi="Times New Roman" w:cs="Times New Roman"/>
          <w:szCs w:val="24"/>
          <w:highlight w:val="yellow"/>
          <w:lang w:eastAsia="es-ES"/>
        </w:rPr>
        <w:t xml:space="preserve"> 50</w:t>
      </w:r>
      <w:r w:rsidR="00872F79" w:rsidRPr="00FF3BCD">
        <w:rPr>
          <w:rFonts w:ascii="Times New Roman" w:eastAsia="Times New Roman" w:hAnsi="Times New Roman" w:cs="Times New Roman"/>
          <w:szCs w:val="24"/>
          <w:highlight w:val="yellow"/>
          <w:lang w:eastAsia="es-ES"/>
        </w:rPr>
        <w:t xml:space="preserve">, pp. </w:t>
      </w:r>
      <w:r w:rsidRPr="00FF3BCD">
        <w:rPr>
          <w:rFonts w:ascii="Times New Roman" w:eastAsia="Times New Roman" w:hAnsi="Times New Roman" w:cs="Times New Roman"/>
          <w:szCs w:val="24"/>
          <w:highlight w:val="yellow"/>
          <w:lang w:eastAsia="es-ES"/>
        </w:rPr>
        <w:t>193-211.</w:t>
      </w:r>
    </w:p>
    <w:p w14:paraId="36AC91B0" w14:textId="77777777" w:rsidR="00A625F4" w:rsidRPr="00A625F4" w:rsidRDefault="00A625F4" w:rsidP="00A625F4">
      <w:pPr>
        <w:autoSpaceDE w:val="0"/>
        <w:autoSpaceDN w:val="0"/>
        <w:adjustRightInd w:val="0"/>
        <w:spacing w:after="120"/>
        <w:ind w:left="284" w:hanging="284"/>
        <w:jc w:val="both"/>
        <w:rPr>
          <w:rFonts w:ascii="Times New Roman" w:eastAsia="Times New Roman" w:hAnsi="Times New Roman"/>
          <w:szCs w:val="24"/>
          <w:lang w:val="es-ES" w:eastAsia="es-ES"/>
        </w:rPr>
      </w:pPr>
      <w:r w:rsidRPr="00BB4E57">
        <w:rPr>
          <w:rFonts w:ascii="Times New Roman" w:eastAsia="Times New Roman" w:hAnsi="Times New Roman"/>
          <w:szCs w:val="24"/>
          <w:highlight w:val="yellow"/>
          <w:lang w:val="es-ES" w:eastAsia="es-ES"/>
        </w:rPr>
        <w:lastRenderedPageBreak/>
        <w:t xml:space="preserve">Soares, S. (2006) </w:t>
      </w:r>
      <w:r w:rsidRPr="00FF3BCD">
        <w:rPr>
          <w:rFonts w:ascii="Times New Roman" w:eastAsia="Times New Roman" w:hAnsi="Times New Roman"/>
          <w:i/>
          <w:iCs/>
          <w:szCs w:val="24"/>
          <w:highlight w:val="yellow"/>
          <w:lang w:val="es-ES" w:eastAsia="es-ES"/>
        </w:rPr>
        <w:t xml:space="preserve">Distribuição de renda no Brasil de </w:t>
      </w:r>
      <w:smartTag w:uri="urn:schemas-microsoft-com:office:smarttags" w:element="metricconverter">
        <w:smartTagPr>
          <w:attr w:name="ProductID" w:val="1976 a"/>
        </w:smartTagPr>
        <w:r w:rsidRPr="00FF3BCD">
          <w:rPr>
            <w:rFonts w:ascii="Times New Roman" w:eastAsia="Times New Roman" w:hAnsi="Times New Roman"/>
            <w:i/>
            <w:iCs/>
            <w:szCs w:val="24"/>
            <w:highlight w:val="yellow"/>
            <w:lang w:val="es-ES" w:eastAsia="es-ES"/>
          </w:rPr>
          <w:t>1976 a</w:t>
        </w:r>
      </w:smartTag>
      <w:r w:rsidRPr="00FF3BCD">
        <w:rPr>
          <w:rFonts w:ascii="Times New Roman" w:eastAsia="Times New Roman" w:hAnsi="Times New Roman"/>
          <w:i/>
          <w:iCs/>
          <w:szCs w:val="24"/>
          <w:highlight w:val="yellow"/>
          <w:lang w:val="es-ES" w:eastAsia="es-ES"/>
        </w:rPr>
        <w:t xml:space="preserve"> 2004 com ênfase no período entre 2001 e 2004</w:t>
      </w:r>
      <w:r w:rsidRPr="00BB4E57">
        <w:rPr>
          <w:rFonts w:ascii="Times New Roman" w:eastAsia="Times New Roman" w:hAnsi="Times New Roman"/>
          <w:szCs w:val="24"/>
          <w:highlight w:val="yellow"/>
          <w:lang w:val="es-ES" w:eastAsia="es-ES"/>
        </w:rPr>
        <w:t>. Texto para Discussão No. 1166. Brasilia.</w:t>
      </w:r>
    </w:p>
    <w:p w14:paraId="155DDC5D" w14:textId="77777777" w:rsidR="00922E37" w:rsidRPr="00DA38D9" w:rsidRDefault="00922E37" w:rsidP="00E30CB1">
      <w:pPr>
        <w:spacing w:before="120" w:after="120" w:line="240" w:lineRule="auto"/>
        <w:ind w:left="284" w:hanging="284"/>
        <w:jc w:val="both"/>
        <w:rPr>
          <w:rFonts w:ascii="Times New Roman" w:hAnsi="Times New Roman"/>
          <w:szCs w:val="24"/>
        </w:rPr>
      </w:pPr>
      <w:r w:rsidRPr="00DA38D9">
        <w:rPr>
          <w:rFonts w:ascii="Times New Roman" w:hAnsi="Times New Roman"/>
          <w:szCs w:val="24"/>
        </w:rPr>
        <w:t xml:space="preserve">Torrado, S. (2010), “Modelos de acumulación, regímenes de gobierno y estructura social”, en S. Torrado (dir.) </w:t>
      </w:r>
      <w:r w:rsidRPr="00DA38D9">
        <w:rPr>
          <w:rFonts w:ascii="Times New Roman" w:hAnsi="Times New Roman"/>
          <w:i/>
          <w:szCs w:val="24"/>
        </w:rPr>
        <w:t>El costo social del ajuste</w:t>
      </w:r>
      <w:r w:rsidRPr="00DA38D9">
        <w:rPr>
          <w:rFonts w:ascii="Times New Roman" w:hAnsi="Times New Roman"/>
          <w:szCs w:val="24"/>
        </w:rPr>
        <w:t>, Tomo I, Buenos Aires, EDHASA.</w:t>
      </w:r>
    </w:p>
    <w:p w14:paraId="4CDBA3F1" w14:textId="77777777" w:rsidR="00D1480F" w:rsidRPr="00D1480F" w:rsidRDefault="00D1480F" w:rsidP="00D1480F">
      <w:pPr>
        <w:autoSpaceDE w:val="0"/>
        <w:autoSpaceDN w:val="0"/>
        <w:adjustRightInd w:val="0"/>
        <w:spacing w:after="0" w:line="240" w:lineRule="auto"/>
        <w:ind w:left="284" w:hanging="284"/>
        <w:jc w:val="both"/>
        <w:rPr>
          <w:rFonts w:ascii="Times New Roman" w:eastAsia="Times New Roman" w:hAnsi="Times New Roman" w:cs="Times New Roman"/>
          <w:szCs w:val="24"/>
          <w:highlight w:val="yellow"/>
          <w:lang w:val="es-ES" w:eastAsia="es-ES"/>
        </w:rPr>
      </w:pPr>
      <w:r w:rsidRPr="004F3339">
        <w:rPr>
          <w:rFonts w:ascii="Times New Roman" w:eastAsia="Times New Roman" w:hAnsi="Times New Roman" w:cs="Times New Roman"/>
          <w:szCs w:val="24"/>
          <w:highlight w:val="yellow"/>
          <w:lang w:val="es-ES" w:eastAsia="es-ES"/>
        </w:rPr>
        <w:t xml:space="preserve">Trujillo, L. (2017). Los determinantes de la desigualdad del ingreso. El rol del mercado de trabajo, de las instituciones laborales y la protección social: Un estudio a través de descomposiciones de los índices de Gini y de Theil en Argentina (2003-2014). Tesis de posgrado. Universidad Nacional de La Plata. Facultad de Humanidades y Ciencias de la Educación. </w:t>
      </w:r>
    </w:p>
    <w:p w14:paraId="212D2B52" w14:textId="77777777" w:rsidR="00922E37" w:rsidRPr="00DA38D9" w:rsidRDefault="00922E37" w:rsidP="00A625F4">
      <w:pPr>
        <w:spacing w:before="120" w:after="120" w:line="240" w:lineRule="auto"/>
        <w:ind w:left="284" w:hanging="284"/>
        <w:jc w:val="both"/>
        <w:rPr>
          <w:rFonts w:ascii="Times New Roman" w:hAnsi="Times New Roman"/>
          <w:szCs w:val="24"/>
        </w:rPr>
      </w:pPr>
      <w:r w:rsidRPr="00DA38D9">
        <w:rPr>
          <w:rFonts w:ascii="Times New Roman" w:hAnsi="Times New Roman"/>
          <w:szCs w:val="24"/>
        </w:rPr>
        <w:t xml:space="preserve">Trujillo, L. y Villafañe, S. (2011). Dinámica distributiva y políticas públicas: dos décadas de contrastes en la argentina contemporánea, en: Novick, M. y Villafañe, S. (comps.) </w:t>
      </w:r>
      <w:r w:rsidRPr="00DA38D9">
        <w:rPr>
          <w:rFonts w:ascii="Times New Roman" w:hAnsi="Times New Roman"/>
          <w:i/>
          <w:szCs w:val="24"/>
        </w:rPr>
        <w:t>Distribución del ingreso. Enfoques y políticas públicas desde el Sur</w:t>
      </w:r>
      <w:r w:rsidRPr="00DA38D9">
        <w:rPr>
          <w:rFonts w:ascii="Times New Roman" w:hAnsi="Times New Roman"/>
          <w:szCs w:val="24"/>
        </w:rPr>
        <w:t>, Buenos Aires, MTEYSS-PNUD.</w:t>
      </w:r>
    </w:p>
    <w:p w14:paraId="5CE3A94D" w14:textId="77777777" w:rsidR="008913B4" w:rsidRPr="00E30CB1" w:rsidRDefault="007C4FD4" w:rsidP="008913B4">
      <w:pPr>
        <w:tabs>
          <w:tab w:val="left" w:pos="4069"/>
        </w:tabs>
        <w:spacing w:before="240" w:after="240" w:line="240" w:lineRule="auto"/>
        <w:rPr>
          <w:rFonts w:ascii="Times New Roman" w:eastAsia="Times New Roman" w:hAnsi="Times New Roman"/>
          <w:b/>
          <w:szCs w:val="24"/>
          <w:lang w:eastAsia="es-AR"/>
        </w:rPr>
      </w:pPr>
      <w:r w:rsidRPr="00E30CB1">
        <w:rPr>
          <w:rFonts w:ascii="Times New Roman" w:eastAsia="Times New Roman" w:hAnsi="Times New Roman"/>
          <w:b/>
          <w:szCs w:val="24"/>
          <w:highlight w:val="yellow"/>
          <w:lang w:eastAsia="es-AR"/>
        </w:rPr>
        <w:t>7</w:t>
      </w:r>
      <w:r w:rsidR="008913B4" w:rsidRPr="00E30CB1">
        <w:rPr>
          <w:rFonts w:ascii="Times New Roman" w:eastAsia="Times New Roman" w:hAnsi="Times New Roman"/>
          <w:b/>
          <w:szCs w:val="24"/>
          <w:highlight w:val="yellow"/>
          <w:lang w:eastAsia="es-AR"/>
        </w:rPr>
        <w:t>. Apéndice Estadístico</w:t>
      </w:r>
    </w:p>
    <w:p w14:paraId="24E2D7E0" w14:textId="77777777" w:rsidR="008913B4" w:rsidRDefault="008913B4" w:rsidP="008913B4">
      <w:pPr>
        <w:tabs>
          <w:tab w:val="left" w:pos="4069"/>
        </w:tabs>
        <w:spacing w:before="240" w:after="240" w:line="360" w:lineRule="auto"/>
        <w:jc w:val="both"/>
        <w:rPr>
          <w:rFonts w:ascii="Times New Roman" w:eastAsia="Times New Roman" w:hAnsi="Times New Roman"/>
          <w:szCs w:val="24"/>
          <w:lang w:val="es-ES" w:eastAsia="es-AR"/>
        </w:rPr>
      </w:pPr>
      <w:r>
        <w:rPr>
          <w:rFonts w:ascii="Times New Roman" w:eastAsia="Times New Roman" w:hAnsi="Times New Roman"/>
          <w:szCs w:val="24"/>
          <w:lang w:val="es-ES" w:eastAsia="es-AR"/>
        </w:rPr>
        <w:t xml:space="preserve">Se presentan a continuación </w:t>
      </w:r>
      <w:r w:rsidR="007C4FD4">
        <w:rPr>
          <w:rFonts w:ascii="Times New Roman" w:eastAsia="Times New Roman" w:hAnsi="Times New Roman"/>
          <w:szCs w:val="24"/>
          <w:lang w:val="es-ES" w:eastAsia="es-AR"/>
        </w:rPr>
        <w:t>resultados desglosados que constituyen insumos para los Cuadros 4 a 9.</w:t>
      </w:r>
    </w:p>
    <w:p w14:paraId="2D806B3E" w14:textId="77777777" w:rsidR="007C4FD4" w:rsidRPr="007C4FD4" w:rsidRDefault="007C4FD4" w:rsidP="007C4FD4">
      <w:pPr>
        <w:keepNext/>
        <w:spacing w:before="240" w:after="120" w:line="240" w:lineRule="auto"/>
        <w:jc w:val="both"/>
        <w:rPr>
          <w:rFonts w:ascii="Times New Roman" w:eastAsia="Times New Roman" w:hAnsi="Times New Roman"/>
          <w:b/>
          <w:bCs/>
          <w:color w:val="000000"/>
          <w:lang w:eastAsia="es-AR"/>
        </w:rPr>
      </w:pPr>
      <w:r w:rsidRPr="007C4FD4">
        <w:rPr>
          <w:rFonts w:ascii="Times New Roman" w:eastAsia="Times New Roman" w:hAnsi="Times New Roman"/>
          <w:b/>
          <w:bCs/>
          <w:color w:val="000000"/>
          <w:lang w:eastAsia="es-AR"/>
        </w:rPr>
        <w:t>Cuadro A1. Componentes del Coeficiente de Gini y descomposición del índice según fuente de ingreso. Gran Buenos Aires, 1974 (octubre).</w:t>
      </w:r>
    </w:p>
    <w:tbl>
      <w:tblPr>
        <w:tblW w:w="8580" w:type="dxa"/>
        <w:tblInd w:w="80" w:type="dxa"/>
        <w:tblCellMar>
          <w:left w:w="70" w:type="dxa"/>
          <w:right w:w="70" w:type="dxa"/>
        </w:tblCellMar>
        <w:tblLook w:val="04A0" w:firstRow="1" w:lastRow="0" w:firstColumn="1" w:lastColumn="0" w:noHBand="0" w:noVBand="1"/>
      </w:tblPr>
      <w:tblGrid>
        <w:gridCol w:w="2580"/>
        <w:gridCol w:w="1200"/>
        <w:gridCol w:w="1200"/>
        <w:gridCol w:w="1200"/>
        <w:gridCol w:w="1200"/>
        <w:gridCol w:w="1200"/>
      </w:tblGrid>
      <w:tr w:rsidR="007C4FD4" w:rsidRPr="007C4FD4" w14:paraId="1B5AFC9A" w14:textId="77777777" w:rsidTr="007C4FD4">
        <w:trPr>
          <w:trHeight w:val="645"/>
        </w:trPr>
        <w:tc>
          <w:tcPr>
            <w:tcW w:w="2580" w:type="dxa"/>
            <w:tcBorders>
              <w:top w:val="single" w:sz="8" w:space="0" w:color="auto"/>
              <w:left w:val="single" w:sz="8" w:space="0" w:color="auto"/>
              <w:bottom w:val="single" w:sz="8" w:space="0" w:color="auto"/>
              <w:right w:val="nil"/>
            </w:tcBorders>
            <w:shd w:val="clear" w:color="000000" w:fill="FFFFFF"/>
            <w:noWrap/>
            <w:vAlign w:val="center"/>
            <w:hideMark/>
          </w:tcPr>
          <w:p w14:paraId="329EEC36" w14:textId="77777777" w:rsidR="007C4FD4" w:rsidRPr="007C4FD4" w:rsidRDefault="007C4FD4" w:rsidP="007C4FD4">
            <w:pPr>
              <w:keepNext/>
              <w:spacing w:after="0" w:line="240" w:lineRule="auto"/>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Fuente de ingreso</w:t>
            </w:r>
          </w:p>
        </w:tc>
        <w:tc>
          <w:tcPr>
            <w:tcW w:w="12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5D8A06C"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Sk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328F09AE"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Rk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347325C3"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407C839B"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absoluta Sk*Rk*Gk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03D19C04"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relativa</w:t>
            </w:r>
          </w:p>
        </w:tc>
      </w:tr>
      <w:tr w:rsidR="007C4FD4" w:rsidRPr="007C4FD4" w14:paraId="21847471"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0C996DCD"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laborales</w:t>
            </w:r>
          </w:p>
        </w:tc>
        <w:tc>
          <w:tcPr>
            <w:tcW w:w="1200" w:type="dxa"/>
            <w:tcBorders>
              <w:top w:val="nil"/>
              <w:left w:val="nil"/>
              <w:bottom w:val="nil"/>
              <w:right w:val="single" w:sz="8" w:space="0" w:color="auto"/>
            </w:tcBorders>
            <w:shd w:val="clear" w:color="000000" w:fill="FFFFFF"/>
            <w:noWrap/>
            <w:vAlign w:val="center"/>
            <w:hideMark/>
          </w:tcPr>
          <w:p w14:paraId="7515FA61"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0,874</w:t>
            </w:r>
          </w:p>
        </w:tc>
        <w:tc>
          <w:tcPr>
            <w:tcW w:w="1200" w:type="dxa"/>
            <w:tcBorders>
              <w:top w:val="nil"/>
              <w:left w:val="nil"/>
              <w:bottom w:val="nil"/>
              <w:right w:val="single" w:sz="8" w:space="0" w:color="auto"/>
            </w:tcBorders>
            <w:shd w:val="clear" w:color="000000" w:fill="FFFFFF"/>
            <w:noWrap/>
            <w:vAlign w:val="center"/>
            <w:hideMark/>
          </w:tcPr>
          <w:p w14:paraId="6733622F"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0,934</w:t>
            </w:r>
          </w:p>
        </w:tc>
        <w:tc>
          <w:tcPr>
            <w:tcW w:w="1200" w:type="dxa"/>
            <w:tcBorders>
              <w:top w:val="nil"/>
              <w:left w:val="nil"/>
              <w:bottom w:val="nil"/>
              <w:right w:val="single" w:sz="8" w:space="0" w:color="auto"/>
            </w:tcBorders>
            <w:shd w:val="clear" w:color="000000" w:fill="FFFFFF"/>
            <w:noWrap/>
            <w:vAlign w:val="center"/>
            <w:hideMark/>
          </w:tcPr>
          <w:p w14:paraId="394A8429"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0,433</w:t>
            </w:r>
          </w:p>
        </w:tc>
        <w:tc>
          <w:tcPr>
            <w:tcW w:w="1200" w:type="dxa"/>
            <w:tcBorders>
              <w:top w:val="nil"/>
              <w:left w:val="nil"/>
              <w:bottom w:val="nil"/>
              <w:right w:val="single" w:sz="8" w:space="0" w:color="auto"/>
            </w:tcBorders>
            <w:shd w:val="clear" w:color="000000" w:fill="FFFFFF"/>
            <w:noWrap/>
            <w:vAlign w:val="center"/>
            <w:hideMark/>
          </w:tcPr>
          <w:p w14:paraId="7ABCDFA0"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0,354</w:t>
            </w:r>
          </w:p>
        </w:tc>
        <w:tc>
          <w:tcPr>
            <w:tcW w:w="1200" w:type="dxa"/>
            <w:tcBorders>
              <w:top w:val="nil"/>
              <w:left w:val="nil"/>
              <w:bottom w:val="nil"/>
              <w:right w:val="single" w:sz="8" w:space="0" w:color="auto"/>
            </w:tcBorders>
            <w:shd w:val="clear" w:color="000000" w:fill="FFFFFF"/>
            <w:noWrap/>
            <w:vAlign w:val="center"/>
            <w:hideMark/>
          </w:tcPr>
          <w:p w14:paraId="3ADBE8F3"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97%</w:t>
            </w:r>
          </w:p>
        </w:tc>
      </w:tr>
      <w:tr w:rsidR="007C4FD4" w:rsidRPr="007C4FD4" w14:paraId="3D545189"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7173D56F"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formal público y privado</w:t>
            </w:r>
          </w:p>
        </w:tc>
        <w:tc>
          <w:tcPr>
            <w:tcW w:w="1200" w:type="dxa"/>
            <w:tcBorders>
              <w:top w:val="nil"/>
              <w:left w:val="nil"/>
              <w:bottom w:val="nil"/>
              <w:right w:val="single" w:sz="8" w:space="0" w:color="auto"/>
            </w:tcBorders>
            <w:shd w:val="clear" w:color="000000" w:fill="FFFFFF"/>
            <w:noWrap/>
            <w:vAlign w:val="center"/>
            <w:hideMark/>
          </w:tcPr>
          <w:p w14:paraId="03D000FC"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0,612</w:t>
            </w:r>
          </w:p>
        </w:tc>
        <w:tc>
          <w:tcPr>
            <w:tcW w:w="1200" w:type="dxa"/>
            <w:tcBorders>
              <w:top w:val="nil"/>
              <w:left w:val="nil"/>
              <w:bottom w:val="nil"/>
              <w:right w:val="single" w:sz="8" w:space="0" w:color="auto"/>
            </w:tcBorders>
            <w:shd w:val="clear" w:color="000000" w:fill="FFFFFF"/>
            <w:noWrap/>
            <w:vAlign w:val="center"/>
            <w:hideMark/>
          </w:tcPr>
          <w:p w14:paraId="5DC2682F"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0,757</w:t>
            </w:r>
          </w:p>
        </w:tc>
        <w:tc>
          <w:tcPr>
            <w:tcW w:w="1200" w:type="dxa"/>
            <w:tcBorders>
              <w:top w:val="nil"/>
              <w:left w:val="nil"/>
              <w:bottom w:val="nil"/>
              <w:right w:val="single" w:sz="8" w:space="0" w:color="auto"/>
            </w:tcBorders>
            <w:shd w:val="clear" w:color="000000" w:fill="FFFFFF"/>
            <w:noWrap/>
            <w:vAlign w:val="center"/>
            <w:hideMark/>
          </w:tcPr>
          <w:p w14:paraId="0623CC76"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0,586</w:t>
            </w:r>
          </w:p>
        </w:tc>
        <w:tc>
          <w:tcPr>
            <w:tcW w:w="1200" w:type="dxa"/>
            <w:tcBorders>
              <w:top w:val="nil"/>
              <w:left w:val="nil"/>
              <w:bottom w:val="nil"/>
              <w:right w:val="single" w:sz="8" w:space="0" w:color="auto"/>
            </w:tcBorders>
            <w:shd w:val="clear" w:color="000000" w:fill="FFFFFF"/>
            <w:noWrap/>
            <w:vAlign w:val="center"/>
            <w:hideMark/>
          </w:tcPr>
          <w:p w14:paraId="2667883C"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0,271</w:t>
            </w:r>
          </w:p>
        </w:tc>
        <w:tc>
          <w:tcPr>
            <w:tcW w:w="1200" w:type="dxa"/>
            <w:tcBorders>
              <w:top w:val="nil"/>
              <w:left w:val="nil"/>
              <w:bottom w:val="nil"/>
              <w:right w:val="single" w:sz="8" w:space="0" w:color="auto"/>
            </w:tcBorders>
            <w:shd w:val="clear" w:color="000000" w:fill="FFFFFF"/>
            <w:noWrap/>
            <w:vAlign w:val="center"/>
            <w:hideMark/>
          </w:tcPr>
          <w:p w14:paraId="6CE23691"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74%</w:t>
            </w:r>
          </w:p>
        </w:tc>
      </w:tr>
      <w:tr w:rsidR="007C4FD4" w:rsidRPr="007C4FD4" w14:paraId="21DD748E"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66C8CE28"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formal privado</w:t>
            </w:r>
          </w:p>
        </w:tc>
        <w:tc>
          <w:tcPr>
            <w:tcW w:w="1200" w:type="dxa"/>
            <w:tcBorders>
              <w:top w:val="nil"/>
              <w:left w:val="nil"/>
              <w:bottom w:val="nil"/>
              <w:right w:val="single" w:sz="8" w:space="0" w:color="auto"/>
            </w:tcBorders>
            <w:shd w:val="clear" w:color="000000" w:fill="FFFFFF"/>
            <w:noWrap/>
            <w:vAlign w:val="center"/>
            <w:hideMark/>
          </w:tcPr>
          <w:p w14:paraId="4099C91F"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66C57603"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404D436E"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6F20B3D7"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54A039FD"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r>
      <w:tr w:rsidR="007C4FD4" w:rsidRPr="007C4FD4" w14:paraId="2DF08177"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47CD36AA"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público</w:t>
            </w:r>
          </w:p>
        </w:tc>
        <w:tc>
          <w:tcPr>
            <w:tcW w:w="1200" w:type="dxa"/>
            <w:tcBorders>
              <w:top w:val="nil"/>
              <w:left w:val="nil"/>
              <w:bottom w:val="nil"/>
              <w:right w:val="single" w:sz="8" w:space="0" w:color="auto"/>
            </w:tcBorders>
            <w:shd w:val="clear" w:color="000000" w:fill="FFFFFF"/>
            <w:noWrap/>
            <w:vAlign w:val="center"/>
            <w:hideMark/>
          </w:tcPr>
          <w:p w14:paraId="26B6F1C0"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53650BFF"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668A06C8"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58331BFE"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3BC5CA59"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r>
      <w:tr w:rsidR="007C4FD4" w:rsidRPr="007C4FD4" w14:paraId="2861CBE7"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7EA3707E"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microinformal</w:t>
            </w:r>
          </w:p>
        </w:tc>
        <w:tc>
          <w:tcPr>
            <w:tcW w:w="1200" w:type="dxa"/>
            <w:tcBorders>
              <w:top w:val="nil"/>
              <w:left w:val="nil"/>
              <w:bottom w:val="nil"/>
              <w:right w:val="single" w:sz="8" w:space="0" w:color="auto"/>
            </w:tcBorders>
            <w:shd w:val="clear" w:color="000000" w:fill="FFFFFF"/>
            <w:noWrap/>
            <w:vAlign w:val="center"/>
            <w:hideMark/>
          </w:tcPr>
          <w:p w14:paraId="5F1F8FCD"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0,262</w:t>
            </w:r>
          </w:p>
        </w:tc>
        <w:tc>
          <w:tcPr>
            <w:tcW w:w="1200" w:type="dxa"/>
            <w:tcBorders>
              <w:top w:val="nil"/>
              <w:left w:val="nil"/>
              <w:bottom w:val="nil"/>
              <w:right w:val="single" w:sz="8" w:space="0" w:color="auto"/>
            </w:tcBorders>
            <w:shd w:val="clear" w:color="000000" w:fill="FFFFFF"/>
            <w:noWrap/>
            <w:vAlign w:val="center"/>
            <w:hideMark/>
          </w:tcPr>
          <w:p w14:paraId="58DC9964"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0,420</w:t>
            </w:r>
          </w:p>
        </w:tc>
        <w:tc>
          <w:tcPr>
            <w:tcW w:w="1200" w:type="dxa"/>
            <w:tcBorders>
              <w:top w:val="nil"/>
              <w:left w:val="nil"/>
              <w:bottom w:val="nil"/>
              <w:right w:val="single" w:sz="8" w:space="0" w:color="auto"/>
            </w:tcBorders>
            <w:shd w:val="clear" w:color="000000" w:fill="FFFFFF"/>
            <w:noWrap/>
            <w:vAlign w:val="center"/>
            <w:hideMark/>
          </w:tcPr>
          <w:p w14:paraId="21F57D14"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0,746</w:t>
            </w:r>
          </w:p>
        </w:tc>
        <w:tc>
          <w:tcPr>
            <w:tcW w:w="1200" w:type="dxa"/>
            <w:tcBorders>
              <w:top w:val="nil"/>
              <w:left w:val="nil"/>
              <w:bottom w:val="nil"/>
              <w:right w:val="single" w:sz="8" w:space="0" w:color="auto"/>
            </w:tcBorders>
            <w:shd w:val="clear" w:color="000000" w:fill="FFFFFF"/>
            <w:noWrap/>
            <w:vAlign w:val="center"/>
            <w:hideMark/>
          </w:tcPr>
          <w:p w14:paraId="61CC2362"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0,082</w:t>
            </w:r>
          </w:p>
        </w:tc>
        <w:tc>
          <w:tcPr>
            <w:tcW w:w="1200" w:type="dxa"/>
            <w:tcBorders>
              <w:top w:val="nil"/>
              <w:left w:val="nil"/>
              <w:bottom w:val="nil"/>
              <w:right w:val="single" w:sz="8" w:space="0" w:color="auto"/>
            </w:tcBorders>
            <w:shd w:val="clear" w:color="000000" w:fill="FFFFFF"/>
            <w:noWrap/>
            <w:vAlign w:val="center"/>
            <w:hideMark/>
          </w:tcPr>
          <w:p w14:paraId="6F764C80"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22%</w:t>
            </w:r>
          </w:p>
        </w:tc>
      </w:tr>
      <w:tr w:rsidR="007C4FD4" w:rsidRPr="007C4FD4" w14:paraId="3195C8F8" w14:textId="77777777" w:rsidTr="007C4FD4">
        <w:trPr>
          <w:trHeight w:val="315"/>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4AD82B11"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no laborales</w:t>
            </w:r>
          </w:p>
        </w:tc>
        <w:tc>
          <w:tcPr>
            <w:tcW w:w="1200" w:type="dxa"/>
            <w:tcBorders>
              <w:top w:val="nil"/>
              <w:left w:val="nil"/>
              <w:bottom w:val="single" w:sz="8" w:space="0" w:color="auto"/>
              <w:right w:val="single" w:sz="8" w:space="0" w:color="auto"/>
            </w:tcBorders>
            <w:shd w:val="clear" w:color="000000" w:fill="FFFFFF"/>
            <w:noWrap/>
            <w:vAlign w:val="center"/>
            <w:hideMark/>
          </w:tcPr>
          <w:p w14:paraId="61F91652"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0,126</w:t>
            </w:r>
          </w:p>
        </w:tc>
        <w:tc>
          <w:tcPr>
            <w:tcW w:w="1200" w:type="dxa"/>
            <w:tcBorders>
              <w:top w:val="nil"/>
              <w:left w:val="nil"/>
              <w:bottom w:val="single" w:sz="8" w:space="0" w:color="auto"/>
              <w:right w:val="single" w:sz="8" w:space="0" w:color="auto"/>
            </w:tcBorders>
            <w:shd w:val="clear" w:color="000000" w:fill="FFFFFF"/>
            <w:noWrap/>
            <w:vAlign w:val="center"/>
            <w:hideMark/>
          </w:tcPr>
          <w:p w14:paraId="2BDA3E41"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0,125</w:t>
            </w:r>
          </w:p>
        </w:tc>
        <w:tc>
          <w:tcPr>
            <w:tcW w:w="1200" w:type="dxa"/>
            <w:tcBorders>
              <w:top w:val="nil"/>
              <w:left w:val="nil"/>
              <w:bottom w:val="single" w:sz="8" w:space="0" w:color="auto"/>
              <w:right w:val="single" w:sz="8" w:space="0" w:color="auto"/>
            </w:tcBorders>
            <w:shd w:val="clear" w:color="000000" w:fill="FFFFFF"/>
            <w:noWrap/>
            <w:vAlign w:val="center"/>
            <w:hideMark/>
          </w:tcPr>
          <w:p w14:paraId="6E92FDC1"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0,790</w:t>
            </w:r>
          </w:p>
        </w:tc>
        <w:tc>
          <w:tcPr>
            <w:tcW w:w="1200" w:type="dxa"/>
            <w:tcBorders>
              <w:top w:val="nil"/>
              <w:left w:val="nil"/>
              <w:bottom w:val="single" w:sz="8" w:space="0" w:color="auto"/>
              <w:right w:val="single" w:sz="8" w:space="0" w:color="auto"/>
            </w:tcBorders>
            <w:shd w:val="clear" w:color="000000" w:fill="FFFFFF"/>
            <w:noWrap/>
            <w:vAlign w:val="center"/>
            <w:hideMark/>
          </w:tcPr>
          <w:p w14:paraId="181DD385"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0,012</w:t>
            </w:r>
          </w:p>
        </w:tc>
        <w:tc>
          <w:tcPr>
            <w:tcW w:w="1200" w:type="dxa"/>
            <w:tcBorders>
              <w:top w:val="nil"/>
              <w:left w:val="nil"/>
              <w:bottom w:val="single" w:sz="8" w:space="0" w:color="auto"/>
              <w:right w:val="single" w:sz="8" w:space="0" w:color="auto"/>
            </w:tcBorders>
            <w:shd w:val="clear" w:color="000000" w:fill="FFFFFF"/>
            <w:noWrap/>
            <w:vAlign w:val="center"/>
            <w:hideMark/>
          </w:tcPr>
          <w:p w14:paraId="4B485947"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3%</w:t>
            </w:r>
          </w:p>
        </w:tc>
      </w:tr>
      <w:tr w:rsidR="007C4FD4" w:rsidRPr="007C4FD4" w14:paraId="17544F9E" w14:textId="77777777" w:rsidTr="007C4FD4">
        <w:trPr>
          <w:trHeight w:val="315"/>
        </w:trPr>
        <w:tc>
          <w:tcPr>
            <w:tcW w:w="2580" w:type="dxa"/>
            <w:tcBorders>
              <w:top w:val="nil"/>
              <w:left w:val="single" w:sz="8" w:space="0" w:color="auto"/>
              <w:bottom w:val="single" w:sz="8" w:space="0" w:color="auto"/>
              <w:right w:val="nil"/>
            </w:tcBorders>
            <w:shd w:val="clear" w:color="000000" w:fill="FFFFFF"/>
            <w:noWrap/>
            <w:vAlign w:val="center"/>
            <w:hideMark/>
          </w:tcPr>
          <w:p w14:paraId="5A4B9335"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Total</w:t>
            </w:r>
          </w:p>
        </w:tc>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05B2C2D"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64BA7E9B"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6197EC5A" w14:textId="77777777" w:rsidR="007C4FD4" w:rsidRPr="007C4FD4" w:rsidRDefault="007C4FD4" w:rsidP="007C4FD4">
            <w:pPr>
              <w:keepNext/>
              <w:spacing w:after="0" w:line="240" w:lineRule="auto"/>
              <w:jc w:val="center"/>
              <w:rPr>
                <w:rFonts w:ascii="Times New Roman" w:eastAsia="Times New Roman" w:hAnsi="Times New Roman" w:cs="Times New Roman"/>
                <w:color w:val="000000"/>
                <w:sz w:val="16"/>
                <w:szCs w:val="16"/>
                <w:lang w:eastAsia="es-AR"/>
              </w:rPr>
            </w:pPr>
            <w:r w:rsidRPr="007C4FD4">
              <w:rPr>
                <w:rFonts w:ascii="Times New Roman" w:eastAsia="Times New Roman" w:hAnsi="Times New Roman" w:cs="Times New Roman"/>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C53360E"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0,366</w:t>
            </w:r>
          </w:p>
        </w:tc>
        <w:tc>
          <w:tcPr>
            <w:tcW w:w="1200" w:type="dxa"/>
            <w:tcBorders>
              <w:top w:val="nil"/>
              <w:left w:val="nil"/>
              <w:bottom w:val="single" w:sz="8" w:space="0" w:color="auto"/>
              <w:right w:val="single" w:sz="8" w:space="0" w:color="auto"/>
            </w:tcBorders>
            <w:shd w:val="clear" w:color="000000" w:fill="FFFFFF"/>
            <w:noWrap/>
            <w:vAlign w:val="center"/>
            <w:hideMark/>
          </w:tcPr>
          <w:p w14:paraId="3F4D6624" w14:textId="77777777" w:rsidR="007C4FD4" w:rsidRPr="00D043B9"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D043B9">
              <w:rPr>
                <w:rFonts w:ascii="Times New Roman" w:eastAsia="Times New Roman" w:hAnsi="Times New Roman" w:cs="Times New Roman"/>
                <w:b/>
                <w:bCs/>
                <w:color w:val="000000"/>
                <w:sz w:val="16"/>
                <w:szCs w:val="16"/>
                <w:lang w:eastAsia="es-AR"/>
              </w:rPr>
              <w:t>100%</w:t>
            </w:r>
          </w:p>
        </w:tc>
      </w:tr>
    </w:tbl>
    <w:p w14:paraId="187F2064" w14:textId="77777777" w:rsidR="007C4FD4" w:rsidRPr="007C2D50" w:rsidRDefault="007C4FD4" w:rsidP="007C4FD4">
      <w:pPr>
        <w:spacing w:before="120" w:after="24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600A5473" w14:textId="77777777" w:rsidR="007C4FD4" w:rsidRPr="007C4FD4" w:rsidRDefault="007C4FD4" w:rsidP="007C4FD4">
      <w:pPr>
        <w:keepNext/>
        <w:spacing w:before="240" w:after="120" w:line="240" w:lineRule="auto"/>
        <w:jc w:val="both"/>
        <w:rPr>
          <w:rFonts w:ascii="Times New Roman" w:eastAsia="Times New Roman" w:hAnsi="Times New Roman"/>
          <w:b/>
          <w:bCs/>
          <w:color w:val="000000"/>
          <w:lang w:eastAsia="es-AR"/>
        </w:rPr>
      </w:pPr>
      <w:r w:rsidRPr="007C4FD4">
        <w:rPr>
          <w:rFonts w:ascii="Times New Roman" w:eastAsia="Times New Roman" w:hAnsi="Times New Roman"/>
          <w:b/>
          <w:bCs/>
          <w:color w:val="000000"/>
          <w:lang w:eastAsia="es-AR"/>
        </w:rPr>
        <w:lastRenderedPageBreak/>
        <w:t>Cuadro A2. Componentes del Coeficiente de Gini y descomposición del índice según fuente de ingreso. Gran Buenos Aires, 1988 (octubre).</w:t>
      </w:r>
    </w:p>
    <w:tbl>
      <w:tblPr>
        <w:tblW w:w="8580" w:type="dxa"/>
        <w:tblInd w:w="80" w:type="dxa"/>
        <w:tblCellMar>
          <w:left w:w="70" w:type="dxa"/>
          <w:right w:w="70" w:type="dxa"/>
        </w:tblCellMar>
        <w:tblLook w:val="04A0" w:firstRow="1" w:lastRow="0" w:firstColumn="1" w:lastColumn="0" w:noHBand="0" w:noVBand="1"/>
      </w:tblPr>
      <w:tblGrid>
        <w:gridCol w:w="2580"/>
        <w:gridCol w:w="1200"/>
        <w:gridCol w:w="1200"/>
        <w:gridCol w:w="1200"/>
        <w:gridCol w:w="1200"/>
        <w:gridCol w:w="1200"/>
      </w:tblGrid>
      <w:tr w:rsidR="007C4FD4" w:rsidRPr="007C4FD4" w14:paraId="6A7E765F" w14:textId="77777777" w:rsidTr="007C4FD4">
        <w:trPr>
          <w:trHeight w:val="645"/>
        </w:trPr>
        <w:tc>
          <w:tcPr>
            <w:tcW w:w="2580" w:type="dxa"/>
            <w:tcBorders>
              <w:top w:val="single" w:sz="8" w:space="0" w:color="auto"/>
              <w:left w:val="single" w:sz="8" w:space="0" w:color="auto"/>
              <w:bottom w:val="single" w:sz="8" w:space="0" w:color="auto"/>
              <w:right w:val="nil"/>
            </w:tcBorders>
            <w:shd w:val="clear" w:color="000000" w:fill="FFFFFF"/>
            <w:noWrap/>
            <w:vAlign w:val="center"/>
            <w:hideMark/>
          </w:tcPr>
          <w:p w14:paraId="07569B7E" w14:textId="77777777" w:rsidR="007C4FD4" w:rsidRPr="007C4FD4" w:rsidRDefault="007C4FD4" w:rsidP="007C4FD4">
            <w:pPr>
              <w:keepNext/>
              <w:spacing w:after="0" w:line="240" w:lineRule="auto"/>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Fuente de ingreso</w:t>
            </w:r>
          </w:p>
        </w:tc>
        <w:tc>
          <w:tcPr>
            <w:tcW w:w="12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097F0D7"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Sk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7FFF2731"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Rk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7A8F80C1"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6E4B52FD"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absoluta Sk*Rk*Gk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5ABB9CE2"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relativa</w:t>
            </w:r>
          </w:p>
        </w:tc>
      </w:tr>
      <w:tr w:rsidR="007C4FD4" w:rsidRPr="007C4FD4" w14:paraId="6CCBBF28"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10900669"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laborales</w:t>
            </w:r>
          </w:p>
        </w:tc>
        <w:tc>
          <w:tcPr>
            <w:tcW w:w="1200" w:type="dxa"/>
            <w:tcBorders>
              <w:top w:val="nil"/>
              <w:left w:val="nil"/>
              <w:bottom w:val="nil"/>
              <w:right w:val="single" w:sz="8" w:space="0" w:color="auto"/>
            </w:tcBorders>
            <w:shd w:val="clear" w:color="000000" w:fill="FFFFFF"/>
            <w:noWrap/>
            <w:vAlign w:val="center"/>
            <w:hideMark/>
          </w:tcPr>
          <w:p w14:paraId="0052B334"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0,851</w:t>
            </w:r>
          </w:p>
        </w:tc>
        <w:tc>
          <w:tcPr>
            <w:tcW w:w="1200" w:type="dxa"/>
            <w:tcBorders>
              <w:top w:val="nil"/>
              <w:left w:val="nil"/>
              <w:bottom w:val="nil"/>
              <w:right w:val="single" w:sz="8" w:space="0" w:color="auto"/>
            </w:tcBorders>
            <w:shd w:val="clear" w:color="000000" w:fill="FFFFFF"/>
            <w:noWrap/>
            <w:vAlign w:val="center"/>
            <w:hideMark/>
          </w:tcPr>
          <w:p w14:paraId="7FB1892F"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0,938</w:t>
            </w:r>
          </w:p>
        </w:tc>
        <w:tc>
          <w:tcPr>
            <w:tcW w:w="1200" w:type="dxa"/>
            <w:tcBorders>
              <w:top w:val="nil"/>
              <w:left w:val="nil"/>
              <w:bottom w:val="nil"/>
              <w:right w:val="single" w:sz="8" w:space="0" w:color="auto"/>
            </w:tcBorders>
            <w:shd w:val="clear" w:color="000000" w:fill="FFFFFF"/>
            <w:noWrap/>
            <w:vAlign w:val="center"/>
            <w:hideMark/>
          </w:tcPr>
          <w:p w14:paraId="58E8D23A"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0,527</w:t>
            </w:r>
          </w:p>
        </w:tc>
        <w:tc>
          <w:tcPr>
            <w:tcW w:w="1200" w:type="dxa"/>
            <w:tcBorders>
              <w:top w:val="nil"/>
              <w:left w:val="nil"/>
              <w:bottom w:val="nil"/>
              <w:right w:val="single" w:sz="8" w:space="0" w:color="auto"/>
            </w:tcBorders>
            <w:shd w:val="clear" w:color="000000" w:fill="FFFFFF"/>
            <w:noWrap/>
            <w:vAlign w:val="center"/>
            <w:hideMark/>
          </w:tcPr>
          <w:p w14:paraId="76D5D08F"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0,421</w:t>
            </w:r>
          </w:p>
        </w:tc>
        <w:tc>
          <w:tcPr>
            <w:tcW w:w="1200" w:type="dxa"/>
            <w:tcBorders>
              <w:top w:val="nil"/>
              <w:left w:val="nil"/>
              <w:bottom w:val="nil"/>
              <w:right w:val="single" w:sz="8" w:space="0" w:color="auto"/>
            </w:tcBorders>
            <w:shd w:val="clear" w:color="000000" w:fill="FFFFFF"/>
            <w:noWrap/>
            <w:vAlign w:val="center"/>
            <w:hideMark/>
          </w:tcPr>
          <w:p w14:paraId="03AF07D2"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96%</w:t>
            </w:r>
          </w:p>
        </w:tc>
      </w:tr>
      <w:tr w:rsidR="007C4FD4" w:rsidRPr="007C4FD4" w14:paraId="51B4D4AF"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5F714064"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formal público y privado</w:t>
            </w:r>
          </w:p>
        </w:tc>
        <w:tc>
          <w:tcPr>
            <w:tcW w:w="1200" w:type="dxa"/>
            <w:tcBorders>
              <w:top w:val="nil"/>
              <w:left w:val="nil"/>
              <w:bottom w:val="nil"/>
              <w:right w:val="single" w:sz="8" w:space="0" w:color="auto"/>
            </w:tcBorders>
            <w:shd w:val="clear" w:color="000000" w:fill="FFFFFF"/>
            <w:noWrap/>
            <w:vAlign w:val="center"/>
            <w:hideMark/>
          </w:tcPr>
          <w:p w14:paraId="16C014AC"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0,586</w:t>
            </w:r>
          </w:p>
        </w:tc>
        <w:tc>
          <w:tcPr>
            <w:tcW w:w="1200" w:type="dxa"/>
            <w:tcBorders>
              <w:top w:val="nil"/>
              <w:left w:val="nil"/>
              <w:bottom w:val="nil"/>
              <w:right w:val="single" w:sz="8" w:space="0" w:color="auto"/>
            </w:tcBorders>
            <w:shd w:val="clear" w:color="000000" w:fill="FFFFFF"/>
            <w:noWrap/>
            <w:vAlign w:val="center"/>
            <w:hideMark/>
          </w:tcPr>
          <w:p w14:paraId="61E5C3E1"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0,822</w:t>
            </w:r>
          </w:p>
        </w:tc>
        <w:tc>
          <w:tcPr>
            <w:tcW w:w="1200" w:type="dxa"/>
            <w:tcBorders>
              <w:top w:val="nil"/>
              <w:left w:val="nil"/>
              <w:bottom w:val="nil"/>
              <w:right w:val="single" w:sz="8" w:space="0" w:color="auto"/>
            </w:tcBorders>
            <w:shd w:val="clear" w:color="000000" w:fill="FFFFFF"/>
            <w:noWrap/>
            <w:vAlign w:val="center"/>
            <w:hideMark/>
          </w:tcPr>
          <w:p w14:paraId="46986DD2"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0,682</w:t>
            </w:r>
          </w:p>
        </w:tc>
        <w:tc>
          <w:tcPr>
            <w:tcW w:w="1200" w:type="dxa"/>
            <w:tcBorders>
              <w:top w:val="nil"/>
              <w:left w:val="nil"/>
              <w:bottom w:val="nil"/>
              <w:right w:val="single" w:sz="8" w:space="0" w:color="auto"/>
            </w:tcBorders>
            <w:shd w:val="clear" w:color="000000" w:fill="FFFFFF"/>
            <w:noWrap/>
            <w:vAlign w:val="center"/>
            <w:hideMark/>
          </w:tcPr>
          <w:p w14:paraId="60B9FE62"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0,328</w:t>
            </w:r>
          </w:p>
        </w:tc>
        <w:tc>
          <w:tcPr>
            <w:tcW w:w="1200" w:type="dxa"/>
            <w:tcBorders>
              <w:top w:val="nil"/>
              <w:left w:val="nil"/>
              <w:bottom w:val="nil"/>
              <w:right w:val="single" w:sz="8" w:space="0" w:color="auto"/>
            </w:tcBorders>
            <w:shd w:val="clear" w:color="000000" w:fill="FFFFFF"/>
            <w:noWrap/>
            <w:vAlign w:val="center"/>
            <w:hideMark/>
          </w:tcPr>
          <w:p w14:paraId="5A60E16C"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75%</w:t>
            </w:r>
          </w:p>
        </w:tc>
      </w:tr>
      <w:tr w:rsidR="007C4FD4" w:rsidRPr="007C4FD4" w14:paraId="185501F9"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21501F5C"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formal privado</w:t>
            </w:r>
          </w:p>
        </w:tc>
        <w:tc>
          <w:tcPr>
            <w:tcW w:w="1200" w:type="dxa"/>
            <w:tcBorders>
              <w:top w:val="nil"/>
              <w:left w:val="nil"/>
              <w:bottom w:val="nil"/>
              <w:right w:val="single" w:sz="8" w:space="0" w:color="auto"/>
            </w:tcBorders>
            <w:shd w:val="clear" w:color="000000" w:fill="FFFFFF"/>
            <w:noWrap/>
            <w:vAlign w:val="center"/>
            <w:hideMark/>
          </w:tcPr>
          <w:p w14:paraId="19CFC179"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523E0983"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30FFB62A"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5CFC3F59"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54172E38"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r>
      <w:tr w:rsidR="007C4FD4" w:rsidRPr="007C4FD4" w14:paraId="220CBFDB"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103968F4"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público</w:t>
            </w:r>
          </w:p>
        </w:tc>
        <w:tc>
          <w:tcPr>
            <w:tcW w:w="1200" w:type="dxa"/>
            <w:tcBorders>
              <w:top w:val="nil"/>
              <w:left w:val="nil"/>
              <w:bottom w:val="nil"/>
              <w:right w:val="single" w:sz="8" w:space="0" w:color="auto"/>
            </w:tcBorders>
            <w:shd w:val="clear" w:color="000000" w:fill="FFFFFF"/>
            <w:noWrap/>
            <w:vAlign w:val="center"/>
            <w:hideMark/>
          </w:tcPr>
          <w:p w14:paraId="057C14A9"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04315DD5"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74E95DF6"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37C69F4D"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c>
          <w:tcPr>
            <w:tcW w:w="1200" w:type="dxa"/>
            <w:tcBorders>
              <w:top w:val="nil"/>
              <w:left w:val="nil"/>
              <w:bottom w:val="nil"/>
              <w:right w:val="single" w:sz="8" w:space="0" w:color="auto"/>
            </w:tcBorders>
            <w:shd w:val="clear" w:color="000000" w:fill="FFFFFF"/>
            <w:noWrap/>
            <w:vAlign w:val="center"/>
            <w:hideMark/>
          </w:tcPr>
          <w:p w14:paraId="59DA2D67"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w:t>
            </w:r>
          </w:p>
        </w:tc>
      </w:tr>
      <w:tr w:rsidR="007C4FD4" w:rsidRPr="007C4FD4" w14:paraId="0F3BAB73"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5E28FC90"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microinformal</w:t>
            </w:r>
          </w:p>
        </w:tc>
        <w:tc>
          <w:tcPr>
            <w:tcW w:w="1200" w:type="dxa"/>
            <w:tcBorders>
              <w:top w:val="nil"/>
              <w:left w:val="nil"/>
              <w:bottom w:val="nil"/>
              <w:right w:val="single" w:sz="8" w:space="0" w:color="auto"/>
            </w:tcBorders>
            <w:shd w:val="clear" w:color="000000" w:fill="FFFFFF"/>
            <w:noWrap/>
            <w:vAlign w:val="center"/>
            <w:hideMark/>
          </w:tcPr>
          <w:p w14:paraId="656E0F81"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0,265</w:t>
            </w:r>
          </w:p>
        </w:tc>
        <w:tc>
          <w:tcPr>
            <w:tcW w:w="1200" w:type="dxa"/>
            <w:tcBorders>
              <w:top w:val="nil"/>
              <w:left w:val="nil"/>
              <w:bottom w:val="nil"/>
              <w:right w:val="single" w:sz="8" w:space="0" w:color="auto"/>
            </w:tcBorders>
            <w:shd w:val="clear" w:color="000000" w:fill="FFFFFF"/>
            <w:noWrap/>
            <w:vAlign w:val="center"/>
            <w:hideMark/>
          </w:tcPr>
          <w:p w14:paraId="4A55B6FB"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0,460</w:t>
            </w:r>
          </w:p>
        </w:tc>
        <w:tc>
          <w:tcPr>
            <w:tcW w:w="1200" w:type="dxa"/>
            <w:tcBorders>
              <w:top w:val="nil"/>
              <w:left w:val="nil"/>
              <w:bottom w:val="nil"/>
              <w:right w:val="single" w:sz="8" w:space="0" w:color="auto"/>
            </w:tcBorders>
            <w:shd w:val="clear" w:color="000000" w:fill="FFFFFF"/>
            <w:noWrap/>
            <w:vAlign w:val="center"/>
            <w:hideMark/>
          </w:tcPr>
          <w:p w14:paraId="5559A355"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0,758</w:t>
            </w:r>
          </w:p>
        </w:tc>
        <w:tc>
          <w:tcPr>
            <w:tcW w:w="1200" w:type="dxa"/>
            <w:tcBorders>
              <w:top w:val="nil"/>
              <w:left w:val="nil"/>
              <w:bottom w:val="nil"/>
              <w:right w:val="single" w:sz="8" w:space="0" w:color="auto"/>
            </w:tcBorders>
            <w:shd w:val="clear" w:color="000000" w:fill="FFFFFF"/>
            <w:noWrap/>
            <w:vAlign w:val="center"/>
            <w:hideMark/>
          </w:tcPr>
          <w:p w14:paraId="6ADBE026"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0,092</w:t>
            </w:r>
          </w:p>
        </w:tc>
        <w:tc>
          <w:tcPr>
            <w:tcW w:w="1200" w:type="dxa"/>
            <w:tcBorders>
              <w:top w:val="nil"/>
              <w:left w:val="nil"/>
              <w:bottom w:val="nil"/>
              <w:right w:val="single" w:sz="8" w:space="0" w:color="auto"/>
            </w:tcBorders>
            <w:shd w:val="clear" w:color="000000" w:fill="FFFFFF"/>
            <w:noWrap/>
            <w:vAlign w:val="center"/>
            <w:hideMark/>
          </w:tcPr>
          <w:p w14:paraId="1032FDB4"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21%</w:t>
            </w:r>
          </w:p>
        </w:tc>
      </w:tr>
      <w:tr w:rsidR="007C4FD4" w:rsidRPr="007C4FD4" w14:paraId="75A2AC0A" w14:textId="77777777" w:rsidTr="007C4FD4">
        <w:trPr>
          <w:trHeight w:val="315"/>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7F2D1212"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no laborales</w:t>
            </w:r>
          </w:p>
        </w:tc>
        <w:tc>
          <w:tcPr>
            <w:tcW w:w="1200" w:type="dxa"/>
            <w:tcBorders>
              <w:top w:val="nil"/>
              <w:left w:val="nil"/>
              <w:bottom w:val="single" w:sz="8" w:space="0" w:color="auto"/>
              <w:right w:val="single" w:sz="8" w:space="0" w:color="auto"/>
            </w:tcBorders>
            <w:shd w:val="clear" w:color="000000" w:fill="FFFFFF"/>
            <w:noWrap/>
            <w:vAlign w:val="center"/>
            <w:hideMark/>
          </w:tcPr>
          <w:p w14:paraId="7F1B3EB0"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0,149</w:t>
            </w:r>
          </w:p>
        </w:tc>
        <w:tc>
          <w:tcPr>
            <w:tcW w:w="1200" w:type="dxa"/>
            <w:tcBorders>
              <w:top w:val="nil"/>
              <w:left w:val="nil"/>
              <w:bottom w:val="single" w:sz="8" w:space="0" w:color="auto"/>
              <w:right w:val="single" w:sz="8" w:space="0" w:color="auto"/>
            </w:tcBorders>
            <w:shd w:val="clear" w:color="000000" w:fill="FFFFFF"/>
            <w:noWrap/>
            <w:vAlign w:val="center"/>
            <w:hideMark/>
          </w:tcPr>
          <w:p w14:paraId="5340D368"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0,167</w:t>
            </w:r>
          </w:p>
        </w:tc>
        <w:tc>
          <w:tcPr>
            <w:tcW w:w="1200" w:type="dxa"/>
            <w:tcBorders>
              <w:top w:val="nil"/>
              <w:left w:val="nil"/>
              <w:bottom w:val="single" w:sz="8" w:space="0" w:color="auto"/>
              <w:right w:val="single" w:sz="8" w:space="0" w:color="auto"/>
            </w:tcBorders>
            <w:shd w:val="clear" w:color="000000" w:fill="FFFFFF"/>
            <w:noWrap/>
            <w:vAlign w:val="center"/>
            <w:hideMark/>
          </w:tcPr>
          <w:p w14:paraId="78FB2527"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0,774</w:t>
            </w:r>
          </w:p>
        </w:tc>
        <w:tc>
          <w:tcPr>
            <w:tcW w:w="1200" w:type="dxa"/>
            <w:tcBorders>
              <w:top w:val="nil"/>
              <w:left w:val="nil"/>
              <w:bottom w:val="single" w:sz="8" w:space="0" w:color="auto"/>
              <w:right w:val="single" w:sz="8" w:space="0" w:color="auto"/>
            </w:tcBorders>
            <w:shd w:val="clear" w:color="000000" w:fill="FFFFFF"/>
            <w:noWrap/>
            <w:vAlign w:val="center"/>
            <w:hideMark/>
          </w:tcPr>
          <w:p w14:paraId="55CD4A58"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0,019</w:t>
            </w:r>
          </w:p>
        </w:tc>
        <w:tc>
          <w:tcPr>
            <w:tcW w:w="1200" w:type="dxa"/>
            <w:tcBorders>
              <w:top w:val="nil"/>
              <w:left w:val="nil"/>
              <w:bottom w:val="single" w:sz="8" w:space="0" w:color="auto"/>
              <w:right w:val="single" w:sz="8" w:space="0" w:color="auto"/>
            </w:tcBorders>
            <w:shd w:val="clear" w:color="000000" w:fill="FFFFFF"/>
            <w:noWrap/>
            <w:vAlign w:val="center"/>
            <w:hideMark/>
          </w:tcPr>
          <w:p w14:paraId="3FA9F181"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4%</w:t>
            </w:r>
          </w:p>
        </w:tc>
      </w:tr>
      <w:tr w:rsidR="007C4FD4" w:rsidRPr="007C4FD4" w14:paraId="6D710C84" w14:textId="77777777" w:rsidTr="007C4FD4">
        <w:trPr>
          <w:trHeight w:val="315"/>
        </w:trPr>
        <w:tc>
          <w:tcPr>
            <w:tcW w:w="2580" w:type="dxa"/>
            <w:tcBorders>
              <w:top w:val="nil"/>
              <w:left w:val="single" w:sz="8" w:space="0" w:color="auto"/>
              <w:bottom w:val="single" w:sz="8" w:space="0" w:color="auto"/>
              <w:right w:val="nil"/>
            </w:tcBorders>
            <w:shd w:val="clear" w:color="000000" w:fill="FFFFFF"/>
            <w:noWrap/>
            <w:vAlign w:val="center"/>
            <w:hideMark/>
          </w:tcPr>
          <w:p w14:paraId="7CAEF517"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Total</w:t>
            </w:r>
          </w:p>
        </w:tc>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EFD5E20"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3910EBAF"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592E6E4A" w14:textId="77777777" w:rsidR="007C4FD4" w:rsidRPr="007C4FD4" w:rsidRDefault="007C4FD4" w:rsidP="007C4FD4">
            <w:pPr>
              <w:keepNext/>
              <w:spacing w:after="0" w:line="240" w:lineRule="auto"/>
              <w:jc w:val="center"/>
              <w:rPr>
                <w:rFonts w:ascii="Times New Roman" w:eastAsia="Times New Roman" w:hAnsi="Times New Roman" w:cs="Times New Roman"/>
                <w:color w:val="000000"/>
                <w:sz w:val="16"/>
                <w:szCs w:val="16"/>
                <w:lang w:eastAsia="es-AR"/>
              </w:rPr>
            </w:pPr>
            <w:r w:rsidRPr="007C4FD4">
              <w:rPr>
                <w:rFonts w:ascii="Times New Roman" w:eastAsia="Times New Roman" w:hAnsi="Times New Roman" w:cs="Times New Roman"/>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654A054A"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0,440</w:t>
            </w:r>
          </w:p>
        </w:tc>
        <w:tc>
          <w:tcPr>
            <w:tcW w:w="1200" w:type="dxa"/>
            <w:tcBorders>
              <w:top w:val="nil"/>
              <w:left w:val="nil"/>
              <w:bottom w:val="single" w:sz="8" w:space="0" w:color="auto"/>
              <w:right w:val="single" w:sz="8" w:space="0" w:color="auto"/>
            </w:tcBorders>
            <w:shd w:val="clear" w:color="000000" w:fill="FFFFFF"/>
            <w:noWrap/>
            <w:vAlign w:val="center"/>
            <w:hideMark/>
          </w:tcPr>
          <w:p w14:paraId="63B9E41D" w14:textId="77777777" w:rsidR="007C4FD4" w:rsidRPr="00D043B9"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D043B9">
              <w:rPr>
                <w:rFonts w:ascii="Times New Roman" w:eastAsia="Times New Roman" w:hAnsi="Times New Roman" w:cs="Times New Roman"/>
                <w:b/>
                <w:bCs/>
                <w:color w:val="000000"/>
                <w:sz w:val="16"/>
                <w:szCs w:val="16"/>
                <w:lang w:eastAsia="es-AR"/>
              </w:rPr>
              <w:t>100%</w:t>
            </w:r>
          </w:p>
        </w:tc>
      </w:tr>
    </w:tbl>
    <w:p w14:paraId="24FA17F2" w14:textId="77777777" w:rsidR="007C4FD4" w:rsidRPr="007C2D50" w:rsidRDefault="007C4FD4" w:rsidP="007C4FD4">
      <w:pPr>
        <w:spacing w:before="120" w:after="24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29755949" w14:textId="77777777" w:rsidR="007C4FD4" w:rsidRPr="007C4FD4" w:rsidRDefault="007C4FD4" w:rsidP="007C4FD4">
      <w:pPr>
        <w:keepNext/>
        <w:spacing w:before="240" w:after="120" w:line="240" w:lineRule="auto"/>
        <w:jc w:val="both"/>
        <w:rPr>
          <w:rFonts w:ascii="Times New Roman" w:eastAsia="Times New Roman" w:hAnsi="Times New Roman"/>
          <w:b/>
          <w:bCs/>
          <w:color w:val="000000"/>
          <w:lang w:eastAsia="es-AR"/>
        </w:rPr>
      </w:pPr>
      <w:r w:rsidRPr="007C4FD4">
        <w:rPr>
          <w:rFonts w:ascii="Times New Roman" w:eastAsia="Times New Roman" w:hAnsi="Times New Roman"/>
          <w:b/>
          <w:bCs/>
          <w:color w:val="000000"/>
          <w:lang w:eastAsia="es-AR"/>
        </w:rPr>
        <w:t>Cuadro A3. Componentes del Coeficiente de Gini y descomposición del índice según fuente de ingreso. Gran Buenos Aires, 2003 (mayo).</w:t>
      </w:r>
    </w:p>
    <w:tbl>
      <w:tblPr>
        <w:tblW w:w="8580" w:type="dxa"/>
        <w:tblInd w:w="80" w:type="dxa"/>
        <w:tblCellMar>
          <w:left w:w="70" w:type="dxa"/>
          <w:right w:w="70" w:type="dxa"/>
        </w:tblCellMar>
        <w:tblLook w:val="04A0" w:firstRow="1" w:lastRow="0" w:firstColumn="1" w:lastColumn="0" w:noHBand="0" w:noVBand="1"/>
      </w:tblPr>
      <w:tblGrid>
        <w:gridCol w:w="2580"/>
        <w:gridCol w:w="1200"/>
        <w:gridCol w:w="1200"/>
        <w:gridCol w:w="1200"/>
        <w:gridCol w:w="1200"/>
        <w:gridCol w:w="1200"/>
      </w:tblGrid>
      <w:tr w:rsidR="007C4FD4" w:rsidRPr="007C4FD4" w14:paraId="24A4B047" w14:textId="77777777" w:rsidTr="007C4FD4">
        <w:trPr>
          <w:trHeight w:val="645"/>
        </w:trPr>
        <w:tc>
          <w:tcPr>
            <w:tcW w:w="2580" w:type="dxa"/>
            <w:tcBorders>
              <w:top w:val="single" w:sz="8" w:space="0" w:color="auto"/>
              <w:left w:val="single" w:sz="8" w:space="0" w:color="auto"/>
              <w:bottom w:val="single" w:sz="8" w:space="0" w:color="auto"/>
              <w:right w:val="nil"/>
            </w:tcBorders>
            <w:shd w:val="clear" w:color="000000" w:fill="FFFFFF"/>
            <w:noWrap/>
            <w:vAlign w:val="center"/>
            <w:hideMark/>
          </w:tcPr>
          <w:p w14:paraId="15EF0C1B" w14:textId="77777777" w:rsidR="007C4FD4" w:rsidRPr="007C4FD4" w:rsidRDefault="007C4FD4" w:rsidP="007C4FD4">
            <w:pPr>
              <w:keepNext/>
              <w:spacing w:after="0" w:line="240" w:lineRule="auto"/>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Fuente de ingreso</w:t>
            </w:r>
          </w:p>
        </w:tc>
        <w:tc>
          <w:tcPr>
            <w:tcW w:w="12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EB01F55"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Sk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15AECA36"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Rk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6D903449"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5032B6FA"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absoluta Sk*Rk*Gk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44A2625F"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relativa</w:t>
            </w:r>
          </w:p>
        </w:tc>
      </w:tr>
      <w:tr w:rsidR="007C4FD4" w:rsidRPr="007C4FD4" w14:paraId="79D19DBC"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5D0B5E7F"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laborales</w:t>
            </w:r>
          </w:p>
        </w:tc>
        <w:tc>
          <w:tcPr>
            <w:tcW w:w="1200" w:type="dxa"/>
            <w:tcBorders>
              <w:top w:val="nil"/>
              <w:left w:val="nil"/>
              <w:bottom w:val="nil"/>
              <w:right w:val="single" w:sz="8" w:space="0" w:color="auto"/>
            </w:tcBorders>
            <w:shd w:val="clear" w:color="000000" w:fill="FFFFFF"/>
            <w:noWrap/>
            <w:vAlign w:val="center"/>
            <w:hideMark/>
          </w:tcPr>
          <w:p w14:paraId="18350BA6"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0,803</w:t>
            </w:r>
          </w:p>
        </w:tc>
        <w:tc>
          <w:tcPr>
            <w:tcW w:w="1200" w:type="dxa"/>
            <w:tcBorders>
              <w:top w:val="nil"/>
              <w:left w:val="nil"/>
              <w:bottom w:val="nil"/>
              <w:right w:val="single" w:sz="8" w:space="0" w:color="auto"/>
            </w:tcBorders>
            <w:shd w:val="clear" w:color="000000" w:fill="FFFFFF"/>
            <w:noWrap/>
            <w:vAlign w:val="center"/>
            <w:hideMark/>
          </w:tcPr>
          <w:p w14:paraId="460CAD28"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0,919</w:t>
            </w:r>
          </w:p>
        </w:tc>
        <w:tc>
          <w:tcPr>
            <w:tcW w:w="1200" w:type="dxa"/>
            <w:tcBorders>
              <w:top w:val="nil"/>
              <w:left w:val="nil"/>
              <w:bottom w:val="nil"/>
              <w:right w:val="single" w:sz="8" w:space="0" w:color="auto"/>
            </w:tcBorders>
            <w:shd w:val="clear" w:color="000000" w:fill="FFFFFF"/>
            <w:noWrap/>
            <w:vAlign w:val="center"/>
            <w:hideMark/>
          </w:tcPr>
          <w:p w14:paraId="6F5BA6CE"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0,605</w:t>
            </w:r>
          </w:p>
        </w:tc>
        <w:tc>
          <w:tcPr>
            <w:tcW w:w="1200" w:type="dxa"/>
            <w:tcBorders>
              <w:top w:val="nil"/>
              <w:left w:val="nil"/>
              <w:bottom w:val="nil"/>
              <w:right w:val="single" w:sz="8" w:space="0" w:color="auto"/>
            </w:tcBorders>
            <w:shd w:val="clear" w:color="000000" w:fill="FFFFFF"/>
            <w:noWrap/>
            <w:vAlign w:val="center"/>
            <w:hideMark/>
          </w:tcPr>
          <w:p w14:paraId="2A1B0D6C"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0,447</w:t>
            </w:r>
          </w:p>
        </w:tc>
        <w:tc>
          <w:tcPr>
            <w:tcW w:w="1200" w:type="dxa"/>
            <w:tcBorders>
              <w:top w:val="nil"/>
              <w:left w:val="nil"/>
              <w:bottom w:val="nil"/>
              <w:right w:val="single" w:sz="8" w:space="0" w:color="auto"/>
            </w:tcBorders>
            <w:shd w:val="clear" w:color="000000" w:fill="FFFFFF"/>
            <w:noWrap/>
            <w:vAlign w:val="center"/>
            <w:hideMark/>
          </w:tcPr>
          <w:p w14:paraId="6ADEA0F4"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92%</w:t>
            </w:r>
          </w:p>
        </w:tc>
      </w:tr>
      <w:tr w:rsidR="007C4FD4" w:rsidRPr="007C4FD4" w14:paraId="1C203203"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799D211E"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formal público y privado</w:t>
            </w:r>
          </w:p>
        </w:tc>
        <w:tc>
          <w:tcPr>
            <w:tcW w:w="1200" w:type="dxa"/>
            <w:tcBorders>
              <w:top w:val="nil"/>
              <w:left w:val="nil"/>
              <w:bottom w:val="nil"/>
              <w:right w:val="single" w:sz="8" w:space="0" w:color="auto"/>
            </w:tcBorders>
            <w:shd w:val="clear" w:color="000000" w:fill="FFFFFF"/>
            <w:noWrap/>
            <w:vAlign w:val="center"/>
            <w:hideMark/>
          </w:tcPr>
          <w:p w14:paraId="1C0C646D"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0,568</w:t>
            </w:r>
          </w:p>
        </w:tc>
        <w:tc>
          <w:tcPr>
            <w:tcW w:w="1200" w:type="dxa"/>
            <w:tcBorders>
              <w:top w:val="nil"/>
              <w:left w:val="nil"/>
              <w:bottom w:val="nil"/>
              <w:right w:val="single" w:sz="8" w:space="0" w:color="auto"/>
            </w:tcBorders>
            <w:shd w:val="clear" w:color="000000" w:fill="FFFFFF"/>
            <w:noWrap/>
            <w:vAlign w:val="center"/>
            <w:hideMark/>
          </w:tcPr>
          <w:p w14:paraId="22756C10"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0,853</w:t>
            </w:r>
          </w:p>
        </w:tc>
        <w:tc>
          <w:tcPr>
            <w:tcW w:w="1200" w:type="dxa"/>
            <w:tcBorders>
              <w:top w:val="nil"/>
              <w:left w:val="nil"/>
              <w:bottom w:val="nil"/>
              <w:right w:val="single" w:sz="8" w:space="0" w:color="auto"/>
            </w:tcBorders>
            <w:shd w:val="clear" w:color="000000" w:fill="FFFFFF"/>
            <w:noWrap/>
            <w:vAlign w:val="center"/>
            <w:hideMark/>
          </w:tcPr>
          <w:p w14:paraId="0DBF59B6"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0,747</w:t>
            </w:r>
          </w:p>
        </w:tc>
        <w:tc>
          <w:tcPr>
            <w:tcW w:w="1200" w:type="dxa"/>
            <w:tcBorders>
              <w:top w:val="nil"/>
              <w:left w:val="nil"/>
              <w:bottom w:val="nil"/>
              <w:right w:val="single" w:sz="8" w:space="0" w:color="auto"/>
            </w:tcBorders>
            <w:shd w:val="clear" w:color="000000" w:fill="FFFFFF"/>
            <w:noWrap/>
            <w:vAlign w:val="center"/>
            <w:hideMark/>
          </w:tcPr>
          <w:p w14:paraId="00E161EE"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0,362</w:t>
            </w:r>
          </w:p>
        </w:tc>
        <w:tc>
          <w:tcPr>
            <w:tcW w:w="1200" w:type="dxa"/>
            <w:tcBorders>
              <w:top w:val="nil"/>
              <w:left w:val="nil"/>
              <w:bottom w:val="nil"/>
              <w:right w:val="single" w:sz="8" w:space="0" w:color="auto"/>
            </w:tcBorders>
            <w:shd w:val="clear" w:color="000000" w:fill="FFFFFF"/>
            <w:noWrap/>
            <w:vAlign w:val="center"/>
            <w:hideMark/>
          </w:tcPr>
          <w:p w14:paraId="61768D86"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74%</w:t>
            </w:r>
          </w:p>
        </w:tc>
      </w:tr>
      <w:tr w:rsidR="007C4FD4" w:rsidRPr="007C4FD4" w14:paraId="403EDF2F"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1A2B6459"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formal privado</w:t>
            </w:r>
          </w:p>
        </w:tc>
        <w:tc>
          <w:tcPr>
            <w:tcW w:w="1200" w:type="dxa"/>
            <w:tcBorders>
              <w:top w:val="nil"/>
              <w:left w:val="nil"/>
              <w:bottom w:val="nil"/>
              <w:right w:val="single" w:sz="8" w:space="0" w:color="auto"/>
            </w:tcBorders>
            <w:shd w:val="clear" w:color="000000" w:fill="FFFFFF"/>
            <w:noWrap/>
            <w:vAlign w:val="center"/>
            <w:hideMark/>
          </w:tcPr>
          <w:p w14:paraId="0DB57A36"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0,434</w:t>
            </w:r>
          </w:p>
        </w:tc>
        <w:tc>
          <w:tcPr>
            <w:tcW w:w="1200" w:type="dxa"/>
            <w:tcBorders>
              <w:top w:val="nil"/>
              <w:left w:val="nil"/>
              <w:bottom w:val="nil"/>
              <w:right w:val="single" w:sz="8" w:space="0" w:color="auto"/>
            </w:tcBorders>
            <w:shd w:val="clear" w:color="000000" w:fill="FFFFFF"/>
            <w:noWrap/>
            <w:vAlign w:val="center"/>
            <w:hideMark/>
          </w:tcPr>
          <w:p w14:paraId="061E0EDC"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0,790</w:t>
            </w:r>
          </w:p>
        </w:tc>
        <w:tc>
          <w:tcPr>
            <w:tcW w:w="1200" w:type="dxa"/>
            <w:tcBorders>
              <w:top w:val="nil"/>
              <w:left w:val="nil"/>
              <w:bottom w:val="nil"/>
              <w:right w:val="single" w:sz="8" w:space="0" w:color="auto"/>
            </w:tcBorders>
            <w:shd w:val="clear" w:color="000000" w:fill="FFFFFF"/>
            <w:noWrap/>
            <w:vAlign w:val="center"/>
            <w:hideMark/>
          </w:tcPr>
          <w:p w14:paraId="4A2CCBF6"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0,794</w:t>
            </w:r>
          </w:p>
        </w:tc>
        <w:tc>
          <w:tcPr>
            <w:tcW w:w="1200" w:type="dxa"/>
            <w:tcBorders>
              <w:top w:val="nil"/>
              <w:left w:val="nil"/>
              <w:bottom w:val="nil"/>
              <w:right w:val="single" w:sz="8" w:space="0" w:color="auto"/>
            </w:tcBorders>
            <w:shd w:val="clear" w:color="000000" w:fill="FFFFFF"/>
            <w:noWrap/>
            <w:vAlign w:val="center"/>
            <w:hideMark/>
          </w:tcPr>
          <w:p w14:paraId="3399857E"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0,272</w:t>
            </w:r>
          </w:p>
        </w:tc>
        <w:tc>
          <w:tcPr>
            <w:tcW w:w="1200" w:type="dxa"/>
            <w:tcBorders>
              <w:top w:val="nil"/>
              <w:left w:val="nil"/>
              <w:bottom w:val="nil"/>
              <w:right w:val="single" w:sz="8" w:space="0" w:color="auto"/>
            </w:tcBorders>
            <w:shd w:val="clear" w:color="000000" w:fill="FFFFFF"/>
            <w:noWrap/>
            <w:vAlign w:val="center"/>
            <w:hideMark/>
          </w:tcPr>
          <w:p w14:paraId="23A3068C"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56%</w:t>
            </w:r>
          </w:p>
        </w:tc>
      </w:tr>
      <w:tr w:rsidR="007C4FD4" w:rsidRPr="007C4FD4" w14:paraId="1A6A758B"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4704DC00"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público</w:t>
            </w:r>
          </w:p>
        </w:tc>
        <w:tc>
          <w:tcPr>
            <w:tcW w:w="1200" w:type="dxa"/>
            <w:tcBorders>
              <w:top w:val="nil"/>
              <w:left w:val="nil"/>
              <w:bottom w:val="nil"/>
              <w:right w:val="single" w:sz="8" w:space="0" w:color="auto"/>
            </w:tcBorders>
            <w:shd w:val="clear" w:color="000000" w:fill="FFFFFF"/>
            <w:noWrap/>
            <w:vAlign w:val="center"/>
            <w:hideMark/>
          </w:tcPr>
          <w:p w14:paraId="2078C23F"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0,135</w:t>
            </w:r>
          </w:p>
        </w:tc>
        <w:tc>
          <w:tcPr>
            <w:tcW w:w="1200" w:type="dxa"/>
            <w:tcBorders>
              <w:top w:val="nil"/>
              <w:left w:val="nil"/>
              <w:bottom w:val="nil"/>
              <w:right w:val="single" w:sz="8" w:space="0" w:color="auto"/>
            </w:tcBorders>
            <w:shd w:val="clear" w:color="000000" w:fill="FFFFFF"/>
            <w:noWrap/>
            <w:vAlign w:val="center"/>
            <w:hideMark/>
          </w:tcPr>
          <w:p w14:paraId="53C0A0FC"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0,724</w:t>
            </w:r>
          </w:p>
        </w:tc>
        <w:tc>
          <w:tcPr>
            <w:tcW w:w="1200" w:type="dxa"/>
            <w:tcBorders>
              <w:top w:val="nil"/>
              <w:left w:val="nil"/>
              <w:bottom w:val="nil"/>
              <w:right w:val="single" w:sz="8" w:space="0" w:color="auto"/>
            </w:tcBorders>
            <w:shd w:val="clear" w:color="000000" w:fill="FFFFFF"/>
            <w:noWrap/>
            <w:vAlign w:val="center"/>
            <w:hideMark/>
          </w:tcPr>
          <w:p w14:paraId="1FECC2EF"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0,928</w:t>
            </w:r>
          </w:p>
        </w:tc>
        <w:tc>
          <w:tcPr>
            <w:tcW w:w="1200" w:type="dxa"/>
            <w:tcBorders>
              <w:top w:val="nil"/>
              <w:left w:val="nil"/>
              <w:bottom w:val="nil"/>
              <w:right w:val="single" w:sz="8" w:space="0" w:color="auto"/>
            </w:tcBorders>
            <w:shd w:val="clear" w:color="000000" w:fill="FFFFFF"/>
            <w:noWrap/>
            <w:vAlign w:val="center"/>
            <w:hideMark/>
          </w:tcPr>
          <w:p w14:paraId="58FF0711"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0,090</w:t>
            </w:r>
          </w:p>
        </w:tc>
        <w:tc>
          <w:tcPr>
            <w:tcW w:w="1200" w:type="dxa"/>
            <w:tcBorders>
              <w:top w:val="nil"/>
              <w:left w:val="nil"/>
              <w:bottom w:val="nil"/>
              <w:right w:val="single" w:sz="8" w:space="0" w:color="auto"/>
            </w:tcBorders>
            <w:shd w:val="clear" w:color="000000" w:fill="FFFFFF"/>
            <w:noWrap/>
            <w:vAlign w:val="center"/>
            <w:hideMark/>
          </w:tcPr>
          <w:p w14:paraId="4ABEF283"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19%</w:t>
            </w:r>
          </w:p>
        </w:tc>
      </w:tr>
      <w:tr w:rsidR="007C4FD4" w:rsidRPr="007C4FD4" w14:paraId="758A3A41"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012C02D5"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microinformal</w:t>
            </w:r>
          </w:p>
        </w:tc>
        <w:tc>
          <w:tcPr>
            <w:tcW w:w="1200" w:type="dxa"/>
            <w:tcBorders>
              <w:top w:val="nil"/>
              <w:left w:val="nil"/>
              <w:bottom w:val="nil"/>
              <w:right w:val="single" w:sz="8" w:space="0" w:color="auto"/>
            </w:tcBorders>
            <w:shd w:val="clear" w:color="000000" w:fill="FFFFFF"/>
            <w:noWrap/>
            <w:vAlign w:val="center"/>
            <w:hideMark/>
          </w:tcPr>
          <w:p w14:paraId="107554BD"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0,234</w:t>
            </w:r>
          </w:p>
        </w:tc>
        <w:tc>
          <w:tcPr>
            <w:tcW w:w="1200" w:type="dxa"/>
            <w:tcBorders>
              <w:top w:val="nil"/>
              <w:left w:val="nil"/>
              <w:bottom w:val="nil"/>
              <w:right w:val="single" w:sz="8" w:space="0" w:color="auto"/>
            </w:tcBorders>
            <w:shd w:val="clear" w:color="000000" w:fill="FFFFFF"/>
            <w:noWrap/>
            <w:vAlign w:val="center"/>
            <w:hideMark/>
          </w:tcPr>
          <w:p w14:paraId="00408259"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0,461</w:t>
            </w:r>
          </w:p>
        </w:tc>
        <w:tc>
          <w:tcPr>
            <w:tcW w:w="1200" w:type="dxa"/>
            <w:tcBorders>
              <w:top w:val="nil"/>
              <w:left w:val="nil"/>
              <w:bottom w:val="nil"/>
              <w:right w:val="single" w:sz="8" w:space="0" w:color="auto"/>
            </w:tcBorders>
            <w:shd w:val="clear" w:color="000000" w:fill="FFFFFF"/>
            <w:noWrap/>
            <w:vAlign w:val="center"/>
            <w:hideMark/>
          </w:tcPr>
          <w:p w14:paraId="45D54B57"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0,781</w:t>
            </w:r>
          </w:p>
        </w:tc>
        <w:tc>
          <w:tcPr>
            <w:tcW w:w="1200" w:type="dxa"/>
            <w:tcBorders>
              <w:top w:val="nil"/>
              <w:left w:val="nil"/>
              <w:bottom w:val="nil"/>
              <w:right w:val="single" w:sz="8" w:space="0" w:color="auto"/>
            </w:tcBorders>
            <w:shd w:val="clear" w:color="000000" w:fill="FFFFFF"/>
            <w:noWrap/>
            <w:vAlign w:val="center"/>
            <w:hideMark/>
          </w:tcPr>
          <w:p w14:paraId="22B810E1"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0,084</w:t>
            </w:r>
          </w:p>
        </w:tc>
        <w:tc>
          <w:tcPr>
            <w:tcW w:w="1200" w:type="dxa"/>
            <w:tcBorders>
              <w:top w:val="nil"/>
              <w:left w:val="nil"/>
              <w:bottom w:val="nil"/>
              <w:right w:val="single" w:sz="8" w:space="0" w:color="auto"/>
            </w:tcBorders>
            <w:shd w:val="clear" w:color="000000" w:fill="FFFFFF"/>
            <w:noWrap/>
            <w:vAlign w:val="center"/>
            <w:hideMark/>
          </w:tcPr>
          <w:p w14:paraId="0A6C3DC4"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17%</w:t>
            </w:r>
          </w:p>
        </w:tc>
      </w:tr>
      <w:tr w:rsidR="007C4FD4" w:rsidRPr="007C4FD4" w14:paraId="1886D274" w14:textId="77777777" w:rsidTr="007C4FD4">
        <w:trPr>
          <w:trHeight w:val="315"/>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52E9B657"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no laborales</w:t>
            </w:r>
          </w:p>
        </w:tc>
        <w:tc>
          <w:tcPr>
            <w:tcW w:w="1200" w:type="dxa"/>
            <w:tcBorders>
              <w:top w:val="nil"/>
              <w:left w:val="nil"/>
              <w:bottom w:val="single" w:sz="8" w:space="0" w:color="auto"/>
              <w:right w:val="single" w:sz="8" w:space="0" w:color="auto"/>
            </w:tcBorders>
            <w:shd w:val="clear" w:color="000000" w:fill="FFFFFF"/>
            <w:noWrap/>
            <w:vAlign w:val="center"/>
            <w:hideMark/>
          </w:tcPr>
          <w:p w14:paraId="6B0502A4"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0,197</w:t>
            </w:r>
          </w:p>
        </w:tc>
        <w:tc>
          <w:tcPr>
            <w:tcW w:w="1200" w:type="dxa"/>
            <w:tcBorders>
              <w:top w:val="nil"/>
              <w:left w:val="nil"/>
              <w:bottom w:val="single" w:sz="8" w:space="0" w:color="auto"/>
              <w:right w:val="single" w:sz="8" w:space="0" w:color="auto"/>
            </w:tcBorders>
            <w:shd w:val="clear" w:color="000000" w:fill="FFFFFF"/>
            <w:noWrap/>
            <w:vAlign w:val="center"/>
            <w:hideMark/>
          </w:tcPr>
          <w:p w14:paraId="3A434204"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0,274</w:t>
            </w:r>
          </w:p>
        </w:tc>
        <w:tc>
          <w:tcPr>
            <w:tcW w:w="1200" w:type="dxa"/>
            <w:tcBorders>
              <w:top w:val="nil"/>
              <w:left w:val="nil"/>
              <w:bottom w:val="single" w:sz="8" w:space="0" w:color="auto"/>
              <w:right w:val="single" w:sz="8" w:space="0" w:color="auto"/>
            </w:tcBorders>
            <w:shd w:val="clear" w:color="000000" w:fill="FFFFFF"/>
            <w:noWrap/>
            <w:vAlign w:val="center"/>
            <w:hideMark/>
          </w:tcPr>
          <w:p w14:paraId="414877C8"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0,740</w:t>
            </w:r>
          </w:p>
        </w:tc>
        <w:tc>
          <w:tcPr>
            <w:tcW w:w="1200" w:type="dxa"/>
            <w:tcBorders>
              <w:top w:val="nil"/>
              <w:left w:val="nil"/>
              <w:bottom w:val="single" w:sz="8" w:space="0" w:color="auto"/>
              <w:right w:val="single" w:sz="8" w:space="0" w:color="auto"/>
            </w:tcBorders>
            <w:shd w:val="clear" w:color="000000" w:fill="FFFFFF"/>
            <w:noWrap/>
            <w:vAlign w:val="center"/>
            <w:hideMark/>
          </w:tcPr>
          <w:p w14:paraId="142815D1"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0,040</w:t>
            </w:r>
          </w:p>
        </w:tc>
        <w:tc>
          <w:tcPr>
            <w:tcW w:w="1200" w:type="dxa"/>
            <w:tcBorders>
              <w:top w:val="nil"/>
              <w:left w:val="nil"/>
              <w:bottom w:val="single" w:sz="8" w:space="0" w:color="auto"/>
              <w:right w:val="single" w:sz="8" w:space="0" w:color="auto"/>
            </w:tcBorders>
            <w:shd w:val="clear" w:color="000000" w:fill="FFFFFF"/>
            <w:noWrap/>
            <w:vAlign w:val="center"/>
            <w:hideMark/>
          </w:tcPr>
          <w:p w14:paraId="60D9A474"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8%</w:t>
            </w:r>
          </w:p>
        </w:tc>
      </w:tr>
      <w:tr w:rsidR="007C4FD4" w:rsidRPr="007C4FD4" w14:paraId="54B2FC9B" w14:textId="77777777" w:rsidTr="007C4FD4">
        <w:trPr>
          <w:trHeight w:val="315"/>
        </w:trPr>
        <w:tc>
          <w:tcPr>
            <w:tcW w:w="2580" w:type="dxa"/>
            <w:tcBorders>
              <w:top w:val="nil"/>
              <w:left w:val="single" w:sz="8" w:space="0" w:color="auto"/>
              <w:bottom w:val="single" w:sz="8" w:space="0" w:color="auto"/>
              <w:right w:val="nil"/>
            </w:tcBorders>
            <w:shd w:val="clear" w:color="000000" w:fill="FFFFFF"/>
            <w:noWrap/>
            <w:vAlign w:val="center"/>
            <w:hideMark/>
          </w:tcPr>
          <w:p w14:paraId="07447D97"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Total</w:t>
            </w:r>
          </w:p>
        </w:tc>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992CE56"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4002BA32"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43ADDACB" w14:textId="77777777" w:rsidR="007C4FD4" w:rsidRPr="007C4FD4" w:rsidRDefault="007C4FD4" w:rsidP="007C4FD4">
            <w:pPr>
              <w:keepNext/>
              <w:spacing w:after="0" w:line="240" w:lineRule="auto"/>
              <w:jc w:val="center"/>
              <w:rPr>
                <w:rFonts w:ascii="Times New Roman" w:eastAsia="Times New Roman" w:hAnsi="Times New Roman" w:cs="Times New Roman"/>
                <w:color w:val="000000"/>
                <w:sz w:val="16"/>
                <w:szCs w:val="16"/>
                <w:lang w:eastAsia="es-AR"/>
              </w:rPr>
            </w:pPr>
            <w:r w:rsidRPr="007C4FD4">
              <w:rPr>
                <w:rFonts w:ascii="Times New Roman" w:eastAsia="Times New Roman" w:hAnsi="Times New Roman" w:cs="Times New Roman"/>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7FAF7449"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0,487</w:t>
            </w:r>
          </w:p>
        </w:tc>
        <w:tc>
          <w:tcPr>
            <w:tcW w:w="1200" w:type="dxa"/>
            <w:tcBorders>
              <w:top w:val="nil"/>
              <w:left w:val="nil"/>
              <w:bottom w:val="single" w:sz="8" w:space="0" w:color="auto"/>
              <w:right w:val="single" w:sz="8" w:space="0" w:color="auto"/>
            </w:tcBorders>
            <w:shd w:val="clear" w:color="000000" w:fill="FFFFFF"/>
            <w:noWrap/>
            <w:vAlign w:val="center"/>
            <w:hideMark/>
          </w:tcPr>
          <w:p w14:paraId="090D0CDC" w14:textId="77777777" w:rsidR="007C4FD4" w:rsidRPr="00D043B9"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D043B9">
              <w:rPr>
                <w:rFonts w:ascii="Times New Roman" w:eastAsia="Times New Roman" w:hAnsi="Times New Roman" w:cs="Times New Roman"/>
                <w:b/>
                <w:bCs/>
                <w:color w:val="000000"/>
                <w:sz w:val="16"/>
                <w:szCs w:val="16"/>
                <w:lang w:eastAsia="es-AR"/>
              </w:rPr>
              <w:t>100%</w:t>
            </w:r>
          </w:p>
        </w:tc>
      </w:tr>
    </w:tbl>
    <w:p w14:paraId="7191B859" w14:textId="77777777" w:rsidR="007C4FD4" w:rsidRPr="007C2D50" w:rsidRDefault="007C4FD4" w:rsidP="007C4FD4">
      <w:pPr>
        <w:spacing w:before="120" w:after="24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7E5A19B3" w14:textId="77777777" w:rsidR="007C4FD4" w:rsidRPr="007C4FD4" w:rsidRDefault="007C4FD4" w:rsidP="007C4FD4">
      <w:pPr>
        <w:keepNext/>
        <w:spacing w:before="240" w:after="120" w:line="240" w:lineRule="auto"/>
        <w:jc w:val="both"/>
        <w:rPr>
          <w:rFonts w:ascii="Times New Roman" w:eastAsia="Times New Roman" w:hAnsi="Times New Roman"/>
          <w:b/>
          <w:bCs/>
          <w:color w:val="000000"/>
          <w:lang w:eastAsia="es-AR"/>
        </w:rPr>
      </w:pPr>
      <w:r w:rsidRPr="007C4FD4">
        <w:rPr>
          <w:rFonts w:ascii="Times New Roman" w:eastAsia="Times New Roman" w:hAnsi="Times New Roman"/>
          <w:b/>
          <w:bCs/>
          <w:color w:val="000000"/>
          <w:lang w:eastAsia="es-AR"/>
        </w:rPr>
        <w:t>Cuadro A4. Componentes del Coeficiente de Gini y descomposición del índice según fuente de ingreso. Gran Buenos Aires, 2003 (IV trimestre).</w:t>
      </w:r>
    </w:p>
    <w:tbl>
      <w:tblPr>
        <w:tblW w:w="8580" w:type="dxa"/>
        <w:tblInd w:w="80" w:type="dxa"/>
        <w:tblCellMar>
          <w:left w:w="70" w:type="dxa"/>
          <w:right w:w="70" w:type="dxa"/>
        </w:tblCellMar>
        <w:tblLook w:val="04A0" w:firstRow="1" w:lastRow="0" w:firstColumn="1" w:lastColumn="0" w:noHBand="0" w:noVBand="1"/>
      </w:tblPr>
      <w:tblGrid>
        <w:gridCol w:w="2580"/>
        <w:gridCol w:w="1200"/>
        <w:gridCol w:w="1200"/>
        <w:gridCol w:w="1200"/>
        <w:gridCol w:w="1200"/>
        <w:gridCol w:w="1200"/>
      </w:tblGrid>
      <w:tr w:rsidR="007C4FD4" w:rsidRPr="007C4FD4" w14:paraId="01A78016" w14:textId="77777777" w:rsidTr="007C4FD4">
        <w:trPr>
          <w:trHeight w:val="645"/>
        </w:trPr>
        <w:tc>
          <w:tcPr>
            <w:tcW w:w="2580" w:type="dxa"/>
            <w:tcBorders>
              <w:top w:val="single" w:sz="8" w:space="0" w:color="auto"/>
              <w:left w:val="single" w:sz="8" w:space="0" w:color="auto"/>
              <w:bottom w:val="single" w:sz="8" w:space="0" w:color="auto"/>
              <w:right w:val="nil"/>
            </w:tcBorders>
            <w:shd w:val="clear" w:color="000000" w:fill="FFFFFF"/>
            <w:noWrap/>
            <w:vAlign w:val="center"/>
            <w:hideMark/>
          </w:tcPr>
          <w:p w14:paraId="6198F378" w14:textId="77777777" w:rsidR="007C4FD4" w:rsidRPr="007C4FD4" w:rsidRDefault="007C4FD4" w:rsidP="007C4FD4">
            <w:pPr>
              <w:keepNext/>
              <w:spacing w:after="0" w:line="240" w:lineRule="auto"/>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Fuente de ingreso</w:t>
            </w:r>
          </w:p>
        </w:tc>
        <w:tc>
          <w:tcPr>
            <w:tcW w:w="12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3C11DC8"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Sk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62A05DAB"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Rk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3D36450F"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6604256A"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absoluta Sk*Rk*Gk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481C52F6"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relativa</w:t>
            </w:r>
          </w:p>
        </w:tc>
      </w:tr>
      <w:tr w:rsidR="007C4FD4" w:rsidRPr="007C4FD4" w14:paraId="1A394B27"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11E981DE"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laborales</w:t>
            </w:r>
          </w:p>
        </w:tc>
        <w:tc>
          <w:tcPr>
            <w:tcW w:w="1200" w:type="dxa"/>
            <w:tcBorders>
              <w:top w:val="nil"/>
              <w:left w:val="nil"/>
              <w:bottom w:val="nil"/>
              <w:right w:val="single" w:sz="8" w:space="0" w:color="auto"/>
            </w:tcBorders>
            <w:shd w:val="clear" w:color="000000" w:fill="FFFFFF"/>
            <w:noWrap/>
            <w:vAlign w:val="center"/>
            <w:hideMark/>
          </w:tcPr>
          <w:p w14:paraId="4627EC21"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0,829</w:t>
            </w:r>
          </w:p>
        </w:tc>
        <w:tc>
          <w:tcPr>
            <w:tcW w:w="1200" w:type="dxa"/>
            <w:tcBorders>
              <w:top w:val="nil"/>
              <w:left w:val="nil"/>
              <w:bottom w:val="nil"/>
              <w:right w:val="single" w:sz="8" w:space="0" w:color="auto"/>
            </w:tcBorders>
            <w:shd w:val="clear" w:color="000000" w:fill="FFFFFF"/>
            <w:noWrap/>
            <w:vAlign w:val="center"/>
            <w:hideMark/>
          </w:tcPr>
          <w:p w14:paraId="049A8219"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0,927</w:t>
            </w:r>
          </w:p>
        </w:tc>
        <w:tc>
          <w:tcPr>
            <w:tcW w:w="1200" w:type="dxa"/>
            <w:tcBorders>
              <w:top w:val="nil"/>
              <w:left w:val="nil"/>
              <w:bottom w:val="nil"/>
              <w:right w:val="single" w:sz="8" w:space="0" w:color="auto"/>
            </w:tcBorders>
            <w:shd w:val="clear" w:color="000000" w:fill="FFFFFF"/>
            <w:noWrap/>
            <w:vAlign w:val="center"/>
            <w:hideMark/>
          </w:tcPr>
          <w:p w14:paraId="367DBB9F"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0,576</w:t>
            </w:r>
          </w:p>
        </w:tc>
        <w:tc>
          <w:tcPr>
            <w:tcW w:w="1200" w:type="dxa"/>
            <w:tcBorders>
              <w:top w:val="nil"/>
              <w:left w:val="nil"/>
              <w:bottom w:val="nil"/>
              <w:right w:val="single" w:sz="8" w:space="0" w:color="auto"/>
            </w:tcBorders>
            <w:shd w:val="clear" w:color="000000" w:fill="FFFFFF"/>
            <w:noWrap/>
            <w:vAlign w:val="center"/>
            <w:hideMark/>
          </w:tcPr>
          <w:p w14:paraId="109381A1"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0,443</w:t>
            </w:r>
          </w:p>
        </w:tc>
        <w:tc>
          <w:tcPr>
            <w:tcW w:w="1200" w:type="dxa"/>
            <w:tcBorders>
              <w:top w:val="nil"/>
              <w:left w:val="nil"/>
              <w:bottom w:val="nil"/>
              <w:right w:val="single" w:sz="8" w:space="0" w:color="auto"/>
            </w:tcBorders>
            <w:shd w:val="clear" w:color="000000" w:fill="FFFFFF"/>
            <w:noWrap/>
            <w:vAlign w:val="center"/>
            <w:hideMark/>
          </w:tcPr>
          <w:p w14:paraId="05E0C02E"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93%</w:t>
            </w:r>
          </w:p>
        </w:tc>
      </w:tr>
      <w:tr w:rsidR="007C4FD4" w:rsidRPr="007C4FD4" w14:paraId="7633B0B8"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2304D19D"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formal público y privado</w:t>
            </w:r>
          </w:p>
        </w:tc>
        <w:tc>
          <w:tcPr>
            <w:tcW w:w="1200" w:type="dxa"/>
            <w:tcBorders>
              <w:top w:val="nil"/>
              <w:left w:val="nil"/>
              <w:bottom w:val="nil"/>
              <w:right w:val="single" w:sz="8" w:space="0" w:color="auto"/>
            </w:tcBorders>
            <w:shd w:val="clear" w:color="000000" w:fill="FFFFFF"/>
            <w:noWrap/>
            <w:vAlign w:val="center"/>
            <w:hideMark/>
          </w:tcPr>
          <w:p w14:paraId="0AEA4197"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0,572</w:t>
            </w:r>
          </w:p>
        </w:tc>
        <w:tc>
          <w:tcPr>
            <w:tcW w:w="1200" w:type="dxa"/>
            <w:tcBorders>
              <w:top w:val="nil"/>
              <w:left w:val="nil"/>
              <w:bottom w:val="nil"/>
              <w:right w:val="single" w:sz="8" w:space="0" w:color="auto"/>
            </w:tcBorders>
            <w:shd w:val="clear" w:color="000000" w:fill="FFFFFF"/>
            <w:noWrap/>
            <w:vAlign w:val="center"/>
            <w:hideMark/>
          </w:tcPr>
          <w:p w14:paraId="57E2F141"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0,855</w:t>
            </w:r>
          </w:p>
        </w:tc>
        <w:tc>
          <w:tcPr>
            <w:tcW w:w="1200" w:type="dxa"/>
            <w:tcBorders>
              <w:top w:val="nil"/>
              <w:left w:val="nil"/>
              <w:bottom w:val="nil"/>
              <w:right w:val="single" w:sz="8" w:space="0" w:color="auto"/>
            </w:tcBorders>
            <w:shd w:val="clear" w:color="000000" w:fill="FFFFFF"/>
            <w:noWrap/>
            <w:vAlign w:val="center"/>
            <w:hideMark/>
          </w:tcPr>
          <w:p w14:paraId="384E3BAE"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0,732</w:t>
            </w:r>
          </w:p>
        </w:tc>
        <w:tc>
          <w:tcPr>
            <w:tcW w:w="1200" w:type="dxa"/>
            <w:tcBorders>
              <w:top w:val="nil"/>
              <w:left w:val="nil"/>
              <w:bottom w:val="nil"/>
              <w:right w:val="single" w:sz="8" w:space="0" w:color="auto"/>
            </w:tcBorders>
            <w:shd w:val="clear" w:color="000000" w:fill="FFFFFF"/>
            <w:noWrap/>
            <w:vAlign w:val="center"/>
            <w:hideMark/>
          </w:tcPr>
          <w:p w14:paraId="2C545FB9"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0,358</w:t>
            </w:r>
          </w:p>
        </w:tc>
        <w:tc>
          <w:tcPr>
            <w:tcW w:w="1200" w:type="dxa"/>
            <w:tcBorders>
              <w:top w:val="nil"/>
              <w:left w:val="nil"/>
              <w:bottom w:val="nil"/>
              <w:right w:val="single" w:sz="8" w:space="0" w:color="auto"/>
            </w:tcBorders>
            <w:shd w:val="clear" w:color="000000" w:fill="FFFFFF"/>
            <w:noWrap/>
            <w:vAlign w:val="center"/>
            <w:hideMark/>
          </w:tcPr>
          <w:p w14:paraId="3BE90A0F"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75%</w:t>
            </w:r>
          </w:p>
        </w:tc>
      </w:tr>
      <w:tr w:rsidR="007C4FD4" w:rsidRPr="007C4FD4" w14:paraId="72BE6539"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380F89CA"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formal privado</w:t>
            </w:r>
          </w:p>
        </w:tc>
        <w:tc>
          <w:tcPr>
            <w:tcW w:w="1200" w:type="dxa"/>
            <w:tcBorders>
              <w:top w:val="nil"/>
              <w:left w:val="nil"/>
              <w:bottom w:val="nil"/>
              <w:right w:val="single" w:sz="8" w:space="0" w:color="auto"/>
            </w:tcBorders>
            <w:shd w:val="clear" w:color="000000" w:fill="FFFFFF"/>
            <w:noWrap/>
            <w:vAlign w:val="center"/>
            <w:hideMark/>
          </w:tcPr>
          <w:p w14:paraId="4725E977"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0,447</w:t>
            </w:r>
          </w:p>
        </w:tc>
        <w:tc>
          <w:tcPr>
            <w:tcW w:w="1200" w:type="dxa"/>
            <w:tcBorders>
              <w:top w:val="nil"/>
              <w:left w:val="nil"/>
              <w:bottom w:val="nil"/>
              <w:right w:val="single" w:sz="8" w:space="0" w:color="auto"/>
            </w:tcBorders>
            <w:shd w:val="clear" w:color="000000" w:fill="FFFFFF"/>
            <w:noWrap/>
            <w:vAlign w:val="center"/>
            <w:hideMark/>
          </w:tcPr>
          <w:p w14:paraId="147A6754"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0,803</w:t>
            </w:r>
          </w:p>
        </w:tc>
        <w:tc>
          <w:tcPr>
            <w:tcW w:w="1200" w:type="dxa"/>
            <w:tcBorders>
              <w:top w:val="nil"/>
              <w:left w:val="nil"/>
              <w:bottom w:val="nil"/>
              <w:right w:val="single" w:sz="8" w:space="0" w:color="auto"/>
            </w:tcBorders>
            <w:shd w:val="clear" w:color="000000" w:fill="FFFFFF"/>
            <w:noWrap/>
            <w:vAlign w:val="center"/>
            <w:hideMark/>
          </w:tcPr>
          <w:p w14:paraId="36DAC6FA"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0,785</w:t>
            </w:r>
          </w:p>
        </w:tc>
        <w:tc>
          <w:tcPr>
            <w:tcW w:w="1200" w:type="dxa"/>
            <w:tcBorders>
              <w:top w:val="nil"/>
              <w:left w:val="nil"/>
              <w:bottom w:val="nil"/>
              <w:right w:val="single" w:sz="8" w:space="0" w:color="auto"/>
            </w:tcBorders>
            <w:shd w:val="clear" w:color="000000" w:fill="FFFFFF"/>
            <w:noWrap/>
            <w:vAlign w:val="center"/>
            <w:hideMark/>
          </w:tcPr>
          <w:p w14:paraId="021026E9"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0,282</w:t>
            </w:r>
          </w:p>
        </w:tc>
        <w:tc>
          <w:tcPr>
            <w:tcW w:w="1200" w:type="dxa"/>
            <w:tcBorders>
              <w:top w:val="nil"/>
              <w:left w:val="nil"/>
              <w:bottom w:val="nil"/>
              <w:right w:val="single" w:sz="8" w:space="0" w:color="auto"/>
            </w:tcBorders>
            <w:shd w:val="clear" w:color="000000" w:fill="FFFFFF"/>
            <w:noWrap/>
            <w:vAlign w:val="center"/>
            <w:hideMark/>
          </w:tcPr>
          <w:p w14:paraId="40B17410"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59%</w:t>
            </w:r>
          </w:p>
        </w:tc>
      </w:tr>
      <w:tr w:rsidR="007C4FD4" w:rsidRPr="007C4FD4" w14:paraId="69C707CB"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0D3E43A1"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público</w:t>
            </w:r>
          </w:p>
        </w:tc>
        <w:tc>
          <w:tcPr>
            <w:tcW w:w="1200" w:type="dxa"/>
            <w:tcBorders>
              <w:top w:val="nil"/>
              <w:left w:val="nil"/>
              <w:bottom w:val="nil"/>
              <w:right w:val="single" w:sz="8" w:space="0" w:color="auto"/>
            </w:tcBorders>
            <w:shd w:val="clear" w:color="000000" w:fill="FFFFFF"/>
            <w:noWrap/>
            <w:vAlign w:val="center"/>
            <w:hideMark/>
          </w:tcPr>
          <w:p w14:paraId="28B53E26"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0,125</w:t>
            </w:r>
          </w:p>
        </w:tc>
        <w:tc>
          <w:tcPr>
            <w:tcW w:w="1200" w:type="dxa"/>
            <w:tcBorders>
              <w:top w:val="nil"/>
              <w:left w:val="nil"/>
              <w:bottom w:val="nil"/>
              <w:right w:val="single" w:sz="8" w:space="0" w:color="auto"/>
            </w:tcBorders>
            <w:shd w:val="clear" w:color="000000" w:fill="FFFFFF"/>
            <w:noWrap/>
            <w:vAlign w:val="center"/>
            <w:hideMark/>
          </w:tcPr>
          <w:p w14:paraId="4C1DF64B"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0,659</w:t>
            </w:r>
          </w:p>
        </w:tc>
        <w:tc>
          <w:tcPr>
            <w:tcW w:w="1200" w:type="dxa"/>
            <w:tcBorders>
              <w:top w:val="nil"/>
              <w:left w:val="nil"/>
              <w:bottom w:val="nil"/>
              <w:right w:val="single" w:sz="8" w:space="0" w:color="auto"/>
            </w:tcBorders>
            <w:shd w:val="clear" w:color="000000" w:fill="FFFFFF"/>
            <w:noWrap/>
            <w:vAlign w:val="center"/>
            <w:hideMark/>
          </w:tcPr>
          <w:p w14:paraId="347E87D1"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0,926</w:t>
            </w:r>
          </w:p>
        </w:tc>
        <w:tc>
          <w:tcPr>
            <w:tcW w:w="1200" w:type="dxa"/>
            <w:tcBorders>
              <w:top w:val="nil"/>
              <w:left w:val="nil"/>
              <w:bottom w:val="nil"/>
              <w:right w:val="single" w:sz="8" w:space="0" w:color="auto"/>
            </w:tcBorders>
            <w:shd w:val="clear" w:color="000000" w:fill="FFFFFF"/>
            <w:noWrap/>
            <w:vAlign w:val="center"/>
            <w:hideMark/>
          </w:tcPr>
          <w:p w14:paraId="752D3E54"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0,076</w:t>
            </w:r>
          </w:p>
        </w:tc>
        <w:tc>
          <w:tcPr>
            <w:tcW w:w="1200" w:type="dxa"/>
            <w:tcBorders>
              <w:top w:val="nil"/>
              <w:left w:val="nil"/>
              <w:bottom w:val="nil"/>
              <w:right w:val="single" w:sz="8" w:space="0" w:color="auto"/>
            </w:tcBorders>
            <w:shd w:val="clear" w:color="000000" w:fill="FFFFFF"/>
            <w:noWrap/>
            <w:vAlign w:val="center"/>
            <w:hideMark/>
          </w:tcPr>
          <w:p w14:paraId="63BD21D0"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16%</w:t>
            </w:r>
          </w:p>
        </w:tc>
      </w:tr>
      <w:tr w:rsidR="007C4FD4" w:rsidRPr="007C4FD4" w14:paraId="3FE9CB52"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1382F1C8"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microinformal</w:t>
            </w:r>
          </w:p>
        </w:tc>
        <w:tc>
          <w:tcPr>
            <w:tcW w:w="1200" w:type="dxa"/>
            <w:tcBorders>
              <w:top w:val="nil"/>
              <w:left w:val="nil"/>
              <w:bottom w:val="nil"/>
              <w:right w:val="single" w:sz="8" w:space="0" w:color="auto"/>
            </w:tcBorders>
            <w:shd w:val="clear" w:color="000000" w:fill="FFFFFF"/>
            <w:noWrap/>
            <w:vAlign w:val="center"/>
            <w:hideMark/>
          </w:tcPr>
          <w:p w14:paraId="218242E0"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0,257</w:t>
            </w:r>
          </w:p>
        </w:tc>
        <w:tc>
          <w:tcPr>
            <w:tcW w:w="1200" w:type="dxa"/>
            <w:tcBorders>
              <w:top w:val="nil"/>
              <w:left w:val="nil"/>
              <w:bottom w:val="nil"/>
              <w:right w:val="single" w:sz="8" w:space="0" w:color="auto"/>
            </w:tcBorders>
            <w:shd w:val="clear" w:color="000000" w:fill="FFFFFF"/>
            <w:noWrap/>
            <w:vAlign w:val="center"/>
            <w:hideMark/>
          </w:tcPr>
          <w:p w14:paraId="1D4C4E37"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0,438</w:t>
            </w:r>
          </w:p>
        </w:tc>
        <w:tc>
          <w:tcPr>
            <w:tcW w:w="1200" w:type="dxa"/>
            <w:tcBorders>
              <w:top w:val="nil"/>
              <w:left w:val="nil"/>
              <w:bottom w:val="nil"/>
              <w:right w:val="single" w:sz="8" w:space="0" w:color="auto"/>
            </w:tcBorders>
            <w:shd w:val="clear" w:color="000000" w:fill="FFFFFF"/>
            <w:noWrap/>
            <w:vAlign w:val="center"/>
            <w:hideMark/>
          </w:tcPr>
          <w:p w14:paraId="1361485C"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0,749</w:t>
            </w:r>
          </w:p>
        </w:tc>
        <w:tc>
          <w:tcPr>
            <w:tcW w:w="1200" w:type="dxa"/>
            <w:tcBorders>
              <w:top w:val="nil"/>
              <w:left w:val="nil"/>
              <w:bottom w:val="nil"/>
              <w:right w:val="single" w:sz="8" w:space="0" w:color="auto"/>
            </w:tcBorders>
            <w:shd w:val="clear" w:color="000000" w:fill="FFFFFF"/>
            <w:noWrap/>
            <w:vAlign w:val="center"/>
            <w:hideMark/>
          </w:tcPr>
          <w:p w14:paraId="1621A3A0"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0,084</w:t>
            </w:r>
          </w:p>
        </w:tc>
        <w:tc>
          <w:tcPr>
            <w:tcW w:w="1200" w:type="dxa"/>
            <w:tcBorders>
              <w:top w:val="nil"/>
              <w:left w:val="nil"/>
              <w:bottom w:val="nil"/>
              <w:right w:val="single" w:sz="8" w:space="0" w:color="auto"/>
            </w:tcBorders>
            <w:shd w:val="clear" w:color="000000" w:fill="FFFFFF"/>
            <w:noWrap/>
            <w:vAlign w:val="center"/>
            <w:hideMark/>
          </w:tcPr>
          <w:p w14:paraId="238EFF6D"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18%</w:t>
            </w:r>
          </w:p>
        </w:tc>
      </w:tr>
      <w:tr w:rsidR="007C4FD4" w:rsidRPr="007C4FD4" w14:paraId="0D40B4C6" w14:textId="77777777" w:rsidTr="007C4FD4">
        <w:trPr>
          <w:trHeight w:val="315"/>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0729D0A6"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no laborales</w:t>
            </w:r>
          </w:p>
        </w:tc>
        <w:tc>
          <w:tcPr>
            <w:tcW w:w="1200" w:type="dxa"/>
            <w:tcBorders>
              <w:top w:val="nil"/>
              <w:left w:val="nil"/>
              <w:bottom w:val="single" w:sz="8" w:space="0" w:color="auto"/>
              <w:right w:val="single" w:sz="8" w:space="0" w:color="auto"/>
            </w:tcBorders>
            <w:shd w:val="clear" w:color="000000" w:fill="FFFFFF"/>
            <w:noWrap/>
            <w:vAlign w:val="center"/>
            <w:hideMark/>
          </w:tcPr>
          <w:p w14:paraId="6A362B32"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0,171</w:t>
            </w:r>
          </w:p>
        </w:tc>
        <w:tc>
          <w:tcPr>
            <w:tcW w:w="1200" w:type="dxa"/>
            <w:tcBorders>
              <w:top w:val="nil"/>
              <w:left w:val="nil"/>
              <w:bottom w:val="single" w:sz="8" w:space="0" w:color="auto"/>
              <w:right w:val="single" w:sz="8" w:space="0" w:color="auto"/>
            </w:tcBorders>
            <w:shd w:val="clear" w:color="000000" w:fill="FFFFFF"/>
            <w:noWrap/>
            <w:vAlign w:val="center"/>
            <w:hideMark/>
          </w:tcPr>
          <w:p w14:paraId="3B241487"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0,250</w:t>
            </w:r>
          </w:p>
        </w:tc>
        <w:tc>
          <w:tcPr>
            <w:tcW w:w="1200" w:type="dxa"/>
            <w:tcBorders>
              <w:top w:val="nil"/>
              <w:left w:val="nil"/>
              <w:bottom w:val="single" w:sz="8" w:space="0" w:color="auto"/>
              <w:right w:val="single" w:sz="8" w:space="0" w:color="auto"/>
            </w:tcBorders>
            <w:shd w:val="clear" w:color="000000" w:fill="FFFFFF"/>
            <w:noWrap/>
            <w:vAlign w:val="center"/>
            <w:hideMark/>
          </w:tcPr>
          <w:p w14:paraId="72344014"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0,765</w:t>
            </w:r>
          </w:p>
        </w:tc>
        <w:tc>
          <w:tcPr>
            <w:tcW w:w="1200" w:type="dxa"/>
            <w:tcBorders>
              <w:top w:val="nil"/>
              <w:left w:val="nil"/>
              <w:bottom w:val="single" w:sz="8" w:space="0" w:color="auto"/>
              <w:right w:val="single" w:sz="8" w:space="0" w:color="auto"/>
            </w:tcBorders>
            <w:shd w:val="clear" w:color="000000" w:fill="FFFFFF"/>
            <w:noWrap/>
            <w:vAlign w:val="center"/>
            <w:hideMark/>
          </w:tcPr>
          <w:p w14:paraId="598B3294"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0,033</w:t>
            </w:r>
          </w:p>
        </w:tc>
        <w:tc>
          <w:tcPr>
            <w:tcW w:w="1200" w:type="dxa"/>
            <w:tcBorders>
              <w:top w:val="nil"/>
              <w:left w:val="nil"/>
              <w:bottom w:val="single" w:sz="8" w:space="0" w:color="auto"/>
              <w:right w:val="single" w:sz="8" w:space="0" w:color="auto"/>
            </w:tcBorders>
            <w:shd w:val="clear" w:color="000000" w:fill="FFFFFF"/>
            <w:noWrap/>
            <w:vAlign w:val="center"/>
            <w:hideMark/>
          </w:tcPr>
          <w:p w14:paraId="4C204696"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7%</w:t>
            </w:r>
          </w:p>
        </w:tc>
      </w:tr>
      <w:tr w:rsidR="007C4FD4" w:rsidRPr="007C4FD4" w14:paraId="21A3164D" w14:textId="77777777" w:rsidTr="007C4FD4">
        <w:trPr>
          <w:trHeight w:val="315"/>
        </w:trPr>
        <w:tc>
          <w:tcPr>
            <w:tcW w:w="2580" w:type="dxa"/>
            <w:tcBorders>
              <w:top w:val="nil"/>
              <w:left w:val="single" w:sz="8" w:space="0" w:color="auto"/>
              <w:bottom w:val="single" w:sz="8" w:space="0" w:color="auto"/>
              <w:right w:val="nil"/>
            </w:tcBorders>
            <w:shd w:val="clear" w:color="000000" w:fill="FFFFFF"/>
            <w:noWrap/>
            <w:vAlign w:val="center"/>
            <w:hideMark/>
          </w:tcPr>
          <w:p w14:paraId="0663BFF6"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Total</w:t>
            </w:r>
          </w:p>
        </w:tc>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BC80467"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35DBA90"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3DCAE34E" w14:textId="77777777" w:rsidR="007C4FD4" w:rsidRPr="007C4FD4" w:rsidRDefault="007C4FD4" w:rsidP="007C4FD4">
            <w:pPr>
              <w:keepNext/>
              <w:spacing w:after="0" w:line="240" w:lineRule="auto"/>
              <w:jc w:val="center"/>
              <w:rPr>
                <w:rFonts w:ascii="Times New Roman" w:eastAsia="Times New Roman" w:hAnsi="Times New Roman" w:cs="Times New Roman"/>
                <w:color w:val="000000"/>
                <w:sz w:val="16"/>
                <w:szCs w:val="16"/>
                <w:lang w:eastAsia="es-AR"/>
              </w:rPr>
            </w:pPr>
            <w:r w:rsidRPr="007C4FD4">
              <w:rPr>
                <w:rFonts w:ascii="Times New Roman" w:eastAsia="Times New Roman" w:hAnsi="Times New Roman" w:cs="Times New Roman"/>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2B7EFBA2"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0,475</w:t>
            </w:r>
          </w:p>
        </w:tc>
        <w:tc>
          <w:tcPr>
            <w:tcW w:w="1200" w:type="dxa"/>
            <w:tcBorders>
              <w:top w:val="nil"/>
              <w:left w:val="nil"/>
              <w:bottom w:val="single" w:sz="8" w:space="0" w:color="auto"/>
              <w:right w:val="single" w:sz="8" w:space="0" w:color="auto"/>
            </w:tcBorders>
            <w:shd w:val="clear" w:color="000000" w:fill="FFFFFF"/>
            <w:noWrap/>
            <w:vAlign w:val="center"/>
            <w:hideMark/>
          </w:tcPr>
          <w:p w14:paraId="41883697" w14:textId="77777777" w:rsidR="007C4FD4" w:rsidRPr="00D043B9"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D043B9">
              <w:rPr>
                <w:rFonts w:ascii="Times New Roman" w:eastAsia="Times New Roman" w:hAnsi="Times New Roman" w:cs="Times New Roman"/>
                <w:b/>
                <w:bCs/>
                <w:color w:val="000000"/>
                <w:sz w:val="16"/>
                <w:szCs w:val="16"/>
                <w:lang w:eastAsia="es-AR"/>
              </w:rPr>
              <w:t>100%</w:t>
            </w:r>
          </w:p>
        </w:tc>
      </w:tr>
    </w:tbl>
    <w:p w14:paraId="089B3A7A" w14:textId="77777777" w:rsidR="007C4FD4" w:rsidRPr="007C2D50" w:rsidRDefault="007C4FD4" w:rsidP="007C4FD4">
      <w:pPr>
        <w:spacing w:before="120" w:after="240" w:line="240" w:lineRule="auto"/>
        <w:jc w:val="both"/>
        <w:rPr>
          <w:rFonts w:ascii="Times New Roman" w:eastAsia="Times New Roman" w:hAnsi="Times New Roman"/>
          <w:sz w:val="18"/>
          <w:szCs w:val="16"/>
          <w:lang w:eastAsia="es-AR"/>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p w14:paraId="461F1E21" w14:textId="77777777" w:rsidR="007C4FD4" w:rsidRPr="007C4FD4" w:rsidRDefault="007C4FD4" w:rsidP="007C4FD4">
      <w:pPr>
        <w:keepNext/>
        <w:spacing w:before="240" w:after="120" w:line="240" w:lineRule="auto"/>
        <w:jc w:val="both"/>
        <w:rPr>
          <w:rFonts w:ascii="Times New Roman" w:eastAsia="Times New Roman" w:hAnsi="Times New Roman"/>
          <w:b/>
          <w:bCs/>
          <w:color w:val="000000"/>
          <w:lang w:eastAsia="es-AR"/>
        </w:rPr>
      </w:pPr>
      <w:r w:rsidRPr="007C4FD4">
        <w:rPr>
          <w:rFonts w:ascii="Times New Roman" w:eastAsia="Times New Roman" w:hAnsi="Times New Roman"/>
          <w:b/>
          <w:bCs/>
          <w:color w:val="000000"/>
          <w:lang w:eastAsia="es-AR"/>
        </w:rPr>
        <w:lastRenderedPageBreak/>
        <w:t>Cuadro A5. Componentes del Coeficiente de Gini y descomposición del índice según fuente de ingreso. Gran Buenos Aires, 2014 (IV trimestre).</w:t>
      </w:r>
    </w:p>
    <w:tbl>
      <w:tblPr>
        <w:tblW w:w="8580" w:type="dxa"/>
        <w:tblInd w:w="80" w:type="dxa"/>
        <w:tblCellMar>
          <w:left w:w="70" w:type="dxa"/>
          <w:right w:w="70" w:type="dxa"/>
        </w:tblCellMar>
        <w:tblLook w:val="04A0" w:firstRow="1" w:lastRow="0" w:firstColumn="1" w:lastColumn="0" w:noHBand="0" w:noVBand="1"/>
      </w:tblPr>
      <w:tblGrid>
        <w:gridCol w:w="2580"/>
        <w:gridCol w:w="1200"/>
        <w:gridCol w:w="1200"/>
        <w:gridCol w:w="1200"/>
        <w:gridCol w:w="1200"/>
        <w:gridCol w:w="1200"/>
      </w:tblGrid>
      <w:tr w:rsidR="007C4FD4" w:rsidRPr="007C4FD4" w14:paraId="152CCDA7" w14:textId="77777777" w:rsidTr="007C4FD4">
        <w:trPr>
          <w:trHeight w:val="645"/>
        </w:trPr>
        <w:tc>
          <w:tcPr>
            <w:tcW w:w="2580" w:type="dxa"/>
            <w:tcBorders>
              <w:top w:val="single" w:sz="8" w:space="0" w:color="auto"/>
              <w:left w:val="single" w:sz="8" w:space="0" w:color="auto"/>
              <w:bottom w:val="single" w:sz="8" w:space="0" w:color="auto"/>
              <w:right w:val="nil"/>
            </w:tcBorders>
            <w:shd w:val="clear" w:color="000000" w:fill="FFFFFF"/>
            <w:noWrap/>
            <w:vAlign w:val="center"/>
            <w:hideMark/>
          </w:tcPr>
          <w:p w14:paraId="32D3C097" w14:textId="77777777" w:rsidR="007C4FD4" w:rsidRPr="007C4FD4" w:rsidRDefault="007C4FD4" w:rsidP="007C4FD4">
            <w:pPr>
              <w:keepNext/>
              <w:spacing w:after="0" w:line="240" w:lineRule="auto"/>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Fuente de ingreso</w:t>
            </w:r>
          </w:p>
        </w:tc>
        <w:tc>
          <w:tcPr>
            <w:tcW w:w="12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0902A37"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Sk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35B02CCA"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Rk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42B30CB0"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69FA8FEE"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absoluta Sk*Rk*Gk</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4C708F0D"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Contribución relativa</w:t>
            </w:r>
          </w:p>
        </w:tc>
      </w:tr>
      <w:tr w:rsidR="007C4FD4" w:rsidRPr="007C4FD4" w14:paraId="63DD4022"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72DA30AB"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laborales</w:t>
            </w:r>
          </w:p>
        </w:tc>
        <w:tc>
          <w:tcPr>
            <w:tcW w:w="1200" w:type="dxa"/>
            <w:tcBorders>
              <w:top w:val="nil"/>
              <w:left w:val="nil"/>
              <w:bottom w:val="nil"/>
              <w:right w:val="single" w:sz="8" w:space="0" w:color="auto"/>
            </w:tcBorders>
            <w:shd w:val="clear" w:color="000000" w:fill="FFFFFF"/>
            <w:noWrap/>
            <w:vAlign w:val="center"/>
            <w:hideMark/>
          </w:tcPr>
          <w:p w14:paraId="378A0862"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0,807</w:t>
            </w:r>
          </w:p>
        </w:tc>
        <w:tc>
          <w:tcPr>
            <w:tcW w:w="1200" w:type="dxa"/>
            <w:tcBorders>
              <w:top w:val="nil"/>
              <w:left w:val="nil"/>
              <w:bottom w:val="nil"/>
              <w:right w:val="single" w:sz="8" w:space="0" w:color="auto"/>
            </w:tcBorders>
            <w:shd w:val="clear" w:color="000000" w:fill="FFFFFF"/>
            <w:noWrap/>
            <w:vAlign w:val="center"/>
            <w:hideMark/>
          </w:tcPr>
          <w:p w14:paraId="45705F9C"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0,904</w:t>
            </w:r>
          </w:p>
        </w:tc>
        <w:tc>
          <w:tcPr>
            <w:tcW w:w="1200" w:type="dxa"/>
            <w:tcBorders>
              <w:top w:val="nil"/>
              <w:left w:val="nil"/>
              <w:bottom w:val="nil"/>
              <w:right w:val="single" w:sz="8" w:space="0" w:color="auto"/>
            </w:tcBorders>
            <w:shd w:val="clear" w:color="000000" w:fill="FFFFFF"/>
            <w:noWrap/>
            <w:vAlign w:val="center"/>
            <w:hideMark/>
          </w:tcPr>
          <w:p w14:paraId="0310AC82"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0,498</w:t>
            </w:r>
          </w:p>
        </w:tc>
        <w:tc>
          <w:tcPr>
            <w:tcW w:w="1200" w:type="dxa"/>
            <w:tcBorders>
              <w:top w:val="nil"/>
              <w:left w:val="nil"/>
              <w:bottom w:val="nil"/>
              <w:right w:val="single" w:sz="8" w:space="0" w:color="auto"/>
            </w:tcBorders>
            <w:shd w:val="clear" w:color="000000" w:fill="FFFFFF"/>
            <w:noWrap/>
            <w:vAlign w:val="center"/>
            <w:hideMark/>
          </w:tcPr>
          <w:p w14:paraId="31B6999F"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0,364</w:t>
            </w:r>
          </w:p>
        </w:tc>
        <w:tc>
          <w:tcPr>
            <w:tcW w:w="1200" w:type="dxa"/>
            <w:tcBorders>
              <w:top w:val="nil"/>
              <w:left w:val="nil"/>
              <w:bottom w:val="nil"/>
              <w:right w:val="single" w:sz="8" w:space="0" w:color="auto"/>
            </w:tcBorders>
            <w:shd w:val="clear" w:color="000000" w:fill="FFFFFF"/>
            <w:noWrap/>
            <w:vAlign w:val="center"/>
            <w:hideMark/>
          </w:tcPr>
          <w:p w14:paraId="45302A8D"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94%</w:t>
            </w:r>
          </w:p>
        </w:tc>
      </w:tr>
      <w:tr w:rsidR="007C4FD4" w:rsidRPr="007C4FD4" w14:paraId="6E70D1B7"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39F23B2F"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formal público y privado</w:t>
            </w:r>
          </w:p>
        </w:tc>
        <w:tc>
          <w:tcPr>
            <w:tcW w:w="1200" w:type="dxa"/>
            <w:tcBorders>
              <w:top w:val="nil"/>
              <w:left w:val="nil"/>
              <w:bottom w:val="nil"/>
              <w:right w:val="single" w:sz="8" w:space="0" w:color="auto"/>
            </w:tcBorders>
            <w:shd w:val="clear" w:color="000000" w:fill="FFFFFF"/>
            <w:noWrap/>
            <w:vAlign w:val="center"/>
            <w:hideMark/>
          </w:tcPr>
          <w:p w14:paraId="1CD543F5"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0,583</w:t>
            </w:r>
          </w:p>
        </w:tc>
        <w:tc>
          <w:tcPr>
            <w:tcW w:w="1200" w:type="dxa"/>
            <w:tcBorders>
              <w:top w:val="nil"/>
              <w:left w:val="nil"/>
              <w:bottom w:val="nil"/>
              <w:right w:val="single" w:sz="8" w:space="0" w:color="auto"/>
            </w:tcBorders>
            <w:shd w:val="clear" w:color="000000" w:fill="FFFFFF"/>
            <w:noWrap/>
            <w:vAlign w:val="center"/>
            <w:hideMark/>
          </w:tcPr>
          <w:p w14:paraId="3C9CC53A"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0,808</w:t>
            </w:r>
          </w:p>
        </w:tc>
        <w:tc>
          <w:tcPr>
            <w:tcW w:w="1200" w:type="dxa"/>
            <w:tcBorders>
              <w:top w:val="nil"/>
              <w:left w:val="nil"/>
              <w:bottom w:val="nil"/>
              <w:right w:val="single" w:sz="8" w:space="0" w:color="auto"/>
            </w:tcBorders>
            <w:shd w:val="clear" w:color="000000" w:fill="FFFFFF"/>
            <w:noWrap/>
            <w:vAlign w:val="center"/>
            <w:hideMark/>
          </w:tcPr>
          <w:p w14:paraId="654716E3"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0,640</w:t>
            </w:r>
          </w:p>
        </w:tc>
        <w:tc>
          <w:tcPr>
            <w:tcW w:w="1200" w:type="dxa"/>
            <w:tcBorders>
              <w:top w:val="nil"/>
              <w:left w:val="nil"/>
              <w:bottom w:val="nil"/>
              <w:right w:val="single" w:sz="8" w:space="0" w:color="auto"/>
            </w:tcBorders>
            <w:shd w:val="clear" w:color="000000" w:fill="FFFFFF"/>
            <w:noWrap/>
            <w:vAlign w:val="center"/>
            <w:hideMark/>
          </w:tcPr>
          <w:p w14:paraId="7345F3FA"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0,301</w:t>
            </w:r>
          </w:p>
        </w:tc>
        <w:tc>
          <w:tcPr>
            <w:tcW w:w="1200" w:type="dxa"/>
            <w:tcBorders>
              <w:top w:val="nil"/>
              <w:left w:val="nil"/>
              <w:bottom w:val="nil"/>
              <w:right w:val="single" w:sz="8" w:space="0" w:color="auto"/>
            </w:tcBorders>
            <w:shd w:val="clear" w:color="000000" w:fill="FFFFFF"/>
            <w:noWrap/>
            <w:vAlign w:val="center"/>
            <w:hideMark/>
          </w:tcPr>
          <w:p w14:paraId="5DADC524"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78%</w:t>
            </w:r>
          </w:p>
        </w:tc>
      </w:tr>
      <w:tr w:rsidR="007C4FD4" w:rsidRPr="007C4FD4" w14:paraId="72C05404"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792A38F0"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formal privado</w:t>
            </w:r>
          </w:p>
        </w:tc>
        <w:tc>
          <w:tcPr>
            <w:tcW w:w="1200" w:type="dxa"/>
            <w:tcBorders>
              <w:top w:val="nil"/>
              <w:left w:val="nil"/>
              <w:bottom w:val="nil"/>
              <w:right w:val="single" w:sz="8" w:space="0" w:color="auto"/>
            </w:tcBorders>
            <w:shd w:val="clear" w:color="000000" w:fill="FFFFFF"/>
            <w:noWrap/>
            <w:vAlign w:val="center"/>
            <w:hideMark/>
          </w:tcPr>
          <w:p w14:paraId="63D738E9"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0,430</w:t>
            </w:r>
          </w:p>
        </w:tc>
        <w:tc>
          <w:tcPr>
            <w:tcW w:w="1200" w:type="dxa"/>
            <w:tcBorders>
              <w:top w:val="nil"/>
              <w:left w:val="nil"/>
              <w:bottom w:val="nil"/>
              <w:right w:val="single" w:sz="8" w:space="0" w:color="auto"/>
            </w:tcBorders>
            <w:shd w:val="clear" w:color="000000" w:fill="FFFFFF"/>
            <w:noWrap/>
            <w:vAlign w:val="center"/>
            <w:hideMark/>
          </w:tcPr>
          <w:p w14:paraId="52AF27DF"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0,687</w:t>
            </w:r>
          </w:p>
        </w:tc>
        <w:tc>
          <w:tcPr>
            <w:tcW w:w="1200" w:type="dxa"/>
            <w:tcBorders>
              <w:top w:val="nil"/>
              <w:left w:val="nil"/>
              <w:bottom w:val="nil"/>
              <w:right w:val="single" w:sz="8" w:space="0" w:color="auto"/>
            </w:tcBorders>
            <w:shd w:val="clear" w:color="000000" w:fill="FFFFFF"/>
            <w:noWrap/>
            <w:vAlign w:val="center"/>
            <w:hideMark/>
          </w:tcPr>
          <w:p w14:paraId="24997F10"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0,691</w:t>
            </w:r>
          </w:p>
        </w:tc>
        <w:tc>
          <w:tcPr>
            <w:tcW w:w="1200" w:type="dxa"/>
            <w:tcBorders>
              <w:top w:val="nil"/>
              <w:left w:val="nil"/>
              <w:bottom w:val="nil"/>
              <w:right w:val="single" w:sz="8" w:space="0" w:color="auto"/>
            </w:tcBorders>
            <w:shd w:val="clear" w:color="000000" w:fill="FFFFFF"/>
            <w:noWrap/>
            <w:vAlign w:val="center"/>
            <w:hideMark/>
          </w:tcPr>
          <w:p w14:paraId="2FAC559E"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0,204</w:t>
            </w:r>
          </w:p>
        </w:tc>
        <w:tc>
          <w:tcPr>
            <w:tcW w:w="1200" w:type="dxa"/>
            <w:tcBorders>
              <w:top w:val="nil"/>
              <w:left w:val="nil"/>
              <w:bottom w:val="nil"/>
              <w:right w:val="single" w:sz="8" w:space="0" w:color="auto"/>
            </w:tcBorders>
            <w:shd w:val="clear" w:color="000000" w:fill="FFFFFF"/>
            <w:noWrap/>
            <w:vAlign w:val="center"/>
            <w:hideMark/>
          </w:tcPr>
          <w:p w14:paraId="015D48D9"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53%</w:t>
            </w:r>
          </w:p>
        </w:tc>
      </w:tr>
      <w:tr w:rsidR="007C4FD4" w:rsidRPr="007C4FD4" w14:paraId="6769ED29"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57641D95" w14:textId="77777777" w:rsidR="007C4FD4" w:rsidRPr="007C4FD4" w:rsidRDefault="007C4FD4" w:rsidP="007C4FD4">
            <w:pPr>
              <w:keepNext/>
              <w:spacing w:after="0" w:line="240" w:lineRule="auto"/>
              <w:ind w:firstLineChars="200" w:firstLine="320"/>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Sector público</w:t>
            </w:r>
          </w:p>
        </w:tc>
        <w:tc>
          <w:tcPr>
            <w:tcW w:w="1200" w:type="dxa"/>
            <w:tcBorders>
              <w:top w:val="nil"/>
              <w:left w:val="nil"/>
              <w:bottom w:val="nil"/>
              <w:right w:val="single" w:sz="8" w:space="0" w:color="auto"/>
            </w:tcBorders>
            <w:shd w:val="clear" w:color="000000" w:fill="FFFFFF"/>
            <w:noWrap/>
            <w:vAlign w:val="center"/>
            <w:hideMark/>
          </w:tcPr>
          <w:p w14:paraId="36CFB35F"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0,153</w:t>
            </w:r>
          </w:p>
        </w:tc>
        <w:tc>
          <w:tcPr>
            <w:tcW w:w="1200" w:type="dxa"/>
            <w:tcBorders>
              <w:top w:val="nil"/>
              <w:left w:val="nil"/>
              <w:bottom w:val="nil"/>
              <w:right w:val="single" w:sz="8" w:space="0" w:color="auto"/>
            </w:tcBorders>
            <w:shd w:val="clear" w:color="000000" w:fill="FFFFFF"/>
            <w:noWrap/>
            <w:vAlign w:val="center"/>
            <w:hideMark/>
          </w:tcPr>
          <w:p w14:paraId="59211FF9"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0,696</w:t>
            </w:r>
          </w:p>
        </w:tc>
        <w:tc>
          <w:tcPr>
            <w:tcW w:w="1200" w:type="dxa"/>
            <w:tcBorders>
              <w:top w:val="nil"/>
              <w:left w:val="nil"/>
              <w:bottom w:val="nil"/>
              <w:right w:val="single" w:sz="8" w:space="0" w:color="auto"/>
            </w:tcBorders>
            <w:shd w:val="clear" w:color="000000" w:fill="FFFFFF"/>
            <w:noWrap/>
            <w:vAlign w:val="center"/>
            <w:hideMark/>
          </w:tcPr>
          <w:p w14:paraId="66D472D7"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0,911</w:t>
            </w:r>
          </w:p>
        </w:tc>
        <w:tc>
          <w:tcPr>
            <w:tcW w:w="1200" w:type="dxa"/>
            <w:tcBorders>
              <w:top w:val="nil"/>
              <w:left w:val="nil"/>
              <w:bottom w:val="nil"/>
              <w:right w:val="single" w:sz="8" w:space="0" w:color="auto"/>
            </w:tcBorders>
            <w:shd w:val="clear" w:color="000000" w:fill="FFFFFF"/>
            <w:noWrap/>
            <w:vAlign w:val="center"/>
            <w:hideMark/>
          </w:tcPr>
          <w:p w14:paraId="7F4684B5"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0,097</w:t>
            </w:r>
          </w:p>
        </w:tc>
        <w:tc>
          <w:tcPr>
            <w:tcW w:w="1200" w:type="dxa"/>
            <w:tcBorders>
              <w:top w:val="nil"/>
              <w:left w:val="nil"/>
              <w:bottom w:val="nil"/>
              <w:right w:val="single" w:sz="8" w:space="0" w:color="auto"/>
            </w:tcBorders>
            <w:shd w:val="clear" w:color="000000" w:fill="FFFFFF"/>
            <w:noWrap/>
            <w:vAlign w:val="center"/>
            <w:hideMark/>
          </w:tcPr>
          <w:p w14:paraId="4F5E1574" w14:textId="77777777" w:rsidR="007C4FD4" w:rsidRPr="007C4FD4" w:rsidRDefault="007C4FD4" w:rsidP="007C4FD4">
            <w:pPr>
              <w:keepNext/>
              <w:spacing w:after="0" w:line="240" w:lineRule="auto"/>
              <w:jc w:val="center"/>
              <w:rPr>
                <w:rFonts w:ascii="Times New Roman" w:eastAsia="Times New Roman" w:hAnsi="Times New Roman" w:cs="Times New Roman"/>
                <w:i/>
                <w:iCs/>
                <w:color w:val="000000"/>
                <w:sz w:val="16"/>
                <w:szCs w:val="16"/>
                <w:lang w:eastAsia="es-AR"/>
              </w:rPr>
            </w:pPr>
            <w:r w:rsidRPr="007C4FD4">
              <w:rPr>
                <w:rFonts w:ascii="Times New Roman" w:eastAsia="Times New Roman" w:hAnsi="Times New Roman" w:cs="Times New Roman"/>
                <w:i/>
                <w:iCs/>
                <w:color w:val="000000"/>
                <w:sz w:val="16"/>
                <w:szCs w:val="16"/>
                <w:lang w:eastAsia="es-AR"/>
              </w:rPr>
              <w:t>25%</w:t>
            </w:r>
          </w:p>
        </w:tc>
      </w:tr>
      <w:tr w:rsidR="007C4FD4" w:rsidRPr="007C4FD4" w14:paraId="44FBA6D2" w14:textId="77777777" w:rsidTr="007C4FD4">
        <w:trPr>
          <w:trHeight w:val="300"/>
        </w:trPr>
        <w:tc>
          <w:tcPr>
            <w:tcW w:w="2580" w:type="dxa"/>
            <w:tcBorders>
              <w:top w:val="nil"/>
              <w:left w:val="single" w:sz="8" w:space="0" w:color="auto"/>
              <w:bottom w:val="nil"/>
              <w:right w:val="single" w:sz="8" w:space="0" w:color="auto"/>
            </w:tcBorders>
            <w:shd w:val="clear" w:color="000000" w:fill="FFFFFF"/>
            <w:noWrap/>
            <w:vAlign w:val="center"/>
            <w:hideMark/>
          </w:tcPr>
          <w:p w14:paraId="65BC3EEB" w14:textId="77777777" w:rsidR="007C4FD4" w:rsidRPr="007C4FD4" w:rsidRDefault="007C4FD4" w:rsidP="007C4FD4">
            <w:pPr>
              <w:keepNext/>
              <w:spacing w:after="0" w:line="240" w:lineRule="auto"/>
              <w:ind w:firstLineChars="100" w:firstLine="160"/>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Sector microinformal</w:t>
            </w:r>
          </w:p>
        </w:tc>
        <w:tc>
          <w:tcPr>
            <w:tcW w:w="1200" w:type="dxa"/>
            <w:tcBorders>
              <w:top w:val="nil"/>
              <w:left w:val="nil"/>
              <w:bottom w:val="nil"/>
              <w:right w:val="single" w:sz="8" w:space="0" w:color="auto"/>
            </w:tcBorders>
            <w:shd w:val="clear" w:color="000000" w:fill="FFFFFF"/>
            <w:noWrap/>
            <w:vAlign w:val="center"/>
            <w:hideMark/>
          </w:tcPr>
          <w:p w14:paraId="01C6B556"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0,225</w:t>
            </w:r>
          </w:p>
        </w:tc>
        <w:tc>
          <w:tcPr>
            <w:tcW w:w="1200" w:type="dxa"/>
            <w:tcBorders>
              <w:top w:val="nil"/>
              <w:left w:val="nil"/>
              <w:bottom w:val="nil"/>
              <w:right w:val="single" w:sz="8" w:space="0" w:color="auto"/>
            </w:tcBorders>
            <w:shd w:val="clear" w:color="000000" w:fill="FFFFFF"/>
            <w:noWrap/>
            <w:vAlign w:val="center"/>
            <w:hideMark/>
          </w:tcPr>
          <w:p w14:paraId="3F27504D"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0,369</w:t>
            </w:r>
          </w:p>
        </w:tc>
        <w:tc>
          <w:tcPr>
            <w:tcW w:w="1200" w:type="dxa"/>
            <w:tcBorders>
              <w:top w:val="nil"/>
              <w:left w:val="nil"/>
              <w:bottom w:val="nil"/>
              <w:right w:val="single" w:sz="8" w:space="0" w:color="auto"/>
            </w:tcBorders>
            <w:shd w:val="clear" w:color="000000" w:fill="FFFFFF"/>
            <w:noWrap/>
            <w:vAlign w:val="center"/>
            <w:hideMark/>
          </w:tcPr>
          <w:p w14:paraId="62406C52"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0,758</w:t>
            </w:r>
          </w:p>
        </w:tc>
        <w:tc>
          <w:tcPr>
            <w:tcW w:w="1200" w:type="dxa"/>
            <w:tcBorders>
              <w:top w:val="nil"/>
              <w:left w:val="nil"/>
              <w:bottom w:val="nil"/>
              <w:right w:val="single" w:sz="8" w:space="0" w:color="auto"/>
            </w:tcBorders>
            <w:shd w:val="clear" w:color="000000" w:fill="FFFFFF"/>
            <w:noWrap/>
            <w:vAlign w:val="center"/>
            <w:hideMark/>
          </w:tcPr>
          <w:p w14:paraId="5C88682B"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0,063</w:t>
            </w:r>
          </w:p>
        </w:tc>
        <w:tc>
          <w:tcPr>
            <w:tcW w:w="1200" w:type="dxa"/>
            <w:tcBorders>
              <w:top w:val="nil"/>
              <w:left w:val="nil"/>
              <w:bottom w:val="nil"/>
              <w:right w:val="single" w:sz="8" w:space="0" w:color="auto"/>
            </w:tcBorders>
            <w:shd w:val="clear" w:color="000000" w:fill="FFFFFF"/>
            <w:noWrap/>
            <w:vAlign w:val="center"/>
            <w:hideMark/>
          </w:tcPr>
          <w:p w14:paraId="7811266A" w14:textId="77777777" w:rsidR="007C4FD4" w:rsidRPr="007C4FD4" w:rsidRDefault="007C4FD4" w:rsidP="007C4FD4">
            <w:pPr>
              <w:keepNext/>
              <w:spacing w:after="0" w:line="240" w:lineRule="auto"/>
              <w:jc w:val="center"/>
              <w:rPr>
                <w:rFonts w:ascii="Times New Roman" w:eastAsia="Times New Roman" w:hAnsi="Times New Roman" w:cs="Times New Roman"/>
                <w:b/>
                <w:bCs/>
                <w:i/>
                <w:iCs/>
                <w:color w:val="000000"/>
                <w:sz w:val="16"/>
                <w:szCs w:val="16"/>
                <w:lang w:eastAsia="es-AR"/>
              </w:rPr>
            </w:pPr>
            <w:r w:rsidRPr="007C4FD4">
              <w:rPr>
                <w:rFonts w:ascii="Times New Roman" w:eastAsia="Times New Roman" w:hAnsi="Times New Roman" w:cs="Times New Roman"/>
                <w:b/>
                <w:bCs/>
                <w:i/>
                <w:iCs/>
                <w:color w:val="000000"/>
                <w:sz w:val="16"/>
                <w:szCs w:val="16"/>
                <w:lang w:eastAsia="es-AR"/>
              </w:rPr>
              <w:t>16%</w:t>
            </w:r>
          </w:p>
        </w:tc>
      </w:tr>
      <w:tr w:rsidR="007C4FD4" w:rsidRPr="007C4FD4" w14:paraId="761D6CA3" w14:textId="77777777" w:rsidTr="007C4FD4">
        <w:trPr>
          <w:trHeight w:val="315"/>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053B98F0"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Ingresos no laborales</w:t>
            </w:r>
          </w:p>
        </w:tc>
        <w:tc>
          <w:tcPr>
            <w:tcW w:w="1200" w:type="dxa"/>
            <w:tcBorders>
              <w:top w:val="nil"/>
              <w:left w:val="nil"/>
              <w:bottom w:val="single" w:sz="8" w:space="0" w:color="auto"/>
              <w:right w:val="single" w:sz="8" w:space="0" w:color="auto"/>
            </w:tcBorders>
            <w:shd w:val="clear" w:color="000000" w:fill="FFFFFF"/>
            <w:noWrap/>
            <w:vAlign w:val="center"/>
            <w:hideMark/>
          </w:tcPr>
          <w:p w14:paraId="5A66F013"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0,193</w:t>
            </w:r>
          </w:p>
        </w:tc>
        <w:tc>
          <w:tcPr>
            <w:tcW w:w="1200" w:type="dxa"/>
            <w:tcBorders>
              <w:top w:val="nil"/>
              <w:left w:val="nil"/>
              <w:bottom w:val="single" w:sz="8" w:space="0" w:color="auto"/>
              <w:right w:val="single" w:sz="8" w:space="0" w:color="auto"/>
            </w:tcBorders>
            <w:shd w:val="clear" w:color="000000" w:fill="FFFFFF"/>
            <w:noWrap/>
            <w:vAlign w:val="center"/>
            <w:hideMark/>
          </w:tcPr>
          <w:p w14:paraId="3A14EE48"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0,155</w:t>
            </w:r>
          </w:p>
        </w:tc>
        <w:tc>
          <w:tcPr>
            <w:tcW w:w="1200" w:type="dxa"/>
            <w:tcBorders>
              <w:top w:val="nil"/>
              <w:left w:val="nil"/>
              <w:bottom w:val="single" w:sz="8" w:space="0" w:color="auto"/>
              <w:right w:val="single" w:sz="8" w:space="0" w:color="auto"/>
            </w:tcBorders>
            <w:shd w:val="clear" w:color="000000" w:fill="FFFFFF"/>
            <w:noWrap/>
            <w:vAlign w:val="center"/>
            <w:hideMark/>
          </w:tcPr>
          <w:p w14:paraId="500610C7"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0,716</w:t>
            </w:r>
          </w:p>
        </w:tc>
        <w:tc>
          <w:tcPr>
            <w:tcW w:w="1200" w:type="dxa"/>
            <w:tcBorders>
              <w:top w:val="nil"/>
              <w:left w:val="nil"/>
              <w:bottom w:val="single" w:sz="8" w:space="0" w:color="auto"/>
              <w:right w:val="single" w:sz="8" w:space="0" w:color="auto"/>
            </w:tcBorders>
            <w:shd w:val="clear" w:color="000000" w:fill="FFFFFF"/>
            <w:noWrap/>
            <w:vAlign w:val="center"/>
            <w:hideMark/>
          </w:tcPr>
          <w:p w14:paraId="13BE8D38"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0,021</w:t>
            </w:r>
          </w:p>
        </w:tc>
        <w:tc>
          <w:tcPr>
            <w:tcW w:w="1200" w:type="dxa"/>
            <w:tcBorders>
              <w:top w:val="nil"/>
              <w:left w:val="nil"/>
              <w:bottom w:val="single" w:sz="8" w:space="0" w:color="auto"/>
              <w:right w:val="single" w:sz="8" w:space="0" w:color="auto"/>
            </w:tcBorders>
            <w:shd w:val="clear" w:color="000000" w:fill="FFFFFF"/>
            <w:noWrap/>
            <w:vAlign w:val="center"/>
            <w:hideMark/>
          </w:tcPr>
          <w:p w14:paraId="103C588A"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6%</w:t>
            </w:r>
          </w:p>
        </w:tc>
      </w:tr>
      <w:tr w:rsidR="007C4FD4" w:rsidRPr="007C4FD4" w14:paraId="5C8D3DAB" w14:textId="77777777" w:rsidTr="007C4FD4">
        <w:trPr>
          <w:trHeight w:val="315"/>
        </w:trPr>
        <w:tc>
          <w:tcPr>
            <w:tcW w:w="2580" w:type="dxa"/>
            <w:tcBorders>
              <w:top w:val="nil"/>
              <w:left w:val="single" w:sz="8" w:space="0" w:color="auto"/>
              <w:bottom w:val="single" w:sz="8" w:space="0" w:color="auto"/>
              <w:right w:val="nil"/>
            </w:tcBorders>
            <w:shd w:val="clear" w:color="000000" w:fill="FFFFFF"/>
            <w:noWrap/>
            <w:vAlign w:val="center"/>
            <w:hideMark/>
          </w:tcPr>
          <w:p w14:paraId="61DDA67E" w14:textId="77777777" w:rsidR="007C4FD4" w:rsidRPr="007C4FD4" w:rsidRDefault="007C4FD4" w:rsidP="007C4FD4">
            <w:pPr>
              <w:keepNext/>
              <w:spacing w:after="0" w:line="240" w:lineRule="auto"/>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Total</w:t>
            </w:r>
          </w:p>
        </w:tc>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F492497"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40D6F27"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26DEAC9" w14:textId="77777777" w:rsidR="007C4FD4" w:rsidRPr="007C4FD4" w:rsidRDefault="007C4FD4" w:rsidP="007C4FD4">
            <w:pPr>
              <w:keepNext/>
              <w:spacing w:after="0" w:line="240" w:lineRule="auto"/>
              <w:jc w:val="center"/>
              <w:rPr>
                <w:rFonts w:ascii="Times New Roman" w:eastAsia="Times New Roman" w:hAnsi="Times New Roman" w:cs="Times New Roman"/>
                <w:color w:val="000000"/>
                <w:sz w:val="16"/>
                <w:szCs w:val="16"/>
                <w:lang w:eastAsia="es-AR"/>
              </w:rPr>
            </w:pPr>
            <w:r w:rsidRPr="007C4FD4">
              <w:rPr>
                <w:rFonts w:ascii="Times New Roman" w:eastAsia="Times New Roman" w:hAnsi="Times New Roman" w:cs="Times New Roman"/>
                <w:color w:val="000000"/>
                <w:sz w:val="16"/>
                <w:szCs w:val="16"/>
                <w:lang w:eastAsia="es-AR"/>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DD4DCAA" w14:textId="77777777" w:rsidR="007C4FD4" w:rsidRPr="007C4FD4"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7C4FD4">
              <w:rPr>
                <w:rFonts w:ascii="Times New Roman" w:eastAsia="Times New Roman" w:hAnsi="Times New Roman" w:cs="Times New Roman"/>
                <w:b/>
                <w:bCs/>
                <w:color w:val="000000"/>
                <w:sz w:val="16"/>
                <w:szCs w:val="16"/>
                <w:lang w:eastAsia="es-AR"/>
              </w:rPr>
              <w:t>0,385</w:t>
            </w:r>
          </w:p>
        </w:tc>
        <w:tc>
          <w:tcPr>
            <w:tcW w:w="1200" w:type="dxa"/>
            <w:tcBorders>
              <w:top w:val="nil"/>
              <w:left w:val="nil"/>
              <w:bottom w:val="single" w:sz="8" w:space="0" w:color="auto"/>
              <w:right w:val="single" w:sz="8" w:space="0" w:color="auto"/>
            </w:tcBorders>
            <w:shd w:val="clear" w:color="000000" w:fill="FFFFFF"/>
            <w:noWrap/>
            <w:vAlign w:val="center"/>
            <w:hideMark/>
          </w:tcPr>
          <w:p w14:paraId="0A222FB7" w14:textId="77777777" w:rsidR="007C4FD4" w:rsidRPr="00D043B9" w:rsidRDefault="007C4FD4" w:rsidP="007C4FD4">
            <w:pPr>
              <w:keepNext/>
              <w:spacing w:after="0" w:line="240" w:lineRule="auto"/>
              <w:jc w:val="center"/>
              <w:rPr>
                <w:rFonts w:ascii="Times New Roman" w:eastAsia="Times New Roman" w:hAnsi="Times New Roman" w:cs="Times New Roman"/>
                <w:b/>
                <w:bCs/>
                <w:color w:val="000000"/>
                <w:sz w:val="16"/>
                <w:szCs w:val="16"/>
                <w:lang w:eastAsia="es-AR"/>
              </w:rPr>
            </w:pPr>
            <w:r w:rsidRPr="00D043B9">
              <w:rPr>
                <w:rFonts w:ascii="Times New Roman" w:eastAsia="Times New Roman" w:hAnsi="Times New Roman" w:cs="Times New Roman"/>
                <w:b/>
                <w:bCs/>
                <w:color w:val="000000"/>
                <w:sz w:val="16"/>
                <w:szCs w:val="16"/>
                <w:lang w:eastAsia="es-AR"/>
              </w:rPr>
              <w:t>100%</w:t>
            </w:r>
          </w:p>
        </w:tc>
      </w:tr>
    </w:tbl>
    <w:p w14:paraId="3183C02F" w14:textId="77777777" w:rsidR="008913B4" w:rsidRPr="008913B4" w:rsidRDefault="007C4FD4" w:rsidP="007C4FD4">
      <w:pPr>
        <w:spacing w:before="120" w:after="240" w:line="240" w:lineRule="auto"/>
        <w:jc w:val="both"/>
        <w:rPr>
          <w:rFonts w:ascii="Times New Roman" w:hAnsi="Times New Roman" w:cs="Times New Roman"/>
          <w:bCs/>
          <w:szCs w:val="24"/>
          <w:lang w:val="es-ES"/>
        </w:rPr>
      </w:pPr>
      <w:r w:rsidRPr="007C2D50">
        <w:rPr>
          <w:rFonts w:ascii="Times New Roman" w:eastAsia="Times New Roman" w:hAnsi="Times New Roman"/>
          <w:sz w:val="18"/>
          <w:szCs w:val="16"/>
          <w:lang w:eastAsia="es-AR"/>
        </w:rPr>
        <w:t>Fuente: Elaboración propia en base a microdatos de la EPH-INDEC para los períodos indicados. Disponibles en: &lt;www.indec.gov.ar&gt;</w:t>
      </w:r>
    </w:p>
    <w:sectPr w:rsidR="008913B4" w:rsidRPr="008913B4" w:rsidSect="0006294A">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38CE24" w16cid:durableId="21F51A5D"/>
  <w16cid:commentId w16cid:paraId="43829DBD" w16cid:durableId="21F51A79"/>
  <w16cid:commentId w16cid:paraId="7F4DB4FB" w16cid:durableId="21F51DD9"/>
  <w16cid:commentId w16cid:paraId="63D58116" w16cid:durableId="21F524E4"/>
  <w16cid:commentId w16cid:paraId="05BB8013" w16cid:durableId="21F51F8F"/>
  <w16cid:commentId w16cid:paraId="3EF1C38F" w16cid:durableId="21F5235F"/>
  <w16cid:commentId w16cid:paraId="6FAE0D75" w16cid:durableId="21F52119"/>
  <w16cid:commentId w16cid:paraId="78EE8BA5" w16cid:durableId="21F52175"/>
  <w16cid:commentId w16cid:paraId="0E8CE8B3" w16cid:durableId="21F5248F"/>
  <w16cid:commentId w16cid:paraId="7959EC8A" w16cid:durableId="21F525B2"/>
  <w16cid:commentId w16cid:paraId="56F774AD" w16cid:durableId="21F51A5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F89BB" w14:textId="77777777" w:rsidR="00410397" w:rsidRDefault="00410397" w:rsidP="00922E37">
      <w:pPr>
        <w:spacing w:after="0" w:line="240" w:lineRule="auto"/>
      </w:pPr>
      <w:r>
        <w:separator/>
      </w:r>
    </w:p>
  </w:endnote>
  <w:endnote w:type="continuationSeparator" w:id="0">
    <w:p w14:paraId="754AE1E5" w14:textId="77777777" w:rsidR="00410397" w:rsidRDefault="00410397" w:rsidP="0092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C37FD" w14:textId="77777777" w:rsidR="00410397" w:rsidRDefault="00410397" w:rsidP="00922E37">
      <w:pPr>
        <w:spacing w:after="0" w:line="240" w:lineRule="auto"/>
      </w:pPr>
      <w:r>
        <w:separator/>
      </w:r>
    </w:p>
  </w:footnote>
  <w:footnote w:type="continuationSeparator" w:id="0">
    <w:p w14:paraId="32C06DE8" w14:textId="77777777" w:rsidR="00410397" w:rsidRDefault="00410397" w:rsidP="00922E37">
      <w:pPr>
        <w:spacing w:after="0" w:line="240" w:lineRule="auto"/>
      </w:pPr>
      <w:r>
        <w:continuationSeparator/>
      </w:r>
    </w:p>
  </w:footnote>
  <w:footnote w:id="1">
    <w:p w14:paraId="1B89550B" w14:textId="77777777" w:rsidR="009857EF" w:rsidRPr="00144B64" w:rsidRDefault="009857EF" w:rsidP="003E0903">
      <w:pPr>
        <w:pStyle w:val="Default"/>
        <w:spacing w:before="120" w:after="120"/>
        <w:jc w:val="both"/>
        <w:rPr>
          <w:rFonts w:eastAsiaTheme="minorHAnsi"/>
          <w:sz w:val="18"/>
          <w:szCs w:val="18"/>
        </w:rPr>
      </w:pPr>
      <w:r w:rsidRPr="00D043B9">
        <w:rPr>
          <w:rStyle w:val="Refdenotaalpie"/>
          <w:sz w:val="18"/>
          <w:szCs w:val="18"/>
          <w:highlight w:val="yellow"/>
        </w:rPr>
        <w:footnoteRef/>
      </w:r>
      <w:r w:rsidRPr="00D043B9">
        <w:rPr>
          <w:sz w:val="18"/>
          <w:szCs w:val="18"/>
          <w:highlight w:val="yellow"/>
        </w:rPr>
        <w:t xml:space="preserve"> </w:t>
      </w:r>
      <w:r w:rsidRPr="00144B64">
        <w:rPr>
          <w:rFonts w:eastAsiaTheme="minorHAnsi"/>
          <w:sz w:val="18"/>
          <w:szCs w:val="18"/>
          <w:highlight w:val="yellow"/>
          <w:lang w:eastAsia="en-US"/>
        </w:rPr>
        <w:t xml:space="preserve">La perspectiva conceptual prioriza el papel de la heterogeneidad estructural en la desigualdad económica. </w:t>
      </w:r>
      <w:r>
        <w:rPr>
          <w:rFonts w:eastAsiaTheme="minorHAnsi"/>
          <w:sz w:val="18"/>
          <w:szCs w:val="18"/>
          <w:highlight w:val="yellow"/>
          <w:lang w:eastAsia="en-US"/>
        </w:rPr>
        <w:t xml:space="preserve">Para </w:t>
      </w:r>
      <w:r w:rsidRPr="00144B64">
        <w:rPr>
          <w:rFonts w:eastAsiaTheme="minorHAnsi"/>
          <w:sz w:val="18"/>
          <w:szCs w:val="18"/>
          <w:highlight w:val="yellow"/>
          <w:lang w:eastAsia="en-US"/>
        </w:rPr>
        <w:t>el caso argentino</w:t>
      </w:r>
      <w:r>
        <w:rPr>
          <w:rFonts w:eastAsiaTheme="minorHAnsi"/>
          <w:sz w:val="18"/>
          <w:szCs w:val="18"/>
          <w:highlight w:val="yellow"/>
          <w:lang w:eastAsia="en-US"/>
        </w:rPr>
        <w:t>,</w:t>
      </w:r>
      <w:r w:rsidRPr="00144B64">
        <w:rPr>
          <w:rFonts w:eastAsiaTheme="minorHAnsi"/>
          <w:sz w:val="18"/>
          <w:szCs w:val="18"/>
          <w:highlight w:val="yellow"/>
          <w:lang w:eastAsia="en-US"/>
        </w:rPr>
        <w:t xml:space="preserve"> se han estudiado otros condicionantes del patrón distributivo, como los sistemas tributarios (Rossignolo, 2016) y las políticas redistributivas y de ingresos (Groisman, 2014; Maurizio, 2014; Judzik, Trujillo y Villafañe, 2017) que no s</w:t>
      </w:r>
      <w:r>
        <w:rPr>
          <w:rFonts w:eastAsiaTheme="minorHAnsi"/>
          <w:sz w:val="18"/>
          <w:szCs w:val="18"/>
          <w:highlight w:val="yellow"/>
          <w:lang w:eastAsia="en-US"/>
        </w:rPr>
        <w:t>e</w:t>
      </w:r>
      <w:r w:rsidRPr="00144B64">
        <w:rPr>
          <w:rFonts w:eastAsiaTheme="minorHAnsi"/>
          <w:sz w:val="18"/>
          <w:szCs w:val="18"/>
          <w:highlight w:val="yellow"/>
          <w:lang w:eastAsia="en-US"/>
        </w:rPr>
        <w:t xml:space="preserve"> enfatiza</w:t>
      </w:r>
      <w:r>
        <w:rPr>
          <w:rFonts w:eastAsiaTheme="minorHAnsi"/>
          <w:sz w:val="18"/>
          <w:szCs w:val="18"/>
          <w:highlight w:val="yellow"/>
          <w:lang w:eastAsia="en-US"/>
        </w:rPr>
        <w:t>n</w:t>
      </w:r>
      <w:r w:rsidRPr="00144B64">
        <w:rPr>
          <w:rFonts w:eastAsiaTheme="minorHAnsi"/>
          <w:sz w:val="18"/>
          <w:szCs w:val="18"/>
          <w:highlight w:val="yellow"/>
          <w:lang w:eastAsia="en-US"/>
        </w:rPr>
        <w:t xml:space="preserve"> aquí.</w:t>
      </w:r>
      <w:r>
        <w:rPr>
          <w:rFonts w:eastAsiaTheme="minorHAnsi"/>
          <w:sz w:val="18"/>
          <w:szCs w:val="18"/>
          <w:lang w:eastAsia="en-US"/>
        </w:rPr>
        <w:t xml:space="preserve">  </w:t>
      </w:r>
    </w:p>
  </w:footnote>
  <w:footnote w:id="2">
    <w:p w14:paraId="7E904E19" w14:textId="77777777" w:rsidR="009857EF" w:rsidRPr="004C43EA" w:rsidRDefault="009857EF" w:rsidP="003E0903">
      <w:pPr>
        <w:pStyle w:val="Textonotapie"/>
        <w:spacing w:before="120" w:after="120"/>
        <w:jc w:val="both"/>
        <w:rPr>
          <w:rFonts w:ascii="Times New Roman" w:hAnsi="Times New Roman"/>
          <w:sz w:val="18"/>
          <w:szCs w:val="18"/>
        </w:rPr>
      </w:pPr>
      <w:r w:rsidRPr="00B33EB0">
        <w:rPr>
          <w:rStyle w:val="Refdenotaalpie"/>
          <w:rFonts w:ascii="Times New Roman" w:hAnsi="Times New Roman"/>
          <w:sz w:val="18"/>
          <w:szCs w:val="18"/>
        </w:rPr>
        <w:footnoteRef/>
      </w:r>
      <w:r w:rsidRPr="00B33EB0">
        <w:rPr>
          <w:rFonts w:ascii="Times New Roman" w:hAnsi="Times New Roman"/>
          <w:sz w:val="18"/>
          <w:szCs w:val="18"/>
        </w:rPr>
        <w:t xml:space="preserve"> Según el Censo Nacional de 2010, esta área reúne a más de 30% de la población total del país. En 2013 el Producto Bruto Geográfico de la Provincia de Buenos Aires y de la Ciudad de Buenos Aires representaba 53,4% del PIB del país. Otros estudios que adoptan una ventana temporal de largo plazo también enfrentaron esta limitación (cfr. Groisman</w:t>
      </w:r>
      <w:r w:rsidRPr="004C43EA">
        <w:rPr>
          <w:rFonts w:ascii="Times New Roman" w:hAnsi="Times New Roman"/>
          <w:sz w:val="18"/>
          <w:szCs w:val="18"/>
        </w:rPr>
        <w:t xml:space="preserve">, 2013). Las alusiones referidas a los cambios en el régimen de acumulación –cuyo alcance es nacional– deben ser consideradas a la luz de esta restricción.  </w:t>
      </w:r>
    </w:p>
  </w:footnote>
  <w:footnote w:id="3">
    <w:p w14:paraId="011123C0" w14:textId="77777777" w:rsidR="009857EF" w:rsidRPr="004C43EA" w:rsidRDefault="009857EF" w:rsidP="003E0903">
      <w:pPr>
        <w:pStyle w:val="Textonotapie"/>
        <w:spacing w:before="120" w:after="120"/>
        <w:jc w:val="both"/>
        <w:rPr>
          <w:rFonts w:ascii="Times New Roman" w:hAnsi="Times New Roman"/>
          <w:sz w:val="18"/>
          <w:szCs w:val="18"/>
        </w:rPr>
      </w:pPr>
      <w:r w:rsidRPr="00B33EB0">
        <w:rPr>
          <w:rStyle w:val="Refdenotaalpie"/>
          <w:rFonts w:ascii="Times New Roman" w:hAnsi="Times New Roman"/>
          <w:sz w:val="18"/>
          <w:szCs w:val="18"/>
        </w:rPr>
        <w:footnoteRef/>
      </w:r>
      <w:r w:rsidRPr="00B33EB0">
        <w:rPr>
          <w:rFonts w:ascii="Times New Roman" w:hAnsi="Times New Roman"/>
          <w:sz w:val="18"/>
          <w:szCs w:val="18"/>
        </w:rPr>
        <w:t xml:space="preserve"> Por restricciones en la fuente de datos, sólo se distingue el sector público para los años ventana posteriores a 1988.</w:t>
      </w:r>
    </w:p>
  </w:footnote>
  <w:footnote w:id="4">
    <w:p w14:paraId="09952A3C" w14:textId="77777777" w:rsidR="009857EF" w:rsidRPr="00B33EB0" w:rsidRDefault="009857EF" w:rsidP="003E0903">
      <w:pPr>
        <w:pStyle w:val="Textonotapie"/>
        <w:spacing w:before="120" w:after="120"/>
        <w:jc w:val="both"/>
        <w:rPr>
          <w:rFonts w:ascii="Times New Roman" w:hAnsi="Times New Roman"/>
          <w:sz w:val="18"/>
          <w:szCs w:val="18"/>
        </w:rPr>
      </w:pPr>
      <w:r w:rsidRPr="00B33EB0">
        <w:rPr>
          <w:rStyle w:val="Refdenotaalpie"/>
          <w:rFonts w:ascii="Times New Roman" w:hAnsi="Times New Roman"/>
          <w:sz w:val="18"/>
          <w:szCs w:val="18"/>
        </w:rPr>
        <w:footnoteRef/>
      </w:r>
      <w:r w:rsidRPr="00B33EB0">
        <w:rPr>
          <w:rFonts w:ascii="Times New Roman" w:hAnsi="Times New Roman"/>
          <w:sz w:val="18"/>
          <w:szCs w:val="18"/>
        </w:rPr>
        <w:t xml:space="preserve"> Dado que la EPH no pregunta por las características de ocupaciones secundarias, los ingresos provenientes de éstas se asignaron a la ocupación principal de los entrevistados.</w:t>
      </w:r>
      <w:r>
        <w:rPr>
          <w:rFonts w:ascii="Times New Roman" w:hAnsi="Times New Roman"/>
          <w:sz w:val="18"/>
          <w:szCs w:val="18"/>
        </w:rPr>
        <w:t xml:space="preserve"> </w:t>
      </w:r>
      <w:r w:rsidRPr="007C4FD4">
        <w:rPr>
          <w:rFonts w:ascii="Times New Roman" w:hAnsi="Times New Roman"/>
          <w:sz w:val="18"/>
          <w:szCs w:val="18"/>
          <w:highlight w:val="yellow"/>
        </w:rPr>
        <w:t>A su vez, al tratarse de una encuesta de hogares, la EPH captura principalmente ingresos no laborales provenientes de los sistemas de protección social (jubilaciones, pensiones y transferencias), mientras que cabe suponer una menor capacidad para captar rentas patrimoniales de los segmentos más altos de la estructura social (Jiménez y Rossignolo, 2019).</w:t>
      </w:r>
      <w:r>
        <w:rPr>
          <w:rFonts w:ascii="Times New Roman" w:hAnsi="Times New Roman"/>
          <w:sz w:val="18"/>
          <w:szCs w:val="18"/>
        </w:rPr>
        <w:t xml:space="preserve"> </w:t>
      </w:r>
    </w:p>
  </w:footnote>
  <w:footnote w:id="5">
    <w:p w14:paraId="3A81FD17" w14:textId="77777777" w:rsidR="009857EF" w:rsidRPr="00144B64" w:rsidRDefault="009857EF" w:rsidP="003E0903">
      <w:pPr>
        <w:pStyle w:val="Textonotapie"/>
        <w:spacing w:before="120" w:after="120"/>
        <w:jc w:val="both"/>
        <w:rPr>
          <w:rFonts w:ascii="Times New Roman" w:hAnsi="Times New Roman"/>
          <w:sz w:val="18"/>
          <w:szCs w:val="18"/>
        </w:rPr>
      </w:pPr>
      <w:r w:rsidRPr="00144B64">
        <w:rPr>
          <w:rStyle w:val="Refdenotaalpie"/>
          <w:rFonts w:ascii="Times New Roman" w:hAnsi="Times New Roman"/>
          <w:sz w:val="18"/>
          <w:szCs w:val="18"/>
          <w:highlight w:val="yellow"/>
        </w:rPr>
        <w:footnoteRef/>
      </w:r>
      <w:r w:rsidRPr="00144B64">
        <w:rPr>
          <w:rFonts w:ascii="Times New Roman" w:hAnsi="Times New Roman"/>
          <w:sz w:val="18"/>
          <w:szCs w:val="18"/>
          <w:highlight w:val="yellow"/>
        </w:rPr>
        <w:t xml:space="preserve"> El Cuadro 1 evidencia también la expansión de los ocupados en planes de empleo. Aunque con antecedentes a comienzos de los noventa (“Programa Intensivo de Trabajo” y “Trabajar”), la expansión más significativa se registró en 2002 con el “Plan Jefes y Jefas de Hogar Desocupados” (PJJHD), que llegó rápidamente a casi dos millones de beneficiarios.</w:t>
      </w:r>
    </w:p>
  </w:footnote>
  <w:footnote w:id="6">
    <w:p w14:paraId="56BE3A03" w14:textId="48011CD1" w:rsidR="009857EF" w:rsidRPr="009857EF" w:rsidRDefault="009857EF" w:rsidP="009857EF">
      <w:pPr>
        <w:pStyle w:val="Textonotapie"/>
        <w:spacing w:before="120" w:after="120"/>
        <w:jc w:val="both"/>
        <w:rPr>
          <w:rFonts w:ascii="Times New Roman" w:hAnsi="Times New Roman"/>
          <w:sz w:val="18"/>
          <w:szCs w:val="18"/>
        </w:rPr>
      </w:pPr>
      <w:r w:rsidRPr="00772677">
        <w:rPr>
          <w:rStyle w:val="Refdenotaalpie"/>
          <w:rFonts w:ascii="Times New Roman" w:hAnsi="Times New Roman"/>
          <w:sz w:val="18"/>
          <w:szCs w:val="18"/>
          <w:highlight w:val="yellow"/>
        </w:rPr>
        <w:footnoteRef/>
      </w:r>
      <w:r w:rsidRPr="00772677">
        <w:rPr>
          <w:rFonts w:ascii="Times New Roman" w:hAnsi="Times New Roman"/>
          <w:sz w:val="18"/>
          <w:szCs w:val="18"/>
          <w:highlight w:val="yellow"/>
        </w:rPr>
        <w:t xml:space="preserve"> </w:t>
      </w:r>
      <w:r w:rsidRPr="002130A8">
        <w:rPr>
          <w:rFonts w:ascii="Times New Roman" w:hAnsi="Times New Roman"/>
          <w:sz w:val="18"/>
          <w:szCs w:val="18"/>
          <w:highlight w:val="yellow"/>
        </w:rPr>
        <w:t>Al respecto, si bien la literatura señala una reducción de las primas educativas (v.g., Beccaria y Maurizio, 2012)</w:t>
      </w:r>
      <w:r w:rsidR="00772677" w:rsidRPr="002130A8">
        <w:rPr>
          <w:rFonts w:ascii="Times New Roman" w:hAnsi="Times New Roman"/>
          <w:sz w:val="18"/>
          <w:szCs w:val="18"/>
          <w:highlight w:val="yellow"/>
        </w:rPr>
        <w:t xml:space="preserve"> durante el ciclo 2003-2014</w:t>
      </w:r>
      <w:r w:rsidRPr="002130A8">
        <w:rPr>
          <w:rFonts w:ascii="Times New Roman" w:hAnsi="Times New Roman"/>
          <w:sz w:val="18"/>
          <w:szCs w:val="18"/>
          <w:highlight w:val="yellow"/>
        </w:rPr>
        <w:t xml:space="preserve">, no </w:t>
      </w:r>
      <w:r w:rsidR="00772677" w:rsidRPr="002130A8">
        <w:rPr>
          <w:rFonts w:ascii="Times New Roman" w:hAnsi="Times New Roman"/>
          <w:sz w:val="18"/>
          <w:szCs w:val="18"/>
          <w:highlight w:val="yellow"/>
        </w:rPr>
        <w:t>podría</w:t>
      </w:r>
      <w:r w:rsidRPr="002130A8">
        <w:rPr>
          <w:rFonts w:ascii="Times New Roman" w:hAnsi="Times New Roman"/>
          <w:sz w:val="18"/>
          <w:szCs w:val="18"/>
          <w:highlight w:val="yellow"/>
        </w:rPr>
        <w:t xml:space="preserve"> descartarse un</w:t>
      </w:r>
      <w:r w:rsidR="00772677" w:rsidRPr="002130A8">
        <w:rPr>
          <w:rFonts w:ascii="Times New Roman" w:hAnsi="Times New Roman"/>
          <w:sz w:val="18"/>
          <w:szCs w:val="18"/>
          <w:highlight w:val="yellow"/>
        </w:rPr>
        <w:t xml:space="preserve"> creciente subregistr</w:t>
      </w:r>
      <w:r w:rsidR="002130A8" w:rsidRPr="002130A8">
        <w:rPr>
          <w:rFonts w:ascii="Times New Roman" w:hAnsi="Times New Roman"/>
          <w:sz w:val="18"/>
          <w:szCs w:val="18"/>
          <w:highlight w:val="yellow"/>
        </w:rPr>
        <w:t>o de ingresos</w:t>
      </w:r>
      <w:r w:rsidR="002130A8">
        <w:rPr>
          <w:rFonts w:ascii="Times New Roman" w:hAnsi="Times New Roman"/>
          <w:sz w:val="18"/>
          <w:szCs w:val="18"/>
          <w:highlight w:val="yellow"/>
        </w:rPr>
        <w:t xml:space="preserve"> –</w:t>
      </w:r>
      <w:r w:rsidR="002130A8" w:rsidRPr="002130A8">
        <w:rPr>
          <w:rFonts w:ascii="Times New Roman" w:hAnsi="Times New Roman"/>
          <w:sz w:val="18"/>
          <w:szCs w:val="18"/>
          <w:highlight w:val="yellow"/>
        </w:rPr>
        <w:t>tal como sugiere la comparación con los registros administrativos dis</w:t>
      </w:r>
      <w:r w:rsidR="002130A8">
        <w:rPr>
          <w:rFonts w:ascii="Times New Roman" w:hAnsi="Times New Roman"/>
          <w:sz w:val="18"/>
          <w:szCs w:val="18"/>
          <w:highlight w:val="yellow"/>
        </w:rPr>
        <w:t xml:space="preserve">ponibles (Sánchez et al., 2016–, </w:t>
      </w:r>
      <w:r w:rsidR="002130A8" w:rsidRPr="002130A8">
        <w:rPr>
          <w:rFonts w:ascii="Times New Roman" w:hAnsi="Times New Roman"/>
          <w:sz w:val="18"/>
          <w:szCs w:val="18"/>
          <w:highlight w:val="yellow"/>
        </w:rPr>
        <w:t>en especial, entre los estratos más altos de la distribución</w:t>
      </w:r>
      <w:r w:rsidR="002130A8">
        <w:rPr>
          <w:rFonts w:ascii="Times New Roman" w:hAnsi="Times New Roman"/>
          <w:sz w:val="18"/>
          <w:szCs w:val="18"/>
        </w:rPr>
        <w:t xml:space="preserve">. </w:t>
      </w:r>
    </w:p>
  </w:footnote>
  <w:footnote w:id="7">
    <w:p w14:paraId="27D730AA" w14:textId="77777777" w:rsidR="009857EF" w:rsidRPr="00A7309C" w:rsidRDefault="009857EF" w:rsidP="003E0903">
      <w:pPr>
        <w:pStyle w:val="Prrafodelista"/>
        <w:spacing w:before="120" w:after="120" w:line="240" w:lineRule="auto"/>
        <w:ind w:left="0"/>
        <w:jc w:val="both"/>
        <w:rPr>
          <w:rFonts w:ascii="Times New Roman" w:hAnsi="Times New Roman"/>
          <w:sz w:val="18"/>
          <w:szCs w:val="18"/>
        </w:rPr>
      </w:pPr>
      <w:r w:rsidRPr="00B33EB0">
        <w:rPr>
          <w:rFonts w:ascii="Times New Roman" w:hAnsi="Times New Roman"/>
          <w:sz w:val="18"/>
          <w:szCs w:val="18"/>
          <w:vertAlign w:val="superscript"/>
        </w:rPr>
        <w:footnoteRef/>
      </w:r>
      <w:r w:rsidRPr="00B33EB0">
        <w:rPr>
          <w:rFonts w:ascii="Times New Roman" w:hAnsi="Times New Roman"/>
          <w:sz w:val="18"/>
          <w:szCs w:val="18"/>
        </w:rPr>
        <w:t xml:space="preserve"> Cabe recordar </w:t>
      </w:r>
      <w:r w:rsidRPr="004C43EA">
        <w:rPr>
          <w:rFonts w:ascii="Times New Roman" w:hAnsi="Times New Roman"/>
          <w:sz w:val="18"/>
          <w:szCs w:val="18"/>
        </w:rPr>
        <w:t xml:space="preserve">que los planes sociales de empleo se incorporan en la categoría de ingresos no laborales con el propósito de diferenciar la dinámica de los ingresos del mercado de trabajo más allá de la acción estatal directa. Es esta decisión </w:t>
      </w:r>
      <w:r w:rsidRPr="00144B64">
        <w:rPr>
          <w:rFonts w:ascii="Times New Roman" w:hAnsi="Times New Roman"/>
          <w:sz w:val="18"/>
          <w:szCs w:val="18"/>
          <w:highlight w:val="yellow"/>
        </w:rPr>
        <w:t>teórico</w:t>
      </w:r>
      <w:r w:rsidRPr="004C43EA">
        <w:rPr>
          <w:rFonts w:ascii="Times New Roman" w:hAnsi="Times New Roman"/>
          <w:sz w:val="18"/>
          <w:szCs w:val="18"/>
        </w:rPr>
        <w:t>-metodológica la que explicaría una evolución relativamente constante del coeficiente de Gini de ingresos no laborales durante el período 2003-2014 –cuando se expandieron los programas de transferencia de ingresos</w:t>
      </w:r>
      <w:r w:rsidRPr="00144B64">
        <w:rPr>
          <w:rFonts w:ascii="Times New Roman" w:hAnsi="Times New Roman"/>
          <w:sz w:val="18"/>
          <w:szCs w:val="18"/>
          <w:highlight w:val="yellow"/>
        </w:rPr>
        <w:t>, en especial, las no condicionadas (como la Asignación Universal por Hijo)</w:t>
      </w:r>
      <w:r w:rsidRPr="004C43EA">
        <w:rPr>
          <w:rFonts w:ascii="Times New Roman" w:hAnsi="Times New Roman"/>
          <w:sz w:val="18"/>
          <w:szCs w:val="18"/>
        </w:rPr>
        <w:t xml:space="preserve">– al incluir en dicha categoría los ingresos provenientes de la ampliación masiva de los programas de empleo durante el período 2002-2003 (el </w:t>
      </w:r>
      <w:r>
        <w:rPr>
          <w:rFonts w:ascii="Times New Roman" w:hAnsi="Times New Roman"/>
          <w:sz w:val="18"/>
          <w:szCs w:val="18"/>
        </w:rPr>
        <w:t>ya referid</w:t>
      </w:r>
      <w:r w:rsidRPr="004C43EA">
        <w:rPr>
          <w:rFonts w:ascii="Times New Roman" w:hAnsi="Times New Roman"/>
          <w:sz w:val="18"/>
          <w:szCs w:val="18"/>
        </w:rPr>
        <w:t xml:space="preserve">o </w:t>
      </w:r>
      <w:r>
        <w:rPr>
          <w:rFonts w:ascii="Times New Roman" w:hAnsi="Times New Roman"/>
          <w:sz w:val="18"/>
          <w:szCs w:val="18"/>
        </w:rPr>
        <w:t>“</w:t>
      </w:r>
      <w:r w:rsidRPr="004C43EA">
        <w:rPr>
          <w:rFonts w:ascii="Times New Roman" w:hAnsi="Times New Roman"/>
          <w:sz w:val="18"/>
          <w:szCs w:val="18"/>
        </w:rPr>
        <w:t>Plan Jefas y Jefes de Hogar Desocupados</w:t>
      </w:r>
      <w:r>
        <w:rPr>
          <w:rFonts w:ascii="Times New Roman" w:hAnsi="Times New Roman"/>
          <w:sz w:val="18"/>
          <w:szCs w:val="18"/>
        </w:rPr>
        <w:t>”</w:t>
      </w:r>
      <w:r w:rsidRPr="004C43EA">
        <w:rPr>
          <w:rFonts w:ascii="Times New Roman" w:hAnsi="Times New Roman"/>
          <w:sz w:val="18"/>
          <w:szCs w:val="18"/>
        </w:rPr>
        <w:t xml:space="preserve">). </w:t>
      </w:r>
    </w:p>
  </w:footnote>
  <w:footnote w:id="8">
    <w:p w14:paraId="0572A8B4" w14:textId="77777777" w:rsidR="009857EF" w:rsidRPr="00B33EB0" w:rsidRDefault="009857EF" w:rsidP="003E0903">
      <w:pPr>
        <w:pStyle w:val="Textonotapie"/>
        <w:spacing w:before="120" w:after="120"/>
        <w:jc w:val="both"/>
        <w:rPr>
          <w:rFonts w:ascii="Times New Roman" w:hAnsi="Times New Roman"/>
          <w:b/>
          <w:sz w:val="18"/>
          <w:szCs w:val="18"/>
        </w:rPr>
      </w:pPr>
      <w:r w:rsidRPr="00B33EB0">
        <w:rPr>
          <w:rStyle w:val="Refdenotaalpie"/>
          <w:rFonts w:ascii="Times New Roman" w:hAnsi="Times New Roman"/>
          <w:sz w:val="18"/>
          <w:szCs w:val="18"/>
        </w:rPr>
        <w:footnoteRef/>
      </w:r>
      <w:r w:rsidRPr="00B33EB0">
        <w:rPr>
          <w:rFonts w:ascii="Times New Roman" w:hAnsi="Times New Roman"/>
          <w:sz w:val="18"/>
          <w:szCs w:val="18"/>
        </w:rPr>
        <w:t xml:space="preserve">  Tal como se desprende de la ecuación (3), los efectos (i) a (iv) estarán influidos por el signo de</w:t>
      </w:r>
      <w:r w:rsidRPr="004C43EA">
        <w:rPr>
          <w:rFonts w:ascii="Times New Roman" w:hAnsi="Times New Roman"/>
          <w:sz w:val="18"/>
          <w:szCs w:val="18"/>
        </w:rPr>
        <w:t>l aporte de la fuente a la desigualdad en t</w:t>
      </w:r>
      <w:r w:rsidRPr="004C43EA">
        <w:rPr>
          <w:rFonts w:ascii="Times New Roman" w:hAnsi="Times New Roman"/>
          <w:sz w:val="18"/>
          <w:szCs w:val="18"/>
          <w:vertAlign w:val="subscript"/>
        </w:rPr>
        <w:t>0</w:t>
      </w:r>
      <w:r w:rsidRPr="004C43EA">
        <w:rPr>
          <w:rFonts w:ascii="Times New Roman" w:hAnsi="Times New Roman"/>
          <w:sz w:val="18"/>
          <w:szCs w:val="18"/>
        </w:rPr>
        <w:t xml:space="preserve"> (R</w:t>
      </w:r>
      <w:r w:rsidRPr="004C43EA">
        <w:rPr>
          <w:rFonts w:ascii="Times New Roman" w:hAnsi="Times New Roman"/>
          <w:sz w:val="18"/>
          <w:szCs w:val="18"/>
          <w:vertAlign w:val="subscript"/>
        </w:rPr>
        <w:t xml:space="preserve">0,k </w:t>
      </w:r>
      <w:r w:rsidRPr="00336106">
        <w:rPr>
          <w:rFonts w:ascii="Times New Roman" w:hAnsi="Times New Roman"/>
          <w:sz w:val="18"/>
          <w:szCs w:val="18"/>
        </w:rPr>
        <w:t>G</w:t>
      </w:r>
      <w:r w:rsidRPr="00336106">
        <w:rPr>
          <w:rFonts w:ascii="Times New Roman" w:hAnsi="Times New Roman"/>
          <w:sz w:val="18"/>
          <w:szCs w:val="18"/>
          <w:vertAlign w:val="subscript"/>
        </w:rPr>
        <w:t>0,k</w:t>
      </w:r>
      <w:r w:rsidRPr="00336106">
        <w:rPr>
          <w:rFonts w:ascii="Times New Roman" w:hAnsi="Times New Roman"/>
          <w:sz w:val="18"/>
          <w:szCs w:val="18"/>
        </w:rPr>
        <w:t xml:space="preserve"> S</w:t>
      </w:r>
      <w:r w:rsidRPr="00336106">
        <w:rPr>
          <w:rFonts w:ascii="Times New Roman" w:hAnsi="Times New Roman"/>
          <w:sz w:val="18"/>
          <w:szCs w:val="18"/>
          <w:vertAlign w:val="subscript"/>
        </w:rPr>
        <w:t>0,k)</w:t>
      </w:r>
      <w:r w:rsidRPr="00336106">
        <w:rPr>
          <w:rFonts w:ascii="Times New Roman" w:hAnsi="Times New Roman"/>
          <w:sz w:val="18"/>
          <w:szCs w:val="18"/>
        </w:rPr>
        <w:t>. Mientras S</w:t>
      </w:r>
      <w:r w:rsidRPr="00336106">
        <w:rPr>
          <w:rFonts w:ascii="Times New Roman" w:hAnsi="Times New Roman"/>
          <w:sz w:val="18"/>
          <w:szCs w:val="18"/>
          <w:vertAlign w:val="subscript"/>
        </w:rPr>
        <w:t>0,k</w:t>
      </w:r>
      <w:r w:rsidRPr="00336106">
        <w:rPr>
          <w:rFonts w:ascii="Times New Roman" w:hAnsi="Times New Roman"/>
          <w:sz w:val="18"/>
          <w:szCs w:val="18"/>
        </w:rPr>
        <w:t xml:space="preserve"> y G</w:t>
      </w:r>
      <w:r w:rsidRPr="00AF7784">
        <w:rPr>
          <w:rFonts w:ascii="Times New Roman" w:hAnsi="Times New Roman"/>
          <w:sz w:val="18"/>
          <w:szCs w:val="18"/>
          <w:vertAlign w:val="subscript"/>
        </w:rPr>
        <w:t>0,k</w:t>
      </w:r>
      <w:r w:rsidRPr="00B33EB0">
        <w:rPr>
          <w:rFonts w:ascii="Times New Roman" w:hAnsi="Times New Roman"/>
          <w:sz w:val="18"/>
          <w:szCs w:val="18"/>
        </w:rPr>
        <w:t xml:space="preserve"> son siempre positivos y menores a 1, R</w:t>
      </w:r>
      <w:r w:rsidRPr="00B33EB0">
        <w:rPr>
          <w:rFonts w:ascii="Times New Roman" w:hAnsi="Times New Roman"/>
          <w:sz w:val="18"/>
          <w:szCs w:val="18"/>
          <w:vertAlign w:val="subscript"/>
        </w:rPr>
        <w:t>0,k</w:t>
      </w:r>
      <w:r w:rsidRPr="00B33EB0">
        <w:rPr>
          <w:rFonts w:ascii="Times New Roman" w:hAnsi="Times New Roman"/>
          <w:sz w:val="18"/>
          <w:szCs w:val="18"/>
        </w:rPr>
        <w:t xml:space="preserve"> puede tomar valores dentro del intervalo (-1, 1). Si la correlación de una fuente k toma valor negativo (i.e., la ordenación de los hogares según el ingreso total y la ordenación según la fuente específica de ingresos es inversa) las interpretaciones de los efectos señalados en la ecuación (3) cambiarán de signo.</w:t>
      </w:r>
      <w:r>
        <w:rPr>
          <w:rFonts w:ascii="Times New Roman" w:hAnsi="Times New Roman"/>
          <w:sz w:val="18"/>
          <w:szCs w:val="18"/>
        </w:rPr>
        <w:t xml:space="preserve"> </w:t>
      </w:r>
      <w:r w:rsidRPr="00144B64">
        <w:rPr>
          <w:rFonts w:ascii="Times New Roman" w:hAnsi="Times New Roman"/>
          <w:sz w:val="18"/>
          <w:szCs w:val="18"/>
          <w:highlight w:val="yellow"/>
        </w:rPr>
        <w:t xml:space="preserve">Los coeficientes de Gini y los modelos de descomposición se computaron en las bases de microdatos de hogares </w:t>
      </w:r>
      <w:r>
        <w:rPr>
          <w:rFonts w:ascii="Times New Roman" w:hAnsi="Times New Roman"/>
          <w:sz w:val="18"/>
          <w:szCs w:val="18"/>
          <w:highlight w:val="yellow"/>
        </w:rPr>
        <w:t xml:space="preserve">con el Paquete </w:t>
      </w:r>
      <w:r w:rsidRPr="000E1E44">
        <w:rPr>
          <w:rFonts w:ascii="Times New Roman" w:hAnsi="Times New Roman"/>
          <w:sz w:val="18"/>
          <w:szCs w:val="18"/>
          <w:highlight w:val="yellow"/>
        </w:rPr>
        <w:t>DASP (</w:t>
      </w:r>
      <w:r w:rsidRPr="00144B64">
        <w:rPr>
          <w:rFonts w:ascii="Times New Roman" w:hAnsi="Times New Roman"/>
          <w:i/>
          <w:iCs/>
          <w:sz w:val="18"/>
          <w:szCs w:val="18"/>
          <w:highlight w:val="yellow"/>
        </w:rPr>
        <w:t>Distributive Analysis Stata Package</w:t>
      </w:r>
      <w:r w:rsidRPr="00021D4E">
        <w:rPr>
          <w:rFonts w:ascii="Times New Roman" w:hAnsi="Times New Roman"/>
          <w:sz w:val="18"/>
          <w:szCs w:val="18"/>
          <w:highlight w:val="yellow"/>
        </w:rPr>
        <w:t xml:space="preserve">) para </w:t>
      </w:r>
      <w:r w:rsidRPr="00144B64">
        <w:rPr>
          <w:rFonts w:ascii="Times New Roman" w:hAnsi="Times New Roman"/>
          <w:i/>
          <w:iCs/>
          <w:sz w:val="18"/>
          <w:szCs w:val="18"/>
          <w:highlight w:val="yellow"/>
        </w:rPr>
        <w:t>Stata</w:t>
      </w:r>
      <w:r>
        <w:rPr>
          <w:rFonts w:ascii="Times New Roman" w:hAnsi="Times New Roman"/>
          <w:sz w:val="18"/>
          <w:szCs w:val="18"/>
          <w:highlight w:val="yellow"/>
        </w:rPr>
        <w:t>,</w:t>
      </w:r>
      <w:r w:rsidRPr="000E1E44">
        <w:rPr>
          <w:rFonts w:ascii="Times New Roman" w:hAnsi="Times New Roman"/>
          <w:sz w:val="18"/>
          <w:szCs w:val="18"/>
          <w:highlight w:val="yellow"/>
        </w:rPr>
        <w:t xml:space="preserve"> </w:t>
      </w:r>
      <w:r w:rsidRPr="00144B64">
        <w:rPr>
          <w:rFonts w:ascii="Times New Roman" w:hAnsi="Times New Roman"/>
          <w:sz w:val="18"/>
          <w:szCs w:val="18"/>
          <w:highlight w:val="yellow"/>
        </w:rPr>
        <w:t>previo agregar las distintas fuentes de ingreso de los perceptores individuales.</w:t>
      </w:r>
      <w:r>
        <w:rPr>
          <w:rFonts w:ascii="Times New Roman" w:hAnsi="Times New Roman"/>
          <w:sz w:val="18"/>
          <w:szCs w:val="18"/>
        </w:rPr>
        <w:t xml:space="preserve"> </w:t>
      </w:r>
      <w:r w:rsidRPr="00144B64">
        <w:rPr>
          <w:rFonts w:ascii="Times New Roman" w:hAnsi="Times New Roman"/>
          <w:sz w:val="18"/>
          <w:szCs w:val="18"/>
          <w:highlight w:val="yellow"/>
        </w:rPr>
        <w:t>En el Apéndice Estadístico pueden consultarse los resultados completos de la descomposición para l</w:t>
      </w:r>
      <w:r>
        <w:rPr>
          <w:rFonts w:ascii="Times New Roman" w:hAnsi="Times New Roman"/>
          <w:sz w:val="18"/>
          <w:szCs w:val="18"/>
          <w:highlight w:val="yellow"/>
        </w:rPr>
        <w:t xml:space="preserve">os años extremos </w:t>
      </w:r>
      <w:r w:rsidRPr="00144B64">
        <w:rPr>
          <w:rFonts w:ascii="Times New Roman" w:hAnsi="Times New Roman"/>
          <w:sz w:val="18"/>
          <w:szCs w:val="18"/>
          <w:highlight w:val="yellow"/>
        </w:rPr>
        <w:t>de los períodos considerados.</w:t>
      </w:r>
    </w:p>
  </w:footnote>
  <w:footnote w:id="9">
    <w:p w14:paraId="1ABEA4AF" w14:textId="77777777" w:rsidR="009857EF" w:rsidRPr="00C40736" w:rsidRDefault="009857EF" w:rsidP="003E0903">
      <w:pPr>
        <w:pStyle w:val="Textonotapie"/>
        <w:spacing w:before="120" w:after="120"/>
        <w:jc w:val="both"/>
        <w:rPr>
          <w:rFonts w:ascii="Times New Roman" w:eastAsia="Times New Roman" w:hAnsi="Times New Roman"/>
          <w:sz w:val="18"/>
          <w:szCs w:val="18"/>
          <w:lang w:val="es-ES" w:eastAsia="es-ES"/>
        </w:rPr>
      </w:pPr>
      <w:r w:rsidRPr="00E83E51">
        <w:rPr>
          <w:rStyle w:val="Refdenotaalpie"/>
          <w:rFonts w:ascii="Times New Roman" w:hAnsi="Times New Roman"/>
          <w:sz w:val="18"/>
          <w:szCs w:val="18"/>
        </w:rPr>
        <w:footnoteRef/>
      </w:r>
      <w:r w:rsidRPr="00E83E51">
        <w:rPr>
          <w:rFonts w:ascii="Times New Roman" w:hAnsi="Times New Roman"/>
          <w:sz w:val="18"/>
          <w:szCs w:val="18"/>
        </w:rPr>
        <w:t xml:space="preserve"> </w:t>
      </w:r>
      <w:r>
        <w:rPr>
          <w:rFonts w:ascii="Times New Roman" w:hAnsi="Times New Roman"/>
          <w:sz w:val="18"/>
          <w:szCs w:val="18"/>
        </w:rPr>
        <w:t>E</w:t>
      </w:r>
      <w:r w:rsidRPr="00E83E51">
        <w:rPr>
          <w:rFonts w:ascii="Times New Roman" w:hAnsi="Times New Roman"/>
          <w:sz w:val="18"/>
          <w:szCs w:val="18"/>
          <w:highlight w:val="yellow"/>
        </w:rPr>
        <w:t xml:space="preserve">l </w:t>
      </w:r>
      <w:r>
        <w:rPr>
          <w:rFonts w:ascii="Times New Roman" w:hAnsi="Times New Roman"/>
          <w:sz w:val="18"/>
          <w:szCs w:val="18"/>
          <w:highlight w:val="yellow"/>
        </w:rPr>
        <w:t xml:space="preserve">modelo de </w:t>
      </w:r>
      <w:r w:rsidRPr="00E83E51">
        <w:rPr>
          <w:rFonts w:ascii="Times New Roman" w:hAnsi="Times New Roman"/>
          <w:sz w:val="18"/>
          <w:szCs w:val="18"/>
          <w:highlight w:val="yellow"/>
        </w:rPr>
        <w:t>análisis dinámico de descomposición adopta</w:t>
      </w:r>
      <w:r>
        <w:rPr>
          <w:rFonts w:ascii="Times New Roman" w:hAnsi="Times New Roman"/>
          <w:sz w:val="18"/>
          <w:szCs w:val="18"/>
          <w:highlight w:val="yellow"/>
        </w:rPr>
        <w:t xml:space="preserve">do aquí, que sigue a </w:t>
      </w:r>
      <w:r w:rsidRPr="00E83E51">
        <w:rPr>
          <w:rFonts w:ascii="Times New Roman" w:hAnsi="Times New Roman"/>
          <w:sz w:val="18"/>
          <w:szCs w:val="18"/>
          <w:highlight w:val="yellow"/>
        </w:rPr>
        <w:t>Cortés (2000)</w:t>
      </w:r>
      <w:r>
        <w:rPr>
          <w:rFonts w:ascii="Times New Roman" w:hAnsi="Times New Roman"/>
          <w:sz w:val="18"/>
          <w:szCs w:val="18"/>
          <w:highlight w:val="yellow"/>
        </w:rPr>
        <w:t>,</w:t>
      </w:r>
      <w:r w:rsidRPr="00E83E51">
        <w:rPr>
          <w:rFonts w:ascii="Times New Roman" w:hAnsi="Times New Roman"/>
          <w:sz w:val="18"/>
          <w:szCs w:val="18"/>
          <w:highlight w:val="yellow"/>
        </w:rPr>
        <w:t xml:space="preserve"> no es el único posible. </w:t>
      </w:r>
      <w:r w:rsidRPr="00E83E51">
        <w:rPr>
          <w:rFonts w:ascii="Times New Roman" w:eastAsia="Times New Roman" w:hAnsi="Times New Roman"/>
          <w:sz w:val="18"/>
          <w:szCs w:val="18"/>
          <w:highlight w:val="yellow"/>
          <w:lang w:val="es-ES" w:eastAsia="es-ES"/>
        </w:rPr>
        <w:t xml:space="preserve">Helfand </w:t>
      </w:r>
      <w:r w:rsidRPr="00E83E51">
        <w:rPr>
          <w:rFonts w:ascii="Times New Roman" w:eastAsia="Times New Roman" w:hAnsi="Times New Roman"/>
          <w:i/>
          <w:iCs/>
          <w:sz w:val="18"/>
          <w:szCs w:val="18"/>
          <w:highlight w:val="yellow"/>
          <w:lang w:val="es-ES" w:eastAsia="es-ES"/>
        </w:rPr>
        <w:t xml:space="preserve">et al. </w:t>
      </w:r>
      <w:r w:rsidRPr="00E83E51">
        <w:rPr>
          <w:rFonts w:ascii="Times New Roman" w:eastAsia="Times New Roman" w:hAnsi="Times New Roman"/>
          <w:sz w:val="18"/>
          <w:szCs w:val="18"/>
          <w:highlight w:val="yellow"/>
          <w:lang w:val="es-ES" w:eastAsia="es-ES"/>
        </w:rPr>
        <w:t xml:space="preserve">(2009), Hoffman (2006), Soares (2006), Milanovic (1998) y Trujillo y Villafañe (2011) </w:t>
      </w:r>
      <w:r>
        <w:rPr>
          <w:rFonts w:ascii="Times New Roman" w:eastAsia="Times New Roman" w:hAnsi="Times New Roman"/>
          <w:sz w:val="18"/>
          <w:szCs w:val="18"/>
          <w:highlight w:val="yellow"/>
          <w:lang w:val="es-ES" w:eastAsia="es-ES"/>
        </w:rPr>
        <w:t xml:space="preserve">apelan a </w:t>
      </w:r>
      <w:r w:rsidRPr="00E83E51">
        <w:rPr>
          <w:rFonts w:ascii="Times New Roman" w:eastAsia="Times New Roman" w:hAnsi="Times New Roman"/>
          <w:sz w:val="18"/>
          <w:szCs w:val="18"/>
          <w:highlight w:val="yellow"/>
          <w:lang w:val="es-ES" w:eastAsia="es-ES"/>
        </w:rPr>
        <w:t>otra</w:t>
      </w:r>
      <w:r>
        <w:rPr>
          <w:rFonts w:ascii="Times New Roman" w:eastAsia="Times New Roman" w:hAnsi="Times New Roman"/>
          <w:sz w:val="18"/>
          <w:szCs w:val="18"/>
          <w:highlight w:val="yellow"/>
          <w:lang w:val="es-ES" w:eastAsia="es-ES"/>
        </w:rPr>
        <w:t>s</w:t>
      </w:r>
      <w:r w:rsidRPr="00E83E51">
        <w:rPr>
          <w:rFonts w:ascii="Times New Roman" w:eastAsia="Times New Roman" w:hAnsi="Times New Roman"/>
          <w:sz w:val="18"/>
          <w:szCs w:val="18"/>
          <w:highlight w:val="yellow"/>
          <w:lang w:val="es-ES" w:eastAsia="es-ES"/>
        </w:rPr>
        <w:t xml:space="preserve"> </w:t>
      </w:r>
      <w:r>
        <w:rPr>
          <w:rFonts w:ascii="Times New Roman" w:eastAsia="Times New Roman" w:hAnsi="Times New Roman"/>
          <w:sz w:val="18"/>
          <w:szCs w:val="18"/>
          <w:highlight w:val="yellow"/>
          <w:lang w:val="es-ES" w:eastAsia="es-ES"/>
        </w:rPr>
        <w:t>estrategias</w:t>
      </w:r>
      <w:r w:rsidRPr="00E83E51">
        <w:rPr>
          <w:rFonts w:ascii="Times New Roman" w:eastAsia="Times New Roman" w:hAnsi="Times New Roman"/>
          <w:sz w:val="18"/>
          <w:szCs w:val="18"/>
          <w:highlight w:val="yellow"/>
          <w:lang w:val="es-ES" w:eastAsia="es-ES"/>
        </w:rPr>
        <w:t xml:space="preserve">. </w:t>
      </w:r>
      <w:r>
        <w:rPr>
          <w:rFonts w:ascii="Times New Roman" w:eastAsia="Times New Roman" w:hAnsi="Times New Roman"/>
          <w:sz w:val="18"/>
          <w:szCs w:val="18"/>
          <w:highlight w:val="yellow"/>
          <w:lang w:val="es-ES" w:eastAsia="es-ES"/>
        </w:rPr>
        <w:t>En particular, e</w:t>
      </w:r>
      <w:r w:rsidRPr="00E83E51">
        <w:rPr>
          <w:rFonts w:ascii="Times New Roman" w:eastAsia="Times New Roman" w:hAnsi="Times New Roman"/>
          <w:sz w:val="18"/>
          <w:szCs w:val="18"/>
          <w:highlight w:val="yellow"/>
          <w:lang w:val="es-ES" w:eastAsia="es-ES"/>
        </w:rPr>
        <w:t>l</w:t>
      </w:r>
      <w:r w:rsidRPr="00CD098B">
        <w:rPr>
          <w:rFonts w:ascii="Times New Roman" w:eastAsia="Times New Roman" w:hAnsi="Times New Roman"/>
          <w:sz w:val="18"/>
          <w:szCs w:val="18"/>
          <w:highlight w:val="yellow"/>
          <w:lang w:val="es-ES" w:eastAsia="es-ES"/>
        </w:rPr>
        <w:t xml:space="preserve"> componente de intradesigualdad (G) y el de correlación (R) quedan integrados bajo un único factor </w:t>
      </w:r>
      <w:r>
        <w:rPr>
          <w:rFonts w:ascii="Times New Roman" w:eastAsia="Times New Roman" w:hAnsi="Times New Roman"/>
          <w:sz w:val="18"/>
          <w:szCs w:val="18"/>
          <w:highlight w:val="yellow"/>
          <w:lang w:val="es-ES" w:eastAsia="es-ES"/>
        </w:rPr>
        <w:t>–</w:t>
      </w:r>
      <w:r w:rsidRPr="00CD098B">
        <w:rPr>
          <w:rFonts w:ascii="Times New Roman" w:eastAsia="Times New Roman" w:hAnsi="Times New Roman"/>
          <w:sz w:val="18"/>
          <w:szCs w:val="18"/>
          <w:highlight w:val="yellow"/>
          <w:lang w:val="es-ES" w:eastAsia="es-ES"/>
        </w:rPr>
        <w:t>d</w:t>
      </w:r>
      <w:r>
        <w:rPr>
          <w:rFonts w:ascii="Times New Roman" w:eastAsia="Times New Roman" w:hAnsi="Times New Roman"/>
          <w:sz w:val="18"/>
          <w:szCs w:val="18"/>
          <w:highlight w:val="yellow"/>
          <w:lang w:val="es-ES" w:eastAsia="es-ES"/>
        </w:rPr>
        <w:t>enominado factor concentración o “p</w:t>
      </w:r>
      <w:r w:rsidRPr="006C6F24">
        <w:rPr>
          <w:rFonts w:ascii="Times New Roman" w:eastAsia="Times New Roman" w:hAnsi="Times New Roman"/>
          <w:sz w:val="18"/>
          <w:szCs w:val="18"/>
          <w:highlight w:val="yellow"/>
          <w:lang w:val="es-ES" w:eastAsia="es-ES"/>
        </w:rPr>
        <w:t>seudo-Gini</w:t>
      </w:r>
      <w:r>
        <w:rPr>
          <w:rFonts w:ascii="Times New Roman" w:eastAsia="Times New Roman" w:hAnsi="Times New Roman"/>
          <w:sz w:val="18"/>
          <w:szCs w:val="18"/>
          <w:highlight w:val="yellow"/>
          <w:lang w:val="es-ES" w:eastAsia="es-ES"/>
        </w:rPr>
        <w:t xml:space="preserve">” (Medina y Galván, 2008)–, término que está también presente </w:t>
      </w:r>
      <w:r w:rsidRPr="006C6F24">
        <w:rPr>
          <w:rFonts w:ascii="Times New Roman" w:eastAsia="Times New Roman" w:hAnsi="Times New Roman"/>
          <w:sz w:val="18"/>
          <w:szCs w:val="18"/>
          <w:highlight w:val="yellow"/>
          <w:lang w:val="es-ES" w:eastAsia="es-ES"/>
        </w:rPr>
        <w:t xml:space="preserve">en el </w:t>
      </w:r>
      <w:r>
        <w:rPr>
          <w:rFonts w:ascii="Times New Roman" w:eastAsia="Times New Roman" w:hAnsi="Times New Roman"/>
          <w:sz w:val="18"/>
          <w:szCs w:val="18"/>
          <w:highlight w:val="yellow"/>
          <w:lang w:val="es-ES" w:eastAsia="es-ES"/>
        </w:rPr>
        <w:t>trabajo de Shorrocks (1982).</w:t>
      </w:r>
    </w:p>
  </w:footnote>
  <w:footnote w:id="10">
    <w:p w14:paraId="1EC09642" w14:textId="545D542C" w:rsidR="009857EF" w:rsidRPr="00FF0A7B" w:rsidRDefault="009857EF" w:rsidP="003E0903">
      <w:pPr>
        <w:pStyle w:val="Textonotapie"/>
        <w:spacing w:before="120" w:after="120"/>
        <w:jc w:val="both"/>
        <w:rPr>
          <w:rFonts w:ascii="Times New Roman" w:hAnsi="Times New Roman"/>
          <w:sz w:val="18"/>
          <w:szCs w:val="18"/>
        </w:rPr>
      </w:pPr>
      <w:r w:rsidRPr="00FF0A7B">
        <w:rPr>
          <w:rStyle w:val="Refdenotaalpie"/>
          <w:rFonts w:ascii="Times New Roman" w:hAnsi="Times New Roman"/>
          <w:sz w:val="18"/>
          <w:szCs w:val="18"/>
          <w:highlight w:val="yellow"/>
        </w:rPr>
        <w:footnoteRef/>
      </w:r>
      <w:r w:rsidRPr="00FF0A7B">
        <w:rPr>
          <w:rFonts w:ascii="Times New Roman" w:hAnsi="Times New Roman"/>
          <w:sz w:val="18"/>
          <w:szCs w:val="18"/>
          <w:highlight w:val="yellow"/>
        </w:rPr>
        <w:t xml:space="preserve"> </w:t>
      </w:r>
      <w:r>
        <w:rPr>
          <w:rFonts w:ascii="Times New Roman" w:hAnsi="Times New Roman"/>
          <w:sz w:val="18"/>
          <w:szCs w:val="18"/>
          <w:highlight w:val="yellow"/>
        </w:rPr>
        <w:t xml:space="preserve">En este sentido, algunos </w:t>
      </w:r>
      <w:r w:rsidRPr="004F3339">
        <w:rPr>
          <w:rFonts w:ascii="Times New Roman" w:hAnsi="Times New Roman"/>
          <w:sz w:val="18"/>
          <w:szCs w:val="18"/>
          <w:highlight w:val="yellow"/>
        </w:rPr>
        <w:t xml:space="preserve">estudios empíricos para Argentina </w:t>
      </w:r>
      <w:r>
        <w:rPr>
          <w:rFonts w:ascii="Times New Roman" w:hAnsi="Times New Roman"/>
          <w:sz w:val="18"/>
          <w:szCs w:val="18"/>
          <w:highlight w:val="yellow"/>
        </w:rPr>
        <w:t xml:space="preserve">apelaron a </w:t>
      </w:r>
      <w:r w:rsidRPr="004F3339">
        <w:rPr>
          <w:rFonts w:ascii="Times New Roman" w:hAnsi="Times New Roman"/>
          <w:sz w:val="18"/>
          <w:szCs w:val="18"/>
          <w:highlight w:val="yellow"/>
        </w:rPr>
        <w:t xml:space="preserve">una descomposición del índice de Theil </w:t>
      </w:r>
      <w:r>
        <w:rPr>
          <w:rFonts w:ascii="Times New Roman" w:hAnsi="Times New Roman"/>
          <w:sz w:val="18"/>
          <w:szCs w:val="18"/>
          <w:highlight w:val="yellow"/>
        </w:rPr>
        <w:t>para</w:t>
      </w:r>
      <w:r w:rsidRPr="004F3339">
        <w:rPr>
          <w:rFonts w:ascii="Times New Roman" w:hAnsi="Times New Roman"/>
          <w:sz w:val="18"/>
          <w:szCs w:val="18"/>
          <w:highlight w:val="yellow"/>
        </w:rPr>
        <w:t xml:space="preserve"> evaluar la desigualdad </w:t>
      </w:r>
      <w:r w:rsidRPr="007002D3">
        <w:rPr>
          <w:rFonts w:ascii="Times New Roman" w:hAnsi="Times New Roman"/>
          <w:i/>
          <w:iCs/>
          <w:sz w:val="18"/>
          <w:szCs w:val="18"/>
          <w:highlight w:val="yellow"/>
        </w:rPr>
        <w:t>entre</w:t>
      </w:r>
      <w:r w:rsidRPr="004F3339">
        <w:rPr>
          <w:rFonts w:ascii="Times New Roman" w:hAnsi="Times New Roman"/>
          <w:sz w:val="18"/>
          <w:szCs w:val="18"/>
          <w:highlight w:val="yellow"/>
        </w:rPr>
        <w:t xml:space="preserve"> y </w:t>
      </w:r>
      <w:r w:rsidRPr="007002D3">
        <w:rPr>
          <w:rFonts w:ascii="Times New Roman" w:hAnsi="Times New Roman"/>
          <w:i/>
          <w:iCs/>
          <w:sz w:val="18"/>
          <w:szCs w:val="18"/>
          <w:highlight w:val="yellow"/>
        </w:rPr>
        <w:t>dentro</w:t>
      </w:r>
      <w:r w:rsidRPr="004F3339">
        <w:rPr>
          <w:rFonts w:ascii="Times New Roman" w:hAnsi="Times New Roman"/>
          <w:sz w:val="18"/>
          <w:szCs w:val="18"/>
          <w:highlight w:val="yellow"/>
        </w:rPr>
        <w:t xml:space="preserve"> </w:t>
      </w:r>
      <w:r>
        <w:rPr>
          <w:rFonts w:ascii="Times New Roman" w:hAnsi="Times New Roman"/>
          <w:sz w:val="18"/>
          <w:szCs w:val="18"/>
          <w:highlight w:val="yellow"/>
        </w:rPr>
        <w:t xml:space="preserve">de </w:t>
      </w:r>
      <w:r w:rsidRPr="004F3339">
        <w:rPr>
          <w:rFonts w:ascii="Times New Roman" w:hAnsi="Times New Roman"/>
          <w:sz w:val="18"/>
          <w:szCs w:val="18"/>
          <w:highlight w:val="yellow"/>
        </w:rPr>
        <w:t>diferentes grupos (Altimir y Beccaria, 1999; Calderón y Massini, 2003; Trujillo, 2017</w:t>
      </w:r>
      <w:r w:rsidRPr="0038013A">
        <w:rPr>
          <w:rFonts w:ascii="Times New Roman" w:hAnsi="Times New Roman"/>
          <w:sz w:val="18"/>
          <w:szCs w:val="18"/>
          <w:highlight w:val="yellow"/>
        </w:rPr>
        <w:t xml:space="preserve">). </w:t>
      </w:r>
      <w:r>
        <w:rPr>
          <w:rFonts w:ascii="Times New Roman" w:hAnsi="Times New Roman"/>
          <w:sz w:val="18"/>
          <w:szCs w:val="18"/>
          <w:highlight w:val="yellow"/>
        </w:rPr>
        <w:t xml:space="preserve">Este tipo de </w:t>
      </w:r>
      <w:r w:rsidRPr="0038013A">
        <w:rPr>
          <w:rFonts w:ascii="Times New Roman" w:hAnsi="Times New Roman"/>
          <w:sz w:val="18"/>
          <w:szCs w:val="18"/>
          <w:highlight w:val="yellow"/>
        </w:rPr>
        <w:t xml:space="preserve">técnicas pueden </w:t>
      </w:r>
      <w:r>
        <w:rPr>
          <w:rFonts w:ascii="Times New Roman" w:hAnsi="Times New Roman"/>
          <w:sz w:val="18"/>
          <w:szCs w:val="18"/>
          <w:highlight w:val="yellow"/>
        </w:rPr>
        <w:t>considerarse complementarias de</w:t>
      </w:r>
      <w:r w:rsidRPr="0038013A">
        <w:rPr>
          <w:rFonts w:ascii="Times New Roman" w:hAnsi="Times New Roman"/>
          <w:sz w:val="18"/>
          <w:szCs w:val="18"/>
          <w:highlight w:val="yellow"/>
        </w:rPr>
        <w:t xml:space="preserve"> los análisis </w:t>
      </w:r>
      <w:r>
        <w:rPr>
          <w:rFonts w:ascii="Times New Roman" w:hAnsi="Times New Roman"/>
          <w:sz w:val="18"/>
          <w:szCs w:val="18"/>
          <w:highlight w:val="yellow"/>
        </w:rPr>
        <w:t xml:space="preserve">aquí </w:t>
      </w:r>
      <w:r w:rsidRPr="0038013A">
        <w:rPr>
          <w:rFonts w:ascii="Times New Roman" w:hAnsi="Times New Roman"/>
          <w:sz w:val="18"/>
          <w:szCs w:val="18"/>
          <w:highlight w:val="yellow"/>
        </w:rPr>
        <w:t>desarrollados.</w:t>
      </w:r>
    </w:p>
  </w:footnote>
  <w:footnote w:id="11">
    <w:p w14:paraId="5D511CCB" w14:textId="77777777" w:rsidR="009857EF" w:rsidRPr="007C4FD4" w:rsidRDefault="009857EF" w:rsidP="003E0903">
      <w:pPr>
        <w:pStyle w:val="Textonotapie"/>
        <w:spacing w:before="120" w:after="120"/>
        <w:jc w:val="both"/>
        <w:rPr>
          <w:rFonts w:ascii="Times New Roman" w:hAnsi="Times New Roman"/>
          <w:sz w:val="18"/>
          <w:szCs w:val="18"/>
        </w:rPr>
      </w:pPr>
      <w:r w:rsidRPr="00B33EB0">
        <w:rPr>
          <w:rStyle w:val="Refdenotaalpie"/>
          <w:rFonts w:ascii="Times New Roman" w:hAnsi="Times New Roman"/>
          <w:sz w:val="18"/>
          <w:szCs w:val="18"/>
        </w:rPr>
        <w:footnoteRef/>
      </w:r>
      <w:r w:rsidRPr="00B33EB0">
        <w:rPr>
          <w:rFonts w:ascii="Times New Roman" w:hAnsi="Times New Roman"/>
          <w:sz w:val="18"/>
          <w:szCs w:val="18"/>
        </w:rPr>
        <w:t xml:space="preserve"> </w:t>
      </w:r>
      <w:r w:rsidRPr="004C43EA">
        <w:rPr>
          <w:rFonts w:ascii="Times New Roman" w:hAnsi="Times New Roman"/>
          <w:sz w:val="18"/>
          <w:szCs w:val="18"/>
        </w:rPr>
        <w:t>Durante los años más intensos del período de reformas estructurales (es decir, hasta 1998), los cambios en el mercado de trabajo jugaron un papel importante en el aumento del coeficiente de Gini. La literatura señala los efectos que tuvieron los procesos de flexibilización del mercado de trabajo, la liberalización de las importaciones y la vigencia de un tipo de cambio sobrevaluado, lo cual deterioró el entramado productivo local y afectó particularmente al sector menos competitivo de la economía (</w:t>
      </w:r>
      <w:r w:rsidRPr="00336106">
        <w:rPr>
          <w:rFonts w:ascii="Times New Roman" w:hAnsi="Times New Roman"/>
          <w:sz w:val="18"/>
          <w:szCs w:val="18"/>
        </w:rPr>
        <w:t>AUTOR; Altimir, Beccaria y González Rozada, 2002). Todo ello promovió la desigualdad salarial e incrementó los “retornos” educativos a la fuerza de trabajo más calificada y tuvo un efecto significativo en la evolución de la desigualdad (Cruces y Gasparini, 2009).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058DD"/>
    <w:multiLevelType w:val="hybridMultilevel"/>
    <w:tmpl w:val="C92670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27375D"/>
    <w:multiLevelType w:val="hybridMultilevel"/>
    <w:tmpl w:val="F7CAA6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44C31BA"/>
    <w:multiLevelType w:val="hybridMultilevel"/>
    <w:tmpl w:val="7E54033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B9"/>
    <w:rsid w:val="0004453E"/>
    <w:rsid w:val="00047B43"/>
    <w:rsid w:val="0006294A"/>
    <w:rsid w:val="00076044"/>
    <w:rsid w:val="000E1E44"/>
    <w:rsid w:val="000E6400"/>
    <w:rsid w:val="00144B64"/>
    <w:rsid w:val="001C3C14"/>
    <w:rsid w:val="002130A8"/>
    <w:rsid w:val="00221905"/>
    <w:rsid w:val="002C6E50"/>
    <w:rsid w:val="0030008A"/>
    <w:rsid w:val="00336106"/>
    <w:rsid w:val="003705E7"/>
    <w:rsid w:val="003D7CB1"/>
    <w:rsid w:val="003E0903"/>
    <w:rsid w:val="00410397"/>
    <w:rsid w:val="00412396"/>
    <w:rsid w:val="0047055F"/>
    <w:rsid w:val="00480FF8"/>
    <w:rsid w:val="004C43EA"/>
    <w:rsid w:val="00507003"/>
    <w:rsid w:val="00585EB3"/>
    <w:rsid w:val="00590BB9"/>
    <w:rsid w:val="005A0D60"/>
    <w:rsid w:val="005A32A9"/>
    <w:rsid w:val="005B4210"/>
    <w:rsid w:val="005B5148"/>
    <w:rsid w:val="00606149"/>
    <w:rsid w:val="00625EDF"/>
    <w:rsid w:val="006300F0"/>
    <w:rsid w:val="006B003C"/>
    <w:rsid w:val="007002D3"/>
    <w:rsid w:val="0073227E"/>
    <w:rsid w:val="00734FE0"/>
    <w:rsid w:val="00772677"/>
    <w:rsid w:val="007C4FD4"/>
    <w:rsid w:val="00872F79"/>
    <w:rsid w:val="008850F5"/>
    <w:rsid w:val="008913B4"/>
    <w:rsid w:val="008E4BD2"/>
    <w:rsid w:val="00922E37"/>
    <w:rsid w:val="00946736"/>
    <w:rsid w:val="009857EF"/>
    <w:rsid w:val="009A4EF6"/>
    <w:rsid w:val="009D1955"/>
    <w:rsid w:val="009D7AE1"/>
    <w:rsid w:val="009E581A"/>
    <w:rsid w:val="009F17A9"/>
    <w:rsid w:val="00A34609"/>
    <w:rsid w:val="00A625F4"/>
    <w:rsid w:val="00A62811"/>
    <w:rsid w:val="00A7309C"/>
    <w:rsid w:val="00AB6725"/>
    <w:rsid w:val="00AD0A49"/>
    <w:rsid w:val="00AF5C6A"/>
    <w:rsid w:val="00AF7784"/>
    <w:rsid w:val="00B33EB0"/>
    <w:rsid w:val="00B87A87"/>
    <w:rsid w:val="00C20AE2"/>
    <w:rsid w:val="00C40736"/>
    <w:rsid w:val="00C6245F"/>
    <w:rsid w:val="00C9567B"/>
    <w:rsid w:val="00CE3EAD"/>
    <w:rsid w:val="00D043B9"/>
    <w:rsid w:val="00D1480F"/>
    <w:rsid w:val="00D52AD8"/>
    <w:rsid w:val="00DC5AC3"/>
    <w:rsid w:val="00DC6521"/>
    <w:rsid w:val="00E30CB1"/>
    <w:rsid w:val="00E56DEB"/>
    <w:rsid w:val="00E83E51"/>
    <w:rsid w:val="00E909FD"/>
    <w:rsid w:val="00E92E0C"/>
    <w:rsid w:val="00EC0BC5"/>
    <w:rsid w:val="00F07E0B"/>
    <w:rsid w:val="00F3465E"/>
    <w:rsid w:val="00F63B4C"/>
    <w:rsid w:val="00FE7F2C"/>
    <w:rsid w:val="00FF0A7B"/>
    <w:rsid w:val="00FF2510"/>
    <w:rsid w:val="00FF3B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57FABC"/>
  <w15:docId w15:val="{492794D4-C357-4D11-91FF-EC53AB24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94A"/>
  </w:style>
  <w:style w:type="paragraph" w:styleId="Ttulo1">
    <w:name w:val="heading 1"/>
    <w:basedOn w:val="Normal"/>
    <w:link w:val="Ttulo1Car"/>
    <w:uiPriority w:val="9"/>
    <w:qFormat/>
    <w:rsid w:val="00C95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90BB9"/>
    <w:rPr>
      <w:color w:val="0000FF"/>
      <w:u w:val="single"/>
    </w:rPr>
  </w:style>
  <w:style w:type="character" w:customStyle="1" w:styleId="Mencinsinresolver1">
    <w:name w:val="Mención sin resolver1"/>
    <w:basedOn w:val="Fuentedeprrafopredeter"/>
    <w:uiPriority w:val="99"/>
    <w:semiHidden/>
    <w:unhideWhenUsed/>
    <w:rsid w:val="00E909FD"/>
    <w:rPr>
      <w:color w:val="605E5C"/>
      <w:shd w:val="clear" w:color="auto" w:fill="E1DFDD"/>
    </w:rPr>
  </w:style>
  <w:style w:type="paragraph" w:styleId="Prrafodelista">
    <w:name w:val="List Paragraph"/>
    <w:basedOn w:val="Normal"/>
    <w:uiPriority w:val="34"/>
    <w:qFormat/>
    <w:rsid w:val="00922E37"/>
    <w:pPr>
      <w:ind w:left="720"/>
      <w:contextualSpacing/>
    </w:pPr>
    <w:rPr>
      <w:rFonts w:eastAsia="Calibri" w:cs="Times New Roman"/>
      <w:sz w:val="22"/>
    </w:rPr>
  </w:style>
  <w:style w:type="paragraph" w:styleId="Textonotapie">
    <w:name w:val="footnote text"/>
    <w:aliases w:val="Car3 Car, Car3 Car, Car2,Car3, Car3,Car2,Geneva 9,Font: Geneva 9,Boston 10,f,Times Roman 9,Car,Car Car, Car,Texto nota pie1"/>
    <w:basedOn w:val="Normal"/>
    <w:link w:val="TextonotapieCar"/>
    <w:uiPriority w:val="99"/>
    <w:unhideWhenUsed/>
    <w:rsid w:val="00922E37"/>
    <w:pPr>
      <w:spacing w:after="0" w:line="240" w:lineRule="auto"/>
    </w:pPr>
    <w:rPr>
      <w:rFonts w:eastAsia="Calibri" w:cs="Times New Roman"/>
      <w:sz w:val="20"/>
      <w:szCs w:val="20"/>
    </w:rPr>
  </w:style>
  <w:style w:type="character" w:customStyle="1" w:styleId="TextonotapieCar">
    <w:name w:val="Texto nota pie Car"/>
    <w:aliases w:val="Car3 Car Car, Car3 Car Car, Car2 Car,Car3 Car1, Car3 Car1,Car2 Car,Geneva 9 Car,Font: Geneva 9 Car,Boston 10 Car,f Car,Times Roman 9 Car,Car Car1,Car Car Car, Car Car,Texto nota pie1 Car"/>
    <w:basedOn w:val="Fuentedeprrafopredeter"/>
    <w:link w:val="Textonotapie"/>
    <w:uiPriority w:val="99"/>
    <w:rsid w:val="00922E37"/>
    <w:rPr>
      <w:rFonts w:eastAsia="Calibri" w:cs="Times New Roman"/>
      <w:sz w:val="20"/>
      <w:szCs w:val="20"/>
    </w:rPr>
  </w:style>
  <w:style w:type="character" w:styleId="Refdenotaalpie">
    <w:name w:val="footnote reference"/>
    <w:aliases w:val="normal,Normal1,Ref,de nota al pie"/>
    <w:unhideWhenUsed/>
    <w:rsid w:val="00922E37"/>
    <w:rPr>
      <w:vertAlign w:val="superscript"/>
    </w:rPr>
  </w:style>
  <w:style w:type="paragraph" w:styleId="NormalWeb">
    <w:name w:val="Normal (Web)"/>
    <w:basedOn w:val="Normal"/>
    <w:unhideWhenUsed/>
    <w:rsid w:val="00922E37"/>
    <w:pPr>
      <w:spacing w:before="100" w:beforeAutospacing="1" w:after="100" w:afterAutospacing="1" w:line="240" w:lineRule="auto"/>
    </w:pPr>
    <w:rPr>
      <w:rFonts w:ascii="Times New Roman" w:eastAsia="Times New Roman" w:hAnsi="Times New Roman" w:cs="Times New Roman"/>
      <w:szCs w:val="24"/>
      <w:lang w:val="es-ES" w:eastAsia="es-ES"/>
    </w:rPr>
  </w:style>
  <w:style w:type="paragraph" w:styleId="Encabezado">
    <w:name w:val="header"/>
    <w:basedOn w:val="Normal"/>
    <w:link w:val="EncabezadoCar"/>
    <w:uiPriority w:val="99"/>
    <w:unhideWhenUsed/>
    <w:rsid w:val="00922E37"/>
    <w:pPr>
      <w:tabs>
        <w:tab w:val="center" w:pos="4419"/>
        <w:tab w:val="right" w:pos="8838"/>
      </w:tabs>
      <w:spacing w:after="0" w:line="240" w:lineRule="auto"/>
    </w:pPr>
    <w:rPr>
      <w:rFonts w:eastAsia="Calibri" w:cs="Times New Roman"/>
      <w:sz w:val="20"/>
      <w:szCs w:val="20"/>
    </w:rPr>
  </w:style>
  <w:style w:type="character" w:customStyle="1" w:styleId="EncabezadoCar">
    <w:name w:val="Encabezado Car"/>
    <w:basedOn w:val="Fuentedeprrafopredeter"/>
    <w:link w:val="Encabezado"/>
    <w:uiPriority w:val="99"/>
    <w:rsid w:val="00922E37"/>
    <w:rPr>
      <w:rFonts w:eastAsia="Calibri" w:cs="Times New Roman"/>
      <w:sz w:val="20"/>
      <w:szCs w:val="20"/>
    </w:rPr>
  </w:style>
  <w:style w:type="paragraph" w:styleId="Piedepgina">
    <w:name w:val="footer"/>
    <w:basedOn w:val="Normal"/>
    <w:link w:val="PiedepginaCar"/>
    <w:uiPriority w:val="99"/>
    <w:unhideWhenUsed/>
    <w:rsid w:val="00922E37"/>
    <w:pPr>
      <w:tabs>
        <w:tab w:val="center" w:pos="4419"/>
        <w:tab w:val="right" w:pos="8838"/>
      </w:tabs>
      <w:spacing w:after="0" w:line="240" w:lineRule="auto"/>
    </w:pPr>
    <w:rPr>
      <w:rFonts w:eastAsia="Calibri" w:cs="Times New Roman"/>
      <w:sz w:val="20"/>
      <w:szCs w:val="20"/>
    </w:rPr>
  </w:style>
  <w:style w:type="character" w:customStyle="1" w:styleId="PiedepginaCar">
    <w:name w:val="Pie de página Car"/>
    <w:basedOn w:val="Fuentedeprrafopredeter"/>
    <w:link w:val="Piedepgina"/>
    <w:uiPriority w:val="99"/>
    <w:rsid w:val="00922E37"/>
    <w:rPr>
      <w:rFonts w:eastAsia="Calibri" w:cs="Times New Roman"/>
      <w:sz w:val="20"/>
      <w:szCs w:val="20"/>
    </w:rPr>
  </w:style>
  <w:style w:type="character" w:styleId="Refdecomentario">
    <w:name w:val="annotation reference"/>
    <w:uiPriority w:val="99"/>
    <w:semiHidden/>
    <w:unhideWhenUsed/>
    <w:rsid w:val="00922E37"/>
    <w:rPr>
      <w:sz w:val="16"/>
      <w:szCs w:val="16"/>
    </w:rPr>
  </w:style>
  <w:style w:type="paragraph" w:styleId="Textocomentario">
    <w:name w:val="annotation text"/>
    <w:basedOn w:val="Normal"/>
    <w:link w:val="TextocomentarioCar"/>
    <w:uiPriority w:val="99"/>
    <w:semiHidden/>
    <w:unhideWhenUsed/>
    <w:rsid w:val="00922E37"/>
    <w:pPr>
      <w:spacing w:line="240" w:lineRule="auto"/>
    </w:pPr>
    <w:rPr>
      <w:rFonts w:eastAsia="Calibri" w:cs="Times New Roman"/>
      <w:sz w:val="20"/>
      <w:szCs w:val="20"/>
    </w:rPr>
  </w:style>
  <w:style w:type="character" w:customStyle="1" w:styleId="TextocomentarioCar">
    <w:name w:val="Texto comentario Car"/>
    <w:basedOn w:val="Fuentedeprrafopredeter"/>
    <w:link w:val="Textocomentario"/>
    <w:uiPriority w:val="99"/>
    <w:semiHidden/>
    <w:rsid w:val="00922E37"/>
    <w:rPr>
      <w:rFonts w:eastAsia="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22E37"/>
    <w:rPr>
      <w:b/>
      <w:bCs/>
    </w:rPr>
  </w:style>
  <w:style w:type="character" w:customStyle="1" w:styleId="AsuntodelcomentarioCar">
    <w:name w:val="Asunto del comentario Car"/>
    <w:basedOn w:val="TextocomentarioCar"/>
    <w:link w:val="Asuntodelcomentario"/>
    <w:uiPriority w:val="99"/>
    <w:semiHidden/>
    <w:rsid w:val="00922E37"/>
    <w:rPr>
      <w:rFonts w:eastAsia="Calibri" w:cs="Times New Roman"/>
      <w:b/>
      <w:bCs/>
      <w:sz w:val="20"/>
      <w:szCs w:val="20"/>
    </w:rPr>
  </w:style>
  <w:style w:type="paragraph" w:styleId="Textodeglobo">
    <w:name w:val="Balloon Text"/>
    <w:basedOn w:val="Normal"/>
    <w:link w:val="TextodegloboCar"/>
    <w:uiPriority w:val="99"/>
    <w:semiHidden/>
    <w:unhideWhenUsed/>
    <w:rsid w:val="00922E37"/>
    <w:pPr>
      <w:spacing w:after="0" w:line="240" w:lineRule="auto"/>
    </w:pPr>
    <w:rPr>
      <w:rFonts w:ascii="Tahoma" w:eastAsia="Calibri" w:hAnsi="Tahoma" w:cs="Times New Roman"/>
      <w:sz w:val="16"/>
      <w:szCs w:val="16"/>
    </w:rPr>
  </w:style>
  <w:style w:type="character" w:customStyle="1" w:styleId="TextodegloboCar">
    <w:name w:val="Texto de globo Car"/>
    <w:basedOn w:val="Fuentedeprrafopredeter"/>
    <w:link w:val="Textodeglobo"/>
    <w:uiPriority w:val="99"/>
    <w:semiHidden/>
    <w:rsid w:val="00922E37"/>
    <w:rPr>
      <w:rFonts w:ascii="Tahoma" w:eastAsia="Calibri" w:hAnsi="Tahoma" w:cs="Times New Roman"/>
      <w:sz w:val="16"/>
      <w:szCs w:val="16"/>
    </w:rPr>
  </w:style>
  <w:style w:type="character" w:styleId="Textodelmarcadordeposicin">
    <w:name w:val="Placeholder Text"/>
    <w:uiPriority w:val="99"/>
    <w:semiHidden/>
    <w:rsid w:val="00922E37"/>
    <w:rPr>
      <w:color w:val="808080"/>
    </w:rPr>
  </w:style>
  <w:style w:type="paragraph" w:styleId="Textonotaalfinal">
    <w:name w:val="endnote text"/>
    <w:basedOn w:val="Normal"/>
    <w:link w:val="TextonotaalfinalCar"/>
    <w:uiPriority w:val="99"/>
    <w:semiHidden/>
    <w:unhideWhenUsed/>
    <w:rsid w:val="00922E37"/>
    <w:rPr>
      <w:rFonts w:eastAsia="Calibri" w:cs="Times New Roman"/>
      <w:sz w:val="20"/>
      <w:szCs w:val="20"/>
    </w:rPr>
  </w:style>
  <w:style w:type="character" w:customStyle="1" w:styleId="TextonotaalfinalCar">
    <w:name w:val="Texto nota al final Car"/>
    <w:basedOn w:val="Fuentedeprrafopredeter"/>
    <w:link w:val="Textonotaalfinal"/>
    <w:uiPriority w:val="99"/>
    <w:semiHidden/>
    <w:rsid w:val="00922E37"/>
    <w:rPr>
      <w:rFonts w:eastAsia="Calibri" w:cs="Times New Roman"/>
      <w:sz w:val="20"/>
      <w:szCs w:val="20"/>
    </w:rPr>
  </w:style>
  <w:style w:type="character" w:styleId="Refdenotaalfinal">
    <w:name w:val="endnote reference"/>
    <w:uiPriority w:val="99"/>
    <w:semiHidden/>
    <w:unhideWhenUsed/>
    <w:rsid w:val="00922E37"/>
    <w:rPr>
      <w:vertAlign w:val="superscript"/>
    </w:rPr>
  </w:style>
  <w:style w:type="paragraph" w:styleId="Sinespaciado">
    <w:name w:val="No Spacing"/>
    <w:link w:val="SinespaciadoCar"/>
    <w:uiPriority w:val="99"/>
    <w:qFormat/>
    <w:rsid w:val="00922E37"/>
    <w:pPr>
      <w:spacing w:after="0" w:line="240" w:lineRule="auto"/>
    </w:pPr>
    <w:rPr>
      <w:rFonts w:ascii="Arial" w:eastAsia="Calibri" w:hAnsi="Arial" w:cs="Times New Roman"/>
      <w:sz w:val="22"/>
    </w:rPr>
  </w:style>
  <w:style w:type="paragraph" w:customStyle="1" w:styleId="Logro">
    <w:name w:val="Logro"/>
    <w:basedOn w:val="Textoindependiente"/>
    <w:rsid w:val="00922E37"/>
    <w:pPr>
      <w:overflowPunct w:val="0"/>
      <w:autoSpaceDE w:val="0"/>
      <w:autoSpaceDN w:val="0"/>
      <w:adjustRightInd w:val="0"/>
      <w:spacing w:after="60" w:line="220" w:lineRule="atLeast"/>
      <w:ind w:left="240" w:hanging="240"/>
      <w:jc w:val="both"/>
      <w:textAlignment w:val="baseline"/>
    </w:pPr>
    <w:rPr>
      <w:rFonts w:ascii="Arial" w:eastAsia="Times New Roman" w:hAnsi="Arial"/>
      <w:spacing w:val="-5"/>
      <w:sz w:val="20"/>
      <w:szCs w:val="20"/>
      <w:lang w:val="es-ES_tradnl" w:eastAsia="es-ES"/>
    </w:rPr>
  </w:style>
  <w:style w:type="paragraph" w:styleId="Textoindependiente">
    <w:name w:val="Body Text"/>
    <w:basedOn w:val="Normal"/>
    <w:link w:val="TextoindependienteCar"/>
    <w:uiPriority w:val="99"/>
    <w:unhideWhenUsed/>
    <w:rsid w:val="00922E37"/>
    <w:pPr>
      <w:spacing w:after="120"/>
    </w:pPr>
    <w:rPr>
      <w:rFonts w:eastAsia="Calibri" w:cs="Times New Roman"/>
      <w:sz w:val="22"/>
    </w:rPr>
  </w:style>
  <w:style w:type="character" w:customStyle="1" w:styleId="TextoindependienteCar">
    <w:name w:val="Texto independiente Car"/>
    <w:basedOn w:val="Fuentedeprrafopredeter"/>
    <w:link w:val="Textoindependiente"/>
    <w:uiPriority w:val="99"/>
    <w:rsid w:val="00922E37"/>
    <w:rPr>
      <w:rFonts w:eastAsia="Calibri" w:cs="Times New Roman"/>
      <w:sz w:val="22"/>
    </w:rPr>
  </w:style>
  <w:style w:type="paragraph" w:styleId="Lista">
    <w:name w:val="List"/>
    <w:basedOn w:val="Normal"/>
    <w:uiPriority w:val="99"/>
    <w:unhideWhenUsed/>
    <w:rsid w:val="00922E37"/>
    <w:pPr>
      <w:ind w:left="283" w:hanging="283"/>
      <w:contextualSpacing/>
    </w:pPr>
    <w:rPr>
      <w:rFonts w:eastAsia="Calibri" w:cs="Times New Roman"/>
      <w:sz w:val="22"/>
    </w:rPr>
  </w:style>
  <w:style w:type="paragraph" w:styleId="Saludo">
    <w:name w:val="Salutation"/>
    <w:basedOn w:val="Normal"/>
    <w:next w:val="Normal"/>
    <w:link w:val="SaludoCar"/>
    <w:uiPriority w:val="99"/>
    <w:unhideWhenUsed/>
    <w:rsid w:val="00922E37"/>
    <w:rPr>
      <w:rFonts w:eastAsia="Calibri" w:cs="Times New Roman"/>
      <w:sz w:val="22"/>
    </w:rPr>
  </w:style>
  <w:style w:type="character" w:customStyle="1" w:styleId="SaludoCar">
    <w:name w:val="Saludo Car"/>
    <w:basedOn w:val="Fuentedeprrafopredeter"/>
    <w:link w:val="Saludo"/>
    <w:uiPriority w:val="99"/>
    <w:rsid w:val="00922E37"/>
    <w:rPr>
      <w:rFonts w:eastAsia="Calibri" w:cs="Times New Roman"/>
      <w:sz w:val="22"/>
    </w:rPr>
  </w:style>
  <w:style w:type="paragraph" w:customStyle="1" w:styleId="Epgrafe1">
    <w:name w:val="Epígrafe1"/>
    <w:basedOn w:val="Normal"/>
    <w:next w:val="Normal"/>
    <w:uiPriority w:val="35"/>
    <w:unhideWhenUsed/>
    <w:qFormat/>
    <w:rsid w:val="00922E37"/>
    <w:pPr>
      <w:spacing w:line="240" w:lineRule="auto"/>
    </w:pPr>
    <w:rPr>
      <w:rFonts w:eastAsia="Calibri" w:cs="Times New Roman"/>
      <w:b/>
      <w:bCs/>
      <w:color w:val="5B9BD5"/>
      <w:sz w:val="18"/>
      <w:szCs w:val="18"/>
    </w:rPr>
  </w:style>
  <w:style w:type="paragraph" w:styleId="Sangradetextonormal">
    <w:name w:val="Body Text Indent"/>
    <w:basedOn w:val="Normal"/>
    <w:link w:val="SangradetextonormalCar"/>
    <w:uiPriority w:val="99"/>
    <w:unhideWhenUsed/>
    <w:rsid w:val="00922E37"/>
    <w:pPr>
      <w:spacing w:after="120"/>
      <w:ind w:left="283"/>
    </w:pPr>
    <w:rPr>
      <w:rFonts w:eastAsia="Calibri" w:cs="Times New Roman"/>
      <w:sz w:val="22"/>
    </w:rPr>
  </w:style>
  <w:style w:type="character" w:customStyle="1" w:styleId="SangradetextonormalCar">
    <w:name w:val="Sangría de texto normal Car"/>
    <w:basedOn w:val="Fuentedeprrafopredeter"/>
    <w:link w:val="Sangradetextonormal"/>
    <w:uiPriority w:val="99"/>
    <w:rsid w:val="00922E37"/>
    <w:rPr>
      <w:rFonts w:eastAsia="Calibri" w:cs="Times New Roman"/>
      <w:sz w:val="22"/>
    </w:rPr>
  </w:style>
  <w:style w:type="paragraph" w:styleId="Textoindependienteprimerasangra">
    <w:name w:val="Body Text First Indent"/>
    <w:basedOn w:val="Textoindependiente"/>
    <w:link w:val="TextoindependienteprimerasangraCar"/>
    <w:uiPriority w:val="99"/>
    <w:unhideWhenUsed/>
    <w:rsid w:val="00922E37"/>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22E37"/>
    <w:rPr>
      <w:rFonts w:eastAsia="Calibri" w:cs="Times New Roman"/>
      <w:sz w:val="22"/>
    </w:rPr>
  </w:style>
  <w:style w:type="paragraph" w:customStyle="1" w:styleId="Default">
    <w:name w:val="Default"/>
    <w:rsid w:val="00922E37"/>
    <w:pPr>
      <w:autoSpaceDE w:val="0"/>
      <w:autoSpaceDN w:val="0"/>
      <w:adjustRightInd w:val="0"/>
      <w:spacing w:after="0" w:line="240" w:lineRule="auto"/>
    </w:pPr>
    <w:rPr>
      <w:rFonts w:ascii="Times New Roman" w:eastAsia="Calibri" w:hAnsi="Times New Roman" w:cs="Times New Roman"/>
      <w:color w:val="000000"/>
      <w:szCs w:val="24"/>
      <w:lang w:eastAsia="es-AR"/>
    </w:rPr>
  </w:style>
  <w:style w:type="character" w:customStyle="1" w:styleId="SinespaciadoCar">
    <w:name w:val="Sin espaciado Car"/>
    <w:basedOn w:val="Fuentedeprrafopredeter"/>
    <w:link w:val="Sinespaciado"/>
    <w:uiPriority w:val="99"/>
    <w:rsid w:val="00922E37"/>
    <w:rPr>
      <w:rFonts w:ascii="Arial" w:eastAsia="Calibri" w:hAnsi="Arial" w:cs="Times New Roman"/>
      <w:sz w:val="22"/>
    </w:rPr>
  </w:style>
  <w:style w:type="character" w:customStyle="1" w:styleId="Ttulo1Car">
    <w:name w:val="Título 1 Car"/>
    <w:basedOn w:val="Fuentedeprrafopredeter"/>
    <w:link w:val="Ttulo1"/>
    <w:uiPriority w:val="9"/>
    <w:rsid w:val="00C9567B"/>
    <w:rPr>
      <w:rFonts w:ascii="Times New Roman" w:eastAsia="Times New Roman" w:hAnsi="Times New Roman" w:cs="Times New Roman"/>
      <w:b/>
      <w:bCs/>
      <w:kern w:val="36"/>
      <w:sz w:val="48"/>
      <w:szCs w:val="48"/>
      <w:lang w:eastAsia="es-AR"/>
    </w:rPr>
  </w:style>
  <w:style w:type="character" w:styleId="CitaHTML">
    <w:name w:val="HTML Cite"/>
    <w:basedOn w:val="Fuentedeprrafopredeter"/>
    <w:uiPriority w:val="99"/>
    <w:semiHidden/>
    <w:unhideWhenUsed/>
    <w:rsid w:val="00C9567B"/>
    <w:rPr>
      <w:i/>
      <w:iCs/>
    </w:rPr>
  </w:style>
  <w:style w:type="paragraph" w:styleId="Revisin">
    <w:name w:val="Revision"/>
    <w:hidden/>
    <w:uiPriority w:val="99"/>
    <w:semiHidden/>
    <w:rsid w:val="009857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60453">
      <w:bodyDiv w:val="1"/>
      <w:marLeft w:val="0"/>
      <w:marRight w:val="0"/>
      <w:marTop w:val="0"/>
      <w:marBottom w:val="0"/>
      <w:divBdr>
        <w:top w:val="none" w:sz="0" w:space="0" w:color="auto"/>
        <w:left w:val="none" w:sz="0" w:space="0" w:color="auto"/>
        <w:bottom w:val="none" w:sz="0" w:space="0" w:color="auto"/>
        <w:right w:val="none" w:sz="0" w:space="0" w:color="auto"/>
      </w:divBdr>
    </w:div>
    <w:div w:id="718437526">
      <w:bodyDiv w:val="1"/>
      <w:marLeft w:val="0"/>
      <w:marRight w:val="0"/>
      <w:marTop w:val="0"/>
      <w:marBottom w:val="0"/>
      <w:divBdr>
        <w:top w:val="none" w:sz="0" w:space="0" w:color="auto"/>
        <w:left w:val="none" w:sz="0" w:space="0" w:color="auto"/>
        <w:bottom w:val="none" w:sz="0" w:space="0" w:color="auto"/>
        <w:right w:val="none" w:sz="0" w:space="0" w:color="auto"/>
      </w:divBdr>
      <w:divsChild>
        <w:div w:id="213472092">
          <w:marLeft w:val="0"/>
          <w:marRight w:val="0"/>
          <w:marTop w:val="0"/>
          <w:marBottom w:val="0"/>
          <w:divBdr>
            <w:top w:val="none" w:sz="0" w:space="0" w:color="auto"/>
            <w:left w:val="none" w:sz="0" w:space="0" w:color="auto"/>
            <w:bottom w:val="none" w:sz="0" w:space="0" w:color="auto"/>
            <w:right w:val="none" w:sz="0" w:space="0" w:color="auto"/>
          </w:divBdr>
        </w:div>
        <w:div w:id="438262274">
          <w:marLeft w:val="0"/>
          <w:marRight w:val="0"/>
          <w:marTop w:val="0"/>
          <w:marBottom w:val="0"/>
          <w:divBdr>
            <w:top w:val="none" w:sz="0" w:space="0" w:color="auto"/>
            <w:left w:val="none" w:sz="0" w:space="0" w:color="auto"/>
            <w:bottom w:val="none" w:sz="0" w:space="0" w:color="auto"/>
            <w:right w:val="none" w:sz="0" w:space="0" w:color="auto"/>
          </w:divBdr>
        </w:div>
        <w:div w:id="654146650">
          <w:marLeft w:val="0"/>
          <w:marRight w:val="0"/>
          <w:marTop w:val="0"/>
          <w:marBottom w:val="0"/>
          <w:divBdr>
            <w:top w:val="none" w:sz="0" w:space="0" w:color="auto"/>
            <w:left w:val="none" w:sz="0" w:space="0" w:color="auto"/>
            <w:bottom w:val="none" w:sz="0" w:space="0" w:color="auto"/>
            <w:right w:val="none" w:sz="0" w:space="0" w:color="auto"/>
          </w:divBdr>
        </w:div>
      </w:divsChild>
    </w:div>
    <w:div w:id="815686480">
      <w:bodyDiv w:val="1"/>
      <w:marLeft w:val="0"/>
      <w:marRight w:val="0"/>
      <w:marTop w:val="0"/>
      <w:marBottom w:val="0"/>
      <w:divBdr>
        <w:top w:val="none" w:sz="0" w:space="0" w:color="auto"/>
        <w:left w:val="none" w:sz="0" w:space="0" w:color="auto"/>
        <w:bottom w:val="none" w:sz="0" w:space="0" w:color="auto"/>
        <w:right w:val="none" w:sz="0" w:space="0" w:color="auto"/>
      </w:divBdr>
    </w:div>
    <w:div w:id="839739499">
      <w:bodyDiv w:val="1"/>
      <w:marLeft w:val="0"/>
      <w:marRight w:val="0"/>
      <w:marTop w:val="0"/>
      <w:marBottom w:val="0"/>
      <w:divBdr>
        <w:top w:val="none" w:sz="0" w:space="0" w:color="auto"/>
        <w:left w:val="none" w:sz="0" w:space="0" w:color="auto"/>
        <w:bottom w:val="none" w:sz="0" w:space="0" w:color="auto"/>
        <w:right w:val="none" w:sz="0" w:space="0" w:color="auto"/>
      </w:divBdr>
      <w:divsChild>
        <w:div w:id="920793862">
          <w:marLeft w:val="0"/>
          <w:marRight w:val="0"/>
          <w:marTop w:val="0"/>
          <w:marBottom w:val="0"/>
          <w:divBdr>
            <w:top w:val="none" w:sz="0" w:space="0" w:color="auto"/>
            <w:left w:val="none" w:sz="0" w:space="0" w:color="auto"/>
            <w:bottom w:val="none" w:sz="0" w:space="0" w:color="auto"/>
            <w:right w:val="none" w:sz="0" w:space="0" w:color="auto"/>
          </w:divBdr>
        </w:div>
        <w:div w:id="2130855495">
          <w:marLeft w:val="0"/>
          <w:marRight w:val="0"/>
          <w:marTop w:val="0"/>
          <w:marBottom w:val="0"/>
          <w:divBdr>
            <w:top w:val="none" w:sz="0" w:space="0" w:color="auto"/>
            <w:left w:val="none" w:sz="0" w:space="0" w:color="auto"/>
            <w:bottom w:val="none" w:sz="0" w:space="0" w:color="auto"/>
            <w:right w:val="none" w:sz="0" w:space="0" w:color="auto"/>
          </w:divBdr>
        </w:div>
      </w:divsChild>
    </w:div>
    <w:div w:id="850417059">
      <w:bodyDiv w:val="1"/>
      <w:marLeft w:val="0"/>
      <w:marRight w:val="0"/>
      <w:marTop w:val="0"/>
      <w:marBottom w:val="0"/>
      <w:divBdr>
        <w:top w:val="none" w:sz="0" w:space="0" w:color="auto"/>
        <w:left w:val="none" w:sz="0" w:space="0" w:color="auto"/>
        <w:bottom w:val="none" w:sz="0" w:space="0" w:color="auto"/>
        <w:right w:val="none" w:sz="0" w:space="0" w:color="auto"/>
      </w:divBdr>
    </w:div>
    <w:div w:id="1026977381">
      <w:bodyDiv w:val="1"/>
      <w:marLeft w:val="0"/>
      <w:marRight w:val="0"/>
      <w:marTop w:val="0"/>
      <w:marBottom w:val="0"/>
      <w:divBdr>
        <w:top w:val="none" w:sz="0" w:space="0" w:color="auto"/>
        <w:left w:val="none" w:sz="0" w:space="0" w:color="auto"/>
        <w:bottom w:val="none" w:sz="0" w:space="0" w:color="auto"/>
        <w:right w:val="none" w:sz="0" w:space="0" w:color="auto"/>
      </w:divBdr>
    </w:div>
    <w:div w:id="1135175172">
      <w:bodyDiv w:val="1"/>
      <w:marLeft w:val="0"/>
      <w:marRight w:val="0"/>
      <w:marTop w:val="0"/>
      <w:marBottom w:val="0"/>
      <w:divBdr>
        <w:top w:val="none" w:sz="0" w:space="0" w:color="auto"/>
        <w:left w:val="none" w:sz="0" w:space="0" w:color="auto"/>
        <w:bottom w:val="none" w:sz="0" w:space="0" w:color="auto"/>
        <w:right w:val="none" w:sz="0" w:space="0" w:color="auto"/>
      </w:divBdr>
    </w:div>
    <w:div w:id="1300186919">
      <w:bodyDiv w:val="1"/>
      <w:marLeft w:val="0"/>
      <w:marRight w:val="0"/>
      <w:marTop w:val="0"/>
      <w:marBottom w:val="0"/>
      <w:divBdr>
        <w:top w:val="none" w:sz="0" w:space="0" w:color="auto"/>
        <w:left w:val="none" w:sz="0" w:space="0" w:color="auto"/>
        <w:bottom w:val="none" w:sz="0" w:space="0" w:color="auto"/>
        <w:right w:val="none" w:sz="0" w:space="0" w:color="auto"/>
      </w:divBdr>
    </w:div>
    <w:div w:id="1419015505">
      <w:bodyDiv w:val="1"/>
      <w:marLeft w:val="0"/>
      <w:marRight w:val="0"/>
      <w:marTop w:val="0"/>
      <w:marBottom w:val="0"/>
      <w:divBdr>
        <w:top w:val="none" w:sz="0" w:space="0" w:color="auto"/>
        <w:left w:val="none" w:sz="0" w:space="0" w:color="auto"/>
        <w:bottom w:val="none" w:sz="0" w:space="0" w:color="auto"/>
        <w:right w:val="none" w:sz="0" w:space="0" w:color="auto"/>
      </w:divBdr>
    </w:div>
    <w:div w:id="1426615300">
      <w:bodyDiv w:val="1"/>
      <w:marLeft w:val="0"/>
      <w:marRight w:val="0"/>
      <w:marTop w:val="0"/>
      <w:marBottom w:val="0"/>
      <w:divBdr>
        <w:top w:val="none" w:sz="0" w:space="0" w:color="auto"/>
        <w:left w:val="none" w:sz="0" w:space="0" w:color="auto"/>
        <w:bottom w:val="none" w:sz="0" w:space="0" w:color="auto"/>
        <w:right w:val="none" w:sz="0" w:space="0" w:color="auto"/>
      </w:divBdr>
    </w:div>
    <w:div w:id="158494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nc.edu.ar/index.php/REyE/article/view/194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4FB8-9218-40F8-9B0D-5534CEAE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9809</Words>
  <Characters>53953</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2020-02-17T18:59:00Z</dcterms:created>
  <dcterms:modified xsi:type="dcterms:W3CDTF">2020-02-17T19:16:00Z</dcterms:modified>
</cp:coreProperties>
</file>