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36CEE" w14:textId="34E512F0" w:rsidR="006B048C" w:rsidRPr="00CF177C" w:rsidRDefault="005F43A3" w:rsidP="00F6296B">
      <w:pPr>
        <w:spacing w:before="120" w:after="0" w:line="240" w:lineRule="auto"/>
        <w:jc w:val="both"/>
        <w:rPr>
          <w:rFonts w:ascii="Times New Roman" w:hAnsi="Times New Roman" w:cs="Times New Roman"/>
          <w:b/>
          <w:sz w:val="26"/>
          <w:szCs w:val="26"/>
          <w:lang w:val="es-ES"/>
        </w:rPr>
      </w:pPr>
      <w:r>
        <w:rPr>
          <w:rFonts w:ascii="Times New Roman" w:hAnsi="Times New Roman" w:cs="Times New Roman"/>
          <w:b/>
          <w:sz w:val="26"/>
          <w:szCs w:val="26"/>
          <w:lang w:val="es-ES"/>
        </w:rPr>
        <w:t>Procesos</w:t>
      </w:r>
      <w:r w:rsidR="002818DE" w:rsidRPr="00CF177C">
        <w:rPr>
          <w:rFonts w:ascii="Times New Roman" w:hAnsi="Times New Roman" w:cs="Times New Roman"/>
          <w:b/>
          <w:sz w:val="26"/>
          <w:szCs w:val="26"/>
          <w:lang w:val="es-ES"/>
        </w:rPr>
        <w:t xml:space="preserve"> de exclusión en las políticas sociales</w:t>
      </w:r>
      <w:r w:rsidR="00D675ED" w:rsidRPr="00CF177C">
        <w:rPr>
          <w:rFonts w:ascii="Times New Roman" w:hAnsi="Times New Roman" w:cs="Times New Roman"/>
          <w:b/>
          <w:sz w:val="26"/>
          <w:szCs w:val="26"/>
          <w:lang w:val="es-ES"/>
        </w:rPr>
        <w:t>: e</w:t>
      </w:r>
      <w:r w:rsidR="00F6296B" w:rsidRPr="00CF177C">
        <w:rPr>
          <w:rFonts w:ascii="Times New Roman" w:hAnsi="Times New Roman" w:cs="Times New Roman"/>
          <w:b/>
          <w:sz w:val="26"/>
          <w:szCs w:val="26"/>
          <w:lang w:val="es-ES"/>
        </w:rPr>
        <w:t>xplorando los perfiles de l</w:t>
      </w:r>
      <w:r w:rsidR="002818DE" w:rsidRPr="00CF177C">
        <w:rPr>
          <w:rFonts w:ascii="Times New Roman" w:hAnsi="Times New Roman" w:cs="Times New Roman"/>
          <w:b/>
          <w:sz w:val="26"/>
          <w:szCs w:val="26"/>
          <w:lang w:val="es-ES"/>
        </w:rPr>
        <w:t xml:space="preserve">a población no </w:t>
      </w:r>
      <w:r w:rsidR="00C6083A">
        <w:rPr>
          <w:rFonts w:ascii="Times New Roman" w:hAnsi="Times New Roman" w:cs="Times New Roman"/>
          <w:b/>
          <w:sz w:val="26"/>
          <w:szCs w:val="26"/>
          <w:lang w:val="es-ES"/>
        </w:rPr>
        <w:t>perceptora</w:t>
      </w:r>
      <w:r w:rsidR="00F6296B" w:rsidRPr="00CF177C">
        <w:rPr>
          <w:rFonts w:ascii="Times New Roman" w:hAnsi="Times New Roman" w:cs="Times New Roman"/>
          <w:b/>
          <w:sz w:val="26"/>
          <w:szCs w:val="26"/>
          <w:lang w:val="es-ES"/>
        </w:rPr>
        <w:t xml:space="preserve"> </w:t>
      </w:r>
      <w:r w:rsidR="00C6083A">
        <w:rPr>
          <w:rFonts w:ascii="Times New Roman" w:hAnsi="Times New Roman" w:cs="Times New Roman"/>
          <w:b/>
          <w:sz w:val="26"/>
          <w:szCs w:val="26"/>
          <w:lang w:val="es-ES"/>
        </w:rPr>
        <w:t>de</w:t>
      </w:r>
      <w:r w:rsidR="00F6296B" w:rsidRPr="00CF177C">
        <w:rPr>
          <w:rFonts w:ascii="Times New Roman" w:hAnsi="Times New Roman" w:cs="Times New Roman"/>
          <w:b/>
          <w:sz w:val="26"/>
          <w:szCs w:val="26"/>
          <w:lang w:val="es-ES"/>
        </w:rPr>
        <w:t xml:space="preserve"> la Asignación Universal por Hijo</w:t>
      </w:r>
    </w:p>
    <w:p w14:paraId="2446B97C" w14:textId="77777777" w:rsidR="00F6296B" w:rsidRPr="00CF177C" w:rsidRDefault="00F6296B" w:rsidP="006B048C">
      <w:pPr>
        <w:spacing w:before="120" w:after="0" w:line="240" w:lineRule="auto"/>
        <w:rPr>
          <w:rFonts w:ascii="Times New Roman" w:hAnsi="Times New Roman" w:cs="Times New Roman"/>
          <w:b/>
          <w:szCs w:val="24"/>
          <w:lang w:val="es-ES"/>
        </w:rPr>
      </w:pPr>
    </w:p>
    <w:p w14:paraId="4846876A" w14:textId="77777777" w:rsidR="0045158D" w:rsidRPr="0045158D" w:rsidRDefault="0045158D" w:rsidP="0045158D">
      <w:pPr>
        <w:spacing w:before="120" w:after="0" w:line="240" w:lineRule="auto"/>
        <w:jc w:val="right"/>
        <w:rPr>
          <w:rFonts w:ascii="Times New Roman" w:hAnsi="Times New Roman" w:cs="Times New Roman"/>
          <w:szCs w:val="24"/>
          <w:lang w:val="es-ES"/>
        </w:rPr>
      </w:pPr>
      <w:r w:rsidRPr="0045158D">
        <w:rPr>
          <w:rFonts w:ascii="Times New Roman" w:hAnsi="Times New Roman" w:cs="Times New Roman"/>
          <w:szCs w:val="24"/>
          <w:lang w:val="es-ES"/>
        </w:rPr>
        <w:t>Agustín Salvia</w:t>
      </w:r>
    </w:p>
    <w:p w14:paraId="54C5BE48" w14:textId="77777777" w:rsidR="0045158D" w:rsidRPr="0017618C" w:rsidRDefault="0045158D" w:rsidP="0045158D">
      <w:pPr>
        <w:spacing w:after="0"/>
        <w:jc w:val="right"/>
        <w:rPr>
          <w:rFonts w:ascii="Times New Roman" w:hAnsi="Times New Roman" w:cs="Times New Roman"/>
          <w:szCs w:val="24"/>
        </w:rPr>
      </w:pPr>
      <w:r w:rsidRPr="0045158D">
        <w:rPr>
          <w:rFonts w:ascii="Times New Roman" w:hAnsi="Times New Roman" w:cs="Times New Roman"/>
          <w:szCs w:val="24"/>
        </w:rPr>
        <w:t>Observatorio de la Deuda Social Argentina (Universidad Cat</w:t>
      </w:r>
      <w:r>
        <w:rPr>
          <w:rFonts w:ascii="Times New Roman" w:hAnsi="Times New Roman" w:cs="Times New Roman"/>
          <w:szCs w:val="24"/>
        </w:rPr>
        <w:t xml:space="preserve">ólica Argentina) y </w:t>
      </w:r>
      <w:r w:rsidRPr="0045158D">
        <w:rPr>
          <w:rFonts w:ascii="Times New Roman" w:hAnsi="Times New Roman" w:cs="Times New Roman"/>
          <w:szCs w:val="24"/>
        </w:rPr>
        <w:t xml:space="preserve">CONICET. </w:t>
      </w:r>
      <w:r w:rsidRPr="0017618C">
        <w:rPr>
          <w:rFonts w:ascii="Times New Roman" w:hAnsi="Times New Roman" w:cs="Times New Roman"/>
          <w:szCs w:val="24"/>
        </w:rPr>
        <w:t xml:space="preserve">E-mail: </w:t>
      </w:r>
      <w:hyperlink r:id="rId8" w:history="1">
        <w:r w:rsidRPr="0017618C">
          <w:rPr>
            <w:rStyle w:val="Hipervnculo"/>
            <w:rFonts w:ascii="Times New Roman" w:hAnsi="Times New Roman" w:cs="Times New Roman"/>
            <w:szCs w:val="24"/>
          </w:rPr>
          <w:t>agustin_salvia@uca.edu.ar</w:t>
        </w:r>
      </w:hyperlink>
    </w:p>
    <w:p w14:paraId="4121A2A7" w14:textId="77777777" w:rsidR="0045158D" w:rsidRPr="0045158D" w:rsidRDefault="0045158D" w:rsidP="0045158D">
      <w:pPr>
        <w:spacing w:before="120" w:after="0" w:line="240" w:lineRule="auto"/>
        <w:jc w:val="right"/>
        <w:rPr>
          <w:rFonts w:ascii="Times New Roman" w:hAnsi="Times New Roman" w:cs="Times New Roman"/>
          <w:szCs w:val="24"/>
          <w:lang w:val="es-ES"/>
        </w:rPr>
      </w:pPr>
      <w:proofErr w:type="spellStart"/>
      <w:r w:rsidRPr="0045158D">
        <w:rPr>
          <w:rFonts w:ascii="Times New Roman" w:hAnsi="Times New Roman" w:cs="Times New Roman"/>
          <w:szCs w:val="24"/>
          <w:lang w:val="es-ES"/>
        </w:rPr>
        <w:t>Ianina</w:t>
      </w:r>
      <w:proofErr w:type="spellEnd"/>
      <w:r w:rsidRPr="0045158D">
        <w:rPr>
          <w:rFonts w:ascii="Times New Roman" w:hAnsi="Times New Roman" w:cs="Times New Roman"/>
          <w:szCs w:val="24"/>
          <w:lang w:val="es-ES"/>
        </w:rPr>
        <w:t xml:space="preserve"> Tuñón</w:t>
      </w:r>
    </w:p>
    <w:p w14:paraId="4269B9FC" w14:textId="77777777" w:rsidR="0045158D" w:rsidRPr="0045158D" w:rsidRDefault="0045158D" w:rsidP="0045158D">
      <w:pPr>
        <w:pStyle w:val="Textonotapie"/>
        <w:jc w:val="right"/>
        <w:rPr>
          <w:rFonts w:ascii="Times New Roman" w:hAnsi="Times New Roman" w:cs="Times New Roman"/>
          <w:sz w:val="24"/>
          <w:szCs w:val="24"/>
        </w:rPr>
      </w:pPr>
      <w:r w:rsidRPr="0045158D">
        <w:rPr>
          <w:rFonts w:ascii="Times New Roman" w:hAnsi="Times New Roman" w:cs="Times New Roman"/>
          <w:sz w:val="24"/>
          <w:szCs w:val="24"/>
        </w:rPr>
        <w:t xml:space="preserve">Observatorio de la Deuda Social Argentina (Universidad Católica Argentina). E-mail: </w:t>
      </w:r>
      <w:hyperlink r:id="rId9" w:history="1">
        <w:r w:rsidRPr="0045158D">
          <w:rPr>
            <w:rStyle w:val="Hipervnculo"/>
            <w:rFonts w:ascii="Times New Roman" w:hAnsi="Times New Roman" w:cs="Times New Roman"/>
            <w:sz w:val="24"/>
            <w:szCs w:val="24"/>
          </w:rPr>
          <w:t>ianina_tunon@uca.edu.ar</w:t>
        </w:r>
      </w:hyperlink>
      <w:r w:rsidRPr="0045158D">
        <w:rPr>
          <w:rFonts w:ascii="Times New Roman" w:hAnsi="Times New Roman" w:cs="Times New Roman"/>
          <w:sz w:val="24"/>
          <w:szCs w:val="24"/>
        </w:rPr>
        <w:t xml:space="preserve"> </w:t>
      </w:r>
    </w:p>
    <w:p w14:paraId="6D10BFCD" w14:textId="77777777" w:rsidR="0045158D" w:rsidRPr="0045158D" w:rsidRDefault="0045158D" w:rsidP="0045158D">
      <w:pPr>
        <w:spacing w:before="120" w:after="0" w:line="240" w:lineRule="auto"/>
        <w:jc w:val="right"/>
        <w:rPr>
          <w:rFonts w:ascii="Times New Roman" w:hAnsi="Times New Roman" w:cs="Times New Roman"/>
          <w:szCs w:val="24"/>
          <w:lang w:val="es-ES"/>
        </w:rPr>
      </w:pPr>
      <w:r w:rsidRPr="0045158D">
        <w:rPr>
          <w:rFonts w:ascii="Times New Roman" w:hAnsi="Times New Roman" w:cs="Times New Roman"/>
          <w:szCs w:val="24"/>
          <w:lang w:val="es-ES"/>
        </w:rPr>
        <w:t>Santiago Poy</w:t>
      </w:r>
    </w:p>
    <w:p w14:paraId="369B11B6" w14:textId="77777777" w:rsidR="0045158D" w:rsidRPr="0045158D" w:rsidRDefault="0045158D" w:rsidP="0045158D">
      <w:pPr>
        <w:pStyle w:val="Textonotapie"/>
        <w:jc w:val="right"/>
        <w:rPr>
          <w:rFonts w:ascii="Times New Roman" w:hAnsi="Times New Roman" w:cs="Times New Roman"/>
          <w:sz w:val="24"/>
          <w:szCs w:val="24"/>
        </w:rPr>
      </w:pPr>
      <w:r w:rsidRPr="0045158D">
        <w:rPr>
          <w:rFonts w:ascii="Times New Roman" w:hAnsi="Times New Roman" w:cs="Times New Roman"/>
          <w:sz w:val="24"/>
          <w:szCs w:val="24"/>
        </w:rPr>
        <w:t xml:space="preserve">Observatorio de la Deuda Social Argentina (Universidad Católica Argentina) y CONICET. E-mail:  </w:t>
      </w:r>
      <w:hyperlink r:id="rId10" w:history="1">
        <w:r w:rsidRPr="0045158D">
          <w:rPr>
            <w:rStyle w:val="Hipervnculo"/>
            <w:rFonts w:ascii="Times New Roman" w:hAnsi="Times New Roman" w:cs="Times New Roman"/>
            <w:sz w:val="24"/>
            <w:szCs w:val="24"/>
          </w:rPr>
          <w:t>santiago_poy@uca.edu.ar</w:t>
        </w:r>
      </w:hyperlink>
      <w:r w:rsidRPr="0045158D">
        <w:rPr>
          <w:rFonts w:ascii="Times New Roman" w:hAnsi="Times New Roman" w:cs="Times New Roman"/>
          <w:sz w:val="24"/>
          <w:szCs w:val="24"/>
        </w:rPr>
        <w:t xml:space="preserve"> </w:t>
      </w:r>
    </w:p>
    <w:p w14:paraId="76033EDE" w14:textId="77777777" w:rsidR="0045158D" w:rsidRDefault="0045158D" w:rsidP="006B048C">
      <w:pPr>
        <w:spacing w:after="0"/>
        <w:jc w:val="both"/>
        <w:rPr>
          <w:rFonts w:ascii="Times New Roman" w:hAnsi="Times New Roman" w:cs="Times New Roman"/>
          <w:b/>
          <w:szCs w:val="24"/>
          <w:lang w:val="es-ES"/>
        </w:rPr>
      </w:pPr>
    </w:p>
    <w:p w14:paraId="758FBCFC" w14:textId="77777777" w:rsidR="006B048C" w:rsidRPr="00CF177C" w:rsidRDefault="00900891" w:rsidP="006B048C">
      <w:pPr>
        <w:spacing w:after="0"/>
        <w:jc w:val="both"/>
        <w:rPr>
          <w:rFonts w:ascii="Times New Roman" w:hAnsi="Times New Roman" w:cs="Times New Roman"/>
          <w:b/>
          <w:szCs w:val="24"/>
          <w:lang w:val="es-ES"/>
        </w:rPr>
      </w:pPr>
      <w:r w:rsidRPr="00CF177C">
        <w:rPr>
          <w:rFonts w:ascii="Times New Roman" w:hAnsi="Times New Roman" w:cs="Times New Roman"/>
          <w:b/>
          <w:szCs w:val="24"/>
          <w:lang w:val="es-ES"/>
        </w:rPr>
        <w:t>Resumen</w:t>
      </w:r>
    </w:p>
    <w:p w14:paraId="265216F2" w14:textId="77777777" w:rsidR="009E5B0C" w:rsidRDefault="002D6C2F" w:rsidP="009E5B0C">
      <w:pPr>
        <w:spacing w:before="120" w:after="120" w:line="240" w:lineRule="auto"/>
        <w:jc w:val="both"/>
        <w:rPr>
          <w:rFonts w:ascii="Times New Roman" w:hAnsi="Times New Roman" w:cs="Times New Roman"/>
          <w:szCs w:val="24"/>
          <w:lang w:val="es-ES"/>
        </w:rPr>
      </w:pPr>
      <w:r w:rsidRPr="00B00F89">
        <w:rPr>
          <w:rFonts w:ascii="Times New Roman" w:hAnsi="Times New Roman" w:cs="Times New Roman"/>
          <w:szCs w:val="24"/>
          <w:lang w:val="es-ES"/>
        </w:rPr>
        <w:t>Es</w:t>
      </w:r>
      <w:r w:rsidR="008F1548">
        <w:rPr>
          <w:rFonts w:ascii="Times New Roman" w:hAnsi="Times New Roman" w:cs="Times New Roman"/>
          <w:szCs w:val="24"/>
          <w:lang w:val="es-ES"/>
        </w:rPr>
        <w:t>tá</w:t>
      </w:r>
      <w:r w:rsidRPr="00B00F89">
        <w:rPr>
          <w:rFonts w:ascii="Times New Roman" w:hAnsi="Times New Roman" w:cs="Times New Roman"/>
          <w:szCs w:val="24"/>
          <w:lang w:val="es-ES"/>
        </w:rPr>
        <w:t xml:space="preserve"> ampliamente </w:t>
      </w:r>
      <w:r w:rsidR="008F1548">
        <w:rPr>
          <w:rFonts w:ascii="Times New Roman" w:hAnsi="Times New Roman" w:cs="Times New Roman"/>
          <w:szCs w:val="24"/>
          <w:lang w:val="es-ES"/>
        </w:rPr>
        <w:t>probado</w:t>
      </w:r>
      <w:r w:rsidRPr="00B00F89">
        <w:rPr>
          <w:rFonts w:ascii="Times New Roman" w:hAnsi="Times New Roman" w:cs="Times New Roman"/>
          <w:szCs w:val="24"/>
          <w:lang w:val="es-ES"/>
        </w:rPr>
        <w:t xml:space="preserve"> que las instituciones</w:t>
      </w:r>
      <w:r w:rsidR="009E5B0C">
        <w:rPr>
          <w:rFonts w:ascii="Times New Roman" w:hAnsi="Times New Roman" w:cs="Times New Roman"/>
          <w:szCs w:val="24"/>
          <w:lang w:val="es-ES"/>
        </w:rPr>
        <w:t xml:space="preserve"> laborales y</w:t>
      </w:r>
      <w:r w:rsidRPr="00B00F89">
        <w:rPr>
          <w:rFonts w:ascii="Times New Roman" w:hAnsi="Times New Roman" w:cs="Times New Roman"/>
          <w:szCs w:val="24"/>
          <w:lang w:val="es-ES"/>
        </w:rPr>
        <w:t xml:space="preserve"> de seguridad social asociadas a </w:t>
      </w:r>
      <w:r w:rsidR="008F1548">
        <w:rPr>
          <w:rFonts w:ascii="Times New Roman" w:hAnsi="Times New Roman" w:cs="Times New Roman"/>
          <w:szCs w:val="24"/>
          <w:lang w:val="es-ES"/>
        </w:rPr>
        <w:t xml:space="preserve">los mercados de trabajo formal </w:t>
      </w:r>
      <w:r w:rsidRPr="00B00F89">
        <w:rPr>
          <w:rFonts w:ascii="Times New Roman" w:hAnsi="Times New Roman" w:cs="Times New Roman"/>
          <w:szCs w:val="24"/>
          <w:lang w:val="es-ES"/>
        </w:rPr>
        <w:t xml:space="preserve">constituyen el principal </w:t>
      </w:r>
      <w:r w:rsidR="008F1548">
        <w:rPr>
          <w:rFonts w:ascii="Times New Roman" w:hAnsi="Times New Roman" w:cs="Times New Roman"/>
          <w:szCs w:val="24"/>
          <w:lang w:val="es-ES"/>
        </w:rPr>
        <w:t>mecanismo</w:t>
      </w:r>
      <w:r w:rsidRPr="00B00F89">
        <w:rPr>
          <w:rFonts w:ascii="Times New Roman" w:hAnsi="Times New Roman" w:cs="Times New Roman"/>
          <w:szCs w:val="24"/>
          <w:lang w:val="es-ES"/>
        </w:rPr>
        <w:t xml:space="preserve"> de inclusión social </w:t>
      </w:r>
      <w:r w:rsidR="008F1548">
        <w:rPr>
          <w:rFonts w:ascii="Times New Roman" w:hAnsi="Times New Roman" w:cs="Times New Roman"/>
          <w:szCs w:val="24"/>
          <w:lang w:val="es-ES"/>
        </w:rPr>
        <w:t xml:space="preserve">sistémica </w:t>
      </w:r>
      <w:r w:rsidRPr="00B00F89">
        <w:rPr>
          <w:rFonts w:ascii="Times New Roman" w:hAnsi="Times New Roman" w:cs="Times New Roman"/>
          <w:szCs w:val="24"/>
          <w:lang w:val="es-ES"/>
        </w:rPr>
        <w:t>en economías de mercado</w:t>
      </w:r>
      <w:r w:rsidR="008F1548">
        <w:rPr>
          <w:rFonts w:ascii="Times New Roman" w:hAnsi="Times New Roman" w:cs="Times New Roman"/>
          <w:szCs w:val="24"/>
          <w:lang w:val="es-ES"/>
        </w:rPr>
        <w:t xml:space="preserve"> (OIT, 2017)</w:t>
      </w:r>
      <w:r w:rsidRPr="00B00F89">
        <w:rPr>
          <w:rFonts w:ascii="Times New Roman" w:hAnsi="Times New Roman" w:cs="Times New Roman"/>
          <w:szCs w:val="24"/>
          <w:lang w:val="es-ES"/>
        </w:rPr>
        <w:t xml:space="preserve">. No obstante, la reconfiguración productiva y sus efectos sobre el empleo y la exclusión a escala global condujeron a muchos gobiernos a desarrollar sistemas de protección paralelos </w:t>
      </w:r>
      <w:r w:rsidR="00B00F89" w:rsidRPr="00B00F89">
        <w:rPr>
          <w:rFonts w:ascii="Times New Roman" w:hAnsi="Times New Roman" w:cs="Times New Roman"/>
          <w:szCs w:val="24"/>
          <w:lang w:val="es-ES"/>
        </w:rPr>
        <w:t>a tales mecanismos</w:t>
      </w:r>
      <w:r w:rsidRPr="00B00F89">
        <w:rPr>
          <w:rFonts w:ascii="Times New Roman" w:hAnsi="Times New Roman" w:cs="Times New Roman"/>
          <w:szCs w:val="24"/>
          <w:lang w:val="es-ES"/>
        </w:rPr>
        <w:t xml:space="preserve"> (CEPAL, 2018).</w:t>
      </w:r>
      <w:r w:rsidR="00AD1A7A" w:rsidRPr="00B00F89">
        <w:rPr>
          <w:rFonts w:ascii="Times New Roman" w:hAnsi="Times New Roman" w:cs="Times New Roman"/>
          <w:szCs w:val="24"/>
          <w:lang w:val="es-ES"/>
        </w:rPr>
        <w:t xml:space="preserve"> </w:t>
      </w:r>
      <w:r w:rsidR="00DC5282" w:rsidRPr="00B00F89">
        <w:rPr>
          <w:rFonts w:ascii="Times New Roman" w:hAnsi="Times New Roman" w:cs="Times New Roman"/>
          <w:szCs w:val="24"/>
          <w:lang w:val="es-ES"/>
        </w:rPr>
        <w:t xml:space="preserve">En América Latina, estos sistemas han adoptado </w:t>
      </w:r>
      <w:r w:rsidR="00B00F89">
        <w:rPr>
          <w:rFonts w:ascii="Times New Roman" w:hAnsi="Times New Roman" w:cs="Times New Roman"/>
          <w:szCs w:val="24"/>
          <w:lang w:val="es-ES"/>
        </w:rPr>
        <w:t>la forma</w:t>
      </w:r>
      <w:r w:rsidR="00DC5282" w:rsidRPr="00B00F89">
        <w:rPr>
          <w:rFonts w:ascii="Times New Roman" w:hAnsi="Times New Roman" w:cs="Times New Roman"/>
          <w:szCs w:val="24"/>
          <w:lang w:val="es-ES"/>
        </w:rPr>
        <w:t xml:space="preserve"> de programas de transferencia </w:t>
      </w:r>
      <w:r w:rsidR="007320A9" w:rsidRPr="00B00F89">
        <w:rPr>
          <w:rFonts w:ascii="Times New Roman" w:hAnsi="Times New Roman" w:cs="Times New Roman"/>
          <w:szCs w:val="24"/>
          <w:lang w:val="es-ES"/>
        </w:rPr>
        <w:t xml:space="preserve">condicionadas </w:t>
      </w:r>
      <w:r w:rsidR="00DC5282" w:rsidRPr="00B00F89">
        <w:rPr>
          <w:rFonts w:ascii="Times New Roman" w:hAnsi="Times New Roman" w:cs="Times New Roman"/>
          <w:szCs w:val="24"/>
          <w:lang w:val="es-ES"/>
        </w:rPr>
        <w:t>de ingresos</w:t>
      </w:r>
      <w:r w:rsidR="00BA3938" w:rsidRPr="00B00F89">
        <w:rPr>
          <w:rFonts w:ascii="Times New Roman" w:hAnsi="Times New Roman" w:cs="Times New Roman"/>
          <w:szCs w:val="24"/>
          <w:lang w:val="es-ES"/>
        </w:rPr>
        <w:t xml:space="preserve">, </w:t>
      </w:r>
      <w:r w:rsidR="007320A9" w:rsidRPr="00B00F89">
        <w:rPr>
          <w:rFonts w:ascii="Times New Roman" w:hAnsi="Times New Roman" w:cs="Times New Roman"/>
          <w:szCs w:val="24"/>
          <w:lang w:val="es-ES"/>
        </w:rPr>
        <w:t>orientados</w:t>
      </w:r>
      <w:r w:rsidR="00BA3938" w:rsidRPr="00B00F89">
        <w:rPr>
          <w:rFonts w:ascii="Times New Roman" w:hAnsi="Times New Roman" w:cs="Times New Roman"/>
          <w:szCs w:val="24"/>
          <w:lang w:val="es-ES"/>
        </w:rPr>
        <w:t xml:space="preserve"> </w:t>
      </w:r>
      <w:r w:rsidR="00DC5282" w:rsidRPr="00B00F89">
        <w:rPr>
          <w:rFonts w:ascii="Times New Roman" w:hAnsi="Times New Roman" w:cs="Times New Roman"/>
          <w:szCs w:val="24"/>
          <w:lang w:val="es-ES"/>
        </w:rPr>
        <w:t>a la lucha contra la pobreza</w:t>
      </w:r>
      <w:r w:rsidRPr="00B00F89">
        <w:rPr>
          <w:rFonts w:ascii="Times New Roman" w:hAnsi="Times New Roman" w:cs="Times New Roman"/>
          <w:szCs w:val="24"/>
          <w:lang w:val="es-ES"/>
        </w:rPr>
        <w:t xml:space="preserve"> y</w:t>
      </w:r>
      <w:r w:rsidR="00DC5282" w:rsidRPr="00B00F89">
        <w:rPr>
          <w:rFonts w:ascii="Times New Roman" w:hAnsi="Times New Roman" w:cs="Times New Roman"/>
          <w:szCs w:val="24"/>
          <w:lang w:val="es-ES"/>
        </w:rPr>
        <w:t xml:space="preserve"> concebidos como </w:t>
      </w:r>
      <w:r w:rsidR="00BA3938" w:rsidRPr="00B00F89">
        <w:rPr>
          <w:rFonts w:ascii="Times New Roman" w:hAnsi="Times New Roman" w:cs="Times New Roman"/>
          <w:szCs w:val="24"/>
          <w:lang w:val="es-ES"/>
        </w:rPr>
        <w:t xml:space="preserve">instrumentos </w:t>
      </w:r>
      <w:r w:rsidR="003B494E" w:rsidRPr="00B00F89">
        <w:rPr>
          <w:rFonts w:ascii="Times New Roman" w:hAnsi="Times New Roman" w:cs="Times New Roman"/>
          <w:szCs w:val="24"/>
          <w:lang w:val="es-ES"/>
        </w:rPr>
        <w:t>transitorios</w:t>
      </w:r>
      <w:r w:rsidRPr="00B00F89">
        <w:rPr>
          <w:rFonts w:ascii="Times New Roman" w:hAnsi="Times New Roman" w:cs="Times New Roman"/>
          <w:szCs w:val="24"/>
          <w:lang w:val="es-ES"/>
        </w:rPr>
        <w:t xml:space="preserve"> </w:t>
      </w:r>
      <w:r w:rsidR="003B494E" w:rsidRPr="00B00F89">
        <w:rPr>
          <w:rFonts w:ascii="Times New Roman" w:hAnsi="Times New Roman" w:cs="Times New Roman"/>
          <w:szCs w:val="24"/>
          <w:lang w:val="es-ES"/>
        </w:rPr>
        <w:t xml:space="preserve">hasta </w:t>
      </w:r>
      <w:r w:rsidR="007024DD" w:rsidRPr="00B00F89">
        <w:rPr>
          <w:rFonts w:ascii="Times New Roman" w:hAnsi="Times New Roman" w:cs="Times New Roman"/>
          <w:szCs w:val="24"/>
          <w:lang w:val="es-ES"/>
        </w:rPr>
        <w:t>que</w:t>
      </w:r>
      <w:r w:rsidR="003B494E" w:rsidRPr="00B00F89">
        <w:rPr>
          <w:rFonts w:ascii="Times New Roman" w:hAnsi="Times New Roman" w:cs="Times New Roman"/>
          <w:szCs w:val="24"/>
          <w:lang w:val="es-ES"/>
        </w:rPr>
        <w:t xml:space="preserve"> los beneficiarios logren un</w:t>
      </w:r>
      <w:r w:rsidR="007024DD" w:rsidRPr="00B00F89">
        <w:rPr>
          <w:rFonts w:ascii="Times New Roman" w:hAnsi="Times New Roman" w:cs="Times New Roman"/>
          <w:szCs w:val="24"/>
          <w:lang w:val="es-ES"/>
        </w:rPr>
        <w:t>a mejor inserción en el mercado laboral</w:t>
      </w:r>
      <w:r w:rsidR="003B494E" w:rsidRPr="00B00F89">
        <w:rPr>
          <w:rFonts w:ascii="Times New Roman" w:hAnsi="Times New Roman" w:cs="Times New Roman"/>
          <w:szCs w:val="24"/>
          <w:lang w:val="es-ES"/>
        </w:rPr>
        <w:t>.</w:t>
      </w:r>
      <w:r w:rsidR="002C034F" w:rsidRPr="00B00F89">
        <w:rPr>
          <w:rFonts w:ascii="Times New Roman" w:hAnsi="Times New Roman" w:cs="Times New Roman"/>
          <w:szCs w:val="24"/>
          <w:lang w:val="es-ES"/>
        </w:rPr>
        <w:t xml:space="preserve"> </w:t>
      </w:r>
      <w:r w:rsidR="00750C32">
        <w:rPr>
          <w:rFonts w:ascii="Times New Roman" w:hAnsi="Times New Roman" w:cs="Times New Roman"/>
          <w:szCs w:val="24"/>
          <w:lang w:val="es-ES"/>
        </w:rPr>
        <w:t>S</w:t>
      </w:r>
      <w:r w:rsidR="002C034F" w:rsidRPr="00B00F89">
        <w:rPr>
          <w:rFonts w:ascii="Times New Roman" w:hAnsi="Times New Roman" w:cs="Times New Roman"/>
          <w:szCs w:val="24"/>
          <w:lang w:val="es-ES"/>
        </w:rPr>
        <w:t xml:space="preserve">i bien han </w:t>
      </w:r>
      <w:r w:rsidR="007024DD" w:rsidRPr="00B00F89">
        <w:rPr>
          <w:rFonts w:ascii="Times New Roman" w:hAnsi="Times New Roman" w:cs="Times New Roman"/>
          <w:szCs w:val="24"/>
          <w:lang w:val="es-ES"/>
        </w:rPr>
        <w:t xml:space="preserve">tenido efectividad para paliar situaciones de pobreza extrema, </w:t>
      </w:r>
      <w:r w:rsidR="008C4B8B" w:rsidRPr="00B00F89">
        <w:rPr>
          <w:rFonts w:ascii="Times New Roman" w:hAnsi="Times New Roman" w:cs="Times New Roman"/>
          <w:szCs w:val="24"/>
          <w:lang w:val="es-ES"/>
        </w:rPr>
        <w:t xml:space="preserve">en </w:t>
      </w:r>
      <w:r w:rsidR="007024DD" w:rsidRPr="00B00F89">
        <w:rPr>
          <w:rFonts w:ascii="Times New Roman" w:hAnsi="Times New Roman" w:cs="Times New Roman"/>
          <w:szCs w:val="24"/>
          <w:lang w:val="es-ES"/>
        </w:rPr>
        <w:t>distint</w:t>
      </w:r>
      <w:r w:rsidR="00B00F89" w:rsidRPr="00B00F89">
        <w:rPr>
          <w:rFonts w:ascii="Times New Roman" w:hAnsi="Times New Roman" w:cs="Times New Roman"/>
          <w:szCs w:val="24"/>
          <w:lang w:val="es-ES"/>
        </w:rPr>
        <w:t>os países</w:t>
      </w:r>
      <w:r w:rsidR="008C4B8B" w:rsidRPr="00B00F89">
        <w:rPr>
          <w:rFonts w:ascii="Times New Roman" w:hAnsi="Times New Roman" w:cs="Times New Roman"/>
          <w:szCs w:val="24"/>
          <w:lang w:val="es-ES"/>
        </w:rPr>
        <w:t xml:space="preserve"> </w:t>
      </w:r>
      <w:r w:rsidR="007024DD" w:rsidRPr="00B00F89">
        <w:rPr>
          <w:rFonts w:ascii="Times New Roman" w:hAnsi="Times New Roman" w:cs="Times New Roman"/>
          <w:szCs w:val="24"/>
          <w:lang w:val="es-ES"/>
        </w:rPr>
        <w:t>se ha constatado</w:t>
      </w:r>
      <w:r w:rsidR="008C4B8B" w:rsidRPr="00B00F89">
        <w:rPr>
          <w:rFonts w:ascii="Times New Roman" w:hAnsi="Times New Roman" w:cs="Times New Roman"/>
          <w:szCs w:val="24"/>
          <w:lang w:val="es-ES"/>
        </w:rPr>
        <w:t xml:space="preserve"> su in</w:t>
      </w:r>
      <w:r w:rsidR="00B00F89" w:rsidRPr="00B00F89">
        <w:rPr>
          <w:rFonts w:ascii="Times New Roman" w:hAnsi="Times New Roman" w:cs="Times New Roman"/>
          <w:szCs w:val="24"/>
          <w:lang w:val="es-ES"/>
        </w:rPr>
        <w:t>suficiencia</w:t>
      </w:r>
      <w:r w:rsidR="008C4B8B" w:rsidRPr="00B00F89">
        <w:rPr>
          <w:rFonts w:ascii="Times New Roman" w:hAnsi="Times New Roman" w:cs="Times New Roman"/>
          <w:szCs w:val="24"/>
          <w:lang w:val="es-ES"/>
        </w:rPr>
        <w:t xml:space="preserve"> para superar exclusiones o autoexclusiones sociales y </w:t>
      </w:r>
      <w:r w:rsidR="007024DD" w:rsidRPr="00B00F89">
        <w:rPr>
          <w:rFonts w:ascii="Times New Roman" w:hAnsi="Times New Roman" w:cs="Times New Roman"/>
          <w:szCs w:val="24"/>
          <w:lang w:val="es-ES"/>
        </w:rPr>
        <w:t xml:space="preserve">promover </w:t>
      </w:r>
      <w:r w:rsidR="008C4B8B" w:rsidRPr="00B00F89">
        <w:rPr>
          <w:rFonts w:ascii="Times New Roman" w:hAnsi="Times New Roman" w:cs="Times New Roman"/>
          <w:szCs w:val="24"/>
          <w:lang w:val="es-ES"/>
        </w:rPr>
        <w:t>formas más plenas de</w:t>
      </w:r>
      <w:r w:rsidR="009F3E82" w:rsidRPr="00B00F89">
        <w:rPr>
          <w:rFonts w:ascii="Times New Roman" w:hAnsi="Times New Roman" w:cs="Times New Roman"/>
          <w:szCs w:val="24"/>
          <w:lang w:val="es-ES"/>
        </w:rPr>
        <w:t xml:space="preserve"> </w:t>
      </w:r>
      <w:r w:rsidR="009D4A5C" w:rsidRPr="00B00F89">
        <w:rPr>
          <w:rFonts w:ascii="Times New Roman" w:hAnsi="Times New Roman" w:cs="Times New Roman"/>
          <w:szCs w:val="24"/>
          <w:lang w:val="es-ES"/>
        </w:rPr>
        <w:t>inclusión</w:t>
      </w:r>
      <w:r w:rsidR="008C4B8B" w:rsidRPr="00B00F89">
        <w:rPr>
          <w:rFonts w:ascii="Times New Roman" w:hAnsi="Times New Roman" w:cs="Times New Roman"/>
          <w:szCs w:val="24"/>
          <w:lang w:val="es-ES"/>
        </w:rPr>
        <w:t xml:space="preserve"> social</w:t>
      </w:r>
      <w:r w:rsidR="00AE3FB6">
        <w:rPr>
          <w:rFonts w:ascii="Times New Roman" w:hAnsi="Times New Roman" w:cs="Times New Roman"/>
          <w:szCs w:val="24"/>
          <w:lang w:val="es-ES"/>
        </w:rPr>
        <w:t xml:space="preserve"> sistémica</w:t>
      </w:r>
      <w:r w:rsidR="008C4B8B" w:rsidRPr="00B00F89">
        <w:rPr>
          <w:rFonts w:ascii="Times New Roman" w:hAnsi="Times New Roman" w:cs="Times New Roman"/>
          <w:szCs w:val="24"/>
          <w:lang w:val="es-ES"/>
        </w:rPr>
        <w:t xml:space="preserve">. </w:t>
      </w:r>
    </w:p>
    <w:p w14:paraId="3646FE15" w14:textId="6DE40205" w:rsidR="009F3E82" w:rsidRPr="00B00F89" w:rsidRDefault="006B048C" w:rsidP="00467B73">
      <w:pPr>
        <w:spacing w:before="120" w:after="120" w:line="240" w:lineRule="auto"/>
        <w:jc w:val="both"/>
        <w:rPr>
          <w:rFonts w:ascii="Times New Roman" w:hAnsi="Times New Roman" w:cs="Times New Roman"/>
          <w:szCs w:val="24"/>
          <w:lang w:val="es-ES"/>
        </w:rPr>
      </w:pPr>
      <w:r w:rsidRPr="00B00F89">
        <w:rPr>
          <w:rFonts w:ascii="Times New Roman" w:hAnsi="Times New Roman" w:cs="Times New Roman"/>
          <w:szCs w:val="24"/>
          <w:lang w:val="es-ES"/>
        </w:rPr>
        <w:t>A partir de</w:t>
      </w:r>
      <w:r w:rsidR="00033FF4">
        <w:rPr>
          <w:rFonts w:ascii="Times New Roman" w:hAnsi="Times New Roman" w:cs="Times New Roman"/>
          <w:szCs w:val="24"/>
          <w:lang w:val="es-ES"/>
        </w:rPr>
        <w:t xml:space="preserve"> </w:t>
      </w:r>
      <w:r w:rsidRPr="00B00F89">
        <w:rPr>
          <w:rFonts w:ascii="Times New Roman" w:hAnsi="Times New Roman" w:cs="Times New Roman"/>
          <w:szCs w:val="24"/>
          <w:lang w:val="es-ES"/>
        </w:rPr>
        <w:t>2009, e</w:t>
      </w:r>
      <w:r w:rsidR="0023361E" w:rsidRPr="00B00F89">
        <w:rPr>
          <w:rFonts w:ascii="Times New Roman" w:hAnsi="Times New Roman" w:cs="Times New Roman"/>
          <w:szCs w:val="24"/>
          <w:lang w:val="es-ES"/>
        </w:rPr>
        <w:t xml:space="preserve">l gobierno argentino implementó un sistema de transferencia condicionada de ingresos </w:t>
      </w:r>
      <w:r w:rsidR="00B00F89" w:rsidRPr="00B00F89">
        <w:rPr>
          <w:rFonts w:ascii="Times New Roman" w:hAnsi="Times New Roman" w:cs="Times New Roman"/>
          <w:szCs w:val="24"/>
          <w:lang w:val="es-ES"/>
        </w:rPr>
        <w:t xml:space="preserve">–la </w:t>
      </w:r>
      <w:r w:rsidR="0023361E" w:rsidRPr="00B00F89">
        <w:rPr>
          <w:rFonts w:ascii="Times New Roman" w:hAnsi="Times New Roman" w:cs="Times New Roman"/>
          <w:szCs w:val="24"/>
          <w:lang w:val="es-ES"/>
        </w:rPr>
        <w:t>Asignación Universal por Hijo</w:t>
      </w:r>
      <w:r w:rsidR="00B00F89" w:rsidRPr="00B00F89">
        <w:rPr>
          <w:rFonts w:ascii="Times New Roman" w:hAnsi="Times New Roman" w:cs="Times New Roman"/>
          <w:szCs w:val="24"/>
          <w:lang w:val="es-ES"/>
        </w:rPr>
        <w:t>–,</w:t>
      </w:r>
      <w:r w:rsidRPr="00B00F89">
        <w:rPr>
          <w:rFonts w:ascii="Times New Roman" w:hAnsi="Times New Roman" w:cs="Times New Roman"/>
          <w:szCs w:val="24"/>
          <w:lang w:val="es-ES"/>
        </w:rPr>
        <w:t xml:space="preserve"> destinad</w:t>
      </w:r>
      <w:r w:rsidR="0023361E" w:rsidRPr="00B00F89">
        <w:rPr>
          <w:rFonts w:ascii="Times New Roman" w:hAnsi="Times New Roman" w:cs="Times New Roman"/>
          <w:szCs w:val="24"/>
          <w:lang w:val="es-ES"/>
        </w:rPr>
        <w:t>o</w:t>
      </w:r>
      <w:r w:rsidRPr="00B00F89">
        <w:rPr>
          <w:rFonts w:ascii="Times New Roman" w:hAnsi="Times New Roman" w:cs="Times New Roman"/>
          <w:szCs w:val="24"/>
          <w:lang w:val="es-ES"/>
        </w:rPr>
        <w:t xml:space="preserve"> a hogares con niños</w:t>
      </w:r>
      <w:r w:rsidR="00B00F89" w:rsidRPr="00B00F89">
        <w:rPr>
          <w:rFonts w:ascii="Times New Roman" w:hAnsi="Times New Roman" w:cs="Times New Roman"/>
          <w:szCs w:val="24"/>
          <w:lang w:val="es-ES"/>
        </w:rPr>
        <w:t xml:space="preserve"> y adolescentes</w:t>
      </w:r>
      <w:r w:rsidRPr="00B00F89">
        <w:rPr>
          <w:rFonts w:ascii="Times New Roman" w:hAnsi="Times New Roman" w:cs="Times New Roman"/>
          <w:szCs w:val="24"/>
          <w:lang w:val="es-ES"/>
        </w:rPr>
        <w:t xml:space="preserve"> cuyos padres </w:t>
      </w:r>
      <w:r w:rsidR="0023361E" w:rsidRPr="00B00F89">
        <w:rPr>
          <w:rFonts w:ascii="Times New Roman" w:hAnsi="Times New Roman" w:cs="Times New Roman"/>
          <w:szCs w:val="24"/>
          <w:lang w:val="es-ES"/>
        </w:rPr>
        <w:t>fueran trabajadores</w:t>
      </w:r>
      <w:r w:rsidRPr="00B00F89">
        <w:rPr>
          <w:rFonts w:ascii="Times New Roman" w:hAnsi="Times New Roman" w:cs="Times New Roman"/>
          <w:szCs w:val="24"/>
          <w:lang w:val="es-ES"/>
        </w:rPr>
        <w:t xml:space="preserve"> informal</w:t>
      </w:r>
      <w:r w:rsidR="0023361E" w:rsidRPr="00B00F89">
        <w:rPr>
          <w:rFonts w:ascii="Times New Roman" w:hAnsi="Times New Roman" w:cs="Times New Roman"/>
          <w:szCs w:val="24"/>
          <w:lang w:val="es-ES"/>
        </w:rPr>
        <w:t>es</w:t>
      </w:r>
      <w:r w:rsidR="00B00F89" w:rsidRPr="00B00F89">
        <w:rPr>
          <w:rFonts w:ascii="Times New Roman" w:hAnsi="Times New Roman" w:cs="Times New Roman"/>
          <w:szCs w:val="24"/>
          <w:lang w:val="es-ES"/>
        </w:rPr>
        <w:t xml:space="preserve">, desempleados o inactivos y no tuvieran acceso a otros </w:t>
      </w:r>
      <w:r w:rsidRPr="00B00F89">
        <w:rPr>
          <w:rFonts w:ascii="Times New Roman" w:hAnsi="Times New Roman" w:cs="Times New Roman"/>
          <w:szCs w:val="24"/>
          <w:lang w:val="es-ES"/>
        </w:rPr>
        <w:t>mecanismos</w:t>
      </w:r>
      <w:r w:rsidR="0023361E" w:rsidRPr="00B00F89">
        <w:rPr>
          <w:rFonts w:ascii="Times New Roman" w:hAnsi="Times New Roman" w:cs="Times New Roman"/>
          <w:szCs w:val="24"/>
          <w:lang w:val="es-ES"/>
        </w:rPr>
        <w:t xml:space="preserve"> </w:t>
      </w:r>
      <w:r w:rsidRPr="00B00F89">
        <w:rPr>
          <w:rFonts w:ascii="Times New Roman" w:hAnsi="Times New Roman" w:cs="Times New Roman"/>
          <w:szCs w:val="24"/>
          <w:lang w:val="es-ES"/>
        </w:rPr>
        <w:t xml:space="preserve">de protección social. </w:t>
      </w:r>
      <w:r w:rsidR="00033FF4">
        <w:rPr>
          <w:rFonts w:ascii="Times New Roman" w:hAnsi="Times New Roman" w:cs="Times New Roman"/>
          <w:szCs w:val="24"/>
          <w:lang w:val="es-ES"/>
        </w:rPr>
        <w:t>L</w:t>
      </w:r>
      <w:r w:rsidRPr="00B00F89">
        <w:rPr>
          <w:rFonts w:ascii="Times New Roman" w:hAnsi="Times New Roman" w:cs="Times New Roman"/>
          <w:szCs w:val="24"/>
          <w:lang w:val="es-ES"/>
        </w:rPr>
        <w:t>a literatura ha abordado distintas aristas de esta política</w:t>
      </w:r>
      <w:r w:rsidR="00467B73" w:rsidRPr="00B00F89">
        <w:rPr>
          <w:rFonts w:ascii="Times New Roman" w:hAnsi="Times New Roman" w:cs="Times New Roman"/>
          <w:szCs w:val="24"/>
          <w:lang w:val="es-ES"/>
        </w:rPr>
        <w:t>.</w:t>
      </w:r>
      <w:r w:rsidR="008C4B8B" w:rsidRPr="00B00F89">
        <w:rPr>
          <w:rFonts w:ascii="Times New Roman" w:hAnsi="Times New Roman" w:cs="Times New Roman"/>
          <w:szCs w:val="24"/>
          <w:lang w:val="es-ES"/>
        </w:rPr>
        <w:t xml:space="preserve"> </w:t>
      </w:r>
      <w:r w:rsidR="009F3E82" w:rsidRPr="00B00F89">
        <w:rPr>
          <w:rFonts w:ascii="Times New Roman" w:hAnsi="Times New Roman" w:cs="Times New Roman"/>
          <w:szCs w:val="24"/>
          <w:lang w:val="es-ES"/>
        </w:rPr>
        <w:t>Adoptando un enfoque crítico sobre el carácter universal, transitorio e inclusivo de esta iniciativa, e</w:t>
      </w:r>
      <w:r w:rsidR="00900891" w:rsidRPr="00B00F89">
        <w:rPr>
          <w:rFonts w:ascii="Times New Roman" w:hAnsi="Times New Roman" w:cs="Times New Roman"/>
          <w:szCs w:val="24"/>
          <w:lang w:val="es-ES"/>
        </w:rPr>
        <w:t xml:space="preserve">ste </w:t>
      </w:r>
      <w:r w:rsidR="00467B73" w:rsidRPr="00B00F89">
        <w:rPr>
          <w:rFonts w:ascii="Times New Roman" w:hAnsi="Times New Roman" w:cs="Times New Roman"/>
          <w:szCs w:val="24"/>
          <w:lang w:val="es-ES"/>
        </w:rPr>
        <w:t>artículo</w:t>
      </w:r>
      <w:r w:rsidRPr="00B00F89">
        <w:rPr>
          <w:rFonts w:ascii="Times New Roman" w:hAnsi="Times New Roman" w:cs="Times New Roman"/>
          <w:szCs w:val="24"/>
          <w:lang w:val="es-ES"/>
        </w:rPr>
        <w:t xml:space="preserve"> aborda un aspecto </w:t>
      </w:r>
      <w:r w:rsidR="009F3E82" w:rsidRPr="00B00F89">
        <w:rPr>
          <w:rFonts w:ascii="Times New Roman" w:hAnsi="Times New Roman" w:cs="Times New Roman"/>
          <w:szCs w:val="24"/>
          <w:lang w:val="es-ES"/>
        </w:rPr>
        <w:t>poco</w:t>
      </w:r>
      <w:r w:rsidRPr="00B00F89">
        <w:rPr>
          <w:rFonts w:ascii="Times New Roman" w:hAnsi="Times New Roman" w:cs="Times New Roman"/>
          <w:szCs w:val="24"/>
          <w:lang w:val="es-ES"/>
        </w:rPr>
        <w:t xml:space="preserve"> </w:t>
      </w:r>
      <w:r w:rsidR="00DE01B6">
        <w:rPr>
          <w:rFonts w:ascii="Times New Roman" w:hAnsi="Times New Roman" w:cs="Times New Roman"/>
          <w:szCs w:val="24"/>
          <w:lang w:val="es-ES"/>
        </w:rPr>
        <w:t>explorado</w:t>
      </w:r>
      <w:r w:rsidRPr="00B00F89">
        <w:rPr>
          <w:rFonts w:ascii="Times New Roman" w:hAnsi="Times New Roman" w:cs="Times New Roman"/>
          <w:szCs w:val="24"/>
          <w:lang w:val="es-ES"/>
        </w:rPr>
        <w:t xml:space="preserve">: el perfil </w:t>
      </w:r>
      <w:r w:rsidR="00C6083A" w:rsidRPr="00CF177C">
        <w:rPr>
          <w:rFonts w:ascii="Times New Roman" w:hAnsi="Times New Roman" w:cs="Times New Roman"/>
          <w:szCs w:val="24"/>
          <w:lang w:val="es-ES"/>
        </w:rPr>
        <w:t>socioeconó</w:t>
      </w:r>
      <w:r w:rsidR="00C6083A">
        <w:rPr>
          <w:rFonts w:ascii="Times New Roman" w:hAnsi="Times New Roman" w:cs="Times New Roman"/>
          <w:szCs w:val="24"/>
          <w:lang w:val="es-ES"/>
        </w:rPr>
        <w:t xml:space="preserve">mico, demográfico, laboral y residencial </w:t>
      </w:r>
      <w:r w:rsidRPr="00B00F89">
        <w:rPr>
          <w:rFonts w:ascii="Times New Roman" w:hAnsi="Times New Roman" w:cs="Times New Roman"/>
          <w:szCs w:val="24"/>
          <w:lang w:val="es-ES"/>
        </w:rPr>
        <w:t xml:space="preserve">de aquellos potenciales beneficiarios </w:t>
      </w:r>
      <w:r w:rsidR="009F3E82" w:rsidRPr="00B00F89">
        <w:rPr>
          <w:rFonts w:ascii="Times New Roman" w:hAnsi="Times New Roman" w:cs="Times New Roman"/>
          <w:szCs w:val="24"/>
          <w:lang w:val="es-ES"/>
        </w:rPr>
        <w:t>excluidos o autoexcluidos del programa</w:t>
      </w:r>
      <w:r w:rsidRPr="00B00F89">
        <w:rPr>
          <w:rFonts w:ascii="Times New Roman" w:hAnsi="Times New Roman" w:cs="Times New Roman"/>
          <w:szCs w:val="24"/>
          <w:lang w:val="es-ES"/>
        </w:rPr>
        <w:t xml:space="preserve">. </w:t>
      </w:r>
      <w:r w:rsidR="00467B73" w:rsidRPr="00B00F89">
        <w:rPr>
          <w:rFonts w:ascii="Times New Roman" w:hAnsi="Times New Roman" w:cs="Times New Roman"/>
          <w:szCs w:val="24"/>
          <w:lang w:val="es-ES"/>
        </w:rPr>
        <w:t>Se parte de la hipótesis de que</w:t>
      </w:r>
      <w:r w:rsidR="002818DE" w:rsidRPr="00B00F89">
        <w:rPr>
          <w:rFonts w:ascii="Times New Roman" w:hAnsi="Times New Roman" w:cs="Times New Roman"/>
          <w:szCs w:val="24"/>
          <w:lang w:val="es-ES"/>
        </w:rPr>
        <w:t xml:space="preserve"> </w:t>
      </w:r>
      <w:r w:rsidR="00B00F89" w:rsidRPr="00B00F89">
        <w:rPr>
          <w:rFonts w:ascii="Times New Roman" w:hAnsi="Times New Roman" w:cs="Times New Roman"/>
          <w:szCs w:val="24"/>
          <w:lang w:val="es-ES"/>
        </w:rPr>
        <w:t>se trata de</w:t>
      </w:r>
      <w:r w:rsidR="002818DE" w:rsidRPr="00B00F89">
        <w:rPr>
          <w:rFonts w:ascii="Times New Roman" w:hAnsi="Times New Roman" w:cs="Times New Roman"/>
          <w:szCs w:val="24"/>
          <w:lang w:val="es-ES"/>
        </w:rPr>
        <w:t xml:space="preserve"> una población </w:t>
      </w:r>
      <w:r w:rsidR="009D4A5C" w:rsidRPr="00B00F89">
        <w:rPr>
          <w:rFonts w:ascii="Times New Roman" w:hAnsi="Times New Roman" w:cs="Times New Roman"/>
          <w:szCs w:val="24"/>
          <w:lang w:val="es-ES"/>
        </w:rPr>
        <w:t xml:space="preserve">heterogénea, </w:t>
      </w:r>
      <w:r w:rsidR="009F3E82" w:rsidRPr="00B00F89">
        <w:rPr>
          <w:rFonts w:ascii="Times New Roman" w:hAnsi="Times New Roman" w:cs="Times New Roman"/>
          <w:szCs w:val="24"/>
          <w:lang w:val="es-ES"/>
        </w:rPr>
        <w:t>atravesada por diferentes clivajes</w:t>
      </w:r>
      <w:r w:rsidR="00B00F89" w:rsidRPr="00B00F89">
        <w:rPr>
          <w:rFonts w:ascii="Times New Roman" w:hAnsi="Times New Roman" w:cs="Times New Roman"/>
          <w:szCs w:val="24"/>
          <w:lang w:val="es-ES"/>
        </w:rPr>
        <w:t xml:space="preserve"> </w:t>
      </w:r>
      <w:r w:rsidR="009F3E82" w:rsidRPr="00B00F89">
        <w:rPr>
          <w:rFonts w:ascii="Times New Roman" w:hAnsi="Times New Roman" w:cs="Times New Roman"/>
          <w:szCs w:val="24"/>
          <w:lang w:val="es-ES"/>
        </w:rPr>
        <w:t xml:space="preserve">y grados de </w:t>
      </w:r>
      <w:r w:rsidR="009D4A5C" w:rsidRPr="00B00F89">
        <w:rPr>
          <w:rFonts w:ascii="Times New Roman" w:hAnsi="Times New Roman" w:cs="Times New Roman"/>
          <w:szCs w:val="24"/>
          <w:lang w:val="es-ES"/>
        </w:rPr>
        <w:t>marginalidad social</w:t>
      </w:r>
      <w:r w:rsidR="009F3E82" w:rsidRPr="00B00F89">
        <w:rPr>
          <w:rFonts w:ascii="Times New Roman" w:hAnsi="Times New Roman" w:cs="Times New Roman"/>
          <w:szCs w:val="24"/>
          <w:lang w:val="es-ES"/>
        </w:rPr>
        <w:t xml:space="preserve">, </w:t>
      </w:r>
      <w:r w:rsidR="00B00F89" w:rsidRPr="00B00F89">
        <w:rPr>
          <w:rFonts w:ascii="Times New Roman" w:hAnsi="Times New Roman" w:cs="Times New Roman"/>
          <w:szCs w:val="24"/>
          <w:lang w:val="es-ES"/>
        </w:rPr>
        <w:t>cuyas</w:t>
      </w:r>
      <w:r w:rsidR="009D4A5C" w:rsidRPr="00B00F89">
        <w:rPr>
          <w:rFonts w:ascii="Times New Roman" w:hAnsi="Times New Roman" w:cs="Times New Roman"/>
          <w:szCs w:val="24"/>
          <w:lang w:val="es-ES"/>
        </w:rPr>
        <w:t xml:space="preserve"> particulares condiciones constituyen el principal factor de exclusión.</w:t>
      </w:r>
      <w:r w:rsidR="009F3E82" w:rsidRPr="00B00F89">
        <w:rPr>
          <w:rFonts w:ascii="Times New Roman" w:hAnsi="Times New Roman" w:cs="Times New Roman"/>
          <w:szCs w:val="24"/>
          <w:lang w:val="es-ES"/>
        </w:rPr>
        <w:t xml:space="preserve"> </w:t>
      </w:r>
    </w:p>
    <w:p w14:paraId="5C8E3FFF" w14:textId="77777777" w:rsidR="006B048C" w:rsidRDefault="006B048C" w:rsidP="00467B73">
      <w:pPr>
        <w:spacing w:before="120" w:after="120" w:line="240" w:lineRule="auto"/>
        <w:jc w:val="both"/>
        <w:rPr>
          <w:rFonts w:ascii="Times New Roman" w:hAnsi="Times New Roman" w:cs="Times New Roman"/>
          <w:szCs w:val="24"/>
          <w:lang w:val="es-ES"/>
        </w:rPr>
      </w:pPr>
      <w:r w:rsidRPr="00B00F89">
        <w:rPr>
          <w:rFonts w:ascii="Times New Roman" w:hAnsi="Times New Roman" w:cs="Times New Roman"/>
          <w:szCs w:val="24"/>
          <w:lang w:val="es-ES"/>
        </w:rPr>
        <w:t>La fuente de información son los micro</w:t>
      </w:r>
      <w:r w:rsidR="009F3E82" w:rsidRPr="00B00F89">
        <w:rPr>
          <w:rFonts w:ascii="Times New Roman" w:hAnsi="Times New Roman" w:cs="Times New Roman"/>
          <w:szCs w:val="24"/>
          <w:lang w:val="es-ES"/>
        </w:rPr>
        <w:t xml:space="preserve"> </w:t>
      </w:r>
      <w:r w:rsidRPr="00B00F89">
        <w:rPr>
          <w:rFonts w:ascii="Times New Roman" w:hAnsi="Times New Roman" w:cs="Times New Roman"/>
          <w:szCs w:val="24"/>
          <w:lang w:val="es-ES"/>
        </w:rPr>
        <w:t>datos de la Encuesta de la Deuda Social Argentina de la Universidad Católica Argentina</w:t>
      </w:r>
      <w:r w:rsidR="00A33CA6" w:rsidRPr="00B00F89">
        <w:rPr>
          <w:rFonts w:ascii="Times New Roman" w:hAnsi="Times New Roman" w:cs="Times New Roman"/>
          <w:szCs w:val="24"/>
          <w:lang w:val="es-ES"/>
        </w:rPr>
        <w:t xml:space="preserve"> correspondientes al período 2010-2015. Sobre </w:t>
      </w:r>
      <w:r w:rsidR="00B00F89">
        <w:rPr>
          <w:rFonts w:ascii="Times New Roman" w:hAnsi="Times New Roman" w:cs="Times New Roman"/>
          <w:szCs w:val="24"/>
          <w:lang w:val="es-ES"/>
        </w:rPr>
        <w:t>las</w:t>
      </w:r>
      <w:r w:rsidR="00A33CA6" w:rsidRPr="00B00F89">
        <w:rPr>
          <w:rFonts w:ascii="Times New Roman" w:hAnsi="Times New Roman" w:cs="Times New Roman"/>
          <w:szCs w:val="24"/>
          <w:lang w:val="es-ES"/>
        </w:rPr>
        <w:t xml:space="preserve"> bases apiladas se aplican</w:t>
      </w:r>
      <w:r w:rsidR="009D4A5C" w:rsidRPr="00B00F89">
        <w:rPr>
          <w:rFonts w:ascii="Times New Roman" w:hAnsi="Times New Roman" w:cs="Times New Roman"/>
          <w:szCs w:val="24"/>
          <w:lang w:val="es-ES"/>
        </w:rPr>
        <w:t xml:space="preserve"> modelos de regresión, análisis factoriales y </w:t>
      </w:r>
      <w:r w:rsidR="00A33CA6" w:rsidRPr="00B00F89">
        <w:rPr>
          <w:rFonts w:ascii="Times New Roman" w:hAnsi="Times New Roman" w:cs="Times New Roman"/>
          <w:szCs w:val="24"/>
          <w:lang w:val="es-ES"/>
        </w:rPr>
        <w:t xml:space="preserve">construcción de </w:t>
      </w:r>
      <w:r w:rsidR="007024DD" w:rsidRPr="00B00F89">
        <w:rPr>
          <w:rFonts w:ascii="Times New Roman" w:hAnsi="Times New Roman" w:cs="Times New Roman"/>
          <w:szCs w:val="24"/>
          <w:lang w:val="es-ES"/>
        </w:rPr>
        <w:t>clústeres</w:t>
      </w:r>
      <w:r w:rsidRPr="00B00F89">
        <w:rPr>
          <w:rFonts w:ascii="Times New Roman" w:hAnsi="Times New Roman" w:cs="Times New Roman"/>
          <w:szCs w:val="24"/>
          <w:lang w:val="es-ES"/>
        </w:rPr>
        <w:t xml:space="preserve"> </w:t>
      </w:r>
      <w:r w:rsidR="00467B73" w:rsidRPr="00B00F89">
        <w:rPr>
          <w:rFonts w:ascii="Times New Roman" w:hAnsi="Times New Roman" w:cs="Times New Roman"/>
          <w:szCs w:val="24"/>
          <w:lang w:val="es-ES"/>
        </w:rPr>
        <w:t>que permite</w:t>
      </w:r>
      <w:r w:rsidR="009D4A5C" w:rsidRPr="00B00F89">
        <w:rPr>
          <w:rFonts w:ascii="Times New Roman" w:hAnsi="Times New Roman" w:cs="Times New Roman"/>
          <w:szCs w:val="24"/>
          <w:lang w:val="es-ES"/>
        </w:rPr>
        <w:t>n</w:t>
      </w:r>
      <w:r w:rsidR="00467B73" w:rsidRPr="00B00F89">
        <w:rPr>
          <w:rFonts w:ascii="Times New Roman" w:hAnsi="Times New Roman" w:cs="Times New Roman"/>
          <w:szCs w:val="24"/>
          <w:lang w:val="es-ES"/>
        </w:rPr>
        <w:t xml:space="preserve"> caracterizar</w:t>
      </w:r>
      <w:r w:rsidRPr="00B00F89">
        <w:rPr>
          <w:rFonts w:ascii="Times New Roman" w:hAnsi="Times New Roman" w:cs="Times New Roman"/>
          <w:szCs w:val="24"/>
          <w:lang w:val="es-ES"/>
        </w:rPr>
        <w:t xml:space="preserve"> </w:t>
      </w:r>
      <w:r w:rsidR="009D4A5C" w:rsidRPr="00B00F89">
        <w:rPr>
          <w:rFonts w:ascii="Times New Roman" w:hAnsi="Times New Roman" w:cs="Times New Roman"/>
          <w:szCs w:val="24"/>
          <w:lang w:val="es-ES"/>
        </w:rPr>
        <w:t xml:space="preserve">y tipificar </w:t>
      </w:r>
      <w:r w:rsidRPr="00B00F89">
        <w:rPr>
          <w:rFonts w:ascii="Times New Roman" w:hAnsi="Times New Roman" w:cs="Times New Roman"/>
          <w:szCs w:val="24"/>
          <w:lang w:val="es-ES"/>
        </w:rPr>
        <w:t xml:space="preserve">los </w:t>
      </w:r>
      <w:r w:rsidR="00A33CA6" w:rsidRPr="00B00F89">
        <w:rPr>
          <w:rFonts w:ascii="Times New Roman" w:hAnsi="Times New Roman" w:cs="Times New Roman"/>
          <w:szCs w:val="24"/>
          <w:lang w:val="es-ES"/>
        </w:rPr>
        <w:t xml:space="preserve">diferentes procesos </w:t>
      </w:r>
      <w:r w:rsidR="002D49A8">
        <w:rPr>
          <w:rFonts w:ascii="Times New Roman" w:hAnsi="Times New Roman" w:cs="Times New Roman"/>
          <w:szCs w:val="24"/>
          <w:lang w:val="es-ES"/>
        </w:rPr>
        <w:t xml:space="preserve">sociales </w:t>
      </w:r>
      <w:r w:rsidR="00A33CA6" w:rsidRPr="00B00F89">
        <w:rPr>
          <w:rFonts w:ascii="Times New Roman" w:hAnsi="Times New Roman" w:cs="Times New Roman"/>
          <w:szCs w:val="24"/>
          <w:lang w:val="es-ES"/>
        </w:rPr>
        <w:t>de exclusión subyacentes a</w:t>
      </w:r>
      <w:r w:rsidR="009D4A5C" w:rsidRPr="00B00F89">
        <w:rPr>
          <w:rFonts w:ascii="Times New Roman" w:hAnsi="Times New Roman" w:cs="Times New Roman"/>
          <w:szCs w:val="24"/>
          <w:lang w:val="es-ES"/>
        </w:rPr>
        <w:t xml:space="preserve"> </w:t>
      </w:r>
      <w:r w:rsidR="00A33CA6" w:rsidRPr="00B00F89">
        <w:rPr>
          <w:rFonts w:ascii="Times New Roman" w:hAnsi="Times New Roman" w:cs="Times New Roman"/>
          <w:szCs w:val="24"/>
          <w:lang w:val="es-ES"/>
        </w:rPr>
        <w:t xml:space="preserve">los </w:t>
      </w:r>
      <w:r w:rsidR="000147F6">
        <w:rPr>
          <w:rFonts w:ascii="Times New Roman" w:hAnsi="Times New Roman" w:cs="Times New Roman"/>
          <w:szCs w:val="24"/>
          <w:lang w:val="es-ES"/>
        </w:rPr>
        <w:t xml:space="preserve">perfiles </w:t>
      </w:r>
      <w:r w:rsidR="000147F6" w:rsidRPr="00CF177C">
        <w:rPr>
          <w:rFonts w:ascii="Times New Roman" w:hAnsi="Times New Roman" w:cs="Times New Roman"/>
          <w:szCs w:val="24"/>
          <w:lang w:val="es-ES"/>
        </w:rPr>
        <w:t>socioeconómicos, demográficos</w:t>
      </w:r>
      <w:r w:rsidR="000147F6">
        <w:rPr>
          <w:rFonts w:ascii="Times New Roman" w:hAnsi="Times New Roman" w:cs="Times New Roman"/>
          <w:szCs w:val="24"/>
          <w:lang w:val="es-ES"/>
        </w:rPr>
        <w:t>, laborales</w:t>
      </w:r>
      <w:r w:rsidR="000147F6" w:rsidRPr="00CF177C">
        <w:rPr>
          <w:rFonts w:ascii="Times New Roman" w:hAnsi="Times New Roman" w:cs="Times New Roman"/>
          <w:szCs w:val="24"/>
          <w:lang w:val="es-ES"/>
        </w:rPr>
        <w:t xml:space="preserve"> y residenciales</w:t>
      </w:r>
      <w:r w:rsidR="000147F6" w:rsidRPr="00B00F89">
        <w:rPr>
          <w:rFonts w:ascii="Times New Roman" w:hAnsi="Times New Roman" w:cs="Times New Roman"/>
          <w:szCs w:val="24"/>
          <w:lang w:val="es-ES"/>
        </w:rPr>
        <w:t xml:space="preserve"> </w:t>
      </w:r>
      <w:r w:rsidR="009D4A5C" w:rsidRPr="00B00F89">
        <w:rPr>
          <w:rFonts w:ascii="Times New Roman" w:hAnsi="Times New Roman" w:cs="Times New Roman"/>
          <w:szCs w:val="24"/>
          <w:lang w:val="es-ES"/>
        </w:rPr>
        <w:t>presente</w:t>
      </w:r>
      <w:r w:rsidR="007024DD" w:rsidRPr="00B00F89">
        <w:rPr>
          <w:rFonts w:ascii="Times New Roman" w:hAnsi="Times New Roman" w:cs="Times New Roman"/>
          <w:szCs w:val="24"/>
          <w:lang w:val="es-ES"/>
        </w:rPr>
        <w:t>s</w:t>
      </w:r>
      <w:r w:rsidR="009D4A5C" w:rsidRPr="00B00F89">
        <w:rPr>
          <w:rFonts w:ascii="Times New Roman" w:hAnsi="Times New Roman" w:cs="Times New Roman"/>
          <w:szCs w:val="24"/>
          <w:lang w:val="es-ES"/>
        </w:rPr>
        <w:t xml:space="preserve"> en una población </w:t>
      </w:r>
      <w:r w:rsidR="00A33CA6" w:rsidRPr="00B00F89">
        <w:rPr>
          <w:rFonts w:ascii="Times New Roman" w:hAnsi="Times New Roman" w:cs="Times New Roman"/>
          <w:szCs w:val="24"/>
          <w:lang w:val="es-ES"/>
        </w:rPr>
        <w:t xml:space="preserve">de niños y adolescentes </w:t>
      </w:r>
      <w:r w:rsidR="00467B73" w:rsidRPr="00B00F89">
        <w:rPr>
          <w:rFonts w:ascii="Times New Roman" w:hAnsi="Times New Roman" w:cs="Times New Roman"/>
          <w:szCs w:val="24"/>
          <w:lang w:val="es-ES"/>
        </w:rPr>
        <w:t>elegible</w:t>
      </w:r>
      <w:r w:rsidR="00A33CA6" w:rsidRPr="00B00F89">
        <w:rPr>
          <w:rFonts w:ascii="Times New Roman" w:hAnsi="Times New Roman" w:cs="Times New Roman"/>
          <w:szCs w:val="24"/>
          <w:lang w:val="es-ES"/>
        </w:rPr>
        <w:t>s</w:t>
      </w:r>
      <w:r w:rsidR="00467B73" w:rsidRPr="00B00F89">
        <w:rPr>
          <w:rFonts w:ascii="Times New Roman" w:hAnsi="Times New Roman" w:cs="Times New Roman"/>
          <w:szCs w:val="24"/>
          <w:lang w:val="es-ES"/>
        </w:rPr>
        <w:t xml:space="preserve"> no </w:t>
      </w:r>
      <w:r w:rsidR="009D4A5C" w:rsidRPr="00B00F89">
        <w:rPr>
          <w:rFonts w:ascii="Times New Roman" w:hAnsi="Times New Roman" w:cs="Times New Roman"/>
          <w:szCs w:val="24"/>
          <w:lang w:val="es-ES"/>
        </w:rPr>
        <w:t>beneficiari</w:t>
      </w:r>
      <w:r w:rsidR="00A33CA6" w:rsidRPr="00B00F89">
        <w:rPr>
          <w:rFonts w:ascii="Times New Roman" w:hAnsi="Times New Roman" w:cs="Times New Roman"/>
          <w:szCs w:val="24"/>
          <w:lang w:val="es-ES"/>
        </w:rPr>
        <w:t>os</w:t>
      </w:r>
      <w:r w:rsidR="009D4A5C" w:rsidRPr="00B00F89">
        <w:rPr>
          <w:rFonts w:ascii="Times New Roman" w:hAnsi="Times New Roman" w:cs="Times New Roman"/>
          <w:szCs w:val="24"/>
          <w:lang w:val="es-ES"/>
        </w:rPr>
        <w:t xml:space="preserve"> de</w:t>
      </w:r>
      <w:r w:rsidR="00467B73" w:rsidRPr="00B00F89">
        <w:rPr>
          <w:rFonts w:ascii="Times New Roman" w:hAnsi="Times New Roman" w:cs="Times New Roman"/>
          <w:szCs w:val="24"/>
          <w:lang w:val="es-ES"/>
        </w:rPr>
        <w:t xml:space="preserve"> la AUH</w:t>
      </w:r>
      <w:r w:rsidRPr="00B00F89">
        <w:rPr>
          <w:rFonts w:ascii="Times New Roman" w:hAnsi="Times New Roman" w:cs="Times New Roman"/>
          <w:szCs w:val="24"/>
          <w:lang w:val="es-ES"/>
        </w:rPr>
        <w:t>.</w:t>
      </w:r>
      <w:r w:rsidR="00A33CA6">
        <w:rPr>
          <w:rFonts w:ascii="Times New Roman" w:hAnsi="Times New Roman" w:cs="Times New Roman"/>
          <w:szCs w:val="24"/>
          <w:lang w:val="es-ES"/>
        </w:rPr>
        <w:t xml:space="preserve"> </w:t>
      </w:r>
    </w:p>
    <w:p w14:paraId="583A07B5" w14:textId="536373B0" w:rsidR="00F1487B" w:rsidRDefault="007A3F4A" w:rsidP="00467B73">
      <w:pPr>
        <w:spacing w:before="120" w:after="120" w:line="240" w:lineRule="auto"/>
        <w:jc w:val="both"/>
        <w:rPr>
          <w:rFonts w:ascii="Times New Roman" w:hAnsi="Times New Roman" w:cs="Times New Roman"/>
          <w:szCs w:val="24"/>
          <w:lang w:val="es-ES"/>
        </w:rPr>
      </w:pPr>
      <w:r w:rsidRPr="00CF177C">
        <w:rPr>
          <w:rFonts w:ascii="Times New Roman" w:hAnsi="Times New Roman" w:cs="Times New Roman"/>
          <w:b/>
          <w:szCs w:val="24"/>
          <w:lang w:val="es-ES"/>
        </w:rPr>
        <w:t xml:space="preserve">Palabras clave: </w:t>
      </w:r>
      <w:r w:rsidR="00467B73" w:rsidRPr="00CF177C">
        <w:rPr>
          <w:rFonts w:ascii="Times New Roman" w:hAnsi="Times New Roman" w:cs="Times New Roman"/>
          <w:szCs w:val="24"/>
          <w:lang w:val="es-ES"/>
        </w:rPr>
        <w:t>AUH,</w:t>
      </w:r>
      <w:r w:rsidRPr="00CF177C">
        <w:rPr>
          <w:rFonts w:ascii="Times New Roman" w:hAnsi="Times New Roman" w:cs="Times New Roman"/>
          <w:szCs w:val="24"/>
          <w:lang w:val="es-ES"/>
        </w:rPr>
        <w:t xml:space="preserve"> </w:t>
      </w:r>
      <w:r w:rsidR="008F1548">
        <w:rPr>
          <w:rFonts w:ascii="Times New Roman" w:hAnsi="Times New Roman" w:cs="Times New Roman"/>
          <w:szCs w:val="24"/>
          <w:lang w:val="es-ES"/>
        </w:rPr>
        <w:t>programas</w:t>
      </w:r>
      <w:r w:rsidRPr="00CF177C">
        <w:rPr>
          <w:rFonts w:ascii="Times New Roman" w:hAnsi="Times New Roman" w:cs="Times New Roman"/>
          <w:szCs w:val="24"/>
          <w:lang w:val="es-ES"/>
        </w:rPr>
        <w:t xml:space="preserve"> de transferencia monetaria condicionada, </w:t>
      </w:r>
      <w:r w:rsidR="008F1548">
        <w:rPr>
          <w:rFonts w:ascii="Times New Roman" w:hAnsi="Times New Roman" w:cs="Times New Roman"/>
          <w:szCs w:val="24"/>
          <w:lang w:val="es-ES"/>
        </w:rPr>
        <w:t>exclusión</w:t>
      </w:r>
      <w:r w:rsidR="00467B73" w:rsidRPr="00CF177C">
        <w:rPr>
          <w:rFonts w:ascii="Times New Roman" w:hAnsi="Times New Roman" w:cs="Times New Roman"/>
          <w:szCs w:val="24"/>
          <w:lang w:val="es-ES"/>
        </w:rPr>
        <w:t xml:space="preserve"> social</w:t>
      </w:r>
      <w:r w:rsidRPr="00CF177C">
        <w:rPr>
          <w:rFonts w:ascii="Times New Roman" w:hAnsi="Times New Roman" w:cs="Times New Roman"/>
          <w:szCs w:val="24"/>
          <w:lang w:val="es-ES"/>
        </w:rPr>
        <w:t xml:space="preserve">, </w:t>
      </w:r>
      <w:r w:rsidR="00467B73" w:rsidRPr="00CF177C">
        <w:rPr>
          <w:rFonts w:ascii="Times New Roman" w:hAnsi="Times New Roman" w:cs="Times New Roman"/>
          <w:szCs w:val="24"/>
          <w:lang w:val="es-ES"/>
        </w:rPr>
        <w:t>e</w:t>
      </w:r>
      <w:r w:rsidRPr="00CF177C">
        <w:rPr>
          <w:rFonts w:ascii="Times New Roman" w:hAnsi="Times New Roman" w:cs="Times New Roman"/>
          <w:szCs w:val="24"/>
          <w:lang w:val="es-ES"/>
        </w:rPr>
        <w:t>valuación de políticas sociales.</w:t>
      </w:r>
    </w:p>
    <w:p w14:paraId="4A34FE83" w14:textId="77777777" w:rsidR="009B0C33" w:rsidRPr="00F1487B" w:rsidRDefault="009B0C33" w:rsidP="009B0C33">
      <w:pPr>
        <w:spacing w:before="120" w:after="0" w:line="240" w:lineRule="auto"/>
        <w:jc w:val="both"/>
        <w:rPr>
          <w:rFonts w:ascii="Times New Roman" w:hAnsi="Times New Roman" w:cs="Times New Roman"/>
          <w:b/>
          <w:sz w:val="26"/>
          <w:szCs w:val="26"/>
          <w:lang w:val="en-GB"/>
        </w:rPr>
      </w:pPr>
      <w:r w:rsidRPr="00F1487B">
        <w:rPr>
          <w:rFonts w:ascii="Times New Roman" w:hAnsi="Times New Roman" w:cs="Times New Roman"/>
          <w:b/>
          <w:sz w:val="26"/>
          <w:szCs w:val="26"/>
          <w:lang w:val="en-GB"/>
        </w:rPr>
        <w:lastRenderedPageBreak/>
        <w:t>Exclusion Processes in Social P</w:t>
      </w:r>
      <w:r>
        <w:rPr>
          <w:rFonts w:ascii="Times New Roman" w:hAnsi="Times New Roman" w:cs="Times New Roman"/>
          <w:b/>
          <w:sz w:val="26"/>
          <w:szCs w:val="26"/>
          <w:lang w:val="en-GB"/>
        </w:rPr>
        <w:t>olicies: Exploring the No Recipients of Universal Child Allowance’s Profiles</w:t>
      </w:r>
    </w:p>
    <w:p w14:paraId="36BE6A1C" w14:textId="77777777" w:rsidR="00F1487B" w:rsidRPr="00F1487B" w:rsidRDefault="00F1487B" w:rsidP="00F1487B">
      <w:pPr>
        <w:spacing w:before="120" w:after="0" w:line="240" w:lineRule="auto"/>
        <w:jc w:val="both"/>
        <w:rPr>
          <w:rFonts w:ascii="Times New Roman" w:hAnsi="Times New Roman" w:cs="Times New Roman"/>
          <w:b/>
          <w:sz w:val="26"/>
          <w:szCs w:val="26"/>
          <w:lang w:val="en-GB"/>
        </w:rPr>
      </w:pPr>
    </w:p>
    <w:p w14:paraId="20273067" w14:textId="77777777" w:rsidR="009B0C33" w:rsidRDefault="009B0C33" w:rsidP="009B0C33">
      <w:pPr>
        <w:spacing w:after="0"/>
        <w:jc w:val="both"/>
        <w:rPr>
          <w:rFonts w:ascii="Times New Roman" w:hAnsi="Times New Roman" w:cs="Times New Roman"/>
          <w:b/>
          <w:szCs w:val="24"/>
          <w:lang w:val="es-ES"/>
        </w:rPr>
      </w:pPr>
      <w:proofErr w:type="spellStart"/>
      <w:r>
        <w:rPr>
          <w:rFonts w:ascii="Times New Roman" w:hAnsi="Times New Roman" w:cs="Times New Roman"/>
          <w:b/>
          <w:szCs w:val="24"/>
          <w:lang w:val="es-ES"/>
        </w:rPr>
        <w:t>Abstract</w:t>
      </w:r>
      <w:proofErr w:type="spellEnd"/>
    </w:p>
    <w:p w14:paraId="1A78A0E8" w14:textId="77777777" w:rsidR="009B0C33" w:rsidRPr="009B0C33" w:rsidRDefault="009B0C33" w:rsidP="009B0C33">
      <w:pPr>
        <w:spacing w:before="120" w:after="120"/>
        <w:jc w:val="both"/>
        <w:rPr>
          <w:rFonts w:ascii="Times New Roman" w:hAnsi="Times New Roman" w:cs="Times New Roman"/>
          <w:szCs w:val="24"/>
          <w:lang w:val="en-GB"/>
        </w:rPr>
      </w:pPr>
      <w:r w:rsidRPr="009B0C33">
        <w:rPr>
          <w:rFonts w:ascii="Times New Roman" w:hAnsi="Times New Roman" w:cs="Times New Roman"/>
          <w:szCs w:val="24"/>
          <w:lang w:val="en-GB"/>
        </w:rPr>
        <w:t xml:space="preserve">It is widely demonstrated that </w:t>
      </w:r>
      <w:proofErr w:type="spellStart"/>
      <w:r w:rsidRPr="009B0C33">
        <w:rPr>
          <w:rFonts w:ascii="Times New Roman" w:hAnsi="Times New Roman" w:cs="Times New Roman"/>
          <w:szCs w:val="24"/>
          <w:lang w:val="en-GB"/>
        </w:rPr>
        <w:t>labor</w:t>
      </w:r>
      <w:proofErr w:type="spellEnd"/>
      <w:r w:rsidRPr="009B0C33">
        <w:rPr>
          <w:rFonts w:ascii="Times New Roman" w:hAnsi="Times New Roman" w:cs="Times New Roman"/>
          <w:szCs w:val="24"/>
          <w:lang w:val="en-GB"/>
        </w:rPr>
        <w:t xml:space="preserve"> market institutions and social security related to formal employment are the main factor of systemic social inclusion in market-based economies (OIT, 2017). Nevertheless, productive restructuration and its effects on employment and exclusion led governments globally to develop social protection systems coexisting to them (CEPAL, 2018). In Latin America, these systems are conditional cash transfers, aimed at poverty reduction and conceived as temporary initiatives, until recipients obtain a better </w:t>
      </w:r>
      <w:proofErr w:type="spellStart"/>
      <w:r w:rsidRPr="009B0C33">
        <w:rPr>
          <w:rFonts w:ascii="Times New Roman" w:hAnsi="Times New Roman" w:cs="Times New Roman"/>
          <w:szCs w:val="24"/>
          <w:lang w:val="en-GB"/>
        </w:rPr>
        <w:t>labor</w:t>
      </w:r>
      <w:proofErr w:type="spellEnd"/>
      <w:r w:rsidRPr="009B0C33">
        <w:rPr>
          <w:rFonts w:ascii="Times New Roman" w:hAnsi="Times New Roman" w:cs="Times New Roman"/>
          <w:szCs w:val="24"/>
          <w:lang w:val="en-GB"/>
        </w:rPr>
        <w:t xml:space="preserve"> market position. Even if they have been effective against extreme poverty, it has been proved their insufficiency to outpace exclusions and auto-exclusions and to promote more broader ways of social inclusion.</w:t>
      </w:r>
    </w:p>
    <w:p w14:paraId="20C1B4AE" w14:textId="77777777" w:rsidR="009B0C33" w:rsidRPr="009B0C33" w:rsidRDefault="009B0C33" w:rsidP="009B0C33">
      <w:pPr>
        <w:spacing w:before="120" w:after="120"/>
        <w:jc w:val="both"/>
        <w:rPr>
          <w:rFonts w:ascii="Times New Roman" w:hAnsi="Times New Roman" w:cs="Times New Roman"/>
          <w:szCs w:val="24"/>
          <w:lang w:val="en-GB"/>
        </w:rPr>
      </w:pPr>
      <w:r w:rsidRPr="009B0C33">
        <w:rPr>
          <w:rFonts w:ascii="Times New Roman" w:hAnsi="Times New Roman" w:cs="Times New Roman"/>
          <w:szCs w:val="24"/>
          <w:lang w:val="en-GB"/>
        </w:rPr>
        <w:t xml:space="preserve">In 2009, Argentina’s government implemented a conditional cash transfer –the </w:t>
      </w:r>
      <w:proofErr w:type="spellStart"/>
      <w:r w:rsidRPr="009B0C33">
        <w:rPr>
          <w:rFonts w:ascii="Times New Roman" w:hAnsi="Times New Roman" w:cs="Times New Roman"/>
          <w:i/>
          <w:szCs w:val="24"/>
          <w:lang w:val="en-GB"/>
        </w:rPr>
        <w:t>Asignación</w:t>
      </w:r>
      <w:proofErr w:type="spellEnd"/>
      <w:r w:rsidRPr="009B0C33">
        <w:rPr>
          <w:rFonts w:ascii="Times New Roman" w:hAnsi="Times New Roman" w:cs="Times New Roman"/>
          <w:i/>
          <w:szCs w:val="24"/>
          <w:lang w:val="en-GB"/>
        </w:rPr>
        <w:t xml:space="preserve"> Universal por </w:t>
      </w:r>
      <w:proofErr w:type="spellStart"/>
      <w:r w:rsidRPr="009B0C33">
        <w:rPr>
          <w:rFonts w:ascii="Times New Roman" w:hAnsi="Times New Roman" w:cs="Times New Roman"/>
          <w:i/>
          <w:szCs w:val="24"/>
          <w:lang w:val="en-GB"/>
        </w:rPr>
        <w:t>Hijo</w:t>
      </w:r>
      <w:proofErr w:type="spellEnd"/>
      <w:r w:rsidRPr="009B0C33">
        <w:rPr>
          <w:rFonts w:ascii="Times New Roman" w:hAnsi="Times New Roman" w:cs="Times New Roman"/>
          <w:szCs w:val="24"/>
          <w:lang w:val="en-GB"/>
        </w:rPr>
        <w:t xml:space="preserve"> (AUH)– (the Universal Child Allowance) aimed at households with children whose parents are informal employees, unemployed or inactive with no access to social protection system. Since then, literature has tackled several aspects of the program. Adopting a critical approach about the universal, transitory and inclusive character of this initiative, this paper focuses on a less attended issue: the socioeconomic, demographic, </w:t>
      </w:r>
      <w:proofErr w:type="spellStart"/>
      <w:r w:rsidRPr="009B0C33">
        <w:rPr>
          <w:rFonts w:ascii="Times New Roman" w:hAnsi="Times New Roman" w:cs="Times New Roman"/>
          <w:szCs w:val="24"/>
          <w:lang w:val="en-GB"/>
        </w:rPr>
        <w:t>labor</w:t>
      </w:r>
      <w:proofErr w:type="spellEnd"/>
      <w:r w:rsidRPr="009B0C33">
        <w:rPr>
          <w:rFonts w:ascii="Times New Roman" w:hAnsi="Times New Roman" w:cs="Times New Roman"/>
          <w:szCs w:val="24"/>
          <w:lang w:val="en-GB"/>
        </w:rPr>
        <w:t xml:space="preserve"> and residential profile of potential recipients of the program that remain excluded or auto-excluded of it. The main hypothesis is that this population is heterogeneous, with internal cleavages and several degrees of social marginality, whose conditions are the main factor of the exclusion of the program. </w:t>
      </w:r>
    </w:p>
    <w:p w14:paraId="423D4D3B" w14:textId="77777777" w:rsidR="009B0C33" w:rsidRPr="009B0C33" w:rsidRDefault="009B0C33" w:rsidP="009B0C33">
      <w:pPr>
        <w:spacing w:before="120" w:after="120"/>
        <w:jc w:val="both"/>
        <w:rPr>
          <w:rFonts w:ascii="Times New Roman" w:hAnsi="Times New Roman" w:cs="Times New Roman"/>
          <w:szCs w:val="24"/>
          <w:lang w:val="en-GB"/>
        </w:rPr>
      </w:pPr>
      <w:r w:rsidRPr="009B0C33">
        <w:rPr>
          <w:rFonts w:ascii="Times New Roman" w:hAnsi="Times New Roman" w:cs="Times New Roman"/>
          <w:szCs w:val="24"/>
          <w:lang w:val="en-GB"/>
        </w:rPr>
        <w:t xml:space="preserve">Data come from microdata of the </w:t>
      </w:r>
      <w:proofErr w:type="spellStart"/>
      <w:r w:rsidRPr="009B0C33">
        <w:rPr>
          <w:rFonts w:ascii="Times New Roman" w:hAnsi="Times New Roman" w:cs="Times New Roman"/>
          <w:i/>
          <w:szCs w:val="24"/>
          <w:lang w:val="en-GB"/>
        </w:rPr>
        <w:t>Encuesta</w:t>
      </w:r>
      <w:proofErr w:type="spellEnd"/>
      <w:r w:rsidRPr="009B0C33">
        <w:rPr>
          <w:rFonts w:ascii="Times New Roman" w:hAnsi="Times New Roman" w:cs="Times New Roman"/>
          <w:i/>
          <w:szCs w:val="24"/>
          <w:lang w:val="en-GB"/>
        </w:rPr>
        <w:t xml:space="preserve"> de la </w:t>
      </w:r>
      <w:proofErr w:type="spellStart"/>
      <w:r w:rsidRPr="009B0C33">
        <w:rPr>
          <w:rFonts w:ascii="Times New Roman" w:hAnsi="Times New Roman" w:cs="Times New Roman"/>
          <w:i/>
          <w:szCs w:val="24"/>
          <w:lang w:val="en-GB"/>
        </w:rPr>
        <w:t>Deuda</w:t>
      </w:r>
      <w:proofErr w:type="spellEnd"/>
      <w:r w:rsidRPr="009B0C33">
        <w:rPr>
          <w:rFonts w:ascii="Times New Roman" w:hAnsi="Times New Roman" w:cs="Times New Roman"/>
          <w:i/>
          <w:szCs w:val="24"/>
          <w:lang w:val="en-GB"/>
        </w:rPr>
        <w:t xml:space="preserve"> Social Argentina </w:t>
      </w:r>
      <w:r w:rsidRPr="009B0C33">
        <w:rPr>
          <w:rFonts w:ascii="Times New Roman" w:hAnsi="Times New Roman" w:cs="Times New Roman"/>
          <w:szCs w:val="24"/>
          <w:lang w:val="en-GB"/>
        </w:rPr>
        <w:t>(</w:t>
      </w:r>
      <w:r w:rsidRPr="009B0C33">
        <w:rPr>
          <w:rFonts w:ascii="Times New Roman" w:hAnsi="Times New Roman" w:cs="Times New Roman"/>
          <w:bCs/>
          <w:color w:val="000000"/>
          <w:szCs w:val="24"/>
          <w:shd w:val="clear" w:color="auto" w:fill="FFFFFF"/>
          <w:lang w:val="en-GB"/>
        </w:rPr>
        <w:t>Survey</w:t>
      </w:r>
      <w:r w:rsidRPr="009B0C33">
        <w:rPr>
          <w:rFonts w:ascii="Times New Roman" w:hAnsi="Times New Roman" w:cs="Times New Roman"/>
          <w:color w:val="222222"/>
          <w:szCs w:val="24"/>
          <w:shd w:val="clear" w:color="auto" w:fill="FFFFFF"/>
          <w:lang w:val="en-GB"/>
        </w:rPr>
        <w:t> of </w:t>
      </w:r>
      <w:r w:rsidRPr="009B0C33">
        <w:rPr>
          <w:rFonts w:ascii="Times New Roman" w:hAnsi="Times New Roman" w:cs="Times New Roman"/>
          <w:bCs/>
          <w:color w:val="000000"/>
          <w:szCs w:val="24"/>
          <w:shd w:val="clear" w:color="auto" w:fill="FFFFFF"/>
          <w:lang w:val="en-GB"/>
        </w:rPr>
        <w:t>Argentina's</w:t>
      </w:r>
      <w:r w:rsidRPr="009B0C33">
        <w:rPr>
          <w:rFonts w:ascii="Times New Roman" w:hAnsi="Times New Roman" w:cs="Times New Roman"/>
          <w:color w:val="222222"/>
          <w:szCs w:val="24"/>
          <w:shd w:val="clear" w:color="auto" w:fill="FFFFFF"/>
          <w:lang w:val="en-GB"/>
        </w:rPr>
        <w:t> </w:t>
      </w:r>
      <w:r w:rsidRPr="009B0C33">
        <w:rPr>
          <w:rFonts w:ascii="Times New Roman" w:hAnsi="Times New Roman" w:cs="Times New Roman"/>
          <w:bCs/>
          <w:color w:val="000000"/>
          <w:szCs w:val="24"/>
          <w:shd w:val="clear" w:color="auto" w:fill="FFFFFF"/>
          <w:lang w:val="en-GB"/>
        </w:rPr>
        <w:t>Social</w:t>
      </w:r>
      <w:r w:rsidRPr="009B0C33">
        <w:rPr>
          <w:rFonts w:ascii="Times New Roman" w:hAnsi="Times New Roman" w:cs="Times New Roman"/>
          <w:color w:val="222222"/>
          <w:szCs w:val="24"/>
          <w:shd w:val="clear" w:color="auto" w:fill="FFFFFF"/>
          <w:lang w:val="en-GB"/>
        </w:rPr>
        <w:t> </w:t>
      </w:r>
      <w:r w:rsidRPr="009B0C33">
        <w:rPr>
          <w:rFonts w:ascii="Times New Roman" w:hAnsi="Times New Roman" w:cs="Times New Roman"/>
          <w:bCs/>
          <w:color w:val="000000"/>
          <w:szCs w:val="24"/>
          <w:shd w:val="clear" w:color="auto" w:fill="FFFFFF"/>
          <w:lang w:val="en-GB"/>
        </w:rPr>
        <w:t>Debt)</w:t>
      </w:r>
      <w:r w:rsidRPr="009B0C33">
        <w:rPr>
          <w:rFonts w:ascii="Times New Roman" w:hAnsi="Times New Roman" w:cs="Times New Roman"/>
          <w:szCs w:val="24"/>
          <w:lang w:val="en-GB"/>
        </w:rPr>
        <w:t xml:space="preserve"> of the </w:t>
      </w:r>
      <w:r w:rsidRPr="009B0C33">
        <w:rPr>
          <w:rFonts w:ascii="Times New Roman" w:hAnsi="Times New Roman" w:cs="Times New Roman"/>
          <w:i/>
          <w:szCs w:val="24"/>
          <w:lang w:val="en-GB"/>
        </w:rPr>
        <w:t xml:space="preserve">Universidad </w:t>
      </w:r>
      <w:proofErr w:type="spellStart"/>
      <w:r w:rsidRPr="009B0C33">
        <w:rPr>
          <w:rFonts w:ascii="Times New Roman" w:hAnsi="Times New Roman" w:cs="Times New Roman"/>
          <w:i/>
          <w:szCs w:val="24"/>
          <w:lang w:val="en-GB"/>
        </w:rPr>
        <w:t>C</w:t>
      </w:r>
      <w:bookmarkStart w:id="0" w:name="_GoBack"/>
      <w:bookmarkEnd w:id="0"/>
      <w:r w:rsidRPr="009B0C33">
        <w:rPr>
          <w:rFonts w:ascii="Times New Roman" w:hAnsi="Times New Roman" w:cs="Times New Roman"/>
          <w:i/>
          <w:szCs w:val="24"/>
          <w:lang w:val="en-GB"/>
        </w:rPr>
        <w:t>atólica</w:t>
      </w:r>
      <w:proofErr w:type="spellEnd"/>
      <w:r w:rsidRPr="009B0C33">
        <w:rPr>
          <w:rFonts w:ascii="Times New Roman" w:hAnsi="Times New Roman" w:cs="Times New Roman"/>
          <w:i/>
          <w:szCs w:val="24"/>
          <w:lang w:val="en-GB"/>
        </w:rPr>
        <w:t xml:space="preserve"> Argentina </w:t>
      </w:r>
      <w:r w:rsidRPr="009B0C33">
        <w:rPr>
          <w:rFonts w:ascii="Times New Roman" w:hAnsi="Times New Roman" w:cs="Times New Roman"/>
          <w:szCs w:val="24"/>
          <w:lang w:val="en-GB"/>
        </w:rPr>
        <w:t>(</w:t>
      </w:r>
      <w:r w:rsidRPr="009B0C33">
        <w:rPr>
          <w:rFonts w:ascii="Times New Roman" w:hAnsi="Times New Roman" w:cs="Times New Roman"/>
          <w:bCs/>
          <w:color w:val="000000"/>
          <w:szCs w:val="24"/>
          <w:shd w:val="clear" w:color="auto" w:fill="FFFFFF"/>
          <w:lang w:val="en-GB"/>
        </w:rPr>
        <w:t>Catholic</w:t>
      </w:r>
      <w:r w:rsidRPr="009B0C33">
        <w:rPr>
          <w:rFonts w:ascii="Times New Roman" w:hAnsi="Times New Roman" w:cs="Times New Roman"/>
          <w:color w:val="222222"/>
          <w:szCs w:val="24"/>
          <w:shd w:val="clear" w:color="auto" w:fill="FFFFFF"/>
          <w:lang w:val="en-GB"/>
        </w:rPr>
        <w:t> </w:t>
      </w:r>
      <w:r w:rsidRPr="009B0C33">
        <w:rPr>
          <w:rFonts w:ascii="Times New Roman" w:hAnsi="Times New Roman" w:cs="Times New Roman"/>
          <w:bCs/>
          <w:color w:val="000000"/>
          <w:szCs w:val="24"/>
          <w:shd w:val="clear" w:color="auto" w:fill="FFFFFF"/>
          <w:lang w:val="en-GB"/>
        </w:rPr>
        <w:t>University</w:t>
      </w:r>
      <w:r w:rsidRPr="009B0C33">
        <w:rPr>
          <w:rFonts w:ascii="Times New Roman" w:hAnsi="Times New Roman" w:cs="Times New Roman"/>
          <w:color w:val="222222"/>
          <w:szCs w:val="24"/>
          <w:shd w:val="clear" w:color="auto" w:fill="FFFFFF"/>
          <w:lang w:val="en-GB"/>
        </w:rPr>
        <w:t> of </w:t>
      </w:r>
      <w:r w:rsidRPr="009B0C33">
        <w:rPr>
          <w:rFonts w:ascii="Times New Roman" w:hAnsi="Times New Roman" w:cs="Times New Roman"/>
          <w:bCs/>
          <w:color w:val="000000"/>
          <w:szCs w:val="24"/>
          <w:shd w:val="clear" w:color="auto" w:fill="FFFFFF"/>
          <w:lang w:val="en-GB"/>
        </w:rPr>
        <w:t>Argentina</w:t>
      </w:r>
      <w:r w:rsidRPr="009B0C33">
        <w:rPr>
          <w:rFonts w:ascii="Times New Roman" w:hAnsi="Times New Roman" w:cs="Times New Roman"/>
          <w:color w:val="222222"/>
          <w:szCs w:val="24"/>
          <w:shd w:val="clear" w:color="auto" w:fill="FFFFFF"/>
          <w:lang w:val="en-GB"/>
        </w:rPr>
        <w:t>)</w:t>
      </w:r>
      <w:r w:rsidRPr="009B0C33">
        <w:rPr>
          <w:rFonts w:ascii="Times New Roman" w:hAnsi="Times New Roman" w:cs="Times New Roman"/>
          <w:szCs w:val="24"/>
          <w:lang w:val="en-GB"/>
        </w:rPr>
        <w:t>,</w:t>
      </w:r>
      <w:r w:rsidRPr="009B0C33">
        <w:rPr>
          <w:rFonts w:ascii="Times New Roman" w:hAnsi="Times New Roman" w:cs="Times New Roman"/>
          <w:sz w:val="36"/>
          <w:szCs w:val="24"/>
          <w:lang w:val="en-GB"/>
        </w:rPr>
        <w:t xml:space="preserve"> </w:t>
      </w:r>
      <w:r w:rsidRPr="009B0C33">
        <w:rPr>
          <w:rFonts w:ascii="Times New Roman" w:hAnsi="Times New Roman" w:cs="Times New Roman"/>
          <w:szCs w:val="24"/>
          <w:lang w:val="en-GB"/>
        </w:rPr>
        <w:t xml:space="preserve">corresponding to 2010-2015. Based on stacked datasets, regressions, factor and cluster analysis were carried out, to characterize different processes of exclusion underlying a population of children that are no recipients of the AUH but are eligible to receive it. </w:t>
      </w:r>
    </w:p>
    <w:p w14:paraId="44C897FD" w14:textId="77777777" w:rsidR="009B0C33" w:rsidRPr="003E368C" w:rsidRDefault="009B0C33" w:rsidP="009B0C33">
      <w:pPr>
        <w:spacing w:before="120" w:after="120" w:line="240" w:lineRule="auto"/>
        <w:jc w:val="both"/>
        <w:rPr>
          <w:rFonts w:ascii="Times New Roman" w:hAnsi="Times New Roman" w:cs="Times New Roman"/>
          <w:szCs w:val="24"/>
          <w:lang w:val="en-GB"/>
        </w:rPr>
      </w:pPr>
      <w:r w:rsidRPr="009B0C33">
        <w:rPr>
          <w:rFonts w:ascii="Times New Roman" w:hAnsi="Times New Roman" w:cs="Times New Roman"/>
          <w:b/>
          <w:szCs w:val="24"/>
          <w:lang w:val="en-GB"/>
        </w:rPr>
        <w:t xml:space="preserve">Key words: </w:t>
      </w:r>
      <w:r w:rsidRPr="009B0C33">
        <w:rPr>
          <w:rFonts w:ascii="Times New Roman" w:hAnsi="Times New Roman" w:cs="Times New Roman"/>
          <w:szCs w:val="24"/>
          <w:lang w:val="en-GB"/>
        </w:rPr>
        <w:t>AUH, Conditional Cash Transfers, Social Exclusion, Social Policy Evaluation.</w:t>
      </w:r>
    </w:p>
    <w:p w14:paraId="295A183B" w14:textId="77777777" w:rsidR="00F1487B" w:rsidRPr="003E368C" w:rsidRDefault="00F1487B">
      <w:pPr>
        <w:rPr>
          <w:rFonts w:ascii="Times New Roman" w:hAnsi="Times New Roman" w:cs="Times New Roman"/>
          <w:szCs w:val="24"/>
          <w:lang w:val="en-GB"/>
        </w:rPr>
      </w:pPr>
      <w:r w:rsidRPr="003E368C">
        <w:rPr>
          <w:rFonts w:ascii="Times New Roman" w:hAnsi="Times New Roman" w:cs="Times New Roman"/>
          <w:szCs w:val="24"/>
          <w:lang w:val="en-GB"/>
        </w:rPr>
        <w:br w:type="page"/>
      </w:r>
    </w:p>
    <w:p w14:paraId="45467E13" w14:textId="57189EFF" w:rsidR="0058317F" w:rsidRPr="00CF177C" w:rsidRDefault="0017618C" w:rsidP="0058317F">
      <w:pPr>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lang w:val="es-ES"/>
        </w:rPr>
        <w:lastRenderedPageBreak/>
        <w:t>Procesos</w:t>
      </w:r>
      <w:r w:rsidRPr="00CF177C">
        <w:rPr>
          <w:rFonts w:ascii="Times New Roman" w:hAnsi="Times New Roman" w:cs="Times New Roman"/>
          <w:b/>
          <w:sz w:val="26"/>
          <w:szCs w:val="26"/>
          <w:lang w:val="es-ES"/>
        </w:rPr>
        <w:t xml:space="preserve"> de exclusión en las políticas sociales: explorando los perfiles de la población no </w:t>
      </w:r>
      <w:r w:rsidR="00C6083A">
        <w:rPr>
          <w:rFonts w:ascii="Times New Roman" w:hAnsi="Times New Roman" w:cs="Times New Roman"/>
          <w:b/>
          <w:sz w:val="26"/>
          <w:szCs w:val="26"/>
          <w:lang w:val="es-ES"/>
        </w:rPr>
        <w:t>perceptora</w:t>
      </w:r>
      <w:r w:rsidRPr="00CF177C">
        <w:rPr>
          <w:rFonts w:ascii="Times New Roman" w:hAnsi="Times New Roman" w:cs="Times New Roman"/>
          <w:b/>
          <w:sz w:val="26"/>
          <w:szCs w:val="26"/>
          <w:lang w:val="es-ES"/>
        </w:rPr>
        <w:t xml:space="preserve"> a la Asignación Universal por Hijo</w:t>
      </w:r>
      <w:r w:rsidR="00DF0B07" w:rsidRPr="00CF177C">
        <w:rPr>
          <w:rStyle w:val="Refdenotaalpie"/>
          <w:rFonts w:ascii="Times New Roman" w:hAnsi="Times New Roman" w:cs="Times New Roman"/>
          <w:szCs w:val="24"/>
        </w:rPr>
        <w:footnoteReference w:id="1"/>
      </w:r>
    </w:p>
    <w:p w14:paraId="3C5F7824" w14:textId="77777777" w:rsidR="00E922B4" w:rsidRPr="00CF177C" w:rsidRDefault="00E90697" w:rsidP="0058317F">
      <w:pPr>
        <w:spacing w:before="600" w:after="120"/>
        <w:jc w:val="both"/>
        <w:rPr>
          <w:rFonts w:ascii="Times New Roman" w:hAnsi="Times New Roman" w:cs="Times New Roman"/>
          <w:b/>
          <w:szCs w:val="24"/>
          <w:lang w:val="es-ES"/>
        </w:rPr>
      </w:pPr>
      <w:r w:rsidRPr="00CF177C">
        <w:rPr>
          <w:rFonts w:ascii="Times New Roman" w:hAnsi="Times New Roman" w:cs="Times New Roman"/>
          <w:b/>
          <w:szCs w:val="24"/>
          <w:lang w:val="es-ES"/>
        </w:rPr>
        <w:t>Introducción</w:t>
      </w:r>
    </w:p>
    <w:p w14:paraId="3590E3BB" w14:textId="12F30601" w:rsidR="00527F65" w:rsidRDefault="009E5B0C" w:rsidP="00527F65">
      <w:pPr>
        <w:spacing w:before="120" w:after="120" w:line="360" w:lineRule="auto"/>
        <w:jc w:val="both"/>
        <w:rPr>
          <w:rFonts w:ascii="Times New Roman" w:hAnsi="Times New Roman" w:cs="Times New Roman"/>
          <w:szCs w:val="24"/>
          <w:lang w:val="es-ES"/>
        </w:rPr>
      </w:pPr>
      <w:r w:rsidRPr="00B00F89">
        <w:rPr>
          <w:rFonts w:ascii="Times New Roman" w:hAnsi="Times New Roman" w:cs="Times New Roman"/>
          <w:szCs w:val="24"/>
          <w:lang w:val="es-ES"/>
        </w:rPr>
        <w:t>Es</w:t>
      </w:r>
      <w:r>
        <w:rPr>
          <w:rFonts w:ascii="Times New Roman" w:hAnsi="Times New Roman" w:cs="Times New Roman"/>
          <w:szCs w:val="24"/>
          <w:lang w:val="es-ES"/>
        </w:rPr>
        <w:t>tá</w:t>
      </w:r>
      <w:r w:rsidRPr="00B00F89">
        <w:rPr>
          <w:rFonts w:ascii="Times New Roman" w:hAnsi="Times New Roman" w:cs="Times New Roman"/>
          <w:szCs w:val="24"/>
          <w:lang w:val="es-ES"/>
        </w:rPr>
        <w:t xml:space="preserve"> ampliamente </w:t>
      </w:r>
      <w:r>
        <w:rPr>
          <w:rFonts w:ascii="Times New Roman" w:hAnsi="Times New Roman" w:cs="Times New Roman"/>
          <w:szCs w:val="24"/>
          <w:lang w:val="es-ES"/>
        </w:rPr>
        <w:t>probado</w:t>
      </w:r>
      <w:r w:rsidRPr="00B00F89">
        <w:rPr>
          <w:rFonts w:ascii="Times New Roman" w:hAnsi="Times New Roman" w:cs="Times New Roman"/>
          <w:szCs w:val="24"/>
          <w:lang w:val="es-ES"/>
        </w:rPr>
        <w:t xml:space="preserve"> que las instituciones </w:t>
      </w:r>
      <w:r>
        <w:rPr>
          <w:rFonts w:ascii="Times New Roman" w:hAnsi="Times New Roman" w:cs="Times New Roman"/>
          <w:szCs w:val="24"/>
          <w:lang w:val="es-ES"/>
        </w:rPr>
        <w:t>laborales y de la</w:t>
      </w:r>
      <w:r w:rsidRPr="00B00F89">
        <w:rPr>
          <w:rFonts w:ascii="Times New Roman" w:hAnsi="Times New Roman" w:cs="Times New Roman"/>
          <w:szCs w:val="24"/>
          <w:lang w:val="es-ES"/>
        </w:rPr>
        <w:t xml:space="preserve"> seguridad social asociadas a </w:t>
      </w:r>
      <w:r>
        <w:rPr>
          <w:rFonts w:ascii="Times New Roman" w:hAnsi="Times New Roman" w:cs="Times New Roman"/>
          <w:szCs w:val="24"/>
          <w:lang w:val="es-ES"/>
        </w:rPr>
        <w:t xml:space="preserve">los mercados de trabajo formal </w:t>
      </w:r>
      <w:r w:rsidRPr="00B00F89">
        <w:rPr>
          <w:rFonts w:ascii="Times New Roman" w:hAnsi="Times New Roman" w:cs="Times New Roman"/>
          <w:szCs w:val="24"/>
          <w:lang w:val="es-ES"/>
        </w:rPr>
        <w:t xml:space="preserve">constituyen el principal </w:t>
      </w:r>
      <w:r>
        <w:rPr>
          <w:rFonts w:ascii="Times New Roman" w:hAnsi="Times New Roman" w:cs="Times New Roman"/>
          <w:szCs w:val="24"/>
          <w:lang w:val="es-ES"/>
        </w:rPr>
        <w:t>mecanismo</w:t>
      </w:r>
      <w:r w:rsidRPr="00B00F89">
        <w:rPr>
          <w:rFonts w:ascii="Times New Roman" w:hAnsi="Times New Roman" w:cs="Times New Roman"/>
          <w:szCs w:val="24"/>
          <w:lang w:val="es-ES"/>
        </w:rPr>
        <w:t xml:space="preserve"> de inclusión social </w:t>
      </w:r>
      <w:r>
        <w:rPr>
          <w:rFonts w:ascii="Times New Roman" w:hAnsi="Times New Roman" w:cs="Times New Roman"/>
          <w:szCs w:val="24"/>
          <w:lang w:val="es-ES"/>
        </w:rPr>
        <w:t xml:space="preserve">sistémica </w:t>
      </w:r>
      <w:r w:rsidRPr="00B00F89">
        <w:rPr>
          <w:rFonts w:ascii="Times New Roman" w:hAnsi="Times New Roman" w:cs="Times New Roman"/>
          <w:szCs w:val="24"/>
          <w:lang w:val="es-ES"/>
        </w:rPr>
        <w:t>en economías de mercado</w:t>
      </w:r>
      <w:r>
        <w:rPr>
          <w:rFonts w:ascii="Times New Roman" w:hAnsi="Times New Roman" w:cs="Times New Roman"/>
          <w:szCs w:val="24"/>
          <w:lang w:val="es-ES"/>
        </w:rPr>
        <w:t xml:space="preserve"> (OIT, 2017)</w:t>
      </w:r>
      <w:r w:rsidRPr="00B00F89">
        <w:rPr>
          <w:rFonts w:ascii="Times New Roman" w:hAnsi="Times New Roman" w:cs="Times New Roman"/>
          <w:szCs w:val="24"/>
          <w:lang w:val="es-ES"/>
        </w:rPr>
        <w:t xml:space="preserve">. No obstante, la reconfiguración productiva y sus efectos sobre el empleo y la exclusión a escala global condujeron a muchos gobiernos a desarrollar sistemas de protección paralelos a tales mecanismos. En América Latina, estos sistemas han adoptado </w:t>
      </w:r>
      <w:r>
        <w:rPr>
          <w:rFonts w:ascii="Times New Roman" w:hAnsi="Times New Roman" w:cs="Times New Roman"/>
          <w:szCs w:val="24"/>
          <w:lang w:val="es-ES"/>
        </w:rPr>
        <w:t>la forma</w:t>
      </w:r>
      <w:r w:rsidRPr="00B00F89">
        <w:rPr>
          <w:rFonts w:ascii="Times New Roman" w:hAnsi="Times New Roman" w:cs="Times New Roman"/>
          <w:szCs w:val="24"/>
          <w:lang w:val="es-ES"/>
        </w:rPr>
        <w:t xml:space="preserve"> de programas de transferencia </w:t>
      </w:r>
      <w:r>
        <w:rPr>
          <w:rFonts w:ascii="Times New Roman" w:hAnsi="Times New Roman" w:cs="Times New Roman"/>
          <w:szCs w:val="24"/>
          <w:lang w:val="es-ES"/>
        </w:rPr>
        <w:t xml:space="preserve">monetarias </w:t>
      </w:r>
      <w:r w:rsidRPr="00B00F89">
        <w:rPr>
          <w:rFonts w:ascii="Times New Roman" w:hAnsi="Times New Roman" w:cs="Times New Roman"/>
          <w:szCs w:val="24"/>
          <w:lang w:val="es-ES"/>
        </w:rPr>
        <w:t xml:space="preserve">condicionadas, orientados a la lucha contra la pobreza y concebidos como instrumentos transitorios hasta que los beneficiarios logren una mejor inserción en el mercado laboral. </w:t>
      </w:r>
      <w:r>
        <w:rPr>
          <w:rFonts w:ascii="Times New Roman" w:hAnsi="Times New Roman" w:cs="Times New Roman"/>
          <w:szCs w:val="24"/>
          <w:lang w:val="es-ES"/>
        </w:rPr>
        <w:t xml:space="preserve">Pero si </w:t>
      </w:r>
      <w:r w:rsidRPr="00B00F89">
        <w:rPr>
          <w:rFonts w:ascii="Times New Roman" w:hAnsi="Times New Roman" w:cs="Times New Roman"/>
          <w:szCs w:val="24"/>
          <w:lang w:val="es-ES"/>
        </w:rPr>
        <w:t xml:space="preserve">bien </w:t>
      </w:r>
      <w:r>
        <w:rPr>
          <w:rFonts w:ascii="Times New Roman" w:hAnsi="Times New Roman" w:cs="Times New Roman"/>
          <w:szCs w:val="24"/>
          <w:lang w:val="es-ES"/>
        </w:rPr>
        <w:t xml:space="preserve">estos instrumentos </w:t>
      </w:r>
      <w:r w:rsidRPr="00B00F89">
        <w:rPr>
          <w:rFonts w:ascii="Times New Roman" w:hAnsi="Times New Roman" w:cs="Times New Roman"/>
          <w:szCs w:val="24"/>
          <w:lang w:val="es-ES"/>
        </w:rPr>
        <w:t xml:space="preserve">han tenido efectividad para paliar situaciones de pobreza extrema, </w:t>
      </w:r>
      <w:r>
        <w:rPr>
          <w:rFonts w:ascii="Times New Roman" w:hAnsi="Times New Roman" w:cs="Times New Roman"/>
          <w:szCs w:val="24"/>
          <w:lang w:val="es-ES"/>
        </w:rPr>
        <w:t xml:space="preserve">en diferentes evaluaciones </w:t>
      </w:r>
      <w:r w:rsidRPr="00B00F89">
        <w:rPr>
          <w:rFonts w:ascii="Times New Roman" w:hAnsi="Times New Roman" w:cs="Times New Roman"/>
          <w:szCs w:val="24"/>
          <w:lang w:val="es-ES"/>
        </w:rPr>
        <w:t>se ha</w:t>
      </w:r>
      <w:r w:rsidR="003E368C">
        <w:rPr>
          <w:rFonts w:ascii="Times New Roman" w:hAnsi="Times New Roman" w:cs="Times New Roman"/>
          <w:szCs w:val="24"/>
          <w:lang w:val="es-ES"/>
        </w:rPr>
        <w:t>n</w:t>
      </w:r>
      <w:r w:rsidRPr="00B00F89">
        <w:rPr>
          <w:rFonts w:ascii="Times New Roman" w:hAnsi="Times New Roman" w:cs="Times New Roman"/>
          <w:szCs w:val="24"/>
          <w:lang w:val="es-ES"/>
        </w:rPr>
        <w:t xml:space="preserve"> constatado su</w:t>
      </w:r>
      <w:r>
        <w:rPr>
          <w:rFonts w:ascii="Times New Roman" w:hAnsi="Times New Roman" w:cs="Times New Roman"/>
          <w:szCs w:val="24"/>
          <w:lang w:val="es-ES"/>
        </w:rPr>
        <w:t>s límites</w:t>
      </w:r>
      <w:r w:rsidRPr="00B00F89">
        <w:rPr>
          <w:rFonts w:ascii="Times New Roman" w:hAnsi="Times New Roman" w:cs="Times New Roman"/>
          <w:szCs w:val="24"/>
          <w:lang w:val="es-ES"/>
        </w:rPr>
        <w:t xml:space="preserve"> para superar exclusiones o autoexclusiones sociales y promover formas más plenas de inclusión social</w:t>
      </w:r>
      <w:r>
        <w:rPr>
          <w:rFonts w:ascii="Times New Roman" w:hAnsi="Times New Roman" w:cs="Times New Roman"/>
          <w:szCs w:val="24"/>
          <w:lang w:val="es-ES"/>
        </w:rPr>
        <w:t xml:space="preserve"> sistémica</w:t>
      </w:r>
      <w:r w:rsidRPr="00B00F89">
        <w:rPr>
          <w:rFonts w:ascii="Times New Roman" w:hAnsi="Times New Roman" w:cs="Times New Roman"/>
          <w:szCs w:val="24"/>
          <w:lang w:val="es-ES"/>
        </w:rPr>
        <w:t xml:space="preserve">. </w:t>
      </w:r>
      <w:r w:rsidR="00527F65">
        <w:rPr>
          <w:rFonts w:ascii="Times New Roman" w:hAnsi="Times New Roman" w:cs="Times New Roman"/>
          <w:szCs w:val="24"/>
          <w:lang w:val="es-ES"/>
        </w:rPr>
        <w:t>En otros términos, e</w:t>
      </w:r>
      <w:r w:rsidR="00527F65" w:rsidRPr="009E5B0C">
        <w:rPr>
          <w:rFonts w:ascii="Times New Roman" w:hAnsi="Times New Roman" w:cs="Times New Roman"/>
          <w:szCs w:val="24"/>
          <w:lang w:val="es-ES"/>
        </w:rPr>
        <w:t xml:space="preserve">stos programas han estado muy lejos de constituirse en efectivos mecanismos de </w:t>
      </w:r>
      <w:r w:rsidR="00527F65">
        <w:rPr>
          <w:rFonts w:ascii="Times New Roman" w:hAnsi="Times New Roman" w:cs="Times New Roman"/>
          <w:szCs w:val="24"/>
          <w:lang w:val="es-ES"/>
        </w:rPr>
        <w:t>protección</w:t>
      </w:r>
      <w:r w:rsidR="00527F65" w:rsidRPr="009E5B0C">
        <w:rPr>
          <w:rFonts w:ascii="Times New Roman" w:hAnsi="Times New Roman" w:cs="Times New Roman"/>
          <w:szCs w:val="24"/>
          <w:lang w:val="es-ES"/>
        </w:rPr>
        <w:t xml:space="preserve"> social de carácter </w:t>
      </w:r>
      <w:r w:rsidR="00527F65">
        <w:rPr>
          <w:rFonts w:ascii="Times New Roman" w:hAnsi="Times New Roman" w:cs="Times New Roman"/>
          <w:szCs w:val="24"/>
          <w:lang w:val="es-ES"/>
        </w:rPr>
        <w:t xml:space="preserve">transitorio y mucho menos </w:t>
      </w:r>
      <w:r w:rsidR="00527F65" w:rsidRPr="009E5B0C">
        <w:rPr>
          <w:rFonts w:ascii="Times New Roman" w:hAnsi="Times New Roman" w:cs="Times New Roman"/>
          <w:szCs w:val="24"/>
          <w:lang w:val="es-ES"/>
        </w:rPr>
        <w:t>universal</w:t>
      </w:r>
      <w:r w:rsidR="00527F65">
        <w:rPr>
          <w:rFonts w:ascii="Times New Roman" w:hAnsi="Times New Roman" w:cs="Times New Roman"/>
          <w:szCs w:val="24"/>
          <w:lang w:val="es-ES"/>
        </w:rPr>
        <w:t>es</w:t>
      </w:r>
      <w:r w:rsidR="00527F65" w:rsidRPr="009E5B0C">
        <w:rPr>
          <w:rFonts w:ascii="Times New Roman" w:hAnsi="Times New Roman" w:cs="Times New Roman"/>
          <w:szCs w:val="24"/>
          <w:lang w:val="es-ES"/>
        </w:rPr>
        <w:t>.</w:t>
      </w:r>
      <w:r w:rsidR="00527F65">
        <w:rPr>
          <w:rFonts w:ascii="Times New Roman" w:hAnsi="Times New Roman" w:cs="Times New Roman"/>
          <w:szCs w:val="24"/>
          <w:lang w:val="es-ES"/>
        </w:rPr>
        <w:t xml:space="preserve"> </w:t>
      </w:r>
    </w:p>
    <w:p w14:paraId="127D50EE" w14:textId="77777777" w:rsidR="00E90697" w:rsidRPr="00CF177C" w:rsidRDefault="00E90697" w:rsidP="00D654B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A partir del año 2009, el gobierno argentino implementó la Asignación Universal por Hijo para Protección Social (AUH)</w:t>
      </w:r>
      <w:r w:rsidR="006B048C" w:rsidRPr="00CF177C">
        <w:rPr>
          <w:rFonts w:ascii="Times New Roman" w:hAnsi="Times New Roman" w:cs="Times New Roman"/>
          <w:szCs w:val="24"/>
          <w:lang w:val="es-ES"/>
        </w:rPr>
        <w:t xml:space="preserve">. Se trata de </w:t>
      </w:r>
      <w:r w:rsidR="0078566A" w:rsidRPr="00CF177C">
        <w:rPr>
          <w:rFonts w:ascii="Times New Roman" w:hAnsi="Times New Roman" w:cs="Times New Roman"/>
          <w:szCs w:val="24"/>
          <w:lang w:val="es-ES"/>
        </w:rPr>
        <w:t>un programa</w:t>
      </w:r>
      <w:r w:rsidRPr="00CF177C">
        <w:rPr>
          <w:rFonts w:ascii="Times New Roman" w:hAnsi="Times New Roman" w:cs="Times New Roman"/>
          <w:szCs w:val="24"/>
          <w:lang w:val="es-ES"/>
        </w:rPr>
        <w:t xml:space="preserve"> de transferencia monetaria condicionada </w:t>
      </w:r>
      <w:r w:rsidR="0078566A" w:rsidRPr="00CF177C">
        <w:rPr>
          <w:rFonts w:ascii="Times New Roman" w:hAnsi="Times New Roman" w:cs="Times New Roman"/>
          <w:szCs w:val="24"/>
          <w:lang w:val="es-ES"/>
        </w:rPr>
        <w:t xml:space="preserve">(PTMC) </w:t>
      </w:r>
      <w:r w:rsidRPr="00CF177C">
        <w:rPr>
          <w:rFonts w:ascii="Times New Roman" w:hAnsi="Times New Roman" w:cs="Times New Roman"/>
          <w:szCs w:val="24"/>
          <w:lang w:val="es-ES"/>
        </w:rPr>
        <w:t>destinad</w:t>
      </w:r>
      <w:r w:rsidR="00397D27" w:rsidRPr="00CF177C">
        <w:rPr>
          <w:rFonts w:ascii="Times New Roman" w:hAnsi="Times New Roman" w:cs="Times New Roman"/>
          <w:szCs w:val="24"/>
          <w:lang w:val="es-ES"/>
        </w:rPr>
        <w:t>o</w:t>
      </w:r>
      <w:r w:rsidRPr="00CF177C">
        <w:rPr>
          <w:rFonts w:ascii="Times New Roman" w:hAnsi="Times New Roman" w:cs="Times New Roman"/>
          <w:szCs w:val="24"/>
          <w:lang w:val="es-ES"/>
        </w:rPr>
        <w:t xml:space="preserve"> a los hogares con niños</w:t>
      </w:r>
      <w:r w:rsidR="00E24AFC">
        <w:rPr>
          <w:rFonts w:ascii="Times New Roman" w:hAnsi="Times New Roman" w:cs="Times New Roman"/>
          <w:szCs w:val="24"/>
          <w:lang w:val="es-ES"/>
        </w:rPr>
        <w:t>, niñas</w:t>
      </w:r>
      <w:r w:rsidRPr="00CF177C">
        <w:rPr>
          <w:rFonts w:ascii="Times New Roman" w:hAnsi="Times New Roman" w:cs="Times New Roman"/>
          <w:szCs w:val="24"/>
          <w:lang w:val="es-ES"/>
        </w:rPr>
        <w:t xml:space="preserve"> y adolescentes</w:t>
      </w:r>
      <w:r w:rsidR="00D26F32" w:rsidRPr="00CF177C">
        <w:rPr>
          <w:rStyle w:val="Refdenotaalpie"/>
          <w:rFonts w:ascii="Times New Roman" w:hAnsi="Times New Roman" w:cs="Times New Roman"/>
          <w:szCs w:val="24"/>
        </w:rPr>
        <w:footnoteReference w:id="2"/>
      </w:r>
      <w:r w:rsidRPr="00CF177C">
        <w:rPr>
          <w:rFonts w:ascii="Times New Roman" w:hAnsi="Times New Roman" w:cs="Times New Roman"/>
          <w:szCs w:val="24"/>
          <w:lang w:val="es-ES"/>
        </w:rPr>
        <w:t xml:space="preserve"> cuyos padres se inserta</w:t>
      </w:r>
      <w:r w:rsidR="0078566A" w:rsidRPr="00CF177C">
        <w:rPr>
          <w:rFonts w:ascii="Times New Roman" w:hAnsi="Times New Roman" w:cs="Times New Roman"/>
          <w:szCs w:val="24"/>
          <w:lang w:val="es-ES"/>
        </w:rPr>
        <w:t>n</w:t>
      </w:r>
      <w:r w:rsidRPr="00CF177C">
        <w:rPr>
          <w:rFonts w:ascii="Times New Roman" w:hAnsi="Times New Roman" w:cs="Times New Roman"/>
          <w:szCs w:val="24"/>
          <w:lang w:val="es-ES"/>
        </w:rPr>
        <w:t xml:space="preserve"> en la economía informal</w:t>
      </w:r>
      <w:r w:rsidR="0078566A" w:rsidRPr="00CF177C">
        <w:rPr>
          <w:rFonts w:ascii="Times New Roman" w:hAnsi="Times New Roman" w:cs="Times New Roman"/>
          <w:szCs w:val="24"/>
          <w:lang w:val="es-ES"/>
        </w:rPr>
        <w:t xml:space="preserve">, </w:t>
      </w:r>
      <w:r w:rsidR="00E24AFC">
        <w:rPr>
          <w:rFonts w:ascii="Times New Roman" w:hAnsi="Times New Roman" w:cs="Times New Roman"/>
          <w:szCs w:val="24"/>
          <w:lang w:val="es-ES"/>
        </w:rPr>
        <w:t>están</w:t>
      </w:r>
      <w:r w:rsidR="0078566A" w:rsidRPr="00CF177C">
        <w:rPr>
          <w:rFonts w:ascii="Times New Roman" w:hAnsi="Times New Roman" w:cs="Times New Roman"/>
          <w:szCs w:val="24"/>
          <w:lang w:val="es-ES"/>
        </w:rPr>
        <w:t xml:space="preserve"> desempleados, trabajan en el servicio doméstico o de forma temporaria y no acceden</w:t>
      </w:r>
      <w:r w:rsidRPr="00CF177C">
        <w:rPr>
          <w:rFonts w:ascii="Times New Roman" w:hAnsi="Times New Roman" w:cs="Times New Roman"/>
          <w:szCs w:val="24"/>
          <w:lang w:val="es-ES"/>
        </w:rPr>
        <w:t xml:space="preserve"> </w:t>
      </w:r>
      <w:r w:rsidR="0078566A" w:rsidRPr="00CF177C">
        <w:rPr>
          <w:rFonts w:ascii="Times New Roman" w:hAnsi="Times New Roman" w:cs="Times New Roman"/>
          <w:szCs w:val="24"/>
          <w:lang w:val="es-ES"/>
        </w:rPr>
        <w:t xml:space="preserve">a </w:t>
      </w:r>
      <w:r w:rsidRPr="00CF177C">
        <w:rPr>
          <w:rFonts w:ascii="Times New Roman" w:hAnsi="Times New Roman" w:cs="Times New Roman"/>
          <w:szCs w:val="24"/>
          <w:lang w:val="es-ES"/>
        </w:rPr>
        <w:t xml:space="preserve">otros mecanismos de protección social. </w:t>
      </w:r>
      <w:r w:rsidR="00A675E1" w:rsidRPr="00CF177C">
        <w:rPr>
          <w:rFonts w:ascii="Times New Roman" w:hAnsi="Times New Roman" w:cs="Times New Roman"/>
          <w:szCs w:val="24"/>
          <w:lang w:val="es-ES"/>
        </w:rPr>
        <w:t xml:space="preserve">La AUH constituye un ejemplo de un tipo de </w:t>
      </w:r>
      <w:r w:rsidR="00F633FA" w:rsidRPr="00CF177C">
        <w:rPr>
          <w:rFonts w:ascii="Times New Roman" w:hAnsi="Times New Roman" w:cs="Times New Roman"/>
          <w:szCs w:val="24"/>
          <w:lang w:val="es-ES"/>
        </w:rPr>
        <w:t>instrumento</w:t>
      </w:r>
      <w:r w:rsidR="00A675E1" w:rsidRPr="00CF177C">
        <w:rPr>
          <w:rFonts w:ascii="Times New Roman" w:hAnsi="Times New Roman" w:cs="Times New Roman"/>
          <w:szCs w:val="24"/>
          <w:lang w:val="es-ES"/>
        </w:rPr>
        <w:t xml:space="preserve"> de política social que</w:t>
      </w:r>
      <w:r w:rsidR="00F633FA" w:rsidRPr="00CF177C">
        <w:rPr>
          <w:rFonts w:ascii="Times New Roman" w:hAnsi="Times New Roman" w:cs="Times New Roman"/>
          <w:szCs w:val="24"/>
          <w:lang w:val="es-ES"/>
        </w:rPr>
        <w:t xml:space="preserve"> se ha extendido durante las últimas décadas en los países en desarrollo (por ejemplo, </w:t>
      </w:r>
      <w:r w:rsidR="00033FF4">
        <w:rPr>
          <w:rFonts w:ascii="Times New Roman" w:hAnsi="Times New Roman" w:cs="Times New Roman"/>
          <w:szCs w:val="24"/>
          <w:lang w:val="es-ES"/>
        </w:rPr>
        <w:t>“</w:t>
      </w:r>
      <w:r w:rsidR="00F633FA" w:rsidRPr="00CF177C">
        <w:rPr>
          <w:rFonts w:ascii="Times New Roman" w:hAnsi="Times New Roman" w:cs="Times New Roman"/>
          <w:szCs w:val="24"/>
          <w:lang w:val="es-ES"/>
        </w:rPr>
        <w:t>Bolsa Familia</w:t>
      </w:r>
      <w:r w:rsidR="00033FF4">
        <w:rPr>
          <w:rFonts w:ascii="Times New Roman" w:hAnsi="Times New Roman" w:cs="Times New Roman"/>
          <w:szCs w:val="24"/>
          <w:lang w:val="es-ES"/>
        </w:rPr>
        <w:t>”</w:t>
      </w:r>
      <w:r w:rsidR="00F633FA" w:rsidRPr="00CF177C">
        <w:rPr>
          <w:rFonts w:ascii="Times New Roman" w:hAnsi="Times New Roman" w:cs="Times New Roman"/>
          <w:szCs w:val="24"/>
          <w:lang w:val="es-ES"/>
        </w:rPr>
        <w:t xml:space="preserve">, en Brasil, </w:t>
      </w:r>
      <w:r w:rsidR="00033FF4">
        <w:rPr>
          <w:rFonts w:ascii="Times New Roman" w:hAnsi="Times New Roman" w:cs="Times New Roman"/>
          <w:szCs w:val="24"/>
          <w:lang w:val="es-ES"/>
        </w:rPr>
        <w:t>“</w:t>
      </w:r>
      <w:r w:rsidR="00F633FA" w:rsidRPr="00CF177C">
        <w:rPr>
          <w:rFonts w:ascii="Times New Roman" w:hAnsi="Times New Roman" w:cs="Times New Roman"/>
          <w:szCs w:val="24"/>
          <w:lang w:val="es-ES"/>
        </w:rPr>
        <w:t>Familias en Acción</w:t>
      </w:r>
      <w:r w:rsidR="00033FF4">
        <w:rPr>
          <w:rFonts w:ascii="Times New Roman" w:hAnsi="Times New Roman" w:cs="Times New Roman"/>
          <w:szCs w:val="24"/>
          <w:lang w:val="es-ES"/>
        </w:rPr>
        <w:t>”</w:t>
      </w:r>
      <w:r w:rsidR="00F633FA" w:rsidRPr="00CF177C">
        <w:rPr>
          <w:rFonts w:ascii="Times New Roman" w:hAnsi="Times New Roman" w:cs="Times New Roman"/>
          <w:szCs w:val="24"/>
          <w:lang w:val="es-ES"/>
        </w:rPr>
        <w:t xml:space="preserve">, en Colombia o el </w:t>
      </w:r>
      <w:r w:rsidR="00033FF4">
        <w:rPr>
          <w:rFonts w:ascii="Times New Roman" w:hAnsi="Times New Roman" w:cs="Times New Roman"/>
          <w:szCs w:val="24"/>
          <w:lang w:val="es-ES"/>
        </w:rPr>
        <w:t>“</w:t>
      </w:r>
      <w:r w:rsidR="00F633FA" w:rsidRPr="00CF177C">
        <w:rPr>
          <w:rFonts w:ascii="Times New Roman" w:hAnsi="Times New Roman" w:cs="Times New Roman"/>
          <w:szCs w:val="24"/>
          <w:lang w:val="es-ES"/>
        </w:rPr>
        <w:t>Bono Solidario</w:t>
      </w:r>
      <w:r w:rsidR="00033FF4">
        <w:rPr>
          <w:rFonts w:ascii="Times New Roman" w:hAnsi="Times New Roman" w:cs="Times New Roman"/>
          <w:szCs w:val="24"/>
          <w:lang w:val="es-ES"/>
        </w:rPr>
        <w:t>”</w:t>
      </w:r>
      <w:r w:rsidR="00F633FA" w:rsidRPr="00CF177C">
        <w:rPr>
          <w:rFonts w:ascii="Times New Roman" w:hAnsi="Times New Roman" w:cs="Times New Roman"/>
          <w:szCs w:val="24"/>
          <w:lang w:val="es-ES"/>
        </w:rPr>
        <w:t>, en Ecuador</w:t>
      </w:r>
      <w:r w:rsidR="00A675E1" w:rsidRPr="00CF177C">
        <w:rPr>
          <w:rFonts w:ascii="Times New Roman" w:hAnsi="Times New Roman" w:cs="Times New Roman"/>
          <w:szCs w:val="24"/>
          <w:lang w:val="es-ES"/>
        </w:rPr>
        <w:t>)</w:t>
      </w:r>
      <w:r w:rsidR="00F633FA" w:rsidRPr="00CF177C">
        <w:rPr>
          <w:rFonts w:ascii="Times New Roman" w:hAnsi="Times New Roman" w:cs="Times New Roman"/>
          <w:szCs w:val="24"/>
          <w:lang w:val="es-ES"/>
        </w:rPr>
        <w:t xml:space="preserve"> </w:t>
      </w:r>
      <w:r w:rsidRPr="00CF177C">
        <w:rPr>
          <w:rFonts w:ascii="Times New Roman" w:hAnsi="Times New Roman" w:cs="Times New Roman"/>
          <w:szCs w:val="24"/>
          <w:lang w:val="es-ES"/>
        </w:rPr>
        <w:t>(</w:t>
      </w:r>
      <w:proofErr w:type="spellStart"/>
      <w:r w:rsidR="0078566A" w:rsidRPr="00CF177C">
        <w:rPr>
          <w:rFonts w:ascii="Times New Roman" w:hAnsi="Times New Roman" w:cs="Times New Roman"/>
          <w:szCs w:val="24"/>
          <w:lang w:val="es-ES"/>
        </w:rPr>
        <w:t>Cecchini</w:t>
      </w:r>
      <w:proofErr w:type="spellEnd"/>
      <w:r w:rsidR="0078566A" w:rsidRPr="00CF177C">
        <w:rPr>
          <w:rFonts w:ascii="Times New Roman" w:hAnsi="Times New Roman" w:cs="Times New Roman"/>
          <w:szCs w:val="24"/>
          <w:lang w:val="es-ES"/>
        </w:rPr>
        <w:t xml:space="preserve"> et al., 2015</w:t>
      </w:r>
      <w:r w:rsidRPr="00CF177C">
        <w:rPr>
          <w:rFonts w:ascii="Times New Roman" w:hAnsi="Times New Roman" w:cs="Times New Roman"/>
          <w:szCs w:val="24"/>
          <w:lang w:val="es-ES"/>
        </w:rPr>
        <w:t>).</w:t>
      </w:r>
      <w:r w:rsidR="0078566A" w:rsidRPr="00CF177C">
        <w:rPr>
          <w:rFonts w:ascii="Times New Roman" w:hAnsi="Times New Roman" w:cs="Times New Roman"/>
          <w:szCs w:val="24"/>
          <w:lang w:val="es-ES"/>
        </w:rPr>
        <w:t xml:space="preserve"> </w:t>
      </w:r>
      <w:r w:rsidR="00397D27" w:rsidRPr="00CF177C">
        <w:rPr>
          <w:rFonts w:ascii="Times New Roman" w:hAnsi="Times New Roman" w:cs="Times New Roman"/>
          <w:szCs w:val="24"/>
          <w:lang w:val="es-ES"/>
        </w:rPr>
        <w:t>La</w:t>
      </w:r>
      <w:r w:rsidR="0078566A" w:rsidRPr="00CF177C">
        <w:rPr>
          <w:rFonts w:ascii="Times New Roman" w:hAnsi="Times New Roman" w:cs="Times New Roman"/>
          <w:szCs w:val="24"/>
          <w:lang w:val="es-ES"/>
        </w:rPr>
        <w:t xml:space="preserve"> generalización de los PTMC ha llevado a algunos autores a referirse a una “revolución de la asistencia social” (Ferreira y Robalino, 2010).</w:t>
      </w:r>
    </w:p>
    <w:p w14:paraId="6C9685B0" w14:textId="062ADB7E" w:rsidR="009E5B0C" w:rsidRDefault="009E5B0C" w:rsidP="009E5B0C">
      <w:pPr>
        <w:spacing w:before="120" w:after="120" w:line="360" w:lineRule="auto"/>
        <w:jc w:val="both"/>
        <w:rPr>
          <w:rFonts w:ascii="Times New Roman" w:hAnsi="Times New Roman" w:cs="Times New Roman"/>
          <w:szCs w:val="24"/>
          <w:lang w:val="es-ES"/>
        </w:rPr>
      </w:pPr>
      <w:r w:rsidRPr="009E5B0C">
        <w:rPr>
          <w:rFonts w:ascii="Times New Roman" w:hAnsi="Times New Roman" w:cs="Times New Roman"/>
          <w:szCs w:val="24"/>
          <w:lang w:val="es-ES"/>
        </w:rPr>
        <w:lastRenderedPageBreak/>
        <w:t>Pero si bien tales instrumentos han servido para pal</w:t>
      </w:r>
      <w:r w:rsidR="00F1487B">
        <w:rPr>
          <w:rFonts w:ascii="Times New Roman" w:hAnsi="Times New Roman" w:cs="Times New Roman"/>
          <w:szCs w:val="24"/>
          <w:lang w:val="es-ES"/>
        </w:rPr>
        <w:t>i</w:t>
      </w:r>
      <w:r w:rsidRPr="009E5B0C">
        <w:rPr>
          <w:rFonts w:ascii="Times New Roman" w:hAnsi="Times New Roman" w:cs="Times New Roman"/>
          <w:szCs w:val="24"/>
          <w:lang w:val="es-ES"/>
        </w:rPr>
        <w:t>ar problemas de pobreza extrema, en todas las experiencias nacionales constatadas se ha hecho evidente su ineficacia para superar exclusiones o autoexclusiones sociales y ser un puente hacia formas más plenas de inclusión social. Estos programas han estado muy lejos de constituirse en efectivos mecanismos de seguridad social de carácter universal y transitorio.</w:t>
      </w:r>
      <w:r>
        <w:rPr>
          <w:rFonts w:ascii="Times New Roman" w:hAnsi="Times New Roman" w:cs="Times New Roman"/>
          <w:szCs w:val="24"/>
          <w:lang w:val="es-ES"/>
        </w:rPr>
        <w:t xml:space="preserve"> </w:t>
      </w:r>
    </w:p>
    <w:p w14:paraId="659398DC" w14:textId="77777777" w:rsidR="00397D27" w:rsidRPr="00CF177C" w:rsidRDefault="004659C2" w:rsidP="00D654B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En </w:t>
      </w:r>
      <w:r w:rsidR="00A76FA4" w:rsidRPr="00CF177C">
        <w:rPr>
          <w:rFonts w:ascii="Times New Roman" w:hAnsi="Times New Roman" w:cs="Times New Roman"/>
          <w:szCs w:val="24"/>
          <w:lang w:val="es-ES"/>
        </w:rPr>
        <w:t>este marco</w:t>
      </w:r>
      <w:r w:rsidRPr="00CF177C">
        <w:rPr>
          <w:rFonts w:ascii="Times New Roman" w:hAnsi="Times New Roman" w:cs="Times New Roman"/>
          <w:szCs w:val="24"/>
          <w:lang w:val="es-ES"/>
        </w:rPr>
        <w:t xml:space="preserve"> surgen interrogantes relacionados con la capacidad de estos </w:t>
      </w:r>
      <w:r w:rsidR="00E24AFC">
        <w:rPr>
          <w:rFonts w:ascii="Times New Roman" w:hAnsi="Times New Roman" w:cs="Times New Roman"/>
          <w:szCs w:val="24"/>
          <w:lang w:val="es-ES"/>
        </w:rPr>
        <w:t>programas o sistemas</w:t>
      </w:r>
      <w:r w:rsidRPr="00CF177C">
        <w:rPr>
          <w:rFonts w:ascii="Times New Roman" w:hAnsi="Times New Roman" w:cs="Times New Roman"/>
          <w:szCs w:val="24"/>
          <w:lang w:val="es-ES"/>
        </w:rPr>
        <w:t xml:space="preserve"> de distribución “secundaria” del ingreso –es decir, la </w:t>
      </w:r>
      <w:r w:rsidR="00033FF4">
        <w:rPr>
          <w:rFonts w:ascii="Times New Roman" w:hAnsi="Times New Roman" w:cs="Times New Roman"/>
          <w:szCs w:val="24"/>
          <w:lang w:val="es-ES"/>
        </w:rPr>
        <w:t>vinculada</w:t>
      </w:r>
      <w:r w:rsidRPr="00CF177C">
        <w:rPr>
          <w:rFonts w:ascii="Times New Roman" w:hAnsi="Times New Roman" w:cs="Times New Roman"/>
          <w:szCs w:val="24"/>
          <w:lang w:val="es-ES"/>
        </w:rPr>
        <w:t xml:space="preserve"> con la acción estatal– para promover mayores niveles de convergencia social </w:t>
      </w:r>
      <w:r w:rsidR="002D49A8">
        <w:rPr>
          <w:rFonts w:ascii="Times New Roman" w:hAnsi="Times New Roman" w:cs="Times New Roman"/>
          <w:szCs w:val="24"/>
          <w:lang w:val="es-ES"/>
        </w:rPr>
        <w:t xml:space="preserve">sistémica </w:t>
      </w:r>
      <w:r w:rsidRPr="00CF177C">
        <w:rPr>
          <w:rFonts w:ascii="Times New Roman" w:hAnsi="Times New Roman" w:cs="Times New Roman"/>
          <w:szCs w:val="24"/>
          <w:lang w:val="es-ES"/>
        </w:rPr>
        <w:t xml:space="preserve">y reducir la pobreza y la pobreza extrema. </w:t>
      </w:r>
      <w:r w:rsidR="00B32001" w:rsidRPr="00CF177C">
        <w:rPr>
          <w:rFonts w:ascii="Times New Roman" w:hAnsi="Times New Roman" w:cs="Times New Roman"/>
          <w:szCs w:val="24"/>
          <w:lang w:val="es-ES"/>
        </w:rPr>
        <w:t xml:space="preserve">Las evidencias para el caso argentino sugieren que </w:t>
      </w:r>
      <w:r w:rsidR="0045158D">
        <w:rPr>
          <w:rFonts w:ascii="Times New Roman" w:hAnsi="Times New Roman" w:cs="Times New Roman"/>
          <w:szCs w:val="24"/>
          <w:lang w:val="es-ES"/>
        </w:rPr>
        <w:t xml:space="preserve">las transferencias monterías directas a los hogares (como la AUH) han tenido </w:t>
      </w:r>
      <w:r w:rsidR="00B32001" w:rsidRPr="00CF177C">
        <w:rPr>
          <w:rFonts w:ascii="Times New Roman" w:hAnsi="Times New Roman" w:cs="Times New Roman"/>
          <w:szCs w:val="24"/>
          <w:lang w:val="es-ES"/>
        </w:rPr>
        <w:t>impactos positivos pero limitados</w:t>
      </w:r>
      <w:r w:rsidR="000F1435">
        <w:rPr>
          <w:rFonts w:ascii="Times New Roman" w:hAnsi="Times New Roman" w:cs="Times New Roman"/>
          <w:szCs w:val="24"/>
          <w:lang w:val="es-ES"/>
        </w:rPr>
        <w:t xml:space="preserve"> </w:t>
      </w:r>
      <w:r w:rsidR="00B32001" w:rsidRPr="00CF177C">
        <w:rPr>
          <w:rFonts w:ascii="Times New Roman" w:hAnsi="Times New Roman" w:cs="Times New Roman"/>
          <w:szCs w:val="24"/>
          <w:lang w:val="es-ES"/>
        </w:rPr>
        <w:t xml:space="preserve">sobre la desigualdad y la pobreza, algo mayores sobre la indigencia, y que los procesos </w:t>
      </w:r>
      <w:r w:rsidRPr="00CF177C">
        <w:rPr>
          <w:rFonts w:ascii="Times New Roman" w:hAnsi="Times New Roman" w:cs="Times New Roman"/>
          <w:szCs w:val="24"/>
          <w:lang w:val="es-ES"/>
        </w:rPr>
        <w:t>distributivos relacionados con e</w:t>
      </w:r>
      <w:r w:rsidR="00B32001" w:rsidRPr="00CF177C">
        <w:rPr>
          <w:rFonts w:ascii="Times New Roman" w:hAnsi="Times New Roman" w:cs="Times New Roman"/>
          <w:szCs w:val="24"/>
          <w:lang w:val="es-ES"/>
        </w:rPr>
        <w:t>l mercado de trabajo</w:t>
      </w:r>
      <w:r w:rsidR="0045158D">
        <w:rPr>
          <w:rFonts w:ascii="Times New Roman" w:hAnsi="Times New Roman" w:cs="Times New Roman"/>
          <w:szCs w:val="24"/>
          <w:lang w:val="es-ES"/>
        </w:rPr>
        <w:t xml:space="preserve"> (o con la previsión social)</w:t>
      </w:r>
      <w:r w:rsidR="00B32001" w:rsidRPr="00CF177C">
        <w:rPr>
          <w:rFonts w:ascii="Times New Roman" w:hAnsi="Times New Roman" w:cs="Times New Roman"/>
          <w:szCs w:val="24"/>
          <w:lang w:val="es-ES"/>
        </w:rPr>
        <w:t xml:space="preserve"> </w:t>
      </w:r>
      <w:r w:rsidR="0045158D">
        <w:rPr>
          <w:rFonts w:ascii="Times New Roman" w:hAnsi="Times New Roman" w:cs="Times New Roman"/>
          <w:szCs w:val="24"/>
          <w:lang w:val="es-ES"/>
        </w:rPr>
        <w:t xml:space="preserve">continúan </w:t>
      </w:r>
      <w:r w:rsidR="00B32001" w:rsidRPr="00CF177C">
        <w:rPr>
          <w:rFonts w:ascii="Times New Roman" w:hAnsi="Times New Roman" w:cs="Times New Roman"/>
          <w:szCs w:val="24"/>
          <w:lang w:val="es-ES"/>
        </w:rPr>
        <w:t xml:space="preserve">siendo </w:t>
      </w:r>
      <w:r w:rsidRPr="00CF177C">
        <w:rPr>
          <w:rFonts w:ascii="Times New Roman" w:hAnsi="Times New Roman" w:cs="Times New Roman"/>
          <w:szCs w:val="24"/>
          <w:lang w:val="es-ES"/>
        </w:rPr>
        <w:t xml:space="preserve">dominantes para comprender las condiciones de vida familiares (Salvia, Poy y Vera, 2017, 2018). </w:t>
      </w:r>
      <w:r w:rsidR="00A76FA4" w:rsidRPr="00CF177C">
        <w:rPr>
          <w:rFonts w:ascii="Times New Roman" w:hAnsi="Times New Roman" w:cs="Times New Roman"/>
          <w:szCs w:val="24"/>
          <w:lang w:val="es-ES"/>
        </w:rPr>
        <w:t xml:space="preserve">A su vez, existe </w:t>
      </w:r>
      <w:r w:rsidRPr="00CF177C">
        <w:rPr>
          <w:rFonts w:ascii="Times New Roman" w:hAnsi="Times New Roman" w:cs="Times New Roman"/>
          <w:szCs w:val="24"/>
          <w:lang w:val="es-ES"/>
        </w:rPr>
        <w:t xml:space="preserve">consenso en que, si bien se trata de una política de amplio alcance, la AUH no abarca al conjunto de la población infantil elegible y existen esfuerzos dirigidos a </w:t>
      </w:r>
      <w:r w:rsidR="00225877" w:rsidRPr="00CF177C">
        <w:rPr>
          <w:rFonts w:ascii="Times New Roman" w:hAnsi="Times New Roman" w:cs="Times New Roman"/>
          <w:szCs w:val="24"/>
          <w:lang w:val="es-ES"/>
        </w:rPr>
        <w:t>extender</w:t>
      </w:r>
      <w:r w:rsidRPr="00CF177C">
        <w:rPr>
          <w:rFonts w:ascii="Times New Roman" w:hAnsi="Times New Roman" w:cs="Times New Roman"/>
          <w:szCs w:val="24"/>
          <w:lang w:val="es-ES"/>
        </w:rPr>
        <w:t xml:space="preserve"> la cobertura</w:t>
      </w:r>
      <w:r w:rsidR="002E6CE5" w:rsidRPr="00CF177C">
        <w:rPr>
          <w:rStyle w:val="Refdenotaalpie"/>
          <w:rFonts w:ascii="Times New Roman" w:hAnsi="Times New Roman" w:cs="Times New Roman"/>
          <w:szCs w:val="24"/>
        </w:rPr>
        <w:footnoteReference w:id="3"/>
      </w:r>
      <w:r w:rsidRPr="00CF177C">
        <w:rPr>
          <w:rFonts w:ascii="Times New Roman" w:hAnsi="Times New Roman" w:cs="Times New Roman"/>
          <w:szCs w:val="24"/>
          <w:lang w:val="es-ES"/>
        </w:rPr>
        <w:t xml:space="preserve">. En este contexto, cabe preguntarse, </w:t>
      </w:r>
      <w:r w:rsidR="00397D27" w:rsidRPr="00CF177C">
        <w:rPr>
          <w:rFonts w:ascii="Times New Roman" w:hAnsi="Times New Roman" w:cs="Times New Roman"/>
          <w:szCs w:val="24"/>
          <w:lang w:val="es-ES"/>
        </w:rPr>
        <w:t>¿qué características tienen las poblaciones que</w:t>
      </w:r>
      <w:r w:rsidR="00A675E1" w:rsidRPr="00CF177C">
        <w:rPr>
          <w:rFonts w:ascii="Times New Roman" w:hAnsi="Times New Roman" w:cs="Times New Roman"/>
          <w:szCs w:val="24"/>
          <w:lang w:val="es-ES"/>
        </w:rPr>
        <w:t xml:space="preserve"> </w:t>
      </w:r>
      <w:r w:rsidR="00397D27" w:rsidRPr="00CF177C">
        <w:rPr>
          <w:rFonts w:ascii="Times New Roman" w:hAnsi="Times New Roman" w:cs="Times New Roman"/>
          <w:szCs w:val="24"/>
          <w:lang w:val="es-ES"/>
        </w:rPr>
        <w:t>podrían acceder a la transferencia y, sin embargo, no lo hacen?</w:t>
      </w:r>
      <w:r w:rsidRPr="00CF177C">
        <w:rPr>
          <w:rFonts w:ascii="Times New Roman" w:hAnsi="Times New Roman" w:cs="Times New Roman"/>
          <w:szCs w:val="24"/>
          <w:lang w:val="es-ES"/>
        </w:rPr>
        <w:t xml:space="preserve"> ¿Qué</w:t>
      </w:r>
      <w:r w:rsidR="002E6CE5" w:rsidRPr="00CF177C">
        <w:rPr>
          <w:rFonts w:ascii="Times New Roman" w:hAnsi="Times New Roman" w:cs="Times New Roman"/>
          <w:szCs w:val="24"/>
          <w:lang w:val="es-ES"/>
        </w:rPr>
        <w:t xml:space="preserve"> rasgos asumen </w:t>
      </w:r>
      <w:r w:rsidR="00033FF4">
        <w:rPr>
          <w:rFonts w:ascii="Times New Roman" w:hAnsi="Times New Roman" w:cs="Times New Roman"/>
          <w:szCs w:val="24"/>
          <w:lang w:val="es-ES"/>
        </w:rPr>
        <w:t>los procesos</w:t>
      </w:r>
      <w:r w:rsidR="002E6CE5" w:rsidRPr="00CF177C">
        <w:rPr>
          <w:rFonts w:ascii="Times New Roman" w:hAnsi="Times New Roman" w:cs="Times New Roman"/>
          <w:szCs w:val="24"/>
          <w:lang w:val="es-ES"/>
        </w:rPr>
        <w:t xml:space="preserve"> de exclusión en el acceso a mecanismos de política social?</w:t>
      </w:r>
    </w:p>
    <w:p w14:paraId="6A5C2DB9" w14:textId="77777777" w:rsidR="0078566A" w:rsidRPr="00CF177C" w:rsidRDefault="00E90697" w:rsidP="00D654B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Desde </w:t>
      </w:r>
      <w:r w:rsidR="0078566A" w:rsidRPr="00CF177C">
        <w:rPr>
          <w:rFonts w:ascii="Times New Roman" w:hAnsi="Times New Roman" w:cs="Times New Roman"/>
          <w:szCs w:val="24"/>
          <w:lang w:val="es-ES"/>
        </w:rPr>
        <w:t>su</w:t>
      </w:r>
      <w:r w:rsidRPr="00CF177C">
        <w:rPr>
          <w:rFonts w:ascii="Times New Roman" w:hAnsi="Times New Roman" w:cs="Times New Roman"/>
          <w:szCs w:val="24"/>
          <w:lang w:val="es-ES"/>
        </w:rPr>
        <w:t xml:space="preserve"> implementación</w:t>
      </w:r>
      <w:r w:rsidR="0078566A" w:rsidRPr="00CF177C">
        <w:rPr>
          <w:rFonts w:ascii="Times New Roman" w:hAnsi="Times New Roman" w:cs="Times New Roman"/>
          <w:szCs w:val="24"/>
          <w:lang w:val="es-ES"/>
        </w:rPr>
        <w:t xml:space="preserve">, la literatura ha abordado numerosos aspectos de la AUH. </w:t>
      </w:r>
      <w:r w:rsidR="00A675E1" w:rsidRPr="00CF177C">
        <w:rPr>
          <w:rFonts w:ascii="Times New Roman" w:hAnsi="Times New Roman" w:cs="Times New Roman"/>
          <w:szCs w:val="24"/>
          <w:lang w:val="es-ES"/>
        </w:rPr>
        <w:t>Una de las aristas</w:t>
      </w:r>
      <w:r w:rsidR="00083D11" w:rsidRPr="00CF177C">
        <w:rPr>
          <w:rFonts w:ascii="Times New Roman" w:hAnsi="Times New Roman" w:cs="Times New Roman"/>
          <w:szCs w:val="24"/>
          <w:lang w:val="es-ES"/>
        </w:rPr>
        <w:t xml:space="preserve"> más </w:t>
      </w:r>
      <w:r w:rsidR="00225877" w:rsidRPr="00CF177C">
        <w:rPr>
          <w:rFonts w:ascii="Times New Roman" w:hAnsi="Times New Roman" w:cs="Times New Roman"/>
          <w:szCs w:val="24"/>
          <w:lang w:val="es-ES"/>
        </w:rPr>
        <w:t xml:space="preserve">atendidas </w:t>
      </w:r>
      <w:r w:rsidR="00A675E1" w:rsidRPr="00CF177C">
        <w:rPr>
          <w:rFonts w:ascii="Times New Roman" w:hAnsi="Times New Roman" w:cs="Times New Roman"/>
          <w:szCs w:val="24"/>
          <w:lang w:val="es-ES"/>
        </w:rPr>
        <w:t xml:space="preserve">son </w:t>
      </w:r>
      <w:r w:rsidRPr="00CF177C">
        <w:rPr>
          <w:rFonts w:ascii="Times New Roman" w:hAnsi="Times New Roman" w:cs="Times New Roman"/>
          <w:szCs w:val="24"/>
          <w:lang w:val="es-ES"/>
        </w:rPr>
        <w:t>sus efectos sobre el bienestar económico de los hogares</w:t>
      </w:r>
      <w:r w:rsidR="0078566A" w:rsidRPr="00CF177C">
        <w:rPr>
          <w:rFonts w:ascii="Times New Roman" w:hAnsi="Times New Roman" w:cs="Times New Roman"/>
          <w:szCs w:val="24"/>
          <w:lang w:val="es-ES"/>
        </w:rPr>
        <w:t xml:space="preserve">, la distribución del ingreso y la pobreza </w:t>
      </w:r>
      <w:r w:rsidRPr="00CF177C">
        <w:rPr>
          <w:rFonts w:ascii="Times New Roman" w:hAnsi="Times New Roman" w:cs="Times New Roman"/>
          <w:szCs w:val="24"/>
          <w:lang w:val="es-ES"/>
        </w:rPr>
        <w:t>(</w:t>
      </w:r>
      <w:proofErr w:type="spellStart"/>
      <w:r w:rsidR="001E370F" w:rsidRPr="00CF177C">
        <w:rPr>
          <w:rFonts w:ascii="Times New Roman" w:hAnsi="Times New Roman" w:cs="Times New Roman"/>
          <w:szCs w:val="24"/>
          <w:lang w:val="es-ES"/>
        </w:rPr>
        <w:t>Agis</w:t>
      </w:r>
      <w:proofErr w:type="spellEnd"/>
      <w:r w:rsidR="001E370F" w:rsidRPr="00CF177C">
        <w:rPr>
          <w:rFonts w:ascii="Times New Roman" w:hAnsi="Times New Roman" w:cs="Times New Roman"/>
          <w:szCs w:val="24"/>
          <w:lang w:val="es-ES"/>
        </w:rPr>
        <w:t xml:space="preserve">, Cañete y </w:t>
      </w:r>
      <w:proofErr w:type="spellStart"/>
      <w:r w:rsidR="001E370F" w:rsidRPr="00CF177C">
        <w:rPr>
          <w:rFonts w:ascii="Times New Roman" w:hAnsi="Times New Roman" w:cs="Times New Roman"/>
          <w:szCs w:val="24"/>
          <w:lang w:val="es-ES"/>
        </w:rPr>
        <w:t>Panigo</w:t>
      </w:r>
      <w:proofErr w:type="spellEnd"/>
      <w:r w:rsidR="001E370F" w:rsidRPr="00CF177C">
        <w:rPr>
          <w:rFonts w:ascii="Times New Roman" w:hAnsi="Times New Roman" w:cs="Times New Roman"/>
          <w:szCs w:val="24"/>
          <w:lang w:val="es-ES"/>
        </w:rPr>
        <w:t>, 2010; Bustos y Villafañe, 2011</w:t>
      </w:r>
      <w:r w:rsidR="00DE4DA8" w:rsidRPr="00CF177C">
        <w:rPr>
          <w:rFonts w:ascii="Times New Roman" w:hAnsi="Times New Roman" w:cs="Times New Roman"/>
          <w:szCs w:val="24"/>
          <w:lang w:val="es-ES"/>
        </w:rPr>
        <w:t xml:space="preserve">; </w:t>
      </w:r>
      <w:r w:rsidR="00083D11" w:rsidRPr="00CF177C">
        <w:rPr>
          <w:rFonts w:ascii="Times New Roman" w:hAnsi="Times New Roman" w:cs="Times New Roman"/>
          <w:szCs w:val="24"/>
          <w:lang w:val="es-ES"/>
        </w:rPr>
        <w:t xml:space="preserve">Gasparini et al., 2017; </w:t>
      </w:r>
      <w:r w:rsidR="00DE4DA8" w:rsidRPr="00CF177C">
        <w:rPr>
          <w:rFonts w:ascii="Times New Roman" w:hAnsi="Times New Roman" w:cs="Times New Roman"/>
          <w:szCs w:val="24"/>
          <w:lang w:val="es-ES"/>
        </w:rPr>
        <w:t xml:space="preserve">Kliksberg y </w:t>
      </w:r>
      <w:proofErr w:type="spellStart"/>
      <w:r w:rsidR="00DE4DA8" w:rsidRPr="00CF177C">
        <w:rPr>
          <w:rFonts w:ascii="Times New Roman" w:hAnsi="Times New Roman" w:cs="Times New Roman"/>
          <w:szCs w:val="24"/>
          <w:lang w:val="es-ES"/>
        </w:rPr>
        <w:t>Novacovsky</w:t>
      </w:r>
      <w:proofErr w:type="spellEnd"/>
      <w:r w:rsidR="00DE4DA8" w:rsidRPr="00CF177C">
        <w:rPr>
          <w:rFonts w:ascii="Times New Roman" w:hAnsi="Times New Roman" w:cs="Times New Roman"/>
          <w:szCs w:val="24"/>
          <w:lang w:val="es-ES"/>
        </w:rPr>
        <w:t>, 2015</w:t>
      </w:r>
      <w:r w:rsidR="001E370F" w:rsidRPr="00CF177C">
        <w:rPr>
          <w:rFonts w:ascii="Times New Roman" w:hAnsi="Times New Roman" w:cs="Times New Roman"/>
          <w:szCs w:val="24"/>
          <w:lang w:val="es-ES"/>
        </w:rPr>
        <w:t>)</w:t>
      </w:r>
      <w:r w:rsidR="00083D11" w:rsidRPr="00CF177C">
        <w:rPr>
          <w:rFonts w:ascii="Times New Roman" w:hAnsi="Times New Roman" w:cs="Times New Roman"/>
          <w:szCs w:val="24"/>
          <w:lang w:val="es-ES"/>
        </w:rPr>
        <w:t>, su impacto</w:t>
      </w:r>
      <w:r w:rsidR="001E370F" w:rsidRPr="00CF177C">
        <w:rPr>
          <w:rFonts w:ascii="Times New Roman" w:hAnsi="Times New Roman" w:cs="Times New Roman"/>
          <w:szCs w:val="24"/>
          <w:lang w:val="es-ES"/>
        </w:rPr>
        <w:t xml:space="preserve"> </w:t>
      </w:r>
      <w:r w:rsidR="0078566A" w:rsidRPr="00CF177C">
        <w:rPr>
          <w:rFonts w:ascii="Times New Roman" w:hAnsi="Times New Roman" w:cs="Times New Roman"/>
          <w:szCs w:val="24"/>
          <w:lang w:val="es-ES"/>
        </w:rPr>
        <w:t>en la participación económica de los trabajadores</w:t>
      </w:r>
      <w:r w:rsidR="00083D11" w:rsidRPr="00CF177C">
        <w:rPr>
          <w:rFonts w:ascii="Times New Roman" w:hAnsi="Times New Roman" w:cs="Times New Roman"/>
          <w:szCs w:val="24"/>
          <w:lang w:val="es-ES"/>
        </w:rPr>
        <w:t xml:space="preserve"> y los “incentivos”</w:t>
      </w:r>
      <w:r w:rsidR="0078566A" w:rsidRPr="00CF177C">
        <w:rPr>
          <w:rFonts w:ascii="Times New Roman" w:hAnsi="Times New Roman" w:cs="Times New Roman"/>
          <w:szCs w:val="24"/>
          <w:lang w:val="es-ES"/>
        </w:rPr>
        <w:t xml:space="preserve"> </w:t>
      </w:r>
      <w:r w:rsidR="00083D11" w:rsidRPr="00CF177C">
        <w:rPr>
          <w:rFonts w:ascii="Times New Roman" w:hAnsi="Times New Roman" w:cs="Times New Roman"/>
          <w:szCs w:val="24"/>
          <w:lang w:val="es-ES"/>
        </w:rPr>
        <w:t xml:space="preserve">a la formalización </w:t>
      </w:r>
      <w:r w:rsidR="0078566A" w:rsidRPr="00CF177C">
        <w:rPr>
          <w:rFonts w:ascii="Times New Roman" w:hAnsi="Times New Roman" w:cs="Times New Roman"/>
          <w:szCs w:val="24"/>
          <w:lang w:val="es-ES"/>
        </w:rPr>
        <w:t>(</w:t>
      </w:r>
      <w:r w:rsidR="00083D11" w:rsidRPr="00CF177C">
        <w:rPr>
          <w:rFonts w:ascii="Times New Roman" w:hAnsi="Times New Roman" w:cs="Times New Roman"/>
          <w:szCs w:val="24"/>
          <w:lang w:val="es-ES"/>
        </w:rPr>
        <w:t xml:space="preserve">Garganta y Gasparini, 2017; </w:t>
      </w:r>
      <w:proofErr w:type="spellStart"/>
      <w:r w:rsidR="00083D11" w:rsidRPr="00CF177C">
        <w:rPr>
          <w:rFonts w:ascii="Times New Roman" w:hAnsi="Times New Roman" w:cs="Times New Roman"/>
          <w:szCs w:val="24"/>
          <w:lang w:val="es-ES"/>
        </w:rPr>
        <w:t>Maurizio</w:t>
      </w:r>
      <w:proofErr w:type="spellEnd"/>
      <w:r w:rsidR="00083D11" w:rsidRPr="00CF177C">
        <w:rPr>
          <w:rFonts w:ascii="Times New Roman" w:hAnsi="Times New Roman" w:cs="Times New Roman"/>
          <w:szCs w:val="24"/>
          <w:lang w:val="es-ES"/>
        </w:rPr>
        <w:t xml:space="preserve"> y Monsalvo, 2017; </w:t>
      </w:r>
      <w:proofErr w:type="spellStart"/>
      <w:r w:rsidR="0078566A" w:rsidRPr="00CF177C">
        <w:rPr>
          <w:rFonts w:ascii="Times New Roman" w:hAnsi="Times New Roman" w:cs="Times New Roman"/>
          <w:szCs w:val="24"/>
          <w:lang w:val="es-ES"/>
        </w:rPr>
        <w:t>Maurizio</w:t>
      </w:r>
      <w:proofErr w:type="spellEnd"/>
      <w:r w:rsidR="0078566A" w:rsidRPr="00CF177C">
        <w:rPr>
          <w:rFonts w:ascii="Times New Roman" w:hAnsi="Times New Roman" w:cs="Times New Roman"/>
          <w:szCs w:val="24"/>
          <w:lang w:val="es-ES"/>
        </w:rPr>
        <w:t xml:space="preserve"> y Vázquez, 201</w:t>
      </w:r>
      <w:r w:rsidR="00D8189F" w:rsidRPr="00CF177C">
        <w:rPr>
          <w:rFonts w:ascii="Times New Roman" w:hAnsi="Times New Roman" w:cs="Times New Roman"/>
          <w:szCs w:val="24"/>
          <w:lang w:val="es-ES"/>
        </w:rPr>
        <w:t>4</w:t>
      </w:r>
      <w:r w:rsidR="0078566A" w:rsidRPr="00CF177C">
        <w:rPr>
          <w:rFonts w:ascii="Times New Roman" w:hAnsi="Times New Roman" w:cs="Times New Roman"/>
          <w:szCs w:val="24"/>
          <w:lang w:val="es-ES"/>
        </w:rPr>
        <w:t>)</w:t>
      </w:r>
      <w:r w:rsidR="00083D11" w:rsidRPr="00CF177C">
        <w:rPr>
          <w:rFonts w:ascii="Times New Roman" w:hAnsi="Times New Roman" w:cs="Times New Roman"/>
          <w:szCs w:val="24"/>
          <w:lang w:val="es-ES"/>
        </w:rPr>
        <w:t>. Otro eje abordado remite a los impactos sobre el desarrollo humano de la infancia, en especial, relacionados con el acceso a la salud y a la educación (</w:t>
      </w:r>
      <w:proofErr w:type="spellStart"/>
      <w:r w:rsidR="00083D11" w:rsidRPr="00CF177C">
        <w:rPr>
          <w:rFonts w:ascii="Times New Roman" w:hAnsi="Times New Roman" w:cs="Times New Roman"/>
          <w:szCs w:val="24"/>
          <w:lang w:val="es-ES"/>
        </w:rPr>
        <w:t>Marchionni</w:t>
      </w:r>
      <w:proofErr w:type="spellEnd"/>
      <w:r w:rsidR="00083D11" w:rsidRPr="00CF177C">
        <w:rPr>
          <w:rFonts w:ascii="Times New Roman" w:hAnsi="Times New Roman" w:cs="Times New Roman"/>
          <w:szCs w:val="24"/>
          <w:lang w:val="es-ES"/>
        </w:rPr>
        <w:t xml:space="preserve"> y Edo, 2017; </w:t>
      </w:r>
      <w:proofErr w:type="spellStart"/>
      <w:r w:rsidR="00083D11" w:rsidRPr="00CF177C">
        <w:rPr>
          <w:rFonts w:ascii="Times New Roman" w:hAnsi="Times New Roman" w:cs="Times New Roman"/>
          <w:szCs w:val="24"/>
          <w:lang w:val="es-ES"/>
        </w:rPr>
        <w:lastRenderedPageBreak/>
        <w:t>Goldschmit</w:t>
      </w:r>
      <w:proofErr w:type="spellEnd"/>
      <w:r w:rsidR="00083D11" w:rsidRPr="00CF177C">
        <w:rPr>
          <w:rFonts w:ascii="Times New Roman" w:hAnsi="Times New Roman" w:cs="Times New Roman"/>
          <w:szCs w:val="24"/>
          <w:lang w:val="es-ES"/>
        </w:rPr>
        <w:t>, 2017; Salvia, Tuñón y Poy, 2015). Estas investigaciones han señalado que la AUH tiene efectos positivos en términos de retención educativa –en particular, entre adolescentes–, mientras que sus impactos sobre el acceso a la salud serían menos concluyentes</w:t>
      </w:r>
      <w:r w:rsidR="00083D11" w:rsidRPr="00CF177C">
        <w:rPr>
          <w:rStyle w:val="Refdenotaalpie"/>
          <w:rFonts w:ascii="Times New Roman" w:hAnsi="Times New Roman" w:cs="Times New Roman"/>
          <w:szCs w:val="24"/>
        </w:rPr>
        <w:footnoteReference w:id="4"/>
      </w:r>
      <w:r w:rsidR="00083D11" w:rsidRPr="00CF177C">
        <w:rPr>
          <w:rFonts w:ascii="Times New Roman" w:hAnsi="Times New Roman" w:cs="Times New Roman"/>
          <w:szCs w:val="24"/>
          <w:lang w:val="es-ES"/>
        </w:rPr>
        <w:t xml:space="preserve">. </w:t>
      </w:r>
    </w:p>
    <w:p w14:paraId="6D53116F" w14:textId="77777777" w:rsidR="00D24DBC" w:rsidRPr="00CF177C" w:rsidRDefault="00527F65" w:rsidP="00D654BE">
      <w:pPr>
        <w:spacing w:before="120" w:after="120" w:line="360" w:lineRule="auto"/>
        <w:jc w:val="both"/>
        <w:rPr>
          <w:rFonts w:ascii="Times New Roman" w:hAnsi="Times New Roman" w:cs="Times New Roman"/>
          <w:szCs w:val="24"/>
          <w:lang w:val="es-ES"/>
        </w:rPr>
      </w:pPr>
      <w:r w:rsidRPr="00527F65">
        <w:rPr>
          <w:rFonts w:ascii="Times New Roman" w:hAnsi="Times New Roman" w:cs="Times New Roman"/>
          <w:szCs w:val="24"/>
          <w:lang w:val="es-ES"/>
        </w:rPr>
        <w:t xml:space="preserve">Adoptando una mirada crítica sobre el carácter universal, supuestamente transitorio y normativamente inclusivo de esta iniciativa, </w:t>
      </w:r>
      <w:r>
        <w:rPr>
          <w:rFonts w:ascii="Times New Roman" w:hAnsi="Times New Roman" w:cs="Times New Roman"/>
          <w:szCs w:val="24"/>
          <w:lang w:val="es-ES"/>
        </w:rPr>
        <w:t>e</w:t>
      </w:r>
      <w:r w:rsidR="00A675E1" w:rsidRPr="00CF177C">
        <w:rPr>
          <w:rFonts w:ascii="Times New Roman" w:hAnsi="Times New Roman" w:cs="Times New Roman"/>
          <w:szCs w:val="24"/>
          <w:lang w:val="es-ES"/>
        </w:rPr>
        <w:t xml:space="preserve">l presente artículo busca contribuir </w:t>
      </w:r>
      <w:r>
        <w:rPr>
          <w:rFonts w:ascii="Times New Roman" w:hAnsi="Times New Roman" w:cs="Times New Roman"/>
          <w:szCs w:val="24"/>
          <w:lang w:val="es-ES"/>
        </w:rPr>
        <w:t>a</w:t>
      </w:r>
      <w:r w:rsidR="00A675E1" w:rsidRPr="00CF177C">
        <w:rPr>
          <w:rFonts w:ascii="Times New Roman" w:hAnsi="Times New Roman" w:cs="Times New Roman"/>
          <w:szCs w:val="24"/>
          <w:lang w:val="es-ES"/>
        </w:rPr>
        <w:t xml:space="preserve"> </w:t>
      </w:r>
      <w:r w:rsidR="002D49A8">
        <w:rPr>
          <w:rFonts w:ascii="Times New Roman" w:hAnsi="Times New Roman" w:cs="Times New Roman"/>
          <w:szCs w:val="24"/>
          <w:lang w:val="es-ES"/>
        </w:rPr>
        <w:t xml:space="preserve">identificar </w:t>
      </w:r>
      <w:r w:rsidR="002D49A8" w:rsidRPr="00B00F89">
        <w:rPr>
          <w:rFonts w:ascii="Times New Roman" w:hAnsi="Times New Roman" w:cs="Times New Roman"/>
          <w:szCs w:val="24"/>
          <w:lang w:val="es-ES"/>
        </w:rPr>
        <w:t xml:space="preserve">los </w:t>
      </w:r>
      <w:r w:rsidR="002D49A8">
        <w:rPr>
          <w:rFonts w:ascii="Times New Roman" w:hAnsi="Times New Roman" w:cs="Times New Roman"/>
          <w:szCs w:val="24"/>
          <w:lang w:val="es-ES"/>
        </w:rPr>
        <w:t>principales</w:t>
      </w:r>
      <w:r w:rsidR="002D49A8" w:rsidRPr="00B00F89">
        <w:rPr>
          <w:rFonts w:ascii="Times New Roman" w:hAnsi="Times New Roman" w:cs="Times New Roman"/>
          <w:szCs w:val="24"/>
          <w:lang w:val="es-ES"/>
        </w:rPr>
        <w:t xml:space="preserve"> procesos </w:t>
      </w:r>
      <w:r w:rsidR="002D49A8">
        <w:rPr>
          <w:rFonts w:ascii="Times New Roman" w:hAnsi="Times New Roman" w:cs="Times New Roman"/>
          <w:szCs w:val="24"/>
          <w:lang w:val="es-ES"/>
        </w:rPr>
        <w:t xml:space="preserve">sociales de exclusión </w:t>
      </w:r>
      <w:r w:rsidR="002D49A8" w:rsidRPr="00B00F89">
        <w:rPr>
          <w:rFonts w:ascii="Times New Roman" w:hAnsi="Times New Roman" w:cs="Times New Roman"/>
          <w:szCs w:val="24"/>
          <w:lang w:val="es-ES"/>
        </w:rPr>
        <w:t xml:space="preserve">subyacentes </w:t>
      </w:r>
      <w:r w:rsidR="002D49A8">
        <w:rPr>
          <w:rFonts w:ascii="Times New Roman" w:hAnsi="Times New Roman" w:cs="Times New Roman"/>
          <w:szCs w:val="24"/>
          <w:lang w:val="es-ES"/>
        </w:rPr>
        <w:t>en</w:t>
      </w:r>
      <w:r w:rsidR="002D49A8" w:rsidRPr="00B00F89">
        <w:rPr>
          <w:rFonts w:ascii="Times New Roman" w:hAnsi="Times New Roman" w:cs="Times New Roman"/>
          <w:szCs w:val="24"/>
          <w:lang w:val="es-ES"/>
        </w:rPr>
        <w:t xml:space="preserve"> los perfiles socioeconómicos </w:t>
      </w:r>
      <w:r w:rsidR="002D49A8">
        <w:rPr>
          <w:rFonts w:ascii="Times New Roman" w:hAnsi="Times New Roman" w:cs="Times New Roman"/>
          <w:szCs w:val="24"/>
          <w:lang w:val="es-ES"/>
        </w:rPr>
        <w:t>de la</w:t>
      </w:r>
      <w:r w:rsidR="002D49A8" w:rsidRPr="00B00F89">
        <w:rPr>
          <w:rFonts w:ascii="Times New Roman" w:hAnsi="Times New Roman" w:cs="Times New Roman"/>
          <w:szCs w:val="24"/>
          <w:lang w:val="es-ES"/>
        </w:rPr>
        <w:t xml:space="preserve"> población de niños</w:t>
      </w:r>
      <w:r w:rsidR="002D49A8">
        <w:rPr>
          <w:rFonts w:ascii="Times New Roman" w:hAnsi="Times New Roman" w:cs="Times New Roman"/>
          <w:szCs w:val="24"/>
          <w:lang w:val="es-ES"/>
        </w:rPr>
        <w:t>, niñas</w:t>
      </w:r>
      <w:r w:rsidR="002D49A8" w:rsidRPr="00B00F89">
        <w:rPr>
          <w:rFonts w:ascii="Times New Roman" w:hAnsi="Times New Roman" w:cs="Times New Roman"/>
          <w:szCs w:val="24"/>
          <w:lang w:val="es-ES"/>
        </w:rPr>
        <w:t xml:space="preserve"> y adolescentes</w:t>
      </w:r>
      <w:r w:rsidR="002D49A8">
        <w:rPr>
          <w:rFonts w:ascii="Times New Roman" w:hAnsi="Times New Roman" w:cs="Times New Roman"/>
          <w:szCs w:val="24"/>
          <w:lang w:val="es-ES"/>
        </w:rPr>
        <w:t xml:space="preserve"> elegibles pero</w:t>
      </w:r>
      <w:r w:rsidR="002D49A8" w:rsidRPr="00B00F89">
        <w:rPr>
          <w:rFonts w:ascii="Times New Roman" w:hAnsi="Times New Roman" w:cs="Times New Roman"/>
          <w:szCs w:val="24"/>
          <w:lang w:val="es-ES"/>
        </w:rPr>
        <w:t xml:space="preserve"> no beneficiarios de la AUH</w:t>
      </w:r>
      <w:r w:rsidR="002D49A8">
        <w:rPr>
          <w:rFonts w:ascii="Times New Roman" w:hAnsi="Times New Roman" w:cs="Times New Roman"/>
          <w:szCs w:val="24"/>
          <w:lang w:val="es-ES"/>
        </w:rPr>
        <w:t xml:space="preserve">. Para ello se </w:t>
      </w:r>
      <w:r w:rsidR="001E370F" w:rsidRPr="00CF177C">
        <w:rPr>
          <w:rFonts w:ascii="Times New Roman" w:hAnsi="Times New Roman" w:cs="Times New Roman"/>
          <w:szCs w:val="24"/>
          <w:lang w:val="es-ES"/>
        </w:rPr>
        <w:t>explora y describ</w:t>
      </w:r>
      <w:r w:rsidR="002D49A8">
        <w:rPr>
          <w:rFonts w:ascii="Times New Roman" w:hAnsi="Times New Roman" w:cs="Times New Roman"/>
          <w:szCs w:val="24"/>
          <w:lang w:val="es-ES"/>
        </w:rPr>
        <w:t>e</w:t>
      </w:r>
      <w:r w:rsidR="00E90697" w:rsidRPr="00CF177C">
        <w:rPr>
          <w:rFonts w:ascii="Times New Roman" w:hAnsi="Times New Roman" w:cs="Times New Roman"/>
          <w:szCs w:val="24"/>
          <w:lang w:val="es-ES"/>
        </w:rPr>
        <w:t xml:space="preserve"> el perfil </w:t>
      </w:r>
      <w:r w:rsidR="001E370F" w:rsidRPr="00CF177C">
        <w:rPr>
          <w:rFonts w:ascii="Times New Roman" w:hAnsi="Times New Roman" w:cs="Times New Roman"/>
          <w:szCs w:val="24"/>
          <w:lang w:val="es-ES"/>
        </w:rPr>
        <w:t>socioeconómico y sociodemográfico</w:t>
      </w:r>
      <w:r w:rsidR="00E90697" w:rsidRPr="00CF177C">
        <w:rPr>
          <w:rFonts w:ascii="Times New Roman" w:hAnsi="Times New Roman" w:cs="Times New Roman"/>
          <w:szCs w:val="24"/>
          <w:lang w:val="es-ES"/>
        </w:rPr>
        <w:t xml:space="preserve"> </w:t>
      </w:r>
      <w:r w:rsidR="002D49A8">
        <w:rPr>
          <w:rFonts w:ascii="Times New Roman" w:hAnsi="Times New Roman" w:cs="Times New Roman"/>
          <w:szCs w:val="24"/>
          <w:lang w:val="es-ES"/>
        </w:rPr>
        <w:t>de estos niños, niñas y adolescentes elegibles para el programa, pero que han quedado fuera del mismo</w:t>
      </w:r>
      <w:r w:rsidR="0096287D" w:rsidRPr="00CF177C">
        <w:rPr>
          <w:rFonts w:ascii="Times New Roman" w:hAnsi="Times New Roman" w:cs="Times New Roman"/>
          <w:szCs w:val="24"/>
          <w:lang w:val="es-ES"/>
        </w:rPr>
        <w:t>.</w:t>
      </w:r>
      <w:r w:rsidR="001E370F" w:rsidRPr="00CF177C">
        <w:rPr>
          <w:rFonts w:ascii="Times New Roman" w:hAnsi="Times New Roman" w:cs="Times New Roman"/>
          <w:szCs w:val="24"/>
          <w:lang w:val="es-ES"/>
        </w:rPr>
        <w:t xml:space="preserve"> </w:t>
      </w:r>
      <w:r w:rsidR="002D49A8">
        <w:rPr>
          <w:rFonts w:ascii="Times New Roman" w:hAnsi="Times New Roman" w:cs="Times New Roman"/>
          <w:szCs w:val="24"/>
          <w:lang w:val="es-ES"/>
        </w:rPr>
        <w:t>De esta manera</w:t>
      </w:r>
      <w:r w:rsidR="0058317F" w:rsidRPr="00CF177C">
        <w:rPr>
          <w:rFonts w:ascii="Times New Roman" w:hAnsi="Times New Roman" w:cs="Times New Roman"/>
          <w:szCs w:val="24"/>
          <w:lang w:val="es-ES"/>
        </w:rPr>
        <w:t xml:space="preserve">, se </w:t>
      </w:r>
      <w:r w:rsidR="002E6CE5" w:rsidRPr="00CF177C">
        <w:rPr>
          <w:rFonts w:ascii="Times New Roman" w:hAnsi="Times New Roman" w:cs="Times New Roman"/>
          <w:szCs w:val="24"/>
          <w:lang w:val="es-ES"/>
        </w:rPr>
        <w:t>avanza en e</w:t>
      </w:r>
      <w:r w:rsidR="001E370F" w:rsidRPr="00CF177C">
        <w:rPr>
          <w:rFonts w:ascii="Times New Roman" w:hAnsi="Times New Roman" w:cs="Times New Roman"/>
          <w:szCs w:val="24"/>
          <w:lang w:val="es-ES"/>
        </w:rPr>
        <w:t>l diagnóstico</w:t>
      </w:r>
      <w:r w:rsidR="002E6CE5" w:rsidRPr="00CF177C">
        <w:rPr>
          <w:rFonts w:ascii="Times New Roman" w:hAnsi="Times New Roman" w:cs="Times New Roman"/>
          <w:szCs w:val="24"/>
          <w:lang w:val="es-ES"/>
        </w:rPr>
        <w:t xml:space="preserve"> </w:t>
      </w:r>
      <w:r w:rsidR="001E370F" w:rsidRPr="00CF177C">
        <w:rPr>
          <w:rFonts w:ascii="Times New Roman" w:hAnsi="Times New Roman" w:cs="Times New Roman"/>
          <w:szCs w:val="24"/>
          <w:lang w:val="es-ES"/>
        </w:rPr>
        <w:t xml:space="preserve">de las características de </w:t>
      </w:r>
      <w:r w:rsidR="00A675E1" w:rsidRPr="00CF177C">
        <w:rPr>
          <w:rFonts w:ascii="Times New Roman" w:hAnsi="Times New Roman" w:cs="Times New Roman"/>
          <w:szCs w:val="24"/>
          <w:lang w:val="es-ES"/>
        </w:rPr>
        <w:t xml:space="preserve">las </w:t>
      </w:r>
      <w:r w:rsidR="001F1BF8" w:rsidRPr="00CF177C">
        <w:rPr>
          <w:rFonts w:ascii="Times New Roman" w:hAnsi="Times New Roman" w:cs="Times New Roman"/>
          <w:szCs w:val="24"/>
          <w:lang w:val="es-ES"/>
        </w:rPr>
        <w:t>poblaciones</w:t>
      </w:r>
      <w:r w:rsidR="001E370F" w:rsidRPr="00CF177C">
        <w:rPr>
          <w:rFonts w:ascii="Times New Roman" w:hAnsi="Times New Roman" w:cs="Times New Roman"/>
          <w:szCs w:val="24"/>
          <w:lang w:val="es-ES"/>
        </w:rPr>
        <w:t xml:space="preserve"> </w:t>
      </w:r>
      <w:r w:rsidR="001F1BF8" w:rsidRPr="00CF177C">
        <w:rPr>
          <w:rFonts w:ascii="Times New Roman" w:hAnsi="Times New Roman" w:cs="Times New Roman"/>
          <w:szCs w:val="24"/>
          <w:lang w:val="es-ES"/>
        </w:rPr>
        <w:t>infantiles</w:t>
      </w:r>
      <w:r w:rsidR="001E370F" w:rsidRPr="00CF177C">
        <w:rPr>
          <w:rFonts w:ascii="Times New Roman" w:hAnsi="Times New Roman" w:cs="Times New Roman"/>
          <w:szCs w:val="24"/>
          <w:lang w:val="es-ES"/>
        </w:rPr>
        <w:t xml:space="preserve"> </w:t>
      </w:r>
      <w:r w:rsidR="00A675E1" w:rsidRPr="00CF177C">
        <w:rPr>
          <w:rFonts w:ascii="Times New Roman" w:hAnsi="Times New Roman" w:cs="Times New Roman"/>
          <w:szCs w:val="24"/>
          <w:lang w:val="es-ES"/>
        </w:rPr>
        <w:t xml:space="preserve">y sus hogares </w:t>
      </w:r>
      <w:r w:rsidR="001E370F" w:rsidRPr="00CF177C">
        <w:rPr>
          <w:rFonts w:ascii="Times New Roman" w:hAnsi="Times New Roman" w:cs="Times New Roman"/>
          <w:szCs w:val="24"/>
          <w:lang w:val="es-ES"/>
        </w:rPr>
        <w:t>que</w:t>
      </w:r>
      <w:r w:rsidR="00D24DBC" w:rsidRPr="00CF177C">
        <w:rPr>
          <w:rFonts w:ascii="Times New Roman" w:hAnsi="Times New Roman" w:cs="Times New Roman"/>
          <w:szCs w:val="24"/>
          <w:lang w:val="es-ES"/>
        </w:rPr>
        <w:t xml:space="preserve"> </w:t>
      </w:r>
      <w:r w:rsidR="00A76FA4" w:rsidRPr="00CF177C">
        <w:rPr>
          <w:rFonts w:ascii="Times New Roman" w:hAnsi="Times New Roman" w:cs="Times New Roman"/>
          <w:szCs w:val="24"/>
          <w:lang w:val="es-ES"/>
        </w:rPr>
        <w:t>se encuentran excluidas de la AUH</w:t>
      </w:r>
      <w:r w:rsidR="001E370F" w:rsidRPr="00CF177C">
        <w:rPr>
          <w:rFonts w:ascii="Times New Roman" w:hAnsi="Times New Roman" w:cs="Times New Roman"/>
          <w:szCs w:val="24"/>
          <w:lang w:val="es-ES"/>
        </w:rPr>
        <w:t>.</w:t>
      </w:r>
      <w:r w:rsidR="0058317F" w:rsidRPr="00CF177C">
        <w:rPr>
          <w:rFonts w:ascii="Times New Roman" w:hAnsi="Times New Roman" w:cs="Times New Roman"/>
          <w:szCs w:val="24"/>
          <w:lang w:val="es-ES"/>
        </w:rPr>
        <w:t xml:space="preserve"> Con este propósito, s</w:t>
      </w:r>
      <w:r w:rsidR="001E370F" w:rsidRPr="00CF177C">
        <w:rPr>
          <w:rFonts w:ascii="Times New Roman" w:hAnsi="Times New Roman" w:cs="Times New Roman"/>
          <w:szCs w:val="24"/>
          <w:lang w:val="es-ES"/>
        </w:rPr>
        <w:t>e utiliza</w:t>
      </w:r>
      <w:r w:rsidR="002E6CE5" w:rsidRPr="00CF177C">
        <w:rPr>
          <w:rFonts w:ascii="Times New Roman" w:hAnsi="Times New Roman" w:cs="Times New Roman"/>
          <w:szCs w:val="24"/>
          <w:lang w:val="es-ES"/>
        </w:rPr>
        <w:t>n</w:t>
      </w:r>
      <w:r w:rsidR="001E370F" w:rsidRPr="00CF177C">
        <w:rPr>
          <w:rFonts w:ascii="Times New Roman" w:hAnsi="Times New Roman" w:cs="Times New Roman"/>
          <w:szCs w:val="24"/>
          <w:lang w:val="es-ES"/>
        </w:rPr>
        <w:t xml:space="preserve"> técnicas multivariadas</w:t>
      </w:r>
      <w:r w:rsidR="0058317F" w:rsidRPr="00CF177C">
        <w:rPr>
          <w:rFonts w:ascii="Times New Roman" w:hAnsi="Times New Roman" w:cs="Times New Roman"/>
          <w:szCs w:val="24"/>
          <w:lang w:val="es-ES"/>
        </w:rPr>
        <w:t xml:space="preserve"> </w:t>
      </w:r>
      <w:r w:rsidR="001E370F" w:rsidRPr="00CF177C">
        <w:rPr>
          <w:rFonts w:ascii="Times New Roman" w:hAnsi="Times New Roman" w:cs="Times New Roman"/>
          <w:szCs w:val="24"/>
          <w:lang w:val="es-ES"/>
        </w:rPr>
        <w:t xml:space="preserve">exploratorias </w:t>
      </w:r>
      <w:r w:rsidR="0058317F" w:rsidRPr="00CF177C">
        <w:rPr>
          <w:rFonts w:ascii="Times New Roman" w:hAnsi="Times New Roman" w:cs="Times New Roman"/>
          <w:szCs w:val="24"/>
          <w:lang w:val="es-ES"/>
        </w:rPr>
        <w:t>y</w:t>
      </w:r>
      <w:r w:rsidR="001E370F" w:rsidRPr="00CF177C">
        <w:rPr>
          <w:rFonts w:ascii="Times New Roman" w:hAnsi="Times New Roman" w:cs="Times New Roman"/>
          <w:szCs w:val="24"/>
          <w:lang w:val="es-ES"/>
        </w:rPr>
        <w:t xml:space="preserve"> descriptivas. </w:t>
      </w:r>
      <w:r w:rsidR="00442891" w:rsidRPr="00CF177C">
        <w:rPr>
          <w:rFonts w:ascii="Times New Roman" w:hAnsi="Times New Roman" w:cs="Times New Roman"/>
          <w:szCs w:val="24"/>
          <w:lang w:val="es-ES"/>
        </w:rPr>
        <w:t>Un primer paso consist</w:t>
      </w:r>
      <w:r w:rsidR="002E6CE5" w:rsidRPr="00CF177C">
        <w:rPr>
          <w:rFonts w:ascii="Times New Roman" w:hAnsi="Times New Roman" w:cs="Times New Roman"/>
          <w:szCs w:val="24"/>
          <w:lang w:val="es-ES"/>
        </w:rPr>
        <w:t>ió</w:t>
      </w:r>
      <w:r w:rsidR="00442891" w:rsidRPr="00CF177C">
        <w:rPr>
          <w:rFonts w:ascii="Times New Roman" w:hAnsi="Times New Roman" w:cs="Times New Roman"/>
          <w:szCs w:val="24"/>
          <w:lang w:val="es-ES"/>
        </w:rPr>
        <w:t xml:space="preserve"> en la identificación de un grupo de niños</w:t>
      </w:r>
      <w:r w:rsidR="002D49A8">
        <w:rPr>
          <w:rFonts w:ascii="Times New Roman" w:hAnsi="Times New Roman" w:cs="Times New Roman"/>
          <w:szCs w:val="24"/>
          <w:lang w:val="es-ES"/>
        </w:rPr>
        <w:t>, niñas</w:t>
      </w:r>
      <w:r w:rsidR="00442891" w:rsidRPr="00CF177C">
        <w:rPr>
          <w:rFonts w:ascii="Times New Roman" w:hAnsi="Times New Roman" w:cs="Times New Roman"/>
          <w:szCs w:val="24"/>
          <w:lang w:val="es-ES"/>
        </w:rPr>
        <w:t xml:space="preserve"> y adolescentes que podrían recibir la transferencia (por cumplir los criterios de elegibilidad) pero no acceden a ella. En un segundo paso, s</w:t>
      </w:r>
      <w:r w:rsidR="005A704E" w:rsidRPr="00CF177C">
        <w:rPr>
          <w:rFonts w:ascii="Times New Roman" w:hAnsi="Times New Roman" w:cs="Times New Roman"/>
          <w:szCs w:val="24"/>
          <w:lang w:val="es-ES"/>
        </w:rPr>
        <w:t xml:space="preserve">e </w:t>
      </w:r>
      <w:r w:rsidR="001E370F" w:rsidRPr="00CF177C">
        <w:rPr>
          <w:rFonts w:ascii="Times New Roman" w:hAnsi="Times New Roman" w:cs="Times New Roman"/>
          <w:szCs w:val="24"/>
          <w:lang w:val="es-ES"/>
        </w:rPr>
        <w:t xml:space="preserve">apeló </w:t>
      </w:r>
      <w:r w:rsidR="00442891" w:rsidRPr="00CF177C">
        <w:rPr>
          <w:rFonts w:ascii="Times New Roman" w:hAnsi="Times New Roman" w:cs="Times New Roman"/>
          <w:szCs w:val="24"/>
          <w:lang w:val="es-ES"/>
        </w:rPr>
        <w:t>al análisis de</w:t>
      </w:r>
      <w:r w:rsidR="00033FF4">
        <w:rPr>
          <w:rFonts w:ascii="Times New Roman" w:hAnsi="Times New Roman" w:cs="Times New Roman"/>
          <w:szCs w:val="24"/>
          <w:lang w:val="es-ES"/>
        </w:rPr>
        <w:t xml:space="preserve"> un </w:t>
      </w:r>
      <w:r w:rsidR="00442891" w:rsidRPr="00CF177C">
        <w:rPr>
          <w:rFonts w:ascii="Times New Roman" w:hAnsi="Times New Roman" w:cs="Times New Roman"/>
          <w:szCs w:val="24"/>
          <w:lang w:val="es-ES"/>
        </w:rPr>
        <w:t xml:space="preserve">modelo </w:t>
      </w:r>
      <w:proofErr w:type="spellStart"/>
      <w:r w:rsidR="00442891" w:rsidRPr="00CF177C">
        <w:rPr>
          <w:rFonts w:ascii="Times New Roman" w:hAnsi="Times New Roman" w:cs="Times New Roman"/>
          <w:i/>
          <w:szCs w:val="24"/>
          <w:lang w:val="es-ES"/>
        </w:rPr>
        <w:t>logit</w:t>
      </w:r>
      <w:proofErr w:type="spellEnd"/>
      <w:r w:rsidR="00442891" w:rsidRPr="00CF177C">
        <w:rPr>
          <w:rFonts w:ascii="Times New Roman" w:hAnsi="Times New Roman" w:cs="Times New Roman"/>
          <w:i/>
          <w:szCs w:val="24"/>
          <w:lang w:val="es-ES"/>
        </w:rPr>
        <w:t xml:space="preserve"> </w:t>
      </w:r>
      <w:r w:rsidR="0058317F" w:rsidRPr="00CF177C">
        <w:rPr>
          <w:rFonts w:ascii="Times New Roman" w:hAnsi="Times New Roman" w:cs="Times New Roman"/>
          <w:szCs w:val="24"/>
          <w:lang w:val="es-ES"/>
        </w:rPr>
        <w:t xml:space="preserve">para </w:t>
      </w:r>
      <w:r w:rsidR="00DD587C" w:rsidRPr="00CF177C">
        <w:rPr>
          <w:rFonts w:ascii="Times New Roman" w:hAnsi="Times New Roman" w:cs="Times New Roman"/>
          <w:szCs w:val="24"/>
          <w:lang w:val="es-ES"/>
        </w:rPr>
        <w:t xml:space="preserve">determinar </w:t>
      </w:r>
      <w:r w:rsidR="00442891" w:rsidRPr="00CF177C">
        <w:rPr>
          <w:rFonts w:ascii="Times New Roman" w:hAnsi="Times New Roman" w:cs="Times New Roman"/>
          <w:szCs w:val="24"/>
          <w:lang w:val="es-ES"/>
        </w:rPr>
        <w:t xml:space="preserve">qué </w:t>
      </w:r>
      <w:r w:rsidR="00DD587C" w:rsidRPr="00CF177C">
        <w:rPr>
          <w:rFonts w:ascii="Times New Roman" w:hAnsi="Times New Roman" w:cs="Times New Roman"/>
          <w:szCs w:val="24"/>
          <w:lang w:val="es-ES"/>
        </w:rPr>
        <w:t xml:space="preserve">factores </w:t>
      </w:r>
      <w:r w:rsidR="00442891" w:rsidRPr="00CF177C">
        <w:rPr>
          <w:rFonts w:ascii="Times New Roman" w:hAnsi="Times New Roman" w:cs="Times New Roman"/>
          <w:szCs w:val="24"/>
          <w:lang w:val="es-ES"/>
        </w:rPr>
        <w:t>se encuentran asociados</w:t>
      </w:r>
      <w:r w:rsidR="00DD587C" w:rsidRPr="00CF177C">
        <w:rPr>
          <w:rFonts w:ascii="Times New Roman" w:hAnsi="Times New Roman" w:cs="Times New Roman"/>
          <w:szCs w:val="24"/>
          <w:lang w:val="es-ES"/>
        </w:rPr>
        <w:t xml:space="preserve"> a la probabilidad de no ser perceptor de la AUH. </w:t>
      </w:r>
      <w:r w:rsidR="00442891" w:rsidRPr="00CF177C">
        <w:rPr>
          <w:rFonts w:ascii="Times New Roman" w:hAnsi="Times New Roman" w:cs="Times New Roman"/>
          <w:szCs w:val="24"/>
          <w:lang w:val="es-ES"/>
        </w:rPr>
        <w:t>Un tercer paso implicó la articulación del análisis factorial y del análisis de clasificación (</w:t>
      </w:r>
      <w:proofErr w:type="spellStart"/>
      <w:r w:rsidR="00442891" w:rsidRPr="00CF177C">
        <w:rPr>
          <w:rFonts w:ascii="Times New Roman" w:hAnsi="Times New Roman" w:cs="Times New Roman"/>
          <w:i/>
          <w:szCs w:val="24"/>
          <w:lang w:val="es-ES"/>
        </w:rPr>
        <w:t>cluster</w:t>
      </w:r>
      <w:proofErr w:type="spellEnd"/>
      <w:r w:rsidR="00442891" w:rsidRPr="00CF177C">
        <w:rPr>
          <w:rFonts w:ascii="Times New Roman" w:hAnsi="Times New Roman" w:cs="Times New Roman"/>
          <w:i/>
          <w:szCs w:val="24"/>
          <w:lang w:val="es-ES"/>
        </w:rPr>
        <w:t xml:space="preserve"> </w:t>
      </w:r>
      <w:proofErr w:type="spellStart"/>
      <w:r w:rsidR="00442891" w:rsidRPr="00CF177C">
        <w:rPr>
          <w:rFonts w:ascii="Times New Roman" w:hAnsi="Times New Roman" w:cs="Times New Roman"/>
          <w:i/>
          <w:szCs w:val="24"/>
          <w:lang w:val="es-ES"/>
        </w:rPr>
        <w:t>analysis</w:t>
      </w:r>
      <w:proofErr w:type="spellEnd"/>
      <w:r w:rsidR="00442891" w:rsidRPr="00CF177C">
        <w:rPr>
          <w:rFonts w:ascii="Times New Roman" w:hAnsi="Times New Roman" w:cs="Times New Roman"/>
          <w:szCs w:val="24"/>
          <w:lang w:val="es-ES"/>
        </w:rPr>
        <w:t>) para</w:t>
      </w:r>
      <w:r w:rsidR="0058317F" w:rsidRPr="00CF177C">
        <w:rPr>
          <w:rFonts w:ascii="Times New Roman" w:hAnsi="Times New Roman" w:cs="Times New Roman"/>
          <w:szCs w:val="24"/>
          <w:lang w:val="es-ES"/>
        </w:rPr>
        <w:t xml:space="preserve"> describir </w:t>
      </w:r>
      <w:r w:rsidR="00DD587C" w:rsidRPr="00CF177C">
        <w:rPr>
          <w:rFonts w:ascii="Times New Roman" w:hAnsi="Times New Roman" w:cs="Times New Roman"/>
          <w:szCs w:val="24"/>
          <w:lang w:val="es-ES"/>
        </w:rPr>
        <w:t xml:space="preserve">y </w:t>
      </w:r>
      <w:r w:rsidR="0058317F" w:rsidRPr="00CF177C">
        <w:rPr>
          <w:rFonts w:ascii="Times New Roman" w:hAnsi="Times New Roman" w:cs="Times New Roman"/>
          <w:szCs w:val="24"/>
          <w:lang w:val="es-ES"/>
        </w:rPr>
        <w:t>comparar</w:t>
      </w:r>
      <w:r w:rsidR="00DD587C" w:rsidRPr="00CF177C">
        <w:rPr>
          <w:rFonts w:ascii="Times New Roman" w:hAnsi="Times New Roman" w:cs="Times New Roman"/>
          <w:szCs w:val="24"/>
          <w:lang w:val="es-ES"/>
        </w:rPr>
        <w:t xml:space="preserve"> los distintos perfiles </w:t>
      </w:r>
      <w:r w:rsidR="00D654BE" w:rsidRPr="00CF177C">
        <w:rPr>
          <w:rFonts w:ascii="Times New Roman" w:hAnsi="Times New Roman" w:cs="Times New Roman"/>
          <w:szCs w:val="24"/>
          <w:lang w:val="es-ES"/>
        </w:rPr>
        <w:t>hallados</w:t>
      </w:r>
      <w:r w:rsidR="00DD587C" w:rsidRPr="00CF177C">
        <w:rPr>
          <w:rFonts w:ascii="Times New Roman" w:hAnsi="Times New Roman" w:cs="Times New Roman"/>
          <w:szCs w:val="24"/>
          <w:lang w:val="es-ES"/>
        </w:rPr>
        <w:t xml:space="preserve">. </w:t>
      </w:r>
    </w:p>
    <w:p w14:paraId="26D0B980" w14:textId="77777777" w:rsidR="00A76FA4" w:rsidRPr="00CF177C" w:rsidRDefault="00A76FA4" w:rsidP="00D654B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La principal hipótesis de trabajo es que la población excluida no es homogénea en términos de su composición, </w:t>
      </w:r>
      <w:r w:rsidR="00225877" w:rsidRPr="00CF177C">
        <w:rPr>
          <w:rFonts w:ascii="Times New Roman" w:hAnsi="Times New Roman" w:cs="Times New Roman"/>
          <w:szCs w:val="24"/>
          <w:lang w:val="es-ES"/>
        </w:rPr>
        <w:t>lo que otorga</w:t>
      </w:r>
      <w:r w:rsidRPr="00CF177C">
        <w:rPr>
          <w:rFonts w:ascii="Times New Roman" w:hAnsi="Times New Roman" w:cs="Times New Roman"/>
          <w:szCs w:val="24"/>
          <w:lang w:val="es-ES"/>
        </w:rPr>
        <w:t xml:space="preserve"> relevancia </w:t>
      </w:r>
      <w:r w:rsidR="00225877" w:rsidRPr="00CF177C">
        <w:rPr>
          <w:rFonts w:ascii="Times New Roman" w:hAnsi="Times New Roman" w:cs="Times New Roman"/>
          <w:szCs w:val="24"/>
          <w:lang w:val="es-ES"/>
        </w:rPr>
        <w:t xml:space="preserve">a la comprensión de </w:t>
      </w:r>
      <w:r w:rsidRPr="00CF177C">
        <w:rPr>
          <w:rFonts w:ascii="Times New Roman" w:hAnsi="Times New Roman" w:cs="Times New Roman"/>
          <w:szCs w:val="24"/>
          <w:lang w:val="es-ES"/>
        </w:rPr>
        <w:t>los procesos sociales subyacentes a la dinámica de exclusión entre la población que es objeto de políticas o programas sociales. Una parte de esta población respondería a contextos de alta vulnerabilidad y marginalidad social, aunque no podrían descartarse dinámicas de autoexclusión</w:t>
      </w:r>
      <w:r w:rsidR="00225877" w:rsidRPr="00CF177C">
        <w:rPr>
          <w:rFonts w:ascii="Times New Roman" w:hAnsi="Times New Roman" w:cs="Times New Roman"/>
          <w:szCs w:val="24"/>
          <w:lang w:val="es-ES"/>
        </w:rPr>
        <w:t xml:space="preserve"> no suficientemente reconocidas</w:t>
      </w:r>
      <w:r w:rsidRPr="00CF177C">
        <w:rPr>
          <w:rFonts w:ascii="Times New Roman" w:hAnsi="Times New Roman" w:cs="Times New Roman"/>
          <w:szCs w:val="24"/>
          <w:lang w:val="es-ES"/>
        </w:rPr>
        <w:t>. El contexto ofrecido por la AUH es apropiado para un estudio de esta naturaleza, en tanto que</w:t>
      </w:r>
      <w:r w:rsidR="00225877" w:rsidRPr="00CF177C">
        <w:rPr>
          <w:rFonts w:ascii="Times New Roman" w:hAnsi="Times New Roman" w:cs="Times New Roman"/>
          <w:szCs w:val="24"/>
          <w:lang w:val="es-ES"/>
        </w:rPr>
        <w:t>,</w:t>
      </w:r>
      <w:r w:rsidRPr="00CF177C">
        <w:rPr>
          <w:rFonts w:ascii="Times New Roman" w:hAnsi="Times New Roman" w:cs="Times New Roman"/>
          <w:szCs w:val="24"/>
          <w:lang w:val="es-ES"/>
        </w:rPr>
        <w:t xml:space="preserve"> si bien se trata de una política de amplia cobertura, no es de afiliación obligatoria </w:t>
      </w:r>
      <w:r w:rsidR="002D49A8">
        <w:rPr>
          <w:rFonts w:ascii="Times New Roman" w:hAnsi="Times New Roman" w:cs="Times New Roman"/>
          <w:szCs w:val="24"/>
          <w:lang w:val="es-ES"/>
        </w:rPr>
        <w:t>ni</w:t>
      </w:r>
      <w:r w:rsidRPr="00CF177C">
        <w:rPr>
          <w:rFonts w:ascii="Times New Roman" w:hAnsi="Times New Roman" w:cs="Times New Roman"/>
          <w:szCs w:val="24"/>
          <w:lang w:val="es-ES"/>
        </w:rPr>
        <w:t xml:space="preserve"> compulsiva</w:t>
      </w:r>
      <w:r w:rsidR="00225877" w:rsidRPr="00CF177C">
        <w:rPr>
          <w:rFonts w:ascii="Times New Roman" w:hAnsi="Times New Roman" w:cs="Times New Roman"/>
          <w:szCs w:val="24"/>
          <w:lang w:val="es-ES"/>
        </w:rPr>
        <w:t xml:space="preserve">. </w:t>
      </w:r>
    </w:p>
    <w:p w14:paraId="306925D0" w14:textId="77777777" w:rsidR="00E90697" w:rsidRPr="00CF177C" w:rsidRDefault="00E90697" w:rsidP="00D654B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La fuente de información son los microdatos de la Encuesta de la Deuda Social Argentina</w:t>
      </w:r>
      <w:r w:rsidR="00554BC1" w:rsidRPr="00CF177C">
        <w:rPr>
          <w:rFonts w:ascii="Times New Roman" w:hAnsi="Times New Roman" w:cs="Times New Roman"/>
          <w:szCs w:val="24"/>
          <w:lang w:val="es-ES"/>
        </w:rPr>
        <w:t xml:space="preserve"> (EDSA)</w:t>
      </w:r>
      <w:r w:rsidRPr="00CF177C">
        <w:rPr>
          <w:rFonts w:ascii="Times New Roman" w:hAnsi="Times New Roman" w:cs="Times New Roman"/>
          <w:szCs w:val="24"/>
          <w:lang w:val="es-ES"/>
        </w:rPr>
        <w:t xml:space="preserve"> </w:t>
      </w:r>
      <w:r w:rsidR="001F1BF8" w:rsidRPr="00CF177C">
        <w:rPr>
          <w:rFonts w:ascii="Times New Roman" w:hAnsi="Times New Roman" w:cs="Times New Roman"/>
          <w:szCs w:val="24"/>
          <w:lang w:val="es-ES"/>
        </w:rPr>
        <w:t xml:space="preserve">del Programa del Observatorio de la Deuda Social Argentina </w:t>
      </w:r>
      <w:r w:rsidRPr="00CF177C">
        <w:rPr>
          <w:rFonts w:ascii="Times New Roman" w:hAnsi="Times New Roman" w:cs="Times New Roman"/>
          <w:szCs w:val="24"/>
          <w:lang w:val="es-ES"/>
        </w:rPr>
        <w:t>de la Universidad Católica Argentina. En particular, se trabaj</w:t>
      </w:r>
      <w:r w:rsidR="001E370F" w:rsidRPr="00CF177C">
        <w:rPr>
          <w:rFonts w:ascii="Times New Roman" w:hAnsi="Times New Roman" w:cs="Times New Roman"/>
          <w:szCs w:val="24"/>
          <w:lang w:val="es-ES"/>
        </w:rPr>
        <w:t>ó</w:t>
      </w:r>
      <w:r w:rsidRPr="00CF177C">
        <w:rPr>
          <w:rFonts w:ascii="Times New Roman" w:hAnsi="Times New Roman" w:cs="Times New Roman"/>
          <w:szCs w:val="24"/>
          <w:lang w:val="es-ES"/>
        </w:rPr>
        <w:t xml:space="preserve"> con las bases correspondientes a los </w:t>
      </w:r>
      <w:r w:rsidR="00225877" w:rsidRPr="00CF177C">
        <w:rPr>
          <w:rFonts w:ascii="Times New Roman" w:hAnsi="Times New Roman" w:cs="Times New Roman"/>
          <w:szCs w:val="24"/>
          <w:lang w:val="es-ES"/>
        </w:rPr>
        <w:lastRenderedPageBreak/>
        <w:t>relevamientos anuales de</w:t>
      </w:r>
      <w:r w:rsidRPr="00CF177C">
        <w:rPr>
          <w:rFonts w:ascii="Times New Roman" w:hAnsi="Times New Roman" w:cs="Times New Roman"/>
          <w:szCs w:val="24"/>
          <w:lang w:val="es-ES"/>
        </w:rPr>
        <w:t xml:space="preserve"> 2010</w:t>
      </w:r>
      <w:r w:rsidR="00225877" w:rsidRPr="00CF177C">
        <w:rPr>
          <w:rFonts w:ascii="Times New Roman" w:hAnsi="Times New Roman" w:cs="Times New Roman"/>
          <w:szCs w:val="24"/>
          <w:lang w:val="es-ES"/>
        </w:rPr>
        <w:t xml:space="preserve"> a </w:t>
      </w:r>
      <w:r w:rsidRPr="00CF177C">
        <w:rPr>
          <w:rFonts w:ascii="Times New Roman" w:hAnsi="Times New Roman" w:cs="Times New Roman"/>
          <w:szCs w:val="24"/>
          <w:lang w:val="es-ES"/>
        </w:rPr>
        <w:t>2015</w:t>
      </w:r>
      <w:r w:rsidR="001E370F" w:rsidRPr="00CF177C">
        <w:rPr>
          <w:rFonts w:ascii="Times New Roman" w:hAnsi="Times New Roman" w:cs="Times New Roman"/>
          <w:szCs w:val="24"/>
          <w:lang w:val="es-ES"/>
        </w:rPr>
        <w:t xml:space="preserve">, con la población de niños </w:t>
      </w:r>
      <w:r w:rsidR="00504C8B" w:rsidRPr="00CF177C">
        <w:rPr>
          <w:rFonts w:ascii="Times New Roman" w:hAnsi="Times New Roman" w:cs="Times New Roman"/>
          <w:szCs w:val="24"/>
          <w:lang w:val="es-ES"/>
        </w:rPr>
        <w:t>de hasta</w:t>
      </w:r>
      <w:r w:rsidR="001E370F" w:rsidRPr="00CF177C">
        <w:rPr>
          <w:rFonts w:ascii="Times New Roman" w:hAnsi="Times New Roman" w:cs="Times New Roman"/>
          <w:szCs w:val="24"/>
          <w:lang w:val="es-ES"/>
        </w:rPr>
        <w:t xml:space="preserve"> 17 años residentes en áreas urbanas de la Argentina</w:t>
      </w:r>
      <w:r w:rsidR="001F1BF8" w:rsidRPr="00CF177C">
        <w:rPr>
          <w:rStyle w:val="Refdenotaalpie"/>
          <w:rFonts w:ascii="Times New Roman" w:hAnsi="Times New Roman" w:cs="Times New Roman"/>
          <w:szCs w:val="24"/>
          <w:lang w:val="es-ES"/>
        </w:rPr>
        <w:footnoteReference w:id="5"/>
      </w:r>
      <w:r w:rsidR="001E370F" w:rsidRPr="00CF177C">
        <w:rPr>
          <w:rFonts w:ascii="Times New Roman" w:hAnsi="Times New Roman" w:cs="Times New Roman"/>
          <w:szCs w:val="24"/>
          <w:lang w:val="es-ES"/>
        </w:rPr>
        <w:t xml:space="preserve">. </w:t>
      </w:r>
      <w:r w:rsidR="00442891" w:rsidRPr="00CF177C">
        <w:rPr>
          <w:rFonts w:ascii="Times New Roman" w:hAnsi="Times New Roman" w:cs="Times New Roman"/>
          <w:szCs w:val="24"/>
          <w:lang w:val="es-ES"/>
        </w:rPr>
        <w:t>Un aspecto que diferencia a la EDSA de otros instrumentos empleados para evaluar a la AUH (por ejemplo, la E</w:t>
      </w:r>
      <w:r w:rsidR="001B1063" w:rsidRPr="00CF177C">
        <w:rPr>
          <w:rFonts w:ascii="Times New Roman" w:hAnsi="Times New Roman" w:cs="Times New Roman"/>
          <w:szCs w:val="24"/>
          <w:lang w:val="es-ES"/>
        </w:rPr>
        <w:t>ncuesta Permanente de Hogares</w:t>
      </w:r>
      <w:r w:rsidR="00442891" w:rsidRPr="00CF177C">
        <w:rPr>
          <w:rFonts w:ascii="Times New Roman" w:hAnsi="Times New Roman" w:cs="Times New Roman"/>
          <w:szCs w:val="24"/>
          <w:lang w:val="es-ES"/>
        </w:rPr>
        <w:t>) es la existencia de una pregunta que permite identificar de manera directa a los beneficiarios.</w:t>
      </w:r>
    </w:p>
    <w:p w14:paraId="4CDC6CE3" w14:textId="77777777" w:rsidR="00225877" w:rsidRPr="00CF177C" w:rsidRDefault="00225877" w:rsidP="00D654B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El artículo se organiza en torno a tres secciones. En la primera, se hace una revisión conceptual de las nuevas formas de política social vigentes en los países en desarrollo a partir de los procesos de globalización. En la segunda, se señala la posición de la AUH en el sistema de transferencias económicas que reciben los hogares y se caracteriza la correlación que existe entre posiciones socioeconómicas y formas de participación en la protección social. Allí se define a la población excluida elegible que es objeto de estudio. En la tercera sección, se presentan los distintos modelos de análisis implementados para caracterizar a esta población y sus perfiles sociales. Finalmente, el artículo se cierra con algunas conclusiones.</w:t>
      </w:r>
    </w:p>
    <w:p w14:paraId="3F4A0F84" w14:textId="77777777" w:rsidR="00D26F32" w:rsidRPr="00CF177C" w:rsidRDefault="00D26F32" w:rsidP="00225877">
      <w:pPr>
        <w:keepNext/>
        <w:spacing w:before="240" w:after="120" w:line="360" w:lineRule="auto"/>
        <w:jc w:val="both"/>
        <w:rPr>
          <w:rFonts w:ascii="Times New Roman" w:hAnsi="Times New Roman" w:cs="Times New Roman"/>
          <w:b/>
          <w:color w:val="FF0000"/>
        </w:rPr>
      </w:pPr>
      <w:r w:rsidRPr="00CF177C">
        <w:rPr>
          <w:rFonts w:ascii="Times New Roman" w:hAnsi="Times New Roman" w:cs="Times New Roman"/>
          <w:b/>
          <w:szCs w:val="24"/>
          <w:lang w:val="es-ES"/>
        </w:rPr>
        <w:t xml:space="preserve">1. </w:t>
      </w:r>
      <w:r w:rsidR="00481D15" w:rsidRPr="00CF177C">
        <w:rPr>
          <w:rFonts w:ascii="Times New Roman" w:hAnsi="Times New Roman" w:cs="Times New Roman"/>
          <w:b/>
          <w:bCs/>
        </w:rPr>
        <w:t>Nuevas desigualdades</w:t>
      </w:r>
      <w:r w:rsidR="00E965F8" w:rsidRPr="00CF177C">
        <w:rPr>
          <w:rFonts w:ascii="Times New Roman" w:hAnsi="Times New Roman" w:cs="Times New Roman"/>
          <w:b/>
          <w:bCs/>
        </w:rPr>
        <w:t xml:space="preserve"> </w:t>
      </w:r>
      <w:r w:rsidR="00481D15" w:rsidRPr="00CF177C">
        <w:rPr>
          <w:rFonts w:ascii="Times New Roman" w:hAnsi="Times New Roman" w:cs="Times New Roman"/>
          <w:b/>
          <w:bCs/>
        </w:rPr>
        <w:t>y política social</w:t>
      </w:r>
      <w:r w:rsidR="00A31D55" w:rsidRPr="00CF177C">
        <w:rPr>
          <w:rFonts w:ascii="Times New Roman" w:hAnsi="Times New Roman" w:cs="Times New Roman"/>
          <w:b/>
          <w:bCs/>
        </w:rPr>
        <w:t xml:space="preserve"> en el caso argentino</w:t>
      </w:r>
    </w:p>
    <w:p w14:paraId="174206A2" w14:textId="77777777" w:rsidR="001F70F8" w:rsidRPr="00CF177C" w:rsidRDefault="003E1F1B" w:rsidP="00D654BE">
      <w:pPr>
        <w:spacing w:after="120" w:line="360" w:lineRule="auto"/>
        <w:jc w:val="both"/>
        <w:rPr>
          <w:rFonts w:ascii="Times New Roman" w:eastAsia="Calibri" w:hAnsi="Times New Roman" w:cs="Times New Roman"/>
        </w:rPr>
      </w:pPr>
      <w:r w:rsidRPr="00CF177C">
        <w:rPr>
          <w:rFonts w:ascii="Times New Roman" w:eastAsia="Calibri" w:hAnsi="Times New Roman" w:cs="Times New Roman"/>
        </w:rPr>
        <w:t xml:space="preserve">Durante las últimas dos décadas, los países en desarrollo </w:t>
      </w:r>
      <w:r w:rsidR="00E965F8" w:rsidRPr="00CF177C">
        <w:rPr>
          <w:rFonts w:ascii="Times New Roman" w:eastAsia="Calibri" w:hAnsi="Times New Roman" w:cs="Times New Roman"/>
        </w:rPr>
        <w:t>transformaron</w:t>
      </w:r>
      <w:r w:rsidRPr="00CF177C">
        <w:rPr>
          <w:rFonts w:ascii="Times New Roman" w:eastAsia="Calibri" w:hAnsi="Times New Roman" w:cs="Times New Roman"/>
        </w:rPr>
        <w:t xml:space="preserve"> su matriz </w:t>
      </w:r>
      <w:r w:rsidR="00142D3E" w:rsidRPr="00CF177C">
        <w:rPr>
          <w:rFonts w:ascii="Times New Roman" w:eastAsia="Calibri" w:hAnsi="Times New Roman" w:cs="Times New Roman"/>
        </w:rPr>
        <w:t>de política social</w:t>
      </w:r>
      <w:r w:rsidRPr="00CF177C">
        <w:rPr>
          <w:rFonts w:ascii="Times New Roman" w:eastAsia="Calibri" w:hAnsi="Times New Roman" w:cs="Times New Roman"/>
        </w:rPr>
        <w:t xml:space="preserve"> a la luz de los cambios más generales que el proceso de globalización </w:t>
      </w:r>
      <w:r w:rsidR="00E965F8" w:rsidRPr="00CF177C">
        <w:rPr>
          <w:rFonts w:ascii="Times New Roman" w:eastAsia="Calibri" w:hAnsi="Times New Roman" w:cs="Times New Roman"/>
        </w:rPr>
        <w:t>imprimió</w:t>
      </w:r>
      <w:r w:rsidRPr="00CF177C">
        <w:rPr>
          <w:rFonts w:ascii="Times New Roman" w:eastAsia="Calibri" w:hAnsi="Times New Roman" w:cs="Times New Roman"/>
        </w:rPr>
        <w:t xml:space="preserve"> </w:t>
      </w:r>
      <w:r w:rsidR="00E965F8" w:rsidRPr="00CF177C">
        <w:rPr>
          <w:rFonts w:ascii="Times New Roman" w:eastAsia="Calibri" w:hAnsi="Times New Roman" w:cs="Times New Roman"/>
        </w:rPr>
        <w:t>a</w:t>
      </w:r>
      <w:r w:rsidRPr="00CF177C">
        <w:rPr>
          <w:rFonts w:ascii="Times New Roman" w:eastAsia="Calibri" w:hAnsi="Times New Roman" w:cs="Times New Roman"/>
        </w:rPr>
        <w:t xml:space="preserve"> los mercados laborales</w:t>
      </w:r>
      <w:r w:rsidR="00142D3E" w:rsidRPr="00CF177C">
        <w:rPr>
          <w:rFonts w:ascii="Times New Roman" w:eastAsia="Calibri" w:hAnsi="Times New Roman" w:cs="Times New Roman"/>
        </w:rPr>
        <w:t xml:space="preserve"> (Barrientos, 201</w:t>
      </w:r>
      <w:r w:rsidR="00A32CEF" w:rsidRPr="00CF177C">
        <w:rPr>
          <w:rFonts w:ascii="Times New Roman" w:eastAsia="Calibri" w:hAnsi="Times New Roman" w:cs="Times New Roman"/>
        </w:rPr>
        <w:t>6</w:t>
      </w:r>
      <w:r w:rsidR="00142D3E" w:rsidRPr="00CF177C">
        <w:rPr>
          <w:rFonts w:ascii="Times New Roman" w:eastAsia="Calibri" w:hAnsi="Times New Roman" w:cs="Times New Roman"/>
        </w:rPr>
        <w:t>)</w:t>
      </w:r>
      <w:r w:rsidRPr="00CF177C">
        <w:rPr>
          <w:rFonts w:ascii="Times New Roman" w:eastAsia="Calibri" w:hAnsi="Times New Roman" w:cs="Times New Roman"/>
        </w:rPr>
        <w:t xml:space="preserve">. </w:t>
      </w:r>
      <w:r w:rsidR="0091711D" w:rsidRPr="00CF177C">
        <w:rPr>
          <w:rFonts w:ascii="Times New Roman" w:eastAsia="Calibri" w:hAnsi="Times New Roman" w:cs="Times New Roman"/>
        </w:rPr>
        <w:t>La mayor precarización del empleo (Pérez-Sáinz, 2016) y una renovada “heterogeneidad estructural”</w:t>
      </w:r>
      <w:r w:rsidR="00A31D55" w:rsidRPr="00CF177C">
        <w:rPr>
          <w:rFonts w:ascii="Times New Roman" w:eastAsia="Calibri" w:hAnsi="Times New Roman" w:cs="Times New Roman"/>
        </w:rPr>
        <w:t xml:space="preserve"> (Salvia, 201</w:t>
      </w:r>
      <w:r w:rsidR="00A833F8" w:rsidRPr="00CF177C">
        <w:rPr>
          <w:rFonts w:ascii="Times New Roman" w:eastAsia="Calibri" w:hAnsi="Times New Roman" w:cs="Times New Roman"/>
        </w:rPr>
        <w:t>2</w:t>
      </w:r>
      <w:r w:rsidR="00A31D55" w:rsidRPr="00CF177C">
        <w:rPr>
          <w:rFonts w:ascii="Times New Roman" w:eastAsia="Calibri" w:hAnsi="Times New Roman" w:cs="Times New Roman"/>
        </w:rPr>
        <w:t>)</w:t>
      </w:r>
      <w:r w:rsidR="0091711D" w:rsidRPr="00CF177C">
        <w:rPr>
          <w:rFonts w:ascii="Times New Roman" w:eastAsia="Calibri" w:hAnsi="Times New Roman" w:cs="Times New Roman"/>
        </w:rPr>
        <w:t xml:space="preserve">, serían algunas </w:t>
      </w:r>
      <w:r w:rsidR="001F70F8" w:rsidRPr="00CF177C">
        <w:rPr>
          <w:rFonts w:ascii="Times New Roman" w:eastAsia="Calibri" w:hAnsi="Times New Roman" w:cs="Times New Roman"/>
        </w:rPr>
        <w:t xml:space="preserve">de las </w:t>
      </w:r>
      <w:r w:rsidR="0091711D" w:rsidRPr="00CF177C">
        <w:rPr>
          <w:rFonts w:ascii="Times New Roman" w:eastAsia="Calibri" w:hAnsi="Times New Roman" w:cs="Times New Roman"/>
        </w:rPr>
        <w:t>consecuencias</w:t>
      </w:r>
      <w:r w:rsidR="00D24DBC" w:rsidRPr="00CF177C">
        <w:rPr>
          <w:rFonts w:ascii="Times New Roman" w:eastAsia="Calibri" w:hAnsi="Times New Roman" w:cs="Times New Roman"/>
        </w:rPr>
        <w:t xml:space="preserve"> relevantes</w:t>
      </w:r>
      <w:r w:rsidR="0091711D" w:rsidRPr="00CF177C">
        <w:rPr>
          <w:rFonts w:ascii="Times New Roman" w:eastAsia="Calibri" w:hAnsi="Times New Roman" w:cs="Times New Roman"/>
        </w:rPr>
        <w:t xml:space="preserve"> de </w:t>
      </w:r>
      <w:r w:rsidR="007E6CA5">
        <w:rPr>
          <w:rFonts w:ascii="Times New Roman" w:eastAsia="Calibri" w:hAnsi="Times New Roman" w:cs="Times New Roman"/>
        </w:rPr>
        <w:t xml:space="preserve">aquellos </w:t>
      </w:r>
      <w:r w:rsidR="0091711D" w:rsidRPr="00CF177C">
        <w:rPr>
          <w:rFonts w:ascii="Times New Roman" w:eastAsia="Calibri" w:hAnsi="Times New Roman" w:cs="Times New Roman"/>
        </w:rPr>
        <w:t>procesos</w:t>
      </w:r>
      <w:r w:rsidR="0091711D" w:rsidRPr="00CF177C">
        <w:rPr>
          <w:rFonts w:ascii="Times New Roman" w:eastAsia="Calibri" w:hAnsi="Times New Roman" w:cs="Times New Roman"/>
          <w:iCs/>
          <w:vertAlign w:val="superscript"/>
        </w:rPr>
        <w:footnoteReference w:id="6"/>
      </w:r>
      <w:r w:rsidR="0091711D" w:rsidRPr="00CF177C">
        <w:rPr>
          <w:rFonts w:ascii="Times New Roman" w:eastAsia="Calibri" w:hAnsi="Times New Roman" w:cs="Times New Roman"/>
        </w:rPr>
        <w:t xml:space="preserve">. </w:t>
      </w:r>
      <w:r w:rsidR="00850E36" w:rsidRPr="00CF177C">
        <w:rPr>
          <w:rFonts w:ascii="Times New Roman" w:eastAsia="Calibri" w:hAnsi="Times New Roman" w:cs="Times New Roman"/>
        </w:rPr>
        <w:t>El sistema de seguridad social</w:t>
      </w:r>
      <w:r w:rsidR="00B32001" w:rsidRPr="00CF177C">
        <w:rPr>
          <w:rFonts w:ascii="Times New Roman" w:eastAsia="Calibri" w:hAnsi="Times New Roman" w:cs="Times New Roman"/>
        </w:rPr>
        <w:t xml:space="preserve"> –</w:t>
      </w:r>
      <w:r w:rsidR="00850E36" w:rsidRPr="00CF177C">
        <w:rPr>
          <w:rFonts w:ascii="Times New Roman" w:eastAsia="Calibri" w:hAnsi="Times New Roman" w:cs="Times New Roman"/>
        </w:rPr>
        <w:t xml:space="preserve">originalmente concebido </w:t>
      </w:r>
      <w:r w:rsidR="00B32001" w:rsidRPr="00CF177C">
        <w:rPr>
          <w:rFonts w:ascii="Times New Roman" w:eastAsia="Calibri" w:hAnsi="Times New Roman" w:cs="Times New Roman"/>
        </w:rPr>
        <w:t>para proteger</w:t>
      </w:r>
      <w:r w:rsidR="00850E36" w:rsidRPr="00CF177C">
        <w:rPr>
          <w:rFonts w:ascii="Times New Roman" w:eastAsia="Calibri" w:hAnsi="Times New Roman" w:cs="Times New Roman"/>
        </w:rPr>
        <w:t xml:space="preserve"> </w:t>
      </w:r>
      <w:r w:rsidR="00B32001" w:rsidRPr="00CF177C">
        <w:rPr>
          <w:rFonts w:ascii="Times New Roman" w:eastAsia="Calibri" w:hAnsi="Times New Roman" w:cs="Times New Roman"/>
        </w:rPr>
        <w:t>a</w:t>
      </w:r>
      <w:r w:rsidR="00850E36" w:rsidRPr="00CF177C">
        <w:rPr>
          <w:rFonts w:ascii="Times New Roman" w:eastAsia="Calibri" w:hAnsi="Times New Roman" w:cs="Times New Roman"/>
        </w:rPr>
        <w:t xml:space="preserve"> los trabajadores formales y sus familias</w:t>
      </w:r>
      <w:r w:rsidR="00B32001" w:rsidRPr="00CF177C">
        <w:rPr>
          <w:rFonts w:ascii="Times New Roman" w:eastAsia="Calibri" w:hAnsi="Times New Roman" w:cs="Times New Roman"/>
        </w:rPr>
        <w:t xml:space="preserve">– </w:t>
      </w:r>
      <w:r w:rsidR="00850E36" w:rsidRPr="00CF177C">
        <w:rPr>
          <w:rFonts w:ascii="Times New Roman" w:eastAsia="Calibri" w:hAnsi="Times New Roman" w:cs="Times New Roman"/>
        </w:rPr>
        <w:t xml:space="preserve">se modificó para incluir nuevas modalidades de intervención dirigidas a aquellos que no acceden a tales ocupaciones. </w:t>
      </w:r>
    </w:p>
    <w:p w14:paraId="5B0539DC" w14:textId="77777777" w:rsidR="00CF5796" w:rsidRPr="00CF177C" w:rsidRDefault="00850E36" w:rsidP="00D654BE">
      <w:pPr>
        <w:spacing w:after="120" w:line="360" w:lineRule="auto"/>
        <w:jc w:val="both"/>
        <w:rPr>
          <w:rFonts w:ascii="Times New Roman" w:eastAsia="Calibri" w:hAnsi="Times New Roman" w:cs="Times New Roman"/>
        </w:rPr>
      </w:pPr>
      <w:r w:rsidRPr="00CF177C">
        <w:rPr>
          <w:rFonts w:ascii="Times New Roman" w:eastAsia="Calibri" w:hAnsi="Times New Roman" w:cs="Times New Roman"/>
        </w:rPr>
        <w:lastRenderedPageBreak/>
        <w:t>E</w:t>
      </w:r>
      <w:r w:rsidR="003E1F1B" w:rsidRPr="00CF177C">
        <w:rPr>
          <w:rFonts w:ascii="Times New Roman" w:eastAsia="Calibri" w:hAnsi="Times New Roman" w:cs="Times New Roman"/>
        </w:rPr>
        <w:t xml:space="preserve">n </w:t>
      </w:r>
      <w:r w:rsidR="00A31D55" w:rsidRPr="00CF177C">
        <w:rPr>
          <w:rFonts w:ascii="Times New Roman" w:eastAsia="Calibri" w:hAnsi="Times New Roman" w:cs="Times New Roman"/>
        </w:rPr>
        <w:t>la Argentina</w:t>
      </w:r>
      <w:r w:rsidR="003E1F1B" w:rsidRPr="00CF177C">
        <w:rPr>
          <w:rFonts w:ascii="Times New Roman" w:eastAsia="Calibri" w:hAnsi="Times New Roman" w:cs="Times New Roman"/>
        </w:rPr>
        <w:t xml:space="preserve">, tras varias décadas de consolidación de la versión local de un “Estado de bienestar” </w:t>
      </w:r>
      <w:r w:rsidR="00142D3E" w:rsidRPr="00CF177C">
        <w:rPr>
          <w:rFonts w:ascii="Times New Roman" w:eastAsia="Calibri" w:hAnsi="Times New Roman" w:cs="Times New Roman"/>
        </w:rPr>
        <w:t xml:space="preserve">extendido y </w:t>
      </w:r>
      <w:r w:rsidR="003E1F1B" w:rsidRPr="00CF177C">
        <w:rPr>
          <w:rFonts w:ascii="Times New Roman" w:eastAsia="Calibri" w:hAnsi="Times New Roman" w:cs="Times New Roman"/>
        </w:rPr>
        <w:t>estratificado</w:t>
      </w:r>
      <w:r w:rsidR="00142D3E" w:rsidRPr="00CF177C">
        <w:rPr>
          <w:rFonts w:ascii="Times New Roman" w:eastAsia="Calibri" w:hAnsi="Times New Roman" w:cs="Times New Roman"/>
        </w:rPr>
        <w:t xml:space="preserve"> (Isuani, 2008), </w:t>
      </w:r>
      <w:r w:rsidR="001756EF" w:rsidRPr="00CF177C">
        <w:rPr>
          <w:rFonts w:ascii="Times New Roman" w:eastAsia="Calibri" w:hAnsi="Times New Roman" w:cs="Times New Roman"/>
        </w:rPr>
        <w:t>se expandieron</w:t>
      </w:r>
      <w:r w:rsidR="0095219F" w:rsidRPr="00CF177C">
        <w:rPr>
          <w:rFonts w:ascii="Times New Roman" w:eastAsia="Calibri" w:hAnsi="Times New Roman" w:cs="Times New Roman"/>
        </w:rPr>
        <w:t xml:space="preserve"> </w:t>
      </w:r>
      <w:r w:rsidR="00142D3E" w:rsidRPr="00CF177C">
        <w:rPr>
          <w:rFonts w:ascii="Times New Roman" w:eastAsia="Calibri" w:hAnsi="Times New Roman" w:cs="Times New Roman"/>
        </w:rPr>
        <w:t xml:space="preserve">nuevas </w:t>
      </w:r>
      <w:r w:rsidR="0095219F" w:rsidRPr="00CF177C">
        <w:rPr>
          <w:rFonts w:ascii="Times New Roman" w:eastAsia="Calibri" w:hAnsi="Times New Roman" w:cs="Times New Roman"/>
        </w:rPr>
        <w:t xml:space="preserve">formas de intervención, </w:t>
      </w:r>
      <w:r w:rsidR="001756EF" w:rsidRPr="00CF177C">
        <w:rPr>
          <w:rFonts w:ascii="Times New Roman" w:eastAsia="Calibri" w:hAnsi="Times New Roman" w:cs="Times New Roman"/>
        </w:rPr>
        <w:t>generalmente</w:t>
      </w:r>
      <w:r w:rsidR="00142D3E" w:rsidRPr="00CF177C">
        <w:rPr>
          <w:rFonts w:ascii="Times New Roman" w:eastAsia="Calibri" w:hAnsi="Times New Roman" w:cs="Times New Roman"/>
        </w:rPr>
        <w:t xml:space="preserve"> </w:t>
      </w:r>
      <w:r w:rsidR="0095219F" w:rsidRPr="00CF177C">
        <w:rPr>
          <w:rFonts w:ascii="Times New Roman" w:eastAsia="Calibri" w:hAnsi="Times New Roman" w:cs="Times New Roman"/>
        </w:rPr>
        <w:t xml:space="preserve">dirigidas a poblaciones excluidas del mercado laboral formal. </w:t>
      </w:r>
      <w:r w:rsidR="00142D3E" w:rsidRPr="00CF177C">
        <w:rPr>
          <w:rFonts w:ascii="Times New Roman" w:eastAsia="Calibri" w:hAnsi="Times New Roman" w:cs="Times New Roman"/>
        </w:rPr>
        <w:t>Así, s</w:t>
      </w:r>
      <w:r w:rsidR="0095219F" w:rsidRPr="00CF177C">
        <w:rPr>
          <w:rFonts w:ascii="Times New Roman" w:eastAsia="Calibri" w:hAnsi="Times New Roman" w:cs="Times New Roman"/>
        </w:rPr>
        <w:t xml:space="preserve">urgieron diversas políticas de alivio </w:t>
      </w:r>
      <w:r w:rsidR="00E965F8" w:rsidRPr="00CF177C">
        <w:rPr>
          <w:rFonts w:ascii="Times New Roman" w:eastAsia="Calibri" w:hAnsi="Times New Roman" w:cs="Times New Roman"/>
        </w:rPr>
        <w:t>o</w:t>
      </w:r>
      <w:r w:rsidR="0095219F" w:rsidRPr="00CF177C">
        <w:rPr>
          <w:rFonts w:ascii="Times New Roman" w:eastAsia="Calibri" w:hAnsi="Times New Roman" w:cs="Times New Roman"/>
        </w:rPr>
        <w:t xml:space="preserve"> asistencia directa a la pobreza</w:t>
      </w:r>
      <w:r w:rsidR="00142D3E" w:rsidRPr="00CF177C">
        <w:rPr>
          <w:rFonts w:ascii="Times New Roman" w:eastAsia="Calibri" w:hAnsi="Times New Roman" w:cs="Times New Roman"/>
        </w:rPr>
        <w:t xml:space="preserve">: </w:t>
      </w:r>
      <w:r w:rsidR="0095219F" w:rsidRPr="00CF177C">
        <w:rPr>
          <w:rFonts w:ascii="Times New Roman" w:eastAsia="Calibri" w:hAnsi="Times New Roman" w:cs="Times New Roman"/>
        </w:rPr>
        <w:t>desde los primeros programas de asistencia alimentaria directa</w:t>
      </w:r>
      <w:r w:rsidR="00142D3E" w:rsidRPr="00CF177C">
        <w:rPr>
          <w:rFonts w:ascii="Times New Roman" w:eastAsia="Calibri" w:hAnsi="Times New Roman" w:cs="Times New Roman"/>
        </w:rPr>
        <w:t>,</w:t>
      </w:r>
      <w:r w:rsidR="0095219F" w:rsidRPr="00CF177C">
        <w:rPr>
          <w:rFonts w:ascii="Times New Roman" w:eastAsia="Calibri" w:hAnsi="Times New Roman" w:cs="Times New Roman"/>
        </w:rPr>
        <w:t xml:space="preserve"> como el </w:t>
      </w:r>
      <w:r w:rsidR="00B32001" w:rsidRPr="00CF177C">
        <w:rPr>
          <w:rFonts w:ascii="Times New Roman" w:eastAsia="Calibri" w:hAnsi="Times New Roman" w:cs="Times New Roman"/>
        </w:rPr>
        <w:t>“</w:t>
      </w:r>
      <w:r w:rsidR="0095219F" w:rsidRPr="00CF177C">
        <w:rPr>
          <w:rFonts w:ascii="Times New Roman" w:eastAsia="Calibri" w:hAnsi="Times New Roman" w:cs="Times New Roman"/>
        </w:rPr>
        <w:t>Plan Alimentario Nacional</w:t>
      </w:r>
      <w:r w:rsidR="00B32001" w:rsidRPr="00CF177C">
        <w:rPr>
          <w:rFonts w:ascii="Times New Roman" w:eastAsia="Calibri" w:hAnsi="Times New Roman" w:cs="Times New Roman"/>
        </w:rPr>
        <w:t>”</w:t>
      </w:r>
      <w:r w:rsidR="0095219F" w:rsidRPr="00CF177C">
        <w:rPr>
          <w:rFonts w:ascii="Times New Roman" w:eastAsia="Calibri" w:hAnsi="Times New Roman" w:cs="Times New Roman"/>
        </w:rPr>
        <w:t xml:space="preserve">, </w:t>
      </w:r>
      <w:r w:rsidR="00142D3E" w:rsidRPr="00CF177C">
        <w:rPr>
          <w:rFonts w:ascii="Times New Roman" w:eastAsia="Calibri" w:hAnsi="Times New Roman" w:cs="Times New Roman"/>
        </w:rPr>
        <w:t>en</w:t>
      </w:r>
      <w:r w:rsidR="0095219F" w:rsidRPr="00CF177C">
        <w:rPr>
          <w:rFonts w:ascii="Times New Roman" w:eastAsia="Calibri" w:hAnsi="Times New Roman" w:cs="Times New Roman"/>
        </w:rPr>
        <w:t xml:space="preserve"> los ochenta</w:t>
      </w:r>
      <w:r w:rsidR="00142D3E" w:rsidRPr="00CF177C">
        <w:rPr>
          <w:rFonts w:ascii="Times New Roman" w:eastAsia="Calibri" w:hAnsi="Times New Roman" w:cs="Times New Roman"/>
        </w:rPr>
        <w:t>, hasta</w:t>
      </w:r>
      <w:r w:rsidR="0095219F" w:rsidRPr="00CF177C">
        <w:rPr>
          <w:rFonts w:ascii="Times New Roman" w:eastAsia="Calibri" w:hAnsi="Times New Roman" w:cs="Times New Roman"/>
        </w:rPr>
        <w:t xml:space="preserve"> los programas de protección al desempleo</w:t>
      </w:r>
      <w:r w:rsidR="00142D3E" w:rsidRPr="00CF177C">
        <w:rPr>
          <w:rFonts w:ascii="Times New Roman" w:eastAsia="Calibri" w:hAnsi="Times New Roman" w:cs="Times New Roman"/>
        </w:rPr>
        <w:t xml:space="preserve">, </w:t>
      </w:r>
      <w:r w:rsidR="0095219F" w:rsidRPr="00CF177C">
        <w:rPr>
          <w:rFonts w:ascii="Times New Roman" w:eastAsia="Calibri" w:hAnsi="Times New Roman" w:cs="Times New Roman"/>
        </w:rPr>
        <w:t xml:space="preserve">como </w:t>
      </w:r>
      <w:r w:rsidR="00B32001" w:rsidRPr="00CF177C">
        <w:rPr>
          <w:rFonts w:ascii="Times New Roman" w:eastAsia="Calibri" w:hAnsi="Times New Roman" w:cs="Times New Roman"/>
        </w:rPr>
        <w:t>“</w:t>
      </w:r>
      <w:r w:rsidR="0095219F" w:rsidRPr="00CF177C">
        <w:rPr>
          <w:rFonts w:ascii="Times New Roman" w:eastAsia="Calibri" w:hAnsi="Times New Roman" w:cs="Times New Roman"/>
        </w:rPr>
        <w:t>Trabajar</w:t>
      </w:r>
      <w:r w:rsidR="00B32001" w:rsidRPr="00CF177C">
        <w:rPr>
          <w:rFonts w:ascii="Times New Roman" w:eastAsia="Calibri" w:hAnsi="Times New Roman" w:cs="Times New Roman"/>
        </w:rPr>
        <w:t>”</w:t>
      </w:r>
      <w:r w:rsidR="0095219F" w:rsidRPr="00CF177C">
        <w:rPr>
          <w:rFonts w:ascii="Times New Roman" w:eastAsia="Calibri" w:hAnsi="Times New Roman" w:cs="Times New Roman"/>
        </w:rPr>
        <w:t xml:space="preserve">, en los noventa, o el </w:t>
      </w:r>
      <w:r w:rsidR="00B32001" w:rsidRPr="00CF177C">
        <w:rPr>
          <w:rFonts w:ascii="Times New Roman" w:eastAsia="Calibri" w:hAnsi="Times New Roman" w:cs="Times New Roman"/>
        </w:rPr>
        <w:t>“</w:t>
      </w:r>
      <w:r w:rsidR="0095219F" w:rsidRPr="00CF177C">
        <w:rPr>
          <w:rFonts w:ascii="Times New Roman" w:eastAsia="Calibri" w:hAnsi="Times New Roman" w:cs="Times New Roman"/>
        </w:rPr>
        <w:t>Plan Jefas y Jefes de Hogar</w:t>
      </w:r>
      <w:r w:rsidR="00B32001" w:rsidRPr="00CF177C">
        <w:rPr>
          <w:rFonts w:ascii="Times New Roman" w:eastAsia="Calibri" w:hAnsi="Times New Roman" w:cs="Times New Roman"/>
        </w:rPr>
        <w:t>”</w:t>
      </w:r>
      <w:r w:rsidR="0095219F" w:rsidRPr="00CF177C">
        <w:rPr>
          <w:rFonts w:ascii="Times New Roman" w:eastAsia="Calibri" w:hAnsi="Times New Roman" w:cs="Times New Roman"/>
        </w:rPr>
        <w:t>, a comienzos de los 2000</w:t>
      </w:r>
      <w:r w:rsidR="00A31D55" w:rsidRPr="00CF177C">
        <w:rPr>
          <w:rFonts w:ascii="Times New Roman" w:eastAsia="Calibri" w:hAnsi="Times New Roman" w:cs="Times New Roman"/>
        </w:rPr>
        <w:t xml:space="preserve"> (</w:t>
      </w:r>
      <w:proofErr w:type="spellStart"/>
      <w:r w:rsidR="00A31D55" w:rsidRPr="00CF177C">
        <w:rPr>
          <w:rFonts w:ascii="Times New Roman" w:eastAsia="Calibri" w:hAnsi="Times New Roman" w:cs="Times New Roman"/>
        </w:rPr>
        <w:t>Belmartino</w:t>
      </w:r>
      <w:proofErr w:type="spellEnd"/>
      <w:r w:rsidR="00A31D55" w:rsidRPr="00CF177C">
        <w:rPr>
          <w:rFonts w:ascii="Times New Roman" w:eastAsia="Calibri" w:hAnsi="Times New Roman" w:cs="Times New Roman"/>
        </w:rPr>
        <w:t>, 2010; Grassi</w:t>
      </w:r>
      <w:r w:rsidR="00D8189F" w:rsidRPr="00CF177C">
        <w:rPr>
          <w:rFonts w:ascii="Times New Roman" w:eastAsia="Calibri" w:hAnsi="Times New Roman" w:cs="Times New Roman"/>
        </w:rPr>
        <w:t>,</w:t>
      </w:r>
      <w:r w:rsidR="00A31D55" w:rsidRPr="00CF177C">
        <w:rPr>
          <w:rFonts w:ascii="Times New Roman" w:eastAsia="Calibri" w:hAnsi="Times New Roman" w:cs="Times New Roman"/>
        </w:rPr>
        <w:t xml:space="preserve"> </w:t>
      </w:r>
      <w:proofErr w:type="spellStart"/>
      <w:r w:rsidR="00D8189F" w:rsidRPr="00CF177C">
        <w:rPr>
          <w:rFonts w:ascii="Times New Roman" w:eastAsia="Calibri" w:hAnsi="Times New Roman" w:cs="Times New Roman"/>
        </w:rPr>
        <w:t>Hintze</w:t>
      </w:r>
      <w:proofErr w:type="spellEnd"/>
      <w:r w:rsidR="00D8189F" w:rsidRPr="00CF177C">
        <w:rPr>
          <w:rFonts w:ascii="Times New Roman" w:eastAsia="Calibri" w:hAnsi="Times New Roman" w:cs="Times New Roman"/>
        </w:rPr>
        <w:t xml:space="preserve"> </w:t>
      </w:r>
      <w:r w:rsidR="00A31D55" w:rsidRPr="00CF177C">
        <w:rPr>
          <w:rFonts w:ascii="Times New Roman" w:eastAsia="Calibri" w:hAnsi="Times New Roman" w:cs="Times New Roman"/>
        </w:rPr>
        <w:t xml:space="preserve">y </w:t>
      </w:r>
      <w:proofErr w:type="spellStart"/>
      <w:r w:rsidR="00A31D55" w:rsidRPr="00CF177C">
        <w:rPr>
          <w:rFonts w:ascii="Times New Roman" w:eastAsia="Calibri" w:hAnsi="Times New Roman" w:cs="Times New Roman"/>
        </w:rPr>
        <w:t>Neufeld</w:t>
      </w:r>
      <w:proofErr w:type="spellEnd"/>
      <w:r w:rsidR="00A31D55" w:rsidRPr="00CF177C">
        <w:rPr>
          <w:rFonts w:ascii="Times New Roman" w:eastAsia="Calibri" w:hAnsi="Times New Roman" w:cs="Times New Roman"/>
        </w:rPr>
        <w:t xml:space="preserve">, 1994; </w:t>
      </w:r>
      <w:proofErr w:type="spellStart"/>
      <w:r w:rsidR="00A31D55" w:rsidRPr="00CF177C">
        <w:rPr>
          <w:rFonts w:ascii="Times New Roman" w:eastAsia="Calibri" w:hAnsi="Times New Roman" w:cs="Times New Roman"/>
        </w:rPr>
        <w:t>Soldano</w:t>
      </w:r>
      <w:proofErr w:type="spellEnd"/>
      <w:r w:rsidR="00A31D55" w:rsidRPr="00CF177C">
        <w:rPr>
          <w:rFonts w:ascii="Times New Roman" w:eastAsia="Calibri" w:hAnsi="Times New Roman" w:cs="Times New Roman"/>
        </w:rPr>
        <w:t xml:space="preserve"> y </w:t>
      </w:r>
      <w:proofErr w:type="spellStart"/>
      <w:r w:rsidR="00A31D55" w:rsidRPr="00CF177C">
        <w:rPr>
          <w:rFonts w:ascii="Times New Roman" w:eastAsia="Calibri" w:hAnsi="Times New Roman" w:cs="Times New Roman"/>
        </w:rPr>
        <w:t>Andrenacci</w:t>
      </w:r>
      <w:proofErr w:type="spellEnd"/>
      <w:r w:rsidR="00A31D55" w:rsidRPr="00CF177C">
        <w:rPr>
          <w:rFonts w:ascii="Times New Roman" w:eastAsia="Calibri" w:hAnsi="Times New Roman" w:cs="Times New Roman"/>
        </w:rPr>
        <w:t>, 2005)</w:t>
      </w:r>
      <w:r w:rsidR="00142D3E" w:rsidRPr="00CF177C">
        <w:rPr>
          <w:rFonts w:ascii="Times New Roman" w:eastAsia="Calibri" w:hAnsi="Times New Roman" w:cs="Times New Roman"/>
        </w:rPr>
        <w:t>. De este modo, la</w:t>
      </w:r>
      <w:r w:rsidR="0095219F" w:rsidRPr="00CF177C">
        <w:rPr>
          <w:rFonts w:ascii="Times New Roman" w:eastAsia="Calibri" w:hAnsi="Times New Roman" w:cs="Times New Roman"/>
        </w:rPr>
        <w:t xml:space="preserve"> intervención estatal </w:t>
      </w:r>
      <w:r w:rsidR="00142D3E" w:rsidRPr="00CF177C">
        <w:rPr>
          <w:rFonts w:ascii="Times New Roman" w:eastAsia="Calibri" w:hAnsi="Times New Roman" w:cs="Times New Roman"/>
        </w:rPr>
        <w:t xml:space="preserve">directa sobre </w:t>
      </w:r>
      <w:r w:rsidR="0095219F" w:rsidRPr="00CF177C">
        <w:rPr>
          <w:rFonts w:ascii="Times New Roman" w:eastAsia="Calibri" w:hAnsi="Times New Roman" w:cs="Times New Roman"/>
        </w:rPr>
        <w:t xml:space="preserve">las condiciones de vida </w:t>
      </w:r>
      <w:r w:rsidR="00142D3E" w:rsidRPr="00CF177C">
        <w:rPr>
          <w:rFonts w:ascii="Times New Roman" w:eastAsia="Calibri" w:hAnsi="Times New Roman" w:cs="Times New Roman"/>
        </w:rPr>
        <w:t xml:space="preserve">de los grupos más vulnerables </w:t>
      </w:r>
      <w:r w:rsidR="0095219F" w:rsidRPr="00CF177C">
        <w:rPr>
          <w:rFonts w:ascii="Times New Roman" w:eastAsia="Calibri" w:hAnsi="Times New Roman" w:cs="Times New Roman"/>
        </w:rPr>
        <w:t xml:space="preserve">adquirió </w:t>
      </w:r>
      <w:r w:rsidR="00142D3E" w:rsidRPr="00CF177C">
        <w:rPr>
          <w:rFonts w:ascii="Times New Roman" w:eastAsia="Calibri" w:hAnsi="Times New Roman" w:cs="Times New Roman"/>
        </w:rPr>
        <w:t>renovada</w:t>
      </w:r>
      <w:r w:rsidR="0095219F" w:rsidRPr="00CF177C">
        <w:rPr>
          <w:rFonts w:ascii="Times New Roman" w:eastAsia="Calibri" w:hAnsi="Times New Roman" w:cs="Times New Roman"/>
        </w:rPr>
        <w:t xml:space="preserve"> significación. </w:t>
      </w:r>
      <w:r w:rsidR="00142D3E" w:rsidRPr="00CF177C">
        <w:rPr>
          <w:rFonts w:ascii="Times New Roman" w:eastAsia="Calibri" w:hAnsi="Times New Roman" w:cs="Times New Roman"/>
        </w:rPr>
        <w:t>En este marco, a</w:t>
      </w:r>
      <w:r w:rsidR="0095219F" w:rsidRPr="00CF177C">
        <w:rPr>
          <w:rFonts w:ascii="Times New Roman" w:eastAsia="Calibri" w:hAnsi="Times New Roman" w:cs="Times New Roman"/>
        </w:rPr>
        <w:t xml:space="preserve"> partir de los 2000, </w:t>
      </w:r>
      <w:r w:rsidR="00142D3E" w:rsidRPr="00CF177C">
        <w:rPr>
          <w:rFonts w:ascii="Times New Roman" w:eastAsia="Calibri" w:hAnsi="Times New Roman" w:cs="Times New Roman"/>
        </w:rPr>
        <w:t xml:space="preserve">la </w:t>
      </w:r>
      <w:r w:rsidR="00B8294E" w:rsidRPr="00CF177C">
        <w:rPr>
          <w:rFonts w:ascii="Times New Roman" w:eastAsia="Calibri" w:hAnsi="Times New Roman" w:cs="Times New Roman"/>
        </w:rPr>
        <w:t xml:space="preserve">implementación de la AUH implicó extender </w:t>
      </w:r>
      <w:r w:rsidR="00142D3E" w:rsidRPr="00CF177C">
        <w:rPr>
          <w:rFonts w:ascii="Times New Roman" w:eastAsia="Calibri" w:hAnsi="Times New Roman" w:cs="Times New Roman"/>
        </w:rPr>
        <w:t>una nueva modalidad de política social</w:t>
      </w:r>
      <w:r w:rsidR="00B8294E" w:rsidRPr="00CF177C">
        <w:rPr>
          <w:rFonts w:ascii="Times New Roman" w:eastAsia="Calibri" w:hAnsi="Times New Roman" w:cs="Times New Roman"/>
        </w:rPr>
        <w:t xml:space="preserve"> con amplia difusión </w:t>
      </w:r>
      <w:r w:rsidR="001756EF" w:rsidRPr="00CF177C">
        <w:rPr>
          <w:rFonts w:ascii="Times New Roman" w:eastAsia="Calibri" w:hAnsi="Times New Roman" w:cs="Times New Roman"/>
        </w:rPr>
        <w:t>en los países en desarrollo</w:t>
      </w:r>
      <w:r w:rsidR="00B8294E" w:rsidRPr="00CF177C">
        <w:rPr>
          <w:rFonts w:ascii="Times New Roman" w:eastAsia="Calibri" w:hAnsi="Times New Roman" w:cs="Times New Roman"/>
        </w:rPr>
        <w:t xml:space="preserve">: las </w:t>
      </w:r>
      <w:r w:rsidR="0095219F" w:rsidRPr="00CF177C">
        <w:rPr>
          <w:rFonts w:ascii="Times New Roman" w:eastAsia="Calibri" w:hAnsi="Times New Roman" w:cs="Times New Roman"/>
        </w:rPr>
        <w:t>transferencias monetarias condicionadas</w:t>
      </w:r>
      <w:r w:rsidR="00B8294E" w:rsidRPr="00CF177C">
        <w:rPr>
          <w:rFonts w:ascii="Times New Roman" w:eastAsia="Calibri" w:hAnsi="Times New Roman" w:cs="Times New Roman"/>
        </w:rPr>
        <w:t>.</w:t>
      </w:r>
    </w:p>
    <w:p w14:paraId="728991EC" w14:textId="77777777" w:rsidR="00824817" w:rsidRPr="00CF177C" w:rsidRDefault="001756EF" w:rsidP="001756EF">
      <w:pPr>
        <w:spacing w:after="120" w:line="360" w:lineRule="auto"/>
        <w:jc w:val="both"/>
        <w:rPr>
          <w:rFonts w:ascii="Times New Roman" w:hAnsi="Times New Roman" w:cs="Times New Roman"/>
        </w:rPr>
      </w:pPr>
      <w:r w:rsidRPr="00CF177C">
        <w:rPr>
          <w:rFonts w:ascii="Times New Roman" w:eastAsia="Calibri" w:hAnsi="Times New Roman" w:cs="Times New Roman"/>
        </w:rPr>
        <w:t xml:space="preserve">Desde la perspectiva original que inspiró este tipo de intervenciones, el proceso de reforma estructural, apertura económica y </w:t>
      </w:r>
      <w:r w:rsidR="00824817" w:rsidRPr="00CF177C">
        <w:rPr>
          <w:rFonts w:ascii="Times New Roman" w:eastAsia="Calibri" w:hAnsi="Times New Roman" w:cs="Times New Roman"/>
        </w:rPr>
        <w:t>desregulación de los mercados provocaría</w:t>
      </w:r>
      <w:r w:rsidRPr="00CF177C">
        <w:rPr>
          <w:rFonts w:ascii="Times New Roman" w:eastAsia="Calibri" w:hAnsi="Times New Roman" w:cs="Times New Roman"/>
        </w:rPr>
        <w:t>, en el corto plazo</w:t>
      </w:r>
      <w:r w:rsidR="00824817" w:rsidRPr="00CF177C">
        <w:rPr>
          <w:rFonts w:ascii="Times New Roman" w:eastAsia="Calibri" w:hAnsi="Times New Roman" w:cs="Times New Roman"/>
        </w:rPr>
        <w:t xml:space="preserve">, resultados adversos en términos de </w:t>
      </w:r>
      <w:r w:rsidRPr="00CF177C">
        <w:rPr>
          <w:rFonts w:ascii="Times New Roman" w:eastAsia="Calibri" w:hAnsi="Times New Roman" w:cs="Times New Roman"/>
        </w:rPr>
        <w:t xml:space="preserve">cohesión </w:t>
      </w:r>
      <w:r w:rsidR="00824817" w:rsidRPr="00CF177C">
        <w:rPr>
          <w:rFonts w:ascii="Times New Roman" w:eastAsia="Calibri" w:hAnsi="Times New Roman" w:cs="Times New Roman"/>
        </w:rPr>
        <w:t>social</w:t>
      </w:r>
      <w:r w:rsidR="001F738F" w:rsidRPr="00CF177C">
        <w:rPr>
          <w:rFonts w:ascii="Times New Roman" w:eastAsia="Calibri" w:hAnsi="Times New Roman" w:cs="Times New Roman"/>
        </w:rPr>
        <w:t xml:space="preserve"> (Barba Solano, 200</w:t>
      </w:r>
      <w:r w:rsidR="00A32CEF" w:rsidRPr="00CF177C">
        <w:rPr>
          <w:rFonts w:ascii="Times New Roman" w:eastAsia="Calibri" w:hAnsi="Times New Roman" w:cs="Times New Roman"/>
        </w:rPr>
        <w:t>7</w:t>
      </w:r>
      <w:r w:rsidR="001F738F" w:rsidRPr="00CF177C">
        <w:rPr>
          <w:rFonts w:ascii="Times New Roman" w:eastAsia="Calibri" w:hAnsi="Times New Roman" w:cs="Times New Roman"/>
        </w:rPr>
        <w:t>)</w:t>
      </w:r>
      <w:r w:rsidR="001F738F" w:rsidRPr="00CF177C">
        <w:rPr>
          <w:rStyle w:val="Refdenotaalpie"/>
          <w:rFonts w:ascii="Times New Roman" w:hAnsi="Times New Roman" w:cs="Times New Roman"/>
          <w:szCs w:val="24"/>
        </w:rPr>
        <w:footnoteReference w:id="7"/>
      </w:r>
      <w:r w:rsidR="00824817" w:rsidRPr="00CF177C">
        <w:rPr>
          <w:rFonts w:ascii="Times New Roman" w:eastAsia="Calibri" w:hAnsi="Times New Roman" w:cs="Times New Roman"/>
        </w:rPr>
        <w:t xml:space="preserve">. </w:t>
      </w:r>
      <w:r w:rsidR="00A31D55" w:rsidRPr="00CF177C">
        <w:rPr>
          <w:rFonts w:ascii="Times New Roman" w:eastAsia="Calibri" w:hAnsi="Times New Roman" w:cs="Times New Roman"/>
        </w:rPr>
        <w:t>A su vez,</w:t>
      </w:r>
      <w:r w:rsidRPr="00CF177C">
        <w:rPr>
          <w:rFonts w:ascii="Times New Roman" w:eastAsia="Calibri" w:hAnsi="Times New Roman" w:cs="Times New Roman"/>
        </w:rPr>
        <w:t xml:space="preserve"> la reconversión económica plantearía la obsolescencia de capacidades productivas, demandaría una readecuación de las competencias de los trabajadores y una mejor dotación en términos de capital humano. Por consiguiente,</w:t>
      </w:r>
      <w:r w:rsidR="00824817" w:rsidRPr="00CF177C">
        <w:rPr>
          <w:rFonts w:ascii="Times New Roman" w:hAnsi="Times New Roman" w:cs="Times New Roman"/>
        </w:rPr>
        <w:t xml:space="preserve"> mientras una parte de las funciones sociales p</w:t>
      </w:r>
      <w:r w:rsidR="007E6CA5">
        <w:rPr>
          <w:rFonts w:ascii="Times New Roman" w:hAnsi="Times New Roman" w:cs="Times New Roman"/>
        </w:rPr>
        <w:t>odrían</w:t>
      </w:r>
      <w:r w:rsidR="00824817" w:rsidRPr="00CF177C">
        <w:rPr>
          <w:rFonts w:ascii="Times New Roman" w:hAnsi="Times New Roman" w:cs="Times New Roman"/>
        </w:rPr>
        <w:t xml:space="preserve"> ser objeto de una más eficiente administración por parte de los mercados, los </w:t>
      </w:r>
      <w:r w:rsidR="001F738F" w:rsidRPr="00CF177C">
        <w:rPr>
          <w:rFonts w:ascii="Times New Roman" w:hAnsi="Times New Roman" w:cs="Times New Roman"/>
        </w:rPr>
        <w:t>PTMC</w:t>
      </w:r>
      <w:r w:rsidR="00824817" w:rsidRPr="00CF177C">
        <w:rPr>
          <w:rFonts w:ascii="Times New Roman" w:hAnsi="Times New Roman" w:cs="Times New Roman"/>
        </w:rPr>
        <w:t xml:space="preserve"> </w:t>
      </w:r>
      <w:r w:rsidR="00A31D55" w:rsidRPr="00CF177C">
        <w:rPr>
          <w:rFonts w:ascii="Times New Roman" w:hAnsi="Times New Roman" w:cs="Times New Roman"/>
        </w:rPr>
        <w:t>focalizados en</w:t>
      </w:r>
      <w:r w:rsidR="00824817" w:rsidRPr="00CF177C">
        <w:rPr>
          <w:rFonts w:ascii="Times New Roman" w:hAnsi="Times New Roman" w:cs="Times New Roman"/>
        </w:rPr>
        <w:t xml:space="preserve"> los sectores más pobres t</w:t>
      </w:r>
      <w:r w:rsidR="00E965F8" w:rsidRPr="00CF177C">
        <w:rPr>
          <w:rFonts w:ascii="Times New Roman" w:hAnsi="Times New Roman" w:cs="Times New Roman"/>
        </w:rPr>
        <w:t xml:space="preserve">endrían </w:t>
      </w:r>
      <w:r w:rsidR="00824817" w:rsidRPr="00CF177C">
        <w:rPr>
          <w:rFonts w:ascii="Times New Roman" w:hAnsi="Times New Roman" w:cs="Times New Roman"/>
        </w:rPr>
        <w:t xml:space="preserve">un papel crucial como mecanismo de asistencia </w:t>
      </w:r>
      <w:r w:rsidR="007E6CA5">
        <w:rPr>
          <w:rFonts w:ascii="Times New Roman" w:hAnsi="Times New Roman" w:cs="Times New Roman"/>
        </w:rPr>
        <w:t>y</w:t>
      </w:r>
      <w:r w:rsidR="00824817" w:rsidRPr="00CF177C">
        <w:rPr>
          <w:rFonts w:ascii="Times New Roman" w:hAnsi="Times New Roman" w:cs="Times New Roman"/>
        </w:rPr>
        <w:t xml:space="preserve"> de promoción social (</w:t>
      </w:r>
      <w:proofErr w:type="spellStart"/>
      <w:r w:rsidR="00824817" w:rsidRPr="00CF177C">
        <w:rPr>
          <w:rFonts w:ascii="Times New Roman" w:hAnsi="Times New Roman" w:cs="Times New Roman"/>
        </w:rPr>
        <w:t>Birdsall</w:t>
      </w:r>
      <w:proofErr w:type="spellEnd"/>
      <w:r w:rsidR="00824817" w:rsidRPr="00CF177C">
        <w:rPr>
          <w:rFonts w:ascii="Times New Roman" w:hAnsi="Times New Roman" w:cs="Times New Roman"/>
        </w:rPr>
        <w:t xml:space="preserve"> y de la Torre, 2001; De Ferrari et al, 2003, 2004; </w:t>
      </w:r>
      <w:r w:rsidR="00E965F8" w:rsidRPr="00CF177C">
        <w:rPr>
          <w:rFonts w:ascii="Times New Roman" w:hAnsi="Times New Roman" w:cs="Times New Roman"/>
        </w:rPr>
        <w:t xml:space="preserve">Ferreira et al, 2013; </w:t>
      </w:r>
      <w:r w:rsidR="00824817" w:rsidRPr="00CF177C">
        <w:rPr>
          <w:rFonts w:ascii="Times New Roman" w:hAnsi="Times New Roman" w:cs="Times New Roman"/>
        </w:rPr>
        <w:t>Perry et al, 2006).</w:t>
      </w:r>
      <w:r w:rsidR="001F738F" w:rsidRPr="00CF177C">
        <w:rPr>
          <w:rFonts w:ascii="Times New Roman" w:hAnsi="Times New Roman" w:cs="Times New Roman"/>
        </w:rPr>
        <w:t xml:space="preserve"> </w:t>
      </w:r>
    </w:p>
    <w:p w14:paraId="22B0053F" w14:textId="77777777" w:rsidR="00401EFF" w:rsidRPr="00CF177C" w:rsidRDefault="001F738F" w:rsidP="00D654BE">
      <w:pPr>
        <w:spacing w:after="120" w:line="360" w:lineRule="auto"/>
        <w:jc w:val="both"/>
        <w:rPr>
          <w:rFonts w:ascii="Times New Roman" w:hAnsi="Times New Roman" w:cs="Times New Roman"/>
          <w:szCs w:val="24"/>
        </w:rPr>
      </w:pPr>
      <w:r w:rsidRPr="00CF177C">
        <w:rPr>
          <w:rFonts w:ascii="Times New Roman" w:hAnsi="Times New Roman" w:cs="Times New Roman"/>
          <w:szCs w:val="24"/>
        </w:rPr>
        <w:t>En general, los PTMC no constituyen derechos, sino que las poblaciones beneficiarias reciben una ayuda económica mientras se cumplan las condiciones de elegibilidad. Uno de sus propósitos principales es dotar</w:t>
      </w:r>
      <w:r w:rsidR="00DA44BB" w:rsidRPr="00CF177C">
        <w:rPr>
          <w:rFonts w:ascii="Times New Roman" w:hAnsi="Times New Roman" w:cs="Times New Roman"/>
          <w:szCs w:val="24"/>
        </w:rPr>
        <w:t>las</w:t>
      </w:r>
      <w:r w:rsidRPr="00CF177C">
        <w:rPr>
          <w:rFonts w:ascii="Times New Roman" w:hAnsi="Times New Roman" w:cs="Times New Roman"/>
          <w:szCs w:val="24"/>
        </w:rPr>
        <w:t xml:space="preserve"> de “activos” –en términos de capital social y humano– para promover su integración a las relaciones de mercado (Perry et al., 2006). </w:t>
      </w:r>
      <w:r w:rsidR="008F0C89" w:rsidRPr="00CF177C">
        <w:rPr>
          <w:rFonts w:ascii="Times New Roman" w:hAnsi="Times New Roman" w:cs="Times New Roman"/>
          <w:szCs w:val="24"/>
        </w:rPr>
        <w:t>P</w:t>
      </w:r>
      <w:r w:rsidR="00A31D55" w:rsidRPr="00CF177C">
        <w:rPr>
          <w:rFonts w:ascii="Times New Roman" w:hAnsi="Times New Roman" w:cs="Times New Roman"/>
          <w:szCs w:val="24"/>
        </w:rPr>
        <w:t xml:space="preserve">ueden comprenderse como </w:t>
      </w:r>
      <w:r w:rsidRPr="00CF177C">
        <w:rPr>
          <w:rFonts w:ascii="Times New Roman" w:hAnsi="Times New Roman" w:cs="Times New Roman"/>
          <w:szCs w:val="24"/>
        </w:rPr>
        <w:t>modalidades de intervención</w:t>
      </w:r>
      <w:r w:rsidR="00850E36" w:rsidRPr="00CF177C">
        <w:rPr>
          <w:rFonts w:ascii="Times New Roman" w:hAnsi="Times New Roman" w:cs="Times New Roman"/>
          <w:szCs w:val="24"/>
        </w:rPr>
        <w:t xml:space="preserve"> </w:t>
      </w:r>
      <w:r w:rsidR="00A31D55" w:rsidRPr="00CF177C">
        <w:rPr>
          <w:rFonts w:ascii="Times New Roman" w:hAnsi="Times New Roman" w:cs="Times New Roman"/>
          <w:szCs w:val="24"/>
        </w:rPr>
        <w:t xml:space="preserve">inscriptas en </w:t>
      </w:r>
      <w:r w:rsidRPr="00CF177C">
        <w:rPr>
          <w:rFonts w:ascii="Times New Roman" w:hAnsi="Times New Roman" w:cs="Times New Roman"/>
          <w:szCs w:val="24"/>
        </w:rPr>
        <w:t>un nuevo paradigma de política social</w:t>
      </w:r>
      <w:r w:rsidR="00DA44BB" w:rsidRPr="00CF177C">
        <w:rPr>
          <w:rFonts w:ascii="Times New Roman" w:hAnsi="Times New Roman" w:cs="Times New Roman"/>
          <w:szCs w:val="24"/>
        </w:rPr>
        <w:t xml:space="preserve"> </w:t>
      </w:r>
      <w:r w:rsidRPr="00CF177C">
        <w:rPr>
          <w:rFonts w:ascii="Times New Roman" w:hAnsi="Times New Roman" w:cs="Times New Roman"/>
          <w:szCs w:val="24"/>
        </w:rPr>
        <w:t>centrado en la “activación”</w:t>
      </w:r>
      <w:r w:rsidR="008F0C89" w:rsidRPr="00CF177C">
        <w:rPr>
          <w:rFonts w:ascii="Times New Roman" w:hAnsi="Times New Roman" w:cs="Times New Roman"/>
          <w:szCs w:val="24"/>
        </w:rPr>
        <w:t xml:space="preserve"> que buscan</w:t>
      </w:r>
      <w:r w:rsidR="00A31D55" w:rsidRPr="00CF177C">
        <w:rPr>
          <w:rFonts w:ascii="Times New Roman" w:hAnsi="Times New Roman" w:cs="Times New Roman"/>
          <w:szCs w:val="24"/>
        </w:rPr>
        <w:t xml:space="preserve"> </w:t>
      </w:r>
      <w:r w:rsidR="00401EFF" w:rsidRPr="00CF177C">
        <w:rPr>
          <w:rFonts w:ascii="Times New Roman" w:hAnsi="Times New Roman" w:cs="Times New Roman"/>
          <w:szCs w:val="24"/>
        </w:rPr>
        <w:t>incentivar la participación en el mercado</w:t>
      </w:r>
      <w:r w:rsidR="00A31D55" w:rsidRPr="00CF177C">
        <w:rPr>
          <w:rFonts w:ascii="Times New Roman" w:hAnsi="Times New Roman" w:cs="Times New Roman"/>
          <w:szCs w:val="24"/>
        </w:rPr>
        <w:t xml:space="preserve"> a través de una readaptación de las competencias (en términos </w:t>
      </w:r>
      <w:r w:rsidR="00A31D55" w:rsidRPr="00CF177C">
        <w:rPr>
          <w:rFonts w:ascii="Times New Roman" w:hAnsi="Times New Roman" w:cs="Times New Roman"/>
          <w:szCs w:val="24"/>
        </w:rPr>
        <w:lastRenderedPageBreak/>
        <w:t>de “empleabilidad”, capital humano y social)</w:t>
      </w:r>
      <w:r w:rsidR="00401EFF" w:rsidRPr="00CF177C">
        <w:rPr>
          <w:rFonts w:ascii="Times New Roman" w:hAnsi="Times New Roman" w:cs="Times New Roman"/>
          <w:szCs w:val="24"/>
        </w:rPr>
        <w:t xml:space="preserve"> y suelen enfatizar</w:t>
      </w:r>
      <w:r w:rsidRPr="00CF177C">
        <w:rPr>
          <w:rFonts w:ascii="Times New Roman" w:hAnsi="Times New Roman" w:cs="Times New Roman"/>
          <w:szCs w:val="24"/>
        </w:rPr>
        <w:t xml:space="preserve"> la responsabilidad </w:t>
      </w:r>
      <w:r w:rsidR="00401EFF" w:rsidRPr="00CF177C">
        <w:rPr>
          <w:rFonts w:ascii="Times New Roman" w:hAnsi="Times New Roman" w:cs="Times New Roman"/>
          <w:szCs w:val="24"/>
        </w:rPr>
        <w:t>individual</w:t>
      </w:r>
      <w:r w:rsidRPr="00CF177C">
        <w:rPr>
          <w:rFonts w:ascii="Times New Roman" w:hAnsi="Times New Roman" w:cs="Times New Roman"/>
          <w:szCs w:val="24"/>
        </w:rPr>
        <w:t xml:space="preserve"> en el abandono de situaciones de privación</w:t>
      </w:r>
      <w:r w:rsidR="00E965F8" w:rsidRPr="00CF177C">
        <w:rPr>
          <w:rFonts w:ascii="Times New Roman" w:hAnsi="Times New Roman" w:cs="Times New Roman"/>
          <w:szCs w:val="24"/>
        </w:rPr>
        <w:t xml:space="preserve"> (Adelantado, 2017).</w:t>
      </w:r>
      <w:r w:rsidR="00401EFF" w:rsidRPr="00CF177C">
        <w:rPr>
          <w:rFonts w:ascii="Times New Roman" w:hAnsi="Times New Roman" w:cs="Times New Roman"/>
          <w:szCs w:val="24"/>
        </w:rPr>
        <w:t xml:space="preserve"> </w:t>
      </w:r>
    </w:p>
    <w:p w14:paraId="55C5F4C3" w14:textId="77777777" w:rsidR="005F43A3" w:rsidRDefault="005F43A3" w:rsidP="005F43A3">
      <w:pPr>
        <w:spacing w:before="120" w:after="120" w:line="360" w:lineRule="auto"/>
        <w:jc w:val="both"/>
        <w:rPr>
          <w:rFonts w:ascii="Times New Roman" w:hAnsi="Times New Roman" w:cs="Times New Roman"/>
          <w:szCs w:val="24"/>
        </w:rPr>
      </w:pPr>
      <w:r>
        <w:rPr>
          <w:rFonts w:ascii="Times New Roman" w:hAnsi="Times New Roman" w:cs="Times New Roman"/>
          <w:szCs w:val="24"/>
          <w:lang w:val="es-ES"/>
        </w:rPr>
        <w:t>En el caso argentino, el Cuadro 1 da cuenta de un efecto limitado de este tipo de intervenciones en materia de convergencia socioeconómica y bienestar social.</w:t>
      </w:r>
      <w:r w:rsidR="007E6CA5">
        <w:rPr>
          <w:rFonts w:ascii="Times New Roman" w:hAnsi="Times New Roman" w:cs="Times New Roman"/>
          <w:szCs w:val="24"/>
          <w:lang w:val="es-ES"/>
        </w:rPr>
        <w:t xml:space="preserve"> L</w:t>
      </w:r>
      <w:r>
        <w:rPr>
          <w:rFonts w:ascii="Times New Roman" w:hAnsi="Times New Roman" w:cs="Times New Roman"/>
          <w:szCs w:val="24"/>
          <w:lang w:val="es-ES"/>
        </w:rPr>
        <w:t>a información proporcionada permite constatar que el mayor impacto de las políticas de transferencias directas de ingresos se registró entre 2003 y 2007 (vinculado con el “Plan Jefas y Jefes de Hogar Desocupados”), especialmente sobre la proporción de hogares indigentes</w:t>
      </w:r>
      <w:r w:rsidR="007E6CA5">
        <w:rPr>
          <w:rFonts w:ascii="Times New Roman" w:hAnsi="Times New Roman" w:cs="Times New Roman"/>
          <w:szCs w:val="24"/>
          <w:lang w:val="es-ES"/>
        </w:rPr>
        <w:t>, mientras que</w:t>
      </w:r>
      <w:r>
        <w:rPr>
          <w:rFonts w:ascii="Times New Roman" w:hAnsi="Times New Roman" w:cs="Times New Roman"/>
          <w:szCs w:val="24"/>
          <w:lang w:val="es-ES"/>
        </w:rPr>
        <w:t xml:space="preserve"> su contribución a la reducción de la pobreza fue muy limitada. En contraste, el crecimiento del ingreso laboral y la menor desigualdad de su distribución jugaron un papel central en todo el período, junto con los ingresos provenientes de</w:t>
      </w:r>
      <w:r w:rsidR="007E6CA5">
        <w:rPr>
          <w:rFonts w:ascii="Times New Roman" w:hAnsi="Times New Roman" w:cs="Times New Roman"/>
          <w:szCs w:val="24"/>
          <w:lang w:val="es-ES"/>
        </w:rPr>
        <w:t>l sistema de</w:t>
      </w:r>
      <w:r>
        <w:rPr>
          <w:rFonts w:ascii="Times New Roman" w:hAnsi="Times New Roman" w:cs="Times New Roman"/>
          <w:szCs w:val="24"/>
          <w:lang w:val="es-ES"/>
        </w:rPr>
        <w:t xml:space="preserve"> previsión social (jubilaciones y pensiones).</w:t>
      </w:r>
    </w:p>
    <w:p w14:paraId="2E511C18" w14:textId="0339A477"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1]</w:t>
      </w:r>
    </w:p>
    <w:p w14:paraId="5AEBB6EE" w14:textId="36F34955" w:rsidR="00401EFF" w:rsidRDefault="007E6CA5" w:rsidP="00D654BE">
      <w:pPr>
        <w:spacing w:after="120" w:line="360" w:lineRule="auto"/>
        <w:jc w:val="both"/>
        <w:rPr>
          <w:rFonts w:ascii="Times New Roman" w:hAnsi="Times New Roman" w:cs="Times New Roman"/>
        </w:rPr>
      </w:pPr>
      <w:r>
        <w:rPr>
          <w:rFonts w:ascii="Times New Roman" w:eastAsia="Calibri" w:hAnsi="Times New Roman" w:cs="Times New Roman"/>
        </w:rPr>
        <w:t>Ahora bien, a</w:t>
      </w:r>
      <w:r w:rsidR="00B8294E" w:rsidRPr="00CF177C">
        <w:rPr>
          <w:rFonts w:ascii="Times New Roman" w:eastAsia="Calibri" w:hAnsi="Times New Roman" w:cs="Times New Roman"/>
        </w:rPr>
        <w:t xml:space="preserve">un tratándose de una política con amplia cobertura, existe consenso en que la AUH no alcanza al conjunto de las poblaciones destinatarias. En ese contexto, </w:t>
      </w:r>
      <w:r w:rsidR="008D6B2F" w:rsidRPr="00CF177C">
        <w:rPr>
          <w:rFonts w:ascii="Times New Roman" w:eastAsia="Calibri" w:hAnsi="Times New Roman" w:cs="Times New Roman"/>
        </w:rPr>
        <w:t xml:space="preserve">cabe formular algunos interrogantes: ¿qué características </w:t>
      </w:r>
      <w:r w:rsidR="00C05E3D">
        <w:rPr>
          <w:rFonts w:ascii="Times New Roman" w:eastAsia="Calibri" w:hAnsi="Times New Roman" w:cs="Times New Roman"/>
        </w:rPr>
        <w:t xml:space="preserve">sociodemográficas, económicas, laborales y residenciales </w:t>
      </w:r>
      <w:r w:rsidR="008D6B2F" w:rsidRPr="00CF177C">
        <w:rPr>
          <w:rFonts w:ascii="Times New Roman" w:eastAsia="Calibri" w:hAnsi="Times New Roman" w:cs="Times New Roman"/>
        </w:rPr>
        <w:t xml:space="preserve">tienen los excluidos de la cobertura del sistema? ¿En qué posición de la estructura socioeconómica se ubican? ¿Qué relación guardan los procesos de exclusión con situaciones de pobreza estructural o extrema vulnerabilidad? </w:t>
      </w:r>
      <w:r w:rsidR="008D6B2F" w:rsidRPr="00CF177C">
        <w:rPr>
          <w:rFonts w:ascii="Times New Roman" w:hAnsi="Times New Roman" w:cs="Times New Roman"/>
        </w:rPr>
        <w:t xml:space="preserve">El reconocimiento de las heterogeneidades de la población excluida podría aportar insumos relevantes para implementar acciones diferenciales destinadas a incrementar la cobertura. </w:t>
      </w:r>
    </w:p>
    <w:p w14:paraId="333327F8" w14:textId="77777777" w:rsidR="00C05E3D" w:rsidRPr="00CF177C" w:rsidRDefault="00C05E3D" w:rsidP="00D654BE">
      <w:pPr>
        <w:spacing w:after="120" w:line="360" w:lineRule="auto"/>
        <w:jc w:val="both"/>
        <w:rPr>
          <w:rFonts w:ascii="Times New Roman" w:eastAsia="Calibri" w:hAnsi="Times New Roman" w:cs="Times New Roman"/>
        </w:rPr>
      </w:pPr>
    </w:p>
    <w:p w14:paraId="1FD5A42D" w14:textId="77777777" w:rsidR="008B1165" w:rsidRPr="00CF177C" w:rsidRDefault="00A850C1" w:rsidP="005A704E">
      <w:pPr>
        <w:spacing w:before="240" w:after="0"/>
        <w:jc w:val="both"/>
        <w:rPr>
          <w:rFonts w:ascii="Times New Roman" w:hAnsi="Times New Roman" w:cs="Times New Roman"/>
          <w:b/>
          <w:szCs w:val="24"/>
          <w:lang w:val="es-ES"/>
        </w:rPr>
      </w:pPr>
      <w:r w:rsidRPr="00CF177C">
        <w:rPr>
          <w:rFonts w:ascii="Times New Roman" w:hAnsi="Times New Roman" w:cs="Times New Roman"/>
          <w:b/>
          <w:szCs w:val="24"/>
          <w:lang w:val="es-ES"/>
        </w:rPr>
        <w:t>2</w:t>
      </w:r>
      <w:r w:rsidR="005A704E" w:rsidRPr="00CF177C">
        <w:rPr>
          <w:rFonts w:ascii="Times New Roman" w:hAnsi="Times New Roman" w:cs="Times New Roman"/>
          <w:b/>
          <w:szCs w:val="24"/>
          <w:lang w:val="es-ES"/>
        </w:rPr>
        <w:t xml:space="preserve">. </w:t>
      </w:r>
      <w:r w:rsidR="00F61096" w:rsidRPr="00CF177C">
        <w:rPr>
          <w:rFonts w:ascii="Times New Roman" w:hAnsi="Times New Roman" w:cs="Times New Roman"/>
          <w:b/>
          <w:szCs w:val="24"/>
          <w:lang w:val="es-ES"/>
        </w:rPr>
        <w:t>Mecanismos de protección social de la infancia en la Argentina</w:t>
      </w:r>
    </w:p>
    <w:p w14:paraId="62081269" w14:textId="77777777" w:rsidR="000B0D93" w:rsidRPr="00CF177C" w:rsidRDefault="00F61096" w:rsidP="005A704E">
      <w:pPr>
        <w:spacing w:before="240" w:after="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El Cuadro </w:t>
      </w:r>
      <w:r w:rsidR="005F43A3">
        <w:rPr>
          <w:rFonts w:ascii="Times New Roman" w:hAnsi="Times New Roman" w:cs="Times New Roman"/>
          <w:szCs w:val="24"/>
          <w:lang w:val="es-ES"/>
        </w:rPr>
        <w:t>2</w:t>
      </w:r>
      <w:r w:rsidRPr="00CF177C">
        <w:rPr>
          <w:rFonts w:ascii="Times New Roman" w:hAnsi="Times New Roman" w:cs="Times New Roman"/>
          <w:szCs w:val="24"/>
          <w:lang w:val="es-ES"/>
        </w:rPr>
        <w:t xml:space="preserve"> exhibe la evolución de los diferentes mecanismos de protección social dirigidos a la infancia vigentes en la Argentina durante el período 2010-2015. La estructura de la cobertura a la infancia se mantuvo relativamente estable a lo largo del tiempo, más allá de algunas de las variaciones observadas. </w:t>
      </w:r>
      <w:r w:rsidR="007549BF" w:rsidRPr="00CF177C">
        <w:rPr>
          <w:rFonts w:ascii="Times New Roman" w:hAnsi="Times New Roman" w:cs="Times New Roman"/>
          <w:szCs w:val="24"/>
          <w:lang w:val="es-ES"/>
        </w:rPr>
        <w:t xml:space="preserve">En la actualidad, </w:t>
      </w:r>
      <w:r w:rsidR="001120EE" w:rsidRPr="00CF177C">
        <w:rPr>
          <w:rFonts w:ascii="Times New Roman" w:hAnsi="Times New Roman" w:cs="Times New Roman"/>
          <w:szCs w:val="24"/>
          <w:lang w:val="es-ES"/>
        </w:rPr>
        <w:t xml:space="preserve">el acceso a </w:t>
      </w:r>
      <w:r w:rsidR="007549BF" w:rsidRPr="00CF177C">
        <w:rPr>
          <w:rFonts w:ascii="Times New Roman" w:hAnsi="Times New Roman" w:cs="Times New Roman"/>
          <w:szCs w:val="24"/>
          <w:lang w:val="es-ES"/>
        </w:rPr>
        <w:t xml:space="preserve">los sistemas de protección social se encuentra asociados a la inserción laboral de los padres. </w:t>
      </w:r>
      <w:r w:rsidR="00313703" w:rsidRPr="00CF177C">
        <w:rPr>
          <w:rFonts w:ascii="Times New Roman" w:hAnsi="Times New Roman" w:cs="Times New Roman"/>
          <w:szCs w:val="24"/>
          <w:lang w:val="es-ES"/>
        </w:rPr>
        <w:t>De acuerdo con la normativa vigente hasta diciembre de 2015, e</w:t>
      </w:r>
      <w:r w:rsidR="007549BF" w:rsidRPr="00CF177C">
        <w:rPr>
          <w:rFonts w:ascii="Times New Roman" w:hAnsi="Times New Roman" w:cs="Times New Roman"/>
          <w:szCs w:val="24"/>
          <w:lang w:val="es-ES"/>
        </w:rPr>
        <w:t xml:space="preserve">xisten tres mecanismos principales </w:t>
      </w:r>
      <w:r w:rsidR="00F96860" w:rsidRPr="00CF177C">
        <w:rPr>
          <w:rFonts w:ascii="Times New Roman" w:hAnsi="Times New Roman" w:cs="Times New Roman"/>
          <w:szCs w:val="24"/>
          <w:lang w:val="es-ES"/>
        </w:rPr>
        <w:t xml:space="preserve">a través de los cuales el Estado transfiere recursos a los hogares con niños. </w:t>
      </w:r>
    </w:p>
    <w:p w14:paraId="6AB72B98" w14:textId="77777777" w:rsidR="006549DB" w:rsidRPr="00CF177C" w:rsidRDefault="004C4138" w:rsidP="004C4138">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lastRenderedPageBreak/>
        <w:t>En primer término, e</w:t>
      </w:r>
      <w:r w:rsidR="000B0D93" w:rsidRPr="00CF177C">
        <w:rPr>
          <w:rFonts w:ascii="Times New Roman" w:hAnsi="Times New Roman" w:cs="Times New Roman"/>
          <w:szCs w:val="24"/>
          <w:lang w:val="es-ES"/>
        </w:rPr>
        <w:t xml:space="preserve">l </w:t>
      </w:r>
      <w:r w:rsidR="00236E1D" w:rsidRPr="00CF177C">
        <w:rPr>
          <w:rFonts w:ascii="Times New Roman" w:hAnsi="Times New Roman" w:cs="Times New Roman"/>
          <w:szCs w:val="24"/>
          <w:lang w:val="es-ES"/>
        </w:rPr>
        <w:t>sistema</w:t>
      </w:r>
      <w:r w:rsidR="000B0D93" w:rsidRPr="00CF177C">
        <w:rPr>
          <w:rFonts w:ascii="Times New Roman" w:hAnsi="Times New Roman" w:cs="Times New Roman"/>
          <w:szCs w:val="24"/>
          <w:lang w:val="es-ES"/>
        </w:rPr>
        <w:t xml:space="preserve"> de </w:t>
      </w:r>
      <w:r w:rsidR="00F61096" w:rsidRPr="00CF177C">
        <w:rPr>
          <w:rFonts w:ascii="Times New Roman" w:hAnsi="Times New Roman" w:cs="Times New Roman"/>
          <w:szCs w:val="24"/>
          <w:lang w:val="es-ES"/>
        </w:rPr>
        <w:t>“</w:t>
      </w:r>
      <w:r w:rsidR="00236E1D" w:rsidRPr="00CF177C">
        <w:rPr>
          <w:rFonts w:ascii="Times New Roman" w:hAnsi="Times New Roman" w:cs="Times New Roman"/>
          <w:szCs w:val="24"/>
          <w:lang w:val="es-ES"/>
        </w:rPr>
        <w:t>a</w:t>
      </w:r>
      <w:r w:rsidR="000B0D93" w:rsidRPr="00CF177C">
        <w:rPr>
          <w:rFonts w:ascii="Times New Roman" w:hAnsi="Times New Roman" w:cs="Times New Roman"/>
          <w:szCs w:val="24"/>
          <w:lang w:val="es-ES"/>
        </w:rPr>
        <w:t xml:space="preserve">signaciones </w:t>
      </w:r>
      <w:r w:rsidR="00236E1D" w:rsidRPr="00CF177C">
        <w:rPr>
          <w:rFonts w:ascii="Times New Roman" w:hAnsi="Times New Roman" w:cs="Times New Roman"/>
          <w:szCs w:val="24"/>
          <w:lang w:val="es-ES"/>
        </w:rPr>
        <w:t>f</w:t>
      </w:r>
      <w:r w:rsidR="000B0D93" w:rsidRPr="00CF177C">
        <w:rPr>
          <w:rFonts w:ascii="Times New Roman" w:hAnsi="Times New Roman" w:cs="Times New Roman"/>
          <w:szCs w:val="24"/>
          <w:lang w:val="es-ES"/>
        </w:rPr>
        <w:t>amiliares</w:t>
      </w:r>
      <w:r w:rsidR="00236E1D" w:rsidRPr="00CF177C">
        <w:rPr>
          <w:rFonts w:ascii="Times New Roman" w:hAnsi="Times New Roman" w:cs="Times New Roman"/>
          <w:szCs w:val="24"/>
          <w:lang w:val="es-ES"/>
        </w:rPr>
        <w:t xml:space="preserve"> contributivas”</w:t>
      </w:r>
      <w:r w:rsidR="00F61096" w:rsidRPr="00CF177C">
        <w:rPr>
          <w:rFonts w:ascii="Times New Roman" w:hAnsi="Times New Roman" w:cs="Times New Roman"/>
          <w:szCs w:val="24"/>
          <w:lang w:val="es-ES"/>
        </w:rPr>
        <w:t xml:space="preserve"> (conocido habitualmente como “salario familiar”)</w:t>
      </w:r>
      <w:r w:rsidR="00236E1D" w:rsidRPr="00CF177C">
        <w:rPr>
          <w:rFonts w:ascii="Times New Roman" w:hAnsi="Times New Roman" w:cs="Times New Roman"/>
          <w:szCs w:val="24"/>
          <w:lang w:val="es-ES"/>
        </w:rPr>
        <w:t xml:space="preserve"> </w:t>
      </w:r>
      <w:r w:rsidR="000B0D93" w:rsidRPr="00CF177C">
        <w:rPr>
          <w:rFonts w:ascii="Times New Roman" w:hAnsi="Times New Roman" w:cs="Times New Roman"/>
          <w:szCs w:val="24"/>
          <w:lang w:val="es-ES"/>
        </w:rPr>
        <w:t>otorga una prestación monetaria por carga de familia a aquellos trabajadores en relación de dependencia que pertenecen al sector privado registrado y al sector público. Se trata de una prestación decreciente según el nivel de ingreso del trabajador/a (hasta 2012) y del grupo familiar (</w:t>
      </w:r>
      <w:r w:rsidR="00236E1D" w:rsidRPr="00CF177C">
        <w:rPr>
          <w:rFonts w:ascii="Times New Roman" w:hAnsi="Times New Roman" w:cs="Times New Roman"/>
          <w:szCs w:val="24"/>
          <w:lang w:val="es-ES"/>
        </w:rPr>
        <w:t xml:space="preserve">según el </w:t>
      </w:r>
      <w:r w:rsidR="000B0D93" w:rsidRPr="00CF177C">
        <w:rPr>
          <w:rFonts w:ascii="Times New Roman" w:hAnsi="Times New Roman" w:cs="Times New Roman"/>
          <w:szCs w:val="24"/>
          <w:lang w:val="es-ES"/>
        </w:rPr>
        <w:t xml:space="preserve">criterio establecido a partir de 2012) y otorgable hasta un cierto tope de ingresos. También pueden cobrar </w:t>
      </w:r>
      <w:r w:rsidRPr="00CF177C">
        <w:rPr>
          <w:rFonts w:ascii="Times New Roman" w:hAnsi="Times New Roman" w:cs="Times New Roman"/>
          <w:szCs w:val="24"/>
          <w:lang w:val="es-ES"/>
        </w:rPr>
        <w:t>asignaciones familiares los</w:t>
      </w:r>
      <w:r w:rsidR="000B0D93" w:rsidRPr="00CF177C">
        <w:rPr>
          <w:rFonts w:ascii="Times New Roman" w:hAnsi="Times New Roman" w:cs="Times New Roman"/>
          <w:szCs w:val="24"/>
          <w:lang w:val="es-ES"/>
        </w:rPr>
        <w:t xml:space="preserve"> </w:t>
      </w:r>
      <w:r w:rsidR="00DA2537" w:rsidRPr="00CF177C">
        <w:rPr>
          <w:rFonts w:ascii="Times New Roman" w:hAnsi="Times New Roman" w:cs="Times New Roman"/>
          <w:szCs w:val="24"/>
          <w:lang w:val="es-ES"/>
        </w:rPr>
        <w:t>jubilados con carga de familia, titulares del Seguro de Desempleo y beneficiarios de la Ley Nacional de Riesgos del Trabajo (</w:t>
      </w:r>
      <w:proofErr w:type="spellStart"/>
      <w:r w:rsidR="00DA2537" w:rsidRPr="00CF177C">
        <w:rPr>
          <w:rFonts w:ascii="Times New Roman" w:hAnsi="Times New Roman" w:cs="Times New Roman"/>
          <w:szCs w:val="24"/>
          <w:lang w:val="es-ES"/>
        </w:rPr>
        <w:t>Curcio</w:t>
      </w:r>
      <w:proofErr w:type="spellEnd"/>
      <w:r w:rsidR="00DA2537" w:rsidRPr="00CF177C">
        <w:rPr>
          <w:rFonts w:ascii="Times New Roman" w:hAnsi="Times New Roman" w:cs="Times New Roman"/>
          <w:szCs w:val="24"/>
          <w:lang w:val="es-ES"/>
        </w:rPr>
        <w:t xml:space="preserve"> y Beccaria, 2013).</w:t>
      </w:r>
      <w:r w:rsidR="00F61096" w:rsidRPr="00CF177C">
        <w:rPr>
          <w:rFonts w:ascii="Times New Roman" w:hAnsi="Times New Roman" w:cs="Times New Roman"/>
          <w:szCs w:val="24"/>
          <w:lang w:val="es-ES"/>
        </w:rPr>
        <w:t xml:space="preserve"> De acuerdo con la información proporcionada en el Cuadro 1, la desactualización de los topes máximos de ingresos admitidos para acceder al cobro de las asignaciones familiares redundó en una retracción de la cobertura en diferentes años del ciclo 2010-2015.</w:t>
      </w:r>
    </w:p>
    <w:p w14:paraId="6DA5D5DE" w14:textId="48E8752F"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2]</w:t>
      </w:r>
    </w:p>
    <w:p w14:paraId="65109E06" w14:textId="77777777" w:rsidR="00DA2537" w:rsidRPr="00CF177C" w:rsidRDefault="004C4138" w:rsidP="004C4138">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En segundo término, l</w:t>
      </w:r>
      <w:r w:rsidR="00DA2537" w:rsidRPr="00CF177C">
        <w:rPr>
          <w:rFonts w:ascii="Times New Roman" w:hAnsi="Times New Roman" w:cs="Times New Roman"/>
          <w:szCs w:val="24"/>
          <w:lang w:val="es-ES"/>
        </w:rPr>
        <w:t xml:space="preserve">a </w:t>
      </w:r>
      <w:r w:rsidR="00236E1D" w:rsidRPr="00CF177C">
        <w:rPr>
          <w:rFonts w:ascii="Times New Roman" w:hAnsi="Times New Roman" w:cs="Times New Roman"/>
          <w:szCs w:val="24"/>
          <w:lang w:val="es-ES"/>
        </w:rPr>
        <w:t>AUH</w:t>
      </w:r>
      <w:r w:rsidR="00DA2537" w:rsidRPr="00CF177C">
        <w:rPr>
          <w:rFonts w:ascii="Times New Roman" w:hAnsi="Times New Roman" w:cs="Times New Roman"/>
          <w:szCs w:val="24"/>
          <w:lang w:val="es-ES"/>
        </w:rPr>
        <w:t xml:space="preserve"> </w:t>
      </w:r>
      <w:r w:rsidRPr="00CF177C">
        <w:rPr>
          <w:rFonts w:ascii="Times New Roman" w:hAnsi="Times New Roman" w:cs="Times New Roman"/>
          <w:szCs w:val="24"/>
          <w:lang w:val="es-ES"/>
        </w:rPr>
        <w:t>(complementada con l</w:t>
      </w:r>
      <w:r w:rsidR="00DA2537" w:rsidRPr="00CF177C">
        <w:rPr>
          <w:rFonts w:ascii="Times New Roman" w:hAnsi="Times New Roman" w:cs="Times New Roman"/>
          <w:szCs w:val="24"/>
          <w:lang w:val="es-ES"/>
        </w:rPr>
        <w:t xml:space="preserve">a </w:t>
      </w:r>
      <w:r w:rsidRPr="00CF177C">
        <w:rPr>
          <w:rFonts w:ascii="Times New Roman" w:hAnsi="Times New Roman" w:cs="Times New Roman"/>
          <w:szCs w:val="24"/>
          <w:lang w:val="es-ES"/>
        </w:rPr>
        <w:t>“</w:t>
      </w:r>
      <w:r w:rsidR="00DA2537" w:rsidRPr="00CF177C">
        <w:rPr>
          <w:rFonts w:ascii="Times New Roman" w:hAnsi="Times New Roman" w:cs="Times New Roman"/>
          <w:szCs w:val="24"/>
          <w:lang w:val="es-ES"/>
        </w:rPr>
        <w:t>Asignación Universal por Embarazo</w:t>
      </w:r>
      <w:r w:rsidRPr="00CF177C">
        <w:rPr>
          <w:rFonts w:ascii="Times New Roman" w:hAnsi="Times New Roman" w:cs="Times New Roman"/>
          <w:szCs w:val="24"/>
          <w:lang w:val="es-ES"/>
        </w:rPr>
        <w:t xml:space="preserve">”, </w:t>
      </w:r>
      <w:r w:rsidR="00236E1D" w:rsidRPr="00CF177C">
        <w:rPr>
          <w:rFonts w:ascii="Times New Roman" w:hAnsi="Times New Roman" w:cs="Times New Roman"/>
          <w:szCs w:val="24"/>
          <w:lang w:val="es-ES"/>
        </w:rPr>
        <w:t>AUE)</w:t>
      </w:r>
      <w:r w:rsidRPr="00CF177C">
        <w:rPr>
          <w:rFonts w:ascii="Times New Roman" w:hAnsi="Times New Roman" w:cs="Times New Roman"/>
          <w:szCs w:val="24"/>
          <w:lang w:val="es-ES"/>
        </w:rPr>
        <w:t xml:space="preserve"> constituye una </w:t>
      </w:r>
      <w:r w:rsidR="00236E1D" w:rsidRPr="00CF177C">
        <w:rPr>
          <w:rFonts w:ascii="Times New Roman" w:hAnsi="Times New Roman" w:cs="Times New Roman"/>
          <w:szCs w:val="24"/>
          <w:lang w:val="es-ES"/>
        </w:rPr>
        <w:t xml:space="preserve">transferencia monetaria </w:t>
      </w:r>
      <w:r w:rsidR="00DA2537" w:rsidRPr="00CF177C">
        <w:rPr>
          <w:rFonts w:ascii="Times New Roman" w:hAnsi="Times New Roman" w:cs="Times New Roman"/>
          <w:szCs w:val="24"/>
          <w:lang w:val="es-ES"/>
        </w:rPr>
        <w:t xml:space="preserve">dirigida a los hijos/as de trabajadores informales y desocupados, temporarios, </w:t>
      </w:r>
      <w:proofErr w:type="spellStart"/>
      <w:r w:rsidR="00DA2537" w:rsidRPr="00CF177C">
        <w:rPr>
          <w:rFonts w:ascii="Times New Roman" w:hAnsi="Times New Roman" w:cs="Times New Roman"/>
          <w:szCs w:val="24"/>
          <w:lang w:val="es-ES"/>
        </w:rPr>
        <w:t>monotributistas</w:t>
      </w:r>
      <w:proofErr w:type="spellEnd"/>
      <w:r w:rsidR="00DA2537" w:rsidRPr="00CF177C">
        <w:rPr>
          <w:rFonts w:ascii="Times New Roman" w:hAnsi="Times New Roman" w:cs="Times New Roman"/>
          <w:szCs w:val="24"/>
          <w:lang w:val="es-ES"/>
        </w:rPr>
        <w:t xml:space="preserve"> sociales y empleados/as de servicio doméstico cuyo ingreso sea inferior al Salario Mínimo, Vital y Móvil. </w:t>
      </w:r>
      <w:r w:rsidR="005A704E" w:rsidRPr="00CF177C">
        <w:rPr>
          <w:rFonts w:ascii="Times New Roman" w:hAnsi="Times New Roman" w:cs="Times New Roman"/>
          <w:szCs w:val="24"/>
          <w:lang w:val="es-ES"/>
        </w:rPr>
        <w:t xml:space="preserve">Pueden cobrar el beneficio las madres, padres o adultos a cargo de los niños/as que tienen un máximo de </w:t>
      </w:r>
      <w:r w:rsidR="00236E1D" w:rsidRPr="00CF177C">
        <w:rPr>
          <w:rFonts w:ascii="Times New Roman" w:hAnsi="Times New Roman" w:cs="Times New Roman"/>
          <w:szCs w:val="24"/>
          <w:lang w:val="es-ES"/>
        </w:rPr>
        <w:t>cinco</w:t>
      </w:r>
      <w:r w:rsidR="005A704E" w:rsidRPr="00CF177C">
        <w:rPr>
          <w:rFonts w:ascii="Times New Roman" w:hAnsi="Times New Roman" w:cs="Times New Roman"/>
          <w:szCs w:val="24"/>
          <w:lang w:val="es-ES"/>
        </w:rPr>
        <w:t xml:space="preserve"> hijos/as. Más allá de la existencia de un tope en los ingresos de los trabajadores informales para cobrar la prestación, resulta difícil corroborar su cumplimiento. La AUH</w:t>
      </w:r>
      <w:r w:rsidR="00DA2537" w:rsidRPr="00CF177C">
        <w:rPr>
          <w:rFonts w:ascii="Times New Roman" w:hAnsi="Times New Roman" w:cs="Times New Roman"/>
          <w:szCs w:val="24"/>
          <w:lang w:val="es-ES"/>
        </w:rPr>
        <w:t xml:space="preserve"> implica condicionalidades </w:t>
      </w:r>
      <w:r w:rsidRPr="00CF177C">
        <w:rPr>
          <w:rFonts w:ascii="Times New Roman" w:hAnsi="Times New Roman" w:cs="Times New Roman"/>
          <w:szCs w:val="24"/>
          <w:lang w:val="es-ES"/>
        </w:rPr>
        <w:t>referidas a</w:t>
      </w:r>
      <w:r w:rsidR="00DA2537" w:rsidRPr="00CF177C">
        <w:rPr>
          <w:rFonts w:ascii="Times New Roman" w:hAnsi="Times New Roman" w:cs="Times New Roman"/>
          <w:szCs w:val="24"/>
          <w:lang w:val="es-ES"/>
        </w:rPr>
        <w:t>l control sanitario</w:t>
      </w:r>
      <w:r w:rsidRPr="00CF177C">
        <w:rPr>
          <w:rFonts w:ascii="Times New Roman" w:hAnsi="Times New Roman" w:cs="Times New Roman"/>
          <w:szCs w:val="24"/>
          <w:lang w:val="es-ES"/>
        </w:rPr>
        <w:t xml:space="preserve">, </w:t>
      </w:r>
      <w:r w:rsidR="00236E1D" w:rsidRPr="00CF177C">
        <w:rPr>
          <w:rFonts w:ascii="Times New Roman" w:hAnsi="Times New Roman" w:cs="Times New Roman"/>
          <w:szCs w:val="24"/>
          <w:lang w:val="es-ES"/>
        </w:rPr>
        <w:t xml:space="preserve">el </w:t>
      </w:r>
      <w:r w:rsidR="00DA2537" w:rsidRPr="00CF177C">
        <w:rPr>
          <w:rFonts w:ascii="Times New Roman" w:hAnsi="Times New Roman" w:cs="Times New Roman"/>
          <w:szCs w:val="24"/>
          <w:lang w:val="es-ES"/>
        </w:rPr>
        <w:t>plan de vacunación y la asistencia a la escuela</w:t>
      </w:r>
      <w:r w:rsidRPr="00CF177C">
        <w:rPr>
          <w:rFonts w:ascii="Times New Roman" w:hAnsi="Times New Roman" w:cs="Times New Roman"/>
          <w:szCs w:val="24"/>
          <w:lang w:val="es-ES"/>
        </w:rPr>
        <w:t xml:space="preserve">. </w:t>
      </w:r>
      <w:r w:rsidR="00236E1D" w:rsidRPr="00CF177C">
        <w:rPr>
          <w:rFonts w:ascii="Times New Roman" w:hAnsi="Times New Roman" w:cs="Times New Roman"/>
          <w:szCs w:val="24"/>
          <w:lang w:val="es-ES"/>
        </w:rPr>
        <w:t xml:space="preserve">Dentro de este componente cabe </w:t>
      </w:r>
      <w:r w:rsidR="00DA2537" w:rsidRPr="00CF177C">
        <w:rPr>
          <w:rFonts w:ascii="Times New Roman" w:hAnsi="Times New Roman" w:cs="Times New Roman"/>
          <w:szCs w:val="24"/>
          <w:lang w:val="es-ES"/>
        </w:rPr>
        <w:t xml:space="preserve">incluir también </w:t>
      </w:r>
      <w:r w:rsidR="00236E1D" w:rsidRPr="00CF177C">
        <w:rPr>
          <w:rFonts w:ascii="Times New Roman" w:hAnsi="Times New Roman" w:cs="Times New Roman"/>
          <w:szCs w:val="24"/>
          <w:lang w:val="es-ES"/>
        </w:rPr>
        <w:t xml:space="preserve">a </w:t>
      </w:r>
      <w:r w:rsidR="00DA2537" w:rsidRPr="00CF177C">
        <w:rPr>
          <w:rFonts w:ascii="Times New Roman" w:hAnsi="Times New Roman" w:cs="Times New Roman"/>
          <w:szCs w:val="24"/>
          <w:lang w:val="es-ES"/>
        </w:rPr>
        <w:t>otras modalidades por medio de las cuales el Estado transfiere ingresos a los hogares y cuya percepción resulta incompatible con la AUH</w:t>
      </w:r>
      <w:r w:rsidR="00236E1D" w:rsidRPr="00CF177C">
        <w:rPr>
          <w:rFonts w:ascii="Times New Roman" w:hAnsi="Times New Roman" w:cs="Times New Roman"/>
          <w:szCs w:val="24"/>
          <w:lang w:val="es-ES"/>
        </w:rPr>
        <w:t>. En particular, se destacan</w:t>
      </w:r>
      <w:r w:rsidR="00DA2537" w:rsidRPr="00CF177C">
        <w:rPr>
          <w:rFonts w:ascii="Times New Roman" w:hAnsi="Times New Roman" w:cs="Times New Roman"/>
          <w:szCs w:val="24"/>
          <w:lang w:val="es-ES"/>
        </w:rPr>
        <w:t xml:space="preserve"> las pensiones no contributivas</w:t>
      </w:r>
      <w:r w:rsidR="005A704E" w:rsidRPr="00CF177C">
        <w:rPr>
          <w:rFonts w:ascii="Times New Roman" w:hAnsi="Times New Roman" w:cs="Times New Roman"/>
          <w:szCs w:val="24"/>
          <w:lang w:val="es-ES"/>
        </w:rPr>
        <w:t xml:space="preserve"> </w:t>
      </w:r>
      <w:r w:rsidR="00236E1D" w:rsidRPr="00CF177C">
        <w:rPr>
          <w:rFonts w:ascii="Times New Roman" w:hAnsi="Times New Roman" w:cs="Times New Roman"/>
          <w:szCs w:val="24"/>
          <w:lang w:val="es-ES"/>
        </w:rPr>
        <w:t>para madres con siete o más hijos</w:t>
      </w:r>
      <w:r w:rsidR="00236E1D" w:rsidRPr="00CF177C">
        <w:rPr>
          <w:vertAlign w:val="superscript"/>
        </w:rPr>
        <w:footnoteReference w:id="8"/>
      </w:r>
      <w:r w:rsidR="00DA2537" w:rsidRPr="00CF177C">
        <w:rPr>
          <w:rFonts w:ascii="Times New Roman" w:hAnsi="Times New Roman" w:cs="Times New Roman"/>
          <w:szCs w:val="24"/>
          <w:lang w:val="es-ES"/>
        </w:rPr>
        <w:t xml:space="preserve">. </w:t>
      </w:r>
      <w:r w:rsidRPr="00CF177C">
        <w:rPr>
          <w:rFonts w:ascii="Times New Roman" w:hAnsi="Times New Roman" w:cs="Times New Roman"/>
          <w:szCs w:val="24"/>
          <w:lang w:val="es-ES"/>
        </w:rPr>
        <w:t xml:space="preserve">Según la información del Cuadro </w:t>
      </w:r>
      <w:r w:rsidR="005F43A3">
        <w:rPr>
          <w:rFonts w:ascii="Times New Roman" w:hAnsi="Times New Roman" w:cs="Times New Roman"/>
          <w:szCs w:val="24"/>
          <w:lang w:val="es-ES"/>
        </w:rPr>
        <w:t>2</w:t>
      </w:r>
      <w:r w:rsidRPr="00CF177C">
        <w:rPr>
          <w:rFonts w:ascii="Times New Roman" w:hAnsi="Times New Roman" w:cs="Times New Roman"/>
          <w:szCs w:val="24"/>
          <w:lang w:val="es-ES"/>
        </w:rPr>
        <w:t>, desde su implementación, la AUH mantuvo una cobertura estable entre 30,5% (en 2010) y 33,1% (en 2014) de los niños y adolescentes.</w:t>
      </w:r>
    </w:p>
    <w:p w14:paraId="498B2AAA" w14:textId="77777777" w:rsidR="00DA2537" w:rsidRPr="00CF177C" w:rsidRDefault="004C4138" w:rsidP="004C4138">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Finalmente, u</w:t>
      </w:r>
      <w:r w:rsidR="00DA2537" w:rsidRPr="00CF177C">
        <w:rPr>
          <w:rFonts w:ascii="Times New Roman" w:hAnsi="Times New Roman" w:cs="Times New Roman"/>
          <w:szCs w:val="24"/>
          <w:lang w:val="es-ES"/>
        </w:rPr>
        <w:t xml:space="preserve">na vía </w:t>
      </w:r>
      <w:r w:rsidR="00313703" w:rsidRPr="00CF177C">
        <w:rPr>
          <w:rFonts w:ascii="Times New Roman" w:hAnsi="Times New Roman" w:cs="Times New Roman"/>
          <w:szCs w:val="24"/>
          <w:lang w:val="es-ES"/>
        </w:rPr>
        <w:t>“</w:t>
      </w:r>
      <w:r w:rsidR="00DA2537" w:rsidRPr="00CF177C">
        <w:rPr>
          <w:rFonts w:ascii="Times New Roman" w:hAnsi="Times New Roman" w:cs="Times New Roman"/>
          <w:szCs w:val="24"/>
          <w:lang w:val="es-ES"/>
        </w:rPr>
        <w:t>indirecta</w:t>
      </w:r>
      <w:r w:rsidR="00313703" w:rsidRPr="00CF177C">
        <w:rPr>
          <w:rFonts w:ascii="Times New Roman" w:hAnsi="Times New Roman" w:cs="Times New Roman"/>
          <w:szCs w:val="24"/>
          <w:lang w:val="es-ES"/>
        </w:rPr>
        <w:t>”</w:t>
      </w:r>
      <w:r w:rsidR="00DA2537" w:rsidRPr="00CF177C">
        <w:rPr>
          <w:rFonts w:ascii="Times New Roman" w:hAnsi="Times New Roman" w:cs="Times New Roman"/>
          <w:szCs w:val="24"/>
          <w:lang w:val="es-ES"/>
        </w:rPr>
        <w:t xml:space="preserve"> de transferencia de ingresos es la deducción del impuesto a las ganancias en aquellos trabajadores autónomos o asalariados de altos ingresos</w:t>
      </w:r>
      <w:r w:rsidR="00341501" w:rsidRPr="00CF177C">
        <w:rPr>
          <w:rFonts w:ascii="Times New Roman" w:hAnsi="Times New Roman" w:cs="Times New Roman"/>
          <w:szCs w:val="24"/>
          <w:lang w:val="es-ES"/>
        </w:rPr>
        <w:t xml:space="preserve"> (también conocida como “</w:t>
      </w:r>
      <w:r w:rsidR="00313703" w:rsidRPr="00CF177C">
        <w:rPr>
          <w:rFonts w:ascii="Times New Roman" w:hAnsi="Times New Roman" w:cs="Times New Roman"/>
          <w:szCs w:val="24"/>
          <w:lang w:val="es-ES"/>
        </w:rPr>
        <w:t>c</w:t>
      </w:r>
      <w:r w:rsidR="00341501" w:rsidRPr="00CF177C">
        <w:rPr>
          <w:rFonts w:ascii="Times New Roman" w:hAnsi="Times New Roman" w:cs="Times New Roman"/>
          <w:szCs w:val="24"/>
          <w:lang w:val="es-ES"/>
        </w:rPr>
        <w:t xml:space="preserve">rédito </w:t>
      </w:r>
      <w:r w:rsidR="00313703" w:rsidRPr="00CF177C">
        <w:rPr>
          <w:rFonts w:ascii="Times New Roman" w:hAnsi="Times New Roman" w:cs="Times New Roman"/>
          <w:szCs w:val="24"/>
          <w:lang w:val="es-ES"/>
        </w:rPr>
        <w:t>f</w:t>
      </w:r>
      <w:r w:rsidR="00341501" w:rsidRPr="00CF177C">
        <w:rPr>
          <w:rFonts w:ascii="Times New Roman" w:hAnsi="Times New Roman" w:cs="Times New Roman"/>
          <w:szCs w:val="24"/>
          <w:lang w:val="es-ES"/>
        </w:rPr>
        <w:t>iscal”)</w:t>
      </w:r>
      <w:r w:rsidR="00DA2537" w:rsidRPr="00CF177C">
        <w:rPr>
          <w:rFonts w:ascii="Times New Roman" w:hAnsi="Times New Roman" w:cs="Times New Roman"/>
          <w:szCs w:val="24"/>
          <w:lang w:val="es-ES"/>
        </w:rPr>
        <w:t xml:space="preserve">. Aquellos que tributan el impuesto a las </w:t>
      </w:r>
      <w:r w:rsidR="00DA2537" w:rsidRPr="00CF177C">
        <w:rPr>
          <w:rFonts w:ascii="Times New Roman" w:hAnsi="Times New Roman" w:cs="Times New Roman"/>
          <w:szCs w:val="24"/>
          <w:lang w:val="es-ES"/>
        </w:rPr>
        <w:lastRenderedPageBreak/>
        <w:t xml:space="preserve">ganancias pueden deducir cargas de familia por el número de menores a cargo. </w:t>
      </w:r>
      <w:r w:rsidR="00341501" w:rsidRPr="00CF177C">
        <w:rPr>
          <w:rFonts w:ascii="Times New Roman" w:hAnsi="Times New Roman" w:cs="Times New Roman"/>
          <w:szCs w:val="24"/>
          <w:lang w:val="es-ES"/>
        </w:rPr>
        <w:t xml:space="preserve">A diferencia de los otros dos mecanismos, cuya gestión depende de la Administración Nacional de la Seguridad Social (ANSES), este mecanismo indirecto está bajo la órbita de la Administración Federal de Ingresos Públicos (AFIP). </w:t>
      </w:r>
      <w:r w:rsidRPr="00CF177C">
        <w:rPr>
          <w:rFonts w:ascii="Times New Roman" w:hAnsi="Times New Roman" w:cs="Times New Roman"/>
          <w:szCs w:val="24"/>
          <w:lang w:val="es-ES"/>
        </w:rPr>
        <w:t xml:space="preserve">El Cuadro </w:t>
      </w:r>
      <w:r w:rsidR="005F43A3">
        <w:rPr>
          <w:rFonts w:ascii="Times New Roman" w:hAnsi="Times New Roman" w:cs="Times New Roman"/>
          <w:szCs w:val="24"/>
          <w:lang w:val="es-ES"/>
        </w:rPr>
        <w:t>2</w:t>
      </w:r>
      <w:r w:rsidRPr="00CF177C">
        <w:rPr>
          <w:rFonts w:ascii="Times New Roman" w:hAnsi="Times New Roman" w:cs="Times New Roman"/>
          <w:szCs w:val="24"/>
          <w:lang w:val="es-ES"/>
        </w:rPr>
        <w:t xml:space="preserve"> muestra que este tipo de mecanismo mantuvo un comportamiento complementario al de las “asignaciones familiares” e incrementó su participación ante las reducciones de éstas. </w:t>
      </w:r>
    </w:p>
    <w:p w14:paraId="7AF09777" w14:textId="77777777" w:rsidR="00341501" w:rsidRPr="00CF177C" w:rsidRDefault="0020049C" w:rsidP="0020049C">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A su vez, el</w:t>
      </w:r>
      <w:r w:rsidR="00341501" w:rsidRPr="00CF177C">
        <w:rPr>
          <w:rFonts w:ascii="Times New Roman" w:hAnsi="Times New Roman" w:cs="Times New Roman"/>
          <w:szCs w:val="24"/>
          <w:lang w:val="es-ES"/>
        </w:rPr>
        <w:t xml:space="preserve"> Cuadro </w:t>
      </w:r>
      <w:r w:rsidR="005F43A3">
        <w:rPr>
          <w:rFonts w:ascii="Times New Roman" w:hAnsi="Times New Roman" w:cs="Times New Roman"/>
          <w:szCs w:val="24"/>
          <w:lang w:val="es-ES"/>
        </w:rPr>
        <w:t>2</w:t>
      </w:r>
      <w:r w:rsidR="00341501" w:rsidRPr="00CF177C">
        <w:rPr>
          <w:rFonts w:ascii="Times New Roman" w:hAnsi="Times New Roman" w:cs="Times New Roman"/>
          <w:szCs w:val="24"/>
          <w:lang w:val="es-ES"/>
        </w:rPr>
        <w:t xml:space="preserve"> permite advertir la estabilidad del grupo de niños y adolescentes que no recib</w:t>
      </w:r>
      <w:r w:rsidRPr="00CF177C">
        <w:rPr>
          <w:rFonts w:ascii="Times New Roman" w:hAnsi="Times New Roman" w:cs="Times New Roman"/>
          <w:szCs w:val="24"/>
          <w:lang w:val="es-ES"/>
        </w:rPr>
        <w:t>ían</w:t>
      </w:r>
      <w:r w:rsidR="00341501" w:rsidRPr="00CF177C">
        <w:rPr>
          <w:rFonts w:ascii="Times New Roman" w:hAnsi="Times New Roman" w:cs="Times New Roman"/>
          <w:szCs w:val="24"/>
          <w:lang w:val="es-ES"/>
        </w:rPr>
        <w:t xml:space="preserve"> ningún tipo de asistencia ni participan de mecanismos de protección social. </w:t>
      </w:r>
      <w:r w:rsidRPr="00CF177C">
        <w:rPr>
          <w:rFonts w:ascii="Times New Roman" w:hAnsi="Times New Roman" w:cs="Times New Roman"/>
          <w:szCs w:val="24"/>
          <w:lang w:val="es-ES"/>
        </w:rPr>
        <w:t>Entre 2010 y 2015, a</w:t>
      </w:r>
      <w:r w:rsidR="00341501" w:rsidRPr="00CF177C">
        <w:rPr>
          <w:rFonts w:ascii="Times New Roman" w:hAnsi="Times New Roman" w:cs="Times New Roman"/>
          <w:szCs w:val="24"/>
          <w:lang w:val="es-ES"/>
        </w:rPr>
        <w:t>lr</w:t>
      </w:r>
      <w:r w:rsidR="00E56933" w:rsidRPr="00CF177C">
        <w:rPr>
          <w:rFonts w:ascii="Times New Roman" w:hAnsi="Times New Roman" w:cs="Times New Roman"/>
          <w:szCs w:val="24"/>
          <w:lang w:val="es-ES"/>
        </w:rPr>
        <w:t>ededor de un 20% de los niños y adolescentes se encontraba</w:t>
      </w:r>
      <w:r w:rsidR="00341501" w:rsidRPr="00CF177C">
        <w:rPr>
          <w:rFonts w:ascii="Times New Roman" w:hAnsi="Times New Roman" w:cs="Times New Roman"/>
          <w:szCs w:val="24"/>
          <w:lang w:val="es-ES"/>
        </w:rPr>
        <w:t xml:space="preserve"> en esta situación. Estos datos resultan muy similares a los que surgen de la Encuesta Nacional de Protección y Seguridad Social (ENAPROSS) realizada en 2011 </w:t>
      </w:r>
      <w:r w:rsidR="00DF3E29" w:rsidRPr="00CF177C">
        <w:rPr>
          <w:rFonts w:ascii="Times New Roman" w:hAnsi="Times New Roman" w:cs="Times New Roman"/>
          <w:szCs w:val="24"/>
          <w:lang w:val="es-ES"/>
        </w:rPr>
        <w:t>–</w:t>
      </w:r>
      <w:r w:rsidR="00341501" w:rsidRPr="00CF177C">
        <w:rPr>
          <w:rFonts w:ascii="Times New Roman" w:hAnsi="Times New Roman" w:cs="Times New Roman"/>
          <w:szCs w:val="24"/>
          <w:lang w:val="es-ES"/>
        </w:rPr>
        <w:t>más amplia</w:t>
      </w:r>
      <w:r w:rsidR="00DF3E29" w:rsidRPr="00CF177C">
        <w:rPr>
          <w:rFonts w:ascii="Times New Roman" w:hAnsi="Times New Roman" w:cs="Times New Roman"/>
          <w:szCs w:val="24"/>
          <w:lang w:val="es-ES"/>
        </w:rPr>
        <w:t>,</w:t>
      </w:r>
      <w:r w:rsidR="00341501" w:rsidRPr="00CF177C">
        <w:rPr>
          <w:rFonts w:ascii="Times New Roman" w:hAnsi="Times New Roman" w:cs="Times New Roman"/>
          <w:szCs w:val="24"/>
          <w:lang w:val="es-ES"/>
        </w:rPr>
        <w:t xml:space="preserve"> en cuanto a su cobertura</w:t>
      </w:r>
      <w:r w:rsidR="00DF3E29" w:rsidRPr="00CF177C">
        <w:rPr>
          <w:rFonts w:ascii="Times New Roman" w:hAnsi="Times New Roman" w:cs="Times New Roman"/>
          <w:szCs w:val="24"/>
          <w:lang w:val="es-ES"/>
        </w:rPr>
        <w:t>,</w:t>
      </w:r>
      <w:r w:rsidR="00341501" w:rsidRPr="00CF177C">
        <w:rPr>
          <w:rFonts w:ascii="Times New Roman" w:hAnsi="Times New Roman" w:cs="Times New Roman"/>
          <w:szCs w:val="24"/>
          <w:lang w:val="es-ES"/>
        </w:rPr>
        <w:t xml:space="preserve"> que la realizada en 2015</w:t>
      </w:r>
      <w:r w:rsidR="00DF3E29" w:rsidRPr="00CF177C">
        <w:rPr>
          <w:rFonts w:ascii="Times New Roman" w:hAnsi="Times New Roman" w:cs="Times New Roman"/>
          <w:szCs w:val="24"/>
          <w:lang w:val="es-ES"/>
        </w:rPr>
        <w:t>–</w:t>
      </w:r>
      <w:r w:rsidR="00341501" w:rsidRPr="00CF177C">
        <w:rPr>
          <w:rFonts w:ascii="Times New Roman" w:hAnsi="Times New Roman" w:cs="Times New Roman"/>
          <w:szCs w:val="24"/>
          <w:lang w:val="es-ES"/>
        </w:rPr>
        <w:t>, según la cual 25,5% de los niños de los aglomerados urbanos relevados se en</w:t>
      </w:r>
      <w:r w:rsidR="00E56933" w:rsidRPr="00CF177C">
        <w:rPr>
          <w:rFonts w:ascii="Times New Roman" w:hAnsi="Times New Roman" w:cs="Times New Roman"/>
          <w:szCs w:val="24"/>
          <w:lang w:val="es-ES"/>
        </w:rPr>
        <w:t>contraba</w:t>
      </w:r>
      <w:r w:rsidR="00341501" w:rsidRPr="00CF177C">
        <w:rPr>
          <w:rFonts w:ascii="Times New Roman" w:hAnsi="Times New Roman" w:cs="Times New Roman"/>
          <w:szCs w:val="24"/>
          <w:lang w:val="es-ES"/>
        </w:rPr>
        <w:t xml:space="preserve"> sin cobertura de algún mecanismo de protección.</w:t>
      </w:r>
    </w:p>
    <w:p w14:paraId="18E46D09" w14:textId="0F5E9DAE"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[GRÁFICO 1]</w:t>
      </w:r>
    </w:p>
    <w:p w14:paraId="6680128D" w14:textId="77777777" w:rsidR="005F43A3" w:rsidRPr="00CF177C" w:rsidRDefault="005F43A3" w:rsidP="005F43A3">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Los diferentes mecanismos de transferencia de ingresos guardan una estrecha asociación con la posición socioeconómica de los hogares en los que residen los niños. Al respecto, el Gráfico 1 exhibe que, entre los niños que pertenecen a hogares de los dos deciles inferiores, son dominantes las transferencias por AUH (52% y 40%, respectivamente). Entre los niños que pertenecían a los deciles centrales gana relevancia la cobertura por asignaciones familiares. En contraste, entre los deciles superiores (el noveno y el décimo) es frecuente la cobertura por deducción del impuesto a las ganancias. Asimismo, se observa que entre los niños de diferentes deciles se verifica una ausencia de protección, más acentuada entre el primer y el quinto decil. </w:t>
      </w:r>
    </w:p>
    <w:p w14:paraId="5A549F5C" w14:textId="77777777" w:rsidR="00637A3E" w:rsidRPr="00CF177C" w:rsidRDefault="001120EE" w:rsidP="0020049C">
      <w:pPr>
        <w:spacing w:before="120" w:after="120" w:line="360" w:lineRule="auto"/>
        <w:jc w:val="both"/>
        <w:rPr>
          <w:rFonts w:ascii="Times New Roman" w:hAnsi="Times New Roman" w:cs="Times New Roman"/>
          <w:szCs w:val="24"/>
        </w:rPr>
      </w:pPr>
      <w:r w:rsidRPr="00CF177C">
        <w:rPr>
          <w:rFonts w:ascii="Times New Roman" w:hAnsi="Times New Roman" w:cs="Times New Roman"/>
          <w:szCs w:val="24"/>
          <w:lang w:val="es-ES"/>
        </w:rPr>
        <w:t>La información proporcionada por el Gráfico 1</w:t>
      </w:r>
      <w:r w:rsidR="00637A3E" w:rsidRPr="00CF177C">
        <w:rPr>
          <w:rFonts w:ascii="Times New Roman" w:hAnsi="Times New Roman" w:cs="Times New Roman"/>
          <w:szCs w:val="24"/>
          <w:lang w:val="es-ES"/>
        </w:rPr>
        <w:t xml:space="preserve"> sugiere dos conclusiones. En primer lugar, las PTMC no cambian </w:t>
      </w:r>
      <w:r w:rsidRPr="00CF177C">
        <w:rPr>
          <w:rFonts w:ascii="Times New Roman" w:hAnsi="Times New Roman" w:cs="Times New Roman"/>
          <w:szCs w:val="24"/>
          <w:lang w:val="es-ES"/>
        </w:rPr>
        <w:t xml:space="preserve">de forma significativa </w:t>
      </w:r>
      <w:r w:rsidR="00637A3E" w:rsidRPr="00CF177C">
        <w:rPr>
          <w:rFonts w:ascii="Times New Roman" w:hAnsi="Times New Roman" w:cs="Times New Roman"/>
          <w:szCs w:val="24"/>
          <w:lang w:val="es-ES"/>
        </w:rPr>
        <w:t>la posición de los niños y adolescentes en la estructura social</w:t>
      </w:r>
      <w:r w:rsidR="00637A3E" w:rsidRPr="00CF177C">
        <w:rPr>
          <w:rFonts w:ascii="Times New Roman" w:hAnsi="Times New Roman" w:cs="Times New Roman"/>
          <w:vertAlign w:val="superscript"/>
        </w:rPr>
        <w:footnoteReference w:id="9"/>
      </w:r>
      <w:r w:rsidR="00637A3E" w:rsidRPr="00CF177C">
        <w:rPr>
          <w:rFonts w:ascii="Times New Roman" w:hAnsi="Times New Roman" w:cs="Times New Roman"/>
          <w:szCs w:val="24"/>
          <w:lang w:val="es-ES"/>
        </w:rPr>
        <w:t xml:space="preserve">. Por consiguiente, existe una alta correlación entre los mecanismos de transferencias y </w:t>
      </w:r>
      <w:r w:rsidR="00365163" w:rsidRPr="00CF177C">
        <w:rPr>
          <w:rFonts w:ascii="Times New Roman" w:hAnsi="Times New Roman" w:cs="Times New Roman"/>
          <w:szCs w:val="24"/>
          <w:lang w:val="es-ES"/>
        </w:rPr>
        <w:t>una</w:t>
      </w:r>
      <w:r w:rsidR="00637A3E" w:rsidRPr="00CF177C">
        <w:rPr>
          <w:rFonts w:ascii="Times New Roman" w:hAnsi="Times New Roman" w:cs="Times New Roman"/>
          <w:szCs w:val="24"/>
          <w:lang w:val="es-ES"/>
        </w:rPr>
        <w:t xml:space="preserve"> dinámica de </w:t>
      </w:r>
      <w:r w:rsidR="00365163" w:rsidRPr="00CF177C">
        <w:rPr>
          <w:rFonts w:ascii="Times New Roman" w:hAnsi="Times New Roman" w:cs="Times New Roman"/>
          <w:szCs w:val="24"/>
          <w:lang w:val="es-ES"/>
        </w:rPr>
        <w:t xml:space="preserve">desigualdad cuya raíz principal se encuentra en la estructura económico-ocupacional. En segundo lugar, la población que no tiene asistencia </w:t>
      </w:r>
      <w:r w:rsidR="00365163" w:rsidRPr="00CF177C">
        <w:rPr>
          <w:rFonts w:ascii="Times New Roman" w:hAnsi="Times New Roman" w:cs="Times New Roman"/>
          <w:szCs w:val="24"/>
          <w:lang w:val="es-ES"/>
        </w:rPr>
        <w:lastRenderedPageBreak/>
        <w:t xml:space="preserve">es heterogénea y el análisis en términos de deciles de ingreso </w:t>
      </w:r>
      <w:r w:rsidRPr="00CF177C">
        <w:rPr>
          <w:rFonts w:ascii="Times New Roman" w:hAnsi="Times New Roman" w:cs="Times New Roman"/>
          <w:szCs w:val="24"/>
          <w:lang w:val="es-ES"/>
        </w:rPr>
        <w:t>revela</w:t>
      </w:r>
      <w:r w:rsidR="00365163" w:rsidRPr="00CF177C">
        <w:rPr>
          <w:rFonts w:ascii="Times New Roman" w:hAnsi="Times New Roman" w:cs="Times New Roman"/>
          <w:szCs w:val="24"/>
          <w:lang w:val="es-ES"/>
        </w:rPr>
        <w:t xml:space="preserve"> posiciones disímiles en la estructura social. </w:t>
      </w:r>
    </w:p>
    <w:p w14:paraId="7B727B16" w14:textId="77777777" w:rsidR="00365163" w:rsidRPr="00CF177C" w:rsidRDefault="001120EE" w:rsidP="00DF3E29">
      <w:pPr>
        <w:spacing w:before="120" w:after="120" w:line="360" w:lineRule="auto"/>
        <w:jc w:val="both"/>
        <w:rPr>
          <w:rFonts w:ascii="Times New Roman" w:eastAsia="Times New Roman" w:hAnsi="Times New Roman" w:cs="Times New Roman"/>
          <w:szCs w:val="24"/>
          <w:lang w:eastAsia="es-AR"/>
        </w:rPr>
      </w:pPr>
      <w:r w:rsidRPr="00CF177C">
        <w:rPr>
          <w:rFonts w:ascii="Times New Roman" w:hAnsi="Times New Roman" w:cs="Times New Roman"/>
          <w:szCs w:val="24"/>
        </w:rPr>
        <w:t xml:space="preserve">Dentro de la población que no recibe cobertura, </w:t>
      </w:r>
      <w:r w:rsidR="00F877D8" w:rsidRPr="00CF177C">
        <w:rPr>
          <w:rFonts w:ascii="Times New Roman" w:hAnsi="Times New Roman" w:cs="Times New Roman"/>
          <w:szCs w:val="24"/>
          <w:lang w:val="es-ES"/>
        </w:rPr>
        <w:t xml:space="preserve">se </w:t>
      </w:r>
      <w:r w:rsidR="00815791" w:rsidRPr="00CF177C">
        <w:rPr>
          <w:rFonts w:ascii="Times New Roman" w:hAnsi="Times New Roman" w:cs="Times New Roman"/>
          <w:szCs w:val="24"/>
          <w:lang w:val="es-ES"/>
        </w:rPr>
        <w:t>identificó</w:t>
      </w:r>
      <w:r w:rsidR="00E56933" w:rsidRPr="00CF177C">
        <w:rPr>
          <w:rFonts w:ascii="Times New Roman" w:hAnsi="Times New Roman" w:cs="Times New Roman"/>
          <w:szCs w:val="24"/>
          <w:lang w:val="es-ES"/>
        </w:rPr>
        <w:t xml:space="preserve"> a los niños </w:t>
      </w:r>
      <w:r w:rsidR="00F877D8" w:rsidRPr="00CF177C">
        <w:rPr>
          <w:rFonts w:ascii="Times New Roman" w:hAnsi="Times New Roman" w:cs="Times New Roman"/>
          <w:szCs w:val="24"/>
          <w:lang w:val="es-ES"/>
        </w:rPr>
        <w:t xml:space="preserve">y adolescentes que tenían derecho a acceder a la </w:t>
      </w:r>
      <w:r w:rsidR="00365163" w:rsidRPr="00CF177C">
        <w:rPr>
          <w:rFonts w:ascii="Times New Roman" w:hAnsi="Times New Roman" w:cs="Times New Roman"/>
          <w:szCs w:val="24"/>
          <w:lang w:val="es-ES"/>
        </w:rPr>
        <w:t>AUH pero que se encontraban excluidos</w:t>
      </w:r>
      <w:r w:rsidR="00F877D8" w:rsidRPr="00CF177C">
        <w:rPr>
          <w:rFonts w:ascii="Times New Roman" w:hAnsi="Times New Roman" w:cs="Times New Roman"/>
          <w:szCs w:val="24"/>
          <w:lang w:val="es-ES"/>
        </w:rPr>
        <w:t>.</w:t>
      </w:r>
      <w:r w:rsidR="00365163" w:rsidRPr="00CF177C">
        <w:rPr>
          <w:rFonts w:ascii="Times New Roman" w:hAnsi="Times New Roman" w:cs="Times New Roman"/>
          <w:szCs w:val="24"/>
          <w:lang w:val="es-ES"/>
        </w:rPr>
        <w:t xml:space="preserve"> E</w:t>
      </w:r>
      <w:r w:rsidR="00F877D8" w:rsidRPr="00CF177C">
        <w:rPr>
          <w:rFonts w:ascii="Times New Roman" w:hAnsi="Times New Roman" w:cs="Times New Roman"/>
          <w:szCs w:val="24"/>
          <w:lang w:val="es-ES"/>
        </w:rPr>
        <w:t xml:space="preserve">ste grupo </w:t>
      </w:r>
      <w:r w:rsidR="00DF3E29" w:rsidRPr="00CF177C">
        <w:rPr>
          <w:rFonts w:ascii="Times New Roman" w:hAnsi="Times New Roman" w:cs="Times New Roman"/>
          <w:szCs w:val="24"/>
          <w:lang w:val="es-ES"/>
        </w:rPr>
        <w:t>quedó</w:t>
      </w:r>
      <w:r w:rsidR="00F877D8" w:rsidRPr="00CF177C">
        <w:rPr>
          <w:rFonts w:ascii="Times New Roman" w:hAnsi="Times New Roman" w:cs="Times New Roman"/>
          <w:szCs w:val="24"/>
          <w:lang w:val="es-ES"/>
        </w:rPr>
        <w:t xml:space="preserve"> conformado por aquellos </w:t>
      </w:r>
      <w:r w:rsidR="00E56933" w:rsidRPr="00CF177C">
        <w:rPr>
          <w:rFonts w:ascii="Times New Roman" w:hAnsi="Times New Roman" w:cs="Times New Roman"/>
          <w:szCs w:val="24"/>
          <w:lang w:val="es-ES"/>
        </w:rPr>
        <w:t>niños</w:t>
      </w:r>
      <w:r w:rsidR="001357ED" w:rsidRPr="00CF177C">
        <w:rPr>
          <w:rFonts w:ascii="Times New Roman" w:hAnsi="Times New Roman" w:cs="Times New Roman"/>
          <w:szCs w:val="24"/>
          <w:lang w:val="es-ES"/>
        </w:rPr>
        <w:t xml:space="preserve"> cuyos padres se desempeñan en la economía informal, o son desocupados y no cobran seguro de desempleo, o bien son trabajadores registrados en el servicio doméstico o trabajadores temporarios.</w:t>
      </w:r>
      <w:r w:rsidR="00F877D8" w:rsidRPr="00CF177C">
        <w:rPr>
          <w:rFonts w:ascii="Times New Roman" w:hAnsi="Times New Roman" w:cs="Times New Roman"/>
          <w:szCs w:val="24"/>
          <w:lang w:val="es-ES"/>
        </w:rPr>
        <w:t xml:space="preserve"> </w:t>
      </w:r>
      <w:r w:rsidR="00DF3E29" w:rsidRPr="00CF177C">
        <w:rPr>
          <w:rFonts w:ascii="Times New Roman" w:eastAsia="Times New Roman" w:hAnsi="Times New Roman" w:cs="Times New Roman"/>
          <w:szCs w:val="24"/>
          <w:lang w:eastAsia="es-AR"/>
        </w:rPr>
        <w:t xml:space="preserve">Cabe señalar que, a partir de 2016, se amplió la cobertura del sistema de asignaciones familiares, que pasó a incluir a los hijos de los </w:t>
      </w:r>
      <w:proofErr w:type="spellStart"/>
      <w:r w:rsidR="00DF3E29" w:rsidRPr="00CF177C">
        <w:rPr>
          <w:rFonts w:ascii="Times New Roman" w:eastAsia="Times New Roman" w:hAnsi="Times New Roman" w:cs="Times New Roman"/>
          <w:szCs w:val="24"/>
          <w:lang w:eastAsia="es-AR"/>
        </w:rPr>
        <w:t>monotributistas</w:t>
      </w:r>
      <w:proofErr w:type="spellEnd"/>
      <w:r w:rsidR="00DF3E29" w:rsidRPr="00CF177C">
        <w:rPr>
          <w:rFonts w:ascii="Times New Roman" w:eastAsia="Times New Roman" w:hAnsi="Times New Roman" w:cs="Times New Roman"/>
          <w:szCs w:val="24"/>
          <w:lang w:eastAsia="es-AR"/>
        </w:rPr>
        <w:t xml:space="preserve">. Dado que los datos surgen de </w:t>
      </w:r>
      <w:r w:rsidR="00815791" w:rsidRPr="00CF177C">
        <w:rPr>
          <w:rFonts w:ascii="Times New Roman" w:eastAsia="Times New Roman" w:hAnsi="Times New Roman" w:cs="Times New Roman"/>
          <w:szCs w:val="24"/>
          <w:lang w:eastAsia="es-AR"/>
        </w:rPr>
        <w:t xml:space="preserve">relevamientos de la EDSA previos </w:t>
      </w:r>
      <w:r w:rsidR="00DF3E29" w:rsidRPr="00CF177C">
        <w:rPr>
          <w:rFonts w:ascii="Times New Roman" w:eastAsia="Times New Roman" w:hAnsi="Times New Roman" w:cs="Times New Roman"/>
          <w:szCs w:val="24"/>
          <w:lang w:eastAsia="es-AR"/>
        </w:rPr>
        <w:t xml:space="preserve">al cambio de legislación reciente, los hijos/as de </w:t>
      </w:r>
      <w:proofErr w:type="spellStart"/>
      <w:r w:rsidR="00DF3E29" w:rsidRPr="00CF177C">
        <w:rPr>
          <w:rFonts w:ascii="Times New Roman" w:eastAsia="Times New Roman" w:hAnsi="Times New Roman" w:cs="Times New Roman"/>
          <w:szCs w:val="24"/>
          <w:lang w:eastAsia="es-AR"/>
        </w:rPr>
        <w:t>monotributistas</w:t>
      </w:r>
      <w:proofErr w:type="spellEnd"/>
      <w:r w:rsidR="00DF3E29" w:rsidRPr="00CF177C">
        <w:rPr>
          <w:rFonts w:ascii="Times New Roman" w:eastAsia="Times New Roman" w:hAnsi="Times New Roman" w:cs="Times New Roman"/>
          <w:szCs w:val="24"/>
          <w:lang w:eastAsia="es-AR"/>
        </w:rPr>
        <w:t xml:space="preserve"> fueron incluidos en la población sin protección. </w:t>
      </w:r>
      <w:r w:rsidR="000A2D4D" w:rsidRPr="00CF177C">
        <w:rPr>
          <w:rFonts w:ascii="Times New Roman" w:eastAsia="Times New Roman" w:hAnsi="Times New Roman" w:cs="Times New Roman"/>
          <w:szCs w:val="24"/>
          <w:lang w:eastAsia="es-AR"/>
        </w:rPr>
        <w:t>Ello pareció relevante</w:t>
      </w:r>
      <w:r w:rsidR="00815791" w:rsidRPr="00CF177C">
        <w:rPr>
          <w:rFonts w:ascii="Times New Roman" w:eastAsia="Times New Roman" w:hAnsi="Times New Roman" w:cs="Times New Roman"/>
          <w:szCs w:val="24"/>
          <w:lang w:eastAsia="es-AR"/>
        </w:rPr>
        <w:t xml:space="preserve"> </w:t>
      </w:r>
      <w:r w:rsidR="000A2D4D" w:rsidRPr="00CF177C">
        <w:rPr>
          <w:rFonts w:ascii="Times New Roman" w:eastAsia="Times New Roman" w:hAnsi="Times New Roman" w:cs="Times New Roman"/>
          <w:szCs w:val="24"/>
          <w:lang w:eastAsia="es-AR"/>
        </w:rPr>
        <w:t>para conocer la participación y las características de esta población particular al interior de los no protegidos</w:t>
      </w:r>
      <w:r w:rsidRPr="00CF177C">
        <w:rPr>
          <w:rFonts w:ascii="Times New Roman" w:hAnsi="Times New Roman" w:cs="Times New Roman"/>
          <w:szCs w:val="24"/>
          <w:vertAlign w:val="superscript"/>
        </w:rPr>
        <w:footnoteReference w:id="10"/>
      </w:r>
      <w:r w:rsidR="000A2D4D" w:rsidRPr="00CF177C">
        <w:rPr>
          <w:rFonts w:ascii="Times New Roman" w:eastAsia="Times New Roman" w:hAnsi="Times New Roman" w:cs="Times New Roman"/>
          <w:szCs w:val="24"/>
          <w:lang w:eastAsia="es-AR"/>
        </w:rPr>
        <w:t xml:space="preserve">. </w:t>
      </w:r>
    </w:p>
    <w:p w14:paraId="71E9060E" w14:textId="77777777" w:rsidR="00365163" w:rsidRPr="00CF177C" w:rsidRDefault="002C702C" w:rsidP="00DF3E29">
      <w:pPr>
        <w:spacing w:before="120" w:after="120" w:line="360" w:lineRule="auto"/>
        <w:jc w:val="both"/>
        <w:rPr>
          <w:rFonts w:ascii="Times New Roman" w:hAnsi="Times New Roman" w:cs="Times New Roman"/>
          <w:szCs w:val="24"/>
        </w:rPr>
      </w:pPr>
      <w:r w:rsidRPr="00CF177C">
        <w:rPr>
          <w:rFonts w:ascii="Times New Roman" w:hAnsi="Times New Roman" w:cs="Times New Roman"/>
          <w:szCs w:val="24"/>
        </w:rPr>
        <w:t>En el Gráfico 2 se presenta la evolución de la población elegible no beneficiaria de la AUH según los distintos años de relevamiento. En promedio, 9,6% de los niños y adolescentes entre 2010 y 2015 eran elegibles</w:t>
      </w:r>
      <w:r w:rsidR="00EE5017" w:rsidRPr="00CF177C">
        <w:rPr>
          <w:rFonts w:ascii="Times New Roman" w:hAnsi="Times New Roman" w:cs="Times New Roman"/>
          <w:szCs w:val="24"/>
        </w:rPr>
        <w:t>,</w:t>
      </w:r>
      <w:r w:rsidRPr="00CF177C">
        <w:rPr>
          <w:rFonts w:ascii="Times New Roman" w:hAnsi="Times New Roman" w:cs="Times New Roman"/>
          <w:szCs w:val="24"/>
        </w:rPr>
        <w:t xml:space="preserve"> pero se encontraban excluidos del cobro de la AUH</w:t>
      </w:r>
      <w:r w:rsidR="00EE5017" w:rsidRPr="00CF177C">
        <w:rPr>
          <w:rFonts w:ascii="Times New Roman" w:hAnsi="Times New Roman" w:cs="Times New Roman"/>
          <w:szCs w:val="24"/>
        </w:rPr>
        <w:t xml:space="preserve">. Esta proporción fue levemente más alta en 2010, cuando el programa era más reciente (y, por tanto, cabe suponer que tenía menor difusión) y se mantuvo estable en los demás años considerados. </w:t>
      </w:r>
    </w:p>
    <w:p w14:paraId="4B799A94" w14:textId="19839BF0"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[GRÁFICO 2]</w:t>
      </w:r>
    </w:p>
    <w:p w14:paraId="7ED86B43" w14:textId="106B6B8A" w:rsidR="00EE5017" w:rsidRDefault="00EE5017" w:rsidP="00EE5017">
      <w:pPr>
        <w:spacing w:before="120" w:after="120" w:line="360" w:lineRule="auto"/>
        <w:jc w:val="both"/>
        <w:rPr>
          <w:rFonts w:ascii="Times New Roman" w:hAnsi="Times New Roman" w:cs="Times New Roman"/>
          <w:szCs w:val="24"/>
        </w:rPr>
      </w:pPr>
      <w:r w:rsidRPr="00CF177C">
        <w:rPr>
          <w:rFonts w:ascii="Times New Roman" w:hAnsi="Times New Roman" w:cs="Times New Roman"/>
          <w:szCs w:val="24"/>
        </w:rPr>
        <w:t>La distribución de la población excluida por deciles de ingreso</w:t>
      </w:r>
      <w:r w:rsidR="00123956" w:rsidRPr="00CF177C">
        <w:rPr>
          <w:rFonts w:ascii="Times New Roman" w:hAnsi="Times New Roman" w:cs="Times New Roman"/>
          <w:szCs w:val="24"/>
        </w:rPr>
        <w:t xml:space="preserve"> per cápita familiar</w:t>
      </w:r>
      <w:r w:rsidRPr="00CF177C">
        <w:rPr>
          <w:rFonts w:ascii="Times New Roman" w:hAnsi="Times New Roman" w:cs="Times New Roman"/>
          <w:szCs w:val="24"/>
        </w:rPr>
        <w:t xml:space="preserve"> (Gráfico 3) </w:t>
      </w:r>
      <w:r w:rsidR="00123956" w:rsidRPr="00CF177C">
        <w:rPr>
          <w:rFonts w:ascii="Times New Roman" w:hAnsi="Times New Roman" w:cs="Times New Roman"/>
          <w:szCs w:val="24"/>
        </w:rPr>
        <w:t xml:space="preserve">brinda una primera aproximación al perfil socioeconómico de estos niños y adolescentes. Casi 8 de cada 10 niños (77,2%) excluidos de la AUH pertenecían a hogares de los tres deciles inferiores de la estructura socioeconómica. En contraste, 14% de los niños y adolescentes residían en hogares ubicados en los cinco deciles superiores de la distribución. Las próximas secciones se orientan a reconocer con mayor detalle el perfil socioeconómico de estos niños y adolescentes procurando recoger algunos rasgos que dan cuenta de su heterogeneidad interna en términos de composición y principales atributos. </w:t>
      </w:r>
    </w:p>
    <w:p w14:paraId="040942A3" w14:textId="59578905" w:rsidR="00F1487B" w:rsidRPr="00CF177C" w:rsidRDefault="00F1487B" w:rsidP="00F1487B">
      <w:pPr>
        <w:spacing w:after="120" w:line="360" w:lineRule="auto"/>
        <w:jc w:val="center"/>
        <w:rPr>
          <w:rFonts w:ascii="Times New Roman" w:hAnsi="Times New Roman" w:cs="Times New Roman"/>
          <w:szCs w:val="24"/>
        </w:rPr>
      </w:pPr>
      <w:r>
        <w:rPr>
          <w:rFonts w:ascii="Times New Roman" w:eastAsia="Calibri" w:hAnsi="Times New Roman" w:cs="Times New Roman"/>
        </w:rPr>
        <w:t>[GRÁFICO 3]</w:t>
      </w:r>
    </w:p>
    <w:p w14:paraId="12F4FCA3" w14:textId="77777777" w:rsidR="001F1BF8" w:rsidRPr="00CF177C" w:rsidRDefault="0063529B" w:rsidP="001120EE">
      <w:pPr>
        <w:keepNext/>
        <w:spacing w:before="360" w:after="240" w:line="240" w:lineRule="auto"/>
        <w:jc w:val="both"/>
        <w:rPr>
          <w:rFonts w:ascii="Times New Roman" w:hAnsi="Times New Roman" w:cs="Times New Roman"/>
          <w:b/>
          <w:szCs w:val="24"/>
          <w:lang w:val="es-ES"/>
        </w:rPr>
      </w:pPr>
      <w:r w:rsidRPr="00CF177C">
        <w:rPr>
          <w:rFonts w:ascii="Times New Roman" w:hAnsi="Times New Roman" w:cs="Times New Roman"/>
          <w:b/>
          <w:szCs w:val="24"/>
        </w:rPr>
        <w:lastRenderedPageBreak/>
        <w:t>3</w:t>
      </w:r>
      <w:r w:rsidR="00BF7979" w:rsidRPr="00CF177C">
        <w:rPr>
          <w:rFonts w:ascii="Times New Roman" w:hAnsi="Times New Roman" w:cs="Times New Roman"/>
          <w:b/>
          <w:szCs w:val="24"/>
        </w:rPr>
        <w:t>.</w:t>
      </w:r>
      <w:r w:rsidR="00D76D7F" w:rsidRPr="00CF177C">
        <w:rPr>
          <w:rFonts w:ascii="Times New Roman" w:hAnsi="Times New Roman" w:cs="Times New Roman"/>
          <w:b/>
          <w:szCs w:val="24"/>
        </w:rPr>
        <w:t xml:space="preserve"> </w:t>
      </w:r>
      <w:r w:rsidR="002E5E6C">
        <w:rPr>
          <w:rFonts w:ascii="Times New Roman" w:hAnsi="Times New Roman" w:cs="Times New Roman"/>
          <w:b/>
          <w:szCs w:val="24"/>
        </w:rPr>
        <w:t xml:space="preserve">Perfil social y </w:t>
      </w:r>
      <w:r w:rsidR="002E5E6C">
        <w:rPr>
          <w:rFonts w:ascii="Times New Roman" w:hAnsi="Times New Roman" w:cs="Times New Roman"/>
          <w:b/>
          <w:szCs w:val="24"/>
          <w:lang w:val="es-ES"/>
        </w:rPr>
        <w:t>f</w:t>
      </w:r>
      <w:r w:rsidR="00F77322" w:rsidRPr="00CF177C">
        <w:rPr>
          <w:rFonts w:ascii="Times New Roman" w:hAnsi="Times New Roman" w:cs="Times New Roman"/>
          <w:b/>
          <w:szCs w:val="24"/>
          <w:lang w:val="es-ES"/>
        </w:rPr>
        <w:t xml:space="preserve">actores asociados a la exclusión de la AUH </w:t>
      </w:r>
    </w:p>
    <w:p w14:paraId="5B8CC245" w14:textId="77777777" w:rsidR="0028786C" w:rsidRPr="00CF177C" w:rsidRDefault="00F77322" w:rsidP="000E1A97">
      <w:pPr>
        <w:spacing w:before="120" w:after="120" w:line="360" w:lineRule="auto"/>
        <w:jc w:val="both"/>
        <w:rPr>
          <w:rFonts w:ascii="Times New Roman" w:eastAsia="Times New Roman" w:hAnsi="Times New Roman" w:cs="Times New Roman"/>
          <w:szCs w:val="24"/>
          <w:lang w:eastAsia="es-AR"/>
        </w:rPr>
      </w:pPr>
      <w:r w:rsidRPr="00CF177C">
        <w:rPr>
          <w:rFonts w:ascii="Times New Roman" w:eastAsia="Times New Roman" w:hAnsi="Times New Roman" w:cs="Times New Roman"/>
          <w:szCs w:val="24"/>
          <w:lang w:eastAsia="es-AR"/>
        </w:rPr>
        <w:t xml:space="preserve">Este apartado aborda las </w:t>
      </w:r>
      <w:r w:rsidR="0063529B" w:rsidRPr="00CF177C">
        <w:rPr>
          <w:rFonts w:ascii="Times New Roman" w:eastAsia="Times New Roman" w:hAnsi="Times New Roman" w:cs="Times New Roman"/>
          <w:szCs w:val="24"/>
          <w:lang w:eastAsia="es-AR"/>
        </w:rPr>
        <w:t xml:space="preserve">características </w:t>
      </w:r>
      <w:r w:rsidRPr="00CF177C">
        <w:rPr>
          <w:rFonts w:ascii="Times New Roman" w:eastAsia="Times New Roman" w:hAnsi="Times New Roman" w:cs="Times New Roman"/>
          <w:szCs w:val="24"/>
          <w:lang w:eastAsia="es-AR"/>
        </w:rPr>
        <w:t xml:space="preserve">que </w:t>
      </w:r>
      <w:r w:rsidR="0063529B" w:rsidRPr="00CF177C">
        <w:rPr>
          <w:rFonts w:ascii="Times New Roman" w:eastAsia="Times New Roman" w:hAnsi="Times New Roman" w:cs="Times New Roman"/>
          <w:szCs w:val="24"/>
          <w:lang w:eastAsia="es-AR"/>
        </w:rPr>
        <w:t>tienen las poblaciones no perceptoras de la AUH</w:t>
      </w:r>
      <w:r w:rsidRPr="00CF177C">
        <w:rPr>
          <w:rFonts w:ascii="Times New Roman" w:eastAsia="Times New Roman" w:hAnsi="Times New Roman" w:cs="Times New Roman"/>
          <w:szCs w:val="24"/>
          <w:lang w:eastAsia="es-AR"/>
        </w:rPr>
        <w:t xml:space="preserve"> que podrían acceder a este instrumento. Con este propósito, se implementan dos estrategias. En primer lugar, se comparan </w:t>
      </w:r>
      <w:r w:rsidRPr="00C05E3D">
        <w:rPr>
          <w:rFonts w:ascii="Times New Roman" w:eastAsia="Times New Roman" w:hAnsi="Times New Roman" w:cs="Times New Roman"/>
          <w:szCs w:val="24"/>
          <w:lang w:eastAsia="es-AR"/>
        </w:rPr>
        <w:t xml:space="preserve">las características de la población elegible excluida </w:t>
      </w:r>
      <w:r w:rsidR="002E5E6C" w:rsidRPr="00C05E3D">
        <w:rPr>
          <w:rFonts w:ascii="Times New Roman" w:eastAsia="Times New Roman" w:hAnsi="Times New Roman" w:cs="Times New Roman"/>
          <w:szCs w:val="24"/>
          <w:lang w:eastAsia="es-AR"/>
        </w:rPr>
        <w:t>respecto de la población incluida en la</w:t>
      </w:r>
      <w:r w:rsidR="0028786C" w:rsidRPr="00C05E3D">
        <w:rPr>
          <w:rFonts w:ascii="Times New Roman" w:eastAsia="Times New Roman" w:hAnsi="Times New Roman" w:cs="Times New Roman"/>
          <w:szCs w:val="24"/>
          <w:lang w:eastAsia="es-AR"/>
        </w:rPr>
        <w:t xml:space="preserve"> AUH. En segundo lugar, mediante técnicas exploratorias se analizan los perfiles sociales de </w:t>
      </w:r>
      <w:r w:rsidR="002E5E6C" w:rsidRPr="00C05E3D">
        <w:rPr>
          <w:rFonts w:ascii="Times New Roman" w:eastAsia="Times New Roman" w:hAnsi="Times New Roman" w:cs="Times New Roman"/>
          <w:szCs w:val="24"/>
          <w:lang w:eastAsia="es-AR"/>
        </w:rPr>
        <w:t>los primeros</w:t>
      </w:r>
      <w:r w:rsidR="0028786C" w:rsidRPr="00C05E3D">
        <w:rPr>
          <w:rFonts w:ascii="Times New Roman" w:eastAsia="Times New Roman" w:hAnsi="Times New Roman" w:cs="Times New Roman"/>
          <w:szCs w:val="24"/>
          <w:lang w:eastAsia="es-AR"/>
        </w:rPr>
        <w:t>.</w:t>
      </w:r>
      <w:r w:rsidR="0028786C" w:rsidRPr="00CF177C">
        <w:rPr>
          <w:rFonts w:ascii="Times New Roman" w:eastAsia="Times New Roman" w:hAnsi="Times New Roman" w:cs="Times New Roman"/>
          <w:szCs w:val="24"/>
          <w:lang w:eastAsia="es-AR"/>
        </w:rPr>
        <w:t xml:space="preserve"> </w:t>
      </w:r>
    </w:p>
    <w:p w14:paraId="4205AEBA" w14:textId="7597BCF7" w:rsidR="005829D8" w:rsidRPr="00CF177C" w:rsidRDefault="0063529B" w:rsidP="000E1A97">
      <w:pPr>
        <w:spacing w:before="120" w:after="120" w:line="360" w:lineRule="auto"/>
        <w:jc w:val="both"/>
        <w:rPr>
          <w:rFonts w:ascii="Times New Roman" w:eastAsia="Times New Roman" w:hAnsi="Times New Roman" w:cs="Times New Roman"/>
          <w:szCs w:val="24"/>
          <w:lang w:eastAsia="es-AR"/>
        </w:rPr>
      </w:pPr>
      <w:r w:rsidRPr="00CF177C">
        <w:rPr>
          <w:rFonts w:ascii="Times New Roman" w:eastAsia="Times New Roman" w:hAnsi="Times New Roman" w:cs="Times New Roman"/>
          <w:szCs w:val="24"/>
          <w:lang w:eastAsia="es-AR"/>
        </w:rPr>
        <w:t>¿</w:t>
      </w:r>
      <w:r w:rsidR="0028786C" w:rsidRPr="00CF177C">
        <w:rPr>
          <w:rFonts w:ascii="Times New Roman" w:eastAsia="Times New Roman" w:hAnsi="Times New Roman" w:cs="Times New Roman"/>
          <w:szCs w:val="24"/>
          <w:lang w:eastAsia="es-AR"/>
        </w:rPr>
        <w:t>Q</w:t>
      </w:r>
      <w:r w:rsidRPr="00CF177C">
        <w:rPr>
          <w:rFonts w:ascii="Times New Roman" w:eastAsia="Times New Roman" w:hAnsi="Times New Roman" w:cs="Times New Roman"/>
          <w:szCs w:val="24"/>
          <w:lang w:eastAsia="es-AR"/>
        </w:rPr>
        <w:t xml:space="preserve">ué factores se asocian a la probabilidad de no ser perceptor de la AUH cuando se reúnen características de elegibilidad </w:t>
      </w:r>
      <w:r w:rsidR="00C05E3D">
        <w:rPr>
          <w:rFonts w:ascii="Times New Roman" w:eastAsia="Times New Roman" w:hAnsi="Times New Roman" w:cs="Times New Roman"/>
          <w:szCs w:val="24"/>
          <w:lang w:eastAsia="es-AR"/>
        </w:rPr>
        <w:t>establecidas</w:t>
      </w:r>
      <w:r w:rsidRPr="00CF177C">
        <w:rPr>
          <w:rFonts w:ascii="Times New Roman" w:eastAsia="Times New Roman" w:hAnsi="Times New Roman" w:cs="Times New Roman"/>
          <w:szCs w:val="24"/>
          <w:lang w:eastAsia="es-AR"/>
        </w:rPr>
        <w:t xml:space="preserve"> por el programa? </w:t>
      </w:r>
      <w:r w:rsidR="001F1BF8" w:rsidRPr="00CF177C">
        <w:rPr>
          <w:rFonts w:ascii="Times New Roman" w:eastAsia="Times New Roman" w:hAnsi="Times New Roman" w:cs="Times New Roman"/>
          <w:szCs w:val="24"/>
          <w:lang w:eastAsia="es-AR"/>
        </w:rPr>
        <w:t xml:space="preserve">A partir de </w:t>
      </w:r>
      <w:r w:rsidR="000E1A97" w:rsidRPr="00CF177C">
        <w:rPr>
          <w:rFonts w:ascii="Times New Roman" w:eastAsia="Times New Roman" w:hAnsi="Times New Roman" w:cs="Times New Roman"/>
          <w:szCs w:val="24"/>
          <w:lang w:eastAsia="es-AR"/>
        </w:rPr>
        <w:t>un</w:t>
      </w:r>
      <w:r w:rsidR="001F1BF8" w:rsidRPr="00CF177C">
        <w:rPr>
          <w:rFonts w:ascii="Times New Roman" w:eastAsia="Times New Roman" w:hAnsi="Times New Roman" w:cs="Times New Roman"/>
          <w:szCs w:val="24"/>
          <w:lang w:eastAsia="es-AR"/>
        </w:rPr>
        <w:t xml:space="preserve"> modelo de regresión logística</w:t>
      </w:r>
      <w:r w:rsidR="00C11FB4" w:rsidRPr="00CF177C">
        <w:rPr>
          <w:rStyle w:val="Refdenotaalpie"/>
          <w:rFonts w:ascii="Times New Roman" w:eastAsia="Times New Roman" w:hAnsi="Times New Roman" w:cs="Times New Roman"/>
          <w:szCs w:val="24"/>
          <w:lang w:eastAsia="es-AR"/>
        </w:rPr>
        <w:footnoteReference w:id="11"/>
      </w:r>
      <w:r w:rsidR="001F1BF8" w:rsidRPr="00CF177C">
        <w:rPr>
          <w:rFonts w:ascii="Times New Roman" w:eastAsia="Times New Roman" w:hAnsi="Times New Roman" w:cs="Times New Roman"/>
          <w:szCs w:val="24"/>
          <w:lang w:eastAsia="es-AR"/>
        </w:rPr>
        <w:t xml:space="preserve"> se procur</w:t>
      </w:r>
      <w:r w:rsidR="0028786C" w:rsidRPr="00CF177C">
        <w:rPr>
          <w:rFonts w:ascii="Times New Roman" w:eastAsia="Times New Roman" w:hAnsi="Times New Roman" w:cs="Times New Roman"/>
          <w:szCs w:val="24"/>
          <w:lang w:eastAsia="es-AR"/>
        </w:rPr>
        <w:t>a</w:t>
      </w:r>
      <w:r w:rsidR="001F1BF8" w:rsidRPr="00CF177C">
        <w:rPr>
          <w:rFonts w:ascii="Times New Roman" w:eastAsia="Times New Roman" w:hAnsi="Times New Roman" w:cs="Times New Roman"/>
          <w:szCs w:val="24"/>
          <w:lang w:eastAsia="es-AR"/>
        </w:rPr>
        <w:t xml:space="preserve"> identificar </w:t>
      </w:r>
      <w:r w:rsidR="000E1A97" w:rsidRPr="00CF177C">
        <w:rPr>
          <w:rFonts w:ascii="Times New Roman" w:eastAsia="Times New Roman" w:hAnsi="Times New Roman" w:cs="Times New Roman"/>
          <w:szCs w:val="24"/>
          <w:lang w:eastAsia="es-AR"/>
        </w:rPr>
        <w:t xml:space="preserve">aquellos </w:t>
      </w:r>
      <w:r w:rsidR="001F1BF8" w:rsidRPr="00CF177C">
        <w:rPr>
          <w:rFonts w:ascii="Times New Roman" w:eastAsia="Times New Roman" w:hAnsi="Times New Roman" w:cs="Times New Roman"/>
          <w:szCs w:val="24"/>
          <w:lang w:eastAsia="es-AR"/>
        </w:rPr>
        <w:t xml:space="preserve">factores asociados a la no percepción de la AUH. </w:t>
      </w:r>
      <w:r w:rsidR="000E1A97" w:rsidRPr="00CF177C">
        <w:rPr>
          <w:rFonts w:ascii="Times New Roman" w:eastAsia="Times New Roman" w:hAnsi="Times New Roman" w:cs="Times New Roman"/>
          <w:szCs w:val="24"/>
          <w:lang w:eastAsia="es-AR"/>
        </w:rPr>
        <w:t>E</w:t>
      </w:r>
      <w:r w:rsidR="005829D8" w:rsidRPr="00CF177C">
        <w:rPr>
          <w:rFonts w:ascii="Times New Roman" w:eastAsia="Times New Roman" w:hAnsi="Times New Roman" w:cs="Times New Roman"/>
          <w:szCs w:val="24"/>
          <w:lang w:eastAsia="es-AR"/>
        </w:rPr>
        <w:t>ste modelo multivariado permite especificar</w:t>
      </w:r>
      <w:r w:rsidR="000E1A97" w:rsidRPr="00CF177C">
        <w:rPr>
          <w:rFonts w:ascii="Times New Roman" w:eastAsia="Times New Roman" w:hAnsi="Times New Roman" w:cs="Times New Roman"/>
          <w:szCs w:val="24"/>
          <w:lang w:eastAsia="es-AR"/>
        </w:rPr>
        <w:t>,</w:t>
      </w:r>
      <w:r w:rsidR="005829D8" w:rsidRPr="00CF177C">
        <w:rPr>
          <w:rFonts w:ascii="Times New Roman" w:eastAsia="Times New Roman" w:hAnsi="Times New Roman" w:cs="Times New Roman"/>
          <w:szCs w:val="24"/>
          <w:lang w:eastAsia="es-AR"/>
        </w:rPr>
        <w:t xml:space="preserve"> </w:t>
      </w:r>
      <w:r w:rsidR="000E1A97" w:rsidRPr="00CF177C">
        <w:rPr>
          <w:rFonts w:ascii="Times New Roman" w:eastAsia="Times New Roman" w:hAnsi="Times New Roman" w:cs="Times New Roman"/>
          <w:szCs w:val="24"/>
          <w:lang w:eastAsia="es-AR"/>
        </w:rPr>
        <w:t>dentro de las</w:t>
      </w:r>
      <w:r w:rsidR="005829D8" w:rsidRPr="00CF177C">
        <w:rPr>
          <w:rFonts w:ascii="Times New Roman" w:eastAsia="Times New Roman" w:hAnsi="Times New Roman" w:cs="Times New Roman"/>
          <w:szCs w:val="24"/>
          <w:lang w:eastAsia="es-AR"/>
        </w:rPr>
        <w:t xml:space="preserve"> poblaciones elegibles</w:t>
      </w:r>
      <w:r w:rsidR="000E1A97" w:rsidRPr="00CF177C">
        <w:rPr>
          <w:rFonts w:ascii="Times New Roman" w:eastAsia="Times New Roman" w:hAnsi="Times New Roman" w:cs="Times New Roman"/>
          <w:szCs w:val="24"/>
          <w:lang w:eastAsia="es-AR"/>
        </w:rPr>
        <w:t>,</w:t>
      </w:r>
      <w:r w:rsidR="005829D8" w:rsidRPr="00CF177C">
        <w:rPr>
          <w:rFonts w:ascii="Times New Roman" w:eastAsia="Times New Roman" w:hAnsi="Times New Roman" w:cs="Times New Roman"/>
          <w:szCs w:val="24"/>
          <w:lang w:eastAsia="es-AR"/>
        </w:rPr>
        <w:t xml:space="preserve"> algunos de los factores específicos </w:t>
      </w:r>
      <w:r w:rsidR="00FB4AC6" w:rsidRPr="00CF177C">
        <w:rPr>
          <w:rFonts w:ascii="Times New Roman" w:eastAsia="Times New Roman" w:hAnsi="Times New Roman" w:cs="Times New Roman"/>
          <w:szCs w:val="24"/>
          <w:lang w:eastAsia="es-AR"/>
        </w:rPr>
        <w:t xml:space="preserve">que podrían estar </w:t>
      </w:r>
      <w:r w:rsidR="005829D8" w:rsidRPr="00CF177C">
        <w:rPr>
          <w:rFonts w:ascii="Times New Roman" w:eastAsia="Times New Roman" w:hAnsi="Times New Roman" w:cs="Times New Roman"/>
          <w:szCs w:val="24"/>
          <w:lang w:eastAsia="es-AR"/>
        </w:rPr>
        <w:t xml:space="preserve">asociados </w:t>
      </w:r>
      <w:r w:rsidR="00FB4AC6" w:rsidRPr="00CF177C">
        <w:rPr>
          <w:rFonts w:ascii="Times New Roman" w:eastAsia="Times New Roman" w:hAnsi="Times New Roman" w:cs="Times New Roman"/>
          <w:szCs w:val="24"/>
          <w:lang w:eastAsia="es-AR"/>
        </w:rPr>
        <w:t xml:space="preserve">con </w:t>
      </w:r>
      <w:r w:rsidR="005829D8" w:rsidRPr="00CF177C">
        <w:rPr>
          <w:rFonts w:ascii="Times New Roman" w:eastAsia="Times New Roman" w:hAnsi="Times New Roman" w:cs="Times New Roman"/>
          <w:szCs w:val="24"/>
          <w:lang w:eastAsia="es-AR"/>
        </w:rPr>
        <w:t xml:space="preserve">la no percepción de la AUH. </w:t>
      </w:r>
    </w:p>
    <w:p w14:paraId="6F0CF15B" w14:textId="32684327" w:rsidR="00F77322" w:rsidRDefault="001D38A5" w:rsidP="000E1A97">
      <w:pPr>
        <w:spacing w:before="120" w:after="120" w:line="360" w:lineRule="auto"/>
        <w:jc w:val="both"/>
        <w:rPr>
          <w:rFonts w:ascii="Times New Roman" w:eastAsia="Times New Roman" w:hAnsi="Times New Roman" w:cs="Times New Roman"/>
          <w:szCs w:val="24"/>
          <w:lang w:eastAsia="es-AR"/>
        </w:rPr>
      </w:pPr>
      <w:r w:rsidRPr="00CF177C">
        <w:rPr>
          <w:rFonts w:ascii="Times New Roman" w:eastAsia="Times New Roman" w:hAnsi="Times New Roman" w:cs="Times New Roman"/>
          <w:szCs w:val="24"/>
          <w:lang w:eastAsia="es-AR"/>
        </w:rPr>
        <w:t>De acuerdo con los resul</w:t>
      </w:r>
      <w:r w:rsidR="00F91D00" w:rsidRPr="00CF177C">
        <w:rPr>
          <w:rFonts w:ascii="Times New Roman" w:eastAsia="Times New Roman" w:hAnsi="Times New Roman" w:cs="Times New Roman"/>
          <w:szCs w:val="24"/>
          <w:lang w:eastAsia="es-AR"/>
        </w:rPr>
        <w:t xml:space="preserve">tados expuestos en el Cuadro </w:t>
      </w:r>
      <w:r w:rsidR="007F438D">
        <w:rPr>
          <w:rFonts w:ascii="Times New Roman" w:eastAsia="Times New Roman" w:hAnsi="Times New Roman" w:cs="Times New Roman"/>
          <w:szCs w:val="24"/>
          <w:lang w:eastAsia="es-AR"/>
        </w:rPr>
        <w:t>3</w:t>
      </w:r>
      <w:r w:rsidR="00F91D00" w:rsidRPr="00CF177C">
        <w:rPr>
          <w:rFonts w:ascii="Times New Roman" w:eastAsia="Times New Roman" w:hAnsi="Times New Roman" w:cs="Times New Roman"/>
          <w:szCs w:val="24"/>
          <w:lang w:eastAsia="es-AR"/>
        </w:rPr>
        <w:t xml:space="preserve"> </w:t>
      </w:r>
      <w:r w:rsidR="00FB4AC6" w:rsidRPr="00CF177C">
        <w:rPr>
          <w:rFonts w:ascii="Times New Roman" w:eastAsia="Times New Roman" w:hAnsi="Times New Roman" w:cs="Times New Roman"/>
          <w:szCs w:val="24"/>
          <w:lang w:eastAsia="es-AR"/>
        </w:rPr>
        <w:t>existen algunas diferencias</w:t>
      </w:r>
      <w:r w:rsidR="00F91D00" w:rsidRPr="00CF177C">
        <w:rPr>
          <w:rFonts w:ascii="Times New Roman" w:eastAsia="Times New Roman" w:hAnsi="Times New Roman" w:cs="Times New Roman"/>
          <w:szCs w:val="24"/>
          <w:lang w:eastAsia="es-AR"/>
        </w:rPr>
        <w:t xml:space="preserve"> </w:t>
      </w:r>
      <w:r w:rsidRPr="00CF177C">
        <w:rPr>
          <w:rFonts w:ascii="Times New Roman" w:eastAsia="Times New Roman" w:hAnsi="Times New Roman" w:cs="Times New Roman"/>
          <w:szCs w:val="24"/>
          <w:lang w:eastAsia="es-AR"/>
        </w:rPr>
        <w:t xml:space="preserve">entre la </w:t>
      </w:r>
      <w:r w:rsidR="001F1BF8" w:rsidRPr="00CF177C">
        <w:rPr>
          <w:rFonts w:ascii="Times New Roman" w:eastAsia="Times New Roman" w:hAnsi="Times New Roman" w:cs="Times New Roman"/>
          <w:szCs w:val="24"/>
          <w:lang w:eastAsia="es-AR"/>
        </w:rPr>
        <w:t xml:space="preserve">población de niños </w:t>
      </w:r>
      <w:r w:rsidR="00FB4AC6" w:rsidRPr="00CF177C">
        <w:rPr>
          <w:rFonts w:ascii="Times New Roman" w:eastAsia="Times New Roman" w:hAnsi="Times New Roman" w:cs="Times New Roman"/>
          <w:szCs w:val="24"/>
          <w:lang w:eastAsia="es-AR"/>
        </w:rPr>
        <w:t xml:space="preserve">elegibles pero excluidos de </w:t>
      </w:r>
      <w:r w:rsidR="001F1BF8" w:rsidRPr="00CF177C">
        <w:rPr>
          <w:rFonts w:ascii="Times New Roman" w:eastAsia="Times New Roman" w:hAnsi="Times New Roman" w:cs="Times New Roman"/>
          <w:szCs w:val="24"/>
          <w:lang w:eastAsia="es-AR"/>
        </w:rPr>
        <w:t xml:space="preserve">la </w:t>
      </w:r>
      <w:r w:rsidR="000E1A97" w:rsidRPr="00CF177C">
        <w:rPr>
          <w:rFonts w:ascii="Times New Roman" w:eastAsia="Times New Roman" w:hAnsi="Times New Roman" w:cs="Times New Roman"/>
          <w:szCs w:val="24"/>
          <w:lang w:eastAsia="es-AR"/>
        </w:rPr>
        <w:t>AUH</w:t>
      </w:r>
      <w:r w:rsidR="00FB4AC6" w:rsidRPr="00CF177C">
        <w:rPr>
          <w:rFonts w:ascii="Times New Roman" w:eastAsia="Times New Roman" w:hAnsi="Times New Roman" w:cs="Times New Roman"/>
          <w:szCs w:val="24"/>
          <w:lang w:eastAsia="es-AR"/>
        </w:rPr>
        <w:t xml:space="preserve"> </w:t>
      </w:r>
      <w:r w:rsidR="00F91D00" w:rsidRPr="00CF177C">
        <w:rPr>
          <w:rFonts w:ascii="Times New Roman" w:eastAsia="Times New Roman" w:hAnsi="Times New Roman" w:cs="Times New Roman"/>
          <w:szCs w:val="24"/>
          <w:lang w:eastAsia="es-AR"/>
        </w:rPr>
        <w:t xml:space="preserve">y </w:t>
      </w:r>
      <w:r w:rsidRPr="00CF177C">
        <w:rPr>
          <w:rFonts w:ascii="Times New Roman" w:eastAsia="Times New Roman" w:hAnsi="Times New Roman" w:cs="Times New Roman"/>
          <w:szCs w:val="24"/>
          <w:lang w:eastAsia="es-AR"/>
        </w:rPr>
        <w:t>quienes</w:t>
      </w:r>
      <w:r w:rsidR="001F1BF8" w:rsidRPr="00CF177C">
        <w:rPr>
          <w:rFonts w:ascii="Times New Roman" w:eastAsia="Times New Roman" w:hAnsi="Times New Roman" w:cs="Times New Roman"/>
          <w:szCs w:val="24"/>
          <w:lang w:eastAsia="es-AR"/>
        </w:rPr>
        <w:t xml:space="preserve"> s</w:t>
      </w:r>
      <w:r w:rsidRPr="00CF177C">
        <w:rPr>
          <w:rFonts w:ascii="Times New Roman" w:eastAsia="Times New Roman" w:hAnsi="Times New Roman" w:cs="Times New Roman"/>
          <w:szCs w:val="24"/>
          <w:lang w:eastAsia="es-AR"/>
        </w:rPr>
        <w:t>í</w:t>
      </w:r>
      <w:r w:rsidR="001F1BF8" w:rsidRPr="00CF177C">
        <w:rPr>
          <w:rFonts w:ascii="Times New Roman" w:eastAsia="Times New Roman" w:hAnsi="Times New Roman" w:cs="Times New Roman"/>
          <w:szCs w:val="24"/>
          <w:lang w:eastAsia="es-AR"/>
        </w:rPr>
        <w:t xml:space="preserve"> l</w:t>
      </w:r>
      <w:r w:rsidRPr="00CF177C">
        <w:rPr>
          <w:rFonts w:ascii="Times New Roman" w:eastAsia="Times New Roman" w:hAnsi="Times New Roman" w:cs="Times New Roman"/>
          <w:szCs w:val="24"/>
          <w:lang w:eastAsia="es-AR"/>
        </w:rPr>
        <w:t>a</w:t>
      </w:r>
      <w:r w:rsidR="001F1BF8" w:rsidRPr="00CF177C">
        <w:rPr>
          <w:rFonts w:ascii="Times New Roman" w:eastAsia="Times New Roman" w:hAnsi="Times New Roman" w:cs="Times New Roman"/>
          <w:szCs w:val="24"/>
          <w:lang w:eastAsia="es-AR"/>
        </w:rPr>
        <w:t xml:space="preserve"> reciben</w:t>
      </w:r>
      <w:r w:rsidRPr="00CF177C">
        <w:rPr>
          <w:rFonts w:ascii="Times New Roman" w:eastAsia="Times New Roman" w:hAnsi="Times New Roman" w:cs="Times New Roman"/>
          <w:szCs w:val="24"/>
          <w:lang w:eastAsia="es-AR"/>
        </w:rPr>
        <w:t xml:space="preserve">. </w:t>
      </w:r>
      <w:r w:rsidR="00FB4AC6" w:rsidRPr="00CF177C">
        <w:rPr>
          <w:rFonts w:ascii="Times New Roman" w:eastAsia="Times New Roman" w:hAnsi="Times New Roman" w:cs="Times New Roman"/>
          <w:szCs w:val="24"/>
          <w:lang w:eastAsia="es-AR"/>
        </w:rPr>
        <w:t>Aquellos niños y adolescentes cuya</w:t>
      </w:r>
      <w:r w:rsidR="001F1BF8" w:rsidRPr="00CF177C">
        <w:rPr>
          <w:rFonts w:ascii="Times New Roman" w:eastAsia="Times New Roman" w:hAnsi="Times New Roman" w:cs="Times New Roman"/>
          <w:szCs w:val="24"/>
          <w:lang w:eastAsia="es-AR"/>
        </w:rPr>
        <w:t xml:space="preserve"> madre </w:t>
      </w:r>
      <w:r w:rsidR="00FB4AC6" w:rsidRPr="00CF177C">
        <w:rPr>
          <w:rFonts w:ascii="Times New Roman" w:eastAsia="Times New Roman" w:hAnsi="Times New Roman" w:cs="Times New Roman"/>
          <w:szCs w:val="24"/>
          <w:lang w:eastAsia="es-AR"/>
        </w:rPr>
        <w:t>tiene</w:t>
      </w:r>
      <w:r w:rsidR="001F1BF8" w:rsidRPr="00CF177C">
        <w:rPr>
          <w:rFonts w:ascii="Times New Roman" w:eastAsia="Times New Roman" w:hAnsi="Times New Roman" w:cs="Times New Roman"/>
          <w:szCs w:val="24"/>
          <w:lang w:eastAsia="es-AR"/>
        </w:rPr>
        <w:t xml:space="preserve"> 35 años o más</w:t>
      </w:r>
      <w:r w:rsidR="00FB4AC6" w:rsidRPr="00CF177C">
        <w:rPr>
          <w:rFonts w:ascii="Times New Roman" w:eastAsia="Times New Roman" w:hAnsi="Times New Roman" w:cs="Times New Roman"/>
          <w:szCs w:val="24"/>
          <w:lang w:eastAsia="es-AR"/>
        </w:rPr>
        <w:t>, los que son más grandes (</w:t>
      </w:r>
      <w:r w:rsidRPr="00CF177C">
        <w:rPr>
          <w:rFonts w:ascii="Times New Roman" w:eastAsia="Times New Roman" w:hAnsi="Times New Roman" w:cs="Times New Roman"/>
          <w:szCs w:val="24"/>
          <w:lang w:eastAsia="es-AR"/>
        </w:rPr>
        <w:t>en especial, adolescentes de 13 a 17 años)</w:t>
      </w:r>
      <w:r w:rsidR="00FB4AC6" w:rsidRPr="00CF177C">
        <w:rPr>
          <w:rFonts w:ascii="Times New Roman" w:eastAsia="Times New Roman" w:hAnsi="Times New Roman" w:cs="Times New Roman"/>
          <w:szCs w:val="24"/>
          <w:lang w:eastAsia="es-AR"/>
        </w:rPr>
        <w:t xml:space="preserve"> y los que residen </w:t>
      </w:r>
      <w:r w:rsidRPr="00CF177C">
        <w:rPr>
          <w:rFonts w:ascii="Times New Roman" w:eastAsia="Times New Roman" w:hAnsi="Times New Roman" w:cs="Times New Roman"/>
          <w:szCs w:val="24"/>
          <w:lang w:eastAsia="es-AR"/>
        </w:rPr>
        <w:t xml:space="preserve">en </w:t>
      </w:r>
      <w:r w:rsidR="004D41C2" w:rsidRPr="00CF177C">
        <w:rPr>
          <w:rFonts w:ascii="Times New Roman" w:eastAsia="Times New Roman" w:hAnsi="Times New Roman" w:cs="Times New Roman"/>
          <w:szCs w:val="24"/>
          <w:lang w:eastAsia="es-AR"/>
        </w:rPr>
        <w:t>hogares con menor presencia de niños</w:t>
      </w:r>
      <w:r w:rsidR="00FB4AC6" w:rsidRPr="00CF177C">
        <w:rPr>
          <w:rFonts w:ascii="Times New Roman" w:eastAsia="Times New Roman" w:hAnsi="Times New Roman" w:cs="Times New Roman"/>
          <w:szCs w:val="24"/>
          <w:lang w:eastAsia="es-AR"/>
        </w:rPr>
        <w:t>, tienen más chances que los demás niños de permanecer excluidos de la AUH</w:t>
      </w:r>
      <w:r w:rsidRPr="00CF177C">
        <w:rPr>
          <w:rFonts w:ascii="Times New Roman" w:eastAsia="Times New Roman" w:hAnsi="Times New Roman" w:cs="Times New Roman"/>
          <w:szCs w:val="24"/>
          <w:lang w:eastAsia="es-AR"/>
        </w:rPr>
        <w:t xml:space="preserve">. </w:t>
      </w:r>
      <w:r w:rsidR="00FB4AC6" w:rsidRPr="00CF177C">
        <w:rPr>
          <w:rFonts w:ascii="Times New Roman" w:eastAsia="Times New Roman" w:hAnsi="Times New Roman" w:cs="Times New Roman"/>
          <w:szCs w:val="24"/>
          <w:lang w:eastAsia="es-AR"/>
        </w:rPr>
        <w:t xml:space="preserve">Tanto </w:t>
      </w:r>
      <w:r w:rsidR="001120EE" w:rsidRPr="00CF177C">
        <w:rPr>
          <w:rFonts w:ascii="Times New Roman" w:eastAsia="Times New Roman" w:hAnsi="Times New Roman" w:cs="Times New Roman"/>
          <w:szCs w:val="24"/>
          <w:lang w:eastAsia="es-AR"/>
        </w:rPr>
        <w:t>los</w:t>
      </w:r>
      <w:r w:rsidR="00FB4AC6" w:rsidRPr="00CF177C">
        <w:rPr>
          <w:rFonts w:ascii="Times New Roman" w:eastAsia="Times New Roman" w:hAnsi="Times New Roman" w:cs="Times New Roman"/>
          <w:szCs w:val="24"/>
          <w:lang w:eastAsia="es-AR"/>
        </w:rPr>
        <w:t xml:space="preserve"> que no asisten a la escuela como aquellos que asisten a escuelas de gestión privada tienen mayores chances </w:t>
      </w:r>
      <w:r w:rsidR="00F77322" w:rsidRPr="00CF177C">
        <w:rPr>
          <w:rFonts w:ascii="Times New Roman" w:eastAsia="Times New Roman" w:hAnsi="Times New Roman" w:cs="Times New Roman"/>
          <w:szCs w:val="24"/>
          <w:lang w:eastAsia="es-AR"/>
        </w:rPr>
        <w:t>de encontrarse excluidos de la AUH que aquellos que asisten a escuela pública de gestión estatal.</w:t>
      </w:r>
      <w:r w:rsidRPr="00CF177C">
        <w:rPr>
          <w:rFonts w:ascii="Times New Roman" w:eastAsia="Times New Roman" w:hAnsi="Times New Roman" w:cs="Times New Roman"/>
          <w:szCs w:val="24"/>
          <w:lang w:eastAsia="es-AR"/>
        </w:rPr>
        <w:t xml:space="preserve"> </w:t>
      </w:r>
      <w:r w:rsidR="00F77322" w:rsidRPr="00CF177C">
        <w:rPr>
          <w:rFonts w:ascii="Times New Roman" w:eastAsia="Times New Roman" w:hAnsi="Times New Roman" w:cs="Times New Roman"/>
          <w:szCs w:val="24"/>
          <w:lang w:eastAsia="es-AR"/>
        </w:rPr>
        <w:t>Otro atributo estadísticamente significativo asociado a una mayor probabilidad de no acceder a la AUH, aun cumpliendo los requisitos de elegibilidad, es que el jefe del hogar (frecuentemente, el padre o la madre) no haya nacido en la Argentina</w:t>
      </w:r>
      <w:r w:rsidR="00F77322" w:rsidRPr="00CF177C">
        <w:rPr>
          <w:rFonts w:ascii="Times New Roman" w:hAnsi="Times New Roman" w:cs="Times New Roman"/>
          <w:szCs w:val="24"/>
          <w:vertAlign w:val="superscript"/>
        </w:rPr>
        <w:footnoteReference w:id="12"/>
      </w:r>
      <w:r w:rsidR="00F77322" w:rsidRPr="00CF177C">
        <w:rPr>
          <w:rFonts w:ascii="Times New Roman" w:eastAsia="Times New Roman" w:hAnsi="Times New Roman" w:cs="Times New Roman"/>
          <w:szCs w:val="24"/>
          <w:lang w:eastAsia="es-AR"/>
        </w:rPr>
        <w:t xml:space="preserve">. </w:t>
      </w:r>
    </w:p>
    <w:p w14:paraId="1865F9A9" w14:textId="6F9D360C"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3]</w:t>
      </w:r>
    </w:p>
    <w:p w14:paraId="4F3E6018" w14:textId="77777777" w:rsidR="007F438D" w:rsidRPr="00CF177C" w:rsidRDefault="007F438D" w:rsidP="007F438D">
      <w:pPr>
        <w:spacing w:before="120" w:after="120" w:line="360" w:lineRule="auto"/>
        <w:jc w:val="both"/>
        <w:rPr>
          <w:rFonts w:ascii="Times New Roman" w:eastAsia="Times New Roman" w:hAnsi="Times New Roman" w:cs="Times New Roman"/>
          <w:szCs w:val="24"/>
          <w:lang w:eastAsia="es-AR"/>
        </w:rPr>
      </w:pPr>
      <w:r w:rsidRPr="00CF177C">
        <w:rPr>
          <w:rFonts w:ascii="Times New Roman" w:eastAsia="Times New Roman" w:hAnsi="Times New Roman" w:cs="Times New Roman"/>
          <w:szCs w:val="24"/>
          <w:lang w:eastAsia="es-AR"/>
        </w:rPr>
        <w:t xml:space="preserve">La variable de estratificación utilizada no arroja diferencias estadísticamente significativas. En cambio, cuando se considera la ocupación del </w:t>
      </w:r>
      <w:proofErr w:type="spellStart"/>
      <w:r w:rsidRPr="00CF177C">
        <w:rPr>
          <w:rFonts w:ascii="Times New Roman" w:eastAsia="Times New Roman" w:hAnsi="Times New Roman" w:cs="Times New Roman"/>
          <w:szCs w:val="24"/>
          <w:lang w:eastAsia="es-AR"/>
        </w:rPr>
        <w:t>respondente</w:t>
      </w:r>
      <w:proofErr w:type="spellEnd"/>
      <w:r w:rsidRPr="00CF177C">
        <w:rPr>
          <w:rFonts w:ascii="Times New Roman" w:eastAsia="Times New Roman" w:hAnsi="Times New Roman" w:cs="Times New Roman"/>
          <w:szCs w:val="24"/>
          <w:lang w:eastAsia="es-AR"/>
        </w:rPr>
        <w:t xml:space="preserve">, se observa que los hijos de trabajadores por cuenta propia informales tienen una mayor probabilidad </w:t>
      </w:r>
      <w:r w:rsidRPr="00CF177C">
        <w:rPr>
          <w:rFonts w:ascii="Times New Roman" w:eastAsia="Times New Roman" w:hAnsi="Times New Roman" w:cs="Times New Roman"/>
          <w:szCs w:val="24"/>
          <w:lang w:eastAsia="es-AR"/>
        </w:rPr>
        <w:lastRenderedPageBreak/>
        <w:t xml:space="preserve">que los demás niños de permanecer excluidos de la AUH. La variable de condición residencial exhibe que aquellos niños que habitan en viviendas situadas en barrios de nivel medio-bajo y medio-alto tienen mayores chances (aunque leves) de no ser beneficiarios de la AUH que aquellos que residen en villas o asentamientos. </w:t>
      </w:r>
    </w:p>
    <w:p w14:paraId="26F95E06" w14:textId="77777777" w:rsidR="007F438D" w:rsidRPr="00CF177C" w:rsidRDefault="007F438D" w:rsidP="007F438D">
      <w:pPr>
        <w:spacing w:before="120" w:after="120" w:line="360" w:lineRule="auto"/>
        <w:jc w:val="both"/>
        <w:rPr>
          <w:rFonts w:ascii="Times New Roman" w:eastAsia="Times New Roman" w:hAnsi="Times New Roman" w:cs="Times New Roman"/>
          <w:szCs w:val="24"/>
          <w:lang w:eastAsia="es-AR"/>
        </w:rPr>
      </w:pPr>
      <w:r w:rsidRPr="00CF177C">
        <w:rPr>
          <w:rFonts w:ascii="Times New Roman" w:eastAsia="Times New Roman" w:hAnsi="Times New Roman" w:cs="Times New Roman"/>
          <w:szCs w:val="24"/>
          <w:lang w:eastAsia="es-AR"/>
        </w:rPr>
        <w:t xml:space="preserve">De esta manera, se advierte una asociación entre la no percepción de AUH en condiciones de elegibilidad y algunos atributos sociodemográficos, laborales y residenciales de los niños/as, sus padres y los hogares a los cuales pertenecen. Se reconoce una mayor participación de niños de mayor edad (en particular, adolescentes) que no estudian o lo hacen en escuelas de gestión privada, con madres de más edad y/o con mayor nivel educativo, y residentes en espacio formales medios. La condición migratoria (controlada en función de los criterios de elegibilidad impuestos por el programa) también se encuentra correlacionada de manera positiva con la exclusión de la AUH. </w:t>
      </w:r>
    </w:p>
    <w:p w14:paraId="4798D5D6" w14:textId="77777777" w:rsidR="00164C0E" w:rsidRPr="00CF177C" w:rsidRDefault="0028786C" w:rsidP="00124C41">
      <w:pPr>
        <w:spacing w:before="120" w:after="120" w:line="360" w:lineRule="auto"/>
        <w:jc w:val="both"/>
        <w:rPr>
          <w:rFonts w:ascii="Times New Roman" w:hAnsi="Times New Roman" w:cs="Times New Roman"/>
          <w:szCs w:val="24"/>
          <w:lang w:val="es-ES"/>
        </w:rPr>
      </w:pPr>
      <w:r w:rsidRPr="00CF177C">
        <w:rPr>
          <w:rFonts w:ascii="Times New Roman" w:eastAsia="Times New Roman" w:hAnsi="Times New Roman" w:cs="Times New Roman"/>
          <w:szCs w:val="24"/>
          <w:lang w:eastAsia="es-AR"/>
        </w:rPr>
        <w:t>C</w:t>
      </w:r>
      <w:r w:rsidR="00164C0E" w:rsidRPr="00CF177C">
        <w:rPr>
          <w:rFonts w:ascii="Times New Roman" w:eastAsia="Times New Roman" w:hAnsi="Times New Roman" w:cs="Times New Roman"/>
          <w:szCs w:val="24"/>
          <w:lang w:eastAsia="es-AR"/>
        </w:rPr>
        <w:t>on el propósito de reconocer la heterogeneidad interna y los diferentes perfiles de la población de niños y adolescentes no beneficiarios elegibles,</w:t>
      </w:r>
      <w:r w:rsidR="001B3374" w:rsidRPr="00CF177C">
        <w:rPr>
          <w:rFonts w:ascii="Times New Roman" w:eastAsia="Times New Roman" w:hAnsi="Times New Roman" w:cs="Times New Roman"/>
          <w:szCs w:val="24"/>
          <w:lang w:eastAsia="es-AR"/>
        </w:rPr>
        <w:t xml:space="preserve"> </w:t>
      </w:r>
      <w:r w:rsidRPr="00CF177C">
        <w:rPr>
          <w:rFonts w:ascii="Times New Roman" w:eastAsia="Times New Roman" w:hAnsi="Times New Roman" w:cs="Times New Roman"/>
          <w:szCs w:val="24"/>
          <w:lang w:eastAsia="es-AR"/>
        </w:rPr>
        <w:t xml:space="preserve">se implementó un análisis </w:t>
      </w:r>
      <w:r w:rsidR="001B3374" w:rsidRPr="00CF177C">
        <w:rPr>
          <w:rFonts w:ascii="Times New Roman" w:eastAsia="Times New Roman" w:hAnsi="Times New Roman" w:cs="Times New Roman"/>
          <w:szCs w:val="24"/>
          <w:lang w:eastAsia="es-AR"/>
        </w:rPr>
        <w:t xml:space="preserve">factorial </w:t>
      </w:r>
      <w:r w:rsidR="00164C0E" w:rsidRPr="00CF177C">
        <w:rPr>
          <w:rFonts w:ascii="Times New Roman" w:eastAsia="Times New Roman" w:hAnsi="Times New Roman" w:cs="Times New Roman"/>
          <w:szCs w:val="24"/>
          <w:lang w:eastAsia="es-AR"/>
        </w:rPr>
        <w:t>combinado</w:t>
      </w:r>
      <w:r w:rsidR="001B3374" w:rsidRPr="00CF177C">
        <w:rPr>
          <w:rFonts w:ascii="Times New Roman" w:eastAsia="Times New Roman" w:hAnsi="Times New Roman" w:cs="Times New Roman"/>
          <w:szCs w:val="24"/>
          <w:lang w:eastAsia="es-AR"/>
        </w:rPr>
        <w:t xml:space="preserve"> con el análisis de clasificación. </w:t>
      </w:r>
      <w:r w:rsidR="00164C0E" w:rsidRPr="00CF177C">
        <w:rPr>
          <w:rFonts w:ascii="Times New Roman" w:hAnsi="Times New Roman" w:cs="Times New Roman"/>
          <w:szCs w:val="24"/>
          <w:lang w:val="es-ES"/>
        </w:rPr>
        <w:t>Se trata de técnicas descriptivas</w:t>
      </w:r>
      <w:r w:rsidR="00C13279" w:rsidRPr="00CF177C">
        <w:rPr>
          <w:rFonts w:ascii="Times New Roman" w:hAnsi="Times New Roman" w:cs="Times New Roman"/>
          <w:szCs w:val="24"/>
          <w:lang w:val="es-ES"/>
        </w:rPr>
        <w:t xml:space="preserve"> </w:t>
      </w:r>
      <w:r w:rsidR="00164C0E" w:rsidRPr="00CF177C">
        <w:rPr>
          <w:rFonts w:ascii="Times New Roman" w:hAnsi="Times New Roman" w:cs="Times New Roman"/>
          <w:szCs w:val="24"/>
          <w:lang w:val="es-ES"/>
        </w:rPr>
        <w:t>implementadas en diferentes fases</w:t>
      </w:r>
      <w:r w:rsidR="00C13279" w:rsidRPr="00CF177C">
        <w:rPr>
          <w:rFonts w:ascii="Times New Roman" w:hAnsi="Times New Roman" w:cs="Times New Roman"/>
          <w:szCs w:val="24"/>
          <w:lang w:val="es-ES"/>
        </w:rPr>
        <w:t>. En primer lugar, se llevó adelante un análisis factorial de componentes principales categóricos (CATPCA) que permitió el escalamiento óptimo de variables categóricas, lo que habilitó, en un segundo momento, la aplicación de un análisis factorial de componentes principales clásico</w:t>
      </w:r>
      <w:r w:rsidRPr="00CF177C">
        <w:rPr>
          <w:rFonts w:ascii="Times New Roman" w:hAnsi="Times New Roman" w:cs="Times New Roman"/>
          <w:szCs w:val="24"/>
          <w:vertAlign w:val="superscript"/>
        </w:rPr>
        <w:footnoteReference w:id="13"/>
      </w:r>
      <w:r w:rsidR="00FD0FC3" w:rsidRPr="00CF177C">
        <w:rPr>
          <w:rFonts w:ascii="Times New Roman" w:hAnsi="Times New Roman" w:cs="Times New Roman"/>
          <w:szCs w:val="24"/>
          <w:lang w:val="es-ES"/>
        </w:rPr>
        <w:t xml:space="preserve">. </w:t>
      </w:r>
      <w:r w:rsidR="00124C41" w:rsidRPr="00CF177C">
        <w:rPr>
          <w:rFonts w:ascii="Times New Roman" w:hAnsi="Times New Roman" w:cs="Times New Roman"/>
          <w:szCs w:val="24"/>
          <w:lang w:val="es-ES"/>
        </w:rPr>
        <w:t>A partir de la aplicación del análisis factorial, se pudieron establecer cuatro factores: uno de ellos, recoge el peso de las variables socioeconómicas –clase social y nivel educativo de la madre–. Un segundo factor, resume información de edad de la madre y del niño, es decir, atributos de carácter sociodemográfico. Un tercer factor incluye variables sociolaborales: el empleo del padre o de la madre y el mejor empleo del hogar. Por último, un cuarto factor concentra el peso de una única variable: el origen migratorio del jefe del hogar</w:t>
      </w:r>
      <w:r w:rsidRPr="00CF177C">
        <w:rPr>
          <w:rStyle w:val="Refdenotaalpie"/>
          <w:rFonts w:ascii="Times New Roman" w:hAnsi="Times New Roman" w:cs="Times New Roman"/>
          <w:szCs w:val="24"/>
          <w:lang w:val="es-ES"/>
        </w:rPr>
        <w:footnoteReference w:id="14"/>
      </w:r>
      <w:r w:rsidR="00164C0E" w:rsidRPr="00CF177C">
        <w:rPr>
          <w:rFonts w:ascii="Times New Roman" w:hAnsi="Times New Roman" w:cs="Times New Roman"/>
          <w:szCs w:val="24"/>
          <w:lang w:val="es-ES"/>
        </w:rPr>
        <w:t>.</w:t>
      </w:r>
    </w:p>
    <w:p w14:paraId="4D503B6C" w14:textId="7D2F6517" w:rsidR="000B1A97" w:rsidRDefault="00164C0E" w:rsidP="00124C41">
      <w:pPr>
        <w:spacing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lastRenderedPageBreak/>
        <w:t>A partir de los cuatro factores, se procedió a la aplicación del análisis de clasificación o de conglomerados. El propósito de este tipo de análisis fue poder dar cuenta de la heterogeneidad propia de</w:t>
      </w:r>
      <w:r w:rsidR="00D76D7F" w:rsidRPr="00CF177C">
        <w:rPr>
          <w:rFonts w:ascii="Times New Roman" w:hAnsi="Times New Roman" w:cs="Times New Roman"/>
          <w:szCs w:val="24"/>
          <w:lang w:val="es-ES"/>
        </w:rPr>
        <w:t>l</w:t>
      </w:r>
      <w:r w:rsidRPr="00CF177C">
        <w:rPr>
          <w:rFonts w:ascii="Times New Roman" w:hAnsi="Times New Roman" w:cs="Times New Roman"/>
          <w:szCs w:val="24"/>
          <w:lang w:val="es-ES"/>
        </w:rPr>
        <w:t xml:space="preserve"> grupo bajo estudio. </w:t>
      </w:r>
      <w:r w:rsidR="00D76D7F" w:rsidRPr="00CF177C">
        <w:rPr>
          <w:rFonts w:ascii="Times New Roman" w:hAnsi="Times New Roman" w:cs="Times New Roman"/>
          <w:szCs w:val="24"/>
          <w:lang w:val="es-ES"/>
        </w:rPr>
        <w:t xml:space="preserve">Cabe reconocer que </w:t>
      </w:r>
      <w:r w:rsidRPr="00CF177C">
        <w:rPr>
          <w:rFonts w:ascii="Times New Roman" w:hAnsi="Times New Roman" w:cs="Times New Roman"/>
          <w:szCs w:val="24"/>
          <w:lang w:val="es-ES"/>
        </w:rPr>
        <w:t xml:space="preserve">la heterogeneidad de las poblaciones destinatarias </w:t>
      </w:r>
      <w:r w:rsidR="00D76D7F" w:rsidRPr="00CF177C">
        <w:rPr>
          <w:rFonts w:ascii="Times New Roman" w:hAnsi="Times New Roman" w:cs="Times New Roman"/>
          <w:szCs w:val="24"/>
          <w:lang w:val="es-ES"/>
        </w:rPr>
        <w:t xml:space="preserve">suele quedar </w:t>
      </w:r>
      <w:r w:rsidRPr="00CF177C">
        <w:rPr>
          <w:rFonts w:ascii="Times New Roman" w:hAnsi="Times New Roman" w:cs="Times New Roman"/>
          <w:szCs w:val="24"/>
          <w:lang w:val="es-ES"/>
        </w:rPr>
        <w:t xml:space="preserve">soslayada en las tradicionales evaluaciones de programas y políticas sociales. </w:t>
      </w:r>
      <w:r w:rsidR="00F15EE9" w:rsidRPr="00CF177C">
        <w:rPr>
          <w:rFonts w:ascii="Times New Roman" w:hAnsi="Times New Roman" w:cs="Times New Roman"/>
          <w:szCs w:val="24"/>
          <w:lang w:val="es-ES"/>
        </w:rPr>
        <w:t>Como resultado de la aplicación articulada de estas técnicas fue posible conformar cuatro g</w:t>
      </w:r>
      <w:r w:rsidR="00E63CB9" w:rsidRPr="00CF177C">
        <w:rPr>
          <w:rFonts w:ascii="Times New Roman" w:hAnsi="Times New Roman" w:cs="Times New Roman"/>
          <w:szCs w:val="24"/>
          <w:lang w:val="es-ES"/>
        </w:rPr>
        <w:t xml:space="preserve">rupos diferenciados de niños </w:t>
      </w:r>
      <w:r w:rsidR="00D76D7F" w:rsidRPr="00CF177C">
        <w:rPr>
          <w:rFonts w:ascii="Times New Roman" w:hAnsi="Times New Roman" w:cs="Times New Roman"/>
          <w:szCs w:val="24"/>
          <w:lang w:val="es-ES"/>
        </w:rPr>
        <w:t xml:space="preserve">y adolescentes (Gráfico </w:t>
      </w:r>
      <w:r w:rsidR="00E55A1F" w:rsidRPr="00CF177C">
        <w:rPr>
          <w:rFonts w:ascii="Times New Roman" w:hAnsi="Times New Roman" w:cs="Times New Roman"/>
          <w:szCs w:val="24"/>
          <w:lang w:val="es-ES"/>
        </w:rPr>
        <w:t>4</w:t>
      </w:r>
      <w:r w:rsidR="00D76D7F" w:rsidRPr="00CF177C">
        <w:rPr>
          <w:rFonts w:ascii="Times New Roman" w:hAnsi="Times New Roman" w:cs="Times New Roman"/>
          <w:szCs w:val="24"/>
          <w:lang w:val="es-ES"/>
        </w:rPr>
        <w:t>)</w:t>
      </w:r>
      <w:r w:rsidR="00F15EE9" w:rsidRPr="00CF177C">
        <w:rPr>
          <w:rFonts w:ascii="Times New Roman" w:hAnsi="Times New Roman" w:cs="Times New Roman"/>
          <w:szCs w:val="24"/>
          <w:lang w:val="es-ES"/>
        </w:rPr>
        <w:t>. Luego de su conformación se avanzó en la caracterización de los perfiles socioeconómicos, sociodemográficos</w:t>
      </w:r>
      <w:r w:rsidR="000147F6">
        <w:rPr>
          <w:rFonts w:ascii="Times New Roman" w:hAnsi="Times New Roman" w:cs="Times New Roman"/>
          <w:szCs w:val="24"/>
          <w:lang w:val="es-ES"/>
        </w:rPr>
        <w:t>, sociolaborales</w:t>
      </w:r>
      <w:r w:rsidR="00F15EE9" w:rsidRPr="00CF177C">
        <w:rPr>
          <w:rFonts w:ascii="Times New Roman" w:hAnsi="Times New Roman" w:cs="Times New Roman"/>
          <w:szCs w:val="24"/>
          <w:lang w:val="es-ES"/>
        </w:rPr>
        <w:t xml:space="preserve"> y residenciales de estos niños/as y adolescentes.</w:t>
      </w:r>
    </w:p>
    <w:p w14:paraId="011D15BD" w14:textId="12EBDEA0"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[GRÁFICO 4]</w:t>
      </w:r>
    </w:p>
    <w:p w14:paraId="07BC6D60" w14:textId="77777777" w:rsidR="001120EE" w:rsidRPr="00CF177C" w:rsidRDefault="001120EE" w:rsidP="001120EE">
      <w:pPr>
        <w:spacing w:after="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Cada uno de los clústeres creados resume una serie de características. En los Cuadros </w:t>
      </w:r>
      <w:r w:rsidR="007F438D">
        <w:rPr>
          <w:rFonts w:ascii="Times New Roman" w:hAnsi="Times New Roman" w:cs="Times New Roman"/>
          <w:szCs w:val="24"/>
          <w:lang w:val="es-ES"/>
        </w:rPr>
        <w:t>4</w:t>
      </w:r>
      <w:r w:rsidRPr="00CF177C">
        <w:rPr>
          <w:rFonts w:ascii="Times New Roman" w:hAnsi="Times New Roman" w:cs="Times New Roman"/>
          <w:szCs w:val="24"/>
          <w:lang w:val="es-ES"/>
        </w:rPr>
        <w:t xml:space="preserve">, </w:t>
      </w:r>
      <w:r w:rsidR="007F438D">
        <w:rPr>
          <w:rFonts w:ascii="Times New Roman" w:hAnsi="Times New Roman" w:cs="Times New Roman"/>
          <w:szCs w:val="24"/>
          <w:lang w:val="es-ES"/>
        </w:rPr>
        <w:t xml:space="preserve">5 </w:t>
      </w:r>
      <w:r w:rsidRPr="00CF177C">
        <w:rPr>
          <w:rFonts w:ascii="Times New Roman" w:hAnsi="Times New Roman" w:cs="Times New Roman"/>
          <w:szCs w:val="24"/>
          <w:lang w:val="es-ES"/>
        </w:rPr>
        <w:t xml:space="preserve">y </w:t>
      </w:r>
      <w:r w:rsidR="007F438D">
        <w:rPr>
          <w:rFonts w:ascii="Times New Roman" w:hAnsi="Times New Roman" w:cs="Times New Roman"/>
          <w:szCs w:val="24"/>
          <w:lang w:val="es-ES"/>
        </w:rPr>
        <w:t>6</w:t>
      </w:r>
      <w:r w:rsidRPr="00CF177C">
        <w:rPr>
          <w:rFonts w:ascii="Times New Roman" w:hAnsi="Times New Roman" w:cs="Times New Roman"/>
          <w:szCs w:val="24"/>
          <w:lang w:val="es-ES"/>
        </w:rPr>
        <w:t xml:space="preserve">, se describen sus principales atributos. </w:t>
      </w:r>
    </w:p>
    <w:p w14:paraId="62BCAF80" w14:textId="77777777" w:rsidR="00A7205F" w:rsidRPr="00CF177C" w:rsidRDefault="00C13279" w:rsidP="00D76D7F">
      <w:pPr>
        <w:keepNext/>
        <w:spacing w:before="120" w:after="120" w:line="360" w:lineRule="auto"/>
        <w:jc w:val="both"/>
        <w:rPr>
          <w:rFonts w:ascii="Times New Roman" w:hAnsi="Times New Roman" w:cs="Times New Roman"/>
          <w:b/>
          <w:i/>
          <w:szCs w:val="24"/>
          <w:lang w:val="es-ES"/>
        </w:rPr>
      </w:pPr>
      <w:r w:rsidRPr="00CF177C">
        <w:rPr>
          <w:rFonts w:ascii="Times New Roman" w:hAnsi="Times New Roman" w:cs="Times New Roman"/>
          <w:b/>
          <w:i/>
          <w:szCs w:val="24"/>
          <w:lang w:val="es-ES"/>
        </w:rPr>
        <w:t xml:space="preserve">Grupo 1: </w:t>
      </w:r>
      <w:r w:rsidR="00260F2E" w:rsidRPr="00CF177C">
        <w:rPr>
          <w:rFonts w:ascii="Times New Roman" w:hAnsi="Times New Roman" w:cs="Times New Roman"/>
          <w:b/>
          <w:i/>
          <w:szCs w:val="24"/>
          <w:lang w:val="es-ES"/>
        </w:rPr>
        <w:t>m</w:t>
      </w:r>
      <w:r w:rsidR="00A7205F" w:rsidRPr="00CF177C">
        <w:rPr>
          <w:rFonts w:ascii="Times New Roman" w:hAnsi="Times New Roman" w:cs="Times New Roman"/>
          <w:b/>
          <w:i/>
          <w:szCs w:val="24"/>
          <w:lang w:val="es-ES"/>
        </w:rPr>
        <w:t>enor vulnerabilidad relativa</w:t>
      </w:r>
    </w:p>
    <w:p w14:paraId="7BA5A11B" w14:textId="77777777" w:rsidR="00A7205F" w:rsidRDefault="00A7205F" w:rsidP="00E16608">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Del total de niños y adolescentes considerados, a este gr</w:t>
      </w:r>
      <w:r w:rsidR="00C13279" w:rsidRPr="00CF177C">
        <w:rPr>
          <w:rFonts w:ascii="Times New Roman" w:hAnsi="Times New Roman" w:cs="Times New Roman"/>
          <w:szCs w:val="24"/>
          <w:lang w:val="es-ES"/>
        </w:rPr>
        <w:t xml:space="preserve">upo </w:t>
      </w:r>
      <w:r w:rsidRPr="00CF177C">
        <w:rPr>
          <w:rFonts w:ascii="Times New Roman" w:hAnsi="Times New Roman" w:cs="Times New Roman"/>
          <w:szCs w:val="24"/>
          <w:lang w:val="es-ES"/>
        </w:rPr>
        <w:t>pertenecen aquellos que enfrentan los menores niveles de vulnerabilidad</w:t>
      </w:r>
      <w:r w:rsidR="00C13279" w:rsidRPr="00CF177C">
        <w:rPr>
          <w:rFonts w:ascii="Times New Roman" w:hAnsi="Times New Roman" w:cs="Times New Roman"/>
          <w:szCs w:val="24"/>
          <w:lang w:val="es-ES"/>
        </w:rPr>
        <w:t xml:space="preserve">. Se trata de un grupo de niños </w:t>
      </w:r>
      <w:r w:rsidR="00D219BC" w:rsidRPr="00CF177C">
        <w:rPr>
          <w:rFonts w:ascii="Times New Roman" w:hAnsi="Times New Roman" w:cs="Times New Roman"/>
          <w:szCs w:val="24"/>
          <w:lang w:val="es-ES"/>
        </w:rPr>
        <w:t>que tienen 8 años en promedio, que viven e</w:t>
      </w:r>
      <w:r w:rsidR="00E63CB9" w:rsidRPr="00CF177C">
        <w:rPr>
          <w:rFonts w:ascii="Times New Roman" w:hAnsi="Times New Roman" w:cs="Times New Roman"/>
          <w:szCs w:val="24"/>
          <w:lang w:val="es-ES"/>
        </w:rPr>
        <w:t>n hogares donde hay 2,2 niños en promedio</w:t>
      </w:r>
      <w:r w:rsidR="00D219BC" w:rsidRPr="00CF177C">
        <w:rPr>
          <w:rFonts w:ascii="Times New Roman" w:hAnsi="Times New Roman" w:cs="Times New Roman"/>
          <w:szCs w:val="24"/>
          <w:lang w:val="es-ES"/>
        </w:rPr>
        <w:t>, y de los cuales 8 de cada 10 tienen una madre que completó la secundaria.</w:t>
      </w:r>
    </w:p>
    <w:p w14:paraId="1C228052" w14:textId="7DC8528C" w:rsidR="007F438D" w:rsidRDefault="007F438D" w:rsidP="00E16608">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Un rasgo significativo de este grupo es que presentan la incidencia más alta de asistencia a escuelas de gestión privada (33,5%). Este factor podría incidir en la no participación en la Asignación Universal por Hijo. Cerca de 6 de cada 10 pertenecen al estrato obrero popular y 3 de cada 10 al estrato medio bajo, y los adultos de referencia suelen ser con mayor frecuencia que en el resto de los grupos cuentapropistas informales o bien patrones informales (no asalariados sin aportes). Muy probablemente como resultado de ello, en este grupo se advierte la mayor incidencia relativa de hijos de </w:t>
      </w:r>
      <w:proofErr w:type="spellStart"/>
      <w:r w:rsidRPr="00CF177C">
        <w:rPr>
          <w:rFonts w:ascii="Times New Roman" w:hAnsi="Times New Roman" w:cs="Times New Roman"/>
          <w:szCs w:val="24"/>
          <w:lang w:val="es-ES"/>
        </w:rPr>
        <w:t>monotributistas</w:t>
      </w:r>
      <w:proofErr w:type="spellEnd"/>
      <w:r w:rsidRPr="00CF177C">
        <w:rPr>
          <w:rFonts w:ascii="Times New Roman" w:hAnsi="Times New Roman" w:cs="Times New Roman"/>
          <w:szCs w:val="24"/>
          <w:lang w:val="es-ES"/>
        </w:rPr>
        <w:t>, quienes serán alcanzados por la reciente expansión de la cobertura.</w:t>
      </w:r>
    </w:p>
    <w:p w14:paraId="57E31851" w14:textId="7C1F327A"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4]</w:t>
      </w:r>
    </w:p>
    <w:p w14:paraId="3EF71FCF" w14:textId="77777777" w:rsidR="00A7205F" w:rsidRPr="00CF177C" w:rsidRDefault="00D219BC" w:rsidP="00260F2E">
      <w:pPr>
        <w:spacing w:before="240" w:after="120" w:line="360" w:lineRule="auto"/>
        <w:jc w:val="both"/>
        <w:rPr>
          <w:rFonts w:ascii="Times New Roman" w:hAnsi="Times New Roman" w:cs="Times New Roman"/>
          <w:b/>
          <w:i/>
          <w:szCs w:val="24"/>
          <w:lang w:val="es-ES"/>
        </w:rPr>
      </w:pPr>
      <w:r w:rsidRPr="00CF177C">
        <w:rPr>
          <w:rFonts w:ascii="Times New Roman" w:hAnsi="Times New Roman" w:cs="Times New Roman"/>
          <w:b/>
          <w:i/>
          <w:szCs w:val="24"/>
          <w:lang w:val="es-ES"/>
        </w:rPr>
        <w:t xml:space="preserve">Grupo 2: </w:t>
      </w:r>
      <w:r w:rsidR="00260F2E" w:rsidRPr="00CF177C">
        <w:rPr>
          <w:rFonts w:ascii="Times New Roman" w:hAnsi="Times New Roman" w:cs="Times New Roman"/>
          <w:b/>
          <w:i/>
          <w:szCs w:val="24"/>
          <w:lang w:val="es-ES"/>
        </w:rPr>
        <w:t>n</w:t>
      </w:r>
      <w:r w:rsidR="00A7205F" w:rsidRPr="00CF177C">
        <w:rPr>
          <w:rFonts w:ascii="Times New Roman" w:hAnsi="Times New Roman" w:cs="Times New Roman"/>
          <w:b/>
          <w:i/>
          <w:szCs w:val="24"/>
          <w:lang w:val="es-ES"/>
        </w:rPr>
        <w:t>iños pequeños en contexto de alta vulnerabilidad social</w:t>
      </w:r>
    </w:p>
    <w:p w14:paraId="298C0E8F" w14:textId="77777777" w:rsidR="00A7205F" w:rsidRPr="00CF177C" w:rsidRDefault="00D219BC" w:rsidP="00A7205F">
      <w:pPr>
        <w:spacing w:after="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Se trata de un grupo </w:t>
      </w:r>
      <w:r w:rsidR="00A7205F" w:rsidRPr="00CF177C">
        <w:rPr>
          <w:rFonts w:ascii="Times New Roman" w:hAnsi="Times New Roman" w:cs="Times New Roman"/>
          <w:szCs w:val="24"/>
          <w:lang w:val="es-ES"/>
        </w:rPr>
        <w:t xml:space="preserve">altamente </w:t>
      </w:r>
      <w:r w:rsidRPr="00CF177C">
        <w:rPr>
          <w:rFonts w:ascii="Times New Roman" w:hAnsi="Times New Roman" w:cs="Times New Roman"/>
          <w:szCs w:val="24"/>
          <w:lang w:val="es-ES"/>
        </w:rPr>
        <w:t>vulnerable</w:t>
      </w:r>
      <w:r w:rsidR="00A7205F" w:rsidRPr="00CF177C">
        <w:rPr>
          <w:rFonts w:ascii="Times New Roman" w:hAnsi="Times New Roman" w:cs="Times New Roman"/>
          <w:szCs w:val="24"/>
          <w:lang w:val="es-ES"/>
        </w:rPr>
        <w:t xml:space="preserve"> por la articulación de un conjunto de atributos socioeconómicos, demográficos</w:t>
      </w:r>
      <w:r w:rsidR="000147F6">
        <w:rPr>
          <w:rFonts w:ascii="Times New Roman" w:hAnsi="Times New Roman" w:cs="Times New Roman"/>
          <w:szCs w:val="24"/>
          <w:lang w:val="es-ES"/>
        </w:rPr>
        <w:t>, laborales</w:t>
      </w:r>
      <w:r w:rsidR="00A7205F" w:rsidRPr="00CF177C">
        <w:rPr>
          <w:rFonts w:ascii="Times New Roman" w:hAnsi="Times New Roman" w:cs="Times New Roman"/>
          <w:szCs w:val="24"/>
          <w:lang w:val="es-ES"/>
        </w:rPr>
        <w:t xml:space="preserve"> y residenciales. Uno de los aspectos que caracteriza a este grupo es que se trata de </w:t>
      </w:r>
      <w:r w:rsidRPr="00CF177C">
        <w:rPr>
          <w:rFonts w:ascii="Times New Roman" w:hAnsi="Times New Roman" w:cs="Times New Roman"/>
          <w:szCs w:val="24"/>
          <w:lang w:val="es-ES"/>
        </w:rPr>
        <w:t>niños</w:t>
      </w:r>
      <w:r w:rsidR="00A7205F" w:rsidRPr="00CF177C">
        <w:rPr>
          <w:rFonts w:ascii="Times New Roman" w:hAnsi="Times New Roman" w:cs="Times New Roman"/>
          <w:szCs w:val="24"/>
          <w:lang w:val="es-ES"/>
        </w:rPr>
        <w:t xml:space="preserve"> pequeños (5 años de edad en promedio), </w:t>
      </w:r>
      <w:r w:rsidRPr="00CF177C">
        <w:rPr>
          <w:rFonts w:ascii="Times New Roman" w:hAnsi="Times New Roman" w:cs="Times New Roman"/>
          <w:szCs w:val="24"/>
          <w:lang w:val="es-ES"/>
        </w:rPr>
        <w:t>cuya madre es joven (29 años en promedio). Viven en los hogares más numerosos</w:t>
      </w:r>
      <w:r w:rsidR="00A7205F" w:rsidRPr="00CF177C">
        <w:rPr>
          <w:rFonts w:ascii="Times New Roman" w:hAnsi="Times New Roman" w:cs="Times New Roman"/>
          <w:szCs w:val="24"/>
          <w:lang w:val="es-ES"/>
        </w:rPr>
        <w:t xml:space="preserve"> si se </w:t>
      </w:r>
      <w:r w:rsidR="00A7205F" w:rsidRPr="00CF177C">
        <w:rPr>
          <w:rFonts w:ascii="Times New Roman" w:hAnsi="Times New Roman" w:cs="Times New Roman"/>
          <w:szCs w:val="24"/>
          <w:lang w:val="es-ES"/>
        </w:rPr>
        <w:lastRenderedPageBreak/>
        <w:t xml:space="preserve">examina la cantidad de niños en el hogar. </w:t>
      </w:r>
      <w:r w:rsidR="001E4C44" w:rsidRPr="00CF177C">
        <w:rPr>
          <w:rFonts w:ascii="Times New Roman" w:hAnsi="Times New Roman" w:cs="Times New Roman"/>
          <w:szCs w:val="24"/>
          <w:lang w:val="es-ES"/>
        </w:rPr>
        <w:t>Se trata de un grupo de niños</w:t>
      </w:r>
      <w:r w:rsidR="00A7205F" w:rsidRPr="00CF177C">
        <w:rPr>
          <w:rFonts w:ascii="Times New Roman" w:hAnsi="Times New Roman" w:cs="Times New Roman"/>
          <w:szCs w:val="24"/>
          <w:lang w:val="es-ES"/>
        </w:rPr>
        <w:t xml:space="preserve"> que reside en hogares con bajo clima educativo: 8 de cada 10 tienen una madre que no completó la secundaria.</w:t>
      </w:r>
    </w:p>
    <w:p w14:paraId="61C4D0D0" w14:textId="43A78553"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5]</w:t>
      </w:r>
    </w:p>
    <w:p w14:paraId="1E40F290" w14:textId="21FDD0D4" w:rsidR="001D5F26" w:rsidRPr="00CF177C" w:rsidRDefault="001120EE" w:rsidP="001120E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En este grupo se advierte la incidencia más elevada de la no asistencia escolar; pero este factor está asociado a la menor edad de los niños. Este aspecto puede estar asociado a la menor integración y/o ausencia de información necesaria para </w:t>
      </w:r>
      <w:r w:rsidR="00C6083A">
        <w:rPr>
          <w:rFonts w:ascii="Times New Roman" w:hAnsi="Times New Roman" w:cs="Times New Roman"/>
          <w:szCs w:val="24"/>
          <w:lang w:val="es-ES"/>
        </w:rPr>
        <w:t>la solicitud del</w:t>
      </w:r>
      <w:r w:rsidRPr="00CF177C">
        <w:rPr>
          <w:rFonts w:ascii="Times New Roman" w:hAnsi="Times New Roman" w:cs="Times New Roman"/>
          <w:szCs w:val="24"/>
          <w:lang w:val="es-ES"/>
        </w:rPr>
        <w:t xml:space="preserve"> beneficio. </w:t>
      </w:r>
    </w:p>
    <w:p w14:paraId="3CA62EA4" w14:textId="77777777" w:rsidR="00260F2E" w:rsidRPr="00CF177C" w:rsidRDefault="00260F2E" w:rsidP="00260F2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Más de la mitad de estos niños pertenecen al estrato marginal o al estrato obrero pobre (28% y 26%, respectivamente). Los adultos de referencia suelen ser inactivos o desocupados, trabajadores eventuales, pero también asalariados precarios y trabajadores cuentapropistas informales. </w:t>
      </w:r>
    </w:p>
    <w:p w14:paraId="4E58297C" w14:textId="77777777" w:rsidR="00260F2E" w:rsidRPr="00CF177C" w:rsidRDefault="00260F2E" w:rsidP="00260F2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Se advierte que 4 de cada 10 niños/as y adolescentes que integran este grupo viven en condiciones de hacinamiento; un cuarto de ellos lo hace en villas o asentamientos, y ello explica la fuerte incidencia de formas irregulares de tenencia de la vivienda.</w:t>
      </w:r>
    </w:p>
    <w:p w14:paraId="273C6712" w14:textId="77777777" w:rsidR="008C5319" w:rsidRPr="00CF177C" w:rsidRDefault="00D219BC" w:rsidP="00260F2E">
      <w:pPr>
        <w:spacing w:before="240" w:after="120" w:line="360" w:lineRule="auto"/>
        <w:jc w:val="both"/>
        <w:rPr>
          <w:rFonts w:ascii="Times New Roman" w:hAnsi="Times New Roman" w:cs="Times New Roman"/>
          <w:b/>
          <w:i/>
          <w:szCs w:val="24"/>
          <w:lang w:val="es-ES"/>
        </w:rPr>
      </w:pPr>
      <w:r w:rsidRPr="00CF177C">
        <w:rPr>
          <w:rFonts w:ascii="Times New Roman" w:hAnsi="Times New Roman" w:cs="Times New Roman"/>
          <w:b/>
          <w:i/>
          <w:szCs w:val="24"/>
          <w:lang w:val="es-ES"/>
        </w:rPr>
        <w:t xml:space="preserve">Grupo 3: </w:t>
      </w:r>
      <w:r w:rsidR="00260F2E" w:rsidRPr="00CF177C">
        <w:rPr>
          <w:rFonts w:ascii="Times New Roman" w:hAnsi="Times New Roman" w:cs="Times New Roman"/>
          <w:b/>
          <w:i/>
          <w:szCs w:val="24"/>
          <w:lang w:val="es-ES"/>
        </w:rPr>
        <w:t>a</w:t>
      </w:r>
      <w:r w:rsidR="00AF74EF" w:rsidRPr="00CF177C">
        <w:rPr>
          <w:rFonts w:ascii="Times New Roman" w:hAnsi="Times New Roman" w:cs="Times New Roman"/>
          <w:b/>
          <w:i/>
          <w:szCs w:val="24"/>
          <w:lang w:val="es-ES"/>
        </w:rPr>
        <w:t>dolescentes</w:t>
      </w:r>
      <w:r w:rsidR="008C5319" w:rsidRPr="00CF177C">
        <w:rPr>
          <w:rFonts w:ascii="Times New Roman" w:hAnsi="Times New Roman" w:cs="Times New Roman"/>
          <w:b/>
          <w:i/>
          <w:szCs w:val="24"/>
          <w:lang w:val="es-ES"/>
        </w:rPr>
        <w:t xml:space="preserve"> en contexto de vulnerabilidad social</w:t>
      </w:r>
    </w:p>
    <w:p w14:paraId="534ADC07" w14:textId="035ACCBB" w:rsidR="008C5319" w:rsidRPr="00CF177C" w:rsidRDefault="00981519" w:rsidP="008C5319">
      <w:pPr>
        <w:spacing w:after="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En este grupo se observa una mayor proporción de adolescentes</w:t>
      </w:r>
      <w:r w:rsidR="008C5319" w:rsidRPr="00CF177C">
        <w:rPr>
          <w:rFonts w:ascii="Times New Roman" w:hAnsi="Times New Roman" w:cs="Times New Roman"/>
          <w:szCs w:val="24"/>
          <w:lang w:val="es-ES"/>
        </w:rPr>
        <w:t xml:space="preserve"> </w:t>
      </w:r>
      <w:r w:rsidRPr="00CF177C">
        <w:rPr>
          <w:rFonts w:ascii="Times New Roman" w:hAnsi="Times New Roman" w:cs="Times New Roman"/>
          <w:szCs w:val="24"/>
          <w:lang w:val="es-ES"/>
        </w:rPr>
        <w:t xml:space="preserve">entre </w:t>
      </w:r>
      <w:r w:rsidR="00D219BC" w:rsidRPr="00CF177C">
        <w:rPr>
          <w:rFonts w:ascii="Times New Roman" w:hAnsi="Times New Roman" w:cs="Times New Roman"/>
          <w:szCs w:val="24"/>
          <w:lang w:val="es-ES"/>
        </w:rPr>
        <w:t xml:space="preserve">13 a 17 años (13 </w:t>
      </w:r>
      <w:r w:rsidR="00260F2E" w:rsidRPr="00CF177C">
        <w:rPr>
          <w:rFonts w:ascii="Times New Roman" w:hAnsi="Times New Roman" w:cs="Times New Roman"/>
          <w:szCs w:val="24"/>
          <w:lang w:val="es-ES"/>
        </w:rPr>
        <w:t>años</w:t>
      </w:r>
      <w:r w:rsidR="00D219BC" w:rsidRPr="00CF177C">
        <w:rPr>
          <w:rFonts w:ascii="Times New Roman" w:hAnsi="Times New Roman" w:cs="Times New Roman"/>
          <w:szCs w:val="24"/>
          <w:lang w:val="es-ES"/>
        </w:rPr>
        <w:t xml:space="preserve"> en promedio) y, en consecuencia, con madres </w:t>
      </w:r>
      <w:r w:rsidRPr="00CF177C">
        <w:rPr>
          <w:rFonts w:ascii="Times New Roman" w:hAnsi="Times New Roman" w:cs="Times New Roman"/>
          <w:szCs w:val="24"/>
          <w:lang w:val="es-ES"/>
        </w:rPr>
        <w:t xml:space="preserve">en promedio </w:t>
      </w:r>
      <w:r w:rsidR="00D219BC" w:rsidRPr="00CF177C">
        <w:rPr>
          <w:rFonts w:ascii="Times New Roman" w:hAnsi="Times New Roman" w:cs="Times New Roman"/>
          <w:szCs w:val="24"/>
          <w:lang w:val="es-ES"/>
        </w:rPr>
        <w:t xml:space="preserve">mayores. También se encuentran en un bajo clima educativo, ya que 8 de cada 10 tienen una madre que no completó la </w:t>
      </w:r>
      <w:r w:rsidR="00405BAE">
        <w:rPr>
          <w:rFonts w:ascii="Times New Roman" w:hAnsi="Times New Roman" w:cs="Times New Roman"/>
          <w:szCs w:val="24"/>
          <w:lang w:val="es-ES"/>
        </w:rPr>
        <w:t xml:space="preserve">educación </w:t>
      </w:r>
      <w:r w:rsidR="00D219BC" w:rsidRPr="00CF177C">
        <w:rPr>
          <w:rFonts w:ascii="Times New Roman" w:hAnsi="Times New Roman" w:cs="Times New Roman"/>
          <w:szCs w:val="24"/>
          <w:lang w:val="es-ES"/>
        </w:rPr>
        <w:t xml:space="preserve">secundaria. </w:t>
      </w:r>
    </w:p>
    <w:p w14:paraId="79E7E51C" w14:textId="2CB0382A" w:rsidR="008C5319" w:rsidRPr="00CF177C" w:rsidRDefault="00DF326F" w:rsidP="00260F2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La gran mayoría de estos chicos</w:t>
      </w:r>
      <w:r w:rsidR="008C5319" w:rsidRPr="00CF177C">
        <w:rPr>
          <w:rFonts w:ascii="Times New Roman" w:hAnsi="Times New Roman" w:cs="Times New Roman"/>
          <w:szCs w:val="24"/>
          <w:lang w:val="es-ES"/>
        </w:rPr>
        <w:t xml:space="preserve"> (75%)</w:t>
      </w:r>
      <w:r w:rsidR="00AE1D25" w:rsidRPr="00CF177C">
        <w:rPr>
          <w:rFonts w:ascii="Times New Roman" w:hAnsi="Times New Roman" w:cs="Times New Roman"/>
          <w:szCs w:val="24"/>
          <w:lang w:val="es-ES"/>
        </w:rPr>
        <w:t xml:space="preserve"> asiste a escuelas públicas</w:t>
      </w:r>
      <w:r w:rsidR="00405BAE">
        <w:rPr>
          <w:rFonts w:ascii="Times New Roman" w:hAnsi="Times New Roman" w:cs="Times New Roman"/>
          <w:szCs w:val="24"/>
          <w:lang w:val="es-ES"/>
        </w:rPr>
        <w:t xml:space="preserve"> de gestión estatal</w:t>
      </w:r>
      <w:r w:rsidR="00AE1D25" w:rsidRPr="00CF177C">
        <w:rPr>
          <w:rFonts w:ascii="Times New Roman" w:hAnsi="Times New Roman" w:cs="Times New Roman"/>
          <w:szCs w:val="24"/>
          <w:lang w:val="es-ES"/>
        </w:rPr>
        <w:t xml:space="preserve">, pero 12% no asiste a la escuela.  </w:t>
      </w:r>
      <w:r w:rsidR="008C5319" w:rsidRPr="00CF177C">
        <w:rPr>
          <w:rFonts w:ascii="Times New Roman" w:hAnsi="Times New Roman" w:cs="Times New Roman"/>
          <w:szCs w:val="24"/>
          <w:lang w:val="es-ES"/>
        </w:rPr>
        <w:t>Ello podría explicar</w:t>
      </w:r>
      <w:r w:rsidR="00AE1D25" w:rsidRPr="00CF177C">
        <w:rPr>
          <w:rFonts w:ascii="Times New Roman" w:hAnsi="Times New Roman" w:cs="Times New Roman"/>
          <w:szCs w:val="24"/>
          <w:lang w:val="es-ES"/>
        </w:rPr>
        <w:t xml:space="preserve"> en parte</w:t>
      </w:r>
      <w:r w:rsidR="008C5319" w:rsidRPr="00CF177C">
        <w:rPr>
          <w:rFonts w:ascii="Times New Roman" w:hAnsi="Times New Roman" w:cs="Times New Roman"/>
          <w:szCs w:val="24"/>
          <w:lang w:val="es-ES"/>
        </w:rPr>
        <w:t xml:space="preserve"> la no </w:t>
      </w:r>
      <w:r w:rsidR="00405BAE">
        <w:rPr>
          <w:rFonts w:ascii="Times New Roman" w:hAnsi="Times New Roman" w:cs="Times New Roman"/>
          <w:szCs w:val="24"/>
          <w:lang w:val="es-ES"/>
        </w:rPr>
        <w:t xml:space="preserve">percepción de </w:t>
      </w:r>
      <w:r w:rsidR="008C5319" w:rsidRPr="00CF177C">
        <w:rPr>
          <w:rFonts w:ascii="Times New Roman" w:hAnsi="Times New Roman" w:cs="Times New Roman"/>
          <w:szCs w:val="24"/>
          <w:lang w:val="es-ES"/>
        </w:rPr>
        <w:t>la Asignación Universal por Hijo, en al menos dos sentidos. Por una parte, en tanto no se cumple la condicionalidad educativa; por otra parte, podría tratarse de inserciones inestables en la escolarización obligatoria.</w:t>
      </w:r>
    </w:p>
    <w:p w14:paraId="0CB28E7B" w14:textId="5410B090"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6]</w:t>
      </w:r>
    </w:p>
    <w:p w14:paraId="27EE4A32" w14:textId="77777777" w:rsidR="008C5319" w:rsidRPr="00CF177C" w:rsidRDefault="008C5319" w:rsidP="00260F2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Entre estos niños, c</w:t>
      </w:r>
      <w:r w:rsidR="00DF326F" w:rsidRPr="00CF177C">
        <w:rPr>
          <w:rFonts w:ascii="Times New Roman" w:hAnsi="Times New Roman" w:cs="Times New Roman"/>
          <w:szCs w:val="24"/>
          <w:lang w:val="es-ES"/>
        </w:rPr>
        <w:t xml:space="preserve">asi 4 de cada 10 pertenecen </w:t>
      </w:r>
      <w:r w:rsidR="00981519" w:rsidRPr="00CF177C">
        <w:rPr>
          <w:rFonts w:ascii="Times New Roman" w:hAnsi="Times New Roman" w:cs="Times New Roman"/>
          <w:szCs w:val="24"/>
          <w:lang w:val="es-ES"/>
        </w:rPr>
        <w:t>al estrato</w:t>
      </w:r>
      <w:r w:rsidR="00DF326F" w:rsidRPr="00CF177C">
        <w:rPr>
          <w:rFonts w:ascii="Times New Roman" w:hAnsi="Times New Roman" w:cs="Times New Roman"/>
          <w:szCs w:val="24"/>
          <w:lang w:val="es-ES"/>
        </w:rPr>
        <w:t xml:space="preserve"> marginal </w:t>
      </w:r>
      <w:r w:rsidR="00981519" w:rsidRPr="00CF177C">
        <w:rPr>
          <w:rFonts w:ascii="Times New Roman" w:hAnsi="Times New Roman" w:cs="Times New Roman"/>
          <w:szCs w:val="24"/>
          <w:lang w:val="es-ES"/>
        </w:rPr>
        <w:t>u obrero</w:t>
      </w:r>
      <w:r w:rsidR="00DF326F" w:rsidRPr="00CF177C">
        <w:rPr>
          <w:rFonts w:ascii="Times New Roman" w:hAnsi="Times New Roman" w:cs="Times New Roman"/>
          <w:szCs w:val="24"/>
          <w:lang w:val="es-ES"/>
        </w:rPr>
        <w:t xml:space="preserve"> pobre</w:t>
      </w:r>
      <w:r w:rsidR="00981519" w:rsidRPr="00CF177C">
        <w:rPr>
          <w:rFonts w:ascii="Times New Roman" w:hAnsi="Times New Roman" w:cs="Times New Roman"/>
          <w:szCs w:val="24"/>
          <w:lang w:val="es-ES"/>
        </w:rPr>
        <w:t>, y casi 6 de cada 10 al estrato obrero popular</w:t>
      </w:r>
      <w:r w:rsidR="00DF326F" w:rsidRPr="00CF177C">
        <w:rPr>
          <w:rFonts w:ascii="Times New Roman" w:hAnsi="Times New Roman" w:cs="Times New Roman"/>
          <w:szCs w:val="24"/>
          <w:lang w:val="es-ES"/>
        </w:rPr>
        <w:t xml:space="preserve">. </w:t>
      </w:r>
      <w:r w:rsidRPr="00CF177C">
        <w:rPr>
          <w:rFonts w:ascii="Times New Roman" w:hAnsi="Times New Roman" w:cs="Times New Roman"/>
          <w:szCs w:val="24"/>
          <w:lang w:val="es-ES"/>
        </w:rPr>
        <w:t>Aquí se observa una pres</w:t>
      </w:r>
      <w:r w:rsidR="001E4C44" w:rsidRPr="00CF177C">
        <w:rPr>
          <w:rFonts w:ascii="Times New Roman" w:hAnsi="Times New Roman" w:cs="Times New Roman"/>
          <w:szCs w:val="24"/>
          <w:lang w:val="es-ES"/>
        </w:rPr>
        <w:t>encia más importante de niños</w:t>
      </w:r>
      <w:r w:rsidRPr="00CF177C">
        <w:rPr>
          <w:rFonts w:ascii="Times New Roman" w:hAnsi="Times New Roman" w:cs="Times New Roman"/>
          <w:szCs w:val="24"/>
          <w:lang w:val="es-ES"/>
        </w:rPr>
        <w:t xml:space="preserve"> cuyo adulto de referencia trabaja en el servicio doméstico, pero también como cuentapropistas informales o asalariados precarios. </w:t>
      </w:r>
    </w:p>
    <w:p w14:paraId="7BA1246C" w14:textId="77777777" w:rsidR="00B2646F" w:rsidRPr="00CF177C" w:rsidRDefault="00DF326F" w:rsidP="00260F2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A diferencia del grupo 2, los niveles de hacinamiento son más bajos y también lo es la incidencia de formas irregulares de tenencia de la vivienda o la residencia en villas o </w:t>
      </w:r>
      <w:r w:rsidRPr="00CF177C">
        <w:rPr>
          <w:rFonts w:ascii="Times New Roman" w:hAnsi="Times New Roman" w:cs="Times New Roman"/>
          <w:szCs w:val="24"/>
          <w:lang w:val="es-ES"/>
        </w:rPr>
        <w:lastRenderedPageBreak/>
        <w:t xml:space="preserve">asentamientos. </w:t>
      </w:r>
      <w:r w:rsidR="008C5319" w:rsidRPr="00CF177C">
        <w:rPr>
          <w:rFonts w:ascii="Times New Roman" w:hAnsi="Times New Roman" w:cs="Times New Roman"/>
          <w:szCs w:val="24"/>
          <w:lang w:val="es-ES"/>
        </w:rPr>
        <w:t>Ello podría dar cuenta de un grupo más integrado socialmente, en comparación con el grupo 2 analizado anteriormente.</w:t>
      </w:r>
    </w:p>
    <w:p w14:paraId="6FFF2F47" w14:textId="77777777" w:rsidR="008C5319" w:rsidRPr="00CF177C" w:rsidRDefault="00DF326F" w:rsidP="008C5319">
      <w:pPr>
        <w:spacing w:after="0" w:line="360" w:lineRule="auto"/>
        <w:jc w:val="both"/>
        <w:rPr>
          <w:rFonts w:ascii="Times New Roman" w:hAnsi="Times New Roman" w:cs="Times New Roman"/>
          <w:i/>
          <w:szCs w:val="24"/>
          <w:lang w:val="es-ES"/>
        </w:rPr>
      </w:pPr>
      <w:r w:rsidRPr="00CF177C">
        <w:rPr>
          <w:rFonts w:ascii="Times New Roman" w:hAnsi="Times New Roman" w:cs="Times New Roman"/>
          <w:b/>
          <w:i/>
          <w:szCs w:val="24"/>
          <w:lang w:val="es-ES"/>
        </w:rPr>
        <w:t>Grupo 4:</w:t>
      </w:r>
      <w:r w:rsidRPr="00CF177C">
        <w:rPr>
          <w:rFonts w:ascii="Times New Roman" w:hAnsi="Times New Roman" w:cs="Times New Roman"/>
          <w:i/>
          <w:szCs w:val="24"/>
          <w:lang w:val="es-ES"/>
        </w:rPr>
        <w:t xml:space="preserve"> </w:t>
      </w:r>
      <w:r w:rsidR="000859A2" w:rsidRPr="00CF177C">
        <w:rPr>
          <w:rFonts w:ascii="Times New Roman" w:hAnsi="Times New Roman" w:cs="Times New Roman"/>
          <w:b/>
          <w:i/>
          <w:szCs w:val="24"/>
          <w:lang w:val="es-ES"/>
        </w:rPr>
        <w:t>a</w:t>
      </w:r>
      <w:r w:rsidRPr="00CF177C">
        <w:rPr>
          <w:rFonts w:ascii="Times New Roman" w:hAnsi="Times New Roman" w:cs="Times New Roman"/>
          <w:b/>
          <w:i/>
          <w:szCs w:val="24"/>
          <w:lang w:val="es-ES"/>
        </w:rPr>
        <w:t>lta vulnerabilidad y contexto de migración</w:t>
      </w:r>
    </w:p>
    <w:p w14:paraId="2BC5B44D" w14:textId="77777777" w:rsidR="00811A26" w:rsidRPr="00CF177C" w:rsidRDefault="00DF326F" w:rsidP="00260F2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Este grupo concentra a aquellos</w:t>
      </w:r>
      <w:r w:rsidR="00981519" w:rsidRPr="00CF177C">
        <w:rPr>
          <w:rFonts w:ascii="Times New Roman" w:hAnsi="Times New Roman" w:cs="Times New Roman"/>
          <w:szCs w:val="24"/>
          <w:lang w:val="es-ES"/>
        </w:rPr>
        <w:t xml:space="preserve"> niños</w:t>
      </w:r>
      <w:r w:rsidR="008C5319" w:rsidRPr="00CF177C">
        <w:rPr>
          <w:rFonts w:ascii="Times New Roman" w:hAnsi="Times New Roman" w:cs="Times New Roman"/>
          <w:szCs w:val="24"/>
          <w:lang w:val="es-ES"/>
        </w:rPr>
        <w:t xml:space="preserve"> y adolescentes</w:t>
      </w:r>
      <w:r w:rsidRPr="00CF177C">
        <w:rPr>
          <w:rFonts w:ascii="Times New Roman" w:hAnsi="Times New Roman" w:cs="Times New Roman"/>
          <w:szCs w:val="24"/>
          <w:lang w:val="es-ES"/>
        </w:rPr>
        <w:t xml:space="preserve"> cuyos padres son migrantes, si bien sólo 1 de cada 10 niños </w:t>
      </w:r>
      <w:r w:rsidR="008C5319" w:rsidRPr="00CF177C">
        <w:rPr>
          <w:rFonts w:ascii="Times New Roman" w:hAnsi="Times New Roman" w:cs="Times New Roman"/>
          <w:szCs w:val="24"/>
          <w:lang w:val="es-ES"/>
        </w:rPr>
        <w:t>es</w:t>
      </w:r>
      <w:r w:rsidRPr="00CF177C">
        <w:rPr>
          <w:rFonts w:ascii="Times New Roman" w:hAnsi="Times New Roman" w:cs="Times New Roman"/>
          <w:szCs w:val="24"/>
          <w:lang w:val="es-ES"/>
        </w:rPr>
        <w:t xml:space="preserve"> extranjero. </w:t>
      </w:r>
      <w:r w:rsidR="00811A26" w:rsidRPr="00CF177C">
        <w:rPr>
          <w:rFonts w:ascii="Times New Roman" w:hAnsi="Times New Roman" w:cs="Times New Roman"/>
          <w:szCs w:val="24"/>
          <w:lang w:val="es-ES"/>
        </w:rPr>
        <w:t>Debe sub</w:t>
      </w:r>
      <w:r w:rsidR="001E4C44" w:rsidRPr="00CF177C">
        <w:rPr>
          <w:rFonts w:ascii="Times New Roman" w:hAnsi="Times New Roman" w:cs="Times New Roman"/>
          <w:szCs w:val="24"/>
          <w:lang w:val="es-ES"/>
        </w:rPr>
        <w:t>rayarse que se trata de niños</w:t>
      </w:r>
      <w:r w:rsidR="00811A26" w:rsidRPr="00CF177C">
        <w:rPr>
          <w:rFonts w:ascii="Times New Roman" w:hAnsi="Times New Roman" w:cs="Times New Roman"/>
          <w:szCs w:val="24"/>
          <w:lang w:val="es-ES"/>
        </w:rPr>
        <w:t xml:space="preserve"> migrantes que cumplen con el requisito exigido por la AUH para acceder al beneficio, esto es, residir en el país hace 3 años o más. </w:t>
      </w:r>
    </w:p>
    <w:p w14:paraId="5AA2AB0A" w14:textId="77777777" w:rsidR="000B1A97" w:rsidRPr="00CF177C" w:rsidRDefault="00DF326F" w:rsidP="00260F2E">
      <w:pPr>
        <w:spacing w:before="120" w:after="120" w:line="360" w:lineRule="auto"/>
        <w:jc w:val="both"/>
        <w:rPr>
          <w:rFonts w:ascii="Times New Roman" w:hAnsi="Times New Roman" w:cs="Times New Roman"/>
          <w:szCs w:val="24"/>
          <w:lang w:val="es-ES"/>
        </w:rPr>
      </w:pPr>
      <w:r w:rsidRPr="00CF177C">
        <w:rPr>
          <w:rFonts w:ascii="Times New Roman" w:hAnsi="Times New Roman" w:cs="Times New Roman"/>
          <w:szCs w:val="24"/>
          <w:lang w:val="es-ES"/>
        </w:rPr>
        <w:t xml:space="preserve">Este grupo también tiene </w:t>
      </w:r>
      <w:r w:rsidR="00811A26" w:rsidRPr="00CF177C">
        <w:rPr>
          <w:rFonts w:ascii="Times New Roman" w:hAnsi="Times New Roman" w:cs="Times New Roman"/>
          <w:szCs w:val="24"/>
          <w:lang w:val="es-ES"/>
        </w:rPr>
        <w:t>altos niveles de vulnerabilidad. Ello se advierte en que son niños que</w:t>
      </w:r>
      <w:r w:rsidRPr="00CF177C">
        <w:rPr>
          <w:rFonts w:ascii="Times New Roman" w:hAnsi="Times New Roman" w:cs="Times New Roman"/>
          <w:szCs w:val="24"/>
          <w:lang w:val="es-ES"/>
        </w:rPr>
        <w:t xml:space="preserve"> pertenece</w:t>
      </w:r>
      <w:r w:rsidR="00811A26" w:rsidRPr="00CF177C">
        <w:rPr>
          <w:rFonts w:ascii="Times New Roman" w:hAnsi="Times New Roman" w:cs="Times New Roman"/>
          <w:szCs w:val="24"/>
          <w:lang w:val="es-ES"/>
        </w:rPr>
        <w:t>n</w:t>
      </w:r>
      <w:r w:rsidRPr="00CF177C">
        <w:rPr>
          <w:rFonts w:ascii="Times New Roman" w:hAnsi="Times New Roman" w:cs="Times New Roman"/>
          <w:szCs w:val="24"/>
          <w:lang w:val="es-ES"/>
        </w:rPr>
        <w:t xml:space="preserve"> a hogares con bajo clima educativo y se trata de niños cuya edad en promedio es similar a la del </w:t>
      </w:r>
      <w:r w:rsidR="00EF1D0A" w:rsidRPr="00CF177C">
        <w:rPr>
          <w:rFonts w:ascii="Times New Roman" w:hAnsi="Times New Roman" w:cs="Times New Roman"/>
          <w:szCs w:val="24"/>
          <w:lang w:val="es-ES"/>
        </w:rPr>
        <w:t>g</w:t>
      </w:r>
      <w:r w:rsidRPr="00CF177C">
        <w:rPr>
          <w:rFonts w:ascii="Times New Roman" w:hAnsi="Times New Roman" w:cs="Times New Roman"/>
          <w:szCs w:val="24"/>
          <w:lang w:val="es-ES"/>
        </w:rPr>
        <w:t xml:space="preserve">rupo 1. Alrededor de 7 de cada 10 pertenecen </w:t>
      </w:r>
      <w:r w:rsidR="008B572F" w:rsidRPr="00CF177C">
        <w:rPr>
          <w:rFonts w:ascii="Times New Roman" w:hAnsi="Times New Roman" w:cs="Times New Roman"/>
          <w:szCs w:val="24"/>
          <w:lang w:val="es-ES"/>
        </w:rPr>
        <w:t xml:space="preserve">al estrato obrero </w:t>
      </w:r>
      <w:r w:rsidRPr="00CF177C">
        <w:rPr>
          <w:rFonts w:ascii="Times New Roman" w:hAnsi="Times New Roman" w:cs="Times New Roman"/>
          <w:szCs w:val="24"/>
          <w:lang w:val="es-ES"/>
        </w:rPr>
        <w:t xml:space="preserve">pobre o popular, aunque también hay, como en el </w:t>
      </w:r>
      <w:r w:rsidR="005837D6">
        <w:rPr>
          <w:rFonts w:ascii="Times New Roman" w:hAnsi="Times New Roman" w:cs="Times New Roman"/>
          <w:szCs w:val="24"/>
          <w:lang w:val="es-ES"/>
        </w:rPr>
        <w:t>g</w:t>
      </w:r>
      <w:r w:rsidRPr="00CF177C">
        <w:rPr>
          <w:rFonts w:ascii="Times New Roman" w:hAnsi="Times New Roman" w:cs="Times New Roman"/>
          <w:szCs w:val="24"/>
          <w:lang w:val="es-ES"/>
        </w:rPr>
        <w:t>rupo 2, una fuerte presencia de residencia en villas y asentamientos.</w:t>
      </w:r>
    </w:p>
    <w:p w14:paraId="2D8879E6" w14:textId="77777777" w:rsidR="001120EE" w:rsidRPr="00CF177C" w:rsidRDefault="0085089F" w:rsidP="001120EE">
      <w:pPr>
        <w:keepNext/>
        <w:spacing w:before="360" w:after="240" w:line="240" w:lineRule="auto"/>
        <w:jc w:val="both"/>
        <w:rPr>
          <w:rFonts w:ascii="Times New Roman" w:hAnsi="Times New Roman" w:cs="Times New Roman"/>
          <w:b/>
          <w:szCs w:val="24"/>
          <w:lang w:val="es-ES"/>
        </w:rPr>
      </w:pPr>
      <w:r w:rsidRPr="00CF177C">
        <w:rPr>
          <w:rFonts w:ascii="Times New Roman" w:hAnsi="Times New Roman" w:cs="Times New Roman"/>
          <w:b/>
          <w:szCs w:val="24"/>
        </w:rPr>
        <w:t>4</w:t>
      </w:r>
      <w:r w:rsidR="001120EE" w:rsidRPr="00CF177C">
        <w:rPr>
          <w:rFonts w:ascii="Times New Roman" w:hAnsi="Times New Roman" w:cs="Times New Roman"/>
          <w:b/>
          <w:szCs w:val="24"/>
        </w:rPr>
        <w:t xml:space="preserve">. </w:t>
      </w:r>
      <w:r w:rsidR="001120EE" w:rsidRPr="00CF177C">
        <w:rPr>
          <w:rFonts w:ascii="Times New Roman" w:hAnsi="Times New Roman" w:cs="Times New Roman"/>
          <w:b/>
          <w:szCs w:val="24"/>
          <w:lang w:val="es-ES"/>
        </w:rPr>
        <w:t>Reflexiones finales</w:t>
      </w:r>
    </w:p>
    <w:p w14:paraId="67B9292B" w14:textId="6B4A3C21" w:rsidR="00EF1D0A" w:rsidRPr="00CF177C" w:rsidRDefault="00EF1D0A" w:rsidP="008C238D">
      <w:pPr>
        <w:pStyle w:val="NormalWeb"/>
        <w:shd w:val="clear" w:color="auto" w:fill="FFFFFF"/>
        <w:spacing w:before="0" w:beforeAutospacing="0" w:after="120" w:afterAutospacing="0" w:line="360" w:lineRule="auto"/>
        <w:jc w:val="both"/>
        <w:rPr>
          <w:rFonts w:ascii="Times New Roman" w:hAnsi="Times New Roman"/>
          <w:sz w:val="24"/>
          <w:szCs w:val="24"/>
        </w:rPr>
      </w:pPr>
      <w:r w:rsidRPr="00CF177C">
        <w:rPr>
          <w:rFonts w:ascii="Times New Roman" w:hAnsi="Times New Roman"/>
          <w:sz w:val="24"/>
          <w:szCs w:val="24"/>
        </w:rPr>
        <w:t xml:space="preserve">La expansión de las transferencias monetarias condicionadas como forma </w:t>
      </w:r>
      <w:r w:rsidR="007F438D">
        <w:rPr>
          <w:rFonts w:ascii="Times New Roman" w:hAnsi="Times New Roman"/>
          <w:sz w:val="24"/>
          <w:szCs w:val="24"/>
        </w:rPr>
        <w:t xml:space="preserve">ampliamente difundida de </w:t>
      </w:r>
      <w:r w:rsidRPr="00CF177C">
        <w:rPr>
          <w:rFonts w:ascii="Times New Roman" w:hAnsi="Times New Roman"/>
          <w:sz w:val="24"/>
          <w:szCs w:val="24"/>
        </w:rPr>
        <w:t xml:space="preserve">política social dirigida a grupos sociales vulnerables suscita interrogantes acerca de su capacidad para promover mayores niveles de convergencia en materia de bienestar y condiciones de vida. </w:t>
      </w:r>
      <w:r w:rsidR="00750C32">
        <w:rPr>
          <w:rFonts w:ascii="Times New Roman" w:hAnsi="Times New Roman"/>
          <w:sz w:val="24"/>
          <w:szCs w:val="24"/>
        </w:rPr>
        <w:t xml:space="preserve">Durante los 2000, los </w:t>
      </w:r>
      <w:r w:rsidR="00405BAE">
        <w:rPr>
          <w:rFonts w:ascii="Times New Roman" w:hAnsi="Times New Roman"/>
          <w:sz w:val="24"/>
          <w:szCs w:val="24"/>
        </w:rPr>
        <w:t xml:space="preserve">PTMC </w:t>
      </w:r>
      <w:r w:rsidR="00750C32">
        <w:rPr>
          <w:rFonts w:ascii="Times New Roman" w:hAnsi="Times New Roman"/>
          <w:sz w:val="24"/>
          <w:szCs w:val="24"/>
        </w:rPr>
        <w:t xml:space="preserve">habrían tenido un efecto limitado sobre la reducción de la pobreza y la pobreza extrema, cuya dinámica habría permanecido asociada a lo ocurrido con el mercado laboral e, incluso, el sistema previsional. El análisis de la AUH aquí presentado </w:t>
      </w:r>
      <w:r w:rsidRPr="00CF177C">
        <w:rPr>
          <w:rFonts w:ascii="Times New Roman" w:hAnsi="Times New Roman"/>
          <w:sz w:val="24"/>
          <w:szCs w:val="24"/>
        </w:rPr>
        <w:t xml:space="preserve">puso de manifiesto la estrecha correlación que existe entre la desigualdad socioeconómica y el tipo de instrumentos a los que se accede. En particular, se evidenció que los PTMC como la AUH no bastan para nivelar las condiciones materiales de vida de los niños y adolescentes cubiertos. </w:t>
      </w:r>
    </w:p>
    <w:p w14:paraId="456D54CD" w14:textId="4AE4AA74" w:rsidR="00C632C8" w:rsidRPr="00CF177C" w:rsidRDefault="00EF1D0A" w:rsidP="008C238D">
      <w:pPr>
        <w:pStyle w:val="NormalWeb"/>
        <w:shd w:val="clear" w:color="auto" w:fill="FFFFFF"/>
        <w:spacing w:before="0" w:beforeAutospacing="0" w:after="120" w:afterAutospacing="0" w:line="360" w:lineRule="auto"/>
        <w:jc w:val="both"/>
        <w:rPr>
          <w:rFonts w:ascii="Times New Roman" w:hAnsi="Times New Roman"/>
          <w:sz w:val="24"/>
          <w:szCs w:val="24"/>
        </w:rPr>
      </w:pPr>
      <w:r w:rsidRPr="00CF177C">
        <w:rPr>
          <w:rFonts w:ascii="Times New Roman" w:hAnsi="Times New Roman"/>
          <w:sz w:val="24"/>
          <w:szCs w:val="24"/>
        </w:rPr>
        <w:t xml:space="preserve">Este artículo ha abordado un aspecto poco tratado por la literatura, que remite a las características de las poblaciones que permanecen excluidas de la AUH aun reuniendo los requisitos de elegibilidad. </w:t>
      </w:r>
      <w:r w:rsidR="007E6CA5">
        <w:rPr>
          <w:rFonts w:ascii="Times New Roman" w:hAnsi="Times New Roman"/>
          <w:sz w:val="24"/>
          <w:szCs w:val="24"/>
        </w:rPr>
        <w:t>E</w:t>
      </w:r>
      <w:r w:rsidR="00B04086">
        <w:rPr>
          <w:rFonts w:ascii="Times New Roman" w:hAnsi="Times New Roman"/>
          <w:sz w:val="24"/>
          <w:szCs w:val="24"/>
        </w:rPr>
        <w:t>l</w:t>
      </w:r>
      <w:r w:rsidR="007E6CA5">
        <w:rPr>
          <w:rFonts w:ascii="Times New Roman" w:hAnsi="Times New Roman"/>
          <w:sz w:val="24"/>
          <w:szCs w:val="24"/>
        </w:rPr>
        <w:t xml:space="preserve"> análisis se interes</w:t>
      </w:r>
      <w:r w:rsidR="00B04086">
        <w:rPr>
          <w:rFonts w:ascii="Times New Roman" w:hAnsi="Times New Roman"/>
          <w:sz w:val="24"/>
          <w:szCs w:val="24"/>
        </w:rPr>
        <w:t>ó</w:t>
      </w:r>
      <w:r w:rsidR="007E6CA5">
        <w:rPr>
          <w:rFonts w:ascii="Times New Roman" w:hAnsi="Times New Roman"/>
          <w:sz w:val="24"/>
          <w:szCs w:val="24"/>
        </w:rPr>
        <w:t xml:space="preserve"> por </w:t>
      </w:r>
      <w:r w:rsidR="007E6CA5" w:rsidRPr="007E6CA5">
        <w:rPr>
          <w:rFonts w:ascii="Times New Roman" w:hAnsi="Times New Roman"/>
          <w:sz w:val="24"/>
          <w:szCs w:val="24"/>
        </w:rPr>
        <w:t>los procesos</w:t>
      </w:r>
      <w:r w:rsidR="007E6CA5">
        <w:rPr>
          <w:rFonts w:ascii="Times New Roman" w:hAnsi="Times New Roman"/>
          <w:sz w:val="24"/>
          <w:szCs w:val="24"/>
        </w:rPr>
        <w:t xml:space="preserve"> que subyacen a las condiciones de</w:t>
      </w:r>
      <w:r w:rsidR="007E6CA5" w:rsidRPr="007E6CA5">
        <w:rPr>
          <w:rFonts w:ascii="Times New Roman" w:hAnsi="Times New Roman"/>
          <w:sz w:val="24"/>
          <w:szCs w:val="24"/>
        </w:rPr>
        <w:t xml:space="preserve"> exclusión entre la población que es objeto de políticas sociales</w:t>
      </w:r>
      <w:r w:rsidR="007E6CA5">
        <w:rPr>
          <w:rFonts w:ascii="Times New Roman" w:hAnsi="Times New Roman"/>
          <w:sz w:val="24"/>
          <w:szCs w:val="24"/>
        </w:rPr>
        <w:t>.</w:t>
      </w:r>
      <w:r w:rsidR="007E6CA5" w:rsidRPr="007E6CA5">
        <w:rPr>
          <w:rFonts w:ascii="Times New Roman" w:hAnsi="Times New Roman"/>
          <w:sz w:val="24"/>
          <w:szCs w:val="24"/>
        </w:rPr>
        <w:t xml:space="preserve"> </w:t>
      </w:r>
      <w:r w:rsidR="00750C32">
        <w:rPr>
          <w:rFonts w:ascii="Times New Roman" w:hAnsi="Times New Roman"/>
          <w:sz w:val="24"/>
          <w:szCs w:val="24"/>
        </w:rPr>
        <w:t xml:space="preserve">La hipótesis que organizó la investigación señala que se trata de una población heterogénea, atravesada por diferentes clivajes y niveles de marginalidad y exclusión social. </w:t>
      </w:r>
      <w:r w:rsidR="00737FE2" w:rsidRPr="00CF177C">
        <w:rPr>
          <w:rFonts w:ascii="Times New Roman" w:hAnsi="Times New Roman"/>
          <w:sz w:val="24"/>
          <w:szCs w:val="24"/>
        </w:rPr>
        <w:t xml:space="preserve">A partir de la aplicación de técnicas exploratorias y descriptivas, </w:t>
      </w:r>
      <w:r w:rsidR="00B04086">
        <w:rPr>
          <w:rFonts w:ascii="Times New Roman" w:hAnsi="Times New Roman"/>
          <w:sz w:val="24"/>
          <w:szCs w:val="24"/>
        </w:rPr>
        <w:t>se identificaron</w:t>
      </w:r>
      <w:r w:rsidR="00C632C8" w:rsidRPr="00CF177C">
        <w:rPr>
          <w:rFonts w:ascii="Times New Roman" w:hAnsi="Times New Roman"/>
          <w:sz w:val="24"/>
          <w:szCs w:val="24"/>
        </w:rPr>
        <w:t xml:space="preserve"> </w:t>
      </w:r>
      <w:r w:rsidR="00336BE2" w:rsidRPr="00CF177C">
        <w:rPr>
          <w:rFonts w:ascii="Times New Roman" w:hAnsi="Times New Roman"/>
          <w:sz w:val="24"/>
          <w:szCs w:val="24"/>
        </w:rPr>
        <w:t>cuatro</w:t>
      </w:r>
      <w:r w:rsidR="00C632C8" w:rsidRPr="00CF177C">
        <w:rPr>
          <w:rFonts w:ascii="Times New Roman" w:hAnsi="Times New Roman"/>
          <w:sz w:val="24"/>
          <w:szCs w:val="24"/>
        </w:rPr>
        <w:t xml:space="preserve"> grupos </w:t>
      </w:r>
      <w:r w:rsidR="00750C32">
        <w:rPr>
          <w:rFonts w:ascii="Times New Roman" w:hAnsi="Times New Roman"/>
          <w:sz w:val="24"/>
          <w:szCs w:val="24"/>
        </w:rPr>
        <w:t xml:space="preserve">de </w:t>
      </w:r>
      <w:r w:rsidR="00750C32">
        <w:rPr>
          <w:rFonts w:ascii="Times New Roman" w:hAnsi="Times New Roman"/>
          <w:sz w:val="24"/>
          <w:szCs w:val="24"/>
        </w:rPr>
        <w:lastRenderedPageBreak/>
        <w:t>niños y adolescentes</w:t>
      </w:r>
      <w:r w:rsidR="00E4110D">
        <w:rPr>
          <w:rFonts w:ascii="Times New Roman" w:hAnsi="Times New Roman"/>
          <w:sz w:val="24"/>
          <w:szCs w:val="24"/>
        </w:rPr>
        <w:t xml:space="preserve">, cada uno de los cuales reúne un perfil diferenciado en términos sociodemográficos, </w:t>
      </w:r>
      <w:r w:rsidR="00F16500">
        <w:rPr>
          <w:rFonts w:ascii="Times New Roman" w:hAnsi="Times New Roman"/>
          <w:sz w:val="24"/>
          <w:szCs w:val="24"/>
        </w:rPr>
        <w:t xml:space="preserve">económicos, </w:t>
      </w:r>
      <w:r w:rsidR="00E4110D">
        <w:rPr>
          <w:rFonts w:ascii="Times New Roman" w:hAnsi="Times New Roman"/>
          <w:sz w:val="24"/>
          <w:szCs w:val="24"/>
        </w:rPr>
        <w:t>laborales y residenciales</w:t>
      </w:r>
      <w:r w:rsidR="00C632C8" w:rsidRPr="00CF177C">
        <w:rPr>
          <w:rFonts w:ascii="Times New Roman" w:hAnsi="Times New Roman"/>
          <w:sz w:val="24"/>
          <w:szCs w:val="24"/>
        </w:rPr>
        <w:t xml:space="preserve">. </w:t>
      </w:r>
    </w:p>
    <w:p w14:paraId="0E5B11D2" w14:textId="0E1BF56F" w:rsidR="00C632C8" w:rsidRPr="00CF177C" w:rsidRDefault="00E4110D" w:rsidP="00E4110D">
      <w:pPr>
        <w:pStyle w:val="NormalWeb"/>
        <w:shd w:val="clear" w:color="auto" w:fill="FFFFFF"/>
        <w:spacing w:before="0" w:beforeAutospacing="0" w:after="120" w:afterAutospacing="0" w:line="360" w:lineRule="auto"/>
        <w:jc w:val="both"/>
        <w:rPr>
          <w:rFonts w:ascii="Times New Roman" w:hAnsi="Times New Roman"/>
          <w:sz w:val="24"/>
          <w:szCs w:val="24"/>
        </w:rPr>
      </w:pPr>
      <w:r>
        <w:rPr>
          <w:rFonts w:ascii="Times New Roman" w:hAnsi="Times New Roman"/>
          <w:sz w:val="24"/>
          <w:szCs w:val="24"/>
        </w:rPr>
        <w:t xml:space="preserve">Un primer grupo identificado está constituido principalmente por </w:t>
      </w:r>
      <w:r w:rsidR="00C632C8" w:rsidRPr="00CF177C">
        <w:rPr>
          <w:rFonts w:ascii="Times New Roman" w:hAnsi="Times New Roman"/>
          <w:sz w:val="24"/>
          <w:szCs w:val="24"/>
        </w:rPr>
        <w:t xml:space="preserve">niños escolarizados en la educación primaria, que en parte asisten a escuelas de gestión </w:t>
      </w:r>
      <w:r w:rsidR="00DD1446" w:rsidRPr="00CF177C">
        <w:rPr>
          <w:rFonts w:ascii="Times New Roman" w:hAnsi="Times New Roman"/>
          <w:sz w:val="24"/>
          <w:szCs w:val="24"/>
        </w:rPr>
        <w:t xml:space="preserve">privada, con madres con secundario completo y más, </w:t>
      </w:r>
      <w:r w:rsidR="00C632C8" w:rsidRPr="00CF177C">
        <w:rPr>
          <w:rFonts w:ascii="Times New Roman" w:hAnsi="Times New Roman"/>
          <w:sz w:val="24"/>
          <w:szCs w:val="24"/>
        </w:rPr>
        <w:t xml:space="preserve">y cuyos adultos de referencia son no asalariados sin aportes de estratos obrero popular y medio bajo. Se conjetura que </w:t>
      </w:r>
      <w:r w:rsidR="00E97871" w:rsidRPr="00CF177C">
        <w:rPr>
          <w:rFonts w:ascii="Times New Roman" w:hAnsi="Times New Roman"/>
          <w:sz w:val="24"/>
          <w:szCs w:val="24"/>
        </w:rPr>
        <w:t xml:space="preserve">dentro de este grupo hay niños que pertenecen a </w:t>
      </w:r>
      <w:r w:rsidR="00C632C8" w:rsidRPr="00CF177C">
        <w:rPr>
          <w:rFonts w:ascii="Times New Roman" w:hAnsi="Times New Roman"/>
          <w:sz w:val="24"/>
          <w:szCs w:val="24"/>
        </w:rPr>
        <w:t>sectores sociales integrados en términos ocupacionales y sociales</w:t>
      </w:r>
      <w:r w:rsidR="008C238D" w:rsidRPr="00CF177C">
        <w:rPr>
          <w:rFonts w:ascii="Times New Roman" w:hAnsi="Times New Roman"/>
          <w:sz w:val="24"/>
          <w:szCs w:val="24"/>
        </w:rPr>
        <w:t xml:space="preserve">. </w:t>
      </w:r>
      <w:r w:rsidR="00336BE2" w:rsidRPr="00CF177C">
        <w:rPr>
          <w:rFonts w:ascii="Times New Roman" w:hAnsi="Times New Roman"/>
          <w:sz w:val="24"/>
          <w:szCs w:val="24"/>
        </w:rPr>
        <w:t>Probablemente</w:t>
      </w:r>
      <w:r w:rsidR="008C238D" w:rsidRPr="00CF177C">
        <w:rPr>
          <w:rFonts w:ascii="Times New Roman" w:hAnsi="Times New Roman"/>
          <w:sz w:val="24"/>
          <w:szCs w:val="24"/>
        </w:rPr>
        <w:t xml:space="preserve"> existen factores socioculturales y actitudinales</w:t>
      </w:r>
      <w:r w:rsidR="00E97871" w:rsidRPr="00CF177C">
        <w:rPr>
          <w:rFonts w:ascii="Times New Roman" w:hAnsi="Times New Roman"/>
          <w:sz w:val="24"/>
          <w:szCs w:val="24"/>
        </w:rPr>
        <w:t>,</w:t>
      </w:r>
      <w:r w:rsidR="008C238D" w:rsidRPr="00CF177C">
        <w:rPr>
          <w:rFonts w:ascii="Times New Roman" w:hAnsi="Times New Roman"/>
          <w:sz w:val="24"/>
          <w:szCs w:val="24"/>
        </w:rPr>
        <w:t xml:space="preserve"> </w:t>
      </w:r>
      <w:r w:rsidR="00336BE2" w:rsidRPr="00CF177C">
        <w:rPr>
          <w:rFonts w:ascii="Times New Roman" w:hAnsi="Times New Roman"/>
          <w:sz w:val="24"/>
          <w:szCs w:val="24"/>
        </w:rPr>
        <w:t>no observados aquí</w:t>
      </w:r>
      <w:r w:rsidR="00E97871" w:rsidRPr="00CF177C">
        <w:rPr>
          <w:rFonts w:ascii="Times New Roman" w:hAnsi="Times New Roman"/>
          <w:sz w:val="24"/>
          <w:szCs w:val="24"/>
        </w:rPr>
        <w:t>,</w:t>
      </w:r>
      <w:r w:rsidR="00336BE2" w:rsidRPr="00CF177C">
        <w:rPr>
          <w:rFonts w:ascii="Times New Roman" w:hAnsi="Times New Roman"/>
          <w:sz w:val="24"/>
          <w:szCs w:val="24"/>
        </w:rPr>
        <w:t xml:space="preserve"> </w:t>
      </w:r>
      <w:r w:rsidR="00E97871" w:rsidRPr="00CF177C">
        <w:rPr>
          <w:rFonts w:ascii="Times New Roman" w:hAnsi="Times New Roman"/>
          <w:sz w:val="24"/>
          <w:szCs w:val="24"/>
        </w:rPr>
        <w:t>que</w:t>
      </w:r>
      <w:r w:rsidR="00336BE2" w:rsidRPr="00CF177C">
        <w:rPr>
          <w:rFonts w:ascii="Times New Roman" w:hAnsi="Times New Roman"/>
          <w:sz w:val="24"/>
          <w:szCs w:val="24"/>
        </w:rPr>
        <w:t xml:space="preserve"> pueden incidir </w:t>
      </w:r>
      <w:r w:rsidR="008C238D" w:rsidRPr="00CF177C">
        <w:rPr>
          <w:rFonts w:ascii="Times New Roman" w:hAnsi="Times New Roman"/>
          <w:sz w:val="24"/>
          <w:szCs w:val="24"/>
        </w:rPr>
        <w:t xml:space="preserve">en la no </w:t>
      </w:r>
      <w:r w:rsidR="009C0363">
        <w:rPr>
          <w:rFonts w:ascii="Times New Roman" w:hAnsi="Times New Roman"/>
          <w:sz w:val="24"/>
          <w:szCs w:val="24"/>
        </w:rPr>
        <w:t>percepción de</w:t>
      </w:r>
      <w:r w:rsidR="008C238D" w:rsidRPr="00CF177C">
        <w:rPr>
          <w:rFonts w:ascii="Times New Roman" w:hAnsi="Times New Roman"/>
          <w:sz w:val="24"/>
          <w:szCs w:val="24"/>
        </w:rPr>
        <w:t xml:space="preserve"> programas como la AUH. </w:t>
      </w:r>
      <w:r w:rsidR="00E97871" w:rsidRPr="00CF177C">
        <w:rPr>
          <w:rFonts w:ascii="Times New Roman" w:hAnsi="Times New Roman"/>
          <w:sz w:val="24"/>
          <w:szCs w:val="24"/>
        </w:rPr>
        <w:t xml:space="preserve">Podría ocurrir que algunos hogares no carezcan de información, pero sí del tiempo o la motivación para tramitarla. También podría ocurrir que haya niños que residan en hogares que cubren sus necesidades básicas pese a situarse en condiciones de inserción laboral informal. Asimismo, cabe resaltar que dentro de </w:t>
      </w:r>
      <w:r w:rsidR="00815791" w:rsidRPr="00CF177C">
        <w:rPr>
          <w:rFonts w:ascii="Times New Roman" w:hAnsi="Times New Roman"/>
          <w:sz w:val="24"/>
          <w:szCs w:val="24"/>
        </w:rPr>
        <w:t xml:space="preserve">este grupo </w:t>
      </w:r>
      <w:r w:rsidR="00E97871" w:rsidRPr="00CF177C">
        <w:rPr>
          <w:rFonts w:ascii="Times New Roman" w:hAnsi="Times New Roman"/>
          <w:sz w:val="24"/>
          <w:szCs w:val="24"/>
        </w:rPr>
        <w:t xml:space="preserve">se encuentran </w:t>
      </w:r>
      <w:r w:rsidR="00815791" w:rsidRPr="00CF177C">
        <w:rPr>
          <w:rFonts w:ascii="Times New Roman" w:hAnsi="Times New Roman"/>
          <w:sz w:val="24"/>
          <w:szCs w:val="24"/>
        </w:rPr>
        <w:t>más representados los niños/as hijos de no asalariados con aportes (</w:t>
      </w:r>
      <w:proofErr w:type="spellStart"/>
      <w:r w:rsidR="00815791" w:rsidRPr="00CF177C">
        <w:rPr>
          <w:rFonts w:ascii="Times New Roman" w:hAnsi="Times New Roman"/>
          <w:sz w:val="24"/>
          <w:szCs w:val="24"/>
        </w:rPr>
        <w:t>monotributistas</w:t>
      </w:r>
      <w:proofErr w:type="spellEnd"/>
      <w:r w:rsidR="00815791" w:rsidRPr="00CF177C">
        <w:rPr>
          <w:rFonts w:ascii="Times New Roman" w:hAnsi="Times New Roman"/>
          <w:sz w:val="24"/>
          <w:szCs w:val="24"/>
        </w:rPr>
        <w:t xml:space="preserve">); por consiguiente, se conjetura que entre ellos tuvo mayor </w:t>
      </w:r>
      <w:r w:rsidR="00B56509" w:rsidRPr="00CF177C">
        <w:rPr>
          <w:rFonts w:ascii="Times New Roman" w:hAnsi="Times New Roman"/>
          <w:sz w:val="24"/>
          <w:szCs w:val="24"/>
        </w:rPr>
        <w:t>relevancia la expansión de la cobertura.</w:t>
      </w:r>
    </w:p>
    <w:p w14:paraId="56C7547E" w14:textId="77777777" w:rsidR="008C238D" w:rsidRPr="00CF177C" w:rsidRDefault="0013786B" w:rsidP="00E4110D">
      <w:pPr>
        <w:pStyle w:val="NormalWeb"/>
        <w:shd w:val="clear" w:color="auto" w:fill="FFFFFF"/>
        <w:spacing w:before="0" w:beforeAutospacing="0" w:after="120" w:afterAutospacing="0" w:line="360" w:lineRule="auto"/>
        <w:jc w:val="both"/>
        <w:rPr>
          <w:rFonts w:ascii="Times New Roman" w:hAnsi="Times New Roman"/>
          <w:sz w:val="24"/>
          <w:szCs w:val="24"/>
        </w:rPr>
      </w:pPr>
      <w:r w:rsidRPr="00CF177C">
        <w:rPr>
          <w:rFonts w:ascii="Times New Roman" w:hAnsi="Times New Roman"/>
          <w:sz w:val="24"/>
          <w:szCs w:val="24"/>
        </w:rPr>
        <w:t xml:space="preserve">Un segundo grupo </w:t>
      </w:r>
      <w:r w:rsidR="00E4110D">
        <w:rPr>
          <w:rFonts w:ascii="Times New Roman" w:hAnsi="Times New Roman"/>
          <w:sz w:val="24"/>
          <w:szCs w:val="24"/>
        </w:rPr>
        <w:t xml:space="preserve">está integrado por </w:t>
      </w:r>
      <w:r w:rsidRPr="00CF177C">
        <w:rPr>
          <w:rFonts w:ascii="Times New Roman" w:hAnsi="Times New Roman"/>
          <w:sz w:val="24"/>
          <w:szCs w:val="24"/>
        </w:rPr>
        <w:t>niños de corta edad, hijos de ma</w:t>
      </w:r>
      <w:r w:rsidR="00336BE2" w:rsidRPr="00CF177C">
        <w:rPr>
          <w:rFonts w:ascii="Times New Roman" w:hAnsi="Times New Roman"/>
          <w:sz w:val="24"/>
          <w:szCs w:val="24"/>
        </w:rPr>
        <w:t xml:space="preserve">dres jóvenes en un contexto de </w:t>
      </w:r>
      <w:r w:rsidRPr="00CF177C">
        <w:rPr>
          <w:rFonts w:ascii="Times New Roman" w:hAnsi="Times New Roman"/>
          <w:sz w:val="24"/>
          <w:szCs w:val="24"/>
        </w:rPr>
        <w:t xml:space="preserve">muy bajo clima educativo, inserción muy precaria e inestable en el mercado laboral y en situación de alta marginalidad habitacional. Este es un grupo especialmente vulnerable en términos socioeducativos y con la particularidad de que se trata de niños que por su edad y la de sus madres no mantienen contacto regular con instituciones como la escuela. </w:t>
      </w:r>
      <w:r w:rsidR="00336BE2" w:rsidRPr="00CF177C">
        <w:rPr>
          <w:rFonts w:ascii="Times New Roman" w:hAnsi="Times New Roman"/>
          <w:sz w:val="24"/>
          <w:szCs w:val="24"/>
        </w:rPr>
        <w:t>Puede ocurrir que e</w:t>
      </w:r>
      <w:r w:rsidRPr="00CF177C">
        <w:rPr>
          <w:rFonts w:ascii="Times New Roman" w:hAnsi="Times New Roman"/>
          <w:sz w:val="24"/>
          <w:szCs w:val="24"/>
        </w:rPr>
        <w:t xml:space="preserve">stos sectores sociales </w:t>
      </w:r>
      <w:r w:rsidR="00336BE2" w:rsidRPr="00CF177C">
        <w:rPr>
          <w:rFonts w:ascii="Times New Roman" w:hAnsi="Times New Roman"/>
          <w:sz w:val="24"/>
          <w:szCs w:val="24"/>
        </w:rPr>
        <w:t xml:space="preserve">carezcan </w:t>
      </w:r>
      <w:r w:rsidR="006E714A" w:rsidRPr="00CF177C">
        <w:rPr>
          <w:rFonts w:ascii="Times New Roman" w:hAnsi="Times New Roman"/>
          <w:sz w:val="24"/>
          <w:szCs w:val="24"/>
        </w:rPr>
        <w:t>de suficiente</w:t>
      </w:r>
      <w:r w:rsidR="00934AC0" w:rsidRPr="00CF177C">
        <w:rPr>
          <w:rFonts w:ascii="Times New Roman" w:hAnsi="Times New Roman"/>
          <w:sz w:val="24"/>
          <w:szCs w:val="24"/>
        </w:rPr>
        <w:t xml:space="preserve"> información y de l</w:t>
      </w:r>
      <w:r w:rsidRPr="00CF177C">
        <w:rPr>
          <w:rFonts w:ascii="Times New Roman" w:hAnsi="Times New Roman"/>
          <w:sz w:val="24"/>
          <w:szCs w:val="24"/>
        </w:rPr>
        <w:t>os recursos humanos y so</w:t>
      </w:r>
      <w:r w:rsidR="00C41A6F" w:rsidRPr="00CF177C">
        <w:rPr>
          <w:rFonts w:ascii="Times New Roman" w:hAnsi="Times New Roman"/>
          <w:sz w:val="24"/>
          <w:szCs w:val="24"/>
        </w:rPr>
        <w:t xml:space="preserve">ciales necesarios para tramitar la AUH. </w:t>
      </w:r>
    </w:p>
    <w:p w14:paraId="3801503F" w14:textId="77777777" w:rsidR="00C41A6F" w:rsidRPr="00CF177C" w:rsidRDefault="00C41A6F" w:rsidP="00E4110D">
      <w:pPr>
        <w:pStyle w:val="NormalWeb"/>
        <w:shd w:val="clear" w:color="auto" w:fill="FFFFFF"/>
        <w:spacing w:before="0" w:beforeAutospacing="0" w:after="120" w:afterAutospacing="0" w:line="360" w:lineRule="auto"/>
        <w:jc w:val="both"/>
        <w:rPr>
          <w:rFonts w:ascii="Times New Roman" w:hAnsi="Times New Roman"/>
          <w:sz w:val="24"/>
          <w:szCs w:val="24"/>
        </w:rPr>
      </w:pPr>
      <w:r w:rsidRPr="00CF177C">
        <w:rPr>
          <w:rFonts w:ascii="Times New Roman" w:hAnsi="Times New Roman"/>
          <w:sz w:val="24"/>
          <w:szCs w:val="24"/>
        </w:rPr>
        <w:t>El tercer</w:t>
      </w:r>
      <w:r w:rsidR="00E97871" w:rsidRPr="00CF177C">
        <w:rPr>
          <w:rFonts w:ascii="Times New Roman" w:hAnsi="Times New Roman"/>
          <w:sz w:val="24"/>
          <w:szCs w:val="24"/>
        </w:rPr>
        <w:t xml:space="preserve"> grupo</w:t>
      </w:r>
      <w:r w:rsidRPr="00CF177C">
        <w:rPr>
          <w:rFonts w:ascii="Times New Roman" w:hAnsi="Times New Roman"/>
          <w:sz w:val="24"/>
          <w:szCs w:val="24"/>
        </w:rPr>
        <w:t xml:space="preserve"> está conformado principalmente por población adolescente, en parte no escolarizada, en estratos sociales obreros populares, </w:t>
      </w:r>
      <w:r w:rsidR="00336BE2" w:rsidRPr="00CF177C">
        <w:rPr>
          <w:rFonts w:ascii="Times New Roman" w:hAnsi="Times New Roman"/>
          <w:sz w:val="24"/>
          <w:szCs w:val="24"/>
        </w:rPr>
        <w:t xml:space="preserve">hijos de </w:t>
      </w:r>
      <w:r w:rsidRPr="00CF177C">
        <w:rPr>
          <w:rFonts w:ascii="Times New Roman" w:hAnsi="Times New Roman"/>
          <w:sz w:val="24"/>
          <w:szCs w:val="24"/>
        </w:rPr>
        <w:t>no asalariados sin aportes</w:t>
      </w:r>
      <w:r w:rsidR="00E97871" w:rsidRPr="00CF177C">
        <w:rPr>
          <w:rFonts w:ascii="Times New Roman" w:hAnsi="Times New Roman"/>
          <w:sz w:val="24"/>
          <w:szCs w:val="24"/>
        </w:rPr>
        <w:t xml:space="preserve"> y</w:t>
      </w:r>
      <w:r w:rsidRPr="00CF177C">
        <w:rPr>
          <w:rFonts w:ascii="Times New Roman" w:hAnsi="Times New Roman"/>
          <w:sz w:val="24"/>
          <w:szCs w:val="24"/>
        </w:rPr>
        <w:t xml:space="preserve"> con adultos de referencia mayores de 35 años. En este caso</w:t>
      </w:r>
      <w:r w:rsidR="00E97871" w:rsidRPr="00CF177C">
        <w:rPr>
          <w:rFonts w:ascii="Times New Roman" w:hAnsi="Times New Roman"/>
          <w:sz w:val="24"/>
          <w:szCs w:val="24"/>
        </w:rPr>
        <w:t xml:space="preserve">, la no escolarización o la </w:t>
      </w:r>
      <w:r w:rsidRPr="00CF177C">
        <w:rPr>
          <w:rFonts w:ascii="Times New Roman" w:hAnsi="Times New Roman"/>
          <w:sz w:val="24"/>
          <w:szCs w:val="24"/>
        </w:rPr>
        <w:t>asistencia irregular a la escuela puede constituirse en factor importante de exc</w:t>
      </w:r>
      <w:r w:rsidR="004D41C2" w:rsidRPr="00CF177C">
        <w:rPr>
          <w:rFonts w:ascii="Times New Roman" w:hAnsi="Times New Roman"/>
          <w:sz w:val="24"/>
          <w:szCs w:val="24"/>
        </w:rPr>
        <w:t>lusió</w:t>
      </w:r>
      <w:r w:rsidRPr="00CF177C">
        <w:rPr>
          <w:rFonts w:ascii="Times New Roman" w:hAnsi="Times New Roman"/>
          <w:sz w:val="24"/>
          <w:szCs w:val="24"/>
        </w:rPr>
        <w:t xml:space="preserve">n de la AUH. Se conjetura que se trata de poblaciones de adolescentes que pueden estar realizando tareas de reproducción doméstica en sus hogares y/o changas en el mercado informal como estrategias de supervivencia. </w:t>
      </w:r>
      <w:r w:rsidR="00E97871" w:rsidRPr="00CF177C">
        <w:rPr>
          <w:rFonts w:ascii="Times New Roman" w:hAnsi="Times New Roman"/>
          <w:sz w:val="24"/>
          <w:szCs w:val="24"/>
        </w:rPr>
        <w:t>En este sentido,</w:t>
      </w:r>
      <w:r w:rsidR="00A44D8F" w:rsidRPr="00CF177C">
        <w:rPr>
          <w:rFonts w:ascii="Times New Roman" w:hAnsi="Times New Roman"/>
          <w:sz w:val="24"/>
          <w:szCs w:val="24"/>
        </w:rPr>
        <w:t xml:space="preserve"> la situación de no escol</w:t>
      </w:r>
      <w:r w:rsidR="00350382" w:rsidRPr="00CF177C">
        <w:rPr>
          <w:rFonts w:ascii="Times New Roman" w:hAnsi="Times New Roman"/>
          <w:sz w:val="24"/>
          <w:szCs w:val="24"/>
        </w:rPr>
        <w:t>arización o escolarización inter</w:t>
      </w:r>
      <w:r w:rsidR="00A44D8F" w:rsidRPr="00CF177C">
        <w:rPr>
          <w:rFonts w:ascii="Times New Roman" w:hAnsi="Times New Roman"/>
          <w:sz w:val="24"/>
          <w:szCs w:val="24"/>
        </w:rPr>
        <w:t xml:space="preserve">mitente probablemente se combina con bajas </w:t>
      </w:r>
      <w:r w:rsidR="00A91FEA" w:rsidRPr="00CF177C">
        <w:rPr>
          <w:rFonts w:ascii="Times New Roman" w:hAnsi="Times New Roman"/>
          <w:sz w:val="24"/>
          <w:szCs w:val="24"/>
        </w:rPr>
        <w:t>de la AUH que desalientan su tramitación</w:t>
      </w:r>
      <w:r w:rsidR="00A44D8F" w:rsidRPr="00CF177C">
        <w:rPr>
          <w:rFonts w:ascii="Times New Roman" w:hAnsi="Times New Roman"/>
          <w:sz w:val="24"/>
          <w:szCs w:val="24"/>
        </w:rPr>
        <w:t xml:space="preserve">. </w:t>
      </w:r>
    </w:p>
    <w:p w14:paraId="25705F00" w14:textId="77777777" w:rsidR="00A44D8F" w:rsidRPr="00CF177C" w:rsidRDefault="00E4110D" w:rsidP="00E4110D">
      <w:pPr>
        <w:pStyle w:val="NormalWeb"/>
        <w:shd w:val="clear" w:color="auto" w:fill="FFFFFF"/>
        <w:spacing w:before="0" w:beforeAutospacing="0" w:after="120" w:afterAutospacing="0" w:line="360" w:lineRule="auto"/>
        <w:jc w:val="both"/>
        <w:rPr>
          <w:rFonts w:ascii="Times New Roman" w:hAnsi="Times New Roman"/>
          <w:sz w:val="24"/>
          <w:szCs w:val="24"/>
        </w:rPr>
      </w:pPr>
      <w:r>
        <w:rPr>
          <w:rFonts w:ascii="Times New Roman" w:hAnsi="Times New Roman"/>
          <w:sz w:val="24"/>
          <w:szCs w:val="24"/>
        </w:rPr>
        <w:t>E</w:t>
      </w:r>
      <w:r w:rsidR="00A44D8F" w:rsidRPr="00CF177C">
        <w:rPr>
          <w:rFonts w:ascii="Times New Roman" w:hAnsi="Times New Roman"/>
          <w:sz w:val="24"/>
          <w:szCs w:val="24"/>
        </w:rPr>
        <w:t xml:space="preserve">l cuarto grupo </w:t>
      </w:r>
      <w:r>
        <w:rPr>
          <w:rFonts w:ascii="Times New Roman" w:hAnsi="Times New Roman"/>
          <w:sz w:val="24"/>
          <w:szCs w:val="24"/>
        </w:rPr>
        <w:t xml:space="preserve">tiene baja incidencia en el total de excluidos de la AUH, pero reúne a una población de niños en hogares con jefe </w:t>
      </w:r>
      <w:r w:rsidR="00A44D8F" w:rsidRPr="00CF177C">
        <w:rPr>
          <w:rFonts w:ascii="Times New Roman" w:hAnsi="Times New Roman"/>
          <w:sz w:val="24"/>
          <w:szCs w:val="24"/>
        </w:rPr>
        <w:t>migrante</w:t>
      </w:r>
      <w:r>
        <w:rPr>
          <w:rFonts w:ascii="Times New Roman" w:hAnsi="Times New Roman"/>
          <w:sz w:val="24"/>
          <w:szCs w:val="24"/>
        </w:rPr>
        <w:t>. E</w:t>
      </w:r>
      <w:r w:rsidR="00A44D8F" w:rsidRPr="00CF177C">
        <w:rPr>
          <w:rFonts w:ascii="Times New Roman" w:hAnsi="Times New Roman"/>
          <w:sz w:val="24"/>
          <w:szCs w:val="24"/>
        </w:rPr>
        <w:t xml:space="preserve">llo no </w:t>
      </w:r>
      <w:r>
        <w:rPr>
          <w:rFonts w:ascii="Times New Roman" w:hAnsi="Times New Roman"/>
          <w:sz w:val="24"/>
          <w:szCs w:val="24"/>
        </w:rPr>
        <w:t xml:space="preserve">constituye un </w:t>
      </w:r>
      <w:r w:rsidR="00A44D8F" w:rsidRPr="00CF177C">
        <w:rPr>
          <w:rFonts w:ascii="Times New Roman" w:hAnsi="Times New Roman"/>
          <w:sz w:val="24"/>
          <w:szCs w:val="24"/>
        </w:rPr>
        <w:t>obstáculo</w:t>
      </w:r>
      <w:r>
        <w:rPr>
          <w:rFonts w:ascii="Times New Roman" w:hAnsi="Times New Roman"/>
          <w:sz w:val="24"/>
          <w:szCs w:val="24"/>
        </w:rPr>
        <w:t xml:space="preserve"> formal</w:t>
      </w:r>
      <w:r w:rsidR="00A44D8F" w:rsidRPr="00CF177C">
        <w:rPr>
          <w:rFonts w:ascii="Times New Roman" w:hAnsi="Times New Roman"/>
          <w:sz w:val="24"/>
          <w:szCs w:val="24"/>
        </w:rPr>
        <w:t xml:space="preserve"> </w:t>
      </w:r>
      <w:r w:rsidR="00A44D8F" w:rsidRPr="00CF177C">
        <w:rPr>
          <w:rFonts w:ascii="Times New Roman" w:hAnsi="Times New Roman"/>
          <w:sz w:val="24"/>
          <w:szCs w:val="24"/>
        </w:rPr>
        <w:lastRenderedPageBreak/>
        <w:t>para perc</w:t>
      </w:r>
      <w:r w:rsidR="006E714A" w:rsidRPr="00CF177C">
        <w:rPr>
          <w:rFonts w:ascii="Times New Roman" w:hAnsi="Times New Roman"/>
          <w:sz w:val="24"/>
          <w:szCs w:val="24"/>
        </w:rPr>
        <w:t>i</w:t>
      </w:r>
      <w:r w:rsidR="00A44D8F" w:rsidRPr="00CF177C">
        <w:rPr>
          <w:rFonts w:ascii="Times New Roman" w:hAnsi="Times New Roman"/>
          <w:sz w:val="24"/>
          <w:szCs w:val="24"/>
        </w:rPr>
        <w:t xml:space="preserve">bir la </w:t>
      </w:r>
      <w:r w:rsidR="00A91FEA" w:rsidRPr="00CF177C">
        <w:rPr>
          <w:rFonts w:ascii="Times New Roman" w:hAnsi="Times New Roman"/>
          <w:sz w:val="24"/>
          <w:szCs w:val="24"/>
        </w:rPr>
        <w:t>AUH</w:t>
      </w:r>
      <w:r w:rsidR="00A44D8F" w:rsidRPr="00CF177C">
        <w:rPr>
          <w:rFonts w:ascii="Times New Roman" w:hAnsi="Times New Roman"/>
          <w:sz w:val="24"/>
          <w:szCs w:val="24"/>
        </w:rPr>
        <w:t xml:space="preserve"> porque</w:t>
      </w:r>
      <w:r>
        <w:rPr>
          <w:rFonts w:ascii="Times New Roman" w:hAnsi="Times New Roman"/>
          <w:sz w:val="24"/>
          <w:szCs w:val="24"/>
        </w:rPr>
        <w:t xml:space="preserve"> la población identificada cumple con los requisitos establecidos para acceder al programa</w:t>
      </w:r>
      <w:r w:rsidR="00A44D8F" w:rsidRPr="00CF177C">
        <w:rPr>
          <w:rFonts w:ascii="Times New Roman" w:hAnsi="Times New Roman"/>
          <w:sz w:val="24"/>
          <w:szCs w:val="24"/>
        </w:rPr>
        <w:t xml:space="preserve">. No obstante, el origen migratorio puede esconder aspectos socioculturales no </w:t>
      </w:r>
      <w:r w:rsidR="006E714A" w:rsidRPr="00CF177C">
        <w:rPr>
          <w:rFonts w:ascii="Times New Roman" w:hAnsi="Times New Roman"/>
          <w:sz w:val="24"/>
          <w:szCs w:val="24"/>
        </w:rPr>
        <w:t>observables</w:t>
      </w:r>
      <w:r>
        <w:rPr>
          <w:rFonts w:ascii="Times New Roman" w:hAnsi="Times New Roman"/>
          <w:sz w:val="24"/>
          <w:szCs w:val="24"/>
        </w:rPr>
        <w:t xml:space="preserve"> en este ejercicio de investigación</w:t>
      </w:r>
      <w:r w:rsidR="00A44D8F" w:rsidRPr="00CF177C">
        <w:rPr>
          <w:rFonts w:ascii="Times New Roman" w:hAnsi="Times New Roman"/>
          <w:sz w:val="24"/>
          <w:szCs w:val="24"/>
        </w:rPr>
        <w:t xml:space="preserve">, que llevan a </w:t>
      </w:r>
      <w:r>
        <w:rPr>
          <w:rFonts w:ascii="Times New Roman" w:hAnsi="Times New Roman"/>
          <w:sz w:val="24"/>
          <w:szCs w:val="24"/>
        </w:rPr>
        <w:t>una exclusión con respecto a</w:t>
      </w:r>
      <w:r w:rsidR="00A44D8F" w:rsidRPr="00CF177C">
        <w:rPr>
          <w:rFonts w:ascii="Times New Roman" w:hAnsi="Times New Roman"/>
          <w:sz w:val="24"/>
          <w:szCs w:val="24"/>
        </w:rPr>
        <w:t xml:space="preserve"> la AUH. </w:t>
      </w:r>
      <w:r>
        <w:rPr>
          <w:rFonts w:ascii="Times New Roman" w:hAnsi="Times New Roman"/>
          <w:sz w:val="24"/>
          <w:szCs w:val="24"/>
        </w:rPr>
        <w:t>El</w:t>
      </w:r>
      <w:r w:rsidR="00A44D8F" w:rsidRPr="00CF177C">
        <w:rPr>
          <w:rFonts w:ascii="Times New Roman" w:hAnsi="Times New Roman"/>
          <w:sz w:val="24"/>
          <w:szCs w:val="24"/>
        </w:rPr>
        <w:t xml:space="preserve">lo </w:t>
      </w:r>
      <w:r>
        <w:rPr>
          <w:rFonts w:ascii="Times New Roman" w:hAnsi="Times New Roman"/>
          <w:sz w:val="24"/>
          <w:szCs w:val="24"/>
        </w:rPr>
        <w:t xml:space="preserve">puede vincularse </w:t>
      </w:r>
      <w:r w:rsidR="00A44D8F" w:rsidRPr="00CF177C">
        <w:rPr>
          <w:rFonts w:ascii="Times New Roman" w:hAnsi="Times New Roman"/>
          <w:sz w:val="24"/>
          <w:szCs w:val="24"/>
        </w:rPr>
        <w:t xml:space="preserve">con falta de información, </w:t>
      </w:r>
      <w:r w:rsidR="00DD1446" w:rsidRPr="00CF177C">
        <w:rPr>
          <w:rFonts w:ascii="Times New Roman" w:hAnsi="Times New Roman"/>
          <w:sz w:val="24"/>
          <w:szCs w:val="24"/>
        </w:rPr>
        <w:t>información err</w:t>
      </w:r>
      <w:r w:rsidR="004D41C2" w:rsidRPr="00CF177C">
        <w:rPr>
          <w:rFonts w:ascii="Times New Roman" w:hAnsi="Times New Roman"/>
          <w:sz w:val="24"/>
          <w:szCs w:val="24"/>
        </w:rPr>
        <w:t>ó</w:t>
      </w:r>
      <w:r w:rsidR="00DD1446" w:rsidRPr="00CF177C">
        <w:rPr>
          <w:rFonts w:ascii="Times New Roman" w:hAnsi="Times New Roman"/>
          <w:sz w:val="24"/>
          <w:szCs w:val="24"/>
        </w:rPr>
        <w:t>nea</w:t>
      </w:r>
      <w:r>
        <w:rPr>
          <w:rFonts w:ascii="Times New Roman" w:hAnsi="Times New Roman"/>
          <w:sz w:val="24"/>
          <w:szCs w:val="24"/>
        </w:rPr>
        <w:t xml:space="preserve"> o </w:t>
      </w:r>
      <w:r w:rsidR="00A44D8F" w:rsidRPr="00CF177C">
        <w:rPr>
          <w:rFonts w:ascii="Times New Roman" w:hAnsi="Times New Roman"/>
          <w:sz w:val="24"/>
          <w:szCs w:val="24"/>
        </w:rPr>
        <w:t>carencia de la docume</w:t>
      </w:r>
      <w:r w:rsidR="00DD1446" w:rsidRPr="00CF177C">
        <w:rPr>
          <w:rFonts w:ascii="Times New Roman" w:hAnsi="Times New Roman"/>
          <w:sz w:val="24"/>
          <w:szCs w:val="24"/>
        </w:rPr>
        <w:t>ntación necesaria. Se trata de sectores sociales integrados al mercado de trabajo en estratos obreros populares no asalariados y sin aportes</w:t>
      </w:r>
      <w:r w:rsidR="00A91FEA" w:rsidRPr="00CF177C">
        <w:rPr>
          <w:rFonts w:ascii="Times New Roman" w:hAnsi="Times New Roman"/>
          <w:sz w:val="24"/>
          <w:szCs w:val="24"/>
        </w:rPr>
        <w:t>,</w:t>
      </w:r>
      <w:r w:rsidR="00DD1446" w:rsidRPr="00CF177C">
        <w:rPr>
          <w:rFonts w:ascii="Times New Roman" w:hAnsi="Times New Roman"/>
          <w:sz w:val="24"/>
          <w:szCs w:val="24"/>
        </w:rPr>
        <w:t xml:space="preserve"> con niños escolarizados. </w:t>
      </w:r>
    </w:p>
    <w:p w14:paraId="62F93BDE" w14:textId="668A4BB1" w:rsidR="00F15EE9" w:rsidRDefault="00E4110D" w:rsidP="00A91FEA">
      <w:pPr>
        <w:pStyle w:val="NormalWeb"/>
        <w:shd w:val="clear" w:color="auto" w:fill="FFFFFF"/>
        <w:spacing w:before="0" w:beforeAutospacing="0" w:after="120" w:afterAutospacing="0" w:line="360" w:lineRule="auto"/>
        <w:jc w:val="both"/>
        <w:rPr>
          <w:rFonts w:ascii="Times New Roman" w:hAnsi="Times New Roman"/>
          <w:sz w:val="24"/>
          <w:szCs w:val="24"/>
        </w:rPr>
      </w:pPr>
      <w:r>
        <w:rPr>
          <w:rFonts w:ascii="Times New Roman" w:hAnsi="Times New Roman"/>
          <w:sz w:val="24"/>
          <w:szCs w:val="24"/>
        </w:rPr>
        <w:t xml:space="preserve">En línea con la hipótesis planteada, los grupos identificados involucran distintos perfiles de vulnerabilidad social. Su reconocimiento puede </w:t>
      </w:r>
      <w:r w:rsidR="00033FF4">
        <w:rPr>
          <w:rFonts w:ascii="Times New Roman" w:hAnsi="Times New Roman"/>
          <w:sz w:val="24"/>
          <w:szCs w:val="24"/>
        </w:rPr>
        <w:t xml:space="preserve">ser relevante para ampliar el acceso a la AUH en la población excluida. </w:t>
      </w:r>
      <w:r>
        <w:rPr>
          <w:rFonts w:ascii="Times New Roman" w:hAnsi="Times New Roman"/>
          <w:sz w:val="24"/>
          <w:szCs w:val="24"/>
        </w:rPr>
        <w:t>El segundo clúster</w:t>
      </w:r>
      <w:r w:rsidR="00F16500">
        <w:rPr>
          <w:rFonts w:ascii="Times New Roman" w:hAnsi="Times New Roman"/>
          <w:sz w:val="24"/>
          <w:szCs w:val="24"/>
        </w:rPr>
        <w:t>, tal como se describió,</w:t>
      </w:r>
      <w:r>
        <w:rPr>
          <w:rFonts w:ascii="Times New Roman" w:hAnsi="Times New Roman"/>
          <w:sz w:val="24"/>
          <w:szCs w:val="24"/>
        </w:rPr>
        <w:t xml:space="preserve"> </w:t>
      </w:r>
      <w:r w:rsidR="004E050E" w:rsidRPr="00CF177C">
        <w:rPr>
          <w:rFonts w:ascii="Times New Roman" w:hAnsi="Times New Roman"/>
          <w:sz w:val="24"/>
          <w:szCs w:val="24"/>
        </w:rPr>
        <w:t>constituye en una población de alta vulnerabilidad</w:t>
      </w:r>
      <w:r>
        <w:rPr>
          <w:rFonts w:ascii="Times New Roman" w:hAnsi="Times New Roman"/>
          <w:sz w:val="24"/>
          <w:szCs w:val="24"/>
        </w:rPr>
        <w:t xml:space="preserve">, </w:t>
      </w:r>
      <w:r w:rsidR="00DD1446" w:rsidRPr="00CF177C">
        <w:rPr>
          <w:rFonts w:ascii="Times New Roman" w:hAnsi="Times New Roman"/>
          <w:sz w:val="24"/>
          <w:szCs w:val="24"/>
        </w:rPr>
        <w:t>especialmente por t</w:t>
      </w:r>
      <w:r w:rsidR="004E050E" w:rsidRPr="00CF177C">
        <w:rPr>
          <w:rFonts w:ascii="Times New Roman" w:hAnsi="Times New Roman"/>
          <w:sz w:val="24"/>
          <w:szCs w:val="24"/>
        </w:rPr>
        <w:t>ratarse de niños de corta edad con madres jóvenes de muy bajo nivel educativo y escasa integración social. Para este grupo la información a través de medios de comunicación masivos y redes soci</w:t>
      </w:r>
      <w:r w:rsidR="004D41C2" w:rsidRPr="00CF177C">
        <w:rPr>
          <w:rFonts w:ascii="Times New Roman" w:hAnsi="Times New Roman"/>
          <w:sz w:val="24"/>
          <w:szCs w:val="24"/>
        </w:rPr>
        <w:t>al</w:t>
      </w:r>
      <w:r w:rsidR="004E050E" w:rsidRPr="00CF177C">
        <w:rPr>
          <w:rFonts w:ascii="Times New Roman" w:hAnsi="Times New Roman"/>
          <w:sz w:val="24"/>
          <w:szCs w:val="24"/>
        </w:rPr>
        <w:t>es puede ser fundamental, la localización a través de registros hospitalarios y la ge</w:t>
      </w:r>
      <w:r w:rsidR="004D41C2" w:rsidRPr="00CF177C">
        <w:rPr>
          <w:rFonts w:ascii="Times New Roman" w:hAnsi="Times New Roman"/>
          <w:sz w:val="24"/>
          <w:szCs w:val="24"/>
        </w:rPr>
        <w:t>s</w:t>
      </w:r>
      <w:r w:rsidR="004E050E" w:rsidRPr="00CF177C">
        <w:rPr>
          <w:rFonts w:ascii="Times New Roman" w:hAnsi="Times New Roman"/>
          <w:sz w:val="24"/>
          <w:szCs w:val="24"/>
        </w:rPr>
        <w:t xml:space="preserve">tión de la AUH en los servicios públicos de salud también puede ser una estrategia </w:t>
      </w:r>
      <w:r w:rsidR="00134280" w:rsidRPr="00CF177C">
        <w:rPr>
          <w:rFonts w:ascii="Times New Roman" w:hAnsi="Times New Roman"/>
          <w:sz w:val="24"/>
          <w:szCs w:val="24"/>
        </w:rPr>
        <w:t>necesaria.</w:t>
      </w:r>
      <w:r>
        <w:rPr>
          <w:rFonts w:ascii="Times New Roman" w:hAnsi="Times New Roman"/>
          <w:sz w:val="24"/>
          <w:szCs w:val="24"/>
        </w:rPr>
        <w:t xml:space="preserve"> El tercer clúster </w:t>
      </w:r>
      <w:r w:rsidR="008338A7" w:rsidRPr="00CF177C">
        <w:rPr>
          <w:rFonts w:ascii="Times New Roman" w:hAnsi="Times New Roman"/>
          <w:sz w:val="24"/>
          <w:szCs w:val="24"/>
        </w:rPr>
        <w:t xml:space="preserve">tiene características más complejas en la medida que se trata de una población adolescente con dificultades para cumplir con la </w:t>
      </w:r>
      <w:r w:rsidR="004D41C2" w:rsidRPr="00CF177C">
        <w:rPr>
          <w:rFonts w:ascii="Times New Roman" w:hAnsi="Times New Roman"/>
          <w:sz w:val="24"/>
          <w:szCs w:val="24"/>
        </w:rPr>
        <w:t>condicionalidad</w:t>
      </w:r>
      <w:r w:rsidR="008338A7" w:rsidRPr="00CF177C">
        <w:rPr>
          <w:rFonts w:ascii="Times New Roman" w:hAnsi="Times New Roman"/>
          <w:sz w:val="24"/>
          <w:szCs w:val="24"/>
        </w:rPr>
        <w:t xml:space="preserve"> de la escolarización. En este sentido, el objetivo de protección social de esta población requiere de redefiniciones por parte de la política de asignaciones u otros </w:t>
      </w:r>
      <w:r w:rsidR="004D41C2" w:rsidRPr="00CF177C">
        <w:rPr>
          <w:rFonts w:ascii="Times New Roman" w:hAnsi="Times New Roman"/>
          <w:sz w:val="24"/>
          <w:szCs w:val="24"/>
        </w:rPr>
        <w:t>mecanismos</w:t>
      </w:r>
      <w:r w:rsidR="008338A7" w:rsidRPr="00CF177C">
        <w:rPr>
          <w:rFonts w:ascii="Times New Roman" w:hAnsi="Times New Roman"/>
          <w:sz w:val="24"/>
          <w:szCs w:val="24"/>
        </w:rPr>
        <w:t xml:space="preserve"> más in</w:t>
      </w:r>
      <w:r w:rsidR="004D41C2" w:rsidRPr="00CF177C">
        <w:rPr>
          <w:rFonts w:ascii="Times New Roman" w:hAnsi="Times New Roman"/>
          <w:sz w:val="24"/>
          <w:szCs w:val="24"/>
        </w:rPr>
        <w:t xml:space="preserve">tegrales que </w:t>
      </w:r>
      <w:r w:rsidR="00033FF4">
        <w:rPr>
          <w:rFonts w:ascii="Times New Roman" w:hAnsi="Times New Roman"/>
          <w:sz w:val="24"/>
          <w:szCs w:val="24"/>
        </w:rPr>
        <w:t>abarquen</w:t>
      </w:r>
      <w:r w:rsidR="004D41C2" w:rsidRPr="00CF177C">
        <w:rPr>
          <w:rFonts w:ascii="Times New Roman" w:hAnsi="Times New Roman"/>
          <w:sz w:val="24"/>
          <w:szCs w:val="24"/>
        </w:rPr>
        <w:t xml:space="preserve"> los desafí</w:t>
      </w:r>
      <w:r w:rsidR="008338A7" w:rsidRPr="00CF177C">
        <w:rPr>
          <w:rFonts w:ascii="Times New Roman" w:hAnsi="Times New Roman"/>
          <w:sz w:val="24"/>
          <w:szCs w:val="24"/>
        </w:rPr>
        <w:t xml:space="preserve">os de inclusión educativa. </w:t>
      </w:r>
      <w:r w:rsidR="00033FF4">
        <w:rPr>
          <w:rFonts w:ascii="Times New Roman" w:hAnsi="Times New Roman"/>
          <w:sz w:val="24"/>
          <w:szCs w:val="24"/>
        </w:rPr>
        <w:t xml:space="preserve">En el cuarto clúster, puede inferirse que </w:t>
      </w:r>
      <w:r w:rsidR="00336BE2" w:rsidRPr="00CF177C">
        <w:rPr>
          <w:rFonts w:ascii="Times New Roman" w:hAnsi="Times New Roman"/>
          <w:sz w:val="24"/>
          <w:szCs w:val="24"/>
        </w:rPr>
        <w:t>exist</w:t>
      </w:r>
      <w:r w:rsidR="00A91FEA" w:rsidRPr="00CF177C">
        <w:rPr>
          <w:rFonts w:ascii="Times New Roman" w:hAnsi="Times New Roman"/>
          <w:sz w:val="24"/>
          <w:szCs w:val="24"/>
        </w:rPr>
        <w:t xml:space="preserve">e </w:t>
      </w:r>
      <w:r w:rsidR="00336BE2" w:rsidRPr="00CF177C">
        <w:rPr>
          <w:rFonts w:ascii="Times New Roman" w:hAnsi="Times New Roman"/>
          <w:sz w:val="24"/>
          <w:szCs w:val="24"/>
        </w:rPr>
        <w:t xml:space="preserve">insuficiente </w:t>
      </w:r>
      <w:r w:rsidR="000A195F" w:rsidRPr="00CF177C">
        <w:rPr>
          <w:rFonts w:ascii="Times New Roman" w:hAnsi="Times New Roman"/>
          <w:sz w:val="24"/>
          <w:szCs w:val="24"/>
        </w:rPr>
        <w:t xml:space="preserve">información </w:t>
      </w:r>
      <w:r w:rsidR="00033FF4">
        <w:rPr>
          <w:rFonts w:ascii="Times New Roman" w:hAnsi="Times New Roman"/>
          <w:sz w:val="24"/>
          <w:szCs w:val="24"/>
        </w:rPr>
        <w:t xml:space="preserve">o </w:t>
      </w:r>
      <w:r w:rsidR="000A195F" w:rsidRPr="00CF177C">
        <w:rPr>
          <w:rFonts w:ascii="Times New Roman" w:hAnsi="Times New Roman"/>
          <w:sz w:val="24"/>
          <w:szCs w:val="24"/>
        </w:rPr>
        <w:t xml:space="preserve">dificultades para la tramitación de la asignación. </w:t>
      </w:r>
      <w:r w:rsidR="00033FF4">
        <w:rPr>
          <w:rFonts w:ascii="Times New Roman" w:hAnsi="Times New Roman"/>
          <w:sz w:val="24"/>
          <w:szCs w:val="24"/>
        </w:rPr>
        <w:t xml:space="preserve">Aquí </w:t>
      </w:r>
      <w:r w:rsidR="000A195F" w:rsidRPr="00CF177C">
        <w:rPr>
          <w:rFonts w:ascii="Times New Roman" w:hAnsi="Times New Roman"/>
          <w:sz w:val="24"/>
          <w:szCs w:val="24"/>
        </w:rPr>
        <w:t xml:space="preserve">se </w:t>
      </w:r>
      <w:r w:rsidR="004D41C2" w:rsidRPr="00CF177C">
        <w:rPr>
          <w:rFonts w:ascii="Times New Roman" w:hAnsi="Times New Roman"/>
          <w:sz w:val="24"/>
          <w:szCs w:val="24"/>
        </w:rPr>
        <w:t>requiere</w:t>
      </w:r>
      <w:r w:rsidR="000A195F" w:rsidRPr="00CF177C">
        <w:rPr>
          <w:rFonts w:ascii="Times New Roman" w:hAnsi="Times New Roman"/>
          <w:sz w:val="24"/>
          <w:szCs w:val="24"/>
        </w:rPr>
        <w:t xml:space="preserve"> de estrategias de información diferenciadas en términos de las características de los </w:t>
      </w:r>
      <w:r w:rsidR="009125E7" w:rsidRPr="00CF177C">
        <w:rPr>
          <w:rFonts w:ascii="Times New Roman" w:hAnsi="Times New Roman"/>
          <w:sz w:val="24"/>
          <w:szCs w:val="24"/>
        </w:rPr>
        <w:t>destinatarios</w:t>
      </w:r>
      <w:r w:rsidR="000A195F" w:rsidRPr="00CF177C">
        <w:rPr>
          <w:rFonts w:ascii="Times New Roman" w:hAnsi="Times New Roman"/>
          <w:sz w:val="24"/>
          <w:szCs w:val="24"/>
        </w:rPr>
        <w:t xml:space="preserve">. </w:t>
      </w:r>
      <w:r w:rsidR="00033FF4">
        <w:rPr>
          <w:rFonts w:ascii="Times New Roman" w:hAnsi="Times New Roman"/>
          <w:sz w:val="24"/>
          <w:szCs w:val="24"/>
        </w:rPr>
        <w:t>Aquí</w:t>
      </w:r>
      <w:r w:rsidR="000A195F" w:rsidRPr="00CF177C">
        <w:rPr>
          <w:rFonts w:ascii="Times New Roman" w:hAnsi="Times New Roman"/>
          <w:sz w:val="24"/>
          <w:szCs w:val="24"/>
        </w:rPr>
        <w:t xml:space="preserve"> la escuela puede ser un espacio de contacto, localizaci</w:t>
      </w:r>
      <w:r w:rsidR="00710282" w:rsidRPr="00CF177C">
        <w:rPr>
          <w:rFonts w:ascii="Times New Roman" w:hAnsi="Times New Roman"/>
          <w:sz w:val="24"/>
          <w:szCs w:val="24"/>
        </w:rPr>
        <w:t>ón e información muy relevante</w:t>
      </w:r>
      <w:r w:rsidR="00033FF4">
        <w:rPr>
          <w:rFonts w:ascii="Times New Roman" w:hAnsi="Times New Roman"/>
          <w:sz w:val="24"/>
          <w:szCs w:val="24"/>
        </w:rPr>
        <w:t>.</w:t>
      </w:r>
    </w:p>
    <w:p w14:paraId="0E7AAEAF" w14:textId="53522F72" w:rsidR="00095DCF" w:rsidRPr="00CF177C" w:rsidRDefault="00B04086" w:rsidP="00095DCF">
      <w:pPr>
        <w:pStyle w:val="NormalWeb"/>
        <w:shd w:val="clear" w:color="auto" w:fill="FFFFFF"/>
        <w:spacing w:before="0" w:beforeAutospacing="0" w:after="120" w:afterAutospacing="0" w:line="360" w:lineRule="auto"/>
        <w:jc w:val="both"/>
        <w:rPr>
          <w:rFonts w:ascii="Times New Roman" w:hAnsi="Times New Roman"/>
          <w:sz w:val="24"/>
          <w:szCs w:val="24"/>
        </w:rPr>
      </w:pPr>
      <w:r>
        <w:rPr>
          <w:rFonts w:ascii="Times New Roman" w:hAnsi="Times New Roman"/>
          <w:sz w:val="24"/>
          <w:szCs w:val="24"/>
        </w:rPr>
        <w:t>L</w:t>
      </w:r>
      <w:r w:rsidRPr="00CF177C">
        <w:rPr>
          <w:rFonts w:ascii="Times New Roman" w:hAnsi="Times New Roman"/>
          <w:sz w:val="24"/>
          <w:szCs w:val="24"/>
        </w:rPr>
        <w:t xml:space="preserve">os atributos preponderantes </w:t>
      </w:r>
      <w:r>
        <w:rPr>
          <w:rFonts w:ascii="Times New Roman" w:hAnsi="Times New Roman"/>
          <w:sz w:val="24"/>
          <w:szCs w:val="24"/>
        </w:rPr>
        <w:t>de</w:t>
      </w:r>
      <w:r w:rsidRPr="00CF177C">
        <w:rPr>
          <w:rFonts w:ascii="Times New Roman" w:hAnsi="Times New Roman"/>
          <w:sz w:val="24"/>
          <w:szCs w:val="24"/>
        </w:rPr>
        <w:t xml:space="preserve"> </w:t>
      </w:r>
      <w:r>
        <w:rPr>
          <w:rFonts w:ascii="Times New Roman" w:hAnsi="Times New Roman"/>
          <w:sz w:val="24"/>
          <w:szCs w:val="24"/>
        </w:rPr>
        <w:t xml:space="preserve">cada </w:t>
      </w:r>
      <w:r w:rsidRPr="00CF177C">
        <w:rPr>
          <w:rFonts w:ascii="Times New Roman" w:hAnsi="Times New Roman"/>
          <w:sz w:val="24"/>
          <w:szCs w:val="24"/>
        </w:rPr>
        <w:t xml:space="preserve">grupo </w:t>
      </w:r>
      <w:r>
        <w:rPr>
          <w:rFonts w:ascii="Times New Roman" w:hAnsi="Times New Roman"/>
          <w:sz w:val="24"/>
          <w:szCs w:val="24"/>
        </w:rPr>
        <w:t>permitieron</w:t>
      </w:r>
      <w:r w:rsidRPr="00CF177C">
        <w:rPr>
          <w:rFonts w:ascii="Times New Roman" w:hAnsi="Times New Roman"/>
          <w:sz w:val="24"/>
          <w:szCs w:val="24"/>
        </w:rPr>
        <w:t xml:space="preserve"> identificar situaciones</w:t>
      </w:r>
      <w:r>
        <w:rPr>
          <w:rFonts w:ascii="Times New Roman" w:hAnsi="Times New Roman"/>
          <w:sz w:val="24"/>
          <w:szCs w:val="24"/>
        </w:rPr>
        <w:t xml:space="preserve"> disímiles</w:t>
      </w:r>
      <w:r w:rsidRPr="00CF177C">
        <w:rPr>
          <w:rFonts w:ascii="Times New Roman" w:hAnsi="Times New Roman"/>
          <w:sz w:val="24"/>
          <w:szCs w:val="24"/>
        </w:rPr>
        <w:t xml:space="preserve"> e inferir elementos sobre los procesos de exclusión </w:t>
      </w:r>
      <w:r w:rsidR="00024D93">
        <w:rPr>
          <w:rFonts w:ascii="Times New Roman" w:hAnsi="Times New Roman"/>
          <w:sz w:val="24"/>
          <w:szCs w:val="24"/>
        </w:rPr>
        <w:t xml:space="preserve">sistémica </w:t>
      </w:r>
      <w:r w:rsidRPr="00CF177C">
        <w:rPr>
          <w:rFonts w:ascii="Times New Roman" w:hAnsi="Times New Roman"/>
          <w:sz w:val="24"/>
          <w:szCs w:val="24"/>
        </w:rPr>
        <w:t xml:space="preserve">que operan </w:t>
      </w:r>
      <w:r w:rsidR="00024D93">
        <w:rPr>
          <w:rFonts w:ascii="Times New Roman" w:hAnsi="Times New Roman"/>
          <w:sz w:val="24"/>
          <w:szCs w:val="24"/>
        </w:rPr>
        <w:t>sobre</w:t>
      </w:r>
      <w:r w:rsidRPr="00CF177C">
        <w:rPr>
          <w:rFonts w:ascii="Times New Roman" w:hAnsi="Times New Roman"/>
          <w:sz w:val="24"/>
          <w:szCs w:val="24"/>
        </w:rPr>
        <w:t xml:space="preserve"> estas poblaciones.</w:t>
      </w:r>
      <w:r>
        <w:rPr>
          <w:rFonts w:ascii="Times New Roman" w:hAnsi="Times New Roman"/>
          <w:sz w:val="24"/>
          <w:szCs w:val="24"/>
        </w:rPr>
        <w:t xml:space="preserve"> El</w:t>
      </w:r>
      <w:r w:rsidR="00095DCF">
        <w:rPr>
          <w:rFonts w:ascii="Times New Roman" w:hAnsi="Times New Roman"/>
          <w:sz w:val="24"/>
          <w:szCs w:val="24"/>
        </w:rPr>
        <w:t xml:space="preserve"> análisis ofrecido </w:t>
      </w:r>
      <w:r>
        <w:rPr>
          <w:rFonts w:ascii="Times New Roman" w:hAnsi="Times New Roman"/>
          <w:sz w:val="24"/>
          <w:szCs w:val="24"/>
        </w:rPr>
        <w:t xml:space="preserve">se propuso </w:t>
      </w:r>
      <w:r w:rsidR="00F16500">
        <w:rPr>
          <w:rFonts w:ascii="Times New Roman" w:hAnsi="Times New Roman"/>
          <w:sz w:val="24"/>
          <w:szCs w:val="24"/>
        </w:rPr>
        <w:t>identificar perfiles en el interior de una población heterogénea</w:t>
      </w:r>
      <w:r w:rsidR="00095DCF">
        <w:rPr>
          <w:rFonts w:ascii="Times New Roman" w:hAnsi="Times New Roman"/>
          <w:sz w:val="24"/>
          <w:szCs w:val="24"/>
        </w:rPr>
        <w:t xml:space="preserve"> </w:t>
      </w:r>
      <w:r>
        <w:rPr>
          <w:rFonts w:ascii="Times New Roman" w:hAnsi="Times New Roman"/>
          <w:sz w:val="24"/>
          <w:szCs w:val="24"/>
        </w:rPr>
        <w:t xml:space="preserve">excluida de la AUH </w:t>
      </w:r>
      <w:r w:rsidR="00F16500">
        <w:rPr>
          <w:rFonts w:ascii="Times New Roman" w:hAnsi="Times New Roman"/>
          <w:sz w:val="24"/>
          <w:szCs w:val="24"/>
        </w:rPr>
        <w:t xml:space="preserve">y </w:t>
      </w:r>
      <w:r>
        <w:rPr>
          <w:rFonts w:ascii="Times New Roman" w:hAnsi="Times New Roman"/>
          <w:sz w:val="24"/>
          <w:szCs w:val="24"/>
        </w:rPr>
        <w:t xml:space="preserve">que reúne condiciones de elegibilidad para acceder al programa. </w:t>
      </w:r>
      <w:r w:rsidR="00F16500">
        <w:rPr>
          <w:rFonts w:ascii="Times New Roman" w:hAnsi="Times New Roman"/>
          <w:sz w:val="24"/>
          <w:szCs w:val="24"/>
        </w:rPr>
        <w:t>Se espera que el</w:t>
      </w:r>
      <w:r>
        <w:rPr>
          <w:rFonts w:ascii="Times New Roman" w:hAnsi="Times New Roman"/>
          <w:sz w:val="24"/>
          <w:szCs w:val="24"/>
        </w:rPr>
        <w:t xml:space="preserve"> reconocimiento de los diferentes perfiles sociales </w:t>
      </w:r>
      <w:r w:rsidR="00A516F2">
        <w:rPr>
          <w:rFonts w:ascii="Times New Roman" w:hAnsi="Times New Roman"/>
          <w:sz w:val="24"/>
          <w:szCs w:val="24"/>
        </w:rPr>
        <w:t xml:space="preserve">constituya un insumo orientado a la identificación de poblaciones especialmente </w:t>
      </w:r>
      <w:r w:rsidR="003E368C">
        <w:rPr>
          <w:rFonts w:ascii="Times New Roman" w:hAnsi="Times New Roman"/>
          <w:sz w:val="24"/>
          <w:szCs w:val="24"/>
        </w:rPr>
        <w:t>vulnerables</w:t>
      </w:r>
      <w:r w:rsidR="00A516F2">
        <w:rPr>
          <w:rFonts w:ascii="Times New Roman" w:hAnsi="Times New Roman"/>
          <w:sz w:val="24"/>
          <w:szCs w:val="24"/>
        </w:rPr>
        <w:t xml:space="preserve"> que requieren de un Estado activo en su búsqueda e identificación. </w:t>
      </w:r>
    </w:p>
    <w:p w14:paraId="138C2CCB" w14:textId="77777777" w:rsidR="00095DCF" w:rsidRPr="00CF177C" w:rsidRDefault="00095DCF" w:rsidP="00A91FEA">
      <w:pPr>
        <w:pStyle w:val="NormalWeb"/>
        <w:shd w:val="clear" w:color="auto" w:fill="FFFFFF"/>
        <w:spacing w:before="0" w:beforeAutospacing="0" w:after="120" w:afterAutospacing="0" w:line="360" w:lineRule="auto"/>
        <w:jc w:val="both"/>
        <w:rPr>
          <w:rFonts w:ascii="Times New Roman" w:hAnsi="Times New Roman"/>
          <w:sz w:val="24"/>
          <w:szCs w:val="24"/>
        </w:rPr>
      </w:pPr>
    </w:p>
    <w:p w14:paraId="039F2A96" w14:textId="77777777" w:rsidR="00710282" w:rsidRPr="00CF177C" w:rsidRDefault="00710282" w:rsidP="00F447ED">
      <w:pPr>
        <w:pStyle w:val="NormalWeb"/>
        <w:shd w:val="clear" w:color="auto" w:fill="FFFFFF"/>
        <w:spacing w:before="240" w:beforeAutospacing="0" w:after="120" w:afterAutospacing="0" w:line="360" w:lineRule="auto"/>
        <w:jc w:val="both"/>
        <w:rPr>
          <w:rFonts w:ascii="Times New Roman" w:hAnsi="Times New Roman"/>
          <w:b/>
          <w:color w:val="FF0000"/>
          <w:sz w:val="24"/>
          <w:szCs w:val="24"/>
        </w:rPr>
      </w:pPr>
      <w:r w:rsidRPr="00CF177C">
        <w:rPr>
          <w:rFonts w:ascii="Times New Roman" w:hAnsi="Times New Roman"/>
          <w:b/>
          <w:sz w:val="24"/>
          <w:szCs w:val="24"/>
        </w:rPr>
        <w:lastRenderedPageBreak/>
        <w:t xml:space="preserve">Bibliografía </w:t>
      </w:r>
      <w:r w:rsidR="00A833F8" w:rsidRPr="00CF177C">
        <w:rPr>
          <w:rFonts w:ascii="Times New Roman" w:hAnsi="Times New Roman"/>
          <w:b/>
          <w:sz w:val="24"/>
          <w:szCs w:val="24"/>
        </w:rPr>
        <w:t>referida</w:t>
      </w:r>
    </w:p>
    <w:p w14:paraId="0C3170DF" w14:textId="77777777" w:rsidR="00E20E04" w:rsidRPr="00CF177C" w:rsidRDefault="00E20E04" w:rsidP="00E20E04">
      <w:pPr>
        <w:pStyle w:val="NormalWeb"/>
        <w:shd w:val="clear" w:color="auto" w:fill="FFFFFF"/>
        <w:spacing w:before="120" w:beforeAutospacing="0" w:after="120" w:afterAutospacing="0"/>
        <w:ind w:left="426" w:hanging="426"/>
        <w:jc w:val="both"/>
        <w:rPr>
          <w:rFonts w:ascii="Times New Roman" w:hAnsi="Times New Roman"/>
          <w:sz w:val="24"/>
          <w:szCs w:val="24"/>
        </w:rPr>
      </w:pPr>
      <w:r w:rsidRPr="00CF177C">
        <w:rPr>
          <w:rFonts w:ascii="Times New Roman" w:hAnsi="Times New Roman"/>
          <w:sz w:val="24"/>
          <w:szCs w:val="24"/>
        </w:rPr>
        <w:t xml:space="preserve">Adelantado, J. (2017). “Reestructuración de los Estados del Bienestar. ¿Hacia un cambio de paradigma?”, </w:t>
      </w:r>
      <w:r w:rsidRPr="00CF177C">
        <w:rPr>
          <w:rFonts w:ascii="Times New Roman" w:hAnsi="Times New Roman"/>
          <w:i/>
          <w:sz w:val="24"/>
          <w:szCs w:val="24"/>
        </w:rPr>
        <w:t>Documentos de Trabajo CIEPP</w:t>
      </w:r>
      <w:r w:rsidRPr="00CF177C">
        <w:rPr>
          <w:rFonts w:ascii="Times New Roman" w:hAnsi="Times New Roman"/>
          <w:sz w:val="24"/>
          <w:szCs w:val="24"/>
        </w:rPr>
        <w:t>, 97, Buenos Aires: Centro Interdisciplinario para el Estudio de las Políticas Públicas.</w:t>
      </w:r>
    </w:p>
    <w:p w14:paraId="5FC3CD36"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Agis</w:t>
      </w:r>
      <w:proofErr w:type="spellEnd"/>
      <w:r w:rsidRPr="00CF177C">
        <w:rPr>
          <w:rFonts w:ascii="Times New Roman" w:hAnsi="Times New Roman" w:cs="Times New Roman"/>
          <w:szCs w:val="24"/>
        </w:rPr>
        <w:t xml:space="preserve">, E., Cañete, C., y </w:t>
      </w:r>
      <w:proofErr w:type="spellStart"/>
      <w:r w:rsidRPr="00CF177C">
        <w:rPr>
          <w:rFonts w:ascii="Times New Roman" w:hAnsi="Times New Roman" w:cs="Times New Roman"/>
          <w:szCs w:val="24"/>
        </w:rPr>
        <w:t>Panigo</w:t>
      </w:r>
      <w:proofErr w:type="spellEnd"/>
      <w:r w:rsidRPr="00CF177C">
        <w:rPr>
          <w:rFonts w:ascii="Times New Roman" w:hAnsi="Times New Roman" w:cs="Times New Roman"/>
          <w:szCs w:val="24"/>
        </w:rPr>
        <w:t xml:space="preserve">, D. (2010) </w:t>
      </w:r>
      <w:r w:rsidRPr="00CF177C">
        <w:rPr>
          <w:rFonts w:ascii="Times New Roman" w:hAnsi="Times New Roman" w:cs="Times New Roman"/>
          <w:i/>
          <w:szCs w:val="24"/>
        </w:rPr>
        <w:t>El Impacto de la Asignación Universal por Hijo en Argentina</w:t>
      </w:r>
      <w:r w:rsidRPr="00CF177C">
        <w:rPr>
          <w:rFonts w:ascii="Times New Roman" w:hAnsi="Times New Roman" w:cs="Times New Roman"/>
          <w:szCs w:val="24"/>
        </w:rPr>
        <w:t xml:space="preserve">. Disponible en: http://www.ceil-piette.gov.ar/ </w:t>
      </w:r>
      <w:proofErr w:type="spellStart"/>
      <w:r w:rsidRPr="00CF177C">
        <w:rPr>
          <w:rFonts w:ascii="Times New Roman" w:hAnsi="Times New Roman" w:cs="Times New Roman"/>
          <w:szCs w:val="24"/>
        </w:rPr>
        <w:t>docpub</w:t>
      </w:r>
      <w:proofErr w:type="spellEnd"/>
      <w:r w:rsidRPr="00CF177C">
        <w:rPr>
          <w:rFonts w:ascii="Times New Roman" w:hAnsi="Times New Roman" w:cs="Times New Roman"/>
          <w:szCs w:val="24"/>
        </w:rPr>
        <w:t>/documentos/ AUH_en_Argentina.pdf.</w:t>
      </w:r>
    </w:p>
    <w:p w14:paraId="75A48547" w14:textId="77777777" w:rsidR="00E20E04" w:rsidRPr="00CF177C" w:rsidRDefault="00E20E04" w:rsidP="00E20E04">
      <w:pPr>
        <w:spacing w:before="120" w:after="120" w:line="240" w:lineRule="auto"/>
        <w:ind w:left="426" w:hanging="426"/>
        <w:jc w:val="both"/>
        <w:rPr>
          <w:rFonts w:ascii="Times New Roman" w:hAnsi="Times New Roman" w:cs="Times New Roman"/>
          <w:szCs w:val="24"/>
          <w:lang w:val="es-ES"/>
        </w:rPr>
      </w:pPr>
      <w:r w:rsidRPr="00CF177C">
        <w:rPr>
          <w:rFonts w:ascii="Times New Roman" w:hAnsi="Times New Roman" w:cs="Times New Roman"/>
          <w:szCs w:val="24"/>
          <w:lang w:val="es-ES"/>
        </w:rPr>
        <w:t xml:space="preserve">Barba Solano, C. (2007). “América Latina: regímenes de bienestar en transición durante los años noventa”, en </w:t>
      </w:r>
      <w:proofErr w:type="spellStart"/>
      <w:r w:rsidRPr="00CF177C">
        <w:rPr>
          <w:rFonts w:ascii="Times New Roman" w:hAnsi="Times New Roman" w:cs="Times New Roman"/>
          <w:i/>
          <w:szCs w:val="24"/>
          <w:lang w:val="es-ES"/>
        </w:rPr>
        <w:t>Caderno</w:t>
      </w:r>
      <w:proofErr w:type="spellEnd"/>
      <w:r w:rsidRPr="00CF177C">
        <w:rPr>
          <w:rFonts w:ascii="Times New Roman" w:hAnsi="Times New Roman" w:cs="Times New Roman"/>
          <w:i/>
          <w:szCs w:val="24"/>
          <w:lang w:val="es-ES"/>
        </w:rPr>
        <w:t xml:space="preserve"> CRH</w:t>
      </w:r>
      <w:r w:rsidRPr="00CF177C">
        <w:rPr>
          <w:rFonts w:ascii="Times New Roman" w:hAnsi="Times New Roman" w:cs="Times New Roman"/>
          <w:szCs w:val="24"/>
          <w:lang w:val="es-ES"/>
        </w:rPr>
        <w:t>, 20 (50), pp. 197-211.</w:t>
      </w:r>
    </w:p>
    <w:p w14:paraId="4399EDE1"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Barrientos, A. (2016). ‘</w:t>
      </w:r>
      <w:proofErr w:type="spellStart"/>
      <w:r w:rsidRPr="00CF177C">
        <w:rPr>
          <w:rFonts w:ascii="Times New Roman" w:hAnsi="Times New Roman" w:cs="Times New Roman"/>
          <w:szCs w:val="24"/>
        </w:rPr>
        <w:t>Justice-Based</w:t>
      </w:r>
      <w:proofErr w:type="spellEnd"/>
      <w:r w:rsidRPr="00CF177C">
        <w:rPr>
          <w:rFonts w:ascii="Times New Roman" w:hAnsi="Times New Roman" w:cs="Times New Roman"/>
          <w:szCs w:val="24"/>
        </w:rPr>
        <w:t xml:space="preserve"> Social </w:t>
      </w:r>
      <w:proofErr w:type="spellStart"/>
      <w:r w:rsidRPr="00CF177C">
        <w:rPr>
          <w:rFonts w:ascii="Times New Roman" w:hAnsi="Times New Roman" w:cs="Times New Roman"/>
          <w:szCs w:val="24"/>
        </w:rPr>
        <w:t>Assistance</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 xml:space="preserve">Global Social </w:t>
      </w:r>
      <w:proofErr w:type="spellStart"/>
      <w:r w:rsidRPr="00CF177C">
        <w:rPr>
          <w:rFonts w:ascii="Times New Roman" w:hAnsi="Times New Roman" w:cs="Times New Roman"/>
          <w:i/>
          <w:szCs w:val="24"/>
        </w:rPr>
        <w:t>Policy</w:t>
      </w:r>
      <w:proofErr w:type="spellEnd"/>
      <w:r w:rsidRPr="00CF177C">
        <w:rPr>
          <w:rFonts w:ascii="Times New Roman" w:hAnsi="Times New Roman" w:cs="Times New Roman"/>
          <w:szCs w:val="24"/>
        </w:rPr>
        <w:t xml:space="preserve"> 16 (2), pp. 151-165.</w:t>
      </w:r>
    </w:p>
    <w:p w14:paraId="03479899"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Belmartino</w:t>
      </w:r>
      <w:proofErr w:type="spellEnd"/>
      <w:r w:rsidRPr="00CF177C">
        <w:rPr>
          <w:rFonts w:ascii="Times New Roman" w:hAnsi="Times New Roman" w:cs="Times New Roman"/>
          <w:szCs w:val="24"/>
        </w:rPr>
        <w:t>, S. (2010). “Los servicios de atención médica”, en: S. Torrado (</w:t>
      </w:r>
      <w:proofErr w:type="spellStart"/>
      <w:r w:rsidRPr="00CF177C">
        <w:rPr>
          <w:rFonts w:ascii="Times New Roman" w:hAnsi="Times New Roman" w:cs="Times New Roman"/>
          <w:szCs w:val="24"/>
        </w:rPr>
        <w:t>dir.</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El costo social del ajuste. Argentina (1976-2002)</w:t>
      </w:r>
      <w:r w:rsidRPr="00CF177C">
        <w:rPr>
          <w:rFonts w:ascii="Times New Roman" w:hAnsi="Times New Roman" w:cs="Times New Roman"/>
          <w:szCs w:val="24"/>
        </w:rPr>
        <w:t>, T. 2, pp. 257-300, Buenos Aires: EDHASA.</w:t>
      </w:r>
    </w:p>
    <w:p w14:paraId="6CB5E079" w14:textId="77777777" w:rsidR="00E20E04" w:rsidRPr="00CF177C" w:rsidRDefault="00E20E04" w:rsidP="00E20E04">
      <w:pPr>
        <w:autoSpaceDE w:val="0"/>
        <w:autoSpaceDN w:val="0"/>
        <w:adjustRightInd w:val="0"/>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Birdsall</w:t>
      </w:r>
      <w:proofErr w:type="spellEnd"/>
      <w:r w:rsidRPr="00CF177C">
        <w:rPr>
          <w:rFonts w:ascii="Times New Roman" w:hAnsi="Times New Roman" w:cs="Times New Roman"/>
          <w:szCs w:val="24"/>
        </w:rPr>
        <w:t xml:space="preserve">, N. y De la Torre, A. (2001). </w:t>
      </w:r>
      <w:r w:rsidRPr="00CF177C">
        <w:rPr>
          <w:rFonts w:ascii="Times New Roman" w:hAnsi="Times New Roman" w:cs="Times New Roman"/>
          <w:i/>
          <w:szCs w:val="24"/>
        </w:rPr>
        <w:t xml:space="preserve">El Disenso de Washington. Políticas económicas para la equidad social en Latinoamérica, </w:t>
      </w:r>
      <w:r w:rsidRPr="00CF177C">
        <w:rPr>
          <w:rFonts w:ascii="Times New Roman" w:hAnsi="Times New Roman" w:cs="Times New Roman"/>
          <w:szCs w:val="24"/>
        </w:rPr>
        <w:t xml:space="preserve">Washington D.C.: Fondo Carnegie para la Paz Internacional y Diálogo Interamericano. </w:t>
      </w:r>
    </w:p>
    <w:p w14:paraId="18717953"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 xml:space="preserve">Bustos, J. M. y Villafañe, S. (2011) “Asignación Universal por Hijo. Evaluación del impacto en los ingresos de los hogares y el mercado de trabajo”. Serie Estudios </w:t>
      </w:r>
      <w:r w:rsidRPr="00CF177C">
        <w:rPr>
          <w:rFonts w:ascii="Times New Roman" w:hAnsi="Times New Roman" w:cs="Times New Roman"/>
          <w:i/>
          <w:szCs w:val="24"/>
        </w:rPr>
        <w:t>Trabajo, ocupación y empleo</w:t>
      </w:r>
      <w:r w:rsidRPr="00CF177C">
        <w:rPr>
          <w:rFonts w:ascii="Times New Roman" w:hAnsi="Times New Roman" w:cs="Times New Roman"/>
          <w:szCs w:val="24"/>
        </w:rPr>
        <w:t xml:space="preserve">, 10. </w:t>
      </w:r>
      <w:proofErr w:type="spellStart"/>
      <w:r w:rsidRPr="00CF177C">
        <w:rPr>
          <w:rFonts w:ascii="Times New Roman" w:hAnsi="Times New Roman" w:cs="Times New Roman"/>
          <w:szCs w:val="24"/>
        </w:rPr>
        <w:t>SSPTyEL</w:t>
      </w:r>
      <w:proofErr w:type="spellEnd"/>
      <w:r w:rsidRPr="00CF177C">
        <w:rPr>
          <w:rFonts w:ascii="Times New Roman" w:hAnsi="Times New Roman" w:cs="Times New Roman"/>
          <w:szCs w:val="24"/>
        </w:rPr>
        <w:t xml:space="preserve">, </w:t>
      </w:r>
      <w:proofErr w:type="spellStart"/>
      <w:r w:rsidRPr="00CF177C">
        <w:rPr>
          <w:rFonts w:ascii="Times New Roman" w:hAnsi="Times New Roman" w:cs="Times New Roman"/>
          <w:szCs w:val="24"/>
        </w:rPr>
        <w:t>MTEySS</w:t>
      </w:r>
      <w:proofErr w:type="spellEnd"/>
      <w:r w:rsidRPr="00CF177C">
        <w:rPr>
          <w:rFonts w:ascii="Times New Roman" w:hAnsi="Times New Roman" w:cs="Times New Roman"/>
          <w:szCs w:val="24"/>
        </w:rPr>
        <w:t>.</w:t>
      </w:r>
    </w:p>
    <w:p w14:paraId="544816D4" w14:textId="77777777" w:rsidR="00E20E04" w:rsidRPr="00CF177C" w:rsidRDefault="00E20E04" w:rsidP="00E20E04">
      <w:pPr>
        <w:autoSpaceDE w:val="0"/>
        <w:autoSpaceDN w:val="0"/>
        <w:adjustRightInd w:val="0"/>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Cecchini</w:t>
      </w:r>
      <w:proofErr w:type="spellEnd"/>
      <w:r w:rsidRPr="00CF177C">
        <w:rPr>
          <w:rFonts w:ascii="Times New Roman" w:hAnsi="Times New Roman" w:cs="Times New Roman"/>
          <w:szCs w:val="24"/>
        </w:rPr>
        <w:t xml:space="preserve">, S. (2014) “Educación, Programas de Transferencias Condicionadas y protección social en América Latina y el Caribe”, en: </w:t>
      </w:r>
      <w:proofErr w:type="spellStart"/>
      <w:r w:rsidRPr="00CF177C">
        <w:rPr>
          <w:rFonts w:ascii="Times New Roman" w:hAnsi="Times New Roman" w:cs="Times New Roman"/>
          <w:szCs w:val="24"/>
        </w:rPr>
        <w:t>Feijoó</w:t>
      </w:r>
      <w:proofErr w:type="spellEnd"/>
      <w:r w:rsidRPr="00CF177C">
        <w:rPr>
          <w:rFonts w:ascii="Times New Roman" w:hAnsi="Times New Roman" w:cs="Times New Roman"/>
          <w:szCs w:val="24"/>
        </w:rPr>
        <w:t>, M. del C. y Poggi, M.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Educación y políticas sociales. Sinergias para la inclusión</w:t>
      </w:r>
      <w:r w:rsidRPr="00CF177C">
        <w:rPr>
          <w:rFonts w:ascii="Times New Roman" w:hAnsi="Times New Roman" w:cs="Times New Roman"/>
          <w:szCs w:val="24"/>
        </w:rPr>
        <w:t>, Buenos Aires, UNESCO-IIPE.</w:t>
      </w:r>
    </w:p>
    <w:p w14:paraId="6CA0AD43" w14:textId="77777777" w:rsidR="00E20E04"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Cetrángolo</w:t>
      </w:r>
      <w:proofErr w:type="spellEnd"/>
      <w:r w:rsidRPr="00CF177C">
        <w:rPr>
          <w:rFonts w:ascii="Times New Roman" w:hAnsi="Times New Roman" w:cs="Times New Roman"/>
          <w:szCs w:val="24"/>
        </w:rPr>
        <w:t xml:space="preserve">, O. y </w:t>
      </w: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xml:space="preserve">, J. (2017). </w:t>
      </w:r>
      <w:r w:rsidRPr="00CF177C">
        <w:rPr>
          <w:rFonts w:ascii="Times New Roman" w:hAnsi="Times New Roman" w:cs="Times New Roman"/>
          <w:i/>
          <w:szCs w:val="24"/>
        </w:rPr>
        <w:t>Análisis y propuestas de mejoras para ampliar la Asignación Universal por Hijo</w:t>
      </w:r>
      <w:r w:rsidRPr="00CF177C">
        <w:rPr>
          <w:rFonts w:ascii="Times New Roman" w:hAnsi="Times New Roman" w:cs="Times New Roman"/>
          <w:szCs w:val="24"/>
        </w:rPr>
        <w:t>, Buenos Aires: ANSES – Ministerio de Desarrollo Social – UNICEF – IIEEP UBA – CEDLAS – CNCPS.</w:t>
      </w:r>
    </w:p>
    <w:p w14:paraId="6B23D2E8" w14:textId="77777777" w:rsidR="007024DD" w:rsidRPr="007024DD" w:rsidRDefault="007024DD" w:rsidP="00E20E04">
      <w:pPr>
        <w:spacing w:before="120" w:after="120" w:line="240" w:lineRule="auto"/>
        <w:ind w:left="426" w:hanging="426"/>
        <w:jc w:val="both"/>
        <w:rPr>
          <w:rFonts w:ascii="Times New Roman" w:hAnsi="Times New Roman" w:cs="Times New Roman"/>
          <w:szCs w:val="24"/>
        </w:rPr>
      </w:pPr>
      <w:r>
        <w:rPr>
          <w:rFonts w:ascii="Times New Roman" w:hAnsi="Times New Roman" w:cs="Times New Roman"/>
          <w:szCs w:val="24"/>
        </w:rPr>
        <w:t xml:space="preserve">Comisión Económica para América Latina y el Caribe [CEPAL] (2018). </w:t>
      </w:r>
      <w:r>
        <w:rPr>
          <w:rFonts w:ascii="Times New Roman" w:hAnsi="Times New Roman" w:cs="Times New Roman"/>
          <w:i/>
          <w:szCs w:val="24"/>
        </w:rPr>
        <w:t>Panorama social de América Latina 2017</w:t>
      </w:r>
      <w:r>
        <w:rPr>
          <w:rFonts w:ascii="Times New Roman" w:hAnsi="Times New Roman" w:cs="Times New Roman"/>
          <w:szCs w:val="24"/>
        </w:rPr>
        <w:t>, Santiago de Chile: CEPAL.</w:t>
      </w:r>
    </w:p>
    <w:p w14:paraId="585EF9F4"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xml:space="preserve">, J., y Beccaria, A. (2013). “Sistema de Seguridad Social y mercado de trabajo: evolución de la cobertura en la Argentina entre 1990 y 2010”, en </w:t>
      </w:r>
      <w:proofErr w:type="spellStart"/>
      <w:r w:rsidRPr="00CF177C">
        <w:rPr>
          <w:rFonts w:ascii="Times New Roman" w:hAnsi="Times New Roman" w:cs="Times New Roman"/>
          <w:szCs w:val="24"/>
        </w:rPr>
        <w:t>Danani</w:t>
      </w:r>
      <w:proofErr w:type="spellEnd"/>
      <w:r w:rsidRPr="00CF177C">
        <w:rPr>
          <w:rFonts w:ascii="Times New Roman" w:hAnsi="Times New Roman" w:cs="Times New Roman"/>
          <w:szCs w:val="24"/>
        </w:rPr>
        <w:t xml:space="preserve">, C. y </w:t>
      </w:r>
      <w:proofErr w:type="spellStart"/>
      <w:r w:rsidRPr="00CF177C">
        <w:rPr>
          <w:rFonts w:ascii="Times New Roman" w:hAnsi="Times New Roman" w:cs="Times New Roman"/>
          <w:szCs w:val="24"/>
        </w:rPr>
        <w:t>Hintze</w:t>
      </w:r>
      <w:proofErr w:type="spellEnd"/>
      <w:r w:rsidRPr="00CF177C">
        <w:rPr>
          <w:rFonts w:ascii="Times New Roman" w:hAnsi="Times New Roman" w:cs="Times New Roman"/>
          <w:szCs w:val="24"/>
        </w:rPr>
        <w:t>, S.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Protecciones y desprotecciones: la seguridad social en la Argentina 1990-2010</w:t>
      </w:r>
      <w:r w:rsidRPr="00CF177C">
        <w:rPr>
          <w:rFonts w:ascii="Times New Roman" w:hAnsi="Times New Roman" w:cs="Times New Roman"/>
          <w:szCs w:val="24"/>
        </w:rPr>
        <w:t xml:space="preserve">, Los Polvorines: UNGS. </w:t>
      </w:r>
    </w:p>
    <w:p w14:paraId="4EA7E03A"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Dávolos</w:t>
      </w:r>
      <w:proofErr w:type="spellEnd"/>
      <w:r w:rsidRPr="00CF177C">
        <w:rPr>
          <w:rFonts w:ascii="Times New Roman" w:hAnsi="Times New Roman" w:cs="Times New Roman"/>
          <w:szCs w:val="24"/>
        </w:rPr>
        <w:t xml:space="preserve">, P. y Beccaria, A. (2017). “Las brechas de la protección social de niños, niñas y adolescentes”, en </w:t>
      </w:r>
      <w:proofErr w:type="spellStart"/>
      <w:r w:rsidRPr="00CF177C">
        <w:rPr>
          <w:rFonts w:ascii="Times New Roman" w:hAnsi="Times New Roman" w:cs="Times New Roman"/>
          <w:szCs w:val="24"/>
        </w:rPr>
        <w:t>Cetrángolo</w:t>
      </w:r>
      <w:proofErr w:type="spellEnd"/>
      <w:r w:rsidRPr="00CF177C">
        <w:rPr>
          <w:rFonts w:ascii="Times New Roman" w:hAnsi="Times New Roman" w:cs="Times New Roman"/>
          <w:szCs w:val="24"/>
        </w:rPr>
        <w:t xml:space="preserve">, O. y </w:t>
      </w: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J.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Análisis y propuestas de mejoras para ampliar la Asignación Universal por Hijo</w:t>
      </w:r>
      <w:r w:rsidRPr="00CF177C">
        <w:rPr>
          <w:rFonts w:ascii="Times New Roman" w:hAnsi="Times New Roman" w:cs="Times New Roman"/>
          <w:szCs w:val="24"/>
        </w:rPr>
        <w:t>, Buenos Aires: ANSES – Ministerio de Desarrollo Social – UNICEF – IIEEP UBA – CEDLAS – CNCPS.</w:t>
      </w:r>
    </w:p>
    <w:p w14:paraId="19520211"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 xml:space="preserve">De </w:t>
      </w:r>
      <w:proofErr w:type="spellStart"/>
      <w:r w:rsidRPr="00CF177C">
        <w:rPr>
          <w:rFonts w:ascii="Times New Roman" w:hAnsi="Times New Roman" w:cs="Times New Roman"/>
          <w:szCs w:val="24"/>
        </w:rPr>
        <w:t>Ferranti</w:t>
      </w:r>
      <w:proofErr w:type="spellEnd"/>
      <w:r w:rsidRPr="00CF177C">
        <w:rPr>
          <w:rFonts w:ascii="Times New Roman" w:hAnsi="Times New Roman" w:cs="Times New Roman"/>
          <w:szCs w:val="24"/>
        </w:rPr>
        <w:t xml:space="preserve">, D., Perry, G., Ferreira, F. y Walton, M. (2003). </w:t>
      </w:r>
      <w:r w:rsidRPr="00CF177C">
        <w:rPr>
          <w:rFonts w:ascii="Times New Roman" w:hAnsi="Times New Roman" w:cs="Times New Roman"/>
          <w:i/>
          <w:iCs/>
          <w:szCs w:val="24"/>
        </w:rPr>
        <w:t>Desigualdad en América Latina y el Caribe: ¿ruptura con la historia?</w:t>
      </w:r>
      <w:r w:rsidRPr="00CF177C">
        <w:rPr>
          <w:rFonts w:ascii="Times New Roman" w:hAnsi="Times New Roman" w:cs="Times New Roman"/>
          <w:szCs w:val="24"/>
        </w:rPr>
        <w:t xml:space="preserve"> Washington, D.C.: Banco Mundial.</w:t>
      </w:r>
    </w:p>
    <w:p w14:paraId="7A25F65A" w14:textId="77777777" w:rsidR="00E20E04" w:rsidRPr="00CF177C" w:rsidRDefault="00E20E04" w:rsidP="00E20E04">
      <w:pPr>
        <w:pStyle w:val="NormalWeb"/>
        <w:shd w:val="clear" w:color="auto" w:fill="FFFFFF"/>
        <w:spacing w:before="120" w:beforeAutospacing="0" w:after="120" w:afterAutospacing="0"/>
        <w:ind w:left="426" w:hanging="426"/>
        <w:jc w:val="both"/>
        <w:rPr>
          <w:rFonts w:ascii="Times New Roman" w:hAnsi="Times New Roman"/>
          <w:sz w:val="24"/>
          <w:szCs w:val="24"/>
          <w:lang w:val="en-GB"/>
        </w:rPr>
      </w:pPr>
      <w:r w:rsidRPr="00CF177C">
        <w:rPr>
          <w:rFonts w:ascii="Times New Roman" w:hAnsi="Times New Roman"/>
          <w:sz w:val="24"/>
          <w:szCs w:val="24"/>
        </w:rPr>
        <w:t xml:space="preserve">Ferreira, F. y Robalino, D. (2010). </w:t>
      </w:r>
      <w:r w:rsidRPr="00CF177C">
        <w:rPr>
          <w:rFonts w:ascii="Times New Roman" w:hAnsi="Times New Roman"/>
          <w:sz w:val="24"/>
          <w:szCs w:val="24"/>
          <w:lang w:val="en-GB"/>
        </w:rPr>
        <w:t xml:space="preserve">“Social Protection in Latin America. Achievements and Limitations”, </w:t>
      </w:r>
      <w:r w:rsidRPr="00CF177C">
        <w:rPr>
          <w:rFonts w:ascii="Times New Roman" w:hAnsi="Times New Roman"/>
          <w:i/>
          <w:sz w:val="24"/>
          <w:szCs w:val="24"/>
          <w:lang w:val="en-GB"/>
        </w:rPr>
        <w:t>Policy Research Working Paper</w:t>
      </w:r>
      <w:r w:rsidRPr="00CF177C">
        <w:rPr>
          <w:rFonts w:ascii="Times New Roman" w:hAnsi="Times New Roman"/>
          <w:sz w:val="24"/>
          <w:szCs w:val="24"/>
          <w:lang w:val="en-GB"/>
        </w:rPr>
        <w:t>, 5305, World Bank.</w:t>
      </w:r>
    </w:p>
    <w:p w14:paraId="1D68D308"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2D6C2F">
        <w:rPr>
          <w:rFonts w:ascii="Times New Roman" w:hAnsi="Times New Roman" w:cs="Times New Roman"/>
          <w:szCs w:val="24"/>
          <w:lang w:val="en-GB"/>
        </w:rPr>
        <w:lastRenderedPageBreak/>
        <w:t xml:space="preserve">Ferreira, F., Messina, J., </w:t>
      </w:r>
      <w:proofErr w:type="spellStart"/>
      <w:r w:rsidRPr="002D6C2F">
        <w:rPr>
          <w:rFonts w:ascii="Times New Roman" w:hAnsi="Times New Roman" w:cs="Times New Roman"/>
          <w:szCs w:val="24"/>
          <w:lang w:val="en-GB"/>
        </w:rPr>
        <w:t>Rigolini</w:t>
      </w:r>
      <w:proofErr w:type="spellEnd"/>
      <w:r w:rsidRPr="002D6C2F">
        <w:rPr>
          <w:rFonts w:ascii="Times New Roman" w:hAnsi="Times New Roman" w:cs="Times New Roman"/>
          <w:szCs w:val="24"/>
          <w:lang w:val="en-GB"/>
        </w:rPr>
        <w:t xml:space="preserve">, J, López-Calva, L., Lugo, M. y </w:t>
      </w:r>
      <w:proofErr w:type="spellStart"/>
      <w:r w:rsidRPr="002D6C2F">
        <w:rPr>
          <w:rFonts w:ascii="Times New Roman" w:hAnsi="Times New Roman" w:cs="Times New Roman"/>
          <w:szCs w:val="24"/>
          <w:lang w:val="en-GB"/>
        </w:rPr>
        <w:t>Vakis</w:t>
      </w:r>
      <w:proofErr w:type="spellEnd"/>
      <w:r w:rsidRPr="002D6C2F">
        <w:rPr>
          <w:rFonts w:ascii="Times New Roman" w:hAnsi="Times New Roman" w:cs="Times New Roman"/>
          <w:szCs w:val="24"/>
          <w:lang w:val="en-GB"/>
        </w:rPr>
        <w:t xml:space="preserve">, R. (2013). </w:t>
      </w:r>
      <w:r w:rsidRPr="00CF177C">
        <w:rPr>
          <w:rFonts w:ascii="Times New Roman" w:hAnsi="Times New Roman" w:cs="Times New Roman"/>
          <w:i/>
          <w:szCs w:val="24"/>
        </w:rPr>
        <w:t xml:space="preserve">La movilidad económica y el crecimiento de la clase media en América Latina, </w:t>
      </w:r>
      <w:r w:rsidRPr="00CF177C">
        <w:rPr>
          <w:rFonts w:ascii="Times New Roman" w:hAnsi="Times New Roman" w:cs="Times New Roman"/>
          <w:szCs w:val="24"/>
        </w:rPr>
        <w:t xml:space="preserve">Washington, DC: Banco Mundial. </w:t>
      </w:r>
    </w:p>
    <w:p w14:paraId="5974A8F4"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 xml:space="preserve">Garganta, S. y Gasparini, S. (2017). “El impacto de la AUH sobre los ingresos de los hogares: Un ejercicio de diferencias dobles”, en </w:t>
      </w:r>
      <w:proofErr w:type="spellStart"/>
      <w:r w:rsidRPr="00CF177C">
        <w:rPr>
          <w:rFonts w:ascii="Times New Roman" w:hAnsi="Times New Roman" w:cs="Times New Roman"/>
          <w:szCs w:val="24"/>
        </w:rPr>
        <w:t>Cetrángolo</w:t>
      </w:r>
      <w:proofErr w:type="spellEnd"/>
      <w:r w:rsidRPr="00CF177C">
        <w:rPr>
          <w:rFonts w:ascii="Times New Roman" w:hAnsi="Times New Roman" w:cs="Times New Roman"/>
          <w:szCs w:val="24"/>
        </w:rPr>
        <w:t xml:space="preserve">, O. y </w:t>
      </w: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J.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Análisis y propuestas de mejoras para ampliar la Asignación Universal por Hijo</w:t>
      </w:r>
      <w:r w:rsidRPr="00CF177C">
        <w:rPr>
          <w:rFonts w:ascii="Times New Roman" w:hAnsi="Times New Roman" w:cs="Times New Roman"/>
          <w:szCs w:val="24"/>
        </w:rPr>
        <w:t>, Buenos Aires: ANSES – Ministerio de Desarrollo Social – UNICEF – IIEEP UBA – CEDLAS – CNCPS.</w:t>
      </w:r>
    </w:p>
    <w:p w14:paraId="6B828AAE"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 xml:space="preserve">Gasparini, L., </w:t>
      </w:r>
      <w:proofErr w:type="spellStart"/>
      <w:r w:rsidRPr="00CF177C">
        <w:rPr>
          <w:rFonts w:ascii="Times New Roman" w:hAnsi="Times New Roman" w:cs="Times New Roman"/>
          <w:szCs w:val="24"/>
        </w:rPr>
        <w:t>Bracco</w:t>
      </w:r>
      <w:proofErr w:type="spellEnd"/>
      <w:r w:rsidRPr="00CF177C">
        <w:rPr>
          <w:rFonts w:ascii="Times New Roman" w:hAnsi="Times New Roman" w:cs="Times New Roman"/>
          <w:szCs w:val="24"/>
        </w:rPr>
        <w:t xml:space="preserve">, J., Falcone, G. y Galeano, L. (2017) “Incidencia distributiva de la AUH”, en </w:t>
      </w:r>
      <w:proofErr w:type="spellStart"/>
      <w:r w:rsidRPr="00CF177C">
        <w:rPr>
          <w:rFonts w:ascii="Times New Roman" w:hAnsi="Times New Roman" w:cs="Times New Roman"/>
          <w:szCs w:val="24"/>
        </w:rPr>
        <w:t>Cetrángolo</w:t>
      </w:r>
      <w:proofErr w:type="spellEnd"/>
      <w:r w:rsidRPr="00CF177C">
        <w:rPr>
          <w:rFonts w:ascii="Times New Roman" w:hAnsi="Times New Roman" w:cs="Times New Roman"/>
          <w:szCs w:val="24"/>
        </w:rPr>
        <w:t xml:space="preserve">, O. y </w:t>
      </w: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J.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Análisis y propuestas de mejoras para ampliar la Asignación Universal por Hijo</w:t>
      </w:r>
      <w:r w:rsidRPr="00CF177C">
        <w:rPr>
          <w:rFonts w:ascii="Times New Roman" w:hAnsi="Times New Roman" w:cs="Times New Roman"/>
          <w:szCs w:val="24"/>
        </w:rPr>
        <w:t>, Buenos Aires: ANSES – Ministerio de Desarrollo Social – UNICEF – IIEEP UBA – CEDLAS – CNCPS.</w:t>
      </w:r>
    </w:p>
    <w:p w14:paraId="0A0F2096"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Goldschmit</w:t>
      </w:r>
      <w:proofErr w:type="spellEnd"/>
      <w:r w:rsidRPr="00CF177C">
        <w:rPr>
          <w:rFonts w:ascii="Times New Roman" w:hAnsi="Times New Roman" w:cs="Times New Roman"/>
          <w:szCs w:val="24"/>
        </w:rPr>
        <w:t xml:space="preserve">, A. (2017). “Análisis y caracterización de la condicionalidad en salud que establece la AUH”, en </w:t>
      </w:r>
      <w:proofErr w:type="spellStart"/>
      <w:r w:rsidRPr="00CF177C">
        <w:rPr>
          <w:rFonts w:ascii="Times New Roman" w:hAnsi="Times New Roman" w:cs="Times New Roman"/>
          <w:szCs w:val="24"/>
        </w:rPr>
        <w:t>Cetrángolo</w:t>
      </w:r>
      <w:proofErr w:type="spellEnd"/>
      <w:r w:rsidRPr="00CF177C">
        <w:rPr>
          <w:rFonts w:ascii="Times New Roman" w:hAnsi="Times New Roman" w:cs="Times New Roman"/>
          <w:szCs w:val="24"/>
        </w:rPr>
        <w:t xml:space="preserve">, O. y </w:t>
      </w: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J.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Análisis y propuestas de mejoras para ampliar la Asignación Universal por Hijo</w:t>
      </w:r>
      <w:r w:rsidRPr="00CF177C">
        <w:rPr>
          <w:rFonts w:ascii="Times New Roman" w:hAnsi="Times New Roman" w:cs="Times New Roman"/>
          <w:szCs w:val="24"/>
        </w:rPr>
        <w:t>, Buenos Aires: ANSES – Ministerio de Desarrollo Social – UNICEF – IIEEP UBA – CEDLAS – CNCPS.</w:t>
      </w:r>
    </w:p>
    <w:p w14:paraId="0161D936" w14:textId="77777777" w:rsidR="00E20E04" w:rsidRPr="00CF177C" w:rsidRDefault="00E20E04" w:rsidP="00E20E04">
      <w:pPr>
        <w:autoSpaceDE w:val="0"/>
        <w:autoSpaceDN w:val="0"/>
        <w:adjustRightInd w:val="0"/>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 xml:space="preserve">Grassi, E., </w:t>
      </w:r>
      <w:proofErr w:type="spellStart"/>
      <w:r w:rsidRPr="00CF177C">
        <w:rPr>
          <w:rFonts w:ascii="Times New Roman" w:hAnsi="Times New Roman" w:cs="Times New Roman"/>
          <w:szCs w:val="24"/>
        </w:rPr>
        <w:t>Hintze</w:t>
      </w:r>
      <w:proofErr w:type="spellEnd"/>
      <w:r w:rsidRPr="00CF177C">
        <w:rPr>
          <w:rFonts w:ascii="Times New Roman" w:hAnsi="Times New Roman" w:cs="Times New Roman"/>
          <w:szCs w:val="24"/>
        </w:rPr>
        <w:t xml:space="preserve">, S. y </w:t>
      </w:r>
      <w:proofErr w:type="spellStart"/>
      <w:r w:rsidRPr="00CF177C">
        <w:rPr>
          <w:rFonts w:ascii="Times New Roman" w:hAnsi="Times New Roman" w:cs="Times New Roman"/>
          <w:szCs w:val="24"/>
        </w:rPr>
        <w:t>Neufeld</w:t>
      </w:r>
      <w:proofErr w:type="spellEnd"/>
      <w:r w:rsidRPr="00CF177C">
        <w:rPr>
          <w:rFonts w:ascii="Times New Roman" w:hAnsi="Times New Roman" w:cs="Times New Roman"/>
          <w:szCs w:val="24"/>
        </w:rPr>
        <w:t xml:space="preserve">, R. (1994) </w:t>
      </w:r>
      <w:r w:rsidRPr="00CF177C">
        <w:rPr>
          <w:rFonts w:ascii="Times New Roman" w:hAnsi="Times New Roman" w:cs="Times New Roman"/>
          <w:i/>
          <w:szCs w:val="24"/>
        </w:rPr>
        <w:t>Políticas sociales, crisis y ajuste estructural</w:t>
      </w:r>
      <w:r w:rsidRPr="00CF177C">
        <w:rPr>
          <w:rFonts w:ascii="Times New Roman" w:hAnsi="Times New Roman" w:cs="Times New Roman"/>
          <w:szCs w:val="24"/>
        </w:rPr>
        <w:t xml:space="preserve">. Buenos Aires:  Espacio Editorial. </w:t>
      </w:r>
    </w:p>
    <w:p w14:paraId="21D6A15E"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lang w:val="es-ES"/>
        </w:rPr>
        <w:t>Hintze</w:t>
      </w:r>
      <w:proofErr w:type="spellEnd"/>
      <w:r w:rsidRPr="00CF177C">
        <w:rPr>
          <w:rFonts w:ascii="Times New Roman" w:hAnsi="Times New Roman" w:cs="Times New Roman"/>
          <w:szCs w:val="24"/>
          <w:lang w:val="es-ES"/>
        </w:rPr>
        <w:t xml:space="preserve">, S. y Costa, M. I. (2013). “La reforma de las asignaciones familiares 2009: </w:t>
      </w:r>
      <w:r w:rsidRPr="00CF177C">
        <w:rPr>
          <w:rFonts w:ascii="Times New Roman" w:hAnsi="Times New Roman" w:cs="Times New Roman"/>
          <w:szCs w:val="24"/>
        </w:rPr>
        <w:t xml:space="preserve">aproximación al proceso político de la transformación de la protección”, en: </w:t>
      </w:r>
      <w:proofErr w:type="spellStart"/>
      <w:r w:rsidRPr="00CF177C">
        <w:rPr>
          <w:rFonts w:ascii="Times New Roman" w:hAnsi="Times New Roman" w:cs="Times New Roman"/>
          <w:szCs w:val="24"/>
        </w:rPr>
        <w:t>Danani</w:t>
      </w:r>
      <w:proofErr w:type="spellEnd"/>
      <w:r w:rsidRPr="00CF177C">
        <w:rPr>
          <w:rFonts w:ascii="Times New Roman" w:hAnsi="Times New Roman" w:cs="Times New Roman"/>
          <w:szCs w:val="24"/>
        </w:rPr>
        <w:t xml:space="preserve">, C. y </w:t>
      </w:r>
      <w:proofErr w:type="spellStart"/>
      <w:r w:rsidRPr="00CF177C">
        <w:rPr>
          <w:rFonts w:ascii="Times New Roman" w:hAnsi="Times New Roman" w:cs="Times New Roman"/>
          <w:szCs w:val="24"/>
        </w:rPr>
        <w:t>Hintze</w:t>
      </w:r>
      <w:proofErr w:type="spellEnd"/>
      <w:r w:rsidRPr="00CF177C">
        <w:rPr>
          <w:rFonts w:ascii="Times New Roman" w:hAnsi="Times New Roman" w:cs="Times New Roman"/>
          <w:szCs w:val="24"/>
        </w:rPr>
        <w:t>, S.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Protecciones y desprotecciones: la seguridad social en la Argentina 1990-2010</w:t>
      </w:r>
      <w:r w:rsidRPr="00CF177C">
        <w:rPr>
          <w:rFonts w:ascii="Times New Roman" w:hAnsi="Times New Roman" w:cs="Times New Roman"/>
          <w:szCs w:val="24"/>
        </w:rPr>
        <w:t xml:space="preserve">, Los Polvorines: UNGS. </w:t>
      </w:r>
    </w:p>
    <w:p w14:paraId="41F96832"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 xml:space="preserve">Isuani, A. (2008) “La política social argentina en perspectiva”, en Cruces, G., D. </w:t>
      </w:r>
      <w:proofErr w:type="spellStart"/>
      <w:r w:rsidRPr="00CF177C">
        <w:rPr>
          <w:rFonts w:ascii="Times New Roman" w:hAnsi="Times New Roman" w:cs="Times New Roman"/>
          <w:szCs w:val="24"/>
        </w:rPr>
        <w:t>Ringold</w:t>
      </w:r>
      <w:proofErr w:type="spellEnd"/>
      <w:r w:rsidRPr="00CF177C">
        <w:rPr>
          <w:rFonts w:ascii="Times New Roman" w:hAnsi="Times New Roman" w:cs="Times New Roman"/>
          <w:szCs w:val="24"/>
        </w:rPr>
        <w:t xml:space="preserve"> y R. </w:t>
      </w:r>
      <w:proofErr w:type="spellStart"/>
      <w:r w:rsidRPr="00CF177C">
        <w:rPr>
          <w:rFonts w:ascii="Times New Roman" w:hAnsi="Times New Roman" w:cs="Times New Roman"/>
          <w:szCs w:val="24"/>
        </w:rPr>
        <w:t>Rofman</w:t>
      </w:r>
      <w:proofErr w:type="spellEnd"/>
      <w:r w:rsidRPr="00CF177C">
        <w:rPr>
          <w:rFonts w:ascii="Times New Roman" w:hAnsi="Times New Roman" w:cs="Times New Roman"/>
          <w:szCs w:val="24"/>
        </w:rPr>
        <w:t xml:space="preserve"> (</w:t>
      </w:r>
      <w:proofErr w:type="spellStart"/>
      <w:r w:rsidRPr="00CF177C">
        <w:rPr>
          <w:rFonts w:ascii="Times New Roman" w:hAnsi="Times New Roman" w:cs="Times New Roman"/>
          <w:szCs w:val="24"/>
        </w:rPr>
        <w:t>eds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Los programas sociales en Argentina hacia el Bicentenario. Visiones y perspectivas</w:t>
      </w:r>
      <w:r w:rsidRPr="00CF177C">
        <w:rPr>
          <w:rFonts w:ascii="Times New Roman" w:hAnsi="Times New Roman" w:cs="Times New Roman"/>
          <w:szCs w:val="24"/>
        </w:rPr>
        <w:t xml:space="preserve">, </w:t>
      </w:r>
      <w:r w:rsidRPr="00CF177C">
        <w:rPr>
          <w:rFonts w:ascii="Times New Roman" w:hAnsi="Times New Roman" w:cs="Times New Roman"/>
          <w:szCs w:val="24"/>
          <w:shd w:val="clear" w:color="auto" w:fill="FFFFFF"/>
        </w:rPr>
        <w:t>Banco Mundial, Oficina de Buenos Aires.</w:t>
      </w:r>
    </w:p>
    <w:p w14:paraId="181F0B5D"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lang w:val="es-ES"/>
        </w:rPr>
        <w:t xml:space="preserve">Kliksberg, B. y </w:t>
      </w:r>
      <w:proofErr w:type="spellStart"/>
      <w:r w:rsidRPr="00CF177C">
        <w:rPr>
          <w:rFonts w:ascii="Times New Roman" w:hAnsi="Times New Roman" w:cs="Times New Roman"/>
          <w:szCs w:val="24"/>
          <w:lang w:val="es-ES"/>
        </w:rPr>
        <w:t>Novacovsky</w:t>
      </w:r>
      <w:proofErr w:type="spellEnd"/>
      <w:r w:rsidRPr="00CF177C">
        <w:rPr>
          <w:rFonts w:ascii="Times New Roman" w:hAnsi="Times New Roman" w:cs="Times New Roman"/>
          <w:szCs w:val="24"/>
          <w:lang w:val="es-ES"/>
        </w:rPr>
        <w:t xml:space="preserve">, I. (2015). </w:t>
      </w:r>
      <w:r w:rsidRPr="00CF177C">
        <w:rPr>
          <w:rFonts w:ascii="Times New Roman" w:hAnsi="Times New Roman" w:cs="Times New Roman"/>
          <w:i/>
          <w:szCs w:val="24"/>
          <w:lang w:val="es-ES"/>
        </w:rPr>
        <w:t>El gran desafío. Romper la trampa de la desigualdad desde la infancia. Aprendizajes de la Asignación Universal por Hijo</w:t>
      </w:r>
      <w:r w:rsidRPr="00CF177C">
        <w:rPr>
          <w:rFonts w:ascii="Times New Roman" w:hAnsi="Times New Roman" w:cs="Times New Roman"/>
          <w:szCs w:val="24"/>
          <w:lang w:val="es-ES"/>
        </w:rPr>
        <w:t xml:space="preserve">, Buenos Aires: Biblos. </w:t>
      </w:r>
    </w:p>
    <w:p w14:paraId="7A03ABA0"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Marchionni</w:t>
      </w:r>
      <w:proofErr w:type="spellEnd"/>
      <w:r w:rsidRPr="00CF177C">
        <w:rPr>
          <w:rFonts w:ascii="Times New Roman" w:hAnsi="Times New Roman" w:cs="Times New Roman"/>
          <w:szCs w:val="24"/>
        </w:rPr>
        <w:t xml:space="preserve">, M. y Edo, M. (2017) “Condicionalidades educativas en la AUH: Diagnóstico y alternativas”, en </w:t>
      </w:r>
      <w:proofErr w:type="spellStart"/>
      <w:r w:rsidRPr="00CF177C">
        <w:rPr>
          <w:rFonts w:ascii="Times New Roman" w:hAnsi="Times New Roman" w:cs="Times New Roman"/>
          <w:szCs w:val="24"/>
        </w:rPr>
        <w:t>Cetrángolo</w:t>
      </w:r>
      <w:proofErr w:type="spellEnd"/>
      <w:r w:rsidRPr="00CF177C">
        <w:rPr>
          <w:rFonts w:ascii="Times New Roman" w:hAnsi="Times New Roman" w:cs="Times New Roman"/>
          <w:szCs w:val="24"/>
        </w:rPr>
        <w:t xml:space="preserve">, O. y </w:t>
      </w: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J.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Análisis y propuestas de mejoras para ampliar la Asignación Universal por Hijo</w:t>
      </w:r>
      <w:r w:rsidRPr="00CF177C">
        <w:rPr>
          <w:rFonts w:ascii="Times New Roman" w:hAnsi="Times New Roman" w:cs="Times New Roman"/>
          <w:szCs w:val="24"/>
        </w:rPr>
        <w:t>, Buenos Aires: ANSES – Ministerio de Desarrollo Social – UNICEF – IIEEP UBA – CEDLAS – CNCPS.</w:t>
      </w:r>
    </w:p>
    <w:p w14:paraId="79DC05D8"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Maurizio</w:t>
      </w:r>
      <w:proofErr w:type="spellEnd"/>
      <w:r w:rsidRPr="00CF177C">
        <w:rPr>
          <w:rFonts w:ascii="Times New Roman" w:hAnsi="Times New Roman" w:cs="Times New Roman"/>
          <w:szCs w:val="24"/>
        </w:rPr>
        <w:t xml:space="preserve">, R. y Monsalvo, P. (2017) “Evaluación de los impactos de la AUH en el comportamiento laboral de los adultos y en la generación de ingresos”, en </w:t>
      </w:r>
      <w:proofErr w:type="spellStart"/>
      <w:r w:rsidRPr="00CF177C">
        <w:rPr>
          <w:rFonts w:ascii="Times New Roman" w:hAnsi="Times New Roman" w:cs="Times New Roman"/>
          <w:szCs w:val="24"/>
        </w:rPr>
        <w:t>Cetrángolo</w:t>
      </w:r>
      <w:proofErr w:type="spellEnd"/>
      <w:r w:rsidRPr="00CF177C">
        <w:rPr>
          <w:rFonts w:ascii="Times New Roman" w:hAnsi="Times New Roman" w:cs="Times New Roman"/>
          <w:szCs w:val="24"/>
        </w:rPr>
        <w:t xml:space="preserve">, O. y </w:t>
      </w:r>
      <w:proofErr w:type="spellStart"/>
      <w:r w:rsidRPr="00CF177C">
        <w:rPr>
          <w:rFonts w:ascii="Times New Roman" w:hAnsi="Times New Roman" w:cs="Times New Roman"/>
          <w:szCs w:val="24"/>
        </w:rPr>
        <w:t>Curcio</w:t>
      </w:r>
      <w:proofErr w:type="spellEnd"/>
      <w:r w:rsidRPr="00CF177C">
        <w:rPr>
          <w:rFonts w:ascii="Times New Roman" w:hAnsi="Times New Roman" w:cs="Times New Roman"/>
          <w:szCs w:val="24"/>
        </w:rPr>
        <w:t>, J.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Análisis y propuestas de mejoras para ampliar la Asignación Universal por Hijo</w:t>
      </w:r>
      <w:r w:rsidRPr="00CF177C">
        <w:rPr>
          <w:rFonts w:ascii="Times New Roman" w:hAnsi="Times New Roman" w:cs="Times New Roman"/>
          <w:szCs w:val="24"/>
        </w:rPr>
        <w:t>, Buenos Aires: ANSES – Ministerio de Desarrollo Social – UNICEF – IIEEP UBA – CEDLAS – CNCPS.</w:t>
      </w:r>
    </w:p>
    <w:p w14:paraId="08D91EE4"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lang w:val="es-ES"/>
        </w:rPr>
        <w:t>Maurizio</w:t>
      </w:r>
      <w:proofErr w:type="spellEnd"/>
      <w:r w:rsidRPr="00CF177C">
        <w:rPr>
          <w:rFonts w:ascii="Times New Roman" w:hAnsi="Times New Roman" w:cs="Times New Roman"/>
          <w:szCs w:val="24"/>
          <w:lang w:val="es-ES"/>
        </w:rPr>
        <w:t xml:space="preserve">, R. y Vázquez, G. (2014). Efectos del programa Asignación Universal por Hijo en el comportamiento laboral de los adultos, </w:t>
      </w:r>
      <w:r w:rsidRPr="00CF177C">
        <w:rPr>
          <w:rFonts w:ascii="Times New Roman" w:hAnsi="Times New Roman" w:cs="Times New Roman"/>
          <w:i/>
          <w:szCs w:val="24"/>
          <w:lang w:val="es-ES"/>
        </w:rPr>
        <w:t>Revista de la CEPAL</w:t>
      </w:r>
      <w:r w:rsidRPr="00CF177C">
        <w:rPr>
          <w:rFonts w:ascii="Times New Roman" w:hAnsi="Times New Roman" w:cs="Times New Roman"/>
          <w:szCs w:val="24"/>
          <w:lang w:val="es-ES"/>
        </w:rPr>
        <w:t>, 113, pp. 121-144.</w:t>
      </w:r>
    </w:p>
    <w:p w14:paraId="0C82C834" w14:textId="77777777" w:rsidR="00E20E04" w:rsidRPr="00CF177C"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lang w:val="es-ES"/>
        </w:rPr>
        <w:t>Mazzola</w:t>
      </w:r>
      <w:proofErr w:type="spellEnd"/>
      <w:r w:rsidRPr="00CF177C">
        <w:rPr>
          <w:rFonts w:ascii="Times New Roman" w:hAnsi="Times New Roman" w:cs="Times New Roman"/>
          <w:szCs w:val="24"/>
          <w:lang w:val="es-ES"/>
        </w:rPr>
        <w:t xml:space="preserve">, R. (2014). </w:t>
      </w:r>
      <w:r w:rsidRPr="00CF177C">
        <w:rPr>
          <w:rFonts w:ascii="Times New Roman" w:hAnsi="Times New Roman" w:cs="Times New Roman"/>
          <w:i/>
          <w:szCs w:val="24"/>
          <w:lang w:val="es-ES"/>
        </w:rPr>
        <w:t>Nuevo paradigma. La Asignación Universal por Hijo en la Argentina</w:t>
      </w:r>
      <w:r w:rsidRPr="00CF177C">
        <w:rPr>
          <w:rFonts w:ascii="Times New Roman" w:hAnsi="Times New Roman" w:cs="Times New Roman"/>
          <w:szCs w:val="24"/>
          <w:lang w:val="es-ES"/>
        </w:rPr>
        <w:t>, Buenos Aires: Prometeo.</w:t>
      </w:r>
    </w:p>
    <w:p w14:paraId="10472F49" w14:textId="77777777" w:rsidR="00E20E04" w:rsidRPr="00CF177C" w:rsidRDefault="00E20E04" w:rsidP="00E20E04">
      <w:pPr>
        <w:pStyle w:val="NormalWeb"/>
        <w:shd w:val="clear" w:color="auto" w:fill="FFFFFF"/>
        <w:spacing w:before="120" w:beforeAutospacing="0" w:after="120" w:afterAutospacing="0"/>
        <w:ind w:left="426" w:hanging="426"/>
        <w:jc w:val="both"/>
        <w:rPr>
          <w:rFonts w:ascii="Times New Roman" w:hAnsi="Times New Roman"/>
          <w:sz w:val="24"/>
          <w:szCs w:val="24"/>
        </w:rPr>
      </w:pPr>
      <w:r w:rsidRPr="00CF177C">
        <w:rPr>
          <w:rFonts w:ascii="Times New Roman" w:hAnsi="Times New Roman"/>
          <w:sz w:val="24"/>
          <w:szCs w:val="24"/>
        </w:rPr>
        <w:t xml:space="preserve">Pérez-Sáinz, J. P. (2016). </w:t>
      </w:r>
      <w:r w:rsidRPr="00CF177C">
        <w:rPr>
          <w:rFonts w:ascii="Times New Roman" w:hAnsi="Times New Roman"/>
          <w:i/>
          <w:sz w:val="24"/>
          <w:szCs w:val="24"/>
        </w:rPr>
        <w:t>Una historia de la desigualdad en América Latina</w:t>
      </w:r>
      <w:r w:rsidRPr="00CF177C">
        <w:rPr>
          <w:rFonts w:ascii="Times New Roman" w:hAnsi="Times New Roman"/>
          <w:sz w:val="24"/>
          <w:szCs w:val="24"/>
        </w:rPr>
        <w:t>, Buenos Aires: Siglo XXI Editores.</w:t>
      </w:r>
    </w:p>
    <w:p w14:paraId="15EDC66F" w14:textId="77777777" w:rsidR="00E20E04" w:rsidRPr="00CF177C" w:rsidRDefault="00E20E04" w:rsidP="00E20E04">
      <w:pPr>
        <w:pStyle w:val="Sinespaciado"/>
        <w:spacing w:before="120" w:after="120"/>
        <w:ind w:left="426" w:hanging="426"/>
        <w:jc w:val="both"/>
        <w:rPr>
          <w:rFonts w:ascii="Times New Roman" w:hAnsi="Times New Roman"/>
          <w:sz w:val="24"/>
          <w:szCs w:val="24"/>
        </w:rPr>
      </w:pPr>
      <w:r w:rsidRPr="00CF177C">
        <w:rPr>
          <w:rFonts w:ascii="Times New Roman" w:hAnsi="Times New Roman"/>
          <w:sz w:val="24"/>
          <w:szCs w:val="24"/>
        </w:rPr>
        <w:lastRenderedPageBreak/>
        <w:t xml:space="preserve">Perry, G., Maloney, W., Arias, O., López, H. y </w:t>
      </w:r>
      <w:proofErr w:type="spellStart"/>
      <w:r w:rsidRPr="00CF177C">
        <w:rPr>
          <w:rFonts w:ascii="Times New Roman" w:hAnsi="Times New Roman"/>
          <w:sz w:val="24"/>
          <w:szCs w:val="24"/>
        </w:rPr>
        <w:t>Servén</w:t>
      </w:r>
      <w:proofErr w:type="spellEnd"/>
      <w:r w:rsidRPr="00CF177C">
        <w:rPr>
          <w:rFonts w:ascii="Times New Roman" w:hAnsi="Times New Roman"/>
          <w:sz w:val="24"/>
          <w:szCs w:val="24"/>
        </w:rPr>
        <w:t xml:space="preserve">, L. (2006). </w:t>
      </w:r>
      <w:r w:rsidRPr="00CF177C">
        <w:rPr>
          <w:rFonts w:ascii="Times New Roman" w:hAnsi="Times New Roman"/>
          <w:i/>
          <w:sz w:val="24"/>
          <w:szCs w:val="24"/>
        </w:rPr>
        <w:t>Reducción de la pobreza y crecimiento: Círculos virtuosos y círculos viciosos</w:t>
      </w:r>
      <w:r w:rsidRPr="00CF177C">
        <w:rPr>
          <w:rFonts w:ascii="Times New Roman" w:hAnsi="Times New Roman"/>
          <w:sz w:val="24"/>
          <w:szCs w:val="24"/>
        </w:rPr>
        <w:t>. Bogotá: Banco Mundial.</w:t>
      </w:r>
    </w:p>
    <w:p w14:paraId="5DE24BAA" w14:textId="77777777" w:rsidR="00E20E04" w:rsidRPr="00CF177C" w:rsidRDefault="00E20E04" w:rsidP="00E20E04">
      <w:pPr>
        <w:spacing w:before="120" w:after="120" w:line="240" w:lineRule="auto"/>
        <w:ind w:left="426" w:hanging="426"/>
        <w:jc w:val="both"/>
        <w:rPr>
          <w:rFonts w:ascii="Times New Roman" w:hAnsi="Times New Roman" w:cs="Times New Roman"/>
          <w:szCs w:val="24"/>
          <w:lang w:val="es-ES_tradnl"/>
        </w:rPr>
      </w:pPr>
      <w:r w:rsidRPr="00CF177C">
        <w:rPr>
          <w:rFonts w:ascii="Times New Roman" w:hAnsi="Times New Roman" w:cs="Times New Roman"/>
          <w:szCs w:val="24"/>
        </w:rPr>
        <w:t xml:space="preserve">Salvia, A. (2012). </w:t>
      </w:r>
      <w:r w:rsidRPr="00CF177C">
        <w:rPr>
          <w:rFonts w:ascii="Times New Roman" w:hAnsi="Times New Roman" w:cs="Times New Roman"/>
          <w:i/>
          <w:szCs w:val="24"/>
          <w:lang w:val="es-ES_tradnl"/>
        </w:rPr>
        <w:t>La trampa neoliberal. Un estudio sobre los cambios en la heterogeneidad estructural y la distribución del ingreso en la Argentina: 1990-2003</w:t>
      </w:r>
      <w:r w:rsidRPr="00CF177C">
        <w:rPr>
          <w:rFonts w:ascii="Times New Roman" w:hAnsi="Times New Roman" w:cs="Times New Roman"/>
          <w:szCs w:val="24"/>
          <w:lang w:val="es-ES_tradnl"/>
        </w:rPr>
        <w:t xml:space="preserve">. Buenos Aires: Eudeba. </w:t>
      </w:r>
    </w:p>
    <w:p w14:paraId="4D7DB391" w14:textId="77777777" w:rsidR="00E20E04" w:rsidRPr="00CF177C" w:rsidRDefault="00E20E04" w:rsidP="00E20E04">
      <w:pPr>
        <w:pStyle w:val="NormalWeb"/>
        <w:shd w:val="clear" w:color="auto" w:fill="FFFFFF"/>
        <w:spacing w:before="120" w:beforeAutospacing="0" w:after="120" w:afterAutospacing="0"/>
        <w:ind w:left="426" w:hanging="426"/>
        <w:jc w:val="both"/>
        <w:rPr>
          <w:rFonts w:ascii="Times New Roman" w:hAnsi="Times New Roman"/>
          <w:sz w:val="24"/>
          <w:szCs w:val="24"/>
        </w:rPr>
      </w:pPr>
      <w:r w:rsidRPr="00CF177C">
        <w:rPr>
          <w:rFonts w:ascii="Times New Roman" w:hAnsi="Times New Roman"/>
          <w:sz w:val="24"/>
          <w:szCs w:val="24"/>
        </w:rPr>
        <w:t xml:space="preserve">Salvia, A., Poy, S. y Vera, J. (2017). “Política social y desigualdad en la región del Gran Buenos Aires, Argentina, 1992-2012”, </w:t>
      </w:r>
      <w:r w:rsidRPr="00CF177C">
        <w:rPr>
          <w:rFonts w:ascii="Times New Roman" w:hAnsi="Times New Roman"/>
          <w:i/>
          <w:sz w:val="24"/>
          <w:szCs w:val="24"/>
        </w:rPr>
        <w:t>Papeles de Población</w:t>
      </w:r>
      <w:r w:rsidRPr="00CF177C">
        <w:rPr>
          <w:rFonts w:ascii="Times New Roman" w:hAnsi="Times New Roman"/>
          <w:sz w:val="24"/>
          <w:szCs w:val="24"/>
        </w:rPr>
        <w:t>, 23, pp. 223-259.</w:t>
      </w:r>
    </w:p>
    <w:p w14:paraId="6A5E9059" w14:textId="77777777" w:rsidR="00E20E04" w:rsidRPr="00CF177C" w:rsidRDefault="00E20E04" w:rsidP="00E20E04">
      <w:pPr>
        <w:pStyle w:val="NormalWeb"/>
        <w:shd w:val="clear" w:color="auto" w:fill="FFFFFF"/>
        <w:spacing w:before="120" w:beforeAutospacing="0" w:after="120" w:afterAutospacing="0"/>
        <w:ind w:left="426" w:hanging="426"/>
        <w:jc w:val="both"/>
        <w:rPr>
          <w:rFonts w:ascii="Times New Roman" w:hAnsi="Times New Roman"/>
          <w:sz w:val="24"/>
          <w:szCs w:val="24"/>
        </w:rPr>
      </w:pPr>
      <w:r w:rsidRPr="00CF177C">
        <w:rPr>
          <w:rFonts w:ascii="Times New Roman" w:hAnsi="Times New Roman"/>
          <w:sz w:val="24"/>
          <w:szCs w:val="24"/>
        </w:rPr>
        <w:t>Salvia, A., Poy, S. y Vera, J. (2018). “Políticas sociales, pobreza y bienestar. Argentina: análisis comparado de distintos regímenes socioeconómicos (1992-2012)”, en F. Cortés (</w:t>
      </w:r>
      <w:proofErr w:type="spellStart"/>
      <w:r w:rsidRPr="00CF177C">
        <w:rPr>
          <w:rFonts w:ascii="Times New Roman" w:hAnsi="Times New Roman"/>
          <w:sz w:val="24"/>
          <w:szCs w:val="24"/>
        </w:rPr>
        <w:t>comp.</w:t>
      </w:r>
      <w:proofErr w:type="spellEnd"/>
      <w:r w:rsidRPr="00CF177C">
        <w:rPr>
          <w:rFonts w:ascii="Times New Roman" w:hAnsi="Times New Roman"/>
          <w:sz w:val="24"/>
          <w:szCs w:val="24"/>
        </w:rPr>
        <w:t xml:space="preserve">) </w:t>
      </w:r>
      <w:r w:rsidRPr="00CF177C">
        <w:rPr>
          <w:rFonts w:ascii="Times New Roman" w:hAnsi="Times New Roman"/>
          <w:i/>
          <w:sz w:val="24"/>
          <w:szCs w:val="24"/>
        </w:rPr>
        <w:t>Temas de política social de México y América Latina</w:t>
      </w:r>
      <w:r w:rsidRPr="00CF177C">
        <w:rPr>
          <w:rFonts w:ascii="Times New Roman" w:hAnsi="Times New Roman"/>
          <w:sz w:val="24"/>
          <w:szCs w:val="24"/>
        </w:rPr>
        <w:t>, México D.F.: COLMEX-UNAM.</w:t>
      </w:r>
    </w:p>
    <w:p w14:paraId="48D49BE5" w14:textId="77777777" w:rsidR="00E20E04" w:rsidRPr="00CF177C" w:rsidRDefault="00E20E04" w:rsidP="00E20E04">
      <w:pPr>
        <w:widowControl w:val="0"/>
        <w:autoSpaceDE w:val="0"/>
        <w:autoSpaceDN w:val="0"/>
        <w:adjustRightInd w:val="0"/>
        <w:spacing w:before="120" w:after="120" w:line="240" w:lineRule="auto"/>
        <w:ind w:left="426" w:hanging="426"/>
        <w:jc w:val="both"/>
        <w:rPr>
          <w:rFonts w:ascii="Times New Roman" w:hAnsi="Times New Roman" w:cs="Times New Roman"/>
          <w:bCs/>
          <w:color w:val="000000"/>
          <w:szCs w:val="24"/>
        </w:rPr>
      </w:pPr>
      <w:r w:rsidRPr="00CF177C">
        <w:rPr>
          <w:rFonts w:ascii="Times New Roman" w:hAnsi="Times New Roman" w:cs="Times New Roman"/>
          <w:bCs/>
          <w:color w:val="000000"/>
          <w:szCs w:val="24"/>
        </w:rPr>
        <w:t>Salvia, A., Tuñón, I. y Poy, S. (2015). “Asignación Universal por Hijo para Protección Social: impacto sobre el bienestar económico y el desarrollo humano de la infancia”</w:t>
      </w:r>
      <w:r w:rsidRPr="00CF177C">
        <w:rPr>
          <w:rFonts w:ascii="Times New Roman" w:hAnsi="Times New Roman" w:cs="Times New Roman"/>
          <w:bCs/>
          <w:i/>
          <w:color w:val="000000"/>
          <w:szCs w:val="24"/>
        </w:rPr>
        <w:t xml:space="preserve"> Revista Población &amp; Sociedad</w:t>
      </w:r>
      <w:r w:rsidRPr="00CF177C">
        <w:rPr>
          <w:rFonts w:ascii="Times New Roman" w:hAnsi="Times New Roman" w:cs="Times New Roman"/>
          <w:bCs/>
          <w:color w:val="000000"/>
          <w:szCs w:val="24"/>
        </w:rPr>
        <w:t>, 22 (2), pp. 101-134.</w:t>
      </w:r>
    </w:p>
    <w:p w14:paraId="1F6D79CF" w14:textId="77777777" w:rsidR="00E20E04" w:rsidRPr="00CF177C" w:rsidRDefault="00E20E04" w:rsidP="00E20E04">
      <w:pPr>
        <w:widowControl w:val="0"/>
        <w:autoSpaceDE w:val="0"/>
        <w:autoSpaceDN w:val="0"/>
        <w:adjustRightInd w:val="0"/>
        <w:spacing w:before="120" w:after="120" w:line="240" w:lineRule="auto"/>
        <w:ind w:left="426" w:hanging="426"/>
        <w:jc w:val="both"/>
        <w:rPr>
          <w:rFonts w:ascii="Times New Roman" w:hAnsi="Times New Roman" w:cs="Times New Roman"/>
          <w:szCs w:val="24"/>
        </w:rPr>
      </w:pPr>
      <w:r w:rsidRPr="00CF177C">
        <w:rPr>
          <w:rFonts w:ascii="Times New Roman" w:hAnsi="Times New Roman" w:cs="Times New Roman"/>
          <w:szCs w:val="24"/>
        </w:rPr>
        <w:t xml:space="preserve">Salvia, A., Vera, J. y Poy S. (2015). “Cambios y continuidades en la estructura ocupacional urbana argentina”. En J. </w:t>
      </w:r>
      <w:proofErr w:type="spellStart"/>
      <w:r w:rsidRPr="00CF177C">
        <w:rPr>
          <w:rFonts w:ascii="Times New Roman" w:hAnsi="Times New Roman" w:cs="Times New Roman"/>
          <w:szCs w:val="24"/>
        </w:rPr>
        <w:t>Lindenboim</w:t>
      </w:r>
      <w:proofErr w:type="spellEnd"/>
      <w:r w:rsidRPr="00CF177C">
        <w:rPr>
          <w:rFonts w:ascii="Times New Roman" w:hAnsi="Times New Roman" w:cs="Times New Roman"/>
          <w:szCs w:val="24"/>
        </w:rPr>
        <w:t xml:space="preserve"> y A. Salvia (</w:t>
      </w:r>
      <w:proofErr w:type="spellStart"/>
      <w:r w:rsidRPr="00CF177C">
        <w:rPr>
          <w:rFonts w:ascii="Times New Roman" w:hAnsi="Times New Roman" w:cs="Times New Roman"/>
          <w:szCs w:val="24"/>
        </w:rPr>
        <w:t>coords</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Hora de balance: proceso de acumulación, mercado de trabajo y bienestar. Argentina 2002-2014.</w:t>
      </w:r>
      <w:r w:rsidRPr="00CF177C">
        <w:rPr>
          <w:rFonts w:ascii="Times New Roman" w:hAnsi="Times New Roman" w:cs="Times New Roman"/>
          <w:szCs w:val="24"/>
        </w:rPr>
        <w:t xml:space="preserve"> Buenos Aires, Eudeba.</w:t>
      </w:r>
    </w:p>
    <w:p w14:paraId="45E6B6F7" w14:textId="77777777" w:rsidR="00E20E04" w:rsidRPr="00E20E04" w:rsidRDefault="00E20E04" w:rsidP="00E20E04">
      <w:pPr>
        <w:spacing w:before="120" w:after="120" w:line="240" w:lineRule="auto"/>
        <w:ind w:left="426" w:hanging="426"/>
        <w:jc w:val="both"/>
        <w:rPr>
          <w:rFonts w:ascii="Times New Roman" w:hAnsi="Times New Roman" w:cs="Times New Roman"/>
          <w:szCs w:val="24"/>
        </w:rPr>
      </w:pPr>
      <w:proofErr w:type="spellStart"/>
      <w:r w:rsidRPr="00CF177C">
        <w:rPr>
          <w:rFonts w:ascii="Times New Roman" w:hAnsi="Times New Roman" w:cs="Times New Roman"/>
          <w:szCs w:val="24"/>
        </w:rPr>
        <w:t>Soldano</w:t>
      </w:r>
      <w:proofErr w:type="spellEnd"/>
      <w:r w:rsidRPr="00CF177C">
        <w:rPr>
          <w:rFonts w:ascii="Times New Roman" w:hAnsi="Times New Roman" w:cs="Times New Roman"/>
          <w:szCs w:val="24"/>
        </w:rPr>
        <w:t xml:space="preserve">, D y </w:t>
      </w:r>
      <w:proofErr w:type="spellStart"/>
      <w:r w:rsidRPr="00CF177C">
        <w:rPr>
          <w:rFonts w:ascii="Times New Roman" w:hAnsi="Times New Roman" w:cs="Times New Roman"/>
          <w:szCs w:val="24"/>
        </w:rPr>
        <w:t>Andrenacci</w:t>
      </w:r>
      <w:proofErr w:type="spellEnd"/>
      <w:r w:rsidRPr="00CF177C">
        <w:rPr>
          <w:rFonts w:ascii="Times New Roman" w:hAnsi="Times New Roman" w:cs="Times New Roman"/>
          <w:szCs w:val="24"/>
        </w:rPr>
        <w:t xml:space="preserve">, L. (2005). “Aproximación a las teorías de la política social a partir del caso argentino”, en: L. </w:t>
      </w:r>
      <w:proofErr w:type="spellStart"/>
      <w:r w:rsidRPr="00CF177C">
        <w:rPr>
          <w:rFonts w:ascii="Times New Roman" w:hAnsi="Times New Roman" w:cs="Times New Roman"/>
          <w:szCs w:val="24"/>
        </w:rPr>
        <w:t>Andrenacci</w:t>
      </w:r>
      <w:proofErr w:type="spellEnd"/>
      <w:r w:rsidRPr="00CF177C">
        <w:rPr>
          <w:rFonts w:ascii="Times New Roman" w:hAnsi="Times New Roman" w:cs="Times New Roman"/>
          <w:szCs w:val="24"/>
        </w:rPr>
        <w:t xml:space="preserve"> (</w:t>
      </w:r>
      <w:proofErr w:type="spellStart"/>
      <w:r w:rsidRPr="00CF177C">
        <w:rPr>
          <w:rFonts w:ascii="Times New Roman" w:hAnsi="Times New Roman" w:cs="Times New Roman"/>
          <w:szCs w:val="24"/>
        </w:rPr>
        <w:t>comp.</w:t>
      </w:r>
      <w:proofErr w:type="spellEnd"/>
      <w:r w:rsidRPr="00CF177C">
        <w:rPr>
          <w:rFonts w:ascii="Times New Roman" w:hAnsi="Times New Roman" w:cs="Times New Roman"/>
          <w:szCs w:val="24"/>
        </w:rPr>
        <w:t xml:space="preserve">) </w:t>
      </w:r>
      <w:r w:rsidRPr="00CF177C">
        <w:rPr>
          <w:rFonts w:ascii="Times New Roman" w:hAnsi="Times New Roman" w:cs="Times New Roman"/>
          <w:i/>
          <w:szCs w:val="24"/>
        </w:rPr>
        <w:t>Problemas de política social en la Argentina contemporánea</w:t>
      </w:r>
      <w:r w:rsidRPr="00CF177C">
        <w:rPr>
          <w:rFonts w:ascii="Times New Roman" w:hAnsi="Times New Roman" w:cs="Times New Roman"/>
          <w:szCs w:val="24"/>
        </w:rPr>
        <w:t>, Buenos Aires: UNGS-Prometeo.</w:t>
      </w:r>
      <w:r w:rsidRPr="00E20E04">
        <w:rPr>
          <w:rFonts w:ascii="Times New Roman" w:hAnsi="Times New Roman" w:cs="Times New Roman"/>
          <w:szCs w:val="24"/>
        </w:rPr>
        <w:t xml:space="preserve"> </w:t>
      </w:r>
    </w:p>
    <w:p w14:paraId="3F06077C" w14:textId="77777777" w:rsidR="0058538A" w:rsidRPr="00E20E04" w:rsidRDefault="0058538A" w:rsidP="00710282">
      <w:pPr>
        <w:pStyle w:val="NormalWeb"/>
        <w:shd w:val="clear" w:color="auto" w:fill="FFFFFF"/>
        <w:spacing w:before="0" w:beforeAutospacing="0" w:after="120" w:afterAutospacing="0" w:line="360" w:lineRule="auto"/>
        <w:jc w:val="both"/>
        <w:rPr>
          <w:rFonts w:ascii="Times New Roman" w:hAnsi="Times New Roman"/>
          <w:sz w:val="24"/>
          <w:szCs w:val="24"/>
        </w:rPr>
      </w:pPr>
    </w:p>
    <w:p w14:paraId="6559ED25" w14:textId="77777777" w:rsidR="00E20E04" w:rsidRDefault="00E20E04">
      <w:pPr>
        <w:rPr>
          <w:rFonts w:ascii="Times New Roman" w:hAnsi="Times New Roman" w:cs="Times New Roman"/>
          <w:b/>
          <w:szCs w:val="24"/>
          <w:lang w:val="es-ES"/>
        </w:rPr>
      </w:pPr>
      <w:r>
        <w:rPr>
          <w:rFonts w:ascii="Times New Roman" w:hAnsi="Times New Roman" w:cs="Times New Roman"/>
          <w:b/>
          <w:szCs w:val="24"/>
          <w:lang w:val="es-ES"/>
        </w:rPr>
        <w:br w:type="page"/>
      </w:r>
    </w:p>
    <w:p w14:paraId="45EBA11F" w14:textId="77777777" w:rsidR="00735904" w:rsidRDefault="00735904" w:rsidP="00735904">
      <w:pPr>
        <w:jc w:val="center"/>
        <w:rPr>
          <w:rFonts w:ascii="Times New Roman" w:hAnsi="Times New Roman" w:cs="Times New Roman"/>
          <w:b/>
          <w:szCs w:val="24"/>
          <w:lang w:val="es-ES"/>
        </w:rPr>
      </w:pPr>
      <w:r w:rsidRPr="00710282">
        <w:rPr>
          <w:rFonts w:ascii="Times New Roman" w:hAnsi="Times New Roman" w:cs="Times New Roman"/>
          <w:b/>
          <w:szCs w:val="24"/>
          <w:lang w:val="es-ES"/>
        </w:rPr>
        <w:lastRenderedPageBreak/>
        <w:t>ANEXO: INFORMACIÓN ESTADÍSTICA SOBRE EL ANÁLISIS FACTORIAL</w:t>
      </w:r>
    </w:p>
    <w:p w14:paraId="38317816" w14:textId="32467D1E"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[FIGURA A1]</w:t>
      </w:r>
    </w:p>
    <w:p w14:paraId="466FCC24" w14:textId="120FB3BB"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A1]</w:t>
      </w:r>
    </w:p>
    <w:p w14:paraId="59FD299B" w14:textId="77B17E2A"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A2]</w:t>
      </w:r>
    </w:p>
    <w:p w14:paraId="6F420685" w14:textId="19214F11" w:rsidR="00F1487B" w:rsidRDefault="00F1487B" w:rsidP="00F1487B">
      <w:pPr>
        <w:spacing w:after="120" w:line="360" w:lineRule="auto"/>
        <w:jc w:val="center"/>
        <w:rPr>
          <w:rFonts w:ascii="Times New Roman" w:eastAsia="Calibri" w:hAnsi="Times New Roman" w:cs="Times New Roman"/>
        </w:rPr>
      </w:pPr>
      <w:r>
        <w:rPr>
          <w:rFonts w:ascii="Times New Roman" w:eastAsia="Calibri" w:hAnsi="Times New Roman" w:cs="Times New Roman"/>
        </w:rPr>
        <w:t>[CUADRO A3]</w:t>
      </w:r>
    </w:p>
    <w:p w14:paraId="200BBDB8" w14:textId="62858E2C" w:rsidR="00CF177C" w:rsidRDefault="00F1487B" w:rsidP="00F1487B">
      <w:pPr>
        <w:spacing w:after="120" w:line="360" w:lineRule="auto"/>
        <w:jc w:val="center"/>
        <w:rPr>
          <w:rFonts w:ascii="Times New Roman" w:eastAsia="Times New Roman" w:hAnsi="Times New Roman" w:cs="Times New Roman"/>
          <w:sz w:val="18"/>
          <w:szCs w:val="16"/>
          <w:lang w:eastAsia="es-AR"/>
        </w:rPr>
      </w:pPr>
      <w:r>
        <w:rPr>
          <w:rFonts w:ascii="Times New Roman" w:eastAsia="Calibri" w:hAnsi="Times New Roman" w:cs="Times New Roman"/>
        </w:rPr>
        <w:t>[CUADRO A4]</w:t>
      </w:r>
    </w:p>
    <w:p w14:paraId="7D79ECD8" w14:textId="77777777" w:rsidR="00735904" w:rsidRPr="006549DB" w:rsidRDefault="00735904" w:rsidP="006549DB">
      <w:pPr>
        <w:jc w:val="both"/>
        <w:rPr>
          <w:szCs w:val="24"/>
          <w:lang w:val="es-ES"/>
        </w:rPr>
      </w:pPr>
    </w:p>
    <w:sectPr w:rsidR="00735904" w:rsidRPr="006549DB" w:rsidSect="00F6296B">
      <w:headerReference w:type="default" r:id="rId11"/>
      <w:footerReference w:type="even" r:id="rId12"/>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21ACB" w14:textId="77777777" w:rsidR="004B2ABB" w:rsidRDefault="004B2ABB" w:rsidP="00C227A1">
      <w:pPr>
        <w:spacing w:after="0" w:line="240" w:lineRule="auto"/>
      </w:pPr>
      <w:r>
        <w:separator/>
      </w:r>
    </w:p>
  </w:endnote>
  <w:endnote w:type="continuationSeparator" w:id="0">
    <w:p w14:paraId="1182DAE2" w14:textId="77777777" w:rsidR="004B2ABB" w:rsidRDefault="004B2ABB" w:rsidP="00C2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847F" w14:textId="77777777" w:rsidR="00F16500" w:rsidRDefault="00F16500" w:rsidP="001F1BF8">
    <w:pPr>
      <w:pStyle w:val="Piedepgina"/>
      <w:framePr w:wrap="around" w:vAnchor="text" w:hAnchor="margin" w:xAlign="right" w:y="1"/>
      <w:rPr>
        <w:rStyle w:val="Nmerodepgina"/>
      </w:rPr>
    </w:pPr>
    <w:r>
      <w:rPr>
        <w:noProof/>
        <w:lang w:eastAsia="es-AR"/>
      </w:rPr>
      <w:drawing>
        <wp:inline distT="0" distB="0" distL="0" distR="0" wp14:anchorId="0F9279CD" wp14:editId="015765BF">
          <wp:extent cx="1781175" cy="847725"/>
          <wp:effectExtent l="0" t="0" r="9525" b="9525"/>
          <wp:docPr id="6" name="Imagen 6" descr="C:\Users\santiago_poy\Desktop\OD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iago_poy\Desktop\ODS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47725"/>
                  </a:xfrm>
                  <a:prstGeom prst="rect">
                    <a:avLst/>
                  </a:prstGeom>
                  <a:noFill/>
                  <a:ln>
                    <a:noFill/>
                  </a:ln>
                </pic:spPr>
              </pic:pic>
            </a:graphicData>
          </a:graphic>
        </wp:inline>
      </w:drawing>
    </w:r>
    <w:r>
      <w:rPr>
        <w:rStyle w:val="Nmerodepgina"/>
      </w:rPr>
      <w:fldChar w:fldCharType="begin"/>
    </w:r>
    <w:r>
      <w:rPr>
        <w:rStyle w:val="Nmerodepgina"/>
      </w:rPr>
      <w:instrText xml:space="preserve">PAGE  </w:instrText>
    </w:r>
    <w:r>
      <w:rPr>
        <w:rStyle w:val="Nmerodepgina"/>
      </w:rPr>
      <w:fldChar w:fldCharType="end"/>
    </w:r>
  </w:p>
  <w:p w14:paraId="1049D681" w14:textId="77777777" w:rsidR="00F16500" w:rsidRDefault="00F16500" w:rsidP="003503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10417368"/>
      <w:docPartObj>
        <w:docPartGallery w:val="Page Numbers (Bottom of Page)"/>
        <w:docPartUnique/>
      </w:docPartObj>
    </w:sdtPr>
    <w:sdtEndPr/>
    <w:sdtContent>
      <w:p w14:paraId="2E3A0566" w14:textId="6A0BDBC4" w:rsidR="00F16500" w:rsidRPr="00BD2B82" w:rsidRDefault="00F16500" w:rsidP="00BD2B82">
        <w:pPr>
          <w:pStyle w:val="Piedepgina"/>
          <w:jc w:val="center"/>
          <w:rPr>
            <w:rFonts w:ascii="Times New Roman" w:hAnsi="Times New Roman" w:cs="Times New Roman"/>
          </w:rPr>
        </w:pPr>
        <w:r>
          <w:rPr>
            <w:rFonts w:ascii="Times New Roman" w:hAnsi="Times New Roman" w:cs="Times New Roman"/>
          </w:rPr>
          <w:t>[</w:t>
        </w:r>
        <w:r w:rsidRPr="00BD2B82">
          <w:rPr>
            <w:rFonts w:ascii="Times New Roman" w:hAnsi="Times New Roman" w:cs="Times New Roman"/>
          </w:rPr>
          <w:fldChar w:fldCharType="begin"/>
        </w:r>
        <w:r w:rsidRPr="00BD2B82">
          <w:rPr>
            <w:rFonts w:ascii="Times New Roman" w:hAnsi="Times New Roman" w:cs="Times New Roman"/>
          </w:rPr>
          <w:instrText>PAGE   \* MERGEFORMAT</w:instrText>
        </w:r>
        <w:r w:rsidRPr="00BD2B82">
          <w:rPr>
            <w:rFonts w:ascii="Times New Roman" w:hAnsi="Times New Roman" w:cs="Times New Roman"/>
          </w:rPr>
          <w:fldChar w:fldCharType="separate"/>
        </w:r>
        <w:r w:rsidR="0097441D" w:rsidRPr="0097441D">
          <w:rPr>
            <w:rFonts w:ascii="Times New Roman" w:hAnsi="Times New Roman" w:cs="Times New Roman"/>
            <w:noProof/>
            <w:lang w:val="es-ES"/>
          </w:rPr>
          <w:t>1</w:t>
        </w:r>
        <w:r w:rsidRPr="00BD2B82">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7900" w14:textId="77777777" w:rsidR="004B2ABB" w:rsidRDefault="004B2ABB" w:rsidP="00C227A1">
      <w:pPr>
        <w:spacing w:after="0" w:line="240" w:lineRule="auto"/>
      </w:pPr>
      <w:r>
        <w:separator/>
      </w:r>
    </w:p>
  </w:footnote>
  <w:footnote w:type="continuationSeparator" w:id="0">
    <w:p w14:paraId="13F2DD8B" w14:textId="77777777" w:rsidR="004B2ABB" w:rsidRDefault="004B2ABB" w:rsidP="00C227A1">
      <w:pPr>
        <w:spacing w:after="0" w:line="240" w:lineRule="auto"/>
      </w:pPr>
      <w:r>
        <w:continuationSeparator/>
      </w:r>
    </w:p>
  </w:footnote>
  <w:footnote w:id="1">
    <w:p w14:paraId="10E713AD" w14:textId="77777777" w:rsidR="00F16500" w:rsidRPr="0063529B" w:rsidRDefault="00F16500" w:rsidP="0063529B">
      <w:pPr>
        <w:pStyle w:val="Textonotapie"/>
        <w:spacing w:before="120" w:after="120"/>
        <w:jc w:val="both"/>
        <w:rPr>
          <w:rFonts w:ascii="Times New Roman" w:hAnsi="Times New Roman" w:cs="Times New Roman"/>
          <w:szCs w:val="18"/>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Una versión anterior de este artículo se publicó como Documento de Trabajo del Observatorio de la Deuda Social Argentina.</w:t>
      </w:r>
    </w:p>
  </w:footnote>
  <w:footnote w:id="2">
    <w:p w14:paraId="0BEA8BAD" w14:textId="77777777" w:rsidR="00F16500" w:rsidRPr="0063529B" w:rsidRDefault="00F16500" w:rsidP="0063529B">
      <w:pPr>
        <w:pStyle w:val="Textonotapie"/>
        <w:spacing w:before="120" w:after="120"/>
        <w:jc w:val="both"/>
        <w:rPr>
          <w:rFonts w:ascii="Times New Roman" w:hAnsi="Times New Roman" w:cs="Times New Roman"/>
          <w:szCs w:val="18"/>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Es una preocupación de los autores la utilización de un lenguaje que no discrimine a varones y a mujeres. Sin embargo, con el propósito de evitar reiteraciones que dificulten la lectura, en adelante se emplea el masculino genérico clásico, teniendo presente que con ello se remite a todos/as los niños/as y adolescentes.</w:t>
      </w:r>
    </w:p>
  </w:footnote>
  <w:footnote w:id="3">
    <w:p w14:paraId="3FFD10D3" w14:textId="77777777" w:rsidR="00F16500" w:rsidRPr="0063529B" w:rsidRDefault="00F16500" w:rsidP="002E6CE5">
      <w:pPr>
        <w:pStyle w:val="Textonotapie"/>
        <w:spacing w:before="120" w:after="120"/>
        <w:jc w:val="both"/>
        <w:rPr>
          <w:rFonts w:ascii="Times New Roman" w:hAnsi="Times New Roman" w:cs="Times New Roman"/>
          <w:szCs w:val="18"/>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w:t>
      </w:r>
      <w:r>
        <w:rPr>
          <w:rFonts w:ascii="Times New Roman" w:hAnsi="Times New Roman" w:cs="Times New Roman"/>
          <w:szCs w:val="18"/>
        </w:rPr>
        <w:t>En 2016, el gobierno argentino y el Banco Mundial acordaron un préstamo destinado a ampliar la cobertura de la AUH para alcanzar a los niños y adolescentes excluidos de la cobertura. De acuerdo con un reciente estudio (</w:t>
      </w:r>
      <w:proofErr w:type="spellStart"/>
      <w:r>
        <w:rPr>
          <w:rFonts w:ascii="Times New Roman" w:hAnsi="Times New Roman" w:cs="Times New Roman"/>
          <w:szCs w:val="18"/>
        </w:rPr>
        <w:t>Cetrángolo</w:t>
      </w:r>
      <w:proofErr w:type="spellEnd"/>
      <w:r>
        <w:rPr>
          <w:rFonts w:ascii="Times New Roman" w:hAnsi="Times New Roman" w:cs="Times New Roman"/>
          <w:szCs w:val="18"/>
        </w:rPr>
        <w:t xml:space="preserve"> y </w:t>
      </w:r>
      <w:proofErr w:type="spellStart"/>
      <w:r>
        <w:rPr>
          <w:rFonts w:ascii="Times New Roman" w:hAnsi="Times New Roman" w:cs="Times New Roman"/>
          <w:szCs w:val="18"/>
        </w:rPr>
        <w:t>Curcio</w:t>
      </w:r>
      <w:proofErr w:type="spellEnd"/>
      <w:r>
        <w:rPr>
          <w:rFonts w:ascii="Times New Roman" w:hAnsi="Times New Roman" w:cs="Times New Roman"/>
          <w:szCs w:val="18"/>
        </w:rPr>
        <w:t>, 2017)</w:t>
      </w:r>
      <w:r w:rsidRPr="002E6CE5">
        <w:t xml:space="preserve"> </w:t>
      </w:r>
      <w:r w:rsidRPr="002E6CE5">
        <w:rPr>
          <w:rFonts w:ascii="Times New Roman" w:hAnsi="Times New Roman" w:cs="Times New Roman"/>
          <w:szCs w:val="18"/>
        </w:rPr>
        <w:t>en 2016 más de 1,6 millones de niños y adolescentes no se encontraban cubiertos por ningún sistema de protección. Dentro de este conjunto, se desconocían las razones de la exclusión de 1,1 millones de niños (</w:t>
      </w:r>
      <w:proofErr w:type="spellStart"/>
      <w:r>
        <w:rPr>
          <w:rFonts w:ascii="Times New Roman" w:hAnsi="Times New Roman" w:cs="Times New Roman"/>
          <w:szCs w:val="18"/>
        </w:rPr>
        <w:t>Cetrángolo</w:t>
      </w:r>
      <w:proofErr w:type="spellEnd"/>
      <w:r>
        <w:rPr>
          <w:rFonts w:ascii="Times New Roman" w:hAnsi="Times New Roman" w:cs="Times New Roman"/>
          <w:szCs w:val="18"/>
        </w:rPr>
        <w:t xml:space="preserve"> y </w:t>
      </w:r>
      <w:proofErr w:type="spellStart"/>
      <w:r>
        <w:rPr>
          <w:rFonts w:ascii="Times New Roman" w:hAnsi="Times New Roman" w:cs="Times New Roman"/>
          <w:szCs w:val="18"/>
        </w:rPr>
        <w:t>Curcio</w:t>
      </w:r>
      <w:proofErr w:type="spellEnd"/>
      <w:r w:rsidRPr="002E6CE5">
        <w:rPr>
          <w:rFonts w:ascii="Times New Roman" w:hAnsi="Times New Roman" w:cs="Times New Roman"/>
          <w:szCs w:val="18"/>
        </w:rPr>
        <w:t>, 2017: 24)</w:t>
      </w:r>
      <w:r>
        <w:rPr>
          <w:rFonts w:ascii="Times New Roman" w:hAnsi="Times New Roman" w:cs="Times New Roman"/>
          <w:szCs w:val="18"/>
        </w:rPr>
        <w:t xml:space="preserve">. </w:t>
      </w:r>
      <w:r w:rsidRPr="002E6CE5">
        <w:rPr>
          <w:rFonts w:ascii="Times New Roman" w:hAnsi="Times New Roman" w:cs="Times New Roman"/>
          <w:szCs w:val="18"/>
        </w:rPr>
        <w:t>Según estudios cualitativos</w:t>
      </w:r>
      <w:r>
        <w:rPr>
          <w:rFonts w:ascii="Times New Roman" w:hAnsi="Times New Roman" w:cs="Times New Roman"/>
          <w:szCs w:val="18"/>
        </w:rPr>
        <w:t>,</w:t>
      </w:r>
      <w:r w:rsidRPr="002E6CE5">
        <w:rPr>
          <w:rFonts w:ascii="Times New Roman" w:hAnsi="Times New Roman" w:cs="Times New Roman"/>
          <w:szCs w:val="18"/>
        </w:rPr>
        <w:t xml:space="preserve"> se trataría de poblaciones que enfrentan restricciones asociadas al cumplimiento de las condicionalidades del programa, que carecen de información adecuada sobre el acceso o las incompatibilidades, o no disponen de la documentación necesaria</w:t>
      </w:r>
      <w:r>
        <w:rPr>
          <w:rFonts w:ascii="Times New Roman" w:hAnsi="Times New Roman" w:cs="Times New Roman"/>
          <w:szCs w:val="18"/>
        </w:rPr>
        <w:t xml:space="preserve"> </w:t>
      </w:r>
      <w:r w:rsidRPr="002E6CE5">
        <w:rPr>
          <w:rFonts w:ascii="Times New Roman" w:hAnsi="Times New Roman" w:cs="Times New Roman"/>
          <w:szCs w:val="18"/>
        </w:rPr>
        <w:t>(</w:t>
      </w:r>
      <w:proofErr w:type="spellStart"/>
      <w:r w:rsidRPr="002E6CE5">
        <w:rPr>
          <w:rFonts w:ascii="Times New Roman" w:hAnsi="Times New Roman" w:cs="Times New Roman"/>
          <w:szCs w:val="18"/>
        </w:rPr>
        <w:t>Dávolos</w:t>
      </w:r>
      <w:proofErr w:type="spellEnd"/>
      <w:r w:rsidRPr="002E6CE5">
        <w:rPr>
          <w:rFonts w:ascii="Times New Roman" w:hAnsi="Times New Roman" w:cs="Times New Roman"/>
          <w:szCs w:val="18"/>
        </w:rPr>
        <w:t xml:space="preserve"> y Beccaria, 2017).</w:t>
      </w:r>
    </w:p>
  </w:footnote>
  <w:footnote w:id="4">
    <w:p w14:paraId="6A7B4DD9" w14:textId="77777777" w:rsidR="00F16500" w:rsidRPr="0063529B" w:rsidRDefault="00F16500" w:rsidP="0063529B">
      <w:pPr>
        <w:pStyle w:val="Textonotapie"/>
        <w:spacing w:before="120" w:after="120"/>
        <w:jc w:val="both"/>
        <w:rPr>
          <w:rFonts w:ascii="Times New Roman" w:hAnsi="Times New Roman" w:cs="Times New Roman"/>
          <w:szCs w:val="18"/>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Podrían incluirse también aquellos antecedentes que abordan los efectos de la AUH sobre el paradigma que organiza la política social argentina (</w:t>
      </w:r>
      <w:proofErr w:type="spellStart"/>
      <w:r w:rsidRPr="0063529B">
        <w:rPr>
          <w:rFonts w:ascii="Times New Roman" w:hAnsi="Times New Roman" w:cs="Times New Roman"/>
          <w:szCs w:val="18"/>
        </w:rPr>
        <w:t>Hintze</w:t>
      </w:r>
      <w:proofErr w:type="spellEnd"/>
      <w:r w:rsidRPr="0063529B">
        <w:rPr>
          <w:rFonts w:ascii="Times New Roman" w:hAnsi="Times New Roman" w:cs="Times New Roman"/>
          <w:szCs w:val="18"/>
        </w:rPr>
        <w:t xml:space="preserve"> y Costa, 2014; </w:t>
      </w:r>
      <w:proofErr w:type="spellStart"/>
      <w:r w:rsidRPr="0063529B">
        <w:rPr>
          <w:rFonts w:ascii="Times New Roman" w:hAnsi="Times New Roman" w:cs="Times New Roman"/>
          <w:szCs w:val="18"/>
        </w:rPr>
        <w:t>Mazzola</w:t>
      </w:r>
      <w:proofErr w:type="spellEnd"/>
      <w:r w:rsidRPr="0063529B">
        <w:rPr>
          <w:rFonts w:ascii="Times New Roman" w:hAnsi="Times New Roman" w:cs="Times New Roman"/>
          <w:szCs w:val="18"/>
        </w:rPr>
        <w:t>, 2014) así como una amplia bibliografía que, a partir de trabajo de campo cualitativo, examina distintas aristas de la política.</w:t>
      </w:r>
    </w:p>
  </w:footnote>
  <w:footnote w:id="5">
    <w:p w14:paraId="1766623D" w14:textId="77777777" w:rsidR="00F16500" w:rsidRPr="0063529B" w:rsidRDefault="00F16500" w:rsidP="0063529B">
      <w:pPr>
        <w:pStyle w:val="Textonotapie"/>
        <w:spacing w:before="120" w:after="120"/>
        <w:jc w:val="both"/>
        <w:rPr>
          <w:rFonts w:ascii="Times New Roman" w:hAnsi="Times New Roman" w:cs="Times New Roman"/>
          <w:szCs w:val="18"/>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Los aglomerados urbanos relevados son los siguientes: Área Metropolitana del Gran Buenos Aires, Gran Córdoba, Gran Rosario, Gran Mendoza y San Rafael, Gran Salta, Gran Tucumán y Tafí Viejo, Mar del Plata, Gran Paraná, Gran San Juan, Gran Resistencia, Neuquén-Plottier, Zárate, Goya, La Rioja, Comodoro Rivadavia, Ushuaia y Río Grande. Se trata de una muestra probabilística polietápica estratificada de 5700 hogares en 950 puntos muestrales en ciudades de 80.000 habitantes y más. Se puede acceder tanto a los cuestionarios como a información metodológica adicional en: &lt;</w:t>
      </w:r>
      <w:r w:rsidRPr="0063529B">
        <w:rPr>
          <w:rFonts w:ascii="Times New Roman" w:hAnsi="Times New Roman" w:cs="Times New Roman"/>
          <w:szCs w:val="18"/>
          <w:u w:val="single"/>
        </w:rPr>
        <w:t>www.uca.edu.ar/observatorio</w:t>
      </w:r>
      <w:r w:rsidRPr="0063529B">
        <w:rPr>
          <w:rFonts w:ascii="Times New Roman" w:hAnsi="Times New Roman" w:cs="Times New Roman"/>
          <w:szCs w:val="18"/>
        </w:rPr>
        <w:t>&gt;.</w:t>
      </w:r>
    </w:p>
  </w:footnote>
  <w:footnote w:id="6">
    <w:p w14:paraId="4DD380EC" w14:textId="77777777" w:rsidR="00F16500" w:rsidRPr="0063529B" w:rsidRDefault="00F16500" w:rsidP="0063529B">
      <w:pPr>
        <w:pStyle w:val="Textonotapie"/>
        <w:spacing w:before="120" w:after="120"/>
        <w:jc w:val="both"/>
        <w:rPr>
          <w:rFonts w:ascii="Times New Roman" w:hAnsi="Times New Roman" w:cs="Times New Roman"/>
          <w:szCs w:val="18"/>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La heterogeneidad estructural remite a la existencia de brechas ostensibles de productividad en los sistemas económicos de países periféricos. Se traduce en mercados de trabajo segmentados y, por lo tanto, en desigualdades con respecto a la protección social. Distintos estudios han mostrado su persistencia a lo largo del tiempo en la Argentina y sus consecuencias en términos del mercado de trabajo (Salvia, Vera y Poy, 2015).</w:t>
      </w:r>
    </w:p>
  </w:footnote>
  <w:footnote w:id="7">
    <w:p w14:paraId="4605B181" w14:textId="77777777" w:rsidR="00F16500" w:rsidRPr="0063529B" w:rsidRDefault="00F16500" w:rsidP="0063529B">
      <w:pPr>
        <w:pStyle w:val="Textonotapie"/>
        <w:spacing w:before="120" w:after="120"/>
        <w:jc w:val="both"/>
        <w:rPr>
          <w:rFonts w:ascii="Times New Roman" w:hAnsi="Times New Roman" w:cs="Times New Roman"/>
          <w:szCs w:val="18"/>
          <w:highlight w:val="yellow"/>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Como señala Barba Solano (200</w:t>
      </w:r>
      <w:r>
        <w:rPr>
          <w:rFonts w:ascii="Times New Roman" w:hAnsi="Times New Roman" w:cs="Times New Roman"/>
          <w:szCs w:val="18"/>
        </w:rPr>
        <w:t>7</w:t>
      </w:r>
      <w:r w:rsidRPr="0063529B">
        <w:rPr>
          <w:rFonts w:ascii="Times New Roman" w:hAnsi="Times New Roman" w:cs="Times New Roman"/>
          <w:szCs w:val="18"/>
        </w:rPr>
        <w:t>), los organismos multilaterales implementaron una “división del trabajo” en el período de reformas estructurales: mientras que el FMI encabezó la intervención macroeconómica incentivando las medidas de ajuste fiscal y reforma del Estado, el Banco Mundial y el BID promovieron la instalación de la nueva agenda social, incluyendo las modificaciones en los sistemas de pensiones y la expansión de las transferencias monetarias condicionadas.</w:t>
      </w:r>
    </w:p>
  </w:footnote>
  <w:footnote w:id="8">
    <w:p w14:paraId="63777E8C" w14:textId="77777777" w:rsidR="00F16500" w:rsidRPr="0063529B" w:rsidRDefault="00F16500" w:rsidP="00236E1D">
      <w:pPr>
        <w:pStyle w:val="NormalWeb"/>
        <w:spacing w:before="120" w:beforeAutospacing="0" w:after="120" w:afterAutospacing="0"/>
        <w:jc w:val="both"/>
        <w:rPr>
          <w:rFonts w:ascii="Times New Roman" w:hAnsi="Times New Roman"/>
          <w:iCs/>
          <w:szCs w:val="18"/>
        </w:rPr>
      </w:pPr>
      <w:r w:rsidRPr="0063529B">
        <w:rPr>
          <w:rStyle w:val="Refdenotaalpie"/>
          <w:rFonts w:ascii="Times New Roman" w:hAnsi="Times New Roman"/>
          <w:szCs w:val="18"/>
        </w:rPr>
        <w:footnoteRef/>
      </w:r>
      <w:r w:rsidRPr="0063529B">
        <w:rPr>
          <w:rFonts w:ascii="Times New Roman" w:hAnsi="Times New Roman"/>
          <w:szCs w:val="18"/>
        </w:rPr>
        <w:t xml:space="preserve"> </w:t>
      </w:r>
      <w:r>
        <w:rPr>
          <w:rFonts w:ascii="Times New Roman" w:hAnsi="Times New Roman"/>
          <w:szCs w:val="18"/>
        </w:rPr>
        <w:t>De esta forma, por motivos de diseño, el sexto hijo queda excluido de los sistemas de protección a la infancia. La AUH brinda cobertura hasta cinco hijos, y la pensión no contributiva se limita a las madres con siete o más menores a cargo.</w:t>
      </w:r>
    </w:p>
  </w:footnote>
  <w:footnote w:id="9">
    <w:p w14:paraId="7A3EB525" w14:textId="77777777" w:rsidR="00F16500" w:rsidRPr="0063529B" w:rsidRDefault="00F16500" w:rsidP="00637A3E">
      <w:pPr>
        <w:pStyle w:val="NormalWeb"/>
        <w:spacing w:before="120" w:beforeAutospacing="0" w:after="120" w:afterAutospacing="0"/>
        <w:jc w:val="both"/>
        <w:rPr>
          <w:rFonts w:ascii="Times New Roman" w:hAnsi="Times New Roman"/>
          <w:iCs/>
          <w:szCs w:val="18"/>
        </w:rPr>
      </w:pPr>
      <w:r w:rsidRPr="0063529B">
        <w:rPr>
          <w:rStyle w:val="Refdenotaalpie"/>
          <w:rFonts w:ascii="Times New Roman" w:hAnsi="Times New Roman"/>
          <w:szCs w:val="18"/>
        </w:rPr>
        <w:footnoteRef/>
      </w:r>
      <w:r w:rsidRPr="0063529B">
        <w:rPr>
          <w:rFonts w:ascii="Times New Roman" w:hAnsi="Times New Roman"/>
          <w:szCs w:val="18"/>
        </w:rPr>
        <w:t xml:space="preserve"> </w:t>
      </w:r>
      <w:r>
        <w:rPr>
          <w:rFonts w:ascii="Times New Roman" w:hAnsi="Times New Roman"/>
          <w:szCs w:val="18"/>
        </w:rPr>
        <w:t>No obstante, cabe reconocer que los montos de ingreso per cápita familiar, a partir de los cuales se construyeron los deciles, no son netos de las transferencias provenientes de los distintos sistemas.</w:t>
      </w:r>
    </w:p>
  </w:footnote>
  <w:footnote w:id="10">
    <w:p w14:paraId="52B8490C" w14:textId="77777777" w:rsidR="00F16500" w:rsidRPr="0063529B" w:rsidRDefault="00F16500" w:rsidP="001120EE">
      <w:pPr>
        <w:pStyle w:val="NormalWeb"/>
        <w:spacing w:before="120" w:beforeAutospacing="0" w:after="120" w:afterAutospacing="0"/>
        <w:jc w:val="both"/>
        <w:rPr>
          <w:rFonts w:ascii="Times New Roman" w:hAnsi="Times New Roman"/>
          <w:iCs/>
          <w:szCs w:val="18"/>
        </w:rPr>
      </w:pPr>
      <w:r w:rsidRPr="0063529B">
        <w:rPr>
          <w:rStyle w:val="Refdenotaalpie"/>
          <w:rFonts w:ascii="Times New Roman" w:hAnsi="Times New Roman"/>
          <w:szCs w:val="18"/>
        </w:rPr>
        <w:footnoteRef/>
      </w:r>
      <w:r w:rsidRPr="0063529B">
        <w:rPr>
          <w:rFonts w:ascii="Times New Roman" w:hAnsi="Times New Roman"/>
          <w:szCs w:val="18"/>
        </w:rPr>
        <w:t xml:space="preserve"> A partir del 2016, se amplió la cobertura del sistema de Asignaciones Familiares de base contributiva, el cual pasó a incluir a los hijos de los </w:t>
      </w:r>
      <w:proofErr w:type="spellStart"/>
      <w:r w:rsidRPr="0063529B">
        <w:rPr>
          <w:rFonts w:ascii="Times New Roman" w:hAnsi="Times New Roman"/>
          <w:szCs w:val="18"/>
        </w:rPr>
        <w:t>monotributistas</w:t>
      </w:r>
      <w:proofErr w:type="spellEnd"/>
      <w:r w:rsidRPr="0063529B">
        <w:rPr>
          <w:rFonts w:ascii="Times New Roman" w:hAnsi="Times New Roman"/>
          <w:szCs w:val="18"/>
        </w:rPr>
        <w:t xml:space="preserve">. Los </w:t>
      </w:r>
      <w:proofErr w:type="spellStart"/>
      <w:r w:rsidRPr="0063529B">
        <w:rPr>
          <w:rFonts w:ascii="Times New Roman" w:hAnsi="Times New Roman"/>
          <w:szCs w:val="18"/>
        </w:rPr>
        <w:t>monotributistas</w:t>
      </w:r>
      <w:proofErr w:type="spellEnd"/>
      <w:r w:rsidRPr="0063529B">
        <w:rPr>
          <w:rFonts w:ascii="Times New Roman" w:hAnsi="Times New Roman"/>
          <w:szCs w:val="18"/>
        </w:rPr>
        <w:t xml:space="preserve"> de las categorías más bajas (B a F) –entre las cuales está el 88% del total– pasan a cobrar el monto máximo de asignación familiar. Los de las categorías G, H e I cobran un monto menor, mientras que los de categorías J, K y L sólo cobran Asignación por Hijo con Discapacidad y la Ayuda Escolar Anual.</w:t>
      </w:r>
    </w:p>
  </w:footnote>
  <w:footnote w:id="11">
    <w:p w14:paraId="02D72DE6" w14:textId="77777777" w:rsidR="00F16500" w:rsidRPr="0063529B" w:rsidRDefault="00F16500" w:rsidP="0063529B">
      <w:pPr>
        <w:pStyle w:val="Textonotapie"/>
        <w:spacing w:before="120" w:after="120"/>
        <w:jc w:val="both"/>
        <w:rPr>
          <w:rFonts w:ascii="Times New Roman" w:hAnsi="Times New Roman" w:cs="Times New Roman"/>
          <w:szCs w:val="18"/>
        </w:rPr>
      </w:pPr>
      <w:r w:rsidRPr="0063529B">
        <w:rPr>
          <w:rStyle w:val="Refdenotaalpie"/>
          <w:rFonts w:ascii="Times New Roman" w:hAnsi="Times New Roman" w:cs="Times New Roman"/>
          <w:szCs w:val="18"/>
        </w:rPr>
        <w:footnoteRef/>
      </w:r>
      <w:r w:rsidRPr="0063529B">
        <w:rPr>
          <w:rFonts w:ascii="Times New Roman" w:hAnsi="Times New Roman" w:cs="Times New Roman"/>
          <w:szCs w:val="18"/>
        </w:rPr>
        <w:t xml:space="preserve"> Se utilizaron </w:t>
      </w:r>
      <w:r w:rsidRPr="0063529B">
        <w:rPr>
          <w:rFonts w:ascii="Times New Roman" w:hAnsi="Times New Roman" w:cs="Times New Roman"/>
          <w:szCs w:val="18"/>
          <w:lang w:val="es-ES_tradnl"/>
        </w:rPr>
        <w:t xml:space="preserve">modelos de regresión logística </w:t>
      </w:r>
      <w:r>
        <w:rPr>
          <w:rFonts w:ascii="Times New Roman" w:hAnsi="Times New Roman" w:cs="Times New Roman"/>
          <w:szCs w:val="18"/>
          <w:lang w:val="es-ES_tradnl"/>
        </w:rPr>
        <w:t>porque</w:t>
      </w:r>
      <w:r w:rsidRPr="0063529B">
        <w:rPr>
          <w:rFonts w:ascii="Times New Roman" w:hAnsi="Times New Roman" w:cs="Times New Roman"/>
          <w:szCs w:val="18"/>
          <w:lang w:val="es-ES_tradnl"/>
        </w:rPr>
        <w:t xml:space="preserve"> permite</w:t>
      </w:r>
      <w:r>
        <w:rPr>
          <w:rFonts w:ascii="Times New Roman" w:hAnsi="Times New Roman" w:cs="Times New Roman"/>
          <w:szCs w:val="18"/>
          <w:lang w:val="es-ES_tradnl"/>
        </w:rPr>
        <w:t>n</w:t>
      </w:r>
      <w:r w:rsidRPr="0063529B">
        <w:rPr>
          <w:rFonts w:ascii="Times New Roman" w:hAnsi="Times New Roman" w:cs="Times New Roman"/>
          <w:szCs w:val="18"/>
          <w:lang w:val="es-ES_tradnl"/>
        </w:rPr>
        <w:t xml:space="preserve"> analizar con claridad la asociación de ciertos factores con la situación de “no percepción de la AUH”, manteniendo constante el efecto de otras características.</w:t>
      </w:r>
    </w:p>
  </w:footnote>
  <w:footnote w:id="12">
    <w:p w14:paraId="1408908C" w14:textId="77777777" w:rsidR="00F16500" w:rsidRPr="0063529B" w:rsidRDefault="00F16500" w:rsidP="00F77322">
      <w:pPr>
        <w:pStyle w:val="NormalWeb"/>
        <w:spacing w:before="120" w:beforeAutospacing="0" w:after="120" w:afterAutospacing="0"/>
        <w:jc w:val="both"/>
        <w:rPr>
          <w:rFonts w:ascii="Times New Roman" w:hAnsi="Times New Roman"/>
          <w:iCs/>
          <w:szCs w:val="18"/>
        </w:rPr>
      </w:pPr>
      <w:r w:rsidRPr="0063529B">
        <w:rPr>
          <w:rStyle w:val="Refdenotaalpie"/>
          <w:rFonts w:ascii="Times New Roman" w:hAnsi="Times New Roman"/>
          <w:szCs w:val="18"/>
        </w:rPr>
        <w:footnoteRef/>
      </w:r>
      <w:r w:rsidRPr="0063529B">
        <w:rPr>
          <w:rFonts w:ascii="Times New Roman" w:hAnsi="Times New Roman"/>
          <w:szCs w:val="18"/>
        </w:rPr>
        <w:t xml:space="preserve"> </w:t>
      </w:r>
      <w:r>
        <w:rPr>
          <w:rFonts w:ascii="Times New Roman" w:hAnsi="Times New Roman"/>
          <w:szCs w:val="18"/>
        </w:rPr>
        <w:t>Cabe resaltar que en la selección de los niños y adolescentes elegibles se tuvo en cuenta el tiempo de residencia en el país requerido por la normativa vigente para acceder a la AUH. Es decir que este efecto se mantiene con independencia del requisito de elegibilidad.</w:t>
      </w:r>
    </w:p>
  </w:footnote>
  <w:footnote w:id="13">
    <w:p w14:paraId="279E02FC" w14:textId="77777777" w:rsidR="00F16500" w:rsidRPr="007F438D" w:rsidRDefault="00F16500" w:rsidP="0028786C">
      <w:pPr>
        <w:pStyle w:val="NormalWeb"/>
        <w:spacing w:before="120" w:beforeAutospacing="0" w:after="120" w:afterAutospacing="0"/>
        <w:jc w:val="both"/>
        <w:rPr>
          <w:rFonts w:ascii="Times New Roman" w:hAnsi="Times New Roman"/>
          <w:iCs/>
          <w:szCs w:val="18"/>
        </w:rPr>
      </w:pPr>
      <w:r w:rsidRPr="007F438D">
        <w:rPr>
          <w:rStyle w:val="Refdenotaalpie"/>
          <w:rFonts w:ascii="Times New Roman" w:hAnsi="Times New Roman"/>
          <w:szCs w:val="18"/>
        </w:rPr>
        <w:footnoteRef/>
      </w:r>
      <w:r w:rsidRPr="007F438D">
        <w:rPr>
          <w:rFonts w:ascii="Times New Roman" w:hAnsi="Times New Roman"/>
          <w:szCs w:val="18"/>
        </w:rPr>
        <w:t xml:space="preserve"> El análisis factorial consiste en la proyección de la posición de cada caso en un espacio de varias dimensiones sobre un espacio con un número de dimensiones más reducido (factores). En este proceso se pierden detalles, pero se simplifica la tarea analítica ya que una variación en alguno de los indicadores representa un cambio en el concepto subyacente. Véanse las variables introducidas en el análisis factorial en la Figura A1 del Anexo.</w:t>
      </w:r>
    </w:p>
  </w:footnote>
  <w:footnote w:id="14">
    <w:p w14:paraId="73E549E5" w14:textId="77777777" w:rsidR="00F16500" w:rsidRPr="0063529B" w:rsidRDefault="00F16500" w:rsidP="0028786C">
      <w:pPr>
        <w:pStyle w:val="Textonotapie"/>
        <w:spacing w:before="120" w:after="120"/>
        <w:jc w:val="both"/>
        <w:rPr>
          <w:rFonts w:ascii="Times New Roman" w:hAnsi="Times New Roman" w:cs="Times New Roman"/>
          <w:szCs w:val="18"/>
          <w:lang w:val="es-ES"/>
        </w:rPr>
      </w:pPr>
      <w:r w:rsidRPr="007F438D">
        <w:rPr>
          <w:rStyle w:val="Refdenotaalpie"/>
          <w:rFonts w:ascii="Times New Roman" w:hAnsi="Times New Roman" w:cs="Times New Roman"/>
          <w:szCs w:val="18"/>
        </w:rPr>
        <w:footnoteRef/>
      </w:r>
      <w:r w:rsidRPr="007F438D">
        <w:rPr>
          <w:rFonts w:ascii="Times New Roman" w:hAnsi="Times New Roman" w:cs="Times New Roman"/>
          <w:szCs w:val="18"/>
        </w:rPr>
        <w:t xml:space="preserve"> El trabajo se realizó con las bases apiladas de la Encuesta de la Deuda Social Argentina (EDSA) Serie del Bicentenario, para los años 2010-2015. El N de la muestra apilada en base al cual se hicieron los análisis precedentes (población de niños “elegibles”) fue 3.045 casos. E</w:t>
      </w:r>
      <w:r w:rsidRPr="007F438D">
        <w:rPr>
          <w:rFonts w:ascii="Times New Roman" w:hAnsi="Times New Roman" w:cs="Times New Roman"/>
          <w:szCs w:val="18"/>
          <w:lang w:val="es-ES"/>
        </w:rPr>
        <w:t>l Análisis Factorial aplicado fue robusto, con un KMO de 0,726, y un test de esfericidad de Bartlett estadísticamente significativo (</w:t>
      </w:r>
      <w:r w:rsidRPr="007F438D">
        <w:rPr>
          <w:rFonts w:ascii="Times New Roman" w:hAnsi="Times New Roman" w:cs="Times New Roman"/>
          <w:i/>
          <w:szCs w:val="18"/>
          <w:lang w:val="es-ES"/>
        </w:rPr>
        <w:t>p-</w:t>
      </w:r>
      <w:proofErr w:type="spellStart"/>
      <w:r w:rsidRPr="007F438D">
        <w:rPr>
          <w:rFonts w:ascii="Times New Roman" w:hAnsi="Times New Roman" w:cs="Times New Roman"/>
          <w:i/>
          <w:szCs w:val="18"/>
          <w:lang w:val="es-ES"/>
        </w:rPr>
        <w:t>value</w:t>
      </w:r>
      <w:proofErr w:type="spellEnd"/>
      <w:r w:rsidRPr="007F438D">
        <w:rPr>
          <w:rFonts w:ascii="Times New Roman" w:hAnsi="Times New Roman" w:cs="Times New Roman"/>
          <w:szCs w:val="18"/>
          <w:lang w:val="es-ES"/>
        </w:rPr>
        <w:t xml:space="preserve"> &lt; 0,01). La varianza total explicada llegó a casi 60%. En Anexo se presentan estos resultados estadísticos, la tabla de comunalidades y la matriz de componentes rotados con el método </w:t>
      </w:r>
      <w:proofErr w:type="spellStart"/>
      <w:r w:rsidRPr="007F438D">
        <w:rPr>
          <w:rFonts w:ascii="Times New Roman" w:hAnsi="Times New Roman" w:cs="Times New Roman"/>
          <w:szCs w:val="18"/>
          <w:lang w:val="es-ES"/>
        </w:rPr>
        <w:t>Varimax</w:t>
      </w:r>
      <w:proofErr w:type="spellEnd"/>
      <w:r w:rsidRPr="007F438D">
        <w:rPr>
          <w:rFonts w:ascii="Times New Roman" w:hAnsi="Times New Roman" w:cs="Times New Roman"/>
          <w:szCs w:val="18"/>
          <w:lang w:val="es-ES"/>
        </w:rPr>
        <w:t xml:space="preserve"> y normalización Kaiser.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BFD5" w14:textId="77777777" w:rsidR="00F16500" w:rsidRDefault="00F16500" w:rsidP="00EC4C3E">
    <w:pPr>
      <w:pStyle w:val="Encabezado"/>
      <w:tabs>
        <w:tab w:val="clear" w:pos="4419"/>
        <w:tab w:val="clear" w:pos="8838"/>
        <w:tab w:val="center" w:pos="4110"/>
      </w:tabs>
      <w:ind w:left="-284"/>
    </w:pPr>
    <w:r>
      <w:tab/>
      <w:t xml:space="preserve">                                                                                 </w:t>
    </w:r>
  </w:p>
  <w:p w14:paraId="28AE22FA" w14:textId="77777777" w:rsidR="00F16500" w:rsidRDefault="00F16500" w:rsidP="00EC4C3E">
    <w:pPr>
      <w:pStyle w:val="Encabezado"/>
      <w:tabs>
        <w:tab w:val="clear" w:pos="4419"/>
        <w:tab w:val="clear" w:pos="8838"/>
        <w:tab w:val="center" w:pos="4110"/>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D6CE8"/>
    <w:multiLevelType w:val="hybridMultilevel"/>
    <w:tmpl w:val="CA2A520A"/>
    <w:lvl w:ilvl="0" w:tplc="B658E74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7647847"/>
    <w:multiLevelType w:val="hybridMultilevel"/>
    <w:tmpl w:val="CD608036"/>
    <w:lvl w:ilvl="0" w:tplc="45CAAF62">
      <w:start w:val="1"/>
      <w:numFmt w:val="decimal"/>
      <w:lvlText w:val="(%1)"/>
      <w:lvlJc w:val="left"/>
      <w:pPr>
        <w:ind w:left="380" w:hanging="38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51683F54"/>
    <w:multiLevelType w:val="hybridMultilevel"/>
    <w:tmpl w:val="713A47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91D23F7"/>
    <w:multiLevelType w:val="hybridMultilevel"/>
    <w:tmpl w:val="827E9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AEB4C16"/>
    <w:multiLevelType w:val="hybridMultilevel"/>
    <w:tmpl w:val="F5EC0DC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B"/>
    <w:rsid w:val="0000158D"/>
    <w:rsid w:val="00011E81"/>
    <w:rsid w:val="000147F6"/>
    <w:rsid w:val="00014A6A"/>
    <w:rsid w:val="00024D93"/>
    <w:rsid w:val="00033FF4"/>
    <w:rsid w:val="00046940"/>
    <w:rsid w:val="000623B6"/>
    <w:rsid w:val="000808A9"/>
    <w:rsid w:val="00083D11"/>
    <w:rsid w:val="000859A2"/>
    <w:rsid w:val="00095DCF"/>
    <w:rsid w:val="000A195F"/>
    <w:rsid w:val="000A2D4D"/>
    <w:rsid w:val="000B0D93"/>
    <w:rsid w:val="000B1A97"/>
    <w:rsid w:val="000C015A"/>
    <w:rsid w:val="000C6CD6"/>
    <w:rsid w:val="000E1A97"/>
    <w:rsid w:val="000F1435"/>
    <w:rsid w:val="00106C5F"/>
    <w:rsid w:val="001120EE"/>
    <w:rsid w:val="00123956"/>
    <w:rsid w:val="00124C41"/>
    <w:rsid w:val="00134280"/>
    <w:rsid w:val="001357ED"/>
    <w:rsid w:val="0013786B"/>
    <w:rsid w:val="00142D3E"/>
    <w:rsid w:val="00164C0E"/>
    <w:rsid w:val="00173733"/>
    <w:rsid w:val="001756EF"/>
    <w:rsid w:val="0017618C"/>
    <w:rsid w:val="001A1D01"/>
    <w:rsid w:val="001B1063"/>
    <w:rsid w:val="001B3374"/>
    <w:rsid w:val="001C22DD"/>
    <w:rsid w:val="001D38A5"/>
    <w:rsid w:val="001D5F26"/>
    <w:rsid w:val="001E370F"/>
    <w:rsid w:val="001E4C44"/>
    <w:rsid w:val="001F1BF8"/>
    <w:rsid w:val="001F5BD0"/>
    <w:rsid w:val="001F70F8"/>
    <w:rsid w:val="001F738F"/>
    <w:rsid w:val="0020049C"/>
    <w:rsid w:val="00214901"/>
    <w:rsid w:val="00225877"/>
    <w:rsid w:val="0023361E"/>
    <w:rsid w:val="00234681"/>
    <w:rsid w:val="00236E1D"/>
    <w:rsid w:val="00260F2E"/>
    <w:rsid w:val="002648BD"/>
    <w:rsid w:val="00280B8F"/>
    <w:rsid w:val="002818DE"/>
    <w:rsid w:val="0028786C"/>
    <w:rsid w:val="002C034F"/>
    <w:rsid w:val="002C702C"/>
    <w:rsid w:val="002D49A8"/>
    <w:rsid w:val="002D6C2F"/>
    <w:rsid w:val="002E5E6C"/>
    <w:rsid w:val="002E6CE5"/>
    <w:rsid w:val="0030683D"/>
    <w:rsid w:val="00313703"/>
    <w:rsid w:val="00336BE2"/>
    <w:rsid w:val="00341501"/>
    <w:rsid w:val="00344178"/>
    <w:rsid w:val="00350382"/>
    <w:rsid w:val="00351A7E"/>
    <w:rsid w:val="003524D1"/>
    <w:rsid w:val="00365163"/>
    <w:rsid w:val="00372021"/>
    <w:rsid w:val="00391842"/>
    <w:rsid w:val="00395DF8"/>
    <w:rsid w:val="00397D27"/>
    <w:rsid w:val="003A26E6"/>
    <w:rsid w:val="003B494E"/>
    <w:rsid w:val="003E1F1B"/>
    <w:rsid w:val="003E368C"/>
    <w:rsid w:val="00401EFF"/>
    <w:rsid w:val="004037C4"/>
    <w:rsid w:val="00405BAE"/>
    <w:rsid w:val="00412396"/>
    <w:rsid w:val="004162FF"/>
    <w:rsid w:val="00442891"/>
    <w:rsid w:val="0045158D"/>
    <w:rsid w:val="004659C2"/>
    <w:rsid w:val="00467B73"/>
    <w:rsid w:val="00481D15"/>
    <w:rsid w:val="00491C12"/>
    <w:rsid w:val="004A74E9"/>
    <w:rsid w:val="004B2ABB"/>
    <w:rsid w:val="004C40FB"/>
    <w:rsid w:val="004C4138"/>
    <w:rsid w:val="004D1480"/>
    <w:rsid w:val="004D41C2"/>
    <w:rsid w:val="004E050E"/>
    <w:rsid w:val="0050144A"/>
    <w:rsid w:val="00504C8B"/>
    <w:rsid w:val="00513965"/>
    <w:rsid w:val="0052752A"/>
    <w:rsid w:val="00527F65"/>
    <w:rsid w:val="00532009"/>
    <w:rsid w:val="00554BC1"/>
    <w:rsid w:val="00562590"/>
    <w:rsid w:val="005829D8"/>
    <w:rsid w:val="0058317F"/>
    <w:rsid w:val="005837D6"/>
    <w:rsid w:val="0058538A"/>
    <w:rsid w:val="005A32A9"/>
    <w:rsid w:val="005A704E"/>
    <w:rsid w:val="005D7B15"/>
    <w:rsid w:val="005E0C0E"/>
    <w:rsid w:val="005F43A3"/>
    <w:rsid w:val="006132D4"/>
    <w:rsid w:val="0063529B"/>
    <w:rsid w:val="00637A3E"/>
    <w:rsid w:val="0065316C"/>
    <w:rsid w:val="006549DB"/>
    <w:rsid w:val="00687433"/>
    <w:rsid w:val="006B048C"/>
    <w:rsid w:val="006B2290"/>
    <w:rsid w:val="006C78A6"/>
    <w:rsid w:val="006D410B"/>
    <w:rsid w:val="006E714A"/>
    <w:rsid w:val="006F75C0"/>
    <w:rsid w:val="007024DD"/>
    <w:rsid w:val="00707CBF"/>
    <w:rsid w:val="00710282"/>
    <w:rsid w:val="007320A9"/>
    <w:rsid w:val="00735904"/>
    <w:rsid w:val="00737FE2"/>
    <w:rsid w:val="00743925"/>
    <w:rsid w:val="00750C32"/>
    <w:rsid w:val="007549BF"/>
    <w:rsid w:val="0078566A"/>
    <w:rsid w:val="00797DC4"/>
    <w:rsid w:val="007A3F4A"/>
    <w:rsid w:val="007E6CA5"/>
    <w:rsid w:val="007F438D"/>
    <w:rsid w:val="00811A26"/>
    <w:rsid w:val="00815791"/>
    <w:rsid w:val="00824817"/>
    <w:rsid w:val="008338A7"/>
    <w:rsid w:val="00846BBD"/>
    <w:rsid w:val="0085089F"/>
    <w:rsid w:val="00850E36"/>
    <w:rsid w:val="00852BD7"/>
    <w:rsid w:val="0085563B"/>
    <w:rsid w:val="008670F4"/>
    <w:rsid w:val="008808EE"/>
    <w:rsid w:val="008A5E2B"/>
    <w:rsid w:val="008B0F93"/>
    <w:rsid w:val="008B1165"/>
    <w:rsid w:val="008B12BF"/>
    <w:rsid w:val="008B572F"/>
    <w:rsid w:val="008C238D"/>
    <w:rsid w:val="008C2D02"/>
    <w:rsid w:val="008C4B8B"/>
    <w:rsid w:val="008C5319"/>
    <w:rsid w:val="008D6B2F"/>
    <w:rsid w:val="008D6F16"/>
    <w:rsid w:val="008E51A3"/>
    <w:rsid w:val="008F0C89"/>
    <w:rsid w:val="008F1548"/>
    <w:rsid w:val="008F19DD"/>
    <w:rsid w:val="0090026A"/>
    <w:rsid w:val="00900891"/>
    <w:rsid w:val="009125E7"/>
    <w:rsid w:val="0091711D"/>
    <w:rsid w:val="00934AC0"/>
    <w:rsid w:val="009404C9"/>
    <w:rsid w:val="0095201C"/>
    <w:rsid w:val="0095219F"/>
    <w:rsid w:val="0096287D"/>
    <w:rsid w:val="00965100"/>
    <w:rsid w:val="0097441D"/>
    <w:rsid w:val="00981519"/>
    <w:rsid w:val="00991F46"/>
    <w:rsid w:val="009B0C33"/>
    <w:rsid w:val="009C0363"/>
    <w:rsid w:val="009C628E"/>
    <w:rsid w:val="009C6825"/>
    <w:rsid w:val="009D4A5C"/>
    <w:rsid w:val="009E5B0C"/>
    <w:rsid w:val="009F3E82"/>
    <w:rsid w:val="009F5061"/>
    <w:rsid w:val="00A31D55"/>
    <w:rsid w:val="00A32CEF"/>
    <w:rsid w:val="00A33CA6"/>
    <w:rsid w:val="00A44D8F"/>
    <w:rsid w:val="00A450BC"/>
    <w:rsid w:val="00A4710D"/>
    <w:rsid w:val="00A516F2"/>
    <w:rsid w:val="00A675E1"/>
    <w:rsid w:val="00A7205F"/>
    <w:rsid w:val="00A76FA4"/>
    <w:rsid w:val="00A833F8"/>
    <w:rsid w:val="00A850C1"/>
    <w:rsid w:val="00A91FEA"/>
    <w:rsid w:val="00A93CB6"/>
    <w:rsid w:val="00A97ED1"/>
    <w:rsid w:val="00AA625B"/>
    <w:rsid w:val="00AC314C"/>
    <w:rsid w:val="00AD1A7A"/>
    <w:rsid w:val="00AD1E63"/>
    <w:rsid w:val="00AD31EC"/>
    <w:rsid w:val="00AE00BE"/>
    <w:rsid w:val="00AE1087"/>
    <w:rsid w:val="00AE1D25"/>
    <w:rsid w:val="00AE3FB6"/>
    <w:rsid w:val="00AF74EF"/>
    <w:rsid w:val="00B00F89"/>
    <w:rsid w:val="00B04086"/>
    <w:rsid w:val="00B171CF"/>
    <w:rsid w:val="00B23342"/>
    <w:rsid w:val="00B2646F"/>
    <w:rsid w:val="00B32001"/>
    <w:rsid w:val="00B503EB"/>
    <w:rsid w:val="00B50EB7"/>
    <w:rsid w:val="00B56509"/>
    <w:rsid w:val="00B57EBD"/>
    <w:rsid w:val="00B8294E"/>
    <w:rsid w:val="00B87A87"/>
    <w:rsid w:val="00BA3938"/>
    <w:rsid w:val="00BA5B09"/>
    <w:rsid w:val="00BD2B82"/>
    <w:rsid w:val="00BF1D90"/>
    <w:rsid w:val="00BF7979"/>
    <w:rsid w:val="00C05E3D"/>
    <w:rsid w:val="00C11FB4"/>
    <w:rsid w:val="00C13279"/>
    <w:rsid w:val="00C227A1"/>
    <w:rsid w:val="00C3116A"/>
    <w:rsid w:val="00C41A6F"/>
    <w:rsid w:val="00C530F8"/>
    <w:rsid w:val="00C53B88"/>
    <w:rsid w:val="00C53CCB"/>
    <w:rsid w:val="00C55EDC"/>
    <w:rsid w:val="00C6083A"/>
    <w:rsid w:val="00C632C8"/>
    <w:rsid w:val="00C8354A"/>
    <w:rsid w:val="00C95890"/>
    <w:rsid w:val="00CB7058"/>
    <w:rsid w:val="00CD6641"/>
    <w:rsid w:val="00CF177C"/>
    <w:rsid w:val="00CF5796"/>
    <w:rsid w:val="00CF57A1"/>
    <w:rsid w:val="00D17A19"/>
    <w:rsid w:val="00D219BC"/>
    <w:rsid w:val="00D24DBC"/>
    <w:rsid w:val="00D26F32"/>
    <w:rsid w:val="00D41C5A"/>
    <w:rsid w:val="00D46060"/>
    <w:rsid w:val="00D654BE"/>
    <w:rsid w:val="00D675ED"/>
    <w:rsid w:val="00D76D7F"/>
    <w:rsid w:val="00D76F36"/>
    <w:rsid w:val="00D8189F"/>
    <w:rsid w:val="00DA2537"/>
    <w:rsid w:val="00DA2938"/>
    <w:rsid w:val="00DA44BB"/>
    <w:rsid w:val="00DB60C8"/>
    <w:rsid w:val="00DC1DAD"/>
    <w:rsid w:val="00DC5282"/>
    <w:rsid w:val="00DD1446"/>
    <w:rsid w:val="00DD3436"/>
    <w:rsid w:val="00DD587C"/>
    <w:rsid w:val="00DE01B6"/>
    <w:rsid w:val="00DE4DA8"/>
    <w:rsid w:val="00DE647A"/>
    <w:rsid w:val="00DF0B07"/>
    <w:rsid w:val="00DF326F"/>
    <w:rsid w:val="00DF3E29"/>
    <w:rsid w:val="00E14231"/>
    <w:rsid w:val="00E16608"/>
    <w:rsid w:val="00E20221"/>
    <w:rsid w:val="00E20E04"/>
    <w:rsid w:val="00E24AFC"/>
    <w:rsid w:val="00E30C2E"/>
    <w:rsid w:val="00E4110D"/>
    <w:rsid w:val="00E519E2"/>
    <w:rsid w:val="00E55A1F"/>
    <w:rsid w:val="00E56933"/>
    <w:rsid w:val="00E63CB9"/>
    <w:rsid w:val="00E90697"/>
    <w:rsid w:val="00E922B4"/>
    <w:rsid w:val="00E965F8"/>
    <w:rsid w:val="00E97871"/>
    <w:rsid w:val="00EA721E"/>
    <w:rsid w:val="00EB5167"/>
    <w:rsid w:val="00EB74B1"/>
    <w:rsid w:val="00EC4C3E"/>
    <w:rsid w:val="00EE2DCB"/>
    <w:rsid w:val="00EE5017"/>
    <w:rsid w:val="00EF1D0A"/>
    <w:rsid w:val="00F04438"/>
    <w:rsid w:val="00F10BB0"/>
    <w:rsid w:val="00F1487B"/>
    <w:rsid w:val="00F15EE9"/>
    <w:rsid w:val="00F16500"/>
    <w:rsid w:val="00F16A52"/>
    <w:rsid w:val="00F447ED"/>
    <w:rsid w:val="00F61096"/>
    <w:rsid w:val="00F6296B"/>
    <w:rsid w:val="00F633FA"/>
    <w:rsid w:val="00F647B2"/>
    <w:rsid w:val="00F77322"/>
    <w:rsid w:val="00F877D8"/>
    <w:rsid w:val="00F9031C"/>
    <w:rsid w:val="00F91D00"/>
    <w:rsid w:val="00F96860"/>
    <w:rsid w:val="00FA2630"/>
    <w:rsid w:val="00FB4AC6"/>
    <w:rsid w:val="00FD0FC3"/>
    <w:rsid w:val="00FD339A"/>
    <w:rsid w:val="00FF251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52E64"/>
  <w15:docId w15:val="{6E437F32-C889-449F-9A4F-002F94FD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3279"/>
    <w:pPr>
      <w:ind w:left="720"/>
      <w:contextualSpacing/>
    </w:pPr>
  </w:style>
  <w:style w:type="paragraph" w:styleId="Textodeglobo">
    <w:name w:val="Balloon Text"/>
    <w:basedOn w:val="Normal"/>
    <w:link w:val="TextodegloboCar"/>
    <w:uiPriority w:val="99"/>
    <w:semiHidden/>
    <w:unhideWhenUsed/>
    <w:rsid w:val="00C227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7A1"/>
    <w:rPr>
      <w:rFonts w:ascii="Tahoma" w:hAnsi="Tahoma" w:cs="Tahoma"/>
      <w:sz w:val="16"/>
      <w:szCs w:val="16"/>
    </w:rPr>
  </w:style>
  <w:style w:type="paragraph" w:styleId="Encabezado">
    <w:name w:val="header"/>
    <w:basedOn w:val="Normal"/>
    <w:link w:val="EncabezadoCar"/>
    <w:uiPriority w:val="99"/>
    <w:unhideWhenUsed/>
    <w:rsid w:val="00C22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7A1"/>
  </w:style>
  <w:style w:type="paragraph" w:styleId="Piedepgina">
    <w:name w:val="footer"/>
    <w:basedOn w:val="Normal"/>
    <w:link w:val="PiedepginaCar"/>
    <w:uiPriority w:val="99"/>
    <w:unhideWhenUsed/>
    <w:rsid w:val="00C22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7A1"/>
  </w:style>
  <w:style w:type="paragraph" w:styleId="Textonotapie">
    <w:name w:val="footnote text"/>
    <w:aliases w:val="Car3 Car, Car3 Car, Car2,Car3, Car3,Car2,Geneva 9,Font: Geneva 9,Boston 10,f,Times Roman 9,Car,Car Car, Car"/>
    <w:basedOn w:val="Normal"/>
    <w:link w:val="TextonotapieCar"/>
    <w:uiPriority w:val="99"/>
    <w:unhideWhenUsed/>
    <w:rsid w:val="00735904"/>
    <w:pPr>
      <w:spacing w:after="0" w:line="240" w:lineRule="auto"/>
    </w:pPr>
    <w:rPr>
      <w:sz w:val="20"/>
      <w:szCs w:val="20"/>
    </w:rPr>
  </w:style>
  <w:style w:type="character" w:customStyle="1" w:styleId="TextonotapieCar">
    <w:name w:val="Texto nota pie Car"/>
    <w:aliases w:val="Car3 Car Car, Car3 Car Car, Car2 Car,Car3 Car1, Car3 Car1,Car2 Car,Geneva 9 Car,Font: Geneva 9 Car,Boston 10 Car,f Car,Times Roman 9 Car,Car Car1,Car Car Car, Car Car"/>
    <w:basedOn w:val="Fuentedeprrafopredeter"/>
    <w:link w:val="Textonotapie"/>
    <w:uiPriority w:val="99"/>
    <w:rsid w:val="00735904"/>
    <w:rPr>
      <w:sz w:val="20"/>
      <w:szCs w:val="20"/>
    </w:rPr>
  </w:style>
  <w:style w:type="character" w:styleId="Refdenotaalpie">
    <w:name w:val="footnote reference"/>
    <w:aliases w:val="normal,Normal1,Ref,de nota al pie"/>
    <w:basedOn w:val="Fuentedeprrafopredeter"/>
    <w:unhideWhenUsed/>
    <w:rsid w:val="00735904"/>
    <w:rPr>
      <w:vertAlign w:val="superscript"/>
    </w:rPr>
  </w:style>
  <w:style w:type="paragraph" w:styleId="NormalWeb">
    <w:name w:val="Normal (Web)"/>
    <w:basedOn w:val="Normal"/>
    <w:unhideWhenUsed/>
    <w:rsid w:val="004037C4"/>
    <w:pPr>
      <w:spacing w:before="100" w:beforeAutospacing="1" w:after="100" w:afterAutospacing="1" w:line="240" w:lineRule="auto"/>
    </w:pPr>
    <w:rPr>
      <w:rFonts w:ascii="Times" w:hAnsi="Times" w:cs="Times New Roman"/>
      <w:sz w:val="20"/>
      <w:szCs w:val="20"/>
      <w:lang w:eastAsia="es-ES"/>
    </w:rPr>
  </w:style>
  <w:style w:type="character" w:styleId="Nmerodepgina">
    <w:name w:val="page number"/>
    <w:basedOn w:val="Fuentedeprrafopredeter"/>
    <w:uiPriority w:val="99"/>
    <w:semiHidden/>
    <w:unhideWhenUsed/>
    <w:rsid w:val="00350382"/>
  </w:style>
  <w:style w:type="character" w:styleId="Hipervnculo">
    <w:name w:val="Hyperlink"/>
    <w:basedOn w:val="Fuentedeprrafopredeter"/>
    <w:uiPriority w:val="99"/>
    <w:unhideWhenUsed/>
    <w:rsid w:val="00DD587C"/>
    <w:rPr>
      <w:color w:val="0000FF" w:themeColor="hyperlink"/>
      <w:u w:val="single"/>
    </w:rPr>
  </w:style>
  <w:style w:type="character" w:styleId="nfasis">
    <w:name w:val="Emphasis"/>
    <w:basedOn w:val="Fuentedeprrafopredeter"/>
    <w:uiPriority w:val="20"/>
    <w:qFormat/>
    <w:rsid w:val="00DD587C"/>
    <w:rPr>
      <w:i/>
      <w:iCs/>
    </w:rPr>
  </w:style>
  <w:style w:type="paragraph" w:styleId="Sinespaciado">
    <w:name w:val="No Spacing"/>
    <w:uiPriority w:val="1"/>
    <w:qFormat/>
    <w:rsid w:val="00D8189F"/>
    <w:pPr>
      <w:spacing w:after="0" w:line="240" w:lineRule="auto"/>
    </w:pPr>
    <w:rPr>
      <w:rFonts w:ascii="Arial" w:eastAsia="Calibri"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1055">
      <w:bodyDiv w:val="1"/>
      <w:marLeft w:val="0"/>
      <w:marRight w:val="0"/>
      <w:marTop w:val="0"/>
      <w:marBottom w:val="0"/>
      <w:divBdr>
        <w:top w:val="none" w:sz="0" w:space="0" w:color="auto"/>
        <w:left w:val="none" w:sz="0" w:space="0" w:color="auto"/>
        <w:bottom w:val="none" w:sz="0" w:space="0" w:color="auto"/>
        <w:right w:val="none" w:sz="0" w:space="0" w:color="auto"/>
      </w:divBdr>
    </w:div>
    <w:div w:id="84498321">
      <w:bodyDiv w:val="1"/>
      <w:marLeft w:val="0"/>
      <w:marRight w:val="0"/>
      <w:marTop w:val="0"/>
      <w:marBottom w:val="0"/>
      <w:divBdr>
        <w:top w:val="none" w:sz="0" w:space="0" w:color="auto"/>
        <w:left w:val="none" w:sz="0" w:space="0" w:color="auto"/>
        <w:bottom w:val="none" w:sz="0" w:space="0" w:color="auto"/>
        <w:right w:val="none" w:sz="0" w:space="0" w:color="auto"/>
      </w:divBdr>
    </w:div>
    <w:div w:id="154077829">
      <w:bodyDiv w:val="1"/>
      <w:marLeft w:val="0"/>
      <w:marRight w:val="0"/>
      <w:marTop w:val="0"/>
      <w:marBottom w:val="0"/>
      <w:divBdr>
        <w:top w:val="none" w:sz="0" w:space="0" w:color="auto"/>
        <w:left w:val="none" w:sz="0" w:space="0" w:color="auto"/>
        <w:bottom w:val="none" w:sz="0" w:space="0" w:color="auto"/>
        <w:right w:val="none" w:sz="0" w:space="0" w:color="auto"/>
      </w:divBdr>
    </w:div>
    <w:div w:id="226887606">
      <w:bodyDiv w:val="1"/>
      <w:marLeft w:val="0"/>
      <w:marRight w:val="0"/>
      <w:marTop w:val="0"/>
      <w:marBottom w:val="0"/>
      <w:divBdr>
        <w:top w:val="none" w:sz="0" w:space="0" w:color="auto"/>
        <w:left w:val="none" w:sz="0" w:space="0" w:color="auto"/>
        <w:bottom w:val="none" w:sz="0" w:space="0" w:color="auto"/>
        <w:right w:val="none" w:sz="0" w:space="0" w:color="auto"/>
      </w:divBdr>
    </w:div>
    <w:div w:id="438068460">
      <w:bodyDiv w:val="1"/>
      <w:marLeft w:val="0"/>
      <w:marRight w:val="0"/>
      <w:marTop w:val="0"/>
      <w:marBottom w:val="0"/>
      <w:divBdr>
        <w:top w:val="none" w:sz="0" w:space="0" w:color="auto"/>
        <w:left w:val="none" w:sz="0" w:space="0" w:color="auto"/>
        <w:bottom w:val="none" w:sz="0" w:space="0" w:color="auto"/>
        <w:right w:val="none" w:sz="0" w:space="0" w:color="auto"/>
      </w:divBdr>
    </w:div>
    <w:div w:id="522089550">
      <w:bodyDiv w:val="1"/>
      <w:marLeft w:val="0"/>
      <w:marRight w:val="0"/>
      <w:marTop w:val="0"/>
      <w:marBottom w:val="0"/>
      <w:divBdr>
        <w:top w:val="none" w:sz="0" w:space="0" w:color="auto"/>
        <w:left w:val="none" w:sz="0" w:space="0" w:color="auto"/>
        <w:bottom w:val="none" w:sz="0" w:space="0" w:color="auto"/>
        <w:right w:val="none" w:sz="0" w:space="0" w:color="auto"/>
      </w:divBdr>
    </w:div>
    <w:div w:id="659040773">
      <w:bodyDiv w:val="1"/>
      <w:marLeft w:val="0"/>
      <w:marRight w:val="0"/>
      <w:marTop w:val="0"/>
      <w:marBottom w:val="0"/>
      <w:divBdr>
        <w:top w:val="none" w:sz="0" w:space="0" w:color="auto"/>
        <w:left w:val="none" w:sz="0" w:space="0" w:color="auto"/>
        <w:bottom w:val="none" w:sz="0" w:space="0" w:color="auto"/>
        <w:right w:val="none" w:sz="0" w:space="0" w:color="auto"/>
      </w:divBdr>
    </w:div>
    <w:div w:id="712266432">
      <w:bodyDiv w:val="1"/>
      <w:marLeft w:val="0"/>
      <w:marRight w:val="0"/>
      <w:marTop w:val="0"/>
      <w:marBottom w:val="0"/>
      <w:divBdr>
        <w:top w:val="none" w:sz="0" w:space="0" w:color="auto"/>
        <w:left w:val="none" w:sz="0" w:space="0" w:color="auto"/>
        <w:bottom w:val="none" w:sz="0" w:space="0" w:color="auto"/>
        <w:right w:val="none" w:sz="0" w:space="0" w:color="auto"/>
      </w:divBdr>
    </w:div>
    <w:div w:id="765345619">
      <w:bodyDiv w:val="1"/>
      <w:marLeft w:val="0"/>
      <w:marRight w:val="0"/>
      <w:marTop w:val="0"/>
      <w:marBottom w:val="0"/>
      <w:divBdr>
        <w:top w:val="none" w:sz="0" w:space="0" w:color="auto"/>
        <w:left w:val="none" w:sz="0" w:space="0" w:color="auto"/>
        <w:bottom w:val="none" w:sz="0" w:space="0" w:color="auto"/>
        <w:right w:val="none" w:sz="0" w:space="0" w:color="auto"/>
      </w:divBdr>
    </w:div>
    <w:div w:id="790175026">
      <w:bodyDiv w:val="1"/>
      <w:marLeft w:val="0"/>
      <w:marRight w:val="0"/>
      <w:marTop w:val="0"/>
      <w:marBottom w:val="0"/>
      <w:divBdr>
        <w:top w:val="none" w:sz="0" w:space="0" w:color="auto"/>
        <w:left w:val="none" w:sz="0" w:space="0" w:color="auto"/>
        <w:bottom w:val="none" w:sz="0" w:space="0" w:color="auto"/>
        <w:right w:val="none" w:sz="0" w:space="0" w:color="auto"/>
      </w:divBdr>
    </w:div>
    <w:div w:id="859439244">
      <w:bodyDiv w:val="1"/>
      <w:marLeft w:val="0"/>
      <w:marRight w:val="0"/>
      <w:marTop w:val="0"/>
      <w:marBottom w:val="0"/>
      <w:divBdr>
        <w:top w:val="none" w:sz="0" w:space="0" w:color="auto"/>
        <w:left w:val="none" w:sz="0" w:space="0" w:color="auto"/>
        <w:bottom w:val="none" w:sz="0" w:space="0" w:color="auto"/>
        <w:right w:val="none" w:sz="0" w:space="0" w:color="auto"/>
      </w:divBdr>
    </w:div>
    <w:div w:id="903294381">
      <w:bodyDiv w:val="1"/>
      <w:marLeft w:val="0"/>
      <w:marRight w:val="0"/>
      <w:marTop w:val="0"/>
      <w:marBottom w:val="0"/>
      <w:divBdr>
        <w:top w:val="none" w:sz="0" w:space="0" w:color="auto"/>
        <w:left w:val="none" w:sz="0" w:space="0" w:color="auto"/>
        <w:bottom w:val="none" w:sz="0" w:space="0" w:color="auto"/>
        <w:right w:val="none" w:sz="0" w:space="0" w:color="auto"/>
      </w:divBdr>
    </w:div>
    <w:div w:id="1007562139">
      <w:bodyDiv w:val="1"/>
      <w:marLeft w:val="0"/>
      <w:marRight w:val="0"/>
      <w:marTop w:val="0"/>
      <w:marBottom w:val="0"/>
      <w:divBdr>
        <w:top w:val="none" w:sz="0" w:space="0" w:color="auto"/>
        <w:left w:val="none" w:sz="0" w:space="0" w:color="auto"/>
        <w:bottom w:val="none" w:sz="0" w:space="0" w:color="auto"/>
        <w:right w:val="none" w:sz="0" w:space="0" w:color="auto"/>
      </w:divBdr>
    </w:div>
    <w:div w:id="1036467505">
      <w:bodyDiv w:val="1"/>
      <w:marLeft w:val="0"/>
      <w:marRight w:val="0"/>
      <w:marTop w:val="0"/>
      <w:marBottom w:val="0"/>
      <w:divBdr>
        <w:top w:val="none" w:sz="0" w:space="0" w:color="auto"/>
        <w:left w:val="none" w:sz="0" w:space="0" w:color="auto"/>
        <w:bottom w:val="none" w:sz="0" w:space="0" w:color="auto"/>
        <w:right w:val="none" w:sz="0" w:space="0" w:color="auto"/>
      </w:divBdr>
    </w:div>
    <w:div w:id="1054351929">
      <w:bodyDiv w:val="1"/>
      <w:marLeft w:val="0"/>
      <w:marRight w:val="0"/>
      <w:marTop w:val="0"/>
      <w:marBottom w:val="0"/>
      <w:divBdr>
        <w:top w:val="none" w:sz="0" w:space="0" w:color="auto"/>
        <w:left w:val="none" w:sz="0" w:space="0" w:color="auto"/>
        <w:bottom w:val="none" w:sz="0" w:space="0" w:color="auto"/>
        <w:right w:val="none" w:sz="0" w:space="0" w:color="auto"/>
      </w:divBdr>
    </w:div>
    <w:div w:id="1297250569">
      <w:bodyDiv w:val="1"/>
      <w:marLeft w:val="0"/>
      <w:marRight w:val="0"/>
      <w:marTop w:val="0"/>
      <w:marBottom w:val="0"/>
      <w:divBdr>
        <w:top w:val="none" w:sz="0" w:space="0" w:color="auto"/>
        <w:left w:val="none" w:sz="0" w:space="0" w:color="auto"/>
        <w:bottom w:val="none" w:sz="0" w:space="0" w:color="auto"/>
        <w:right w:val="none" w:sz="0" w:space="0" w:color="auto"/>
      </w:divBdr>
    </w:div>
    <w:div w:id="1331448952">
      <w:bodyDiv w:val="1"/>
      <w:marLeft w:val="0"/>
      <w:marRight w:val="0"/>
      <w:marTop w:val="0"/>
      <w:marBottom w:val="0"/>
      <w:divBdr>
        <w:top w:val="none" w:sz="0" w:space="0" w:color="auto"/>
        <w:left w:val="none" w:sz="0" w:space="0" w:color="auto"/>
        <w:bottom w:val="none" w:sz="0" w:space="0" w:color="auto"/>
        <w:right w:val="none" w:sz="0" w:space="0" w:color="auto"/>
      </w:divBdr>
    </w:div>
    <w:div w:id="1334141989">
      <w:bodyDiv w:val="1"/>
      <w:marLeft w:val="0"/>
      <w:marRight w:val="0"/>
      <w:marTop w:val="0"/>
      <w:marBottom w:val="0"/>
      <w:divBdr>
        <w:top w:val="none" w:sz="0" w:space="0" w:color="auto"/>
        <w:left w:val="none" w:sz="0" w:space="0" w:color="auto"/>
        <w:bottom w:val="none" w:sz="0" w:space="0" w:color="auto"/>
        <w:right w:val="none" w:sz="0" w:space="0" w:color="auto"/>
      </w:divBdr>
    </w:div>
    <w:div w:id="1373728945">
      <w:bodyDiv w:val="1"/>
      <w:marLeft w:val="0"/>
      <w:marRight w:val="0"/>
      <w:marTop w:val="0"/>
      <w:marBottom w:val="0"/>
      <w:divBdr>
        <w:top w:val="none" w:sz="0" w:space="0" w:color="auto"/>
        <w:left w:val="none" w:sz="0" w:space="0" w:color="auto"/>
        <w:bottom w:val="none" w:sz="0" w:space="0" w:color="auto"/>
        <w:right w:val="none" w:sz="0" w:space="0" w:color="auto"/>
      </w:divBdr>
    </w:div>
    <w:div w:id="1388645883">
      <w:bodyDiv w:val="1"/>
      <w:marLeft w:val="0"/>
      <w:marRight w:val="0"/>
      <w:marTop w:val="0"/>
      <w:marBottom w:val="0"/>
      <w:divBdr>
        <w:top w:val="none" w:sz="0" w:space="0" w:color="auto"/>
        <w:left w:val="none" w:sz="0" w:space="0" w:color="auto"/>
        <w:bottom w:val="none" w:sz="0" w:space="0" w:color="auto"/>
        <w:right w:val="none" w:sz="0" w:space="0" w:color="auto"/>
      </w:divBdr>
    </w:div>
    <w:div w:id="1452044681">
      <w:bodyDiv w:val="1"/>
      <w:marLeft w:val="0"/>
      <w:marRight w:val="0"/>
      <w:marTop w:val="0"/>
      <w:marBottom w:val="0"/>
      <w:divBdr>
        <w:top w:val="none" w:sz="0" w:space="0" w:color="auto"/>
        <w:left w:val="none" w:sz="0" w:space="0" w:color="auto"/>
        <w:bottom w:val="none" w:sz="0" w:space="0" w:color="auto"/>
        <w:right w:val="none" w:sz="0" w:space="0" w:color="auto"/>
      </w:divBdr>
    </w:div>
    <w:div w:id="1516308480">
      <w:bodyDiv w:val="1"/>
      <w:marLeft w:val="0"/>
      <w:marRight w:val="0"/>
      <w:marTop w:val="0"/>
      <w:marBottom w:val="0"/>
      <w:divBdr>
        <w:top w:val="none" w:sz="0" w:space="0" w:color="auto"/>
        <w:left w:val="none" w:sz="0" w:space="0" w:color="auto"/>
        <w:bottom w:val="none" w:sz="0" w:space="0" w:color="auto"/>
        <w:right w:val="none" w:sz="0" w:space="0" w:color="auto"/>
      </w:divBdr>
    </w:div>
    <w:div w:id="1613170440">
      <w:bodyDiv w:val="1"/>
      <w:marLeft w:val="0"/>
      <w:marRight w:val="0"/>
      <w:marTop w:val="0"/>
      <w:marBottom w:val="0"/>
      <w:divBdr>
        <w:top w:val="none" w:sz="0" w:space="0" w:color="auto"/>
        <w:left w:val="none" w:sz="0" w:space="0" w:color="auto"/>
        <w:bottom w:val="none" w:sz="0" w:space="0" w:color="auto"/>
        <w:right w:val="none" w:sz="0" w:space="0" w:color="auto"/>
      </w:divBdr>
    </w:div>
    <w:div w:id="1631011197">
      <w:bodyDiv w:val="1"/>
      <w:marLeft w:val="0"/>
      <w:marRight w:val="0"/>
      <w:marTop w:val="0"/>
      <w:marBottom w:val="0"/>
      <w:divBdr>
        <w:top w:val="none" w:sz="0" w:space="0" w:color="auto"/>
        <w:left w:val="none" w:sz="0" w:space="0" w:color="auto"/>
        <w:bottom w:val="none" w:sz="0" w:space="0" w:color="auto"/>
        <w:right w:val="none" w:sz="0" w:space="0" w:color="auto"/>
      </w:divBdr>
    </w:div>
    <w:div w:id="1683701738">
      <w:bodyDiv w:val="1"/>
      <w:marLeft w:val="0"/>
      <w:marRight w:val="0"/>
      <w:marTop w:val="0"/>
      <w:marBottom w:val="0"/>
      <w:divBdr>
        <w:top w:val="none" w:sz="0" w:space="0" w:color="auto"/>
        <w:left w:val="none" w:sz="0" w:space="0" w:color="auto"/>
        <w:bottom w:val="none" w:sz="0" w:space="0" w:color="auto"/>
        <w:right w:val="none" w:sz="0" w:space="0" w:color="auto"/>
      </w:divBdr>
    </w:div>
    <w:div w:id="1760717998">
      <w:bodyDiv w:val="1"/>
      <w:marLeft w:val="0"/>
      <w:marRight w:val="0"/>
      <w:marTop w:val="0"/>
      <w:marBottom w:val="0"/>
      <w:divBdr>
        <w:top w:val="none" w:sz="0" w:space="0" w:color="auto"/>
        <w:left w:val="none" w:sz="0" w:space="0" w:color="auto"/>
        <w:bottom w:val="none" w:sz="0" w:space="0" w:color="auto"/>
        <w:right w:val="none" w:sz="0" w:space="0" w:color="auto"/>
      </w:divBdr>
    </w:div>
    <w:div w:id="1817334659">
      <w:bodyDiv w:val="1"/>
      <w:marLeft w:val="0"/>
      <w:marRight w:val="0"/>
      <w:marTop w:val="0"/>
      <w:marBottom w:val="0"/>
      <w:divBdr>
        <w:top w:val="none" w:sz="0" w:space="0" w:color="auto"/>
        <w:left w:val="none" w:sz="0" w:space="0" w:color="auto"/>
        <w:bottom w:val="none" w:sz="0" w:space="0" w:color="auto"/>
        <w:right w:val="none" w:sz="0" w:space="0" w:color="auto"/>
      </w:divBdr>
    </w:div>
    <w:div w:id="1820724821">
      <w:bodyDiv w:val="1"/>
      <w:marLeft w:val="0"/>
      <w:marRight w:val="0"/>
      <w:marTop w:val="0"/>
      <w:marBottom w:val="0"/>
      <w:divBdr>
        <w:top w:val="none" w:sz="0" w:space="0" w:color="auto"/>
        <w:left w:val="none" w:sz="0" w:space="0" w:color="auto"/>
        <w:bottom w:val="none" w:sz="0" w:space="0" w:color="auto"/>
        <w:right w:val="none" w:sz="0" w:space="0" w:color="auto"/>
      </w:divBdr>
    </w:div>
    <w:div w:id="1972318985">
      <w:bodyDiv w:val="1"/>
      <w:marLeft w:val="0"/>
      <w:marRight w:val="0"/>
      <w:marTop w:val="0"/>
      <w:marBottom w:val="0"/>
      <w:divBdr>
        <w:top w:val="none" w:sz="0" w:space="0" w:color="auto"/>
        <w:left w:val="none" w:sz="0" w:space="0" w:color="auto"/>
        <w:bottom w:val="none" w:sz="0" w:space="0" w:color="auto"/>
        <w:right w:val="none" w:sz="0" w:space="0" w:color="auto"/>
      </w:divBdr>
    </w:div>
    <w:div w:id="2010522793">
      <w:bodyDiv w:val="1"/>
      <w:marLeft w:val="0"/>
      <w:marRight w:val="0"/>
      <w:marTop w:val="0"/>
      <w:marBottom w:val="0"/>
      <w:divBdr>
        <w:top w:val="none" w:sz="0" w:space="0" w:color="auto"/>
        <w:left w:val="none" w:sz="0" w:space="0" w:color="auto"/>
        <w:bottom w:val="none" w:sz="0" w:space="0" w:color="auto"/>
        <w:right w:val="none" w:sz="0" w:space="0" w:color="auto"/>
      </w:divBdr>
    </w:div>
    <w:div w:id="2023319451">
      <w:bodyDiv w:val="1"/>
      <w:marLeft w:val="0"/>
      <w:marRight w:val="0"/>
      <w:marTop w:val="0"/>
      <w:marBottom w:val="0"/>
      <w:divBdr>
        <w:top w:val="none" w:sz="0" w:space="0" w:color="auto"/>
        <w:left w:val="none" w:sz="0" w:space="0" w:color="auto"/>
        <w:bottom w:val="none" w:sz="0" w:space="0" w:color="auto"/>
        <w:right w:val="none" w:sz="0" w:space="0" w:color="auto"/>
      </w:divBdr>
    </w:div>
    <w:div w:id="2036688885">
      <w:bodyDiv w:val="1"/>
      <w:marLeft w:val="0"/>
      <w:marRight w:val="0"/>
      <w:marTop w:val="0"/>
      <w:marBottom w:val="0"/>
      <w:divBdr>
        <w:top w:val="none" w:sz="0" w:space="0" w:color="auto"/>
        <w:left w:val="none" w:sz="0" w:space="0" w:color="auto"/>
        <w:bottom w:val="none" w:sz="0" w:space="0" w:color="auto"/>
        <w:right w:val="none" w:sz="0" w:space="0" w:color="auto"/>
      </w:divBdr>
    </w:div>
    <w:div w:id="2070230585">
      <w:bodyDiv w:val="1"/>
      <w:marLeft w:val="0"/>
      <w:marRight w:val="0"/>
      <w:marTop w:val="0"/>
      <w:marBottom w:val="0"/>
      <w:divBdr>
        <w:top w:val="none" w:sz="0" w:space="0" w:color="auto"/>
        <w:left w:val="none" w:sz="0" w:space="0" w:color="auto"/>
        <w:bottom w:val="none" w:sz="0" w:space="0" w:color="auto"/>
        <w:right w:val="none" w:sz="0" w:space="0" w:color="auto"/>
      </w:divBdr>
    </w:div>
    <w:div w:id="2090420399">
      <w:bodyDiv w:val="1"/>
      <w:marLeft w:val="0"/>
      <w:marRight w:val="0"/>
      <w:marTop w:val="0"/>
      <w:marBottom w:val="0"/>
      <w:divBdr>
        <w:top w:val="none" w:sz="0" w:space="0" w:color="auto"/>
        <w:left w:val="none" w:sz="0" w:space="0" w:color="auto"/>
        <w:bottom w:val="none" w:sz="0" w:space="0" w:color="auto"/>
        <w:right w:val="none" w:sz="0" w:space="0" w:color="auto"/>
      </w:divBdr>
    </w:div>
    <w:div w:id="20997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stin_salvia@uca.edu.a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ntiago_poy@uca.edu.ar" TargetMode="External"/><Relationship Id="rId4" Type="http://schemas.openxmlformats.org/officeDocument/2006/relationships/settings" Target="settings.xml"/><Relationship Id="rId9" Type="http://schemas.openxmlformats.org/officeDocument/2006/relationships/hyperlink" Target="mailto:ianina_tunon@uca.edu.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944E-931A-4AB4-87F8-20795780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7660</Words>
  <Characters>42130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Poy Piñeiro</dc:creator>
  <cp:lastModifiedBy>Santiago Poy Piñeiro</cp:lastModifiedBy>
  <cp:revision>4</cp:revision>
  <cp:lastPrinted>2018-04-27T19:50:00Z</cp:lastPrinted>
  <dcterms:created xsi:type="dcterms:W3CDTF">2018-05-02T18:55:00Z</dcterms:created>
  <dcterms:modified xsi:type="dcterms:W3CDTF">2018-05-02T20:05:00Z</dcterms:modified>
</cp:coreProperties>
</file>