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77" w:rsidRPr="005F705E" w:rsidRDefault="004D601F" w:rsidP="00E34BD2">
      <w:pPr>
        <w:pStyle w:val="Sinespaciado"/>
        <w:jc w:val="both"/>
        <w:rPr>
          <w:rFonts w:ascii="Times New Roman" w:hAnsi="Times New Roman" w:cs="Times New Roman"/>
          <w:b/>
          <w:sz w:val="26"/>
          <w:szCs w:val="26"/>
          <w:lang w:val="en-US"/>
        </w:rPr>
      </w:pPr>
      <w:r w:rsidRPr="005F705E">
        <w:rPr>
          <w:rFonts w:ascii="Times New Roman" w:hAnsi="Times New Roman" w:cs="Times New Roman"/>
          <w:b/>
          <w:sz w:val="26"/>
          <w:szCs w:val="26"/>
          <w:lang w:val="es-ES"/>
        </w:rPr>
        <w:t>Cambios en la p</w:t>
      </w:r>
      <w:r w:rsidR="00190FA4" w:rsidRPr="005F705E">
        <w:rPr>
          <w:rFonts w:ascii="Times New Roman" w:hAnsi="Times New Roman" w:cs="Times New Roman"/>
          <w:b/>
          <w:sz w:val="26"/>
          <w:szCs w:val="26"/>
          <w:lang w:val="es-ES"/>
        </w:rPr>
        <w:t>articipación laboral de los hogares y</w:t>
      </w:r>
      <w:r w:rsidRPr="005F705E">
        <w:rPr>
          <w:rFonts w:ascii="Times New Roman" w:hAnsi="Times New Roman" w:cs="Times New Roman"/>
          <w:b/>
          <w:sz w:val="26"/>
          <w:szCs w:val="26"/>
          <w:lang w:val="es-ES"/>
        </w:rPr>
        <w:t xml:space="preserve"> en</w:t>
      </w:r>
      <w:r w:rsidR="00190FA4" w:rsidRPr="005F705E">
        <w:rPr>
          <w:rFonts w:ascii="Times New Roman" w:hAnsi="Times New Roman" w:cs="Times New Roman"/>
          <w:b/>
          <w:sz w:val="26"/>
          <w:szCs w:val="26"/>
          <w:lang w:val="es-ES"/>
        </w:rPr>
        <w:t xml:space="preserve"> </w:t>
      </w:r>
      <w:r w:rsidRPr="005F705E">
        <w:rPr>
          <w:rFonts w:ascii="Times New Roman" w:hAnsi="Times New Roman" w:cs="Times New Roman"/>
          <w:b/>
          <w:sz w:val="26"/>
          <w:szCs w:val="26"/>
          <w:lang w:val="es-ES"/>
        </w:rPr>
        <w:t xml:space="preserve">los </w:t>
      </w:r>
      <w:r w:rsidR="00190FA4" w:rsidRPr="005F705E">
        <w:rPr>
          <w:rFonts w:ascii="Times New Roman" w:hAnsi="Times New Roman" w:cs="Times New Roman"/>
          <w:b/>
          <w:sz w:val="26"/>
          <w:szCs w:val="26"/>
          <w:lang w:val="es-ES"/>
        </w:rPr>
        <w:t xml:space="preserve">niveles de bienestar económico. </w:t>
      </w:r>
      <w:r w:rsidR="00EE4C31" w:rsidRPr="005F705E">
        <w:rPr>
          <w:rFonts w:ascii="Times New Roman" w:hAnsi="Times New Roman" w:cs="Times New Roman"/>
          <w:b/>
          <w:sz w:val="26"/>
          <w:szCs w:val="26"/>
          <w:lang w:val="en-US"/>
        </w:rPr>
        <w:t xml:space="preserve">Argentina </w:t>
      </w:r>
      <w:r w:rsidR="00E22C69" w:rsidRPr="005F705E">
        <w:rPr>
          <w:rFonts w:ascii="Times New Roman" w:hAnsi="Times New Roman" w:cs="Times New Roman"/>
          <w:b/>
          <w:sz w:val="26"/>
          <w:szCs w:val="26"/>
          <w:lang w:val="en-US"/>
        </w:rPr>
        <w:t>en</w:t>
      </w:r>
      <w:r w:rsidR="00EE4C31" w:rsidRPr="005F705E">
        <w:rPr>
          <w:rFonts w:ascii="Times New Roman" w:hAnsi="Times New Roman" w:cs="Times New Roman"/>
          <w:b/>
          <w:sz w:val="26"/>
          <w:szCs w:val="26"/>
          <w:lang w:val="en-US"/>
        </w:rPr>
        <w:t xml:space="preserve"> </w:t>
      </w:r>
      <w:r w:rsidR="00676751" w:rsidRPr="005F705E">
        <w:rPr>
          <w:rFonts w:ascii="Times New Roman" w:hAnsi="Times New Roman" w:cs="Times New Roman"/>
          <w:b/>
          <w:sz w:val="26"/>
          <w:szCs w:val="26"/>
          <w:lang w:val="en-US"/>
        </w:rPr>
        <w:t>los años post-reformas</w:t>
      </w:r>
      <w:r w:rsidR="00D604B7" w:rsidRPr="005F705E">
        <w:rPr>
          <w:rFonts w:ascii="Times New Roman" w:hAnsi="Times New Roman" w:cs="Times New Roman"/>
          <w:b/>
          <w:sz w:val="26"/>
          <w:szCs w:val="26"/>
          <w:lang w:val="en-US"/>
        </w:rPr>
        <w:t xml:space="preserve"> </w:t>
      </w:r>
      <w:r w:rsidR="00EE4C31" w:rsidRPr="005F705E">
        <w:rPr>
          <w:rFonts w:ascii="Times New Roman" w:hAnsi="Times New Roman" w:cs="Times New Roman"/>
          <w:b/>
          <w:sz w:val="26"/>
          <w:szCs w:val="26"/>
          <w:lang w:val="en-US"/>
        </w:rPr>
        <w:t>(2003-2014)</w:t>
      </w:r>
      <w:r w:rsidR="00F50FDA" w:rsidRPr="005F705E">
        <w:rPr>
          <w:rStyle w:val="Refdenotaalpie"/>
          <w:rFonts w:ascii="Times New Roman" w:hAnsi="Times New Roman" w:cs="Times New Roman"/>
          <w:b/>
          <w:sz w:val="26"/>
          <w:szCs w:val="26"/>
          <w:lang w:val="es-ES"/>
        </w:rPr>
        <w:footnoteReference w:id="1"/>
      </w:r>
      <w:r w:rsidR="00D604B7" w:rsidRPr="005F705E">
        <w:rPr>
          <w:rFonts w:ascii="Times New Roman" w:hAnsi="Times New Roman" w:cs="Times New Roman"/>
          <w:b/>
          <w:sz w:val="26"/>
          <w:szCs w:val="26"/>
          <w:lang w:val="en-US"/>
        </w:rPr>
        <w:t>.</w:t>
      </w:r>
    </w:p>
    <w:p w:rsidR="003607B3" w:rsidRPr="005F705E" w:rsidRDefault="003607B3" w:rsidP="00E34BD2">
      <w:pPr>
        <w:pStyle w:val="Sinespaciado"/>
        <w:jc w:val="both"/>
        <w:rPr>
          <w:rFonts w:ascii="Times New Roman" w:hAnsi="Times New Roman" w:cs="Times New Roman"/>
          <w:b/>
          <w:sz w:val="26"/>
          <w:szCs w:val="26"/>
          <w:lang w:val="en-US"/>
        </w:rPr>
      </w:pPr>
    </w:p>
    <w:p w:rsidR="003607B3" w:rsidRPr="005F705E" w:rsidRDefault="004D601F" w:rsidP="00E34BD2">
      <w:pPr>
        <w:pStyle w:val="Sinespaciado"/>
        <w:jc w:val="both"/>
        <w:rPr>
          <w:rFonts w:ascii="Times New Roman" w:hAnsi="Times New Roman" w:cs="Times New Roman"/>
          <w:b/>
          <w:i/>
          <w:sz w:val="26"/>
          <w:szCs w:val="26"/>
          <w:lang w:val="en-US"/>
        </w:rPr>
      </w:pPr>
      <w:r w:rsidRPr="005F705E">
        <w:rPr>
          <w:rFonts w:ascii="Times New Roman" w:hAnsi="Times New Roman" w:cs="Times New Roman"/>
          <w:b/>
          <w:i/>
          <w:sz w:val="26"/>
          <w:szCs w:val="26"/>
          <w:lang w:val="en-US"/>
        </w:rPr>
        <w:t xml:space="preserve">Changes in </w:t>
      </w:r>
      <w:r w:rsidR="003607B3" w:rsidRPr="005F705E">
        <w:rPr>
          <w:rFonts w:ascii="Times New Roman" w:hAnsi="Times New Roman" w:cs="Times New Roman"/>
          <w:b/>
          <w:i/>
          <w:sz w:val="26"/>
          <w:szCs w:val="26"/>
          <w:lang w:val="en-US"/>
        </w:rPr>
        <w:t xml:space="preserve">Households’ Labour Participation and Economic Welfare. Argentina </w:t>
      </w:r>
      <w:r w:rsidR="00E22C69" w:rsidRPr="005F705E">
        <w:rPr>
          <w:rFonts w:ascii="Times New Roman" w:hAnsi="Times New Roman" w:cs="Times New Roman"/>
          <w:b/>
          <w:i/>
          <w:sz w:val="26"/>
          <w:szCs w:val="26"/>
          <w:lang w:val="en-US"/>
        </w:rPr>
        <w:t xml:space="preserve">during </w:t>
      </w:r>
      <w:r w:rsidR="00676751" w:rsidRPr="005F705E">
        <w:rPr>
          <w:rFonts w:ascii="Times New Roman" w:hAnsi="Times New Roman" w:cs="Times New Roman"/>
          <w:b/>
          <w:i/>
          <w:sz w:val="26"/>
          <w:szCs w:val="26"/>
          <w:lang w:val="en-US"/>
        </w:rPr>
        <w:t>Post-Reforms Years</w:t>
      </w:r>
      <w:r w:rsidR="003607B3" w:rsidRPr="005F705E">
        <w:rPr>
          <w:rFonts w:ascii="Times New Roman" w:hAnsi="Times New Roman" w:cs="Times New Roman"/>
          <w:b/>
          <w:i/>
          <w:sz w:val="26"/>
          <w:szCs w:val="26"/>
          <w:lang w:val="en-US"/>
        </w:rPr>
        <w:t xml:space="preserve"> (2003-2014). </w:t>
      </w:r>
    </w:p>
    <w:p w:rsidR="003607B3" w:rsidRPr="005F705E" w:rsidRDefault="003607B3" w:rsidP="00E34BD2">
      <w:pPr>
        <w:pStyle w:val="Sinespaciado"/>
        <w:jc w:val="both"/>
        <w:rPr>
          <w:rFonts w:ascii="Times New Roman" w:hAnsi="Times New Roman" w:cs="Times New Roman"/>
          <w:b/>
          <w:sz w:val="28"/>
          <w:szCs w:val="24"/>
          <w:lang w:val="en-US"/>
        </w:rPr>
      </w:pPr>
    </w:p>
    <w:p w:rsidR="00300F84" w:rsidRPr="005F705E" w:rsidRDefault="00300F84" w:rsidP="00300F84">
      <w:pPr>
        <w:pStyle w:val="Sinespaciado"/>
        <w:jc w:val="both"/>
        <w:rPr>
          <w:rFonts w:ascii="Times New Roman" w:hAnsi="Times New Roman" w:cs="Times New Roman"/>
          <w:szCs w:val="24"/>
          <w:lang w:val="en-US"/>
        </w:rPr>
      </w:pPr>
      <w:r w:rsidRPr="005F705E">
        <w:rPr>
          <w:rFonts w:ascii="Times New Roman" w:hAnsi="Times New Roman" w:cs="Times New Roman"/>
          <w:b/>
          <w:szCs w:val="24"/>
          <w:lang w:val="en-US"/>
        </w:rPr>
        <w:t>Autor:</w:t>
      </w:r>
      <w:r w:rsidRPr="005F705E">
        <w:rPr>
          <w:rFonts w:ascii="Times New Roman" w:hAnsi="Times New Roman" w:cs="Times New Roman"/>
          <w:szCs w:val="24"/>
          <w:lang w:val="en-US"/>
        </w:rPr>
        <w:t xml:space="preserve"> Santiago Poy</w:t>
      </w:r>
    </w:p>
    <w:p w:rsidR="00190FA4" w:rsidRPr="005F705E" w:rsidRDefault="00190FA4" w:rsidP="00300F84">
      <w:pPr>
        <w:pStyle w:val="Sinespaciado"/>
        <w:jc w:val="both"/>
        <w:rPr>
          <w:rFonts w:ascii="Times New Roman" w:hAnsi="Times New Roman" w:cs="Times New Roman"/>
          <w:b/>
          <w:szCs w:val="24"/>
          <w:lang w:val="en-US"/>
        </w:rPr>
      </w:pPr>
    </w:p>
    <w:p w:rsidR="00300F84" w:rsidRPr="005F705E" w:rsidRDefault="00300F84" w:rsidP="00300F84">
      <w:pPr>
        <w:pStyle w:val="Sinespaciado"/>
        <w:jc w:val="both"/>
        <w:rPr>
          <w:rFonts w:ascii="Times New Roman" w:hAnsi="Times New Roman" w:cs="Times New Roman"/>
          <w:szCs w:val="24"/>
          <w:lang w:val="en-US"/>
        </w:rPr>
      </w:pPr>
      <w:r w:rsidRPr="005F705E">
        <w:rPr>
          <w:rFonts w:ascii="Times New Roman" w:hAnsi="Times New Roman" w:cs="Times New Roman"/>
          <w:b/>
          <w:szCs w:val="24"/>
          <w:lang w:val="en-US"/>
        </w:rPr>
        <w:t xml:space="preserve">E-mail: </w:t>
      </w:r>
      <w:hyperlink r:id="rId8" w:history="1">
        <w:r w:rsidR="00C95D84" w:rsidRPr="005F705E">
          <w:rPr>
            <w:rStyle w:val="Hipervnculo"/>
            <w:rFonts w:ascii="Times New Roman" w:hAnsi="Times New Roman" w:cs="Times New Roman"/>
            <w:szCs w:val="24"/>
            <w:lang w:val="en-US"/>
          </w:rPr>
          <w:t>santiagopoy@hotmail.com</w:t>
        </w:r>
      </w:hyperlink>
      <w:r w:rsidR="00C95D84" w:rsidRPr="005F705E">
        <w:rPr>
          <w:rFonts w:ascii="Times New Roman" w:hAnsi="Times New Roman" w:cs="Times New Roman"/>
          <w:szCs w:val="24"/>
          <w:lang w:val="en-US"/>
        </w:rPr>
        <w:t xml:space="preserve"> </w:t>
      </w:r>
    </w:p>
    <w:p w:rsidR="00190FA4" w:rsidRPr="005F705E" w:rsidRDefault="00190FA4" w:rsidP="00300F84">
      <w:pPr>
        <w:pStyle w:val="Sinespaciado"/>
        <w:jc w:val="both"/>
        <w:rPr>
          <w:rFonts w:ascii="Times New Roman" w:hAnsi="Times New Roman" w:cs="Times New Roman"/>
          <w:b/>
          <w:szCs w:val="24"/>
          <w:lang w:val="en-US"/>
        </w:rPr>
      </w:pPr>
    </w:p>
    <w:p w:rsidR="00300F84" w:rsidRPr="005F705E" w:rsidRDefault="00300F84" w:rsidP="00300F84">
      <w:pPr>
        <w:pStyle w:val="Sinespaciado"/>
        <w:jc w:val="both"/>
        <w:rPr>
          <w:rFonts w:ascii="Times New Roman" w:hAnsi="Times New Roman" w:cs="Times New Roman"/>
          <w:szCs w:val="24"/>
        </w:rPr>
      </w:pPr>
      <w:r w:rsidRPr="005F705E">
        <w:rPr>
          <w:rFonts w:ascii="Times New Roman" w:hAnsi="Times New Roman" w:cs="Times New Roman"/>
          <w:b/>
          <w:szCs w:val="24"/>
        </w:rPr>
        <w:t>Pertenencia institucional:</w:t>
      </w:r>
      <w:r w:rsidRPr="005F705E">
        <w:rPr>
          <w:rFonts w:ascii="Times New Roman" w:hAnsi="Times New Roman" w:cs="Times New Roman"/>
          <w:szCs w:val="24"/>
        </w:rPr>
        <w:t xml:space="preserve"> </w:t>
      </w:r>
      <w:r w:rsidR="00F019D2" w:rsidRPr="005F705E">
        <w:rPr>
          <w:rFonts w:ascii="Times New Roman" w:hAnsi="Times New Roman" w:cs="Times New Roman"/>
          <w:szCs w:val="24"/>
        </w:rPr>
        <w:t>Sociólogo</w:t>
      </w:r>
      <w:r w:rsidRPr="005F705E">
        <w:rPr>
          <w:rFonts w:ascii="Times New Roman" w:hAnsi="Times New Roman" w:cs="Times New Roman"/>
          <w:szCs w:val="24"/>
        </w:rPr>
        <w:t xml:space="preserve">, Becario doctoral del Consejo Nacional de Investigaciones Científicas y Técnicas con sede en el Programa del Observatorio de la Deuda Social Argentina (CONICET-UCA). Docente de la Carrera de Sociología (UBA). </w:t>
      </w:r>
    </w:p>
    <w:p w:rsidR="00190FA4" w:rsidRPr="005F705E" w:rsidRDefault="00190FA4" w:rsidP="00300F84">
      <w:pPr>
        <w:pStyle w:val="Sinespaciado"/>
        <w:jc w:val="both"/>
        <w:rPr>
          <w:rFonts w:ascii="Times New Roman" w:hAnsi="Times New Roman" w:cs="Times New Roman"/>
          <w:szCs w:val="24"/>
        </w:rPr>
      </w:pPr>
    </w:p>
    <w:p w:rsidR="00190FA4" w:rsidRPr="005F705E" w:rsidRDefault="00190FA4" w:rsidP="00CB5828">
      <w:pPr>
        <w:pStyle w:val="Sinespaciado"/>
        <w:jc w:val="both"/>
        <w:rPr>
          <w:rFonts w:ascii="Times New Roman" w:hAnsi="Times New Roman" w:cs="Times New Roman"/>
          <w:szCs w:val="24"/>
        </w:rPr>
      </w:pPr>
      <w:r w:rsidRPr="005F705E">
        <w:rPr>
          <w:rFonts w:ascii="Times New Roman" w:hAnsi="Times New Roman" w:cs="Times New Roman"/>
          <w:b/>
          <w:szCs w:val="24"/>
        </w:rPr>
        <w:t>Resumen:</w:t>
      </w:r>
      <w:r w:rsidR="00CB5828" w:rsidRPr="005F705E">
        <w:rPr>
          <w:rFonts w:ascii="Times New Roman" w:hAnsi="Times New Roman" w:cs="Times New Roman"/>
          <w:b/>
          <w:szCs w:val="24"/>
        </w:rPr>
        <w:t xml:space="preserve"> </w:t>
      </w:r>
      <w:r w:rsidR="00ED73E4" w:rsidRPr="005F705E">
        <w:rPr>
          <w:rFonts w:ascii="Times New Roman" w:hAnsi="Times New Roman" w:cs="Times New Roman"/>
          <w:szCs w:val="24"/>
        </w:rPr>
        <w:t>Tras la salida de la crisis del año 2001, tuvo lugar una rápida recuperación del mercado de trabajo. Mientras que d</w:t>
      </w:r>
      <w:r w:rsidR="002D4B4F" w:rsidRPr="005F705E">
        <w:rPr>
          <w:rFonts w:ascii="Times New Roman" w:hAnsi="Times New Roman" w:cs="Times New Roman"/>
          <w:szCs w:val="24"/>
        </w:rPr>
        <w:t xml:space="preserve">istintos estudios han abordado los </w:t>
      </w:r>
      <w:r w:rsidR="000B62D9" w:rsidRPr="005F705E">
        <w:rPr>
          <w:rFonts w:ascii="Times New Roman" w:hAnsi="Times New Roman" w:cs="Times New Roman"/>
          <w:szCs w:val="24"/>
        </w:rPr>
        <w:t>cambios</w:t>
      </w:r>
      <w:r w:rsidR="002D4B4F" w:rsidRPr="005F705E">
        <w:rPr>
          <w:rFonts w:ascii="Times New Roman" w:hAnsi="Times New Roman" w:cs="Times New Roman"/>
          <w:szCs w:val="24"/>
        </w:rPr>
        <w:t xml:space="preserve"> verificados a nivel de la fuerza de trabajo individual, </w:t>
      </w:r>
      <w:r w:rsidR="00ED73E4" w:rsidRPr="005F705E">
        <w:rPr>
          <w:rFonts w:ascii="Times New Roman" w:hAnsi="Times New Roman" w:cs="Times New Roman"/>
          <w:szCs w:val="24"/>
        </w:rPr>
        <w:t xml:space="preserve">se le ha prestado menor atención al vínculo de los hogares con el mercado laboral. </w:t>
      </w:r>
      <w:r w:rsidR="002D4B4F" w:rsidRPr="005F705E">
        <w:rPr>
          <w:rFonts w:ascii="Times New Roman" w:hAnsi="Times New Roman" w:cs="Times New Roman"/>
          <w:szCs w:val="24"/>
        </w:rPr>
        <w:t xml:space="preserve">Este </w:t>
      </w:r>
      <w:r w:rsidR="00CC684B" w:rsidRPr="005F705E">
        <w:rPr>
          <w:rFonts w:ascii="Times New Roman" w:hAnsi="Times New Roman" w:cs="Times New Roman"/>
          <w:szCs w:val="24"/>
        </w:rPr>
        <w:t>artículo</w:t>
      </w:r>
      <w:r w:rsidR="002D4B4F" w:rsidRPr="005F705E">
        <w:rPr>
          <w:rFonts w:ascii="Times New Roman" w:hAnsi="Times New Roman" w:cs="Times New Roman"/>
          <w:szCs w:val="24"/>
        </w:rPr>
        <w:t xml:space="preserve"> aborda l</w:t>
      </w:r>
      <w:r w:rsidR="00ED73E4" w:rsidRPr="005F705E">
        <w:rPr>
          <w:rFonts w:ascii="Times New Roman" w:hAnsi="Times New Roman" w:cs="Times New Roman"/>
          <w:szCs w:val="24"/>
        </w:rPr>
        <w:t>a</w:t>
      </w:r>
      <w:r w:rsidR="002D4B4F" w:rsidRPr="005F705E">
        <w:rPr>
          <w:rFonts w:ascii="Times New Roman" w:hAnsi="Times New Roman" w:cs="Times New Roman"/>
          <w:szCs w:val="24"/>
        </w:rPr>
        <w:t xml:space="preserve">s </w:t>
      </w:r>
      <w:r w:rsidR="00ED73E4" w:rsidRPr="005F705E">
        <w:rPr>
          <w:rFonts w:ascii="Times New Roman" w:hAnsi="Times New Roman" w:cs="Times New Roman"/>
          <w:szCs w:val="24"/>
        </w:rPr>
        <w:t>transformaciones</w:t>
      </w:r>
      <w:r w:rsidR="002D4B4F" w:rsidRPr="005F705E">
        <w:rPr>
          <w:rFonts w:ascii="Times New Roman" w:hAnsi="Times New Roman" w:cs="Times New Roman"/>
          <w:szCs w:val="24"/>
        </w:rPr>
        <w:t xml:space="preserve"> en la</w:t>
      </w:r>
      <w:r w:rsidR="00CC684B" w:rsidRPr="005F705E">
        <w:rPr>
          <w:rFonts w:ascii="Times New Roman" w:hAnsi="Times New Roman" w:cs="Times New Roman"/>
          <w:szCs w:val="24"/>
        </w:rPr>
        <w:t xml:space="preserve"> participación</w:t>
      </w:r>
      <w:r w:rsidR="002D4B4F" w:rsidRPr="005F705E">
        <w:rPr>
          <w:rFonts w:ascii="Times New Roman" w:hAnsi="Times New Roman" w:cs="Times New Roman"/>
          <w:szCs w:val="24"/>
        </w:rPr>
        <w:t xml:space="preserve"> </w:t>
      </w:r>
      <w:r w:rsidR="004A2AFA" w:rsidRPr="005F705E">
        <w:rPr>
          <w:rFonts w:ascii="Times New Roman" w:hAnsi="Times New Roman" w:cs="Times New Roman"/>
          <w:szCs w:val="24"/>
        </w:rPr>
        <w:t>labora</w:t>
      </w:r>
      <w:r w:rsidR="002D4B4F" w:rsidRPr="005F705E">
        <w:rPr>
          <w:rFonts w:ascii="Times New Roman" w:hAnsi="Times New Roman" w:cs="Times New Roman"/>
          <w:szCs w:val="24"/>
        </w:rPr>
        <w:t>l</w:t>
      </w:r>
      <w:r w:rsidR="00CC684B" w:rsidRPr="005F705E">
        <w:rPr>
          <w:rFonts w:ascii="Times New Roman" w:hAnsi="Times New Roman" w:cs="Times New Roman"/>
          <w:szCs w:val="24"/>
        </w:rPr>
        <w:t xml:space="preserve"> </w:t>
      </w:r>
      <w:r w:rsidR="002D4B4F" w:rsidRPr="005F705E">
        <w:rPr>
          <w:rFonts w:ascii="Times New Roman" w:hAnsi="Times New Roman" w:cs="Times New Roman"/>
          <w:szCs w:val="24"/>
        </w:rPr>
        <w:t xml:space="preserve">de </w:t>
      </w:r>
      <w:r w:rsidR="00CC684B" w:rsidRPr="005F705E">
        <w:rPr>
          <w:rFonts w:ascii="Times New Roman" w:hAnsi="Times New Roman" w:cs="Times New Roman"/>
          <w:szCs w:val="24"/>
        </w:rPr>
        <w:t>las familias</w:t>
      </w:r>
      <w:r w:rsidR="00ED73E4" w:rsidRPr="005F705E">
        <w:rPr>
          <w:rFonts w:ascii="Times New Roman" w:hAnsi="Times New Roman" w:cs="Times New Roman"/>
          <w:szCs w:val="24"/>
        </w:rPr>
        <w:t xml:space="preserve"> y en </w:t>
      </w:r>
      <w:r w:rsidR="001639C5" w:rsidRPr="005F705E">
        <w:rPr>
          <w:rFonts w:ascii="Times New Roman" w:hAnsi="Times New Roman" w:cs="Times New Roman"/>
          <w:szCs w:val="24"/>
        </w:rPr>
        <w:t>sus</w:t>
      </w:r>
      <w:r w:rsidR="00ED73E4" w:rsidRPr="005F705E">
        <w:rPr>
          <w:rFonts w:ascii="Times New Roman" w:hAnsi="Times New Roman" w:cs="Times New Roman"/>
          <w:szCs w:val="24"/>
        </w:rPr>
        <w:t xml:space="preserve"> niveles de bienestar económico.</w:t>
      </w:r>
      <w:r w:rsidR="004A2AFA" w:rsidRPr="005F705E">
        <w:rPr>
          <w:rFonts w:ascii="Times New Roman" w:hAnsi="Times New Roman" w:cs="Times New Roman"/>
          <w:szCs w:val="24"/>
        </w:rPr>
        <w:t xml:space="preserve"> En particular, s</w:t>
      </w:r>
      <w:r w:rsidR="00ED73E4" w:rsidRPr="005F705E">
        <w:rPr>
          <w:rFonts w:ascii="Times New Roman" w:hAnsi="Times New Roman" w:cs="Times New Roman"/>
          <w:szCs w:val="24"/>
        </w:rPr>
        <w:t>e examina</w:t>
      </w:r>
      <w:r w:rsidR="004A2AFA" w:rsidRPr="005F705E">
        <w:rPr>
          <w:rFonts w:ascii="Times New Roman" w:hAnsi="Times New Roman" w:cs="Times New Roman"/>
          <w:szCs w:val="24"/>
        </w:rPr>
        <w:t>n las</w:t>
      </w:r>
      <w:r w:rsidR="00CC684B" w:rsidRPr="005F705E">
        <w:rPr>
          <w:rFonts w:ascii="Times New Roman" w:hAnsi="Times New Roman" w:cs="Times New Roman"/>
          <w:szCs w:val="24"/>
        </w:rPr>
        <w:t xml:space="preserve"> </w:t>
      </w:r>
      <w:r w:rsidR="004A2AFA" w:rsidRPr="005F705E">
        <w:rPr>
          <w:rFonts w:ascii="Times New Roman" w:hAnsi="Times New Roman" w:cs="Times New Roman"/>
          <w:szCs w:val="24"/>
        </w:rPr>
        <w:t>inserciones</w:t>
      </w:r>
      <w:r w:rsidR="00ED73E4" w:rsidRPr="005F705E">
        <w:rPr>
          <w:rFonts w:ascii="Times New Roman" w:hAnsi="Times New Roman" w:cs="Times New Roman"/>
          <w:szCs w:val="24"/>
        </w:rPr>
        <w:t xml:space="preserve"> laborales </w:t>
      </w:r>
      <w:r w:rsidR="004A2AFA" w:rsidRPr="005F705E">
        <w:rPr>
          <w:rFonts w:ascii="Times New Roman" w:hAnsi="Times New Roman" w:cs="Times New Roman"/>
          <w:szCs w:val="24"/>
        </w:rPr>
        <w:t>d</w:t>
      </w:r>
      <w:r w:rsidR="00ED73E4" w:rsidRPr="005F705E">
        <w:rPr>
          <w:rFonts w:ascii="Times New Roman" w:hAnsi="Times New Roman" w:cs="Times New Roman"/>
          <w:szCs w:val="24"/>
        </w:rPr>
        <w:t xml:space="preserve">el principal sostén del hogar y </w:t>
      </w:r>
      <w:r w:rsidR="004A2AFA" w:rsidRPr="005F705E">
        <w:rPr>
          <w:rFonts w:ascii="Times New Roman" w:hAnsi="Times New Roman" w:cs="Times New Roman"/>
          <w:szCs w:val="24"/>
        </w:rPr>
        <w:t>de</w:t>
      </w:r>
      <w:r w:rsidR="00ED73E4" w:rsidRPr="005F705E">
        <w:rPr>
          <w:rFonts w:ascii="Times New Roman" w:hAnsi="Times New Roman" w:cs="Times New Roman"/>
          <w:szCs w:val="24"/>
        </w:rPr>
        <w:t xml:space="preserve"> los </w:t>
      </w:r>
      <w:r w:rsidR="00CC684B" w:rsidRPr="005F705E">
        <w:rPr>
          <w:rFonts w:ascii="Times New Roman" w:hAnsi="Times New Roman" w:cs="Times New Roman"/>
          <w:szCs w:val="24"/>
        </w:rPr>
        <w:t>trabajadores secundarios</w:t>
      </w:r>
      <w:r w:rsidR="00ED73E4" w:rsidRPr="005F705E">
        <w:rPr>
          <w:rFonts w:ascii="Times New Roman" w:hAnsi="Times New Roman" w:cs="Times New Roman"/>
          <w:szCs w:val="24"/>
        </w:rPr>
        <w:t xml:space="preserve"> de las unidades domésticas, </w:t>
      </w:r>
      <w:r w:rsidR="004A2AFA" w:rsidRPr="005F705E">
        <w:rPr>
          <w:rFonts w:ascii="Times New Roman" w:hAnsi="Times New Roman" w:cs="Times New Roman"/>
          <w:szCs w:val="24"/>
        </w:rPr>
        <w:t xml:space="preserve">junto con </w:t>
      </w:r>
      <w:r w:rsidR="00ED73E4" w:rsidRPr="005F705E">
        <w:rPr>
          <w:rFonts w:ascii="Times New Roman" w:hAnsi="Times New Roman" w:cs="Times New Roman"/>
          <w:szCs w:val="24"/>
        </w:rPr>
        <w:t xml:space="preserve">los cambios en los ingresos familiares y en la pobreza en </w:t>
      </w:r>
      <w:r w:rsidR="00CC684B" w:rsidRPr="005F705E">
        <w:rPr>
          <w:rFonts w:ascii="Times New Roman" w:hAnsi="Times New Roman" w:cs="Times New Roman"/>
          <w:szCs w:val="24"/>
        </w:rPr>
        <w:t>distintas categorías de hogares.</w:t>
      </w:r>
      <w:r w:rsidR="00ED73E4" w:rsidRPr="005F705E">
        <w:rPr>
          <w:rStyle w:val="Refdecomentario"/>
        </w:rPr>
        <w:t xml:space="preserve"> </w:t>
      </w:r>
      <w:r w:rsidR="004A2AFA" w:rsidRPr="005F705E">
        <w:rPr>
          <w:rFonts w:ascii="Times New Roman" w:hAnsi="Times New Roman" w:cs="Times New Roman"/>
          <w:szCs w:val="24"/>
        </w:rPr>
        <w:t>En el mismo sentido,</w:t>
      </w:r>
      <w:r w:rsidR="00ED73E4" w:rsidRPr="005F705E">
        <w:rPr>
          <w:rFonts w:ascii="Times New Roman" w:hAnsi="Times New Roman" w:cs="Times New Roman"/>
          <w:szCs w:val="24"/>
        </w:rPr>
        <w:t xml:space="preserve"> se evalúa la existencia y evolución de un conjunto de hogares que “concentran” empleos de baja productividad o en condiciones de precariedad. E</w:t>
      </w:r>
      <w:r w:rsidR="00CC684B" w:rsidRPr="005F705E">
        <w:rPr>
          <w:rFonts w:ascii="Times New Roman" w:hAnsi="Times New Roman" w:cs="Times New Roman"/>
          <w:szCs w:val="24"/>
        </w:rPr>
        <w:t xml:space="preserve">l artículo adopta una metodología cuantitativa y la evidencia presentada se construye a partir de la Encuesta Permanente de Hogares (INDEC). La hipótesis general es que la persistente heterogeneidad estructural del sistema ocupacional, que ha sido verificada por la literatura especializada </w:t>
      </w:r>
      <w:r w:rsidR="00ED73E4" w:rsidRPr="005F705E">
        <w:rPr>
          <w:rFonts w:ascii="Times New Roman" w:hAnsi="Times New Roman" w:cs="Times New Roman"/>
          <w:szCs w:val="24"/>
        </w:rPr>
        <w:t xml:space="preserve">para el período estudiado (2003-2014) </w:t>
      </w:r>
      <w:r w:rsidR="00CC684B" w:rsidRPr="005F705E">
        <w:rPr>
          <w:rFonts w:ascii="Times New Roman" w:hAnsi="Times New Roman" w:cs="Times New Roman"/>
          <w:szCs w:val="24"/>
        </w:rPr>
        <w:t xml:space="preserve">a nivel de los individuos, se habría traducido en una estructura de oportunidades laborales segmentada para los hogares con un correlato en desigualdades persistentes en materia de bienestar. Los resultados muestran </w:t>
      </w:r>
      <w:r w:rsidR="00CB5828" w:rsidRPr="005F705E">
        <w:rPr>
          <w:rFonts w:ascii="Times New Roman" w:hAnsi="Times New Roman" w:cs="Times New Roman"/>
          <w:szCs w:val="24"/>
        </w:rPr>
        <w:t xml:space="preserve">algunas tendencias contrapuestas: </w:t>
      </w:r>
      <w:r w:rsidR="00CC684B" w:rsidRPr="005F705E">
        <w:rPr>
          <w:rFonts w:ascii="Times New Roman" w:hAnsi="Times New Roman" w:cs="Times New Roman"/>
          <w:szCs w:val="24"/>
        </w:rPr>
        <w:t xml:space="preserve">una </w:t>
      </w:r>
      <w:r w:rsidR="00CB5828" w:rsidRPr="005F705E">
        <w:rPr>
          <w:rFonts w:ascii="Times New Roman" w:hAnsi="Times New Roman" w:cs="Times New Roman"/>
          <w:szCs w:val="24"/>
        </w:rPr>
        <w:t>recomposición de</w:t>
      </w:r>
      <w:r w:rsidR="00A83BB0" w:rsidRPr="005F705E">
        <w:rPr>
          <w:rFonts w:ascii="Times New Roman" w:hAnsi="Times New Roman" w:cs="Times New Roman"/>
          <w:szCs w:val="24"/>
        </w:rPr>
        <w:t xml:space="preserve"> la proporción de</w:t>
      </w:r>
      <w:r w:rsidR="00CB5828" w:rsidRPr="005F705E">
        <w:rPr>
          <w:rFonts w:ascii="Times New Roman" w:hAnsi="Times New Roman" w:cs="Times New Roman"/>
          <w:szCs w:val="24"/>
        </w:rPr>
        <w:t xml:space="preserve"> hogares que participaban en el sector dinámico de la economía</w:t>
      </w:r>
      <w:r w:rsidR="00A83BB0" w:rsidRPr="005F705E">
        <w:rPr>
          <w:rFonts w:ascii="Times New Roman" w:hAnsi="Times New Roman" w:cs="Times New Roman"/>
          <w:szCs w:val="24"/>
        </w:rPr>
        <w:t xml:space="preserve"> a través de sus miembros ocupados;</w:t>
      </w:r>
      <w:r w:rsidR="00CB5828" w:rsidRPr="005F705E">
        <w:rPr>
          <w:rFonts w:ascii="Times New Roman" w:hAnsi="Times New Roman" w:cs="Times New Roman"/>
          <w:szCs w:val="24"/>
        </w:rPr>
        <w:t xml:space="preserve"> la existencia de dificultades persistentes de acceso al empleo formal de ocupados </w:t>
      </w:r>
      <w:r w:rsidR="00A83BB0" w:rsidRPr="005F705E">
        <w:rPr>
          <w:rFonts w:ascii="Times New Roman" w:hAnsi="Times New Roman" w:cs="Times New Roman"/>
          <w:szCs w:val="24"/>
        </w:rPr>
        <w:t xml:space="preserve">que residían en hogares </w:t>
      </w:r>
      <w:r w:rsidR="00CB5828" w:rsidRPr="005F705E">
        <w:rPr>
          <w:rFonts w:ascii="Times New Roman" w:hAnsi="Times New Roman" w:cs="Times New Roman"/>
          <w:szCs w:val="24"/>
        </w:rPr>
        <w:t xml:space="preserve">cuyo principal sostén </w:t>
      </w:r>
      <w:r w:rsidR="00A83BB0" w:rsidRPr="005F705E">
        <w:rPr>
          <w:rFonts w:ascii="Times New Roman" w:hAnsi="Times New Roman" w:cs="Times New Roman"/>
          <w:szCs w:val="24"/>
        </w:rPr>
        <w:t>pertenecía al sector</w:t>
      </w:r>
      <w:r w:rsidR="00CB5828" w:rsidRPr="005F705E">
        <w:rPr>
          <w:rFonts w:ascii="Times New Roman" w:hAnsi="Times New Roman" w:cs="Times New Roman"/>
          <w:szCs w:val="24"/>
        </w:rPr>
        <w:t xml:space="preserve"> informal</w:t>
      </w:r>
      <w:r w:rsidR="00A83BB0" w:rsidRPr="005F705E">
        <w:rPr>
          <w:rFonts w:ascii="Times New Roman" w:hAnsi="Times New Roman" w:cs="Times New Roman"/>
          <w:szCs w:val="24"/>
        </w:rPr>
        <w:t xml:space="preserve"> o </w:t>
      </w:r>
      <w:r w:rsidR="00047A68" w:rsidRPr="005F705E">
        <w:rPr>
          <w:rFonts w:ascii="Times New Roman" w:hAnsi="Times New Roman" w:cs="Times New Roman"/>
          <w:szCs w:val="24"/>
        </w:rPr>
        <w:t>tenía empleo precario</w:t>
      </w:r>
      <w:r w:rsidR="00A83BB0" w:rsidRPr="005F705E">
        <w:rPr>
          <w:rFonts w:ascii="Times New Roman" w:hAnsi="Times New Roman" w:cs="Times New Roman"/>
          <w:szCs w:val="24"/>
        </w:rPr>
        <w:t>;</w:t>
      </w:r>
      <w:r w:rsidR="00CB5828" w:rsidRPr="005F705E">
        <w:rPr>
          <w:rFonts w:ascii="Times New Roman" w:hAnsi="Times New Roman" w:cs="Times New Roman"/>
          <w:szCs w:val="24"/>
        </w:rPr>
        <w:t xml:space="preserve"> y una estrecha asociación entre </w:t>
      </w:r>
      <w:r w:rsidR="004D0E65" w:rsidRPr="005F705E">
        <w:rPr>
          <w:rFonts w:ascii="Times New Roman" w:hAnsi="Times New Roman" w:cs="Times New Roman"/>
          <w:szCs w:val="24"/>
        </w:rPr>
        <w:t xml:space="preserve">la </w:t>
      </w:r>
      <w:r w:rsidR="00A83BB0" w:rsidRPr="005F705E">
        <w:rPr>
          <w:rFonts w:ascii="Times New Roman" w:hAnsi="Times New Roman" w:cs="Times New Roman"/>
          <w:szCs w:val="24"/>
        </w:rPr>
        <w:t>participación del hogar en e</w:t>
      </w:r>
      <w:r w:rsidR="00CB5828" w:rsidRPr="005F705E">
        <w:rPr>
          <w:rFonts w:ascii="Times New Roman" w:hAnsi="Times New Roman" w:cs="Times New Roman"/>
          <w:szCs w:val="24"/>
        </w:rPr>
        <w:t xml:space="preserve">l sector microempresario y </w:t>
      </w:r>
      <w:r w:rsidR="00F55ED9" w:rsidRPr="005F705E">
        <w:rPr>
          <w:rFonts w:ascii="Times New Roman" w:hAnsi="Times New Roman" w:cs="Times New Roman"/>
          <w:szCs w:val="24"/>
        </w:rPr>
        <w:t xml:space="preserve">la </w:t>
      </w:r>
      <w:r w:rsidR="006C198C" w:rsidRPr="005F705E">
        <w:rPr>
          <w:rFonts w:ascii="Times New Roman" w:hAnsi="Times New Roman" w:cs="Times New Roman"/>
          <w:szCs w:val="24"/>
        </w:rPr>
        <w:t>pobreza por ingresos.</w:t>
      </w:r>
    </w:p>
    <w:p w:rsidR="00CB5828" w:rsidRPr="005F705E" w:rsidRDefault="00CB5828" w:rsidP="00CB5828">
      <w:pPr>
        <w:pStyle w:val="Sinespaciado"/>
        <w:jc w:val="both"/>
        <w:rPr>
          <w:rFonts w:ascii="Times New Roman" w:hAnsi="Times New Roman" w:cs="Times New Roman"/>
          <w:szCs w:val="24"/>
        </w:rPr>
      </w:pPr>
    </w:p>
    <w:p w:rsidR="00CB5828" w:rsidRPr="005F705E" w:rsidRDefault="00CB5828" w:rsidP="00CB5828">
      <w:pPr>
        <w:pStyle w:val="Sinespaciado"/>
        <w:jc w:val="both"/>
        <w:rPr>
          <w:rFonts w:ascii="Times New Roman" w:hAnsi="Times New Roman" w:cs="Times New Roman"/>
          <w:szCs w:val="24"/>
        </w:rPr>
      </w:pPr>
      <w:r w:rsidRPr="005F705E">
        <w:rPr>
          <w:rFonts w:ascii="Times New Roman" w:hAnsi="Times New Roman" w:cs="Times New Roman"/>
          <w:b/>
          <w:szCs w:val="24"/>
        </w:rPr>
        <w:t>Palabras clave</w:t>
      </w:r>
      <w:r w:rsidRPr="005F705E">
        <w:rPr>
          <w:rFonts w:ascii="Times New Roman" w:hAnsi="Times New Roman" w:cs="Times New Roman"/>
          <w:szCs w:val="24"/>
        </w:rPr>
        <w:t>: heterogeneidad estructural –</w:t>
      </w:r>
      <w:r w:rsidR="00F55ED9" w:rsidRPr="005F705E">
        <w:rPr>
          <w:rFonts w:ascii="Times New Roman" w:hAnsi="Times New Roman" w:cs="Times New Roman"/>
          <w:szCs w:val="24"/>
        </w:rPr>
        <w:t xml:space="preserve"> </w:t>
      </w:r>
      <w:r w:rsidRPr="005F705E">
        <w:rPr>
          <w:rFonts w:ascii="Times New Roman" w:hAnsi="Times New Roman" w:cs="Times New Roman"/>
          <w:szCs w:val="24"/>
        </w:rPr>
        <w:t>informalidad – bienestar económico</w:t>
      </w:r>
      <w:r w:rsidR="009A6EDD" w:rsidRPr="005F705E">
        <w:rPr>
          <w:rFonts w:ascii="Times New Roman" w:hAnsi="Times New Roman" w:cs="Times New Roman"/>
          <w:szCs w:val="24"/>
        </w:rPr>
        <w:t xml:space="preserve"> - pobreza</w:t>
      </w:r>
      <w:r w:rsidRPr="005F705E">
        <w:rPr>
          <w:rFonts w:ascii="Times New Roman" w:hAnsi="Times New Roman" w:cs="Times New Roman"/>
          <w:szCs w:val="24"/>
        </w:rPr>
        <w:t>.</w:t>
      </w:r>
    </w:p>
    <w:p w:rsidR="003607B3" w:rsidRPr="005F705E" w:rsidRDefault="003607B3" w:rsidP="00CB5828">
      <w:pPr>
        <w:pStyle w:val="Sinespaciado"/>
        <w:jc w:val="both"/>
        <w:rPr>
          <w:rFonts w:ascii="Times New Roman" w:hAnsi="Times New Roman" w:cs="Times New Roman"/>
          <w:szCs w:val="24"/>
        </w:rPr>
      </w:pPr>
    </w:p>
    <w:p w:rsidR="001639C5" w:rsidRPr="005F705E" w:rsidRDefault="001639C5" w:rsidP="002B7E5B">
      <w:pPr>
        <w:pStyle w:val="Sinespaciado"/>
        <w:jc w:val="both"/>
        <w:rPr>
          <w:rFonts w:ascii="Times New Roman" w:hAnsi="Times New Roman" w:cs="Times New Roman"/>
          <w:b/>
          <w:szCs w:val="24"/>
        </w:rPr>
      </w:pPr>
    </w:p>
    <w:p w:rsidR="003607B3" w:rsidRPr="005F705E" w:rsidRDefault="003607B3" w:rsidP="002B7E5B">
      <w:pPr>
        <w:pStyle w:val="Sinespaciado"/>
        <w:jc w:val="both"/>
        <w:rPr>
          <w:rFonts w:ascii="Times New Roman" w:hAnsi="Times New Roman" w:cs="Times New Roman"/>
          <w:szCs w:val="24"/>
          <w:lang w:val="en-US"/>
        </w:rPr>
      </w:pPr>
      <w:r w:rsidRPr="005F705E">
        <w:rPr>
          <w:rFonts w:ascii="Times New Roman" w:hAnsi="Times New Roman" w:cs="Times New Roman"/>
          <w:b/>
          <w:szCs w:val="24"/>
          <w:lang w:val="en-US"/>
        </w:rPr>
        <w:lastRenderedPageBreak/>
        <w:t xml:space="preserve">Abstract: </w:t>
      </w:r>
      <w:r w:rsidR="00C56C7A" w:rsidRPr="005F705E">
        <w:rPr>
          <w:rFonts w:ascii="Times New Roman" w:hAnsi="Times New Roman" w:cs="Times New Roman"/>
          <w:szCs w:val="24"/>
          <w:lang w:val="en-US"/>
        </w:rPr>
        <w:t xml:space="preserve">After 2001’s crisis, a fast recovery of labour market took place. </w:t>
      </w:r>
      <w:r w:rsidR="00ED73E4" w:rsidRPr="005F705E">
        <w:rPr>
          <w:rFonts w:ascii="Times New Roman" w:hAnsi="Times New Roman" w:cs="Times New Roman"/>
          <w:szCs w:val="24"/>
          <w:lang w:val="en-US"/>
        </w:rPr>
        <w:t xml:space="preserve">Whereas </w:t>
      </w:r>
      <w:r w:rsidR="004A2AFA" w:rsidRPr="005F705E">
        <w:rPr>
          <w:rFonts w:ascii="Times New Roman" w:hAnsi="Times New Roman" w:cs="Times New Roman"/>
          <w:szCs w:val="24"/>
          <w:lang w:val="en-US"/>
        </w:rPr>
        <w:t>different</w:t>
      </w:r>
      <w:r w:rsidR="00ED73E4" w:rsidRPr="005F705E">
        <w:rPr>
          <w:rFonts w:ascii="Times New Roman" w:hAnsi="Times New Roman" w:cs="Times New Roman"/>
          <w:szCs w:val="24"/>
          <w:lang w:val="en-US"/>
        </w:rPr>
        <w:t xml:space="preserve"> s</w:t>
      </w:r>
      <w:r w:rsidR="00F55ED9" w:rsidRPr="005F705E">
        <w:rPr>
          <w:rFonts w:ascii="Times New Roman" w:hAnsi="Times New Roman" w:cs="Times New Roman"/>
          <w:szCs w:val="24"/>
          <w:lang w:val="en-US"/>
        </w:rPr>
        <w:t xml:space="preserve">cholars have been focused in the </w:t>
      </w:r>
      <w:r w:rsidR="00C56C7A" w:rsidRPr="005F705E">
        <w:rPr>
          <w:rFonts w:ascii="Times New Roman" w:hAnsi="Times New Roman" w:cs="Times New Roman"/>
          <w:szCs w:val="24"/>
          <w:lang w:val="en-US"/>
        </w:rPr>
        <w:t xml:space="preserve">individual </w:t>
      </w:r>
      <w:r w:rsidR="004A2AFA" w:rsidRPr="005F705E">
        <w:rPr>
          <w:rFonts w:ascii="Times New Roman" w:hAnsi="Times New Roman" w:cs="Times New Roman"/>
          <w:szCs w:val="24"/>
          <w:lang w:val="en-US"/>
        </w:rPr>
        <w:t>work</w:t>
      </w:r>
      <w:r w:rsidR="00C56C7A" w:rsidRPr="005F705E">
        <w:rPr>
          <w:rFonts w:ascii="Times New Roman" w:hAnsi="Times New Roman" w:cs="Times New Roman"/>
          <w:szCs w:val="24"/>
          <w:lang w:val="en-US"/>
        </w:rPr>
        <w:t xml:space="preserve">force level, </w:t>
      </w:r>
      <w:r w:rsidR="00F55ED9" w:rsidRPr="005F705E">
        <w:rPr>
          <w:rFonts w:ascii="Times New Roman" w:hAnsi="Times New Roman" w:cs="Times New Roman"/>
          <w:szCs w:val="24"/>
          <w:lang w:val="en-US"/>
        </w:rPr>
        <w:t xml:space="preserve">a </w:t>
      </w:r>
      <w:r w:rsidR="00C56C7A" w:rsidRPr="005F705E">
        <w:rPr>
          <w:rFonts w:ascii="Times New Roman" w:hAnsi="Times New Roman" w:cs="Times New Roman"/>
          <w:szCs w:val="24"/>
          <w:lang w:val="en-US"/>
        </w:rPr>
        <w:t xml:space="preserve">less </w:t>
      </w:r>
      <w:r w:rsidR="00F55ED9" w:rsidRPr="005F705E">
        <w:rPr>
          <w:rFonts w:ascii="Times New Roman" w:hAnsi="Times New Roman" w:cs="Times New Roman"/>
          <w:szCs w:val="24"/>
          <w:lang w:val="en-US"/>
        </w:rPr>
        <w:t xml:space="preserve">attended aspect has </w:t>
      </w:r>
      <w:r w:rsidR="00C56C7A" w:rsidRPr="005F705E">
        <w:rPr>
          <w:rFonts w:ascii="Times New Roman" w:hAnsi="Times New Roman" w:cs="Times New Roman"/>
          <w:szCs w:val="24"/>
          <w:lang w:val="en-US"/>
        </w:rPr>
        <w:t xml:space="preserve">been the way in which </w:t>
      </w:r>
      <w:r w:rsidR="004A2AFA" w:rsidRPr="005F705E">
        <w:rPr>
          <w:rFonts w:ascii="Times New Roman" w:hAnsi="Times New Roman" w:cs="Times New Roman"/>
          <w:szCs w:val="24"/>
          <w:lang w:val="en-US"/>
        </w:rPr>
        <w:t xml:space="preserve">those </w:t>
      </w:r>
      <w:r w:rsidR="00C56C7A" w:rsidRPr="005F705E">
        <w:rPr>
          <w:rFonts w:ascii="Times New Roman" w:hAnsi="Times New Roman" w:cs="Times New Roman"/>
          <w:szCs w:val="24"/>
          <w:lang w:val="en-US"/>
        </w:rPr>
        <w:t>changes affected households. This article tackles changes in households’ labour participation</w:t>
      </w:r>
      <w:r w:rsidR="004A2AFA" w:rsidRPr="005F705E">
        <w:rPr>
          <w:rFonts w:ascii="Times New Roman" w:hAnsi="Times New Roman" w:cs="Times New Roman"/>
          <w:szCs w:val="24"/>
          <w:lang w:val="en-US"/>
        </w:rPr>
        <w:t xml:space="preserve"> and in economic welfare. Specifically,</w:t>
      </w:r>
      <w:r w:rsidR="00C56C7A" w:rsidRPr="005F705E">
        <w:rPr>
          <w:rFonts w:ascii="Times New Roman" w:hAnsi="Times New Roman" w:cs="Times New Roman"/>
          <w:szCs w:val="24"/>
          <w:lang w:val="en-US"/>
        </w:rPr>
        <w:t xml:space="preserve"> </w:t>
      </w:r>
      <w:r w:rsidR="004A2AFA" w:rsidRPr="005F705E">
        <w:rPr>
          <w:rFonts w:ascii="Times New Roman" w:hAnsi="Times New Roman" w:cs="Times New Roman"/>
          <w:szCs w:val="24"/>
          <w:lang w:val="en-US"/>
        </w:rPr>
        <w:t xml:space="preserve">labour opportunities both for the household’s head and for secondary </w:t>
      </w:r>
      <w:r w:rsidR="00C56C7A" w:rsidRPr="005F705E">
        <w:rPr>
          <w:rFonts w:ascii="Times New Roman" w:hAnsi="Times New Roman" w:cs="Times New Roman"/>
          <w:szCs w:val="24"/>
          <w:lang w:val="en-US"/>
        </w:rPr>
        <w:t xml:space="preserve">workers </w:t>
      </w:r>
      <w:r w:rsidR="004A2AFA" w:rsidRPr="005F705E">
        <w:rPr>
          <w:rFonts w:ascii="Times New Roman" w:hAnsi="Times New Roman" w:cs="Times New Roman"/>
          <w:szCs w:val="24"/>
          <w:lang w:val="en-US"/>
        </w:rPr>
        <w:t xml:space="preserve">are analyzed, as well as </w:t>
      </w:r>
      <w:r w:rsidR="00C56C7A" w:rsidRPr="005F705E">
        <w:rPr>
          <w:rFonts w:ascii="Times New Roman" w:hAnsi="Times New Roman" w:cs="Times New Roman"/>
          <w:szCs w:val="24"/>
          <w:lang w:val="en-US"/>
        </w:rPr>
        <w:t>the effect</w:t>
      </w:r>
      <w:r w:rsidR="00047A68" w:rsidRPr="005F705E">
        <w:rPr>
          <w:rFonts w:ascii="Times New Roman" w:hAnsi="Times New Roman" w:cs="Times New Roman"/>
          <w:szCs w:val="24"/>
          <w:lang w:val="en-US"/>
        </w:rPr>
        <w:t>s</w:t>
      </w:r>
      <w:r w:rsidR="00C56C7A" w:rsidRPr="005F705E">
        <w:rPr>
          <w:rFonts w:ascii="Times New Roman" w:hAnsi="Times New Roman" w:cs="Times New Roman"/>
          <w:szCs w:val="24"/>
          <w:lang w:val="en-US"/>
        </w:rPr>
        <w:t xml:space="preserve"> of these changes upon economic welfare in different groups of households. </w:t>
      </w:r>
      <w:r w:rsidR="004A2AFA" w:rsidRPr="005F705E">
        <w:rPr>
          <w:rFonts w:ascii="Times New Roman" w:hAnsi="Times New Roman" w:cs="Times New Roman"/>
          <w:szCs w:val="24"/>
          <w:lang w:val="en-US"/>
        </w:rPr>
        <w:t xml:space="preserve">Also, the existence and evolution of a group of households that ‘concentrate’ low-productivity or precarious employment </w:t>
      </w:r>
      <w:r w:rsidR="00047A68" w:rsidRPr="005F705E">
        <w:rPr>
          <w:rFonts w:ascii="Times New Roman" w:hAnsi="Times New Roman" w:cs="Times New Roman"/>
          <w:szCs w:val="24"/>
          <w:lang w:val="en-US"/>
        </w:rPr>
        <w:t>is</w:t>
      </w:r>
      <w:r w:rsidR="004A2AFA" w:rsidRPr="005F705E">
        <w:rPr>
          <w:rFonts w:ascii="Times New Roman" w:hAnsi="Times New Roman" w:cs="Times New Roman"/>
          <w:szCs w:val="24"/>
          <w:lang w:val="en-US"/>
        </w:rPr>
        <w:t xml:space="preserve"> tackled. </w:t>
      </w:r>
      <w:r w:rsidR="00C56C7A" w:rsidRPr="005F705E">
        <w:rPr>
          <w:rFonts w:ascii="Times New Roman" w:hAnsi="Times New Roman" w:cs="Times New Roman"/>
          <w:szCs w:val="24"/>
          <w:lang w:val="en-US"/>
        </w:rPr>
        <w:t xml:space="preserve">The paper follows a quantitative strategy and data comes from Permanent Household Survey (INDEC). The general hypothesis is that persistent structural heterogeneity of the occupational system that has been verified by the literature at an individual level implies a segmented labour ‘opportunities structure’ for households which results in persistent inequalities in terms of economic welfare. </w:t>
      </w:r>
      <w:r w:rsidR="009A6EDD" w:rsidRPr="005F705E">
        <w:rPr>
          <w:rFonts w:ascii="Times New Roman" w:hAnsi="Times New Roman" w:cs="Times New Roman"/>
          <w:szCs w:val="24"/>
          <w:lang w:val="en-US"/>
        </w:rPr>
        <w:t xml:space="preserve">Results show some opposed trends: a recovery of households </w:t>
      </w:r>
      <w:r w:rsidR="00047A68" w:rsidRPr="005F705E">
        <w:rPr>
          <w:rFonts w:ascii="Times New Roman" w:hAnsi="Times New Roman" w:cs="Times New Roman"/>
          <w:szCs w:val="24"/>
          <w:lang w:val="en-US"/>
        </w:rPr>
        <w:t xml:space="preserve">that participate </w:t>
      </w:r>
      <w:r w:rsidR="009A6EDD" w:rsidRPr="005F705E">
        <w:rPr>
          <w:rFonts w:ascii="Times New Roman" w:hAnsi="Times New Roman" w:cs="Times New Roman"/>
          <w:szCs w:val="24"/>
          <w:lang w:val="en-US"/>
        </w:rPr>
        <w:t>in the formal sector</w:t>
      </w:r>
      <w:r w:rsidR="00047A68" w:rsidRPr="005F705E">
        <w:rPr>
          <w:rFonts w:ascii="Times New Roman" w:hAnsi="Times New Roman" w:cs="Times New Roman"/>
          <w:szCs w:val="24"/>
          <w:lang w:val="en-US"/>
        </w:rPr>
        <w:t xml:space="preserve"> through their occupied members; </w:t>
      </w:r>
      <w:r w:rsidR="009A6EDD" w:rsidRPr="005F705E">
        <w:rPr>
          <w:rFonts w:ascii="Times New Roman" w:hAnsi="Times New Roman" w:cs="Times New Roman"/>
          <w:szCs w:val="24"/>
          <w:lang w:val="en-US"/>
        </w:rPr>
        <w:t xml:space="preserve">the existence of persistent difficulties in terms of access to formal employment for those secondary workers whose head of household </w:t>
      </w:r>
      <w:r w:rsidR="00047A68" w:rsidRPr="005F705E">
        <w:rPr>
          <w:rFonts w:ascii="Times New Roman" w:hAnsi="Times New Roman" w:cs="Times New Roman"/>
          <w:szCs w:val="24"/>
          <w:lang w:val="en-US"/>
        </w:rPr>
        <w:t>is in the informal sector or has a precarious employment</w:t>
      </w:r>
      <w:r w:rsidR="009A6EDD" w:rsidRPr="005F705E">
        <w:rPr>
          <w:rFonts w:ascii="Times New Roman" w:hAnsi="Times New Roman" w:cs="Times New Roman"/>
          <w:szCs w:val="24"/>
          <w:lang w:val="en-US"/>
        </w:rPr>
        <w:t xml:space="preserve">, and a strong </w:t>
      </w:r>
      <w:r w:rsidR="00047A68" w:rsidRPr="005F705E">
        <w:rPr>
          <w:rFonts w:ascii="Times New Roman" w:hAnsi="Times New Roman" w:cs="Times New Roman"/>
          <w:szCs w:val="24"/>
          <w:lang w:val="en-US"/>
        </w:rPr>
        <w:t>correlation</w:t>
      </w:r>
      <w:r w:rsidR="009A6EDD" w:rsidRPr="005F705E">
        <w:rPr>
          <w:rFonts w:ascii="Times New Roman" w:hAnsi="Times New Roman" w:cs="Times New Roman"/>
          <w:szCs w:val="24"/>
          <w:lang w:val="en-US"/>
        </w:rPr>
        <w:t xml:space="preserve"> between the belonging to the informal sector and poverty. </w:t>
      </w:r>
    </w:p>
    <w:p w:rsidR="003607B3" w:rsidRPr="005F705E" w:rsidRDefault="003607B3" w:rsidP="003607B3">
      <w:pPr>
        <w:pStyle w:val="Sinespaciado"/>
        <w:jc w:val="both"/>
        <w:rPr>
          <w:rFonts w:ascii="Times New Roman" w:hAnsi="Times New Roman" w:cs="Times New Roman"/>
          <w:szCs w:val="24"/>
          <w:lang w:val="en-US"/>
        </w:rPr>
      </w:pPr>
    </w:p>
    <w:p w:rsidR="003607B3" w:rsidRPr="005F705E" w:rsidRDefault="009A6EDD" w:rsidP="003607B3">
      <w:pPr>
        <w:pStyle w:val="Sinespaciado"/>
        <w:jc w:val="both"/>
        <w:rPr>
          <w:rFonts w:ascii="Times New Roman" w:hAnsi="Times New Roman" w:cs="Times New Roman"/>
          <w:szCs w:val="24"/>
          <w:lang w:val="en-US"/>
        </w:rPr>
      </w:pPr>
      <w:r w:rsidRPr="005F705E">
        <w:rPr>
          <w:rFonts w:ascii="Times New Roman" w:hAnsi="Times New Roman" w:cs="Times New Roman"/>
          <w:b/>
          <w:szCs w:val="24"/>
          <w:lang w:val="en-US"/>
        </w:rPr>
        <w:t>Key Words</w:t>
      </w:r>
      <w:r w:rsidR="003607B3" w:rsidRPr="005F705E">
        <w:rPr>
          <w:rFonts w:ascii="Times New Roman" w:hAnsi="Times New Roman" w:cs="Times New Roman"/>
          <w:szCs w:val="24"/>
          <w:lang w:val="en-US"/>
        </w:rPr>
        <w:t xml:space="preserve">: </w:t>
      </w:r>
      <w:r w:rsidRPr="005F705E">
        <w:rPr>
          <w:rFonts w:ascii="Times New Roman" w:hAnsi="Times New Roman" w:cs="Times New Roman"/>
          <w:szCs w:val="24"/>
          <w:lang w:val="en-US"/>
        </w:rPr>
        <w:t xml:space="preserve">Structural Heterogeneity – Informality – Economic Welfare – Poverty </w:t>
      </w:r>
    </w:p>
    <w:p w:rsidR="003607B3" w:rsidRPr="005F705E" w:rsidRDefault="003607B3" w:rsidP="00CB5828">
      <w:pPr>
        <w:pStyle w:val="Sinespaciado"/>
        <w:jc w:val="both"/>
        <w:rPr>
          <w:rFonts w:ascii="Times New Roman" w:hAnsi="Times New Roman" w:cs="Times New Roman"/>
          <w:szCs w:val="24"/>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047A68" w:rsidRPr="005F705E" w:rsidRDefault="00047A68" w:rsidP="00F115BD">
      <w:pPr>
        <w:pStyle w:val="Sinespaciado"/>
        <w:jc w:val="both"/>
        <w:rPr>
          <w:rFonts w:ascii="Times New Roman" w:hAnsi="Times New Roman" w:cs="Times New Roman"/>
          <w:b/>
          <w:lang w:val="en-US"/>
        </w:rPr>
      </w:pPr>
    </w:p>
    <w:p w:rsidR="00E22C69" w:rsidRPr="005F705E" w:rsidRDefault="00E22C69" w:rsidP="00F115BD">
      <w:pPr>
        <w:pStyle w:val="Sinespaciado"/>
        <w:jc w:val="both"/>
        <w:rPr>
          <w:rFonts w:ascii="Times New Roman" w:hAnsi="Times New Roman" w:cs="Times New Roman"/>
          <w:b/>
          <w:lang w:val="en-US"/>
        </w:rPr>
      </w:pPr>
    </w:p>
    <w:p w:rsidR="00814883" w:rsidRPr="005F705E" w:rsidRDefault="00814883" w:rsidP="00F115BD">
      <w:pPr>
        <w:pStyle w:val="Sinespaciado"/>
        <w:jc w:val="both"/>
        <w:rPr>
          <w:rFonts w:ascii="Times New Roman" w:hAnsi="Times New Roman" w:cs="Times New Roman"/>
          <w:b/>
          <w:lang w:val="en-US"/>
        </w:rPr>
        <w:sectPr w:rsidR="00814883" w:rsidRPr="005F705E" w:rsidSect="003607B3">
          <w:footerReference w:type="default" r:id="rId9"/>
          <w:pgSz w:w="11907" w:h="16839" w:code="9"/>
          <w:pgMar w:top="1417" w:right="1701" w:bottom="1417" w:left="1701" w:header="708" w:footer="708" w:gutter="0"/>
          <w:pgNumType w:start="1"/>
          <w:cols w:space="708"/>
          <w:docGrid w:linePitch="360"/>
        </w:sectPr>
      </w:pPr>
    </w:p>
    <w:p w:rsidR="005D27C1" w:rsidRPr="005F705E" w:rsidRDefault="00A8565E" w:rsidP="00F115BD">
      <w:pPr>
        <w:pStyle w:val="Sinespaciado"/>
        <w:jc w:val="both"/>
        <w:rPr>
          <w:rFonts w:ascii="Times New Roman" w:hAnsi="Times New Roman" w:cs="Times New Roman"/>
          <w:b/>
          <w:lang w:val="es-ES"/>
        </w:rPr>
      </w:pPr>
      <w:r w:rsidRPr="005F705E">
        <w:rPr>
          <w:rFonts w:ascii="Times New Roman" w:hAnsi="Times New Roman" w:cs="Times New Roman"/>
          <w:b/>
          <w:lang w:val="es-ES"/>
        </w:rPr>
        <w:lastRenderedPageBreak/>
        <w:t xml:space="preserve">1. </w:t>
      </w:r>
      <w:r w:rsidR="00AA1370" w:rsidRPr="005F705E">
        <w:rPr>
          <w:rFonts w:ascii="Times New Roman" w:hAnsi="Times New Roman" w:cs="Times New Roman"/>
          <w:b/>
          <w:lang w:val="es-ES"/>
        </w:rPr>
        <w:t>Introducción</w:t>
      </w:r>
    </w:p>
    <w:p w:rsidR="008D4F4E" w:rsidRPr="005F705E" w:rsidRDefault="008D4F4E" w:rsidP="00F115BD">
      <w:pPr>
        <w:pStyle w:val="Sinespaciado"/>
        <w:jc w:val="both"/>
        <w:rPr>
          <w:rFonts w:ascii="Times New Roman" w:hAnsi="Times New Roman" w:cs="Times New Roman"/>
          <w:b/>
          <w:lang w:val="es-ES"/>
        </w:rPr>
      </w:pPr>
    </w:p>
    <w:p w:rsidR="008D4F4E" w:rsidRPr="005F705E" w:rsidRDefault="008D4F4E"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La trayectoria seguida por la sociedad argentina en la última década y media estuvo atravesada por la salida del régimen </w:t>
      </w:r>
      <w:r w:rsidR="00947794" w:rsidRPr="005F705E">
        <w:rPr>
          <w:rFonts w:ascii="Times New Roman" w:hAnsi="Times New Roman" w:cs="Times New Roman"/>
          <w:lang w:val="es-ES"/>
        </w:rPr>
        <w:t>de reformas estructurales bajo un modelo de convertibilidad y</w:t>
      </w:r>
      <w:r w:rsidRPr="005F705E">
        <w:rPr>
          <w:rFonts w:ascii="Times New Roman" w:hAnsi="Times New Roman" w:cs="Times New Roman"/>
          <w:lang w:val="es-ES"/>
        </w:rPr>
        <w:t xml:space="preserve"> por </w:t>
      </w:r>
      <w:r w:rsidR="00947794" w:rsidRPr="005F705E">
        <w:rPr>
          <w:rFonts w:ascii="Times New Roman" w:hAnsi="Times New Roman" w:cs="Times New Roman"/>
          <w:lang w:val="es-ES"/>
        </w:rPr>
        <w:t>la</w:t>
      </w:r>
      <w:r w:rsidRPr="005F705E">
        <w:rPr>
          <w:rFonts w:ascii="Times New Roman" w:hAnsi="Times New Roman" w:cs="Times New Roman"/>
          <w:lang w:val="es-ES"/>
        </w:rPr>
        <w:t xml:space="preserve"> expansión de los niveles de empleo en comparación con los años noventa. Algunos analistas </w:t>
      </w:r>
      <w:r w:rsidR="009E4865" w:rsidRPr="005F705E">
        <w:rPr>
          <w:rFonts w:ascii="Times New Roman" w:hAnsi="Times New Roman" w:cs="Times New Roman"/>
          <w:lang w:val="es-ES"/>
        </w:rPr>
        <w:t>describ</w:t>
      </w:r>
      <w:r w:rsidR="000C0422" w:rsidRPr="005F705E">
        <w:rPr>
          <w:rFonts w:ascii="Times New Roman" w:hAnsi="Times New Roman" w:cs="Times New Roman"/>
          <w:lang w:val="es-ES"/>
        </w:rPr>
        <w:t>ieron este ciclo</w:t>
      </w:r>
      <w:r w:rsidRPr="005F705E">
        <w:rPr>
          <w:rFonts w:ascii="Times New Roman" w:hAnsi="Times New Roman" w:cs="Times New Roman"/>
          <w:lang w:val="es-ES"/>
        </w:rPr>
        <w:t xml:space="preserve"> en términos de un “nuevo modelo de desarrollo”, enfatizando el rol que una política macroeconómica </w:t>
      </w:r>
      <w:r w:rsidR="0018532C" w:rsidRPr="005F705E">
        <w:rPr>
          <w:rFonts w:ascii="Times New Roman" w:hAnsi="Times New Roman" w:cs="Times New Roman"/>
          <w:lang w:val="es-ES"/>
        </w:rPr>
        <w:t xml:space="preserve">orientada al mercado interno habría tenido en la </w:t>
      </w:r>
      <w:r w:rsidR="0040359D" w:rsidRPr="005F705E">
        <w:rPr>
          <w:rFonts w:ascii="Times New Roman" w:hAnsi="Times New Roman" w:cs="Times New Roman"/>
          <w:lang w:val="es-ES"/>
        </w:rPr>
        <w:t>re</w:t>
      </w:r>
      <w:r w:rsidR="0018532C" w:rsidRPr="005F705E">
        <w:rPr>
          <w:rFonts w:ascii="Times New Roman" w:hAnsi="Times New Roman" w:cs="Times New Roman"/>
          <w:lang w:val="es-ES"/>
        </w:rPr>
        <w:t>configuración del mercado laboral</w:t>
      </w:r>
      <w:r w:rsidRPr="005F705E">
        <w:rPr>
          <w:rFonts w:ascii="Times New Roman" w:hAnsi="Times New Roman" w:cs="Times New Roman"/>
          <w:lang w:val="es-ES"/>
        </w:rPr>
        <w:t xml:space="preserve"> (Neffa y Panigo, 2009; Palomino y Dalle, 2012)</w:t>
      </w:r>
      <w:r w:rsidR="0018532C" w:rsidRPr="005F705E">
        <w:rPr>
          <w:rFonts w:ascii="Times New Roman" w:hAnsi="Times New Roman" w:cs="Times New Roman"/>
          <w:lang w:val="es-ES"/>
        </w:rPr>
        <w:t>. O</w:t>
      </w:r>
      <w:r w:rsidRPr="005F705E">
        <w:rPr>
          <w:rFonts w:ascii="Times New Roman" w:hAnsi="Times New Roman" w:cs="Times New Roman"/>
          <w:lang w:val="es-ES"/>
        </w:rPr>
        <w:t xml:space="preserve">tros autores, </w:t>
      </w:r>
      <w:r w:rsidR="0018532C" w:rsidRPr="005F705E">
        <w:rPr>
          <w:rFonts w:ascii="Times New Roman" w:hAnsi="Times New Roman" w:cs="Times New Roman"/>
          <w:lang w:val="es-ES"/>
        </w:rPr>
        <w:t xml:space="preserve">en cambio, </w:t>
      </w:r>
      <w:r w:rsidRPr="005F705E">
        <w:rPr>
          <w:rFonts w:ascii="Times New Roman" w:hAnsi="Times New Roman" w:cs="Times New Roman"/>
          <w:lang w:val="es-ES"/>
        </w:rPr>
        <w:t xml:space="preserve">han </w:t>
      </w:r>
      <w:r w:rsidR="009E4865" w:rsidRPr="005F705E">
        <w:rPr>
          <w:rFonts w:ascii="Times New Roman" w:hAnsi="Times New Roman" w:cs="Times New Roman"/>
          <w:lang w:val="es-ES"/>
        </w:rPr>
        <w:t>subrayado</w:t>
      </w:r>
      <w:r w:rsidRPr="005F705E">
        <w:rPr>
          <w:rFonts w:ascii="Times New Roman" w:hAnsi="Times New Roman" w:cs="Times New Roman"/>
          <w:lang w:val="es-ES"/>
        </w:rPr>
        <w:t xml:space="preserve"> la persistencia de la informalidad, la desigualdad y la segmentación como rasgos duraderos del mercado laboral</w:t>
      </w:r>
      <w:r w:rsidR="0018532C" w:rsidRPr="005F705E">
        <w:rPr>
          <w:rFonts w:ascii="Times New Roman" w:hAnsi="Times New Roman" w:cs="Times New Roman"/>
          <w:lang w:val="es-ES"/>
        </w:rPr>
        <w:t xml:space="preserve"> argentino</w:t>
      </w:r>
      <w:r w:rsidRPr="005F705E">
        <w:rPr>
          <w:rFonts w:ascii="Times New Roman" w:hAnsi="Times New Roman" w:cs="Times New Roman"/>
          <w:lang w:val="es-ES"/>
        </w:rPr>
        <w:t xml:space="preserve"> (</w:t>
      </w:r>
      <w:r w:rsidR="0018532C" w:rsidRPr="005F705E">
        <w:rPr>
          <w:rFonts w:ascii="Times New Roman" w:hAnsi="Times New Roman" w:cs="Times New Roman"/>
          <w:lang w:val="es-ES"/>
        </w:rPr>
        <w:t xml:space="preserve">Beccaria y Maurizio, 2012; </w:t>
      </w:r>
      <w:r w:rsidRPr="005F705E">
        <w:rPr>
          <w:rFonts w:ascii="Times New Roman" w:hAnsi="Times New Roman" w:cs="Times New Roman"/>
          <w:lang w:val="es-ES"/>
        </w:rPr>
        <w:t>Groisman, 2013; Salvia y Vera, 2012).</w:t>
      </w:r>
    </w:p>
    <w:p w:rsidR="005D27C1" w:rsidRPr="005F705E" w:rsidRDefault="009E4865"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Estos estudios aportan significativas evidencias sobre las transformaciones en el mercado de trabajo y la evolución de la fuerza de trabajo a nivel individual; por el contrario, han recibido menor atención los cambios registrados en el vínculo de los hogares con el mercado de trabajo y las formas en que tales modificaciones incidieron sobre el bienestar económico. Los autores que se han abocado a este punto no ofrecen un cuadro de evidencias concluyentes. Groisman (2011), por ejemplo, señala que la recuperación del empleo </w:t>
      </w:r>
      <w:r w:rsidR="00D31645" w:rsidRPr="005F705E">
        <w:rPr>
          <w:rFonts w:ascii="Times New Roman" w:hAnsi="Times New Roman" w:cs="Times New Roman"/>
          <w:lang w:val="es-ES"/>
        </w:rPr>
        <w:t>formal</w:t>
      </w:r>
      <w:r w:rsidRPr="005F705E">
        <w:rPr>
          <w:rFonts w:ascii="Times New Roman" w:hAnsi="Times New Roman" w:cs="Times New Roman"/>
          <w:lang w:val="es-ES"/>
        </w:rPr>
        <w:t xml:space="preserve"> durante los primeros años de la post-convertibilidad coexistió con una “segmentación” de las oportunidades laborales para los hogares según la posición del jefe. Por el contrario, Dalle et al. (2015) señalan que, a diferencia del análisis basado en los individuos, </w:t>
      </w:r>
      <w:r w:rsidR="00947794" w:rsidRPr="005F705E">
        <w:rPr>
          <w:rFonts w:ascii="Times New Roman" w:hAnsi="Times New Roman" w:cs="Times New Roman"/>
          <w:lang w:val="es-ES"/>
        </w:rPr>
        <w:t xml:space="preserve">a través de </w:t>
      </w:r>
      <w:r w:rsidRPr="005F705E">
        <w:rPr>
          <w:rFonts w:ascii="Times New Roman" w:hAnsi="Times New Roman" w:cs="Times New Roman"/>
          <w:lang w:val="es-ES"/>
        </w:rPr>
        <w:t xml:space="preserve">los hogares </w:t>
      </w:r>
      <w:r w:rsidR="00947794" w:rsidRPr="005F705E">
        <w:rPr>
          <w:rFonts w:ascii="Times New Roman" w:hAnsi="Times New Roman" w:cs="Times New Roman"/>
          <w:lang w:val="es-ES"/>
        </w:rPr>
        <w:t xml:space="preserve">se advierte </w:t>
      </w:r>
      <w:r w:rsidRPr="005F705E">
        <w:rPr>
          <w:rFonts w:ascii="Times New Roman" w:hAnsi="Times New Roman" w:cs="Times New Roman"/>
          <w:lang w:val="es-ES"/>
        </w:rPr>
        <w:t>una menor segmentación, en tanto las familias habrían conseguido “combinar” ocupaciones informales con empleos formales</w:t>
      </w:r>
      <w:r w:rsidRPr="005F705E">
        <w:rPr>
          <w:rStyle w:val="Refdenotaalpie"/>
          <w:rFonts w:ascii="Times New Roman" w:hAnsi="Times New Roman" w:cs="Times New Roman"/>
          <w:lang w:val="es-ES"/>
        </w:rPr>
        <w:footnoteReference w:id="2"/>
      </w:r>
      <w:r w:rsidRPr="005F705E">
        <w:rPr>
          <w:rFonts w:ascii="Times New Roman" w:hAnsi="Times New Roman" w:cs="Times New Roman"/>
          <w:lang w:val="es-ES"/>
        </w:rPr>
        <w:t xml:space="preserve">. </w:t>
      </w:r>
    </w:p>
    <w:p w:rsidR="009E4865" w:rsidRPr="005F705E" w:rsidRDefault="009E4865" w:rsidP="009B79D3">
      <w:pPr>
        <w:pStyle w:val="Sinespaciado"/>
        <w:spacing w:line="480" w:lineRule="auto"/>
        <w:jc w:val="both"/>
        <w:rPr>
          <w:rFonts w:ascii="Times New Roman" w:hAnsi="Times New Roman" w:cs="Times New Roman"/>
          <w:i/>
          <w:lang w:val="es-ES"/>
        </w:rPr>
      </w:pPr>
      <w:r w:rsidRPr="005F705E">
        <w:rPr>
          <w:rFonts w:ascii="Times New Roman" w:hAnsi="Times New Roman" w:cs="Times New Roman"/>
          <w:lang w:val="es-ES"/>
        </w:rPr>
        <w:lastRenderedPageBreak/>
        <w:t xml:space="preserve">En este contexto, el objetivo del presente artículo es describir los cambios ocurridos en la participación económico-ocupacional </w:t>
      </w:r>
      <w:r w:rsidR="00D376C2" w:rsidRPr="005F705E">
        <w:rPr>
          <w:rFonts w:ascii="Times New Roman" w:hAnsi="Times New Roman" w:cs="Times New Roman"/>
          <w:lang w:val="es-ES"/>
        </w:rPr>
        <w:t>y en los niveles de bienestar económico de los hogares</w:t>
      </w:r>
      <w:r w:rsidRPr="005F705E">
        <w:rPr>
          <w:rStyle w:val="Refdenotaalpie"/>
          <w:rFonts w:ascii="Times New Roman" w:hAnsi="Times New Roman" w:cs="Times New Roman"/>
          <w:lang w:val="es-ES"/>
        </w:rPr>
        <w:footnoteReference w:id="3"/>
      </w:r>
      <w:r w:rsidRPr="005F705E">
        <w:rPr>
          <w:rFonts w:ascii="Times New Roman" w:hAnsi="Times New Roman" w:cs="Times New Roman"/>
          <w:lang w:val="es-ES"/>
        </w:rPr>
        <w:t xml:space="preserve">. </w:t>
      </w:r>
      <w:r w:rsidR="00B706C3" w:rsidRPr="005F705E">
        <w:rPr>
          <w:rFonts w:ascii="Times New Roman" w:hAnsi="Times New Roman" w:cs="Times New Roman"/>
          <w:lang w:val="es-ES"/>
        </w:rPr>
        <w:t>Una mirada centrada en l</w:t>
      </w:r>
      <w:r w:rsidR="00D376C2" w:rsidRPr="005F705E">
        <w:rPr>
          <w:rFonts w:ascii="Times New Roman" w:hAnsi="Times New Roman" w:cs="Times New Roman"/>
          <w:lang w:val="es-ES"/>
        </w:rPr>
        <w:t>as unidades domésticas</w:t>
      </w:r>
      <w:r w:rsidR="00B706C3" w:rsidRPr="005F705E">
        <w:rPr>
          <w:rFonts w:ascii="Times New Roman" w:hAnsi="Times New Roman" w:cs="Times New Roman"/>
          <w:lang w:val="es-ES"/>
        </w:rPr>
        <w:t xml:space="preserve"> es relevante por cuanto es allí donde se organiza la reproducción de la fuerza de trabajo y tienen lugar comportamientos orientados a optimizar las condiciones de vida de sus integrantes (Torrado, 2006 [1982]). </w:t>
      </w:r>
      <w:r w:rsidR="004332CD" w:rsidRPr="005F705E">
        <w:rPr>
          <w:rFonts w:ascii="Times New Roman" w:hAnsi="Times New Roman" w:cs="Times New Roman"/>
          <w:lang w:val="es-ES"/>
        </w:rPr>
        <w:t>En un sentido más general</w:t>
      </w:r>
      <w:r w:rsidR="00D376C2" w:rsidRPr="005F705E">
        <w:rPr>
          <w:rFonts w:ascii="Times New Roman" w:hAnsi="Times New Roman" w:cs="Times New Roman"/>
          <w:lang w:val="es-ES"/>
        </w:rPr>
        <w:t>, el artículo busca aportar al estudio de la reconfiguración de</w:t>
      </w:r>
      <w:r w:rsidR="000C0422" w:rsidRPr="005F705E">
        <w:rPr>
          <w:rFonts w:ascii="Times New Roman" w:hAnsi="Times New Roman" w:cs="Times New Roman"/>
          <w:lang w:val="es-ES"/>
        </w:rPr>
        <w:t xml:space="preserve">l mercado de trabajo en la última década </w:t>
      </w:r>
      <w:r w:rsidR="00D376C2" w:rsidRPr="005F705E">
        <w:rPr>
          <w:rFonts w:ascii="Times New Roman" w:hAnsi="Times New Roman" w:cs="Times New Roman"/>
          <w:lang w:val="es-ES"/>
        </w:rPr>
        <w:t>y a los cambios en los patrones de reproducción social de los hogares.</w:t>
      </w:r>
      <w:r w:rsidRPr="005F705E">
        <w:rPr>
          <w:rFonts w:ascii="Times New Roman" w:hAnsi="Times New Roman" w:cs="Times New Roman"/>
          <w:i/>
          <w:lang w:val="es-ES"/>
        </w:rPr>
        <w:t xml:space="preserve"> </w:t>
      </w:r>
    </w:p>
    <w:p w:rsidR="00D376C2" w:rsidRPr="005F705E" w:rsidRDefault="00D376C2"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Una visión difundida para explicar el vínculo de los hogares con el mercado de trabajo enfatiza las “preferencias” de los </w:t>
      </w:r>
      <w:r w:rsidR="007A1A39" w:rsidRPr="005F705E">
        <w:rPr>
          <w:rFonts w:ascii="Times New Roman" w:hAnsi="Times New Roman" w:cs="Times New Roman"/>
          <w:lang w:val="es-ES"/>
        </w:rPr>
        <w:t xml:space="preserve">mismos en el acceso a determinados puestos. En particular,  se señala que una parte </w:t>
      </w:r>
      <w:r w:rsidRPr="005F705E">
        <w:rPr>
          <w:rFonts w:ascii="Times New Roman" w:hAnsi="Times New Roman" w:cs="Times New Roman"/>
          <w:lang w:val="es-ES"/>
        </w:rPr>
        <w:t xml:space="preserve">del empleo en el sector informal y de los empleos no registrados </w:t>
      </w:r>
      <w:r w:rsidR="007A1A39" w:rsidRPr="005F705E">
        <w:rPr>
          <w:rFonts w:ascii="Times New Roman" w:hAnsi="Times New Roman" w:cs="Times New Roman"/>
          <w:lang w:val="es-ES"/>
        </w:rPr>
        <w:t xml:space="preserve">es </w:t>
      </w:r>
      <w:r w:rsidRPr="005F705E">
        <w:rPr>
          <w:rFonts w:ascii="Times New Roman" w:hAnsi="Times New Roman" w:cs="Times New Roman"/>
          <w:lang w:val="es-ES"/>
        </w:rPr>
        <w:t xml:space="preserve">una función de las preferencias de los hogares en la medida que posibilitan una adaptación a requerimientos domésticos (tiempo destinado al trabajo y a tareas reproductivas). En el mismo sentido se argumenta </w:t>
      </w:r>
      <w:r w:rsidR="00947794" w:rsidRPr="005F705E">
        <w:rPr>
          <w:rFonts w:ascii="Times New Roman" w:hAnsi="Times New Roman" w:cs="Times New Roman"/>
          <w:lang w:val="es-ES"/>
        </w:rPr>
        <w:t xml:space="preserve">acerca de </w:t>
      </w:r>
      <w:r w:rsidRPr="005F705E">
        <w:rPr>
          <w:rFonts w:ascii="Times New Roman" w:hAnsi="Times New Roman" w:cs="Times New Roman"/>
          <w:lang w:val="es-ES"/>
        </w:rPr>
        <w:t xml:space="preserve">la posibilidad de aprovechar la protección social brindada a uno de los miembros del hogar para los otros integrantes de la unidad doméstica, todo lo cual daría cuenta, al menos parcialmente, del carácter “voluntario” de la participación en el sector informal y en empleos no registrados (Maloney, 2004; Perry et al., 2007). </w:t>
      </w:r>
    </w:p>
    <w:p w:rsidR="00D376C2" w:rsidRPr="005F705E" w:rsidRDefault="00947794"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En contraste</w:t>
      </w:r>
      <w:r w:rsidR="00D376C2" w:rsidRPr="005F705E">
        <w:rPr>
          <w:rFonts w:ascii="Times New Roman" w:hAnsi="Times New Roman" w:cs="Times New Roman"/>
          <w:lang w:val="es-ES"/>
        </w:rPr>
        <w:t>, la hipótesis que guía este artículo es que la persistente heterogeneidad estructural así como la segmentación del sistema ocupacional argentino</w:t>
      </w:r>
      <w:r w:rsidR="007A1A39" w:rsidRPr="005F705E">
        <w:rPr>
          <w:rFonts w:ascii="Times New Roman" w:hAnsi="Times New Roman" w:cs="Times New Roman"/>
          <w:lang w:val="es-ES"/>
        </w:rPr>
        <w:t xml:space="preserve"> </w:t>
      </w:r>
      <w:r w:rsidR="00D376C2" w:rsidRPr="005F705E">
        <w:rPr>
          <w:rFonts w:ascii="Times New Roman" w:hAnsi="Times New Roman" w:cs="Times New Roman"/>
          <w:lang w:val="es-ES"/>
        </w:rPr>
        <w:t xml:space="preserve"> (Danani y Lindenboim, 2016; Jaccoud et al., 2015; Salvia y Vera, 2012; Salvia, Vera y Poy, 2015), </w:t>
      </w:r>
      <w:r w:rsidR="00D376C2" w:rsidRPr="005F705E">
        <w:rPr>
          <w:rFonts w:ascii="Times New Roman" w:hAnsi="Times New Roman" w:cs="Times New Roman"/>
          <w:lang w:val="es-ES"/>
        </w:rPr>
        <w:lastRenderedPageBreak/>
        <w:t>se habrían traducido en una estructura económico-ocupacional segmentada para las familias</w:t>
      </w:r>
      <w:r w:rsidR="007A1A39" w:rsidRPr="005F705E">
        <w:rPr>
          <w:rFonts w:ascii="Times New Roman" w:hAnsi="Times New Roman" w:cs="Times New Roman"/>
          <w:lang w:val="es-ES"/>
        </w:rPr>
        <w:t>, lo que</w:t>
      </w:r>
      <w:r w:rsidR="00D376C2" w:rsidRPr="005F705E">
        <w:rPr>
          <w:rFonts w:ascii="Times New Roman" w:hAnsi="Times New Roman" w:cs="Times New Roman"/>
          <w:lang w:val="es-ES"/>
        </w:rPr>
        <w:t xml:space="preserve"> </w:t>
      </w:r>
      <w:r w:rsidR="007A1A39" w:rsidRPr="005F705E">
        <w:rPr>
          <w:rFonts w:ascii="Times New Roman" w:hAnsi="Times New Roman" w:cs="Times New Roman"/>
          <w:lang w:val="es-ES"/>
        </w:rPr>
        <w:t>condiciona</w:t>
      </w:r>
      <w:r w:rsidR="00D376C2" w:rsidRPr="005F705E">
        <w:rPr>
          <w:rFonts w:ascii="Times New Roman" w:hAnsi="Times New Roman" w:cs="Times New Roman"/>
          <w:lang w:val="es-ES"/>
        </w:rPr>
        <w:t xml:space="preserve"> </w:t>
      </w:r>
      <w:r w:rsidR="007A1A39" w:rsidRPr="005F705E">
        <w:rPr>
          <w:rFonts w:ascii="Times New Roman" w:hAnsi="Times New Roman" w:cs="Times New Roman"/>
          <w:lang w:val="es-ES"/>
        </w:rPr>
        <w:t>las</w:t>
      </w:r>
      <w:r w:rsidR="00D376C2" w:rsidRPr="005F705E">
        <w:rPr>
          <w:rFonts w:ascii="Times New Roman" w:hAnsi="Times New Roman" w:cs="Times New Roman"/>
          <w:lang w:val="es-ES"/>
        </w:rPr>
        <w:t xml:space="preserve"> capacidades de reproducción </w:t>
      </w:r>
      <w:r w:rsidR="007A1A39" w:rsidRPr="005F705E">
        <w:rPr>
          <w:rFonts w:ascii="Times New Roman" w:hAnsi="Times New Roman" w:cs="Times New Roman"/>
          <w:lang w:val="es-ES"/>
        </w:rPr>
        <w:t xml:space="preserve">de la fuerza de trabajo y </w:t>
      </w:r>
      <w:r w:rsidR="00D376C2" w:rsidRPr="005F705E">
        <w:rPr>
          <w:rFonts w:ascii="Times New Roman" w:hAnsi="Times New Roman" w:cs="Times New Roman"/>
          <w:lang w:val="es-ES"/>
        </w:rPr>
        <w:t>genera</w:t>
      </w:r>
      <w:r w:rsidR="007A1A39" w:rsidRPr="005F705E">
        <w:rPr>
          <w:rFonts w:ascii="Times New Roman" w:hAnsi="Times New Roman" w:cs="Times New Roman"/>
          <w:lang w:val="es-ES"/>
        </w:rPr>
        <w:t xml:space="preserve"> </w:t>
      </w:r>
      <w:r w:rsidR="00D376C2" w:rsidRPr="005F705E">
        <w:rPr>
          <w:rFonts w:ascii="Times New Roman" w:hAnsi="Times New Roman" w:cs="Times New Roman"/>
          <w:lang w:val="es-ES"/>
        </w:rPr>
        <w:t>procesos de desigualdad</w:t>
      </w:r>
      <w:r w:rsidR="007A1A39" w:rsidRPr="005F705E">
        <w:rPr>
          <w:rFonts w:ascii="Times New Roman" w:hAnsi="Times New Roman" w:cs="Times New Roman"/>
          <w:lang w:val="es-ES"/>
        </w:rPr>
        <w:t xml:space="preserve"> persistentes</w:t>
      </w:r>
      <w:r w:rsidR="00D376C2" w:rsidRPr="005F705E">
        <w:rPr>
          <w:rFonts w:ascii="Times New Roman" w:hAnsi="Times New Roman" w:cs="Times New Roman"/>
          <w:lang w:val="es-ES"/>
        </w:rPr>
        <w:t xml:space="preserve">. </w:t>
      </w:r>
      <w:r w:rsidR="007A1A39" w:rsidRPr="005F705E">
        <w:rPr>
          <w:rFonts w:ascii="Times New Roman" w:hAnsi="Times New Roman" w:cs="Times New Roman"/>
          <w:lang w:val="es-ES"/>
        </w:rPr>
        <w:t xml:space="preserve">Ello debería traducirse en </w:t>
      </w:r>
      <w:r w:rsidR="00D376C2" w:rsidRPr="005F705E">
        <w:rPr>
          <w:rFonts w:ascii="Times New Roman" w:hAnsi="Times New Roman" w:cs="Times New Roman"/>
          <w:lang w:val="es-ES"/>
        </w:rPr>
        <w:t>la persistencia de un conjunto de hogares que concentran empleos de baja productividad o marginales</w:t>
      </w:r>
      <w:r w:rsidR="00D376C2" w:rsidRPr="005F705E">
        <w:rPr>
          <w:rStyle w:val="Refdenotaalpie"/>
          <w:rFonts w:ascii="Times New Roman" w:hAnsi="Times New Roman" w:cs="Times New Roman"/>
          <w:lang w:val="es-ES"/>
        </w:rPr>
        <w:footnoteReference w:id="4"/>
      </w:r>
      <w:r w:rsidR="00D376C2" w:rsidRPr="005F705E">
        <w:rPr>
          <w:rFonts w:ascii="Times New Roman" w:hAnsi="Times New Roman" w:cs="Times New Roman"/>
          <w:lang w:val="es-ES"/>
        </w:rPr>
        <w:t>, que no logran acceder a oportunidade</w:t>
      </w:r>
      <w:r w:rsidR="007A1A39" w:rsidRPr="005F705E">
        <w:rPr>
          <w:rFonts w:ascii="Times New Roman" w:hAnsi="Times New Roman" w:cs="Times New Roman"/>
          <w:lang w:val="es-ES"/>
        </w:rPr>
        <w:t xml:space="preserve">s de empleo en el sector formal; </w:t>
      </w:r>
      <w:r w:rsidR="00D376C2" w:rsidRPr="005F705E">
        <w:rPr>
          <w:rFonts w:ascii="Times New Roman" w:hAnsi="Times New Roman" w:cs="Times New Roman"/>
          <w:lang w:val="es-ES"/>
        </w:rPr>
        <w:t xml:space="preserve"> </w:t>
      </w:r>
      <w:r w:rsidR="007A1A39" w:rsidRPr="005F705E">
        <w:rPr>
          <w:rFonts w:ascii="Times New Roman" w:hAnsi="Times New Roman" w:cs="Times New Roman"/>
          <w:lang w:val="es-ES"/>
        </w:rPr>
        <w:t xml:space="preserve">y en </w:t>
      </w:r>
      <w:r w:rsidR="00D376C2" w:rsidRPr="005F705E">
        <w:rPr>
          <w:rFonts w:ascii="Times New Roman" w:hAnsi="Times New Roman" w:cs="Times New Roman"/>
          <w:lang w:val="es-ES"/>
        </w:rPr>
        <w:t xml:space="preserve">una estrecha vinculación entre ese tipo de posiciones laborales y la pobreza por ingresos como expresión de </w:t>
      </w:r>
      <w:r w:rsidR="007A1A39" w:rsidRPr="005F705E">
        <w:rPr>
          <w:rFonts w:ascii="Times New Roman" w:hAnsi="Times New Roman" w:cs="Times New Roman"/>
          <w:lang w:val="es-ES"/>
        </w:rPr>
        <w:t>barreras estructurales para la</w:t>
      </w:r>
      <w:r w:rsidR="00D376C2" w:rsidRPr="005F705E">
        <w:rPr>
          <w:rFonts w:ascii="Times New Roman" w:hAnsi="Times New Roman" w:cs="Times New Roman"/>
          <w:lang w:val="es-ES"/>
        </w:rPr>
        <w:t xml:space="preserve"> reproducción de este tipo de unidades domésticas. </w:t>
      </w:r>
    </w:p>
    <w:p w:rsidR="007A1A39" w:rsidRPr="005F705E" w:rsidRDefault="007A1A39"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La próxima sección de este artículo identifica el marco teórico-metodológico que nos permitió construir una tipología de las inserciones económico-ocupacionales de la fuerza de trabajo</w:t>
      </w:r>
      <w:r w:rsidR="00D604B7" w:rsidRPr="005F705E">
        <w:rPr>
          <w:rFonts w:ascii="Times New Roman" w:hAnsi="Times New Roman" w:cs="Times New Roman"/>
          <w:lang w:val="es-ES"/>
        </w:rPr>
        <w:t xml:space="preserve">, las cuales constituyen </w:t>
      </w:r>
      <w:r w:rsidRPr="005F705E">
        <w:rPr>
          <w:rFonts w:ascii="Times New Roman" w:hAnsi="Times New Roman" w:cs="Times New Roman"/>
          <w:lang w:val="es-ES"/>
        </w:rPr>
        <w:t xml:space="preserve">diferentes oportunidades laborales para los hogares. La siguiente sección muestra los cambios en la </w:t>
      </w:r>
      <w:r w:rsidR="00D604B7" w:rsidRPr="005F705E">
        <w:rPr>
          <w:rFonts w:ascii="Times New Roman" w:hAnsi="Times New Roman" w:cs="Times New Roman"/>
          <w:lang w:val="es-ES"/>
        </w:rPr>
        <w:t xml:space="preserve">participación en la </w:t>
      </w:r>
      <w:r w:rsidRPr="005F705E">
        <w:rPr>
          <w:rFonts w:ascii="Times New Roman" w:hAnsi="Times New Roman" w:cs="Times New Roman"/>
          <w:lang w:val="es-ES"/>
        </w:rPr>
        <w:t xml:space="preserve">estructura económico-ocupacional </w:t>
      </w:r>
      <w:r w:rsidR="00D604B7" w:rsidRPr="005F705E">
        <w:rPr>
          <w:rFonts w:ascii="Times New Roman" w:hAnsi="Times New Roman" w:cs="Times New Roman"/>
          <w:lang w:val="es-ES"/>
        </w:rPr>
        <w:t>por parte de las unidades domésticas, de acuerdo con la inserción del Principal Sostén del Hogar y de los ocupados secundarios. La</w:t>
      </w:r>
      <w:r w:rsidRPr="005F705E">
        <w:rPr>
          <w:rFonts w:ascii="Times New Roman" w:hAnsi="Times New Roman" w:cs="Times New Roman"/>
          <w:lang w:val="es-ES"/>
        </w:rPr>
        <w:t xml:space="preserve"> cuarta sección expone los cambios en los niveles de bienestar económico, tomando como indicadores al ingreso per cápita familiar y a la pobreza por ingresos. El artículo concluye con un conjunto de reflexiones finales.  </w:t>
      </w:r>
    </w:p>
    <w:p w:rsidR="00D604B7" w:rsidRPr="005F705E" w:rsidRDefault="00D604B7" w:rsidP="009B79D3">
      <w:pPr>
        <w:pStyle w:val="Sinespaciado"/>
        <w:spacing w:line="480" w:lineRule="auto"/>
        <w:jc w:val="both"/>
        <w:rPr>
          <w:rFonts w:ascii="Times New Roman" w:hAnsi="Times New Roman" w:cs="Times New Roman"/>
          <w:b/>
          <w:lang w:val="es-ES"/>
        </w:rPr>
      </w:pPr>
    </w:p>
    <w:p w:rsidR="008D4F4E" w:rsidRPr="005F705E" w:rsidRDefault="00BE00B7" w:rsidP="009B79D3">
      <w:pPr>
        <w:pStyle w:val="Sinespaciado"/>
        <w:jc w:val="both"/>
        <w:rPr>
          <w:rFonts w:ascii="Times New Roman" w:hAnsi="Times New Roman" w:cs="Times New Roman"/>
          <w:b/>
          <w:lang w:val="es-ES"/>
        </w:rPr>
      </w:pPr>
      <w:r w:rsidRPr="005F705E">
        <w:rPr>
          <w:rFonts w:ascii="Times New Roman" w:hAnsi="Times New Roman" w:cs="Times New Roman"/>
          <w:b/>
          <w:lang w:val="es-ES"/>
        </w:rPr>
        <w:t xml:space="preserve">2. </w:t>
      </w:r>
      <w:r w:rsidR="000D5DCF" w:rsidRPr="005F705E">
        <w:rPr>
          <w:rFonts w:ascii="Times New Roman" w:hAnsi="Times New Roman" w:cs="Times New Roman"/>
          <w:b/>
          <w:lang w:val="es-ES"/>
        </w:rPr>
        <w:t>Aportes teóricos y metodológicos para analizar la relación entre los hogares y el mercado de trabajo</w:t>
      </w:r>
    </w:p>
    <w:p w:rsidR="000C0422" w:rsidRPr="005F705E" w:rsidRDefault="000C0422" w:rsidP="009B79D3">
      <w:pPr>
        <w:pStyle w:val="Sinespaciado"/>
        <w:spacing w:line="480" w:lineRule="auto"/>
        <w:jc w:val="both"/>
        <w:rPr>
          <w:rFonts w:ascii="Times New Roman" w:hAnsi="Times New Roman" w:cs="Times New Roman"/>
          <w:b/>
          <w:lang w:val="es-ES"/>
        </w:rPr>
      </w:pPr>
    </w:p>
    <w:p w:rsidR="00A4346F" w:rsidRPr="005F705E" w:rsidRDefault="00267B77"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El tema de la reproducción de las familias ha ocupado un lugar central en la investigación </w:t>
      </w:r>
      <w:r w:rsidR="00A4346F" w:rsidRPr="005F705E">
        <w:rPr>
          <w:rFonts w:ascii="Times New Roman" w:hAnsi="Times New Roman" w:cs="Times New Roman"/>
          <w:lang w:val="es-ES"/>
        </w:rPr>
        <w:t xml:space="preserve">sociológica </w:t>
      </w:r>
      <w:r w:rsidRPr="005F705E">
        <w:rPr>
          <w:rFonts w:ascii="Times New Roman" w:hAnsi="Times New Roman" w:cs="Times New Roman"/>
          <w:lang w:val="es-ES"/>
        </w:rPr>
        <w:t>latinoamericana</w:t>
      </w:r>
      <w:r w:rsidRPr="005F705E">
        <w:rPr>
          <w:rFonts w:ascii="Times New Roman" w:hAnsi="Times New Roman" w:cs="Times New Roman"/>
          <w:sz w:val="20"/>
          <w:szCs w:val="20"/>
          <w:vertAlign w:val="superscript"/>
        </w:rPr>
        <w:footnoteReference w:id="5"/>
      </w:r>
      <w:r w:rsidR="00A4346F" w:rsidRPr="005F705E">
        <w:rPr>
          <w:rFonts w:ascii="Times New Roman" w:hAnsi="Times New Roman" w:cs="Times New Roman"/>
          <w:lang w:val="es-ES"/>
        </w:rPr>
        <w:t xml:space="preserve"> </w:t>
      </w:r>
      <w:r w:rsidR="00747D3C" w:rsidRPr="005F705E">
        <w:rPr>
          <w:rFonts w:ascii="Times New Roman" w:hAnsi="Times New Roman" w:cs="Times New Roman"/>
          <w:lang w:val="es-ES"/>
        </w:rPr>
        <w:t>y</w:t>
      </w:r>
      <w:r w:rsidR="004A377E" w:rsidRPr="005F705E">
        <w:rPr>
          <w:rFonts w:ascii="Times New Roman" w:hAnsi="Times New Roman" w:cs="Times New Roman"/>
          <w:lang w:val="es-ES"/>
        </w:rPr>
        <w:t xml:space="preserve"> recientemente</w:t>
      </w:r>
      <w:r w:rsidR="00A4346F" w:rsidRPr="005F705E">
        <w:rPr>
          <w:rFonts w:ascii="Times New Roman" w:hAnsi="Times New Roman" w:cs="Times New Roman"/>
          <w:lang w:val="es-ES"/>
        </w:rPr>
        <w:t xml:space="preserve"> </w:t>
      </w:r>
      <w:r w:rsidR="000C0422" w:rsidRPr="005F705E">
        <w:rPr>
          <w:rFonts w:ascii="Times New Roman" w:hAnsi="Times New Roman" w:cs="Times New Roman"/>
          <w:lang w:val="es-ES"/>
        </w:rPr>
        <w:t>ha vuelto</w:t>
      </w:r>
      <w:r w:rsidR="005C2AFA" w:rsidRPr="005F705E">
        <w:rPr>
          <w:rFonts w:ascii="Times New Roman" w:hAnsi="Times New Roman" w:cs="Times New Roman"/>
          <w:lang w:val="es-ES"/>
        </w:rPr>
        <w:t xml:space="preserve"> a </w:t>
      </w:r>
      <w:r w:rsidR="00A4346F" w:rsidRPr="005F705E">
        <w:rPr>
          <w:rFonts w:ascii="Times New Roman" w:hAnsi="Times New Roman" w:cs="Times New Roman"/>
          <w:lang w:val="es-ES"/>
        </w:rPr>
        <w:t xml:space="preserve">ganar </w:t>
      </w:r>
      <w:r w:rsidR="00A4346F" w:rsidRPr="005F705E">
        <w:rPr>
          <w:rFonts w:ascii="Times New Roman" w:hAnsi="Times New Roman" w:cs="Times New Roman"/>
          <w:lang w:val="es-ES"/>
        </w:rPr>
        <w:lastRenderedPageBreak/>
        <w:t>importancia en el debate académico (Arriagada, 2007)</w:t>
      </w:r>
      <w:r w:rsidRPr="005F705E">
        <w:rPr>
          <w:rFonts w:ascii="Times New Roman" w:hAnsi="Times New Roman" w:cs="Times New Roman"/>
          <w:lang w:val="es-ES"/>
        </w:rPr>
        <w:t xml:space="preserve">. </w:t>
      </w:r>
      <w:r w:rsidR="007C05D5" w:rsidRPr="005F705E">
        <w:rPr>
          <w:rFonts w:ascii="Times New Roman" w:hAnsi="Times New Roman" w:cs="Times New Roman"/>
          <w:lang w:val="es-ES"/>
        </w:rPr>
        <w:t xml:space="preserve">Esto se debe, entre otros aspectos, a que una perspectiva centrada en los hogares </w:t>
      </w:r>
      <w:r w:rsidRPr="005F705E">
        <w:rPr>
          <w:rFonts w:ascii="Times New Roman" w:hAnsi="Times New Roman" w:cs="Times New Roman"/>
          <w:lang w:val="es-ES"/>
        </w:rPr>
        <w:t xml:space="preserve">permite evaluar cómo la dinámica del mercado de trabajo, </w:t>
      </w:r>
      <w:r w:rsidR="00D604B7" w:rsidRPr="005F705E">
        <w:rPr>
          <w:rFonts w:ascii="Times New Roman" w:hAnsi="Times New Roman" w:cs="Times New Roman"/>
          <w:lang w:val="es-ES"/>
        </w:rPr>
        <w:t>la</w:t>
      </w:r>
      <w:r w:rsidRPr="005F705E">
        <w:rPr>
          <w:rFonts w:ascii="Times New Roman" w:hAnsi="Times New Roman" w:cs="Times New Roman"/>
          <w:lang w:val="es-ES"/>
        </w:rPr>
        <w:t xml:space="preserve"> intervención social del Estado </w:t>
      </w:r>
      <w:r w:rsidR="00A4346F" w:rsidRPr="005F705E">
        <w:rPr>
          <w:rFonts w:ascii="Times New Roman" w:hAnsi="Times New Roman" w:cs="Times New Roman"/>
          <w:lang w:val="es-ES"/>
        </w:rPr>
        <w:t>por medio de políticas sociales</w:t>
      </w:r>
      <w:r w:rsidRPr="005F705E">
        <w:rPr>
          <w:rFonts w:ascii="Times New Roman" w:hAnsi="Times New Roman" w:cs="Times New Roman"/>
          <w:lang w:val="es-ES"/>
        </w:rPr>
        <w:t xml:space="preserve"> y los comportamientos que </w:t>
      </w:r>
      <w:r w:rsidR="00A4346F" w:rsidRPr="005F705E">
        <w:rPr>
          <w:rFonts w:ascii="Times New Roman" w:hAnsi="Times New Roman" w:cs="Times New Roman"/>
          <w:lang w:val="es-ES"/>
        </w:rPr>
        <w:t>operan a nivel</w:t>
      </w:r>
      <w:r w:rsidRPr="005F705E">
        <w:rPr>
          <w:rFonts w:ascii="Times New Roman" w:hAnsi="Times New Roman" w:cs="Times New Roman"/>
          <w:lang w:val="es-ES"/>
        </w:rPr>
        <w:t xml:space="preserve"> de las unidades domésticas </w:t>
      </w:r>
      <w:r w:rsidR="00A4346F" w:rsidRPr="005F705E">
        <w:rPr>
          <w:rFonts w:ascii="Times New Roman" w:hAnsi="Times New Roman" w:cs="Times New Roman"/>
          <w:lang w:val="es-ES"/>
        </w:rPr>
        <w:t>se traducen,</w:t>
      </w:r>
      <w:r w:rsidRPr="005F705E">
        <w:rPr>
          <w:rFonts w:ascii="Times New Roman" w:hAnsi="Times New Roman" w:cs="Times New Roman"/>
          <w:lang w:val="es-ES"/>
        </w:rPr>
        <w:t xml:space="preserve"> de manera conjunta</w:t>
      </w:r>
      <w:r w:rsidR="00A4346F" w:rsidRPr="005F705E">
        <w:rPr>
          <w:rFonts w:ascii="Times New Roman" w:hAnsi="Times New Roman" w:cs="Times New Roman"/>
          <w:lang w:val="es-ES"/>
        </w:rPr>
        <w:t>,</w:t>
      </w:r>
      <w:r w:rsidRPr="005F705E">
        <w:rPr>
          <w:rFonts w:ascii="Times New Roman" w:hAnsi="Times New Roman" w:cs="Times New Roman"/>
          <w:lang w:val="es-ES"/>
        </w:rPr>
        <w:t xml:space="preserve"> en las condiciones de vida familiares (Cortés, 2000; Salvia, 2012).</w:t>
      </w:r>
      <w:r w:rsidR="006A034C" w:rsidRPr="005F705E">
        <w:rPr>
          <w:rFonts w:ascii="Times New Roman" w:hAnsi="Times New Roman" w:cs="Times New Roman"/>
          <w:lang w:val="es-ES"/>
        </w:rPr>
        <w:t xml:space="preserve"> </w:t>
      </w:r>
      <w:r w:rsidR="00505E15" w:rsidRPr="005F705E">
        <w:rPr>
          <w:rFonts w:ascii="Times New Roman" w:hAnsi="Times New Roman" w:cs="Times New Roman"/>
          <w:lang w:val="es-ES"/>
        </w:rPr>
        <w:t xml:space="preserve">En este artículo retomamos esta perspectiva centrada en los hogares y su capacidad de reproducción, </w:t>
      </w:r>
      <w:r w:rsidR="00E454C5" w:rsidRPr="005F705E">
        <w:rPr>
          <w:rFonts w:ascii="Times New Roman" w:hAnsi="Times New Roman" w:cs="Times New Roman"/>
          <w:lang w:val="es-ES"/>
        </w:rPr>
        <w:t xml:space="preserve">para interrogarnos </w:t>
      </w:r>
      <w:r w:rsidR="00505E15" w:rsidRPr="005F705E">
        <w:rPr>
          <w:rFonts w:ascii="Times New Roman" w:hAnsi="Times New Roman" w:cs="Times New Roman"/>
          <w:lang w:val="es-ES"/>
        </w:rPr>
        <w:t xml:space="preserve">por uno de los aspectos mencionados: las características de la participación en la estructura ocupacional </w:t>
      </w:r>
      <w:r w:rsidR="007C05D5" w:rsidRPr="005F705E">
        <w:rPr>
          <w:rFonts w:ascii="Times New Roman" w:hAnsi="Times New Roman" w:cs="Times New Roman"/>
          <w:lang w:val="es-ES"/>
        </w:rPr>
        <w:t xml:space="preserve">y </w:t>
      </w:r>
      <w:r w:rsidR="00505E15" w:rsidRPr="005F705E">
        <w:rPr>
          <w:rFonts w:ascii="Times New Roman" w:hAnsi="Times New Roman" w:cs="Times New Roman"/>
          <w:lang w:val="es-ES"/>
        </w:rPr>
        <w:t>los efectos sobre el bienestar económico</w:t>
      </w:r>
      <w:r w:rsidR="004A377E" w:rsidRPr="005F705E">
        <w:rPr>
          <w:rFonts w:ascii="Times New Roman" w:hAnsi="Times New Roman" w:cs="Times New Roman"/>
          <w:lang w:val="es-ES"/>
        </w:rPr>
        <w:t xml:space="preserve"> de las familias. </w:t>
      </w:r>
    </w:p>
    <w:p w:rsidR="0055560E" w:rsidRPr="005F705E" w:rsidRDefault="00505E15"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Con este fin, </w:t>
      </w:r>
      <w:r w:rsidR="00E454C5" w:rsidRPr="005F705E">
        <w:rPr>
          <w:rFonts w:ascii="Times New Roman" w:hAnsi="Times New Roman" w:cs="Times New Roman"/>
          <w:lang w:val="es-ES"/>
        </w:rPr>
        <w:t>consideramos pertinente</w:t>
      </w:r>
      <w:r w:rsidR="006E209A" w:rsidRPr="005F705E">
        <w:rPr>
          <w:rFonts w:ascii="Times New Roman" w:hAnsi="Times New Roman" w:cs="Times New Roman"/>
          <w:lang w:val="es-ES"/>
        </w:rPr>
        <w:t xml:space="preserve"> adoptar una perspectiva teórica que permita caracterizar las</w:t>
      </w:r>
      <w:r w:rsidR="00E10CC5" w:rsidRPr="005F705E">
        <w:rPr>
          <w:rFonts w:ascii="Times New Roman" w:hAnsi="Times New Roman" w:cs="Times New Roman"/>
          <w:lang w:val="es-ES"/>
        </w:rPr>
        <w:t xml:space="preserve"> inserciones económico-ocupacionales individuales a través de las cuales los hogares participan </w:t>
      </w:r>
      <w:r w:rsidR="005B6F44" w:rsidRPr="005F705E">
        <w:rPr>
          <w:rFonts w:ascii="Times New Roman" w:hAnsi="Times New Roman" w:cs="Times New Roman"/>
          <w:lang w:val="es-ES"/>
        </w:rPr>
        <w:t xml:space="preserve">en </w:t>
      </w:r>
      <w:r w:rsidR="00E10CC5" w:rsidRPr="005F705E">
        <w:rPr>
          <w:rFonts w:ascii="Times New Roman" w:hAnsi="Times New Roman" w:cs="Times New Roman"/>
          <w:lang w:val="es-ES"/>
        </w:rPr>
        <w:t>el mercado laboral</w:t>
      </w:r>
      <w:r w:rsidRPr="005F705E">
        <w:rPr>
          <w:rStyle w:val="Refdenotaalpie"/>
          <w:rFonts w:ascii="Times New Roman" w:hAnsi="Times New Roman" w:cs="Times New Roman"/>
          <w:lang w:val="es-ES"/>
        </w:rPr>
        <w:footnoteReference w:id="6"/>
      </w:r>
      <w:r w:rsidR="00E10CC5" w:rsidRPr="005F705E">
        <w:rPr>
          <w:rFonts w:ascii="Times New Roman" w:hAnsi="Times New Roman" w:cs="Times New Roman"/>
          <w:lang w:val="es-ES"/>
        </w:rPr>
        <w:t xml:space="preserve">. </w:t>
      </w:r>
      <w:r w:rsidR="004A377E" w:rsidRPr="005F705E">
        <w:rPr>
          <w:rFonts w:ascii="Times New Roman" w:hAnsi="Times New Roman" w:cs="Times New Roman"/>
          <w:lang w:val="es-ES"/>
        </w:rPr>
        <w:t xml:space="preserve">En términos generales, se reconoce que uno de los aspectos centrales que organizan a los mercados de trabajo son las características que asume la estructura productiva </w:t>
      </w:r>
      <w:r w:rsidRPr="005F705E">
        <w:rPr>
          <w:rFonts w:ascii="Times New Roman" w:hAnsi="Times New Roman" w:cs="Times New Roman"/>
          <w:lang w:val="es-ES"/>
        </w:rPr>
        <w:t>(</w:t>
      </w:r>
      <w:r w:rsidR="0055560E" w:rsidRPr="005F705E">
        <w:rPr>
          <w:rFonts w:ascii="Times New Roman" w:hAnsi="Times New Roman" w:cs="Times New Roman"/>
          <w:lang w:val="es-ES"/>
        </w:rPr>
        <w:t>Fine, 2003)</w:t>
      </w:r>
      <w:r w:rsidR="004A377E" w:rsidRPr="005F705E">
        <w:rPr>
          <w:rFonts w:ascii="Times New Roman" w:hAnsi="Times New Roman" w:cs="Times New Roman"/>
          <w:lang w:val="es-ES"/>
        </w:rPr>
        <w:t xml:space="preserve">. Los países latinoamericanos se destacan por su </w:t>
      </w:r>
      <w:r w:rsidRPr="005F705E">
        <w:rPr>
          <w:rFonts w:ascii="Times New Roman" w:hAnsi="Times New Roman" w:cs="Times New Roman"/>
          <w:i/>
          <w:lang w:val="es-ES"/>
        </w:rPr>
        <w:t>heterogeneidad estructural</w:t>
      </w:r>
      <w:r w:rsidR="004A377E" w:rsidRPr="005F705E">
        <w:rPr>
          <w:rFonts w:ascii="Times New Roman" w:hAnsi="Times New Roman" w:cs="Times New Roman"/>
          <w:i/>
          <w:lang w:val="es-ES"/>
        </w:rPr>
        <w:t xml:space="preserve">, </w:t>
      </w:r>
      <w:r w:rsidR="004A377E" w:rsidRPr="005F705E">
        <w:rPr>
          <w:rFonts w:ascii="Times New Roman" w:hAnsi="Times New Roman" w:cs="Times New Roman"/>
          <w:lang w:val="es-ES"/>
        </w:rPr>
        <w:t xml:space="preserve">que </w:t>
      </w:r>
      <w:r w:rsidRPr="005F705E">
        <w:rPr>
          <w:rFonts w:ascii="Times New Roman" w:hAnsi="Times New Roman" w:cs="Times New Roman"/>
          <w:lang w:val="es-ES"/>
        </w:rPr>
        <w:t xml:space="preserve">alude a un conjunto de factores interrelacionados: la coexistencia de marcadas brechas </w:t>
      </w:r>
      <w:r w:rsidR="003D4B18" w:rsidRPr="005F705E">
        <w:rPr>
          <w:rFonts w:ascii="Times New Roman" w:hAnsi="Times New Roman" w:cs="Times New Roman"/>
          <w:lang w:val="es-ES"/>
        </w:rPr>
        <w:t>de productividad, el desarrollo desigual</w:t>
      </w:r>
      <w:r w:rsidR="0055560E" w:rsidRPr="005F705E">
        <w:rPr>
          <w:rFonts w:ascii="Times New Roman" w:hAnsi="Times New Roman" w:cs="Times New Roman"/>
          <w:lang w:val="es-ES"/>
        </w:rPr>
        <w:t xml:space="preserve"> </w:t>
      </w:r>
      <w:r w:rsidR="003D4B18" w:rsidRPr="005F705E">
        <w:rPr>
          <w:rFonts w:ascii="Times New Roman" w:hAnsi="Times New Roman" w:cs="Times New Roman"/>
          <w:lang w:val="es-ES"/>
        </w:rPr>
        <w:t>y la insuficiencia de los sectores más dinámicos para absorber al conjunto de la fuerza laboral disponible (</w:t>
      </w:r>
      <w:r w:rsidR="00B920D6" w:rsidRPr="005F705E">
        <w:rPr>
          <w:rFonts w:ascii="Times New Roman" w:hAnsi="Times New Roman" w:cs="Times New Roman"/>
          <w:lang w:val="es-ES"/>
        </w:rPr>
        <w:t xml:space="preserve">Chena, 2010; </w:t>
      </w:r>
      <w:r w:rsidR="003D4B18" w:rsidRPr="005F705E">
        <w:rPr>
          <w:rFonts w:ascii="Times New Roman" w:hAnsi="Times New Roman" w:cs="Times New Roman"/>
          <w:lang w:val="es-ES"/>
        </w:rPr>
        <w:t>Infante, 2011;</w:t>
      </w:r>
      <w:r w:rsidR="004A377E" w:rsidRPr="005F705E">
        <w:rPr>
          <w:rFonts w:ascii="Times New Roman" w:hAnsi="Times New Roman" w:cs="Times New Roman"/>
          <w:lang w:val="es-ES"/>
        </w:rPr>
        <w:t xml:space="preserve"> Mora Salas, 2010; </w:t>
      </w:r>
      <w:r w:rsidR="003D4B18" w:rsidRPr="005F705E">
        <w:rPr>
          <w:rFonts w:ascii="Times New Roman" w:hAnsi="Times New Roman" w:cs="Times New Roman"/>
          <w:lang w:val="es-ES"/>
        </w:rPr>
        <w:t>Salvia, 2012).</w:t>
      </w:r>
    </w:p>
    <w:p w:rsidR="00DB6449" w:rsidRPr="005F705E" w:rsidRDefault="003D4B18"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Esta característica del patrón de desarrollo económico se expresa</w:t>
      </w:r>
      <w:r w:rsidR="004A377E" w:rsidRPr="005F705E">
        <w:rPr>
          <w:rFonts w:ascii="Times New Roman" w:hAnsi="Times New Roman" w:cs="Times New Roman"/>
          <w:lang w:val="es-ES"/>
        </w:rPr>
        <w:t>, entre otros aspectos,</w:t>
      </w:r>
      <w:r w:rsidRPr="005F705E">
        <w:rPr>
          <w:rFonts w:ascii="Times New Roman" w:hAnsi="Times New Roman" w:cs="Times New Roman"/>
          <w:lang w:val="es-ES"/>
        </w:rPr>
        <w:t xml:space="preserve"> en la existencia de un sector microempresario o </w:t>
      </w:r>
      <w:r w:rsidRPr="005F705E">
        <w:rPr>
          <w:rFonts w:ascii="Times New Roman" w:hAnsi="Times New Roman" w:cs="Times New Roman"/>
          <w:i/>
          <w:lang w:val="es-ES"/>
        </w:rPr>
        <w:t>informal</w:t>
      </w:r>
      <w:r w:rsidR="00DB6449" w:rsidRPr="005F705E">
        <w:rPr>
          <w:rFonts w:ascii="Times New Roman" w:hAnsi="Times New Roman" w:cs="Times New Roman"/>
          <w:lang w:val="es-ES"/>
        </w:rPr>
        <w:t xml:space="preserve">, </w:t>
      </w:r>
      <w:r w:rsidRPr="005F705E">
        <w:rPr>
          <w:rFonts w:ascii="Times New Roman" w:hAnsi="Times New Roman" w:cs="Times New Roman"/>
          <w:lang w:val="es-ES"/>
        </w:rPr>
        <w:t>que constituye el</w:t>
      </w:r>
      <w:r w:rsidR="00DB6449" w:rsidRPr="005F705E">
        <w:rPr>
          <w:rFonts w:ascii="Times New Roman" w:hAnsi="Times New Roman" w:cs="Times New Roman"/>
          <w:lang w:val="es-ES"/>
        </w:rPr>
        <w:t xml:space="preserve"> “último </w:t>
      </w:r>
      <w:r w:rsidR="00DB6449" w:rsidRPr="005F705E">
        <w:rPr>
          <w:rFonts w:ascii="Times New Roman" w:hAnsi="Times New Roman" w:cs="Times New Roman"/>
          <w:lang w:val="es-ES"/>
        </w:rPr>
        <w:lastRenderedPageBreak/>
        <w:t xml:space="preserve">eslabón” de la heterogeneidad estructural, </w:t>
      </w:r>
      <w:r w:rsidRPr="005F705E">
        <w:rPr>
          <w:rFonts w:ascii="Times New Roman" w:hAnsi="Times New Roman" w:cs="Times New Roman"/>
          <w:lang w:val="es-ES"/>
        </w:rPr>
        <w:t xml:space="preserve">e </w:t>
      </w:r>
      <w:r w:rsidR="00DB6449" w:rsidRPr="005F705E">
        <w:rPr>
          <w:rFonts w:ascii="Times New Roman" w:hAnsi="Times New Roman" w:cs="Times New Roman"/>
          <w:lang w:val="es-ES"/>
        </w:rPr>
        <w:t xml:space="preserve">incluye un conjunto de actividades económicas que operan en mercados de fácil entrada (Pok y Lorenzetti, 2007; PREALC, 1978; Tokman, 2000; Salvia, 2012). Lejos de asumir supuestos “dualistas” que fueron ampliamente criticados en la literatura desde el origen mismo del concepto (Bienefeld, 1975; Moser, 1978), </w:t>
      </w:r>
      <w:r w:rsidR="00E10CC5" w:rsidRPr="005F705E">
        <w:rPr>
          <w:rFonts w:ascii="Times New Roman" w:hAnsi="Times New Roman" w:cs="Times New Roman"/>
          <w:lang w:val="es-ES"/>
        </w:rPr>
        <w:t xml:space="preserve">es importante enfatizar que </w:t>
      </w:r>
      <w:r w:rsidR="00DB6449" w:rsidRPr="005F705E">
        <w:rPr>
          <w:rFonts w:ascii="Times New Roman" w:hAnsi="Times New Roman" w:cs="Times New Roman"/>
          <w:lang w:val="es-ES"/>
        </w:rPr>
        <w:t xml:space="preserve">el sector microempresario opera en los “intersticios” del sector capitalista más estructurado y que </w:t>
      </w:r>
      <w:r w:rsidR="005D3876" w:rsidRPr="005F705E">
        <w:rPr>
          <w:rFonts w:ascii="Times New Roman" w:hAnsi="Times New Roman" w:cs="Times New Roman"/>
          <w:lang w:val="es-ES"/>
        </w:rPr>
        <w:t xml:space="preserve">su dinámica se encuentra supeditada a las expansiones y contracciones de éste </w:t>
      </w:r>
      <w:r w:rsidR="00201D5B" w:rsidRPr="005F705E">
        <w:rPr>
          <w:rFonts w:ascii="Times New Roman" w:hAnsi="Times New Roman" w:cs="Times New Roman"/>
          <w:lang w:val="es-ES"/>
        </w:rPr>
        <w:t xml:space="preserve">a la vez que establece relaciones </w:t>
      </w:r>
      <w:r w:rsidR="002E0CAD" w:rsidRPr="005F705E">
        <w:rPr>
          <w:rFonts w:ascii="Times New Roman" w:hAnsi="Times New Roman" w:cs="Times New Roman"/>
          <w:lang w:val="es-ES"/>
        </w:rPr>
        <w:t xml:space="preserve">de distinto tipo </w:t>
      </w:r>
      <w:r w:rsidR="00201D5B" w:rsidRPr="005F705E">
        <w:rPr>
          <w:rFonts w:ascii="Times New Roman" w:hAnsi="Times New Roman" w:cs="Times New Roman"/>
          <w:lang w:val="es-ES"/>
        </w:rPr>
        <w:t xml:space="preserve">con él </w:t>
      </w:r>
      <w:r w:rsidR="005D3876" w:rsidRPr="005F705E">
        <w:rPr>
          <w:rFonts w:ascii="Times New Roman" w:hAnsi="Times New Roman" w:cs="Times New Roman"/>
          <w:lang w:val="es-ES"/>
        </w:rPr>
        <w:t>(Cacciamali, 2000)</w:t>
      </w:r>
      <w:r w:rsidR="002E0CAD" w:rsidRPr="005F705E">
        <w:rPr>
          <w:rFonts w:ascii="Times New Roman" w:hAnsi="Times New Roman" w:cs="Times New Roman"/>
          <w:lang w:val="es-ES"/>
        </w:rPr>
        <w:t xml:space="preserve">. </w:t>
      </w:r>
      <w:r w:rsidRPr="005F705E">
        <w:rPr>
          <w:rFonts w:ascii="Times New Roman" w:hAnsi="Times New Roman" w:cs="Times New Roman"/>
          <w:lang w:val="es-ES"/>
        </w:rPr>
        <w:t>L</w:t>
      </w:r>
      <w:r w:rsidRPr="005F705E">
        <w:rPr>
          <w:rFonts w:ascii="Times New Roman" w:hAnsi="Times New Roman" w:cs="Times New Roman"/>
          <w:szCs w:val="24"/>
        </w:rPr>
        <w:t>os procesos de concentración y centralización son los factores que hacen viable el desarrollo desigual y la existencia de capitales de distinta capacidad de acumulación (Shaikh, 2007 [1991]), por lo que en un sentido estricto la</w:t>
      </w:r>
      <w:r w:rsidR="002E0CAD" w:rsidRPr="005F705E">
        <w:rPr>
          <w:rFonts w:ascii="Times New Roman" w:hAnsi="Times New Roman" w:cs="Times New Roman"/>
          <w:szCs w:val="24"/>
        </w:rPr>
        <w:t xml:space="preserve"> distinción entre un sector microempresario y un sector </w:t>
      </w:r>
      <w:r w:rsidR="00B53BFE" w:rsidRPr="005F705E">
        <w:rPr>
          <w:rFonts w:ascii="Times New Roman" w:hAnsi="Times New Roman" w:cs="Times New Roman"/>
          <w:szCs w:val="24"/>
        </w:rPr>
        <w:t>más estructurado</w:t>
      </w:r>
      <w:r w:rsidRPr="005F705E">
        <w:rPr>
          <w:rFonts w:ascii="Times New Roman" w:hAnsi="Times New Roman" w:cs="Times New Roman"/>
          <w:szCs w:val="24"/>
        </w:rPr>
        <w:t xml:space="preserve"> </w:t>
      </w:r>
      <w:r w:rsidR="00641733" w:rsidRPr="005F705E">
        <w:rPr>
          <w:rFonts w:ascii="Times New Roman" w:hAnsi="Times New Roman" w:cs="Times New Roman"/>
          <w:szCs w:val="24"/>
        </w:rPr>
        <w:t xml:space="preserve">(público y privado) </w:t>
      </w:r>
      <w:r w:rsidR="002E0CAD" w:rsidRPr="005F705E">
        <w:rPr>
          <w:rFonts w:ascii="Times New Roman" w:hAnsi="Times New Roman" w:cs="Times New Roman"/>
          <w:szCs w:val="24"/>
        </w:rPr>
        <w:t xml:space="preserve">no basta para evaluar la estratificación del mercado laboral según la tesis de la heterogeneidad estructural. Sin embargo, dado nuestro interés centrado en los hogares y no en la fuerza de trabajo individual, en este trabajo nos </w:t>
      </w:r>
      <w:r w:rsidR="00641733" w:rsidRPr="005F705E">
        <w:rPr>
          <w:rFonts w:ascii="Times New Roman" w:hAnsi="Times New Roman" w:cs="Times New Roman"/>
          <w:szCs w:val="24"/>
        </w:rPr>
        <w:t xml:space="preserve">limitamos a esa diferenciación. </w:t>
      </w:r>
      <w:r w:rsidR="00641733" w:rsidRPr="005F705E">
        <w:rPr>
          <w:rFonts w:ascii="Times New Roman" w:hAnsi="Times New Roman" w:cs="Times New Roman"/>
          <w:lang w:val="es-ES"/>
        </w:rPr>
        <w:t>De todos modos</w:t>
      </w:r>
      <w:r w:rsidR="005E47A0" w:rsidRPr="005F705E">
        <w:rPr>
          <w:rFonts w:ascii="Times New Roman" w:hAnsi="Times New Roman" w:cs="Times New Roman"/>
          <w:lang w:val="es-ES"/>
        </w:rPr>
        <w:t>, con</w:t>
      </w:r>
      <w:r w:rsidR="005E47A0" w:rsidRPr="005F705E">
        <w:rPr>
          <w:rFonts w:ascii="Times New Roman" w:hAnsi="Times New Roman" w:cs="Times New Roman"/>
        </w:rPr>
        <w:t xml:space="preserve"> el propósito de evitar la consideración del sector microempresario como un estrato homogéneo, se </w:t>
      </w:r>
      <w:r w:rsidR="00E10CC5" w:rsidRPr="005F705E">
        <w:rPr>
          <w:rFonts w:ascii="Times New Roman" w:hAnsi="Times New Roman" w:cs="Times New Roman"/>
        </w:rPr>
        <w:t xml:space="preserve">considera </w:t>
      </w:r>
      <w:r w:rsidR="005E47A0" w:rsidRPr="005F705E">
        <w:rPr>
          <w:rFonts w:ascii="Times New Roman" w:hAnsi="Times New Roman" w:cs="Times New Roman"/>
        </w:rPr>
        <w:t>la sugerencia de Salvia (2012) de distinguir las distintas categorías ocupacional</w:t>
      </w:r>
      <w:r w:rsidR="00B53BFE" w:rsidRPr="005F705E">
        <w:rPr>
          <w:rFonts w:ascii="Times New Roman" w:hAnsi="Times New Roman" w:cs="Times New Roman"/>
        </w:rPr>
        <w:t xml:space="preserve">es que participan en </w:t>
      </w:r>
      <w:r w:rsidR="004D601F" w:rsidRPr="005F705E">
        <w:rPr>
          <w:rFonts w:ascii="Times New Roman" w:hAnsi="Times New Roman" w:cs="Times New Roman"/>
        </w:rPr>
        <w:t>él</w:t>
      </w:r>
      <w:r w:rsidR="00B53BFE" w:rsidRPr="005F705E">
        <w:rPr>
          <w:rFonts w:ascii="Times New Roman" w:hAnsi="Times New Roman" w:cs="Times New Roman"/>
        </w:rPr>
        <w:t>, teniendo en cuenta los clivajes de clase que atraviesan a los estratos de productividad.</w:t>
      </w:r>
    </w:p>
    <w:p w:rsidR="005435CE" w:rsidRPr="005F705E" w:rsidRDefault="005435CE" w:rsidP="009B79D3">
      <w:pPr>
        <w:spacing w:after="0" w:line="480" w:lineRule="auto"/>
        <w:jc w:val="both"/>
        <w:rPr>
          <w:rFonts w:ascii="Times New Roman" w:eastAsia="Calibri" w:hAnsi="Times New Roman" w:cs="Times New Roman"/>
        </w:rPr>
      </w:pPr>
      <w:r w:rsidRPr="005F705E">
        <w:rPr>
          <w:rFonts w:ascii="Times New Roman" w:hAnsi="Times New Roman" w:cs="Times New Roman"/>
          <w:lang w:val="es-ES"/>
        </w:rPr>
        <w:t xml:space="preserve">El otro aspecto a considerar para evaluar </w:t>
      </w:r>
      <w:r w:rsidR="002E0CAD" w:rsidRPr="005F705E">
        <w:rPr>
          <w:rFonts w:ascii="Times New Roman" w:hAnsi="Times New Roman" w:cs="Times New Roman"/>
          <w:lang w:val="es-ES"/>
        </w:rPr>
        <w:t xml:space="preserve">las </w:t>
      </w:r>
      <w:r w:rsidR="00E10CC5" w:rsidRPr="005F705E">
        <w:rPr>
          <w:rFonts w:ascii="Times New Roman" w:hAnsi="Times New Roman" w:cs="Times New Roman"/>
          <w:lang w:val="es-ES"/>
        </w:rPr>
        <w:t>características de las inserciones económico-ocupacionales</w:t>
      </w:r>
      <w:r w:rsidR="002E0CAD" w:rsidRPr="005F705E">
        <w:rPr>
          <w:rFonts w:ascii="Times New Roman" w:hAnsi="Times New Roman" w:cs="Times New Roman"/>
          <w:lang w:val="es-ES"/>
        </w:rPr>
        <w:t xml:space="preserve"> remite a </w:t>
      </w:r>
      <w:r w:rsidRPr="005F705E">
        <w:rPr>
          <w:rFonts w:ascii="Times New Roman" w:hAnsi="Times New Roman" w:cs="Times New Roman"/>
          <w:lang w:val="es-ES"/>
        </w:rPr>
        <w:t xml:space="preserve">la </w:t>
      </w:r>
      <w:r w:rsidR="002E0CAD" w:rsidRPr="005F705E">
        <w:rPr>
          <w:rFonts w:ascii="Times New Roman" w:hAnsi="Times New Roman" w:cs="Times New Roman"/>
          <w:lang w:val="es-ES"/>
        </w:rPr>
        <w:t>“</w:t>
      </w:r>
      <w:r w:rsidRPr="005F705E">
        <w:rPr>
          <w:rFonts w:ascii="Times New Roman" w:hAnsi="Times New Roman" w:cs="Times New Roman"/>
          <w:lang w:val="es-ES"/>
        </w:rPr>
        <w:t>calidad</w:t>
      </w:r>
      <w:r w:rsidR="002E0CAD" w:rsidRPr="005F705E">
        <w:rPr>
          <w:rFonts w:ascii="Times New Roman" w:hAnsi="Times New Roman" w:cs="Times New Roman"/>
          <w:lang w:val="es-ES"/>
        </w:rPr>
        <w:t>”</w:t>
      </w:r>
      <w:r w:rsidRPr="005F705E">
        <w:rPr>
          <w:rFonts w:ascii="Times New Roman" w:hAnsi="Times New Roman" w:cs="Times New Roman"/>
          <w:lang w:val="es-ES"/>
        </w:rPr>
        <w:t xml:space="preserve"> de las </w:t>
      </w:r>
      <w:r w:rsidR="00E10CC5" w:rsidRPr="005F705E">
        <w:rPr>
          <w:rFonts w:ascii="Times New Roman" w:hAnsi="Times New Roman" w:cs="Times New Roman"/>
          <w:lang w:val="es-ES"/>
        </w:rPr>
        <w:t>mismas</w:t>
      </w:r>
      <w:r w:rsidRPr="005F705E">
        <w:rPr>
          <w:rFonts w:ascii="Times New Roman" w:hAnsi="Times New Roman" w:cs="Times New Roman"/>
          <w:lang w:val="es-ES"/>
        </w:rPr>
        <w:t xml:space="preserve">, </w:t>
      </w:r>
      <w:r w:rsidR="00E10CC5" w:rsidRPr="005F705E">
        <w:rPr>
          <w:rFonts w:ascii="Times New Roman" w:hAnsi="Times New Roman" w:cs="Times New Roman"/>
          <w:lang w:val="es-ES"/>
        </w:rPr>
        <w:t xml:space="preserve">lo </w:t>
      </w:r>
      <w:r w:rsidRPr="005F705E">
        <w:rPr>
          <w:rFonts w:ascii="Times New Roman" w:hAnsi="Times New Roman" w:cs="Times New Roman"/>
          <w:lang w:val="es-ES"/>
        </w:rPr>
        <w:t xml:space="preserve">que alude a la existencia de distintos segmentos de empleo (Neffa, 2008). </w:t>
      </w:r>
      <w:r w:rsidRPr="005F705E">
        <w:rPr>
          <w:rFonts w:ascii="Times New Roman" w:eastAsia="Calibri" w:hAnsi="Times New Roman" w:cs="Times New Roman"/>
        </w:rPr>
        <w:t>El propósito aquí es identificar al conjunto de trabajadores asalariados que se encuentran en ocupaciones “atípicas”</w:t>
      </w:r>
      <w:r w:rsidR="004D601F" w:rsidRPr="005F705E">
        <w:rPr>
          <w:rFonts w:ascii="Times New Roman" w:eastAsia="Calibri" w:hAnsi="Times New Roman" w:cs="Times New Roman"/>
        </w:rPr>
        <w:t xml:space="preserve"> o </w:t>
      </w:r>
      <w:r w:rsidR="004D601F" w:rsidRPr="005F705E">
        <w:rPr>
          <w:rFonts w:ascii="Times New Roman" w:eastAsia="Calibri" w:hAnsi="Times New Roman" w:cs="Times New Roman"/>
          <w:i/>
        </w:rPr>
        <w:t xml:space="preserve">precarias </w:t>
      </w:r>
      <w:r w:rsidRPr="005F705E">
        <w:rPr>
          <w:rFonts w:ascii="Times New Roman" w:eastAsia="Calibri" w:hAnsi="Times New Roman" w:cs="Times New Roman"/>
        </w:rPr>
        <w:t xml:space="preserve">(Standing, 2011). </w:t>
      </w:r>
      <w:r w:rsidR="004D601F" w:rsidRPr="005F705E">
        <w:rPr>
          <w:rFonts w:ascii="Times New Roman" w:eastAsia="Calibri" w:hAnsi="Times New Roman" w:cs="Times New Roman"/>
        </w:rPr>
        <w:t>Si bien existen diversas conceptualizaciones, el</w:t>
      </w:r>
      <w:r w:rsidRPr="005F705E">
        <w:rPr>
          <w:rFonts w:ascii="Times New Roman" w:eastAsia="Calibri" w:hAnsi="Times New Roman" w:cs="Times New Roman"/>
        </w:rPr>
        <w:t xml:space="preserve"> empleo </w:t>
      </w:r>
      <w:r w:rsidRPr="005F705E">
        <w:rPr>
          <w:rFonts w:ascii="Times New Roman" w:eastAsia="Calibri" w:hAnsi="Times New Roman" w:cs="Times New Roman"/>
          <w:i/>
        </w:rPr>
        <w:t>precario</w:t>
      </w:r>
      <w:r w:rsidRPr="005F705E">
        <w:rPr>
          <w:rFonts w:ascii="Times New Roman" w:eastAsia="Calibri" w:hAnsi="Times New Roman" w:cs="Times New Roman"/>
        </w:rPr>
        <w:t xml:space="preserve"> es definido a partir del “alejamiento de los principales rasgos del empleo típico (también regular, normal o protegido), para lo cual se consideran dos </w:t>
      </w:r>
      <w:r w:rsidRPr="005F705E">
        <w:rPr>
          <w:rFonts w:ascii="Times New Roman" w:eastAsia="Calibri" w:hAnsi="Times New Roman" w:cs="Times New Roman"/>
        </w:rPr>
        <w:lastRenderedPageBreak/>
        <w:t xml:space="preserve">elementos básicos de la relación laboral: </w:t>
      </w:r>
      <w:r w:rsidRPr="005F705E">
        <w:rPr>
          <w:rFonts w:ascii="Times New Roman" w:eastAsia="Calibri" w:hAnsi="Times New Roman" w:cs="Times New Roman"/>
          <w:i/>
        </w:rPr>
        <w:t>estabilidad en el empleo</w:t>
      </w:r>
      <w:r w:rsidRPr="005F705E">
        <w:rPr>
          <w:rFonts w:ascii="Times New Roman" w:eastAsia="Calibri" w:hAnsi="Times New Roman" w:cs="Times New Roman"/>
        </w:rPr>
        <w:t xml:space="preserve"> y </w:t>
      </w:r>
      <w:r w:rsidRPr="005F705E">
        <w:rPr>
          <w:rFonts w:ascii="Times New Roman" w:eastAsia="Calibri" w:hAnsi="Times New Roman" w:cs="Times New Roman"/>
          <w:i/>
        </w:rPr>
        <w:t>cobertura social</w:t>
      </w:r>
      <w:r w:rsidRPr="005F705E">
        <w:rPr>
          <w:rFonts w:ascii="Times New Roman" w:eastAsia="Calibri" w:hAnsi="Times New Roman" w:cs="Times New Roman"/>
        </w:rPr>
        <w:t>” (</w:t>
      </w:r>
      <w:r w:rsidRPr="005F705E">
        <w:rPr>
          <w:rFonts w:ascii="Times New Roman" w:hAnsi="Times New Roman" w:cs="Times New Roman"/>
        </w:rPr>
        <w:t xml:space="preserve">Beccaria, Carpio </w:t>
      </w:r>
      <w:r w:rsidR="009F3375" w:rsidRPr="005F705E">
        <w:rPr>
          <w:rFonts w:ascii="Times New Roman" w:hAnsi="Times New Roman" w:cs="Times New Roman"/>
        </w:rPr>
        <w:t>y</w:t>
      </w:r>
      <w:r w:rsidRPr="005F705E">
        <w:rPr>
          <w:rFonts w:ascii="Times New Roman" w:hAnsi="Times New Roman" w:cs="Times New Roman"/>
        </w:rPr>
        <w:t xml:space="preserve"> Orsatti, </w:t>
      </w:r>
      <w:r w:rsidRPr="005F705E">
        <w:rPr>
          <w:rFonts w:ascii="Times New Roman" w:eastAsia="Calibri" w:hAnsi="Times New Roman" w:cs="Times New Roman"/>
        </w:rPr>
        <w:t xml:space="preserve">2000: 142. Énfasis nuestro). </w:t>
      </w:r>
      <w:r w:rsidR="009F3375" w:rsidRPr="005F705E">
        <w:rPr>
          <w:rFonts w:ascii="Times New Roman" w:eastAsia="Calibri" w:hAnsi="Times New Roman" w:cs="Times New Roman"/>
        </w:rPr>
        <w:t>Uno de los aspectos principales de la precariedad es que, superpuesta a la cuestión de la distribución de la fuerza de trabajo según estratos de productividad, se asocia comúnmente a la idea de “trabajadores pobres” (Fraser et al., 2011)</w:t>
      </w:r>
      <w:r w:rsidR="00C9697D" w:rsidRPr="005F705E">
        <w:rPr>
          <w:rStyle w:val="Refdenotaalpie"/>
          <w:rFonts w:ascii="Times New Roman" w:eastAsia="Calibri" w:hAnsi="Times New Roman" w:cs="Times New Roman"/>
        </w:rPr>
        <w:footnoteReference w:id="7"/>
      </w:r>
      <w:r w:rsidR="009F3375" w:rsidRPr="005F705E">
        <w:rPr>
          <w:rFonts w:ascii="Times New Roman" w:eastAsia="Calibri" w:hAnsi="Times New Roman" w:cs="Times New Roman"/>
        </w:rPr>
        <w:t>.</w:t>
      </w:r>
    </w:p>
    <w:p w:rsidR="00F50FDA" w:rsidRPr="005F705E" w:rsidRDefault="00F50FDA" w:rsidP="00F50FDA">
      <w:pPr>
        <w:pStyle w:val="Sinespaciado"/>
        <w:jc w:val="both"/>
        <w:rPr>
          <w:rFonts w:ascii="Times New Roman" w:hAnsi="Times New Roman" w:cs="Times New Roman"/>
          <w:b/>
          <w:sz w:val="20"/>
        </w:rPr>
      </w:pPr>
      <w:r w:rsidRPr="005F705E">
        <w:rPr>
          <w:rFonts w:ascii="Times New Roman" w:hAnsi="Times New Roman" w:cs="Times New Roman"/>
          <w:b/>
          <w:sz w:val="22"/>
        </w:rPr>
        <w:t>Tabla 1. Inserciones económico-ocupacionales de la fuerza de trabajo y oportunidades laborales de los hogares.</w:t>
      </w:r>
    </w:p>
    <w:tbl>
      <w:tblPr>
        <w:tblW w:w="8667" w:type="dxa"/>
        <w:jc w:val="center"/>
        <w:tblInd w:w="188" w:type="dxa"/>
        <w:tblCellMar>
          <w:left w:w="70" w:type="dxa"/>
          <w:right w:w="70" w:type="dxa"/>
        </w:tblCellMar>
        <w:tblLook w:val="04A0"/>
      </w:tblPr>
      <w:tblGrid>
        <w:gridCol w:w="3927"/>
        <w:gridCol w:w="4740"/>
      </w:tblGrid>
      <w:tr w:rsidR="00F50FDA" w:rsidRPr="005F705E" w:rsidTr="00AA49D0">
        <w:trPr>
          <w:trHeight w:val="300"/>
          <w:jc w:val="center"/>
        </w:trPr>
        <w:tc>
          <w:tcPr>
            <w:tcW w:w="39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50FDA" w:rsidRPr="005F705E" w:rsidRDefault="00F50FDA" w:rsidP="003C0E29">
            <w:pPr>
              <w:spacing w:after="0" w:line="240" w:lineRule="auto"/>
              <w:rPr>
                <w:rFonts w:ascii="Times New Roman" w:eastAsia="Times New Roman" w:hAnsi="Times New Roman" w:cs="Times New Roman"/>
                <w:b/>
                <w:bCs/>
                <w:color w:val="000000"/>
                <w:sz w:val="20"/>
                <w:szCs w:val="20"/>
                <w:lang w:eastAsia="es-AR"/>
              </w:rPr>
            </w:pPr>
            <w:r w:rsidRPr="005F705E">
              <w:rPr>
                <w:rFonts w:ascii="Times New Roman" w:eastAsia="Times New Roman" w:hAnsi="Times New Roman" w:cs="Times New Roman"/>
                <w:b/>
                <w:bCs/>
                <w:color w:val="000000"/>
                <w:sz w:val="20"/>
                <w:szCs w:val="20"/>
                <w:lang w:eastAsia="es-AR"/>
              </w:rPr>
              <w:t>Inserciones económico-ocupacionales</w:t>
            </w:r>
          </w:p>
        </w:tc>
        <w:tc>
          <w:tcPr>
            <w:tcW w:w="4740" w:type="dxa"/>
            <w:tcBorders>
              <w:top w:val="single" w:sz="4" w:space="0" w:color="auto"/>
              <w:left w:val="nil"/>
              <w:bottom w:val="single" w:sz="4" w:space="0" w:color="auto"/>
              <w:right w:val="single" w:sz="4" w:space="0" w:color="auto"/>
            </w:tcBorders>
            <w:shd w:val="clear" w:color="000000" w:fill="D9D9D9"/>
            <w:vAlign w:val="bottom"/>
            <w:hideMark/>
          </w:tcPr>
          <w:p w:rsidR="00F50FDA" w:rsidRPr="005F705E" w:rsidRDefault="00F50FDA" w:rsidP="003C0E29">
            <w:pPr>
              <w:spacing w:after="0" w:line="240" w:lineRule="auto"/>
              <w:jc w:val="center"/>
              <w:rPr>
                <w:rFonts w:ascii="Times New Roman" w:eastAsia="Times New Roman" w:hAnsi="Times New Roman" w:cs="Times New Roman"/>
                <w:b/>
                <w:bCs/>
                <w:color w:val="000000"/>
                <w:sz w:val="20"/>
                <w:szCs w:val="20"/>
                <w:lang w:eastAsia="es-AR"/>
              </w:rPr>
            </w:pPr>
            <w:r w:rsidRPr="005F705E">
              <w:rPr>
                <w:rFonts w:ascii="Times New Roman" w:eastAsia="Times New Roman" w:hAnsi="Times New Roman" w:cs="Times New Roman"/>
                <w:b/>
                <w:bCs/>
                <w:color w:val="000000"/>
                <w:sz w:val="20"/>
                <w:szCs w:val="20"/>
                <w:lang w:eastAsia="es-AR"/>
              </w:rPr>
              <w:t>Definición operativa</w:t>
            </w:r>
          </w:p>
        </w:tc>
      </w:tr>
      <w:tr w:rsidR="00F50FDA" w:rsidRPr="005F705E" w:rsidTr="00AA49D0">
        <w:trPr>
          <w:trHeight w:val="300"/>
          <w:jc w:val="center"/>
        </w:trPr>
        <w:tc>
          <w:tcPr>
            <w:tcW w:w="3927" w:type="dxa"/>
            <w:tcBorders>
              <w:top w:val="nil"/>
              <w:left w:val="single" w:sz="4" w:space="0" w:color="auto"/>
              <w:right w:val="single" w:sz="4" w:space="0" w:color="auto"/>
            </w:tcBorders>
            <w:shd w:val="clear" w:color="auto" w:fill="F2F2F2" w:themeFill="background1" w:themeFillShade="F2"/>
            <w:noWrap/>
            <w:vAlign w:val="bottom"/>
            <w:hideMark/>
          </w:tcPr>
          <w:p w:rsidR="00F50FDA" w:rsidRPr="005F705E" w:rsidRDefault="00F50FDA" w:rsidP="003C0E29">
            <w:pPr>
              <w:spacing w:after="0" w:line="240" w:lineRule="auto"/>
              <w:rPr>
                <w:rFonts w:ascii="Times New Roman" w:eastAsia="Times New Roman" w:hAnsi="Times New Roman" w:cs="Times New Roman"/>
                <w:b/>
                <w:bCs/>
                <w:color w:val="000000"/>
                <w:sz w:val="20"/>
                <w:szCs w:val="20"/>
                <w:lang w:eastAsia="es-AR"/>
              </w:rPr>
            </w:pPr>
            <w:r w:rsidRPr="005F705E">
              <w:rPr>
                <w:rFonts w:ascii="Times New Roman" w:eastAsia="Times New Roman" w:hAnsi="Times New Roman" w:cs="Times New Roman"/>
                <w:b/>
                <w:bCs/>
                <w:color w:val="000000"/>
                <w:sz w:val="20"/>
                <w:szCs w:val="20"/>
                <w:lang w:eastAsia="es-AR"/>
              </w:rPr>
              <w:t>Sector formal público y privado</w:t>
            </w:r>
          </w:p>
        </w:tc>
        <w:tc>
          <w:tcPr>
            <w:tcW w:w="4740" w:type="dxa"/>
            <w:tcBorders>
              <w:top w:val="nil"/>
              <w:left w:val="nil"/>
              <w:right w:val="single" w:sz="4" w:space="0" w:color="auto"/>
            </w:tcBorders>
            <w:shd w:val="clear" w:color="auto" w:fill="F2F2F2" w:themeFill="background1" w:themeFillShade="F2"/>
            <w:vAlign w:val="bottom"/>
            <w:hideMark/>
          </w:tcPr>
          <w:p w:rsidR="00F50FDA" w:rsidRPr="005F705E" w:rsidRDefault="00F50FDA" w:rsidP="003C0E29">
            <w:pPr>
              <w:spacing w:after="0" w:line="240" w:lineRule="auto"/>
              <w:jc w:val="center"/>
              <w:rPr>
                <w:rFonts w:ascii="Times New Roman" w:eastAsia="Times New Roman" w:hAnsi="Times New Roman" w:cs="Times New Roman"/>
                <w:b/>
                <w:bCs/>
                <w:color w:val="000000"/>
                <w:sz w:val="20"/>
                <w:szCs w:val="20"/>
                <w:lang w:eastAsia="es-AR"/>
              </w:rPr>
            </w:pPr>
            <w:r w:rsidRPr="005F705E">
              <w:rPr>
                <w:rFonts w:ascii="Times New Roman" w:eastAsia="Times New Roman" w:hAnsi="Times New Roman" w:cs="Times New Roman"/>
                <w:b/>
                <w:bCs/>
                <w:color w:val="000000"/>
                <w:sz w:val="20"/>
                <w:szCs w:val="20"/>
                <w:lang w:eastAsia="es-AR"/>
              </w:rPr>
              <w:t> </w:t>
            </w:r>
          </w:p>
        </w:tc>
      </w:tr>
      <w:tr w:rsidR="00F50FDA" w:rsidRPr="005F705E" w:rsidTr="00AA49D0">
        <w:trPr>
          <w:trHeight w:val="1125"/>
          <w:jc w:val="center"/>
        </w:trPr>
        <w:tc>
          <w:tcPr>
            <w:tcW w:w="3927" w:type="dxa"/>
            <w:tcBorders>
              <w:top w:val="nil"/>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Empleadores, directivos y profesionales</w:t>
            </w:r>
          </w:p>
        </w:tc>
        <w:tc>
          <w:tcPr>
            <w:tcW w:w="4740" w:type="dxa"/>
            <w:tcBorders>
              <w:top w:val="nil"/>
              <w:left w:val="nil"/>
              <w:bottom w:val="single" w:sz="4" w:space="0" w:color="auto"/>
              <w:right w:val="single" w:sz="4" w:space="0" w:color="auto"/>
            </w:tcBorders>
            <w:shd w:val="clear" w:color="000000" w:fill="FFFFFF"/>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Empleadores en establecimientos formales (más de 5 ocupados) o en microestablecimientos (hasta 5 ocupados) pero con calificación profesional; trabajadores por cuenta propia con calificación profesional; y asalariados en establecimientos públicos o privados en función de dirección.</w:t>
            </w:r>
          </w:p>
        </w:tc>
      </w:tr>
      <w:tr w:rsidR="00F50FDA" w:rsidRPr="005F705E" w:rsidTr="00AA49D0">
        <w:trPr>
          <w:trHeight w:val="675"/>
          <w:jc w:val="center"/>
        </w:trPr>
        <w:tc>
          <w:tcPr>
            <w:tcW w:w="39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Asalariados registrados del sector privado formal</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Asalariados en establecimientos formales del sector privado  (más de 5 ocupados) con acceso a la seguridad social (tienen descuento jubilatorio).</w:t>
            </w:r>
          </w:p>
        </w:tc>
      </w:tr>
      <w:tr w:rsidR="00F50FDA" w:rsidRPr="005F705E" w:rsidTr="00AA49D0">
        <w:trPr>
          <w:trHeight w:val="675"/>
          <w:jc w:val="center"/>
        </w:trPr>
        <w:tc>
          <w:tcPr>
            <w:tcW w:w="39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Asalariados precarios del sector privado formal</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Asalariados en establecimientos formales del sector privado  (más de 5 ocupados) sin acceso a la seguridad social (no tienen descuento jubilatorio).</w:t>
            </w:r>
          </w:p>
        </w:tc>
      </w:tr>
      <w:tr w:rsidR="00F50FDA" w:rsidRPr="005F705E" w:rsidTr="00AA49D0">
        <w:trPr>
          <w:trHeight w:val="300"/>
          <w:jc w:val="center"/>
        </w:trPr>
        <w:tc>
          <w:tcPr>
            <w:tcW w:w="39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Empleados del sector público</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Asalariados del sector público.</w:t>
            </w:r>
          </w:p>
        </w:tc>
      </w:tr>
      <w:tr w:rsidR="00F50FDA" w:rsidRPr="005F705E" w:rsidTr="00AA49D0">
        <w:trPr>
          <w:trHeight w:val="300"/>
          <w:jc w:val="center"/>
        </w:trPr>
        <w:tc>
          <w:tcPr>
            <w:tcW w:w="3927" w:type="dxa"/>
            <w:tcBorders>
              <w:top w:val="single" w:sz="4" w:space="0" w:color="auto"/>
              <w:left w:val="single" w:sz="4" w:space="0" w:color="auto"/>
              <w:bottom w:val="nil"/>
              <w:right w:val="single" w:sz="4" w:space="0" w:color="auto"/>
            </w:tcBorders>
            <w:shd w:val="clear" w:color="000000" w:fill="FFFFFF"/>
            <w:noWrap/>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 </w:t>
            </w:r>
          </w:p>
        </w:tc>
        <w:tc>
          <w:tcPr>
            <w:tcW w:w="4740" w:type="dxa"/>
            <w:tcBorders>
              <w:top w:val="single" w:sz="4" w:space="0" w:color="auto"/>
              <w:left w:val="nil"/>
              <w:bottom w:val="nil"/>
              <w:right w:val="single" w:sz="4" w:space="0" w:color="auto"/>
            </w:tcBorders>
            <w:shd w:val="clear" w:color="000000" w:fill="FFFFFF"/>
            <w:noWrap/>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 </w:t>
            </w:r>
          </w:p>
        </w:tc>
      </w:tr>
      <w:tr w:rsidR="00F50FDA" w:rsidRPr="005F705E" w:rsidTr="00AA49D0">
        <w:trPr>
          <w:trHeight w:val="300"/>
          <w:jc w:val="center"/>
        </w:trPr>
        <w:tc>
          <w:tcPr>
            <w:tcW w:w="3927" w:type="dxa"/>
            <w:tcBorders>
              <w:top w:val="nil"/>
              <w:left w:val="single" w:sz="4" w:space="0" w:color="auto"/>
              <w:right w:val="single" w:sz="4" w:space="0" w:color="auto"/>
            </w:tcBorders>
            <w:shd w:val="clear" w:color="auto" w:fill="F2F2F2" w:themeFill="background1" w:themeFillShade="F2"/>
            <w:noWrap/>
            <w:vAlign w:val="center"/>
            <w:hideMark/>
          </w:tcPr>
          <w:p w:rsidR="00F50FDA" w:rsidRPr="005F705E" w:rsidRDefault="00F50FDA" w:rsidP="003C0E29">
            <w:pPr>
              <w:spacing w:after="0" w:line="240" w:lineRule="auto"/>
              <w:rPr>
                <w:rFonts w:ascii="Times New Roman" w:eastAsia="Times New Roman" w:hAnsi="Times New Roman" w:cs="Times New Roman"/>
                <w:b/>
                <w:bCs/>
                <w:color w:val="000000"/>
                <w:sz w:val="20"/>
                <w:szCs w:val="20"/>
                <w:lang w:eastAsia="es-AR"/>
              </w:rPr>
            </w:pPr>
            <w:r w:rsidRPr="005F705E">
              <w:rPr>
                <w:rFonts w:ascii="Times New Roman" w:eastAsia="Times New Roman" w:hAnsi="Times New Roman" w:cs="Times New Roman"/>
                <w:b/>
                <w:bCs/>
                <w:color w:val="000000"/>
                <w:sz w:val="20"/>
                <w:szCs w:val="20"/>
                <w:lang w:eastAsia="es-AR"/>
              </w:rPr>
              <w:t>Sector microempresario / informal</w:t>
            </w:r>
            <w:r w:rsidR="00AD59AA" w:rsidRPr="005F705E">
              <w:rPr>
                <w:rFonts w:ascii="Times New Roman" w:eastAsia="Times New Roman" w:hAnsi="Times New Roman" w:cs="Times New Roman"/>
                <w:b/>
                <w:bCs/>
                <w:color w:val="000000"/>
                <w:sz w:val="20"/>
                <w:szCs w:val="20"/>
                <w:lang w:eastAsia="es-AR"/>
              </w:rPr>
              <w:t xml:space="preserve"> </w:t>
            </w:r>
            <w:r w:rsidR="00AD59AA" w:rsidRPr="005F705E">
              <w:rPr>
                <w:rFonts w:ascii="Times New Roman" w:eastAsia="Times New Roman" w:hAnsi="Times New Roman" w:cs="Times New Roman"/>
                <w:b/>
                <w:bCs/>
                <w:color w:val="000000"/>
                <w:sz w:val="20"/>
                <w:szCs w:val="20"/>
                <w:vertAlign w:val="superscript"/>
                <w:lang w:eastAsia="es-AR"/>
              </w:rPr>
              <w:t>(a)</w:t>
            </w:r>
          </w:p>
        </w:tc>
        <w:tc>
          <w:tcPr>
            <w:tcW w:w="4740" w:type="dxa"/>
            <w:tcBorders>
              <w:top w:val="nil"/>
              <w:left w:val="nil"/>
              <w:right w:val="single" w:sz="4" w:space="0" w:color="auto"/>
            </w:tcBorders>
            <w:shd w:val="clear" w:color="auto" w:fill="F2F2F2" w:themeFill="background1" w:themeFillShade="F2"/>
            <w:vAlign w:val="center"/>
            <w:hideMark/>
          </w:tcPr>
          <w:p w:rsidR="00F50FDA" w:rsidRPr="005F705E" w:rsidRDefault="00F50FDA" w:rsidP="003C0E29">
            <w:pPr>
              <w:spacing w:after="0" w:line="240" w:lineRule="auto"/>
              <w:rPr>
                <w:rFonts w:ascii="Times New Roman" w:eastAsia="Times New Roman" w:hAnsi="Times New Roman" w:cs="Times New Roman"/>
                <w:b/>
                <w:bCs/>
                <w:color w:val="000000"/>
                <w:sz w:val="20"/>
                <w:szCs w:val="20"/>
                <w:lang w:eastAsia="es-AR"/>
              </w:rPr>
            </w:pPr>
            <w:r w:rsidRPr="005F705E">
              <w:rPr>
                <w:rFonts w:ascii="Times New Roman" w:eastAsia="Times New Roman" w:hAnsi="Times New Roman" w:cs="Times New Roman"/>
                <w:b/>
                <w:bCs/>
                <w:color w:val="000000"/>
                <w:sz w:val="20"/>
                <w:szCs w:val="20"/>
                <w:lang w:eastAsia="es-AR"/>
              </w:rPr>
              <w:t> </w:t>
            </w:r>
          </w:p>
        </w:tc>
      </w:tr>
      <w:tr w:rsidR="00F50FDA" w:rsidRPr="005F705E" w:rsidTr="00AA49D0">
        <w:trPr>
          <w:trHeight w:val="675"/>
          <w:jc w:val="center"/>
        </w:trPr>
        <w:tc>
          <w:tcPr>
            <w:tcW w:w="3927" w:type="dxa"/>
            <w:tcBorders>
              <w:top w:val="nil"/>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Patrones microempresas y TCP calificados con capital</w:t>
            </w:r>
          </w:p>
        </w:tc>
        <w:tc>
          <w:tcPr>
            <w:tcW w:w="4740" w:type="dxa"/>
            <w:tcBorders>
              <w:top w:val="nil"/>
              <w:left w:val="nil"/>
              <w:bottom w:val="single" w:sz="4" w:space="0" w:color="auto"/>
              <w:right w:val="single" w:sz="4" w:space="0" w:color="auto"/>
            </w:tcBorders>
            <w:shd w:val="clear" w:color="000000" w:fill="FFFFFF"/>
            <w:vAlign w:val="center"/>
            <w:hideMark/>
          </w:tcPr>
          <w:p w:rsidR="00F50FDA" w:rsidRPr="005F705E" w:rsidRDefault="00F50FDA" w:rsidP="002221A8">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 xml:space="preserve">Empleadores en microestablecimientos (hasta 5 ocupados) sin calificación profesional; trabajadores por cuenta propia </w:t>
            </w:r>
            <w:r w:rsidR="002221A8" w:rsidRPr="005F705E">
              <w:rPr>
                <w:rFonts w:ascii="Times New Roman" w:eastAsia="Times New Roman" w:hAnsi="Times New Roman" w:cs="Times New Roman"/>
                <w:color w:val="000000"/>
                <w:sz w:val="20"/>
                <w:szCs w:val="20"/>
                <w:lang w:eastAsia="es-AR"/>
              </w:rPr>
              <w:t>con calificación técnica</w:t>
            </w:r>
            <w:r w:rsidRPr="005F705E">
              <w:rPr>
                <w:rFonts w:ascii="Times New Roman" w:eastAsia="Times New Roman" w:hAnsi="Times New Roman" w:cs="Times New Roman"/>
                <w:color w:val="000000"/>
                <w:sz w:val="20"/>
                <w:szCs w:val="20"/>
                <w:lang w:eastAsia="es-AR"/>
              </w:rPr>
              <w:t xml:space="preserve"> y con capital propio.</w:t>
            </w:r>
          </w:p>
        </w:tc>
      </w:tr>
      <w:tr w:rsidR="00F50FDA" w:rsidRPr="005F705E" w:rsidTr="00AA49D0">
        <w:trPr>
          <w:trHeight w:val="450"/>
          <w:jc w:val="center"/>
        </w:trPr>
        <w:tc>
          <w:tcPr>
            <w:tcW w:w="39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TCP no calificados y/o sin capital propio</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50FDA" w:rsidRPr="005F705E" w:rsidRDefault="00F50FDA" w:rsidP="002221A8">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 xml:space="preserve">Trabajadores por cuenta propia sin calificación </w:t>
            </w:r>
            <w:r w:rsidR="002221A8" w:rsidRPr="005F705E">
              <w:rPr>
                <w:rFonts w:ascii="Times New Roman" w:eastAsia="Times New Roman" w:hAnsi="Times New Roman" w:cs="Times New Roman"/>
                <w:color w:val="000000"/>
                <w:sz w:val="20"/>
                <w:szCs w:val="20"/>
                <w:lang w:eastAsia="es-AR"/>
              </w:rPr>
              <w:t xml:space="preserve">técnica </w:t>
            </w:r>
            <w:r w:rsidRPr="005F705E">
              <w:rPr>
                <w:rFonts w:ascii="Times New Roman" w:eastAsia="Times New Roman" w:hAnsi="Times New Roman" w:cs="Times New Roman"/>
                <w:color w:val="000000"/>
                <w:sz w:val="20"/>
                <w:szCs w:val="20"/>
                <w:lang w:eastAsia="es-AR"/>
              </w:rPr>
              <w:t>o sin capital propio.</w:t>
            </w:r>
          </w:p>
        </w:tc>
      </w:tr>
      <w:tr w:rsidR="00F50FDA" w:rsidRPr="005F705E" w:rsidTr="00AA49D0">
        <w:trPr>
          <w:trHeight w:val="300"/>
          <w:jc w:val="center"/>
        </w:trPr>
        <w:tc>
          <w:tcPr>
            <w:tcW w:w="39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Asalariados del sector privado microempresario</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Asalariados en microestablecimientos (hasta 5 ocupados).</w:t>
            </w:r>
          </w:p>
        </w:tc>
      </w:tr>
      <w:tr w:rsidR="00F50FDA" w:rsidRPr="005F705E" w:rsidTr="00AA49D0">
        <w:trPr>
          <w:trHeight w:val="450"/>
          <w:jc w:val="center"/>
        </w:trPr>
        <w:tc>
          <w:tcPr>
            <w:tcW w:w="39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0FDA" w:rsidRPr="005F705E" w:rsidRDefault="00F50FDA" w:rsidP="006A1BBF">
            <w:pPr>
              <w:spacing w:after="0" w:line="240" w:lineRule="auto"/>
              <w:ind w:firstLineChars="100" w:firstLine="200"/>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Servicio doméstico</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50FDA" w:rsidRPr="005F705E" w:rsidRDefault="00F50FDA" w:rsidP="003C0E29">
            <w:pPr>
              <w:spacing w:after="0" w:line="240" w:lineRule="auto"/>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Trabajadores que prestan servicio doméstico en hogares particulares.</w:t>
            </w:r>
          </w:p>
        </w:tc>
      </w:tr>
      <w:tr w:rsidR="00F50FDA" w:rsidRPr="005F705E" w:rsidTr="00AA49D0">
        <w:trPr>
          <w:trHeight w:val="300"/>
          <w:jc w:val="center"/>
        </w:trPr>
        <w:tc>
          <w:tcPr>
            <w:tcW w:w="8667" w:type="dxa"/>
            <w:gridSpan w:val="2"/>
            <w:tcBorders>
              <w:top w:val="nil"/>
              <w:left w:val="nil"/>
              <w:bottom w:val="nil"/>
              <w:right w:val="nil"/>
            </w:tcBorders>
            <w:shd w:val="clear" w:color="000000" w:fill="FFFFFF"/>
            <w:noWrap/>
            <w:vAlign w:val="bottom"/>
            <w:hideMark/>
          </w:tcPr>
          <w:p w:rsidR="00AD59AA" w:rsidRPr="005F705E" w:rsidRDefault="00AD59AA" w:rsidP="006A1BBF">
            <w:pPr>
              <w:spacing w:after="0" w:line="240" w:lineRule="auto"/>
              <w:jc w:val="both"/>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xml:space="preserve">Nota: (a) </w:t>
            </w:r>
            <w:r w:rsidR="009720EF" w:rsidRPr="005F705E">
              <w:rPr>
                <w:rFonts w:ascii="Times New Roman" w:eastAsia="Times New Roman" w:hAnsi="Times New Roman" w:cs="Times New Roman"/>
                <w:color w:val="000000"/>
                <w:sz w:val="18"/>
                <w:szCs w:val="18"/>
                <w:lang w:eastAsia="es-AR"/>
              </w:rPr>
              <w:t xml:space="preserve">siguiendo </w:t>
            </w:r>
            <w:r w:rsidR="006A1BBF" w:rsidRPr="005F705E">
              <w:rPr>
                <w:rFonts w:ascii="Times New Roman" w:eastAsia="Times New Roman" w:hAnsi="Times New Roman" w:cs="Times New Roman"/>
                <w:color w:val="000000"/>
                <w:sz w:val="18"/>
                <w:szCs w:val="18"/>
                <w:lang w:eastAsia="es-AR"/>
              </w:rPr>
              <w:t xml:space="preserve">un criterio de Monza y López (1995) se excluyó por definición </w:t>
            </w:r>
            <w:r w:rsidR="00557D3C" w:rsidRPr="005F705E">
              <w:rPr>
                <w:rFonts w:ascii="Times New Roman" w:eastAsia="Times New Roman" w:hAnsi="Times New Roman" w:cs="Times New Roman"/>
                <w:color w:val="000000"/>
                <w:sz w:val="18"/>
                <w:szCs w:val="18"/>
                <w:lang w:eastAsia="es-AR"/>
              </w:rPr>
              <w:t xml:space="preserve">del sector microempresario a </w:t>
            </w:r>
            <w:r w:rsidR="006A1BBF" w:rsidRPr="005F705E">
              <w:rPr>
                <w:rFonts w:ascii="Times New Roman" w:eastAsia="Times New Roman" w:hAnsi="Times New Roman" w:cs="Times New Roman"/>
                <w:color w:val="000000"/>
                <w:sz w:val="18"/>
                <w:szCs w:val="18"/>
                <w:lang w:eastAsia="es-AR"/>
              </w:rPr>
              <w:t xml:space="preserve">algunas ramas de actividad. Aquí fueron las actividades financieras y empresariales, y la rama enseñanza y servicios de salud. </w:t>
            </w:r>
            <w:r w:rsidR="002221A8" w:rsidRPr="005F705E">
              <w:rPr>
                <w:rFonts w:ascii="Times New Roman" w:eastAsia="Times New Roman" w:hAnsi="Times New Roman" w:cs="Times New Roman"/>
                <w:color w:val="000000"/>
                <w:sz w:val="18"/>
                <w:szCs w:val="18"/>
                <w:lang w:eastAsia="es-AR"/>
              </w:rPr>
              <w:t>Se consideró a los ocupados de tales ramas como pertenecientes al sector formal y se los asignó al grupo correspondiente según su categoría ocupacional y los demás atributos considerados</w:t>
            </w:r>
            <w:r w:rsidR="00557D3C" w:rsidRPr="005F705E">
              <w:rPr>
                <w:rFonts w:ascii="Times New Roman" w:eastAsia="Times New Roman" w:hAnsi="Times New Roman" w:cs="Times New Roman"/>
                <w:color w:val="000000"/>
                <w:sz w:val="18"/>
                <w:szCs w:val="18"/>
                <w:lang w:eastAsia="es-AR"/>
              </w:rPr>
              <w:t xml:space="preserve"> (jerarquía ocupacional y precariedad)</w:t>
            </w:r>
            <w:r w:rsidR="002221A8" w:rsidRPr="005F705E">
              <w:rPr>
                <w:rFonts w:ascii="Times New Roman" w:eastAsia="Times New Roman" w:hAnsi="Times New Roman" w:cs="Times New Roman"/>
                <w:color w:val="000000"/>
                <w:sz w:val="18"/>
                <w:szCs w:val="18"/>
                <w:lang w:eastAsia="es-AR"/>
              </w:rPr>
              <w:t xml:space="preserve">. </w:t>
            </w:r>
          </w:p>
          <w:p w:rsidR="00F50FDA" w:rsidRPr="005F705E" w:rsidRDefault="00F50FDA" w:rsidP="006A1BBF">
            <w:pPr>
              <w:spacing w:after="0" w:line="240" w:lineRule="auto"/>
              <w:jc w:val="both"/>
              <w:rPr>
                <w:rFonts w:ascii="Times New Roman" w:eastAsia="Times New Roman" w:hAnsi="Times New Roman" w:cs="Times New Roman"/>
                <w:color w:val="000000"/>
                <w:sz w:val="16"/>
                <w:szCs w:val="16"/>
                <w:lang w:eastAsia="es-AR"/>
              </w:rPr>
            </w:pPr>
            <w:r w:rsidRPr="005F705E">
              <w:rPr>
                <w:rFonts w:ascii="Times New Roman" w:eastAsia="Times New Roman" w:hAnsi="Times New Roman" w:cs="Times New Roman"/>
                <w:color w:val="000000"/>
                <w:sz w:val="18"/>
                <w:szCs w:val="18"/>
                <w:lang w:eastAsia="es-AR"/>
              </w:rPr>
              <w:t>Fuente: Elaboración propia en base a microdatos de la EPH-INDEC para los períodos indicados. Disponibles en: &lt;</w:t>
            </w:r>
            <w:r w:rsidRPr="005F705E">
              <w:rPr>
                <w:rFonts w:ascii="Times New Roman" w:eastAsia="Times New Roman" w:hAnsi="Times New Roman" w:cs="Times New Roman"/>
                <w:color w:val="000000"/>
                <w:sz w:val="18"/>
                <w:szCs w:val="18"/>
                <w:u w:val="single"/>
                <w:lang w:eastAsia="es-AR"/>
              </w:rPr>
              <w:t>www.indec.gov.ar</w:t>
            </w:r>
            <w:r w:rsidRPr="005F705E">
              <w:rPr>
                <w:rFonts w:ascii="Times New Roman" w:eastAsia="Times New Roman" w:hAnsi="Times New Roman" w:cs="Times New Roman"/>
                <w:color w:val="000000"/>
                <w:sz w:val="18"/>
                <w:szCs w:val="18"/>
                <w:lang w:eastAsia="es-AR"/>
              </w:rPr>
              <w:t>&gt;</w:t>
            </w:r>
            <w:r w:rsidRPr="005F705E">
              <w:rPr>
                <w:rFonts w:ascii="Times New Roman" w:eastAsia="Times New Roman" w:hAnsi="Times New Roman" w:cs="Times New Roman"/>
                <w:color w:val="000000"/>
                <w:sz w:val="16"/>
                <w:szCs w:val="16"/>
                <w:lang w:eastAsia="es-AR"/>
              </w:rPr>
              <w:t xml:space="preserve"> </w:t>
            </w:r>
          </w:p>
        </w:tc>
      </w:tr>
    </w:tbl>
    <w:p w:rsidR="00281743" w:rsidRPr="005F705E" w:rsidRDefault="00281743" w:rsidP="00281743">
      <w:pPr>
        <w:pStyle w:val="Sinespaciado"/>
        <w:spacing w:line="360" w:lineRule="auto"/>
        <w:jc w:val="both"/>
        <w:rPr>
          <w:rFonts w:ascii="Times New Roman" w:hAnsi="Times New Roman" w:cs="Times New Roman"/>
        </w:rPr>
      </w:pPr>
    </w:p>
    <w:p w:rsidR="00E10CC5" w:rsidRPr="005F705E" w:rsidRDefault="00641733" w:rsidP="009B79D3">
      <w:pPr>
        <w:pStyle w:val="Sinespaciado"/>
        <w:spacing w:line="480" w:lineRule="auto"/>
        <w:jc w:val="both"/>
        <w:rPr>
          <w:rFonts w:ascii="Times New Roman" w:hAnsi="Times New Roman" w:cs="Times New Roman"/>
        </w:rPr>
      </w:pPr>
      <w:r w:rsidRPr="005F705E">
        <w:rPr>
          <w:rFonts w:ascii="Times New Roman" w:hAnsi="Times New Roman" w:cs="Times New Roman"/>
        </w:rPr>
        <w:lastRenderedPageBreak/>
        <w:t xml:space="preserve">En este artículo presentamos </w:t>
      </w:r>
      <w:r w:rsidR="00E10CC5" w:rsidRPr="005F705E">
        <w:rPr>
          <w:rFonts w:ascii="Times New Roman" w:hAnsi="Times New Roman" w:cs="Times New Roman"/>
        </w:rPr>
        <w:t xml:space="preserve">una tipología </w:t>
      </w:r>
      <w:r w:rsidRPr="005F705E">
        <w:rPr>
          <w:rFonts w:ascii="Times New Roman" w:hAnsi="Times New Roman" w:cs="Times New Roman"/>
        </w:rPr>
        <w:t xml:space="preserve">(Tabla 1) que retoma los </w:t>
      </w:r>
      <w:r w:rsidR="00D604B7" w:rsidRPr="005F705E">
        <w:rPr>
          <w:rFonts w:ascii="Times New Roman" w:hAnsi="Times New Roman" w:cs="Times New Roman"/>
        </w:rPr>
        <w:t>elementos</w:t>
      </w:r>
      <w:r w:rsidRPr="005F705E">
        <w:rPr>
          <w:rFonts w:ascii="Times New Roman" w:hAnsi="Times New Roman" w:cs="Times New Roman"/>
        </w:rPr>
        <w:t xml:space="preserve"> teóricos precedentes</w:t>
      </w:r>
      <w:r w:rsidR="00D604B7" w:rsidRPr="005F705E">
        <w:rPr>
          <w:rFonts w:ascii="Times New Roman" w:hAnsi="Times New Roman" w:cs="Times New Roman"/>
        </w:rPr>
        <w:t xml:space="preserve"> y</w:t>
      </w:r>
      <w:r w:rsidRPr="005F705E">
        <w:rPr>
          <w:rFonts w:ascii="Times New Roman" w:hAnsi="Times New Roman" w:cs="Times New Roman"/>
        </w:rPr>
        <w:t xml:space="preserve"> formas de análisis implementadas por otros investigadores (</w:t>
      </w:r>
      <w:r w:rsidR="000B0AD4" w:rsidRPr="005F705E">
        <w:rPr>
          <w:rFonts w:ascii="Times New Roman" w:hAnsi="Times New Roman" w:cs="Times New Roman"/>
        </w:rPr>
        <w:t xml:space="preserve">Salvia, 2012; </w:t>
      </w:r>
      <w:r w:rsidRPr="005F705E">
        <w:rPr>
          <w:rFonts w:ascii="Times New Roman" w:hAnsi="Times New Roman" w:cs="Times New Roman"/>
        </w:rPr>
        <w:t xml:space="preserve">Salvia y Vera, 2012; Salvia, Vera y Poy, 2015). </w:t>
      </w:r>
      <w:r w:rsidR="00E10CC5" w:rsidRPr="005F705E">
        <w:rPr>
          <w:rFonts w:ascii="Times New Roman" w:hAnsi="Times New Roman" w:cs="Times New Roman"/>
        </w:rPr>
        <w:t>La tipología construida involucra un conjunto de variables: a) el estrato de productividad o sector (microempresa, privado formal o público formal); b) la categoría ocupacional (patrones,</w:t>
      </w:r>
      <w:r w:rsidR="00557D3C" w:rsidRPr="005F705E">
        <w:rPr>
          <w:rFonts w:ascii="Times New Roman" w:hAnsi="Times New Roman" w:cs="Times New Roman"/>
        </w:rPr>
        <w:t xml:space="preserve"> trabajadores por </w:t>
      </w:r>
      <w:r w:rsidR="00E10CC5" w:rsidRPr="005F705E">
        <w:rPr>
          <w:rFonts w:ascii="Times New Roman" w:hAnsi="Times New Roman" w:cs="Times New Roman"/>
        </w:rPr>
        <w:t xml:space="preserve">cuenta propia, obreros o empleados); c) la calificación de la tarea (profesional, técnica, operativa o no calificada); d) la jerarquía ocupacional (en el caso de los asalariados); e) la tenencia de capital propio (para los </w:t>
      </w:r>
      <w:r w:rsidR="00557D3C" w:rsidRPr="005F705E">
        <w:rPr>
          <w:rFonts w:ascii="Times New Roman" w:hAnsi="Times New Roman" w:cs="Times New Roman"/>
        </w:rPr>
        <w:t>trabajadores por cuenta propia</w:t>
      </w:r>
      <w:r w:rsidR="00E10CC5" w:rsidRPr="005F705E">
        <w:rPr>
          <w:rFonts w:ascii="Times New Roman" w:hAnsi="Times New Roman" w:cs="Times New Roman"/>
        </w:rPr>
        <w:t xml:space="preserve">); f) la precariedad (sólo para los asalariados). </w:t>
      </w:r>
    </w:p>
    <w:p w:rsidR="00D360A8" w:rsidRPr="005F705E" w:rsidRDefault="0091523C" w:rsidP="009B79D3">
      <w:pPr>
        <w:spacing w:after="0" w:line="480" w:lineRule="auto"/>
        <w:jc w:val="both"/>
        <w:rPr>
          <w:rFonts w:ascii="Times New Roman" w:hAnsi="Times New Roman" w:cs="Times New Roman"/>
          <w:szCs w:val="24"/>
        </w:rPr>
      </w:pPr>
      <w:r w:rsidRPr="005F705E">
        <w:rPr>
          <w:rFonts w:ascii="Times New Roman" w:eastAsia="Calibri" w:hAnsi="Times New Roman" w:cs="Times New Roman"/>
        </w:rPr>
        <w:t xml:space="preserve">Desde un enfoque centrado </w:t>
      </w:r>
      <w:r w:rsidR="00641733" w:rsidRPr="005F705E">
        <w:rPr>
          <w:rFonts w:ascii="Times New Roman" w:eastAsia="Calibri" w:hAnsi="Times New Roman" w:cs="Times New Roman"/>
        </w:rPr>
        <w:t>en la</w:t>
      </w:r>
      <w:r w:rsidRPr="005F705E">
        <w:rPr>
          <w:rFonts w:ascii="Times New Roman" w:eastAsia="Calibri" w:hAnsi="Times New Roman" w:cs="Times New Roman"/>
        </w:rPr>
        <w:t xml:space="preserve"> reproducción de las familias, las características que asume la estructura económico-ocupacional tendrán incidencia sobre las condiciones de vida en al menos dos sentidos. Por una parte, determinarán las oportunidades laborales a las que acceden las familias, marcando los límites de la demanda de empleo que éstas enfrentan (y, por ende, la</w:t>
      </w:r>
      <w:r w:rsidR="001F636B" w:rsidRPr="005F705E">
        <w:rPr>
          <w:rFonts w:ascii="Times New Roman" w:eastAsia="Calibri" w:hAnsi="Times New Roman" w:cs="Times New Roman"/>
        </w:rPr>
        <w:t>s</w:t>
      </w:r>
      <w:r w:rsidRPr="005F705E">
        <w:rPr>
          <w:rFonts w:ascii="Times New Roman" w:eastAsia="Calibri" w:hAnsi="Times New Roman" w:cs="Times New Roman"/>
        </w:rPr>
        <w:t xml:space="preserve"> </w:t>
      </w:r>
      <w:r w:rsidR="001F636B" w:rsidRPr="005F705E">
        <w:rPr>
          <w:rFonts w:ascii="Times New Roman" w:eastAsia="Calibri" w:hAnsi="Times New Roman" w:cs="Times New Roman"/>
        </w:rPr>
        <w:t xml:space="preserve">posibilidades de ocupación de sus </w:t>
      </w:r>
      <w:r w:rsidR="00621722" w:rsidRPr="005F705E">
        <w:rPr>
          <w:rFonts w:ascii="Times New Roman" w:eastAsia="Calibri" w:hAnsi="Times New Roman" w:cs="Times New Roman"/>
        </w:rPr>
        <w:t>distintos integrantes</w:t>
      </w:r>
      <w:r w:rsidRPr="005F705E">
        <w:rPr>
          <w:rFonts w:ascii="Times New Roman" w:eastAsia="Calibri" w:hAnsi="Times New Roman" w:cs="Times New Roman"/>
        </w:rPr>
        <w:t xml:space="preserve">). Por </w:t>
      </w:r>
      <w:r w:rsidR="00E454C5" w:rsidRPr="005F705E">
        <w:rPr>
          <w:rFonts w:ascii="Times New Roman" w:eastAsia="Calibri" w:hAnsi="Times New Roman" w:cs="Times New Roman"/>
        </w:rPr>
        <w:t>otra parte</w:t>
      </w:r>
      <w:r w:rsidRPr="005F705E">
        <w:rPr>
          <w:rFonts w:ascii="Times New Roman" w:eastAsia="Calibri" w:hAnsi="Times New Roman" w:cs="Times New Roman"/>
        </w:rPr>
        <w:t xml:space="preserve">, las posiciones económico-ocupacionales </w:t>
      </w:r>
      <w:r w:rsidR="00D360A8" w:rsidRPr="005F705E">
        <w:rPr>
          <w:rFonts w:ascii="Times New Roman" w:eastAsia="Calibri" w:hAnsi="Times New Roman" w:cs="Times New Roman"/>
        </w:rPr>
        <w:t>de las que participan</w:t>
      </w:r>
      <w:r w:rsidRPr="005F705E">
        <w:rPr>
          <w:rFonts w:ascii="Times New Roman" w:eastAsia="Calibri" w:hAnsi="Times New Roman" w:cs="Times New Roman"/>
        </w:rPr>
        <w:t xml:space="preserve"> las unidades incidirán sobre la percepción de ingresos </w:t>
      </w:r>
      <w:r w:rsidR="00D360A8" w:rsidRPr="005F705E">
        <w:rPr>
          <w:rFonts w:ascii="Times New Roman" w:eastAsia="Calibri" w:hAnsi="Times New Roman" w:cs="Times New Roman"/>
        </w:rPr>
        <w:t>de fuentes laborales</w:t>
      </w:r>
      <w:r w:rsidRPr="005F705E">
        <w:rPr>
          <w:rFonts w:ascii="Times New Roman" w:eastAsia="Calibri" w:hAnsi="Times New Roman" w:cs="Times New Roman"/>
        </w:rPr>
        <w:t xml:space="preserve"> y, por lo tanto, sobre el bienestar (Salvia, 2012). </w:t>
      </w:r>
    </w:p>
    <w:p w:rsidR="009D3AA1" w:rsidRPr="005F705E" w:rsidRDefault="000B1776" w:rsidP="009B79D3">
      <w:pPr>
        <w:pStyle w:val="Sinespaciado"/>
        <w:spacing w:line="480" w:lineRule="auto"/>
        <w:jc w:val="both"/>
        <w:rPr>
          <w:rFonts w:ascii="Times New Roman" w:hAnsi="Times New Roman" w:cs="Times New Roman"/>
        </w:rPr>
      </w:pPr>
      <w:r w:rsidRPr="005F705E">
        <w:rPr>
          <w:rFonts w:ascii="Times New Roman" w:hAnsi="Times New Roman" w:cs="Times New Roman"/>
          <w:lang w:val="es-ES"/>
        </w:rPr>
        <w:t xml:space="preserve">Para llevar adelante esta investigación, se utilizaron los microdatos de la Encuesta Permanente de Hogares que releva el Instituto Nacional de Estadística y Censos (INDEC), </w:t>
      </w:r>
      <w:r w:rsidR="009D3AA1" w:rsidRPr="005F705E">
        <w:rPr>
          <w:rFonts w:ascii="Times New Roman" w:hAnsi="Times New Roman" w:cs="Times New Roman"/>
        </w:rPr>
        <w:t>correspondiente</w:t>
      </w:r>
      <w:r w:rsidRPr="005F705E">
        <w:rPr>
          <w:rFonts w:ascii="Times New Roman" w:hAnsi="Times New Roman" w:cs="Times New Roman"/>
        </w:rPr>
        <w:t>s</w:t>
      </w:r>
      <w:r w:rsidR="009D3AA1" w:rsidRPr="005F705E">
        <w:rPr>
          <w:rFonts w:ascii="Times New Roman" w:hAnsi="Times New Roman" w:cs="Times New Roman"/>
        </w:rPr>
        <w:t xml:space="preserve"> al cuarto trimestre de los años comprendidos entre 2003 y 2014 y relativos al total de aglomerados urbanos de la Argentina</w:t>
      </w:r>
      <w:r w:rsidR="000B0AD4" w:rsidRPr="005F705E">
        <w:rPr>
          <w:rStyle w:val="Refdenotaalpie"/>
          <w:rFonts w:ascii="Times New Roman" w:hAnsi="Times New Roman" w:cs="Times New Roman"/>
        </w:rPr>
        <w:footnoteReference w:id="8"/>
      </w:r>
      <w:r w:rsidR="009D3AA1" w:rsidRPr="005F705E">
        <w:rPr>
          <w:rFonts w:ascii="Times New Roman" w:hAnsi="Times New Roman" w:cs="Times New Roman"/>
        </w:rPr>
        <w:t xml:space="preserve">. Como criterio para </w:t>
      </w:r>
      <w:r w:rsidR="00987399" w:rsidRPr="005F705E">
        <w:rPr>
          <w:rFonts w:ascii="Times New Roman" w:hAnsi="Times New Roman" w:cs="Times New Roman"/>
        </w:rPr>
        <w:t>determinar la posición económico-ocupacional</w:t>
      </w:r>
      <w:r w:rsidR="005B6F44" w:rsidRPr="005F705E">
        <w:rPr>
          <w:rFonts w:ascii="Times New Roman" w:hAnsi="Times New Roman" w:cs="Times New Roman"/>
        </w:rPr>
        <w:t xml:space="preserve"> </w:t>
      </w:r>
      <w:r w:rsidR="00987399" w:rsidRPr="005F705E">
        <w:rPr>
          <w:rFonts w:ascii="Times New Roman" w:hAnsi="Times New Roman" w:cs="Times New Roman"/>
        </w:rPr>
        <w:t xml:space="preserve">del hogar </w:t>
      </w:r>
      <w:r w:rsidR="009D3AA1" w:rsidRPr="005F705E">
        <w:rPr>
          <w:rFonts w:ascii="Times New Roman" w:hAnsi="Times New Roman" w:cs="Times New Roman"/>
        </w:rPr>
        <w:t xml:space="preserve">se utilizó la posición del </w:t>
      </w:r>
      <w:r w:rsidR="009D3AA1" w:rsidRPr="005F705E">
        <w:rPr>
          <w:rFonts w:ascii="Times New Roman" w:hAnsi="Times New Roman" w:cs="Times New Roman"/>
        </w:rPr>
        <w:lastRenderedPageBreak/>
        <w:t>Principal Sostén del Hogar (PSH)</w:t>
      </w:r>
      <w:r w:rsidRPr="005F705E">
        <w:rPr>
          <w:rStyle w:val="Refdenotaalpie"/>
          <w:rFonts w:ascii="Times New Roman" w:hAnsi="Times New Roman" w:cs="Times New Roman"/>
        </w:rPr>
        <w:footnoteReference w:id="9"/>
      </w:r>
      <w:r w:rsidR="009D3AA1" w:rsidRPr="005F705E">
        <w:rPr>
          <w:rFonts w:ascii="Times New Roman" w:hAnsi="Times New Roman" w:cs="Times New Roman"/>
        </w:rPr>
        <w:t>, por lo que</w:t>
      </w:r>
      <w:r w:rsidR="004D601F" w:rsidRPr="005F705E">
        <w:rPr>
          <w:rFonts w:ascii="Times New Roman" w:hAnsi="Times New Roman" w:cs="Times New Roman"/>
        </w:rPr>
        <w:t xml:space="preserve"> </w:t>
      </w:r>
      <w:r w:rsidR="009D3AA1" w:rsidRPr="005F705E">
        <w:rPr>
          <w:rFonts w:ascii="Times New Roman" w:hAnsi="Times New Roman" w:cs="Times New Roman"/>
        </w:rPr>
        <w:t xml:space="preserve">–salvo aclaración en contrario– el universo de análisis quedó </w:t>
      </w:r>
      <w:r w:rsidR="005B6F44" w:rsidRPr="005F705E">
        <w:rPr>
          <w:rFonts w:ascii="Times New Roman" w:hAnsi="Times New Roman" w:cs="Times New Roman"/>
        </w:rPr>
        <w:t>conformado</w:t>
      </w:r>
      <w:r w:rsidR="009D3AA1" w:rsidRPr="005F705E">
        <w:rPr>
          <w:rFonts w:ascii="Times New Roman" w:hAnsi="Times New Roman" w:cs="Times New Roman"/>
        </w:rPr>
        <w:t xml:space="preserve"> por los hogares cuyo PSH se encontraba ocupado. </w:t>
      </w:r>
    </w:p>
    <w:p w:rsidR="004D601F" w:rsidRPr="005F705E" w:rsidRDefault="009D3AA1" w:rsidP="009B79D3">
      <w:pPr>
        <w:suppressAutoHyphens/>
        <w:autoSpaceDE w:val="0"/>
        <w:spacing w:after="0" w:line="480" w:lineRule="auto"/>
        <w:jc w:val="both"/>
        <w:rPr>
          <w:rFonts w:ascii="Times New Roman" w:hAnsi="Times New Roman" w:cs="Times New Roman"/>
          <w:bCs/>
          <w:lang w:eastAsia="ar-SA"/>
        </w:rPr>
      </w:pPr>
      <w:r w:rsidRPr="005F705E">
        <w:rPr>
          <w:rFonts w:ascii="Times New Roman" w:hAnsi="Times New Roman" w:cs="Times New Roman"/>
        </w:rPr>
        <w:t xml:space="preserve">En el análisis </w:t>
      </w:r>
      <w:r w:rsidR="00341DDB" w:rsidRPr="005F705E">
        <w:rPr>
          <w:rFonts w:ascii="Times New Roman" w:hAnsi="Times New Roman" w:cs="Times New Roman"/>
        </w:rPr>
        <w:t>hemos diferenciado</w:t>
      </w:r>
      <w:r w:rsidRPr="005F705E">
        <w:rPr>
          <w:rFonts w:ascii="Times New Roman" w:hAnsi="Times New Roman" w:cs="Times New Roman"/>
        </w:rPr>
        <w:t xml:space="preserve"> dos ciclos dentro del período reciente de políticas</w:t>
      </w:r>
      <w:r w:rsidR="000B1776" w:rsidRPr="005F705E">
        <w:rPr>
          <w:rFonts w:ascii="Times New Roman" w:hAnsi="Times New Roman" w:cs="Times New Roman"/>
        </w:rPr>
        <w:t xml:space="preserve"> post-</w:t>
      </w:r>
      <w:r w:rsidR="003C5539" w:rsidRPr="005F705E">
        <w:rPr>
          <w:rFonts w:ascii="Times New Roman" w:hAnsi="Times New Roman" w:cs="Times New Roman"/>
        </w:rPr>
        <w:t>reformas</w:t>
      </w:r>
      <w:r w:rsidRPr="005F705E">
        <w:rPr>
          <w:rFonts w:ascii="Times New Roman" w:hAnsi="Times New Roman" w:cs="Times New Roman"/>
        </w:rPr>
        <w:t xml:space="preserve">: uno de veloz crecimiento (entre 2003 y 2007) y otro de menor </w:t>
      </w:r>
      <w:r w:rsidR="005C2AFA" w:rsidRPr="005F705E">
        <w:rPr>
          <w:rFonts w:ascii="Times New Roman" w:hAnsi="Times New Roman" w:cs="Times New Roman"/>
        </w:rPr>
        <w:t xml:space="preserve">expansión </w:t>
      </w:r>
      <w:r w:rsidRPr="005F705E">
        <w:rPr>
          <w:rFonts w:ascii="Times New Roman" w:hAnsi="Times New Roman" w:cs="Times New Roman"/>
        </w:rPr>
        <w:t xml:space="preserve">e incluso estancamiento, que </w:t>
      </w:r>
      <w:r w:rsidR="000B1776" w:rsidRPr="005F705E">
        <w:rPr>
          <w:rFonts w:ascii="Times New Roman" w:hAnsi="Times New Roman" w:cs="Times New Roman"/>
        </w:rPr>
        <w:t>incluyó</w:t>
      </w:r>
      <w:r w:rsidRPr="005F705E">
        <w:rPr>
          <w:rFonts w:ascii="Times New Roman" w:hAnsi="Times New Roman" w:cs="Times New Roman"/>
        </w:rPr>
        <w:t xml:space="preserve"> los efectos de la crisis internacional (200</w:t>
      </w:r>
      <w:r w:rsidR="00341DDB" w:rsidRPr="005F705E">
        <w:rPr>
          <w:rFonts w:ascii="Times New Roman" w:hAnsi="Times New Roman" w:cs="Times New Roman"/>
        </w:rPr>
        <w:t>7</w:t>
      </w:r>
      <w:r w:rsidRPr="005F705E">
        <w:rPr>
          <w:rFonts w:ascii="Times New Roman" w:hAnsi="Times New Roman" w:cs="Times New Roman"/>
        </w:rPr>
        <w:t>-2014). El primer período estuvo signado por l</w:t>
      </w:r>
      <w:r w:rsidRPr="005F705E">
        <w:rPr>
          <w:rFonts w:ascii="Times New Roman" w:hAnsi="Times New Roman" w:cs="Times New Roman"/>
          <w:bCs/>
          <w:lang w:eastAsia="ar-SA"/>
        </w:rPr>
        <w:t xml:space="preserve">a devaluación y el </w:t>
      </w:r>
      <w:r w:rsidRPr="005F705E">
        <w:rPr>
          <w:rFonts w:ascii="Times New Roman" w:hAnsi="Times New Roman" w:cs="Times New Roman"/>
          <w:bCs/>
          <w:i/>
          <w:lang w:eastAsia="ar-SA"/>
        </w:rPr>
        <w:t>default</w:t>
      </w:r>
      <w:r w:rsidRPr="005F705E">
        <w:rPr>
          <w:rFonts w:ascii="Times New Roman" w:hAnsi="Times New Roman" w:cs="Times New Roman"/>
          <w:bCs/>
          <w:lang w:eastAsia="ar-SA"/>
        </w:rPr>
        <w:t xml:space="preserve"> internacional que siguieron a la salida de la convertibilidad (un régimen de caja de conversión que acompañó a las reformas neoliberales), las cuales modificaron radicalmente el sistema de precios y el comportamiento macroeconómico, generando un incremento sustantivo del tipo de cambio real. En este escenario, y bajo un contexto de precios internacionales favorables para las exportaciones primarias, se inició una fase de recuperación de la activida</w:t>
      </w:r>
      <w:r w:rsidR="004D601F" w:rsidRPr="005F705E">
        <w:rPr>
          <w:rFonts w:ascii="Times New Roman" w:hAnsi="Times New Roman" w:cs="Times New Roman"/>
          <w:bCs/>
          <w:lang w:eastAsia="ar-SA"/>
        </w:rPr>
        <w:t xml:space="preserve">d productiva, el consumo, </w:t>
      </w:r>
      <w:r w:rsidRPr="005F705E">
        <w:rPr>
          <w:rFonts w:ascii="Times New Roman" w:hAnsi="Times New Roman" w:cs="Times New Roman"/>
          <w:bCs/>
          <w:lang w:eastAsia="ar-SA"/>
        </w:rPr>
        <w:t>las finanzas públicas</w:t>
      </w:r>
      <w:r w:rsidR="004D601F" w:rsidRPr="005F705E">
        <w:rPr>
          <w:rFonts w:ascii="Times New Roman" w:hAnsi="Times New Roman" w:cs="Times New Roman"/>
          <w:bCs/>
          <w:lang w:eastAsia="ar-SA"/>
        </w:rPr>
        <w:t xml:space="preserve"> y el empleo </w:t>
      </w:r>
      <w:r w:rsidRPr="005F705E">
        <w:rPr>
          <w:rFonts w:ascii="Times New Roman" w:hAnsi="Times New Roman" w:cs="Times New Roman"/>
          <w:bCs/>
          <w:lang w:eastAsia="ar-SA"/>
        </w:rPr>
        <w:t xml:space="preserve">(CENDA, 2010; Gaggero, Schorr y Wainer, 2014). </w:t>
      </w:r>
    </w:p>
    <w:p w:rsidR="009D3AA1" w:rsidRPr="005F705E" w:rsidRDefault="009D3AA1" w:rsidP="009B79D3">
      <w:pPr>
        <w:suppressAutoHyphens/>
        <w:autoSpaceDE w:val="0"/>
        <w:spacing w:after="0" w:line="480" w:lineRule="auto"/>
        <w:jc w:val="both"/>
        <w:rPr>
          <w:rFonts w:ascii="Times New Roman" w:hAnsi="Times New Roman" w:cs="Times New Roman"/>
          <w:lang w:val="es-MX"/>
        </w:rPr>
      </w:pPr>
      <w:r w:rsidRPr="005F705E">
        <w:rPr>
          <w:rFonts w:ascii="Times New Roman" w:hAnsi="Times New Roman" w:cs="Times New Roman"/>
          <w:lang w:val="es-MX"/>
        </w:rPr>
        <w:t>En un segundo momento, el ciclo económico comenzó a mostrar un menor ritmo de expansión</w:t>
      </w:r>
      <w:r w:rsidR="004D601F" w:rsidRPr="005F705E">
        <w:rPr>
          <w:rFonts w:ascii="Times New Roman" w:hAnsi="Times New Roman" w:cs="Times New Roman"/>
          <w:lang w:val="es-MX"/>
        </w:rPr>
        <w:t xml:space="preserve"> al agotarse algunos pilares básicos del primer período</w:t>
      </w:r>
      <w:r w:rsidRPr="005F705E">
        <w:rPr>
          <w:rFonts w:ascii="Times New Roman" w:hAnsi="Times New Roman" w:cs="Times New Roman"/>
          <w:lang w:val="es-MX"/>
        </w:rPr>
        <w:t>. Por una parte, el alza de los precios internacionales se tradujo en un crecimiento sostenido de la tasa de inflación interna (Schorr, 2012). Este proceso, que alentó a su vez una intensa puja distributiva, redundó en la progresiva erosión de la competitividad que se había sostenido principalmente en el tipo de cambio y no en mejoras de la productividad (Fernández Bugna y Porta, 2008). Como resultado, una vez superados los efectos de la crisis internacional, en 2009, tuvo lugar una progresiva reaparición de la “</w:t>
      </w:r>
      <w:r w:rsidRPr="005F705E">
        <w:rPr>
          <w:rFonts w:ascii="Times New Roman" w:hAnsi="Times New Roman" w:cs="Times New Roman"/>
        </w:rPr>
        <w:t>restricción externa” (</w:t>
      </w:r>
      <w:r w:rsidR="004D601F" w:rsidRPr="005F705E">
        <w:rPr>
          <w:rFonts w:ascii="Times New Roman" w:hAnsi="Times New Roman" w:cs="Times New Roman"/>
        </w:rPr>
        <w:t>Gaggero, Schorr y Wainer, 2014</w:t>
      </w:r>
      <w:r w:rsidRPr="005F705E">
        <w:rPr>
          <w:rFonts w:ascii="Times New Roman" w:hAnsi="Times New Roman" w:cs="Times New Roman"/>
        </w:rPr>
        <w:t>)</w:t>
      </w:r>
      <w:r w:rsidRPr="005F705E">
        <w:rPr>
          <w:rFonts w:ascii="Times New Roman" w:hAnsi="Times New Roman" w:cs="Times New Roman"/>
          <w:lang w:val="es-MX"/>
        </w:rPr>
        <w:t xml:space="preserve"> que finalmente impidió sostener los ritmos de crecimiento preexistentes. </w:t>
      </w:r>
    </w:p>
    <w:p w:rsidR="00AE1201" w:rsidRPr="005F705E" w:rsidRDefault="00E454C5" w:rsidP="009B79D3">
      <w:pPr>
        <w:pStyle w:val="Sinespaciado"/>
        <w:spacing w:line="480" w:lineRule="auto"/>
        <w:jc w:val="both"/>
        <w:rPr>
          <w:rFonts w:ascii="Times New Roman" w:hAnsi="Times New Roman" w:cs="Times New Roman"/>
          <w:lang w:val="es-MX"/>
        </w:rPr>
      </w:pPr>
      <w:r w:rsidRPr="005F705E">
        <w:rPr>
          <w:rFonts w:ascii="Times New Roman" w:hAnsi="Times New Roman" w:cs="Times New Roman"/>
        </w:rPr>
        <w:lastRenderedPageBreak/>
        <w:t>¿En qué medida una estructura laboral heterogénea se tradujo en desiguales oportunidades ocupacionales para los hogares? ¿Qué capacidades tuvieron los hogares de acceder a distintos tipos de oportunidades laborales a través de la inserción de sus miembros en las distintas posiciones ocupacionales? ¿Qué diferencias se observan al interior del ciclo político-económico post-</w:t>
      </w:r>
      <w:r w:rsidR="00E22C69" w:rsidRPr="005F705E">
        <w:rPr>
          <w:rFonts w:ascii="Times New Roman" w:hAnsi="Times New Roman" w:cs="Times New Roman"/>
        </w:rPr>
        <w:t>reformas</w:t>
      </w:r>
      <w:r w:rsidRPr="005F705E">
        <w:rPr>
          <w:rFonts w:ascii="Times New Roman" w:hAnsi="Times New Roman" w:cs="Times New Roman"/>
        </w:rPr>
        <w:t xml:space="preserve">? ¿Es posible constatar la existencia de hogares que concentraron posiciones laborales marginales, informales o precarias sin poder acceder a otro tipo de empleos? Las próximas secciones buscan dar respuesta a estos interrogantes. </w:t>
      </w:r>
    </w:p>
    <w:p w:rsidR="00DD1197" w:rsidRPr="005F705E" w:rsidRDefault="000B1776" w:rsidP="000B1776">
      <w:pPr>
        <w:pStyle w:val="Sinespaciado"/>
        <w:jc w:val="both"/>
        <w:rPr>
          <w:rFonts w:ascii="Times New Roman" w:hAnsi="Times New Roman" w:cs="Times New Roman"/>
          <w:b/>
          <w:lang w:val="es-ES"/>
        </w:rPr>
      </w:pPr>
      <w:r w:rsidRPr="005F705E">
        <w:rPr>
          <w:rFonts w:ascii="Times New Roman" w:hAnsi="Times New Roman" w:cs="Times New Roman"/>
          <w:b/>
          <w:lang w:val="es-ES"/>
        </w:rPr>
        <w:t xml:space="preserve">3. </w:t>
      </w:r>
      <w:r w:rsidR="009D3AA1" w:rsidRPr="005F705E">
        <w:rPr>
          <w:rFonts w:ascii="Times New Roman" w:hAnsi="Times New Roman" w:cs="Times New Roman"/>
          <w:b/>
          <w:lang w:val="es-ES"/>
        </w:rPr>
        <w:t>Transformaciones en</w:t>
      </w:r>
      <w:r w:rsidR="00D926B4" w:rsidRPr="005F705E">
        <w:rPr>
          <w:rFonts w:ascii="Times New Roman" w:hAnsi="Times New Roman" w:cs="Times New Roman"/>
          <w:b/>
          <w:lang w:val="es-ES"/>
        </w:rPr>
        <w:t xml:space="preserve"> la</w:t>
      </w:r>
      <w:r w:rsidR="00E240B7" w:rsidRPr="005F705E">
        <w:rPr>
          <w:rFonts w:ascii="Times New Roman" w:hAnsi="Times New Roman" w:cs="Times New Roman"/>
          <w:b/>
          <w:lang w:val="es-ES"/>
        </w:rPr>
        <w:t xml:space="preserve"> participación</w:t>
      </w:r>
      <w:r w:rsidR="00D926B4" w:rsidRPr="005F705E">
        <w:rPr>
          <w:rFonts w:ascii="Times New Roman" w:hAnsi="Times New Roman" w:cs="Times New Roman"/>
          <w:b/>
          <w:lang w:val="es-ES"/>
        </w:rPr>
        <w:t xml:space="preserve"> laboral de los hogares durante </w:t>
      </w:r>
      <w:r w:rsidRPr="005F705E">
        <w:rPr>
          <w:rFonts w:ascii="Times New Roman" w:hAnsi="Times New Roman" w:cs="Times New Roman"/>
          <w:b/>
          <w:lang w:val="es-ES"/>
        </w:rPr>
        <w:t>el ciclo post-</w:t>
      </w:r>
      <w:r w:rsidR="00E22C69" w:rsidRPr="005F705E">
        <w:rPr>
          <w:rFonts w:ascii="Times New Roman" w:hAnsi="Times New Roman" w:cs="Times New Roman"/>
          <w:b/>
          <w:lang w:val="es-ES"/>
        </w:rPr>
        <w:t>reformas</w:t>
      </w:r>
    </w:p>
    <w:p w:rsidR="00094454" w:rsidRPr="005F705E" w:rsidRDefault="00094454" w:rsidP="00F80C88">
      <w:pPr>
        <w:pStyle w:val="Sinespaciado"/>
        <w:ind w:firstLine="142"/>
        <w:jc w:val="both"/>
        <w:rPr>
          <w:rFonts w:ascii="Times New Roman" w:hAnsi="Times New Roman" w:cs="Times New Roman"/>
          <w:b/>
          <w:lang w:val="es-ES"/>
        </w:rPr>
      </w:pPr>
    </w:p>
    <w:p w:rsidR="00094454" w:rsidRPr="005F705E" w:rsidRDefault="006A1BBF" w:rsidP="00F115BD">
      <w:pPr>
        <w:pStyle w:val="Sinespaciado"/>
        <w:jc w:val="both"/>
        <w:rPr>
          <w:rFonts w:ascii="Times New Roman" w:hAnsi="Times New Roman" w:cs="Times New Roman"/>
          <w:i/>
          <w:u w:val="single"/>
          <w:lang w:val="es-ES"/>
        </w:rPr>
      </w:pPr>
      <w:r w:rsidRPr="005F705E">
        <w:rPr>
          <w:rFonts w:ascii="Times New Roman" w:hAnsi="Times New Roman" w:cs="Times New Roman"/>
          <w:i/>
          <w:u w:val="single"/>
          <w:lang w:val="es-ES"/>
        </w:rPr>
        <w:t xml:space="preserve">a. </w:t>
      </w:r>
      <w:r w:rsidR="00094454" w:rsidRPr="005F705E">
        <w:rPr>
          <w:rFonts w:ascii="Times New Roman" w:hAnsi="Times New Roman" w:cs="Times New Roman"/>
          <w:i/>
          <w:u w:val="single"/>
          <w:lang w:val="es-ES"/>
        </w:rPr>
        <w:t>Participación económica de los hogares según la posición del Principal Sostén del Hogar</w:t>
      </w:r>
    </w:p>
    <w:p w:rsidR="00AA1370" w:rsidRPr="005F705E" w:rsidRDefault="00AA1370" w:rsidP="00F115BD">
      <w:pPr>
        <w:pStyle w:val="Sinespaciado"/>
        <w:ind w:firstLine="142"/>
        <w:jc w:val="both"/>
        <w:rPr>
          <w:rFonts w:ascii="Times New Roman" w:hAnsi="Times New Roman" w:cs="Times New Roman"/>
          <w:b/>
          <w:lang w:val="es-ES"/>
        </w:rPr>
      </w:pPr>
    </w:p>
    <w:p w:rsidR="00EC385D" w:rsidRPr="005F705E" w:rsidRDefault="00645616"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Durante los años de reformas estructurales (1991-2001), </w:t>
      </w:r>
      <w:r w:rsidR="00890669" w:rsidRPr="005F705E">
        <w:rPr>
          <w:rFonts w:ascii="Times New Roman" w:hAnsi="Times New Roman" w:cs="Times New Roman"/>
          <w:lang w:val="es-ES"/>
        </w:rPr>
        <w:t>una característica del</w:t>
      </w:r>
      <w:r w:rsidRPr="005F705E">
        <w:rPr>
          <w:rFonts w:ascii="Times New Roman" w:hAnsi="Times New Roman" w:cs="Times New Roman"/>
          <w:lang w:val="es-ES"/>
        </w:rPr>
        <w:t xml:space="preserve"> vínculo </w:t>
      </w:r>
      <w:r w:rsidR="00890669" w:rsidRPr="005F705E">
        <w:rPr>
          <w:rFonts w:ascii="Times New Roman" w:hAnsi="Times New Roman" w:cs="Times New Roman"/>
          <w:lang w:val="es-ES"/>
        </w:rPr>
        <w:t>de</w:t>
      </w:r>
      <w:r w:rsidRPr="005F705E">
        <w:rPr>
          <w:rFonts w:ascii="Times New Roman" w:hAnsi="Times New Roman" w:cs="Times New Roman"/>
          <w:lang w:val="es-ES"/>
        </w:rPr>
        <w:t xml:space="preserve"> los hogares </w:t>
      </w:r>
      <w:r w:rsidR="00890669" w:rsidRPr="005F705E">
        <w:rPr>
          <w:rFonts w:ascii="Times New Roman" w:hAnsi="Times New Roman" w:cs="Times New Roman"/>
          <w:lang w:val="es-ES"/>
        </w:rPr>
        <w:t>con</w:t>
      </w:r>
      <w:r w:rsidRPr="005F705E">
        <w:rPr>
          <w:rFonts w:ascii="Times New Roman" w:hAnsi="Times New Roman" w:cs="Times New Roman"/>
          <w:lang w:val="es-ES"/>
        </w:rPr>
        <w:t xml:space="preserve"> el mercado laboral fue la necesidad de volcar </w:t>
      </w:r>
      <w:r w:rsidR="00890669" w:rsidRPr="005F705E">
        <w:rPr>
          <w:rFonts w:ascii="Times New Roman" w:hAnsi="Times New Roman" w:cs="Times New Roman"/>
          <w:lang w:val="es-ES"/>
        </w:rPr>
        <w:t>trabajadores secundarios</w:t>
      </w:r>
      <w:r w:rsidRPr="005F705E">
        <w:rPr>
          <w:rFonts w:ascii="Times New Roman" w:hAnsi="Times New Roman" w:cs="Times New Roman"/>
          <w:lang w:val="es-ES"/>
        </w:rPr>
        <w:t xml:space="preserve"> </w:t>
      </w:r>
      <w:r w:rsidR="00890669" w:rsidRPr="005F705E">
        <w:rPr>
          <w:rFonts w:ascii="Times New Roman" w:hAnsi="Times New Roman" w:cs="Times New Roman"/>
          <w:lang w:val="es-ES"/>
        </w:rPr>
        <w:t xml:space="preserve">a la actividad, los cuales, </w:t>
      </w:r>
      <w:r w:rsidR="008A70D8" w:rsidRPr="005F705E">
        <w:rPr>
          <w:rFonts w:ascii="Times New Roman" w:hAnsi="Times New Roman" w:cs="Times New Roman"/>
          <w:lang w:val="es-ES"/>
        </w:rPr>
        <w:t xml:space="preserve">en </w:t>
      </w:r>
      <w:r w:rsidRPr="005F705E">
        <w:rPr>
          <w:rFonts w:ascii="Times New Roman" w:hAnsi="Times New Roman" w:cs="Times New Roman"/>
          <w:lang w:val="es-ES"/>
        </w:rPr>
        <w:t xml:space="preserve">un contexto </w:t>
      </w:r>
      <w:r w:rsidR="00890669" w:rsidRPr="005F705E">
        <w:rPr>
          <w:rFonts w:ascii="Times New Roman" w:hAnsi="Times New Roman" w:cs="Times New Roman"/>
          <w:lang w:val="es-ES"/>
        </w:rPr>
        <w:t xml:space="preserve">económico </w:t>
      </w:r>
      <w:r w:rsidRPr="005F705E">
        <w:rPr>
          <w:rFonts w:ascii="Times New Roman" w:hAnsi="Times New Roman" w:cs="Times New Roman"/>
          <w:lang w:val="es-ES"/>
        </w:rPr>
        <w:t>adverso</w:t>
      </w:r>
      <w:r w:rsidR="008A70D8" w:rsidRPr="005F705E">
        <w:rPr>
          <w:rFonts w:ascii="Times New Roman" w:hAnsi="Times New Roman" w:cs="Times New Roman"/>
          <w:lang w:val="es-ES"/>
        </w:rPr>
        <w:t xml:space="preserve">, no </w:t>
      </w:r>
      <w:r w:rsidR="009A71A7" w:rsidRPr="005F705E">
        <w:rPr>
          <w:rFonts w:ascii="Times New Roman" w:hAnsi="Times New Roman" w:cs="Times New Roman"/>
          <w:lang w:val="es-ES"/>
        </w:rPr>
        <w:t xml:space="preserve">siempre </w:t>
      </w:r>
      <w:r w:rsidR="008A70D8" w:rsidRPr="005F705E">
        <w:rPr>
          <w:rFonts w:ascii="Times New Roman" w:hAnsi="Times New Roman" w:cs="Times New Roman"/>
          <w:lang w:val="es-ES"/>
        </w:rPr>
        <w:t>conseguían</w:t>
      </w:r>
      <w:r w:rsidRPr="005F705E">
        <w:rPr>
          <w:rFonts w:ascii="Times New Roman" w:hAnsi="Times New Roman" w:cs="Times New Roman"/>
          <w:lang w:val="es-ES"/>
        </w:rPr>
        <w:t xml:space="preserve"> </w:t>
      </w:r>
      <w:r w:rsidR="008A70D8" w:rsidRPr="005F705E">
        <w:rPr>
          <w:rFonts w:ascii="Times New Roman" w:hAnsi="Times New Roman" w:cs="Times New Roman"/>
          <w:lang w:val="es-ES"/>
        </w:rPr>
        <w:t xml:space="preserve">empleo </w:t>
      </w:r>
      <w:r w:rsidRPr="005F705E">
        <w:rPr>
          <w:rFonts w:ascii="Times New Roman" w:hAnsi="Times New Roman" w:cs="Times New Roman"/>
          <w:lang w:val="es-ES"/>
        </w:rPr>
        <w:t>(Poy, Vera y Salvia, 2015).</w:t>
      </w:r>
      <w:r w:rsidR="00EC385D" w:rsidRPr="005F705E">
        <w:rPr>
          <w:rFonts w:ascii="Times New Roman" w:hAnsi="Times New Roman" w:cs="Times New Roman"/>
          <w:lang w:val="es-ES"/>
        </w:rPr>
        <w:t xml:space="preserve"> En contraste, du</w:t>
      </w:r>
      <w:r w:rsidR="00E22C69" w:rsidRPr="005F705E">
        <w:rPr>
          <w:rFonts w:ascii="Times New Roman" w:hAnsi="Times New Roman" w:cs="Times New Roman"/>
          <w:lang w:val="es-ES"/>
        </w:rPr>
        <w:t>rante el período post-reformas</w:t>
      </w:r>
      <w:r w:rsidR="00594DBB" w:rsidRPr="005F705E">
        <w:rPr>
          <w:rFonts w:ascii="Times New Roman" w:hAnsi="Times New Roman" w:cs="Times New Roman"/>
          <w:lang w:val="es-ES"/>
        </w:rPr>
        <w:t xml:space="preserve">, </w:t>
      </w:r>
      <w:r w:rsidR="00EC385D" w:rsidRPr="005F705E">
        <w:rPr>
          <w:rFonts w:ascii="Times New Roman" w:hAnsi="Times New Roman" w:cs="Times New Roman"/>
          <w:lang w:val="es-ES"/>
        </w:rPr>
        <w:t xml:space="preserve">los hogares tuvieron la posibilidad de </w:t>
      </w:r>
      <w:r w:rsidR="00E22C69" w:rsidRPr="005F705E">
        <w:rPr>
          <w:rFonts w:ascii="Times New Roman" w:hAnsi="Times New Roman" w:cs="Times New Roman"/>
          <w:lang w:val="es-ES"/>
        </w:rPr>
        <w:t>incrementar y mantener</w:t>
      </w:r>
      <w:r w:rsidR="00EC385D" w:rsidRPr="005F705E">
        <w:rPr>
          <w:rFonts w:ascii="Times New Roman" w:hAnsi="Times New Roman" w:cs="Times New Roman"/>
          <w:lang w:val="es-ES"/>
        </w:rPr>
        <w:t xml:space="preserve"> </w:t>
      </w:r>
      <w:r w:rsidR="00E22C69" w:rsidRPr="005F705E">
        <w:rPr>
          <w:rFonts w:ascii="Times New Roman" w:hAnsi="Times New Roman" w:cs="Times New Roman"/>
          <w:lang w:val="es-ES"/>
        </w:rPr>
        <w:t>el</w:t>
      </w:r>
      <w:r w:rsidR="00EC385D" w:rsidRPr="005F705E">
        <w:rPr>
          <w:rFonts w:ascii="Times New Roman" w:hAnsi="Times New Roman" w:cs="Times New Roman"/>
          <w:lang w:val="es-ES"/>
        </w:rPr>
        <w:t xml:space="preserve"> número de ocupados promedio por hogar</w:t>
      </w:r>
      <w:r w:rsidR="008A70D8" w:rsidRPr="005F705E">
        <w:rPr>
          <w:rStyle w:val="Refdenotaalpie"/>
          <w:rFonts w:ascii="Times New Roman" w:hAnsi="Times New Roman" w:cs="Times New Roman"/>
          <w:lang w:val="es-ES"/>
        </w:rPr>
        <w:footnoteReference w:id="10"/>
      </w:r>
      <w:r w:rsidRPr="005F705E">
        <w:rPr>
          <w:rFonts w:ascii="Times New Roman" w:hAnsi="Times New Roman" w:cs="Times New Roman"/>
          <w:lang w:val="es-ES"/>
        </w:rPr>
        <w:t xml:space="preserve">. </w:t>
      </w:r>
      <w:r w:rsidR="00EC385D" w:rsidRPr="005F705E">
        <w:rPr>
          <w:rFonts w:ascii="Times New Roman" w:hAnsi="Times New Roman" w:cs="Times New Roman"/>
          <w:lang w:val="es-ES"/>
        </w:rPr>
        <w:t xml:space="preserve">Un rasgo sobresaliente de esta evolución es que la recomposición de las oportunidades laborales de los hogares, a nivel agregado, se concentró en la primera fase del período estudiado, reduciendo su dinamismo con posterioridad. </w:t>
      </w:r>
      <w:r w:rsidR="00890669" w:rsidRPr="005F705E">
        <w:rPr>
          <w:rFonts w:ascii="Times New Roman" w:hAnsi="Times New Roman" w:cs="Times New Roman"/>
          <w:lang w:val="es-ES"/>
        </w:rPr>
        <w:t>Este comportamiento</w:t>
      </w:r>
      <w:r w:rsidR="00F86654" w:rsidRPr="005F705E">
        <w:rPr>
          <w:rFonts w:ascii="Times New Roman" w:hAnsi="Times New Roman" w:cs="Times New Roman"/>
          <w:lang w:val="es-ES"/>
        </w:rPr>
        <w:t xml:space="preserve"> permitió aumentar el número </w:t>
      </w:r>
      <w:r w:rsidR="00954760" w:rsidRPr="005F705E">
        <w:rPr>
          <w:rFonts w:ascii="Times New Roman" w:hAnsi="Times New Roman" w:cs="Times New Roman"/>
          <w:lang w:val="es-ES"/>
        </w:rPr>
        <w:t xml:space="preserve">promedio </w:t>
      </w:r>
      <w:r w:rsidR="00F86654" w:rsidRPr="005F705E">
        <w:rPr>
          <w:rFonts w:ascii="Times New Roman" w:hAnsi="Times New Roman" w:cs="Times New Roman"/>
          <w:lang w:val="es-ES"/>
        </w:rPr>
        <w:t>de per</w:t>
      </w:r>
      <w:r w:rsidR="005B6F44" w:rsidRPr="005F705E">
        <w:rPr>
          <w:rFonts w:ascii="Times New Roman" w:hAnsi="Times New Roman" w:cs="Times New Roman"/>
          <w:lang w:val="es-ES"/>
        </w:rPr>
        <w:t>ceptores de ingresos por hogar</w:t>
      </w:r>
      <w:r w:rsidR="00890669" w:rsidRPr="005F705E">
        <w:rPr>
          <w:rFonts w:ascii="Times New Roman" w:hAnsi="Times New Roman" w:cs="Times New Roman"/>
          <w:lang w:val="es-ES"/>
        </w:rPr>
        <w:t xml:space="preserve"> (Cuadro 1)</w:t>
      </w:r>
      <w:r w:rsidR="005B6F44" w:rsidRPr="005F705E">
        <w:rPr>
          <w:rFonts w:ascii="Times New Roman" w:hAnsi="Times New Roman" w:cs="Times New Roman"/>
          <w:lang w:val="es-ES"/>
        </w:rPr>
        <w:t xml:space="preserve">. Sin embargo, este indicador </w:t>
      </w:r>
      <w:r w:rsidR="00F86654" w:rsidRPr="005F705E">
        <w:rPr>
          <w:rFonts w:ascii="Times New Roman" w:hAnsi="Times New Roman" w:cs="Times New Roman"/>
          <w:lang w:val="es-ES"/>
        </w:rPr>
        <w:t xml:space="preserve">recoge, al mismo tiempo, </w:t>
      </w:r>
      <w:r w:rsidR="00890669" w:rsidRPr="005F705E">
        <w:rPr>
          <w:rFonts w:ascii="Times New Roman" w:hAnsi="Times New Roman" w:cs="Times New Roman"/>
          <w:lang w:val="es-ES"/>
        </w:rPr>
        <w:t>el</w:t>
      </w:r>
      <w:r w:rsidR="00F86654" w:rsidRPr="005F705E">
        <w:rPr>
          <w:rFonts w:ascii="Times New Roman" w:hAnsi="Times New Roman" w:cs="Times New Roman"/>
          <w:lang w:val="es-ES"/>
        </w:rPr>
        <w:t xml:space="preserve"> acelerado aumento de los perceptores de ingresos no laborales</w:t>
      </w:r>
      <w:r w:rsidR="00EC385D" w:rsidRPr="005F705E">
        <w:rPr>
          <w:rFonts w:ascii="Times New Roman" w:hAnsi="Times New Roman" w:cs="Times New Roman"/>
          <w:lang w:val="es-ES"/>
        </w:rPr>
        <w:t xml:space="preserve"> por hogar</w:t>
      </w:r>
      <w:r w:rsidR="00F86654" w:rsidRPr="005F705E">
        <w:rPr>
          <w:rFonts w:ascii="Times New Roman" w:hAnsi="Times New Roman" w:cs="Times New Roman"/>
          <w:lang w:val="es-ES"/>
        </w:rPr>
        <w:t xml:space="preserve"> frente a uno más moderado de los perceptores laborales. </w:t>
      </w:r>
    </w:p>
    <w:p w:rsidR="00B6352F" w:rsidRPr="005F705E" w:rsidRDefault="00B6352F" w:rsidP="00B6352F">
      <w:pPr>
        <w:pStyle w:val="Sinespaciado"/>
        <w:jc w:val="both"/>
        <w:rPr>
          <w:rFonts w:ascii="Times New Roman" w:hAnsi="Times New Roman" w:cs="Times New Roman"/>
          <w:b/>
          <w:sz w:val="22"/>
          <w:lang w:val="es-ES"/>
        </w:rPr>
      </w:pPr>
      <w:r w:rsidRPr="005F705E">
        <w:rPr>
          <w:rFonts w:ascii="Times New Roman" w:hAnsi="Times New Roman" w:cs="Times New Roman"/>
          <w:b/>
          <w:sz w:val="22"/>
          <w:lang w:val="es-ES"/>
        </w:rPr>
        <w:lastRenderedPageBreak/>
        <w:t>Cuadro 1. Indicadores generales de la participación económica de los hogares. Total de Aglomerados urbanos. Argentina, 2003-2014.</w:t>
      </w:r>
    </w:p>
    <w:p w:rsidR="00954760" w:rsidRPr="005F705E" w:rsidRDefault="00954760" w:rsidP="00B6352F">
      <w:pPr>
        <w:pStyle w:val="Sinespaciado"/>
        <w:jc w:val="both"/>
        <w:rPr>
          <w:rFonts w:ascii="Times New Roman" w:hAnsi="Times New Roman" w:cs="Times New Roman"/>
          <w:sz w:val="20"/>
          <w:lang w:val="es-ES"/>
        </w:rPr>
      </w:pPr>
      <w:r w:rsidRPr="005F705E">
        <w:rPr>
          <w:rFonts w:ascii="Times New Roman" w:hAnsi="Times New Roman" w:cs="Times New Roman"/>
          <w:sz w:val="20"/>
          <w:lang w:val="es-ES"/>
        </w:rPr>
        <w:t>En número promedio por hogar.</w:t>
      </w:r>
    </w:p>
    <w:tbl>
      <w:tblPr>
        <w:tblW w:w="8380" w:type="dxa"/>
        <w:tblInd w:w="57" w:type="dxa"/>
        <w:tblCellMar>
          <w:left w:w="70" w:type="dxa"/>
          <w:right w:w="70" w:type="dxa"/>
        </w:tblCellMar>
        <w:tblLook w:val="04A0"/>
      </w:tblPr>
      <w:tblGrid>
        <w:gridCol w:w="4540"/>
        <w:gridCol w:w="640"/>
        <w:gridCol w:w="640"/>
        <w:gridCol w:w="640"/>
        <w:gridCol w:w="640"/>
        <w:gridCol w:w="640"/>
        <w:gridCol w:w="640"/>
      </w:tblGrid>
      <w:tr w:rsidR="00954760" w:rsidRPr="005F705E" w:rsidTr="00954760">
        <w:trPr>
          <w:trHeight w:val="495"/>
        </w:trPr>
        <w:tc>
          <w:tcPr>
            <w:tcW w:w="4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4760" w:rsidRPr="005F705E" w:rsidRDefault="00954760" w:rsidP="0095476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single" w:sz="4" w:space="0" w:color="auto"/>
              <w:left w:val="nil"/>
              <w:bottom w:val="single" w:sz="4" w:space="0" w:color="auto"/>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2003</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2005</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2007</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2010</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2012</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w:t>
            </w:r>
            <w:r w:rsidRPr="005F705E">
              <w:rPr>
                <w:rFonts w:ascii="Times New Roman" w:eastAsia="Times New Roman" w:hAnsi="Times New Roman" w:cs="Times New Roman"/>
                <w:b/>
                <w:bCs/>
                <w:color w:val="000000"/>
                <w:sz w:val="18"/>
                <w:szCs w:val="18"/>
                <w:lang w:eastAsia="es-AR"/>
              </w:rPr>
              <w:br/>
              <w:t>IV</w:t>
            </w:r>
          </w:p>
        </w:tc>
      </w:tr>
      <w:tr w:rsidR="00954760" w:rsidRPr="005F705E" w:rsidTr="00954760">
        <w:trPr>
          <w:trHeight w:val="300"/>
        </w:trPr>
        <w:tc>
          <w:tcPr>
            <w:tcW w:w="4540" w:type="dxa"/>
            <w:tcBorders>
              <w:top w:val="nil"/>
              <w:left w:val="single" w:sz="4" w:space="0" w:color="auto"/>
              <w:bottom w:val="nil"/>
              <w:right w:val="single" w:sz="4" w:space="0" w:color="auto"/>
            </w:tcBorders>
            <w:shd w:val="clear" w:color="000000" w:fill="FFFFFF"/>
            <w:noWrap/>
            <w:vAlign w:val="bottom"/>
            <w:hideMark/>
          </w:tcPr>
          <w:p w:rsidR="00954760" w:rsidRPr="005F705E" w:rsidRDefault="00954760" w:rsidP="0095476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Miembros</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3,34</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3,30</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3,32</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3,21</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3,15</w:t>
            </w:r>
          </w:p>
        </w:tc>
        <w:tc>
          <w:tcPr>
            <w:tcW w:w="640" w:type="dxa"/>
            <w:tcBorders>
              <w:top w:val="nil"/>
              <w:left w:val="nil"/>
              <w:bottom w:val="nil"/>
              <w:right w:val="single" w:sz="4" w:space="0" w:color="auto"/>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3,22</w:t>
            </w:r>
          </w:p>
        </w:tc>
      </w:tr>
      <w:tr w:rsidR="00954760" w:rsidRPr="005F705E" w:rsidTr="00954760">
        <w:trPr>
          <w:trHeight w:val="300"/>
        </w:trPr>
        <w:tc>
          <w:tcPr>
            <w:tcW w:w="4540" w:type="dxa"/>
            <w:tcBorders>
              <w:top w:val="nil"/>
              <w:left w:val="single" w:sz="4" w:space="0" w:color="auto"/>
              <w:bottom w:val="nil"/>
              <w:right w:val="single" w:sz="4" w:space="0" w:color="auto"/>
            </w:tcBorders>
            <w:shd w:val="clear" w:color="000000" w:fill="FFFFFF"/>
            <w:noWrap/>
            <w:vAlign w:val="bottom"/>
            <w:hideMark/>
          </w:tcPr>
          <w:p w:rsidR="00954760" w:rsidRPr="005F705E" w:rsidRDefault="00954760" w:rsidP="0095476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Activos</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1,83</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1,81</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1,80</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1,76</w:t>
            </w:r>
          </w:p>
        </w:tc>
        <w:tc>
          <w:tcPr>
            <w:tcW w:w="640" w:type="dxa"/>
            <w:tcBorders>
              <w:top w:val="nil"/>
              <w:left w:val="nil"/>
              <w:bottom w:val="nil"/>
              <w:right w:val="nil"/>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1,75</w:t>
            </w:r>
          </w:p>
        </w:tc>
        <w:tc>
          <w:tcPr>
            <w:tcW w:w="640" w:type="dxa"/>
            <w:tcBorders>
              <w:top w:val="nil"/>
              <w:left w:val="nil"/>
              <w:bottom w:val="nil"/>
              <w:right w:val="single" w:sz="4" w:space="0" w:color="auto"/>
            </w:tcBorders>
            <w:shd w:val="clear" w:color="000000" w:fill="FFFFFF"/>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1,74</w:t>
            </w:r>
          </w:p>
        </w:tc>
      </w:tr>
      <w:tr w:rsidR="00954760" w:rsidRPr="005F705E" w:rsidTr="00954760">
        <w:trPr>
          <w:trHeight w:val="300"/>
        </w:trPr>
        <w:tc>
          <w:tcPr>
            <w:tcW w:w="4540" w:type="dxa"/>
            <w:tcBorders>
              <w:top w:val="nil"/>
              <w:left w:val="single" w:sz="4" w:space="0" w:color="auto"/>
              <w:bottom w:val="nil"/>
              <w:right w:val="single" w:sz="4" w:space="0" w:color="auto"/>
            </w:tcBorders>
            <w:shd w:val="clear" w:color="000000" w:fill="FFFFFF"/>
            <w:noWrap/>
            <w:vAlign w:val="bottom"/>
            <w:hideMark/>
          </w:tcPr>
          <w:p w:rsidR="00954760" w:rsidRPr="005F705E" w:rsidRDefault="00954760" w:rsidP="0095476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Ocupados</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1,65</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1,68</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1,71</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1,67</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1,67</w:t>
            </w:r>
          </w:p>
        </w:tc>
        <w:tc>
          <w:tcPr>
            <w:tcW w:w="640" w:type="dxa"/>
            <w:tcBorders>
              <w:top w:val="nil"/>
              <w:left w:val="nil"/>
              <w:bottom w:val="nil"/>
              <w:right w:val="single" w:sz="4" w:space="0" w:color="auto"/>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1,66</w:t>
            </w:r>
          </w:p>
        </w:tc>
      </w:tr>
      <w:tr w:rsidR="00954760" w:rsidRPr="005F705E" w:rsidTr="00954760">
        <w:trPr>
          <w:trHeight w:val="300"/>
        </w:trPr>
        <w:tc>
          <w:tcPr>
            <w:tcW w:w="4540" w:type="dxa"/>
            <w:tcBorders>
              <w:top w:val="nil"/>
              <w:left w:val="single" w:sz="4" w:space="0" w:color="auto"/>
              <w:bottom w:val="nil"/>
              <w:right w:val="single" w:sz="4" w:space="0" w:color="auto"/>
            </w:tcBorders>
            <w:shd w:val="clear" w:color="000000" w:fill="FFFFFF"/>
            <w:noWrap/>
            <w:vAlign w:val="bottom"/>
            <w:hideMark/>
          </w:tcPr>
          <w:p w:rsidR="00954760" w:rsidRPr="005F705E" w:rsidRDefault="00954760" w:rsidP="0095476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Perceptores de ingresos</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1,69</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1,77</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1,82</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1,86</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1,84</w:t>
            </w:r>
          </w:p>
        </w:tc>
        <w:tc>
          <w:tcPr>
            <w:tcW w:w="640" w:type="dxa"/>
            <w:tcBorders>
              <w:top w:val="nil"/>
              <w:left w:val="nil"/>
              <w:bottom w:val="nil"/>
              <w:right w:val="single" w:sz="4" w:space="0" w:color="auto"/>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1,86</w:t>
            </w:r>
          </w:p>
        </w:tc>
      </w:tr>
      <w:tr w:rsidR="00954760" w:rsidRPr="005F705E" w:rsidTr="00954760">
        <w:trPr>
          <w:trHeight w:val="300"/>
        </w:trPr>
        <w:tc>
          <w:tcPr>
            <w:tcW w:w="4540" w:type="dxa"/>
            <w:tcBorders>
              <w:top w:val="nil"/>
              <w:left w:val="single" w:sz="4" w:space="0" w:color="auto"/>
              <w:bottom w:val="nil"/>
              <w:right w:val="single" w:sz="4" w:space="0" w:color="auto"/>
            </w:tcBorders>
            <w:shd w:val="clear" w:color="000000" w:fill="FFFFFF"/>
            <w:noWrap/>
            <w:vAlign w:val="bottom"/>
            <w:hideMark/>
          </w:tcPr>
          <w:p w:rsidR="00954760" w:rsidRPr="005F705E" w:rsidRDefault="00954760" w:rsidP="0095476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Perceptores de ingresos laborales</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1,60</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1,65</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1,68</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1,66</w:t>
            </w:r>
          </w:p>
        </w:tc>
        <w:tc>
          <w:tcPr>
            <w:tcW w:w="640" w:type="dxa"/>
            <w:tcBorders>
              <w:top w:val="nil"/>
              <w:left w:val="nil"/>
              <w:bottom w:val="nil"/>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1,66</w:t>
            </w:r>
          </w:p>
        </w:tc>
        <w:tc>
          <w:tcPr>
            <w:tcW w:w="640" w:type="dxa"/>
            <w:tcBorders>
              <w:top w:val="nil"/>
              <w:left w:val="nil"/>
              <w:bottom w:val="nil"/>
              <w:right w:val="single" w:sz="4" w:space="0" w:color="auto"/>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1,65</w:t>
            </w:r>
          </w:p>
        </w:tc>
      </w:tr>
      <w:tr w:rsidR="00954760" w:rsidRPr="005F705E" w:rsidTr="00954760">
        <w:trPr>
          <w:trHeight w:val="300"/>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rsidR="00954760" w:rsidRPr="005F705E" w:rsidRDefault="00954760" w:rsidP="0095476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Perceptores de ingresos no laborales</w:t>
            </w:r>
          </w:p>
        </w:tc>
        <w:tc>
          <w:tcPr>
            <w:tcW w:w="640" w:type="dxa"/>
            <w:tcBorders>
              <w:top w:val="nil"/>
              <w:left w:val="nil"/>
              <w:bottom w:val="single" w:sz="4" w:space="0" w:color="auto"/>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1,15</w:t>
            </w:r>
          </w:p>
        </w:tc>
        <w:tc>
          <w:tcPr>
            <w:tcW w:w="640" w:type="dxa"/>
            <w:tcBorders>
              <w:top w:val="nil"/>
              <w:left w:val="nil"/>
              <w:bottom w:val="single" w:sz="4" w:space="0" w:color="auto"/>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1,19</w:t>
            </w:r>
          </w:p>
        </w:tc>
        <w:tc>
          <w:tcPr>
            <w:tcW w:w="640" w:type="dxa"/>
            <w:tcBorders>
              <w:top w:val="nil"/>
              <w:left w:val="nil"/>
              <w:bottom w:val="single" w:sz="4" w:space="0" w:color="auto"/>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1,24</w:t>
            </w:r>
          </w:p>
        </w:tc>
        <w:tc>
          <w:tcPr>
            <w:tcW w:w="640" w:type="dxa"/>
            <w:tcBorders>
              <w:top w:val="nil"/>
              <w:left w:val="nil"/>
              <w:bottom w:val="single" w:sz="4" w:space="0" w:color="auto"/>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1,28</w:t>
            </w:r>
          </w:p>
        </w:tc>
        <w:tc>
          <w:tcPr>
            <w:tcW w:w="640" w:type="dxa"/>
            <w:tcBorders>
              <w:top w:val="nil"/>
              <w:left w:val="nil"/>
              <w:bottom w:val="single" w:sz="4" w:space="0" w:color="auto"/>
              <w:right w:val="nil"/>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1,27</w:t>
            </w:r>
          </w:p>
        </w:tc>
        <w:tc>
          <w:tcPr>
            <w:tcW w:w="640" w:type="dxa"/>
            <w:tcBorders>
              <w:top w:val="nil"/>
              <w:left w:val="nil"/>
              <w:bottom w:val="single" w:sz="4" w:space="0" w:color="auto"/>
              <w:right w:val="single" w:sz="4" w:space="0" w:color="auto"/>
            </w:tcBorders>
            <w:shd w:val="clear" w:color="000000" w:fill="FFFFFF"/>
            <w:noWrap/>
            <w:vAlign w:val="bottom"/>
            <w:hideMark/>
          </w:tcPr>
          <w:p w:rsidR="00954760" w:rsidRPr="005F705E" w:rsidRDefault="00954760" w:rsidP="0095476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1,29</w:t>
            </w:r>
          </w:p>
        </w:tc>
      </w:tr>
    </w:tbl>
    <w:p w:rsidR="00954760" w:rsidRPr="005F705E" w:rsidRDefault="00954760" w:rsidP="00B6352F">
      <w:pPr>
        <w:pStyle w:val="Sinespaciado"/>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Nota: los promedios fueron calculados sobre los hogares que disponen de ese tipo de atributo o fuente de ingreso.</w:t>
      </w:r>
    </w:p>
    <w:p w:rsidR="00B6352F" w:rsidRPr="005F705E" w:rsidRDefault="00B6352F" w:rsidP="00B6352F">
      <w:pPr>
        <w:pStyle w:val="Sinespaciado"/>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Fuente: Elaboración propia en base a microdatos de la EPH-INDEC para los períodos indicados. Disponibles en: &lt;</w:t>
      </w:r>
      <w:r w:rsidRPr="005F705E">
        <w:rPr>
          <w:rFonts w:ascii="Times New Roman" w:hAnsi="Times New Roman" w:cs="Times New Roman"/>
          <w:sz w:val="15"/>
          <w:szCs w:val="15"/>
          <w:u w:val="single"/>
          <w:lang w:val="es-ES"/>
        </w:rPr>
        <w:t>www.indec.gov.ar</w:t>
      </w:r>
      <w:r w:rsidRPr="005F705E">
        <w:rPr>
          <w:rFonts w:ascii="Times New Roman" w:hAnsi="Times New Roman" w:cs="Times New Roman"/>
          <w:sz w:val="15"/>
          <w:szCs w:val="15"/>
          <w:lang w:val="es-ES"/>
        </w:rPr>
        <w:t>&gt;</w:t>
      </w:r>
    </w:p>
    <w:p w:rsidR="00B6352F" w:rsidRPr="005F705E" w:rsidRDefault="00B6352F" w:rsidP="00ED66A2">
      <w:pPr>
        <w:pStyle w:val="Sinespaciado"/>
        <w:jc w:val="both"/>
        <w:rPr>
          <w:rFonts w:ascii="Times New Roman" w:hAnsi="Times New Roman" w:cs="Times New Roman"/>
          <w:b/>
          <w:sz w:val="22"/>
          <w:lang w:val="es-ES"/>
        </w:rPr>
      </w:pPr>
    </w:p>
    <w:p w:rsidR="00ED66A2" w:rsidRPr="005F705E" w:rsidRDefault="00ED66A2" w:rsidP="00ED66A2">
      <w:pPr>
        <w:pStyle w:val="Sinespaciado"/>
        <w:jc w:val="both"/>
        <w:rPr>
          <w:rFonts w:ascii="Times New Roman" w:hAnsi="Times New Roman" w:cs="Times New Roman"/>
          <w:b/>
          <w:sz w:val="22"/>
          <w:lang w:val="es-ES"/>
        </w:rPr>
      </w:pPr>
      <w:r w:rsidRPr="005F705E">
        <w:rPr>
          <w:rFonts w:ascii="Times New Roman" w:hAnsi="Times New Roman" w:cs="Times New Roman"/>
          <w:b/>
          <w:sz w:val="22"/>
          <w:lang w:val="es-ES"/>
        </w:rPr>
        <w:t>Cuadro 2. Modalidades de participación económica de los hogares. Total de Aglomerados urbanos. Argentina, 2003-2014.</w:t>
      </w:r>
    </w:p>
    <w:p w:rsidR="00CA08B0" w:rsidRPr="005F705E" w:rsidRDefault="00ED66A2" w:rsidP="00CA08B0">
      <w:pPr>
        <w:pStyle w:val="Sinespaciado"/>
        <w:jc w:val="both"/>
        <w:rPr>
          <w:rFonts w:ascii="Times New Roman" w:hAnsi="Times New Roman" w:cs="Times New Roman"/>
          <w:sz w:val="20"/>
          <w:lang w:val="es-ES"/>
        </w:rPr>
      </w:pPr>
      <w:r w:rsidRPr="005F705E">
        <w:rPr>
          <w:rFonts w:ascii="Times New Roman" w:hAnsi="Times New Roman" w:cs="Times New Roman"/>
          <w:sz w:val="20"/>
          <w:lang w:val="es-ES"/>
        </w:rPr>
        <w:t>En porcentaje sobre el total de hogares.</w:t>
      </w:r>
    </w:p>
    <w:tbl>
      <w:tblPr>
        <w:tblW w:w="8457" w:type="dxa"/>
        <w:jc w:val="center"/>
        <w:tblInd w:w="-22" w:type="dxa"/>
        <w:tblCellMar>
          <w:left w:w="70" w:type="dxa"/>
          <w:right w:w="70" w:type="dxa"/>
        </w:tblCellMar>
        <w:tblLook w:val="04A0"/>
      </w:tblPr>
      <w:tblGrid>
        <w:gridCol w:w="4617"/>
        <w:gridCol w:w="640"/>
        <w:gridCol w:w="640"/>
        <w:gridCol w:w="640"/>
        <w:gridCol w:w="640"/>
        <w:gridCol w:w="640"/>
        <w:gridCol w:w="640"/>
      </w:tblGrid>
      <w:tr w:rsidR="00CA08B0" w:rsidRPr="005F705E" w:rsidTr="00CA08B0">
        <w:trPr>
          <w:trHeight w:val="495"/>
          <w:jc w:val="center"/>
        </w:trPr>
        <w:tc>
          <w:tcPr>
            <w:tcW w:w="4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8B0" w:rsidRPr="005F705E" w:rsidRDefault="00CA08B0" w:rsidP="00CA08B0">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single" w:sz="4" w:space="0" w:color="auto"/>
              <w:left w:val="nil"/>
              <w:bottom w:val="single" w:sz="4" w:space="0" w:color="auto"/>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2003</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2005</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2007</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2010</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2012</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w:t>
            </w:r>
            <w:r w:rsidRPr="005F705E">
              <w:rPr>
                <w:rFonts w:ascii="Times New Roman" w:eastAsia="Times New Roman" w:hAnsi="Times New Roman" w:cs="Times New Roman"/>
                <w:b/>
                <w:bCs/>
                <w:color w:val="000000"/>
                <w:sz w:val="18"/>
                <w:szCs w:val="18"/>
                <w:lang w:eastAsia="es-AR"/>
              </w:rPr>
              <w:br/>
              <w:t>IV</w:t>
            </w:r>
          </w:p>
        </w:tc>
      </w:tr>
      <w:tr w:rsidR="00CA08B0" w:rsidRPr="005F705E" w:rsidTr="00CA08B0">
        <w:trPr>
          <w:trHeight w:val="300"/>
          <w:jc w:val="center"/>
        </w:trPr>
        <w:tc>
          <w:tcPr>
            <w:tcW w:w="4617" w:type="dxa"/>
            <w:tcBorders>
              <w:top w:val="nil"/>
              <w:left w:val="single" w:sz="4" w:space="0" w:color="auto"/>
              <w:bottom w:val="nil"/>
              <w:right w:val="single" w:sz="4" w:space="0" w:color="auto"/>
            </w:tcBorders>
            <w:shd w:val="clear" w:color="000000" w:fill="FFFFFF"/>
            <w:noWrap/>
            <w:vAlign w:val="bottom"/>
            <w:hideMark/>
          </w:tcPr>
          <w:p w:rsidR="00CA08B0" w:rsidRPr="005F705E" w:rsidRDefault="00BE3E3A" w:rsidP="00BE3E3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Hogares que d</w:t>
            </w:r>
            <w:r w:rsidR="00CA08B0" w:rsidRPr="005F705E">
              <w:rPr>
                <w:rFonts w:ascii="Times New Roman" w:eastAsia="Times New Roman" w:hAnsi="Times New Roman" w:cs="Times New Roman"/>
                <w:color w:val="000000"/>
                <w:sz w:val="18"/>
                <w:szCs w:val="18"/>
                <w:lang w:eastAsia="es-AR"/>
              </w:rPr>
              <w:t>epende</w:t>
            </w:r>
            <w:r w:rsidRPr="005F705E">
              <w:rPr>
                <w:rFonts w:ascii="Times New Roman" w:eastAsia="Times New Roman" w:hAnsi="Times New Roman" w:cs="Times New Roman"/>
                <w:color w:val="000000"/>
                <w:sz w:val="18"/>
                <w:szCs w:val="18"/>
                <w:lang w:eastAsia="es-AR"/>
              </w:rPr>
              <w:t>n</w:t>
            </w:r>
            <w:r w:rsidR="00CA08B0" w:rsidRPr="005F705E">
              <w:rPr>
                <w:rFonts w:ascii="Times New Roman" w:eastAsia="Times New Roman" w:hAnsi="Times New Roman" w:cs="Times New Roman"/>
                <w:color w:val="000000"/>
                <w:sz w:val="18"/>
                <w:szCs w:val="18"/>
                <w:lang w:eastAsia="es-AR"/>
              </w:rPr>
              <w:t xml:space="preserve"> sólo </w:t>
            </w:r>
            <w:r w:rsidRPr="005F705E">
              <w:rPr>
                <w:rFonts w:ascii="Times New Roman" w:eastAsia="Times New Roman" w:hAnsi="Times New Roman" w:cs="Times New Roman"/>
                <w:color w:val="000000"/>
                <w:sz w:val="18"/>
                <w:szCs w:val="18"/>
                <w:lang w:eastAsia="es-AR"/>
              </w:rPr>
              <w:t>de ingresos laborales</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58,2</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55,4</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53,6</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48,0</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48,6</w:t>
            </w:r>
          </w:p>
        </w:tc>
        <w:tc>
          <w:tcPr>
            <w:tcW w:w="640" w:type="dxa"/>
            <w:tcBorders>
              <w:top w:val="nil"/>
              <w:left w:val="nil"/>
              <w:bottom w:val="nil"/>
              <w:right w:val="single" w:sz="4" w:space="0" w:color="auto"/>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46,9</w:t>
            </w:r>
          </w:p>
        </w:tc>
      </w:tr>
      <w:tr w:rsidR="00CA08B0" w:rsidRPr="005F705E" w:rsidTr="00CA08B0">
        <w:trPr>
          <w:trHeight w:val="300"/>
          <w:jc w:val="center"/>
        </w:trPr>
        <w:tc>
          <w:tcPr>
            <w:tcW w:w="4617" w:type="dxa"/>
            <w:tcBorders>
              <w:top w:val="nil"/>
              <w:left w:val="single" w:sz="4" w:space="0" w:color="auto"/>
              <w:bottom w:val="nil"/>
              <w:right w:val="single" w:sz="4" w:space="0" w:color="auto"/>
            </w:tcBorders>
            <w:shd w:val="clear" w:color="000000" w:fill="FFFFFF"/>
            <w:noWrap/>
            <w:vAlign w:val="bottom"/>
            <w:hideMark/>
          </w:tcPr>
          <w:p w:rsidR="00CA08B0" w:rsidRPr="005F705E" w:rsidRDefault="00CA08B0" w:rsidP="00CA08B0">
            <w:pPr>
              <w:spacing w:after="0" w:line="240" w:lineRule="auto"/>
              <w:ind w:firstLineChars="100" w:firstLine="180"/>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Con un solo ocupado</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28,3</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24,8</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23,4</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21,9</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21,6</w:t>
            </w:r>
          </w:p>
        </w:tc>
        <w:tc>
          <w:tcPr>
            <w:tcW w:w="640" w:type="dxa"/>
            <w:tcBorders>
              <w:top w:val="nil"/>
              <w:left w:val="nil"/>
              <w:bottom w:val="nil"/>
              <w:right w:val="single" w:sz="4" w:space="0" w:color="auto"/>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21,2</w:t>
            </w:r>
          </w:p>
        </w:tc>
      </w:tr>
      <w:tr w:rsidR="00CA08B0" w:rsidRPr="005F705E" w:rsidTr="00CA08B0">
        <w:trPr>
          <w:trHeight w:val="300"/>
          <w:jc w:val="center"/>
        </w:trPr>
        <w:tc>
          <w:tcPr>
            <w:tcW w:w="4617" w:type="dxa"/>
            <w:tcBorders>
              <w:top w:val="nil"/>
              <w:left w:val="single" w:sz="4" w:space="0" w:color="auto"/>
              <w:bottom w:val="nil"/>
              <w:right w:val="single" w:sz="4" w:space="0" w:color="auto"/>
            </w:tcBorders>
            <w:shd w:val="clear" w:color="000000" w:fill="FFFFFF"/>
            <w:noWrap/>
            <w:vAlign w:val="bottom"/>
            <w:hideMark/>
          </w:tcPr>
          <w:p w:rsidR="00CA08B0" w:rsidRPr="005F705E" w:rsidRDefault="00CA08B0" w:rsidP="00CA08B0">
            <w:pPr>
              <w:spacing w:after="0" w:line="240" w:lineRule="auto"/>
              <w:ind w:firstLineChars="100" w:firstLine="180"/>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Con más de un ocupado</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29,9</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30,6</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30,1</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26,1</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27,0</w:t>
            </w:r>
          </w:p>
        </w:tc>
        <w:tc>
          <w:tcPr>
            <w:tcW w:w="640" w:type="dxa"/>
            <w:tcBorders>
              <w:top w:val="nil"/>
              <w:left w:val="nil"/>
              <w:bottom w:val="nil"/>
              <w:right w:val="single" w:sz="4" w:space="0" w:color="auto"/>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25,7</w:t>
            </w:r>
          </w:p>
        </w:tc>
      </w:tr>
      <w:tr w:rsidR="00CA08B0" w:rsidRPr="005F705E" w:rsidTr="00CA08B0">
        <w:trPr>
          <w:trHeight w:val="300"/>
          <w:jc w:val="center"/>
        </w:trPr>
        <w:tc>
          <w:tcPr>
            <w:tcW w:w="4617" w:type="dxa"/>
            <w:tcBorders>
              <w:top w:val="nil"/>
              <w:left w:val="single" w:sz="4" w:space="0" w:color="auto"/>
              <w:bottom w:val="nil"/>
              <w:right w:val="single" w:sz="4" w:space="0" w:color="auto"/>
            </w:tcBorders>
            <w:shd w:val="clear" w:color="000000" w:fill="FFFFFF"/>
            <w:noWrap/>
            <w:vAlign w:val="bottom"/>
            <w:hideMark/>
          </w:tcPr>
          <w:p w:rsidR="00CA08B0" w:rsidRPr="005F705E" w:rsidRDefault="00BE3E3A" w:rsidP="00BE3E3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Hogares que d</w:t>
            </w:r>
            <w:r w:rsidR="00CA08B0" w:rsidRPr="005F705E">
              <w:rPr>
                <w:rFonts w:ascii="Times New Roman" w:eastAsia="Times New Roman" w:hAnsi="Times New Roman" w:cs="Times New Roman"/>
                <w:color w:val="000000"/>
                <w:sz w:val="18"/>
                <w:szCs w:val="18"/>
                <w:lang w:eastAsia="es-AR"/>
              </w:rPr>
              <w:t>epende</w:t>
            </w:r>
            <w:r w:rsidRPr="005F705E">
              <w:rPr>
                <w:rFonts w:ascii="Times New Roman" w:eastAsia="Times New Roman" w:hAnsi="Times New Roman" w:cs="Times New Roman"/>
                <w:color w:val="000000"/>
                <w:sz w:val="18"/>
                <w:szCs w:val="18"/>
                <w:lang w:eastAsia="es-AR"/>
              </w:rPr>
              <w:t>n</w:t>
            </w:r>
            <w:r w:rsidR="00CA08B0" w:rsidRPr="005F705E">
              <w:rPr>
                <w:rFonts w:ascii="Times New Roman" w:eastAsia="Times New Roman" w:hAnsi="Times New Roman" w:cs="Times New Roman"/>
                <w:color w:val="000000"/>
                <w:sz w:val="18"/>
                <w:szCs w:val="18"/>
                <w:lang w:eastAsia="es-AR"/>
              </w:rPr>
              <w:t xml:space="preserve"> de</w:t>
            </w:r>
            <w:r w:rsidRPr="005F705E">
              <w:rPr>
                <w:rFonts w:ascii="Times New Roman" w:eastAsia="Times New Roman" w:hAnsi="Times New Roman" w:cs="Times New Roman"/>
                <w:color w:val="000000"/>
                <w:sz w:val="18"/>
                <w:szCs w:val="18"/>
                <w:lang w:eastAsia="es-AR"/>
              </w:rPr>
              <w:t xml:space="preserve"> ingresos laborales </w:t>
            </w:r>
            <w:r w:rsidR="00CA08B0" w:rsidRPr="005F705E">
              <w:rPr>
                <w:rFonts w:ascii="Times New Roman" w:eastAsia="Times New Roman" w:hAnsi="Times New Roman" w:cs="Times New Roman"/>
                <w:color w:val="000000"/>
                <w:sz w:val="18"/>
                <w:szCs w:val="18"/>
                <w:lang w:eastAsia="es-AR"/>
              </w:rPr>
              <w:t xml:space="preserve">y </w:t>
            </w:r>
            <w:r w:rsidRPr="005F705E">
              <w:rPr>
                <w:rFonts w:ascii="Times New Roman" w:eastAsia="Times New Roman" w:hAnsi="Times New Roman" w:cs="Times New Roman"/>
                <w:color w:val="000000"/>
                <w:sz w:val="18"/>
                <w:szCs w:val="18"/>
                <w:lang w:eastAsia="es-AR"/>
              </w:rPr>
              <w:t>no laborales</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22,0</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26,6</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28,0</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33,6</w:t>
            </w:r>
          </w:p>
        </w:tc>
        <w:tc>
          <w:tcPr>
            <w:tcW w:w="640" w:type="dxa"/>
            <w:tcBorders>
              <w:top w:val="nil"/>
              <w:left w:val="nil"/>
              <w:bottom w:val="nil"/>
              <w:right w:val="nil"/>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32,5</w:t>
            </w:r>
          </w:p>
        </w:tc>
        <w:tc>
          <w:tcPr>
            <w:tcW w:w="640" w:type="dxa"/>
            <w:tcBorders>
              <w:top w:val="nil"/>
              <w:left w:val="nil"/>
              <w:bottom w:val="nil"/>
              <w:right w:val="single" w:sz="4" w:space="0" w:color="auto"/>
            </w:tcBorders>
            <w:shd w:val="clear" w:color="000000" w:fill="FFFFFF"/>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34,5</w:t>
            </w:r>
          </w:p>
        </w:tc>
      </w:tr>
      <w:tr w:rsidR="00CA08B0" w:rsidRPr="005F705E" w:rsidTr="00CA08B0">
        <w:trPr>
          <w:trHeight w:val="300"/>
          <w:jc w:val="center"/>
        </w:trPr>
        <w:tc>
          <w:tcPr>
            <w:tcW w:w="4617" w:type="dxa"/>
            <w:tcBorders>
              <w:top w:val="nil"/>
              <w:left w:val="single" w:sz="4" w:space="0" w:color="auto"/>
              <w:bottom w:val="nil"/>
              <w:right w:val="single" w:sz="4" w:space="0" w:color="auto"/>
            </w:tcBorders>
            <w:shd w:val="clear" w:color="000000" w:fill="FFFFFF"/>
            <w:noWrap/>
            <w:vAlign w:val="bottom"/>
            <w:hideMark/>
          </w:tcPr>
          <w:p w:rsidR="00CA08B0" w:rsidRPr="005F705E" w:rsidRDefault="00BE3E3A" w:rsidP="00BE3E3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Hogares que d</w:t>
            </w:r>
            <w:r w:rsidR="00CA08B0" w:rsidRPr="005F705E">
              <w:rPr>
                <w:rFonts w:ascii="Times New Roman" w:eastAsia="Times New Roman" w:hAnsi="Times New Roman" w:cs="Times New Roman"/>
                <w:color w:val="000000"/>
                <w:sz w:val="18"/>
                <w:szCs w:val="18"/>
                <w:lang w:eastAsia="es-AR"/>
              </w:rPr>
              <w:t>epende</w:t>
            </w:r>
            <w:r w:rsidRPr="005F705E">
              <w:rPr>
                <w:rFonts w:ascii="Times New Roman" w:eastAsia="Times New Roman" w:hAnsi="Times New Roman" w:cs="Times New Roman"/>
                <w:color w:val="000000"/>
                <w:sz w:val="18"/>
                <w:szCs w:val="18"/>
                <w:lang w:eastAsia="es-AR"/>
              </w:rPr>
              <w:t>n</w:t>
            </w:r>
            <w:r w:rsidR="00CA08B0" w:rsidRPr="005F705E">
              <w:rPr>
                <w:rFonts w:ascii="Times New Roman" w:eastAsia="Times New Roman" w:hAnsi="Times New Roman" w:cs="Times New Roman"/>
                <w:color w:val="000000"/>
                <w:sz w:val="18"/>
                <w:szCs w:val="18"/>
                <w:lang w:eastAsia="es-AR"/>
              </w:rPr>
              <w:t xml:space="preserve"> sólo de ingresos no laborales</w:t>
            </w:r>
          </w:p>
        </w:tc>
        <w:tc>
          <w:tcPr>
            <w:tcW w:w="640" w:type="dxa"/>
            <w:tcBorders>
              <w:top w:val="nil"/>
              <w:left w:val="nil"/>
              <w:bottom w:val="nil"/>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19,8</w:t>
            </w:r>
          </w:p>
        </w:tc>
        <w:tc>
          <w:tcPr>
            <w:tcW w:w="640" w:type="dxa"/>
            <w:tcBorders>
              <w:top w:val="nil"/>
              <w:left w:val="nil"/>
              <w:bottom w:val="nil"/>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18,0</w:t>
            </w:r>
          </w:p>
        </w:tc>
        <w:tc>
          <w:tcPr>
            <w:tcW w:w="640" w:type="dxa"/>
            <w:tcBorders>
              <w:top w:val="nil"/>
              <w:left w:val="nil"/>
              <w:bottom w:val="nil"/>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18,4</w:t>
            </w:r>
          </w:p>
        </w:tc>
        <w:tc>
          <w:tcPr>
            <w:tcW w:w="640" w:type="dxa"/>
            <w:tcBorders>
              <w:top w:val="nil"/>
              <w:left w:val="nil"/>
              <w:bottom w:val="nil"/>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18,4</w:t>
            </w:r>
          </w:p>
        </w:tc>
        <w:tc>
          <w:tcPr>
            <w:tcW w:w="640" w:type="dxa"/>
            <w:tcBorders>
              <w:top w:val="nil"/>
              <w:left w:val="nil"/>
              <w:bottom w:val="nil"/>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18,8</w:t>
            </w:r>
          </w:p>
        </w:tc>
        <w:tc>
          <w:tcPr>
            <w:tcW w:w="640" w:type="dxa"/>
            <w:tcBorders>
              <w:top w:val="nil"/>
              <w:left w:val="nil"/>
              <w:bottom w:val="nil"/>
              <w:right w:val="single" w:sz="4" w:space="0" w:color="auto"/>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18,6</w:t>
            </w:r>
          </w:p>
        </w:tc>
      </w:tr>
      <w:tr w:rsidR="00CA08B0" w:rsidRPr="005F705E" w:rsidTr="00CA08B0">
        <w:trPr>
          <w:trHeight w:val="300"/>
          <w:jc w:val="center"/>
        </w:trPr>
        <w:tc>
          <w:tcPr>
            <w:tcW w:w="4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08B0" w:rsidRPr="005F705E" w:rsidRDefault="00CA08B0" w:rsidP="00CA08B0">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Total</w:t>
            </w:r>
          </w:p>
        </w:tc>
        <w:tc>
          <w:tcPr>
            <w:tcW w:w="640" w:type="dxa"/>
            <w:tcBorders>
              <w:top w:val="single" w:sz="4" w:space="0" w:color="auto"/>
              <w:left w:val="nil"/>
              <w:bottom w:val="single" w:sz="4" w:space="0" w:color="auto"/>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rsidR="00CA08B0" w:rsidRPr="005F705E" w:rsidRDefault="00CA08B0" w:rsidP="00CA08B0">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r>
    </w:tbl>
    <w:p w:rsidR="00ED66A2" w:rsidRPr="005F705E" w:rsidRDefault="00CA08B0" w:rsidP="00CA08B0">
      <w:pPr>
        <w:pStyle w:val="Sinespaciado"/>
        <w:jc w:val="both"/>
        <w:rPr>
          <w:rFonts w:ascii="Times New Roman" w:hAnsi="Times New Roman" w:cs="Times New Roman"/>
          <w:lang w:val="es-ES"/>
        </w:rPr>
      </w:pPr>
      <w:r w:rsidRPr="005F705E">
        <w:rPr>
          <w:rFonts w:ascii="Times New Roman" w:hAnsi="Times New Roman" w:cs="Times New Roman"/>
          <w:sz w:val="15"/>
          <w:szCs w:val="15"/>
          <w:lang w:val="es-ES"/>
        </w:rPr>
        <w:t xml:space="preserve"> </w:t>
      </w:r>
      <w:r w:rsidR="00ED66A2" w:rsidRPr="005F705E">
        <w:rPr>
          <w:rFonts w:ascii="Times New Roman" w:hAnsi="Times New Roman" w:cs="Times New Roman"/>
          <w:sz w:val="15"/>
          <w:szCs w:val="15"/>
          <w:lang w:val="es-ES"/>
        </w:rPr>
        <w:t>Fuente: Elaboración propia en base a microdatos de la EPH-INDEC para los períodos indicados. Disponibles en: &lt;</w:t>
      </w:r>
      <w:r w:rsidR="00ED66A2" w:rsidRPr="005F705E">
        <w:rPr>
          <w:rFonts w:ascii="Times New Roman" w:hAnsi="Times New Roman" w:cs="Times New Roman"/>
          <w:sz w:val="15"/>
          <w:szCs w:val="15"/>
          <w:u w:val="single"/>
          <w:lang w:val="es-ES"/>
        </w:rPr>
        <w:t>www.indec.gov.ar</w:t>
      </w:r>
      <w:r w:rsidR="00ED66A2" w:rsidRPr="005F705E">
        <w:rPr>
          <w:rFonts w:ascii="Times New Roman" w:hAnsi="Times New Roman" w:cs="Times New Roman"/>
          <w:sz w:val="15"/>
          <w:szCs w:val="15"/>
          <w:lang w:val="es-ES"/>
        </w:rPr>
        <w:t>&gt;</w:t>
      </w:r>
    </w:p>
    <w:p w:rsidR="00281743" w:rsidRPr="005F705E" w:rsidRDefault="00281743" w:rsidP="00281743">
      <w:pPr>
        <w:pStyle w:val="Sinespaciado"/>
        <w:spacing w:line="360" w:lineRule="auto"/>
        <w:jc w:val="both"/>
        <w:rPr>
          <w:lang w:val="es-ES"/>
        </w:rPr>
      </w:pPr>
    </w:p>
    <w:p w:rsidR="001D23DF" w:rsidRPr="005F705E" w:rsidRDefault="001D23DF" w:rsidP="001D23DF">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En este sentido, cabe complementar el análisis previo con la descripción de los cambios en la participación de las fuentes laborales y no laborales en los ingresos familiares. Entre las principales modificaciones, se destaca la reducción de la proporción de hogares que dependían sólo de ingresos en el mercado laboral y, especialmente, de los que disponían del ingreso de un único ocupado (Cuadro 2)</w:t>
      </w:r>
      <w:r w:rsidRPr="005F705E">
        <w:rPr>
          <w:rStyle w:val="Refdenotaalpie"/>
          <w:rFonts w:ascii="Times New Roman" w:hAnsi="Times New Roman" w:cs="Times New Roman"/>
          <w:lang w:val="es-ES"/>
        </w:rPr>
        <w:footnoteReference w:id="11"/>
      </w:r>
      <w:r w:rsidRPr="005F705E">
        <w:rPr>
          <w:rFonts w:ascii="Times New Roman" w:hAnsi="Times New Roman" w:cs="Times New Roman"/>
          <w:lang w:val="es-ES"/>
        </w:rPr>
        <w:t xml:space="preserve">. Como correlato, se observa un aumento de las unidades domésticas que tenían ingresos mixtos (es decir, laborales y no laborales). Esto significa que no sólo se incrementó el promedio de perceptores de ingresos no laborales por hogar sino que, además, aumentó la proporción de hogares que recibían este tipo de fuente. De esta manera se vuelve evidente que el </w:t>
      </w:r>
      <w:r w:rsidRPr="005F705E">
        <w:rPr>
          <w:rFonts w:ascii="Times New Roman" w:hAnsi="Times New Roman" w:cs="Times New Roman"/>
          <w:lang w:val="es-ES"/>
        </w:rPr>
        <w:lastRenderedPageBreak/>
        <w:t>análisis del mercado de trabajo resulta cada vez más insuficiente para examinar qué ocurrió con las capacidades de reproducción de las unidades domésticas.</w:t>
      </w:r>
    </w:p>
    <w:p w:rsidR="00F80C88" w:rsidRPr="005F705E" w:rsidRDefault="00FF358D" w:rsidP="009B79D3">
      <w:pPr>
        <w:pStyle w:val="Sinespaciado"/>
        <w:spacing w:line="480" w:lineRule="auto"/>
        <w:jc w:val="both"/>
        <w:rPr>
          <w:rFonts w:ascii="Times New Roman" w:hAnsi="Times New Roman" w:cs="Times New Roman"/>
        </w:rPr>
      </w:pPr>
      <w:r w:rsidRPr="005F705E">
        <w:rPr>
          <w:rFonts w:ascii="Times New Roman" w:hAnsi="Times New Roman" w:cs="Times New Roman"/>
          <w:lang w:val="es-ES"/>
        </w:rPr>
        <w:t>¿</w:t>
      </w:r>
      <w:r w:rsidR="00D7198C" w:rsidRPr="005F705E">
        <w:rPr>
          <w:rFonts w:ascii="Times New Roman" w:hAnsi="Times New Roman" w:cs="Times New Roman"/>
          <w:lang w:val="es-ES"/>
        </w:rPr>
        <w:t>Qué</w:t>
      </w:r>
      <w:r w:rsidRPr="005F705E">
        <w:rPr>
          <w:rFonts w:ascii="Times New Roman" w:hAnsi="Times New Roman" w:cs="Times New Roman"/>
          <w:lang w:val="es-ES"/>
        </w:rPr>
        <w:t xml:space="preserve"> características asumieron las oportunidades laborales a las que accedieron los hogares durante el período bajo estudio?</w:t>
      </w:r>
      <w:r w:rsidR="00B6352F" w:rsidRPr="005F705E">
        <w:rPr>
          <w:rFonts w:ascii="Times New Roman" w:hAnsi="Times New Roman" w:cs="Times New Roman"/>
          <w:lang w:val="es-ES"/>
        </w:rPr>
        <w:t xml:space="preserve"> </w:t>
      </w:r>
      <w:r w:rsidR="006D639A" w:rsidRPr="005F705E">
        <w:rPr>
          <w:rFonts w:ascii="Times New Roman" w:hAnsi="Times New Roman" w:cs="Times New Roman"/>
        </w:rPr>
        <w:t xml:space="preserve"> </w:t>
      </w:r>
      <w:r w:rsidR="00E240B7" w:rsidRPr="005F705E">
        <w:rPr>
          <w:rFonts w:ascii="Times New Roman" w:hAnsi="Times New Roman" w:cs="Times New Roman"/>
        </w:rPr>
        <w:t>A continuación, n</w:t>
      </w:r>
      <w:r w:rsidR="006D639A" w:rsidRPr="005F705E">
        <w:rPr>
          <w:rFonts w:ascii="Times New Roman" w:hAnsi="Times New Roman" w:cs="Times New Roman"/>
        </w:rPr>
        <w:t>uestro interés es examinar cómo evolucion</w:t>
      </w:r>
      <w:r w:rsidR="005B6F44" w:rsidRPr="005F705E">
        <w:rPr>
          <w:rFonts w:ascii="Times New Roman" w:hAnsi="Times New Roman" w:cs="Times New Roman"/>
        </w:rPr>
        <w:t>ó la participación económico-ocupacional de las familias</w:t>
      </w:r>
      <w:r w:rsidR="00E240B7" w:rsidRPr="005F705E">
        <w:rPr>
          <w:rFonts w:ascii="Times New Roman" w:hAnsi="Times New Roman" w:cs="Times New Roman"/>
        </w:rPr>
        <w:t xml:space="preserve">, tomando en cuenta la posición laboral del Principal Sostén del Hogar. </w:t>
      </w:r>
      <w:r w:rsidR="006D639A" w:rsidRPr="005F705E">
        <w:rPr>
          <w:rFonts w:ascii="Times New Roman" w:hAnsi="Times New Roman" w:cs="Times New Roman"/>
        </w:rPr>
        <w:t xml:space="preserve"> </w:t>
      </w:r>
    </w:p>
    <w:p w:rsidR="00B6352F" w:rsidRPr="005F705E" w:rsidRDefault="00B6352F" w:rsidP="00B6352F">
      <w:pPr>
        <w:pStyle w:val="Sinespaciado"/>
        <w:jc w:val="both"/>
        <w:rPr>
          <w:rFonts w:ascii="Times New Roman" w:hAnsi="Times New Roman" w:cs="Times New Roman"/>
          <w:b/>
          <w:sz w:val="22"/>
        </w:rPr>
      </w:pPr>
      <w:r w:rsidRPr="005F705E">
        <w:rPr>
          <w:rFonts w:ascii="Times New Roman" w:hAnsi="Times New Roman" w:cs="Times New Roman"/>
          <w:b/>
          <w:sz w:val="22"/>
        </w:rPr>
        <w:t xml:space="preserve">Cuadro 3A. </w:t>
      </w:r>
      <w:r w:rsidR="00F252AD" w:rsidRPr="005F705E">
        <w:rPr>
          <w:rFonts w:ascii="Times New Roman" w:hAnsi="Times New Roman" w:cs="Times New Roman"/>
          <w:b/>
          <w:sz w:val="22"/>
        </w:rPr>
        <w:t>Distribución de los hogares según posición económico-ocupacional del Principal Sostén del Hogar.</w:t>
      </w:r>
      <w:r w:rsidRPr="005F705E">
        <w:rPr>
          <w:rFonts w:ascii="Times New Roman" w:hAnsi="Times New Roman" w:cs="Times New Roman"/>
          <w:b/>
          <w:sz w:val="22"/>
        </w:rPr>
        <w:t xml:space="preserve"> Total de Aglomerados urbanos. Argentina, 2003-2014.</w:t>
      </w:r>
    </w:p>
    <w:p w:rsidR="00B6352F" w:rsidRPr="005F705E" w:rsidRDefault="00B6352F" w:rsidP="00B6352F">
      <w:pPr>
        <w:pStyle w:val="Sinespaciado"/>
        <w:jc w:val="both"/>
        <w:rPr>
          <w:rFonts w:ascii="Times New Roman" w:hAnsi="Times New Roman" w:cs="Times New Roman"/>
        </w:rPr>
      </w:pPr>
      <w:r w:rsidRPr="005F705E">
        <w:rPr>
          <w:rFonts w:ascii="Times New Roman" w:hAnsi="Times New Roman" w:cs="Times New Roman"/>
          <w:sz w:val="20"/>
        </w:rPr>
        <w:t>En porcentajes sobre el total de hogares con PSH activo.</w:t>
      </w:r>
    </w:p>
    <w:tbl>
      <w:tblPr>
        <w:tblW w:w="8340" w:type="dxa"/>
        <w:jc w:val="center"/>
        <w:tblInd w:w="175" w:type="dxa"/>
        <w:tblCellMar>
          <w:left w:w="70" w:type="dxa"/>
          <w:right w:w="70" w:type="dxa"/>
        </w:tblCellMar>
        <w:tblLook w:val="04A0"/>
      </w:tblPr>
      <w:tblGrid>
        <w:gridCol w:w="4500"/>
        <w:gridCol w:w="640"/>
        <w:gridCol w:w="640"/>
        <w:gridCol w:w="640"/>
        <w:gridCol w:w="640"/>
        <w:gridCol w:w="640"/>
        <w:gridCol w:w="640"/>
      </w:tblGrid>
      <w:tr w:rsidR="00B6352F" w:rsidRPr="005F705E" w:rsidTr="00496470">
        <w:trPr>
          <w:trHeight w:val="495"/>
          <w:jc w:val="center"/>
        </w:trPr>
        <w:tc>
          <w:tcPr>
            <w:tcW w:w="4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single" w:sz="4" w:space="0" w:color="auto"/>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2003</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2005</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2007</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2010</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2012</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w:t>
            </w:r>
            <w:r w:rsidRPr="005F705E">
              <w:rPr>
                <w:rFonts w:ascii="Times New Roman" w:eastAsia="Times New Roman" w:hAnsi="Times New Roman" w:cs="Times New Roman"/>
                <w:b/>
                <w:bCs/>
                <w:color w:val="000000"/>
                <w:sz w:val="18"/>
                <w:szCs w:val="18"/>
                <w:lang w:eastAsia="es-AR"/>
              </w:rPr>
              <w:br/>
              <w:t>IV</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2F2F2"/>
            <w:noWrap/>
            <w:vAlign w:val="bottom"/>
            <w:hideMark/>
          </w:tcPr>
          <w:p w:rsidR="00B6352F" w:rsidRPr="005F705E" w:rsidRDefault="00B6352F" w:rsidP="00EC02EA">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formal público y privado</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54,3</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59,9</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62,8</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65,9</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64,6</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64,4</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Empleadores, directivos y profesionales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5,7</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6,2</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6,3</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6,1</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5,7</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5,5</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registrados del sector privado formal</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25,3</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28,8</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31,6</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36,0</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33,1</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33,7</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precarios del sector privado formal</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8,7</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9,8</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9,2</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7,5</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7,6</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7,7</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Empleados del sector público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14,5</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15,1</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15,8</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16,2</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18,2</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17,6</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2F2F2"/>
            <w:noWrap/>
            <w:vAlign w:val="bottom"/>
            <w:hideMark/>
          </w:tcPr>
          <w:p w:rsidR="00B6352F" w:rsidRPr="005F705E" w:rsidRDefault="00B6352F" w:rsidP="00EC02EA">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microempresario / informal</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36,7</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35,0</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34,4</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31,5</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33,6</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33,0</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Patrones microempresas y TCP calificados con capital</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3,6</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4,0</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4,4</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4,1</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4,7</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4,2</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TCP no calificados y/o sin capital propio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15,9</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15,1</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13,5</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12,9</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14,0</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13,0</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single" w:sz="4" w:space="0" w:color="auto"/>
            </w:tcBorders>
            <w:shd w:val="clear" w:color="000000" w:fill="FFFFFF"/>
            <w:noWrap/>
            <w:vAlign w:val="bottom"/>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del sector privado microempresario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11,9</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10,9</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11,7</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10,1</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10,8</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11,1</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Servicio doméstico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5,3</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4,9</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4,9</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4,4</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4,1</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4,7</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3306D">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Beneficiarios de planes de empleo</w:t>
            </w:r>
            <w:r w:rsidR="00557D3C" w:rsidRPr="005F705E">
              <w:rPr>
                <w:rFonts w:ascii="Times New Roman" w:eastAsia="Times New Roman" w:hAnsi="Times New Roman" w:cs="Times New Roman"/>
                <w:color w:val="000000"/>
                <w:sz w:val="18"/>
                <w:szCs w:val="18"/>
                <w:vertAlign w:val="superscript"/>
                <w:lang w:eastAsia="es-AR"/>
              </w:rPr>
              <w:t>(</w:t>
            </w:r>
            <w:r w:rsidR="00E3306D" w:rsidRPr="005F705E">
              <w:rPr>
                <w:rFonts w:ascii="Times New Roman" w:eastAsia="Times New Roman" w:hAnsi="Times New Roman" w:cs="Times New Roman"/>
                <w:color w:val="000000"/>
                <w:sz w:val="18"/>
                <w:szCs w:val="18"/>
                <w:vertAlign w:val="superscript"/>
                <w:lang w:eastAsia="es-AR"/>
              </w:rPr>
              <w:t>1</w:t>
            </w:r>
            <w:r w:rsidR="00557D3C" w:rsidRPr="005F705E">
              <w:rPr>
                <w:rFonts w:ascii="Times New Roman" w:eastAsia="Times New Roman" w:hAnsi="Times New Roman" w:cs="Times New Roman"/>
                <w:color w:val="000000"/>
                <w:sz w:val="18"/>
                <w:szCs w:val="18"/>
                <w:vertAlign w:val="superscript"/>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4,8</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1,9</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0,5</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0,5</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0,2</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0,7</w:t>
            </w:r>
          </w:p>
        </w:tc>
      </w:tr>
      <w:tr w:rsidR="00B6352F" w:rsidRPr="005F705E" w:rsidTr="00496470">
        <w:trPr>
          <w:trHeight w:val="222"/>
          <w:jc w:val="center"/>
        </w:trPr>
        <w:tc>
          <w:tcPr>
            <w:tcW w:w="450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Desocupados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4,3</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3,1</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2,3</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2,2</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1,6</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w:t>
            </w:r>
          </w:p>
        </w:tc>
      </w:tr>
      <w:tr w:rsidR="00B6352F" w:rsidRPr="005F705E" w:rsidTr="00496470">
        <w:trPr>
          <w:trHeight w:val="222"/>
          <w:jc w:val="center"/>
        </w:trPr>
        <w:tc>
          <w:tcPr>
            <w:tcW w:w="4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Total</w:t>
            </w:r>
          </w:p>
        </w:tc>
        <w:tc>
          <w:tcPr>
            <w:tcW w:w="640" w:type="dxa"/>
            <w:tcBorders>
              <w:top w:val="single" w:sz="4" w:space="0" w:color="auto"/>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r>
    </w:tbl>
    <w:p w:rsidR="00557D3C" w:rsidRPr="005F705E" w:rsidRDefault="00557D3C" w:rsidP="00496470">
      <w:pPr>
        <w:pStyle w:val="Sinespaciado"/>
        <w:ind w:firstLine="142"/>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Nota</w:t>
      </w:r>
      <w:r w:rsidR="00E3306D" w:rsidRPr="005F705E">
        <w:rPr>
          <w:rFonts w:ascii="Times New Roman" w:hAnsi="Times New Roman" w:cs="Times New Roman"/>
          <w:sz w:val="15"/>
          <w:szCs w:val="15"/>
          <w:lang w:val="es-ES"/>
        </w:rPr>
        <w:t xml:space="preserve">: (1) Hogares cuyo PSH </w:t>
      </w:r>
      <w:r w:rsidRPr="005F705E">
        <w:rPr>
          <w:rFonts w:ascii="Times New Roman" w:hAnsi="Times New Roman" w:cs="Times New Roman"/>
          <w:sz w:val="15"/>
          <w:szCs w:val="15"/>
          <w:lang w:val="es-ES"/>
        </w:rPr>
        <w:t>declara que su ocupación principal es un plan de empleo.</w:t>
      </w:r>
    </w:p>
    <w:p w:rsidR="00B6352F" w:rsidRPr="005F705E" w:rsidRDefault="00B6352F" w:rsidP="00496470">
      <w:pPr>
        <w:pStyle w:val="Sinespaciado"/>
        <w:ind w:firstLine="142"/>
        <w:jc w:val="both"/>
        <w:rPr>
          <w:rFonts w:ascii="Times New Roman" w:hAnsi="Times New Roman" w:cs="Times New Roman"/>
        </w:rPr>
      </w:pPr>
      <w:r w:rsidRPr="005F705E">
        <w:rPr>
          <w:rFonts w:ascii="Times New Roman" w:hAnsi="Times New Roman" w:cs="Times New Roman"/>
          <w:sz w:val="15"/>
          <w:szCs w:val="15"/>
          <w:lang w:val="es-ES"/>
        </w:rPr>
        <w:t>Fuente: Elaboración propia en base a microdatos de la EPH-INDEC para los períodos indicados. Disponibles en: &lt;</w:t>
      </w:r>
      <w:r w:rsidRPr="005F705E">
        <w:rPr>
          <w:rFonts w:ascii="Times New Roman" w:hAnsi="Times New Roman" w:cs="Times New Roman"/>
          <w:sz w:val="15"/>
          <w:szCs w:val="15"/>
          <w:u w:val="single"/>
          <w:lang w:val="es-ES"/>
        </w:rPr>
        <w:t>www.indec.gov.ar</w:t>
      </w:r>
      <w:r w:rsidRPr="005F705E">
        <w:rPr>
          <w:rFonts w:ascii="Times New Roman" w:hAnsi="Times New Roman" w:cs="Times New Roman"/>
          <w:sz w:val="15"/>
          <w:szCs w:val="15"/>
          <w:lang w:val="es-ES"/>
        </w:rPr>
        <w:t>&gt;</w:t>
      </w:r>
    </w:p>
    <w:p w:rsidR="00496470" w:rsidRPr="005F705E" w:rsidRDefault="00496470" w:rsidP="00F115BD">
      <w:pPr>
        <w:pStyle w:val="Sinespaciado"/>
        <w:jc w:val="both"/>
        <w:rPr>
          <w:rFonts w:ascii="Times New Roman" w:hAnsi="Times New Roman" w:cs="Times New Roman"/>
        </w:rPr>
      </w:pPr>
    </w:p>
    <w:p w:rsidR="00D7198C" w:rsidRPr="005F705E" w:rsidRDefault="00E240B7" w:rsidP="009B79D3">
      <w:pPr>
        <w:pStyle w:val="Sinespaciado"/>
        <w:spacing w:line="480" w:lineRule="auto"/>
        <w:jc w:val="both"/>
        <w:rPr>
          <w:rFonts w:ascii="Times New Roman" w:hAnsi="Times New Roman" w:cs="Times New Roman"/>
        </w:rPr>
      </w:pPr>
      <w:r w:rsidRPr="005F705E">
        <w:rPr>
          <w:rFonts w:ascii="Times New Roman" w:hAnsi="Times New Roman" w:cs="Times New Roman"/>
        </w:rPr>
        <w:t>L</w:t>
      </w:r>
      <w:r w:rsidR="00D7198C" w:rsidRPr="005F705E">
        <w:rPr>
          <w:rFonts w:ascii="Times New Roman" w:hAnsi="Times New Roman" w:cs="Times New Roman"/>
        </w:rPr>
        <w:t xml:space="preserve">os Cuadros 3.A y 3.B permiten observar las importantes modificaciones que tuvieron lugar en la estructura económico-ocupacional examinada a partir de las unidades domésticas durante el ciclo </w:t>
      </w:r>
      <w:r w:rsidR="00676751" w:rsidRPr="005F705E">
        <w:rPr>
          <w:rFonts w:ascii="Times New Roman" w:hAnsi="Times New Roman" w:cs="Times New Roman"/>
        </w:rPr>
        <w:t>post-reformas</w:t>
      </w:r>
      <w:r w:rsidR="00D7198C" w:rsidRPr="005F705E">
        <w:rPr>
          <w:rStyle w:val="Refdenotaalpie"/>
          <w:rFonts w:ascii="Times New Roman" w:hAnsi="Times New Roman" w:cs="Times New Roman"/>
        </w:rPr>
        <w:footnoteReference w:id="12"/>
      </w:r>
      <w:r w:rsidR="00D7198C" w:rsidRPr="005F705E">
        <w:rPr>
          <w:rFonts w:ascii="Times New Roman" w:hAnsi="Times New Roman" w:cs="Times New Roman"/>
        </w:rPr>
        <w:t xml:space="preserve">. El primer ciclo del período </w:t>
      </w:r>
      <w:r w:rsidR="000B38E0" w:rsidRPr="005F705E">
        <w:rPr>
          <w:rFonts w:ascii="Times New Roman" w:hAnsi="Times New Roman" w:cs="Times New Roman"/>
        </w:rPr>
        <w:t>post-</w:t>
      </w:r>
      <w:r w:rsidR="0003698D" w:rsidRPr="005F705E">
        <w:rPr>
          <w:rFonts w:ascii="Times New Roman" w:hAnsi="Times New Roman" w:cs="Times New Roman"/>
        </w:rPr>
        <w:t>reformas</w:t>
      </w:r>
      <w:r w:rsidR="00D7198C" w:rsidRPr="005F705E">
        <w:rPr>
          <w:rFonts w:ascii="Times New Roman" w:hAnsi="Times New Roman" w:cs="Times New Roman"/>
        </w:rPr>
        <w:t xml:space="preserve"> (2003-2007), caracterizado por una veloz recomposición del mercado laboral, concentró el grueso de las transformaciones más relevantes en términos de las oportunidades laborales disponibles para los hogares argentinos (Cuadro 3B). En concreto, durante </w:t>
      </w:r>
      <w:r w:rsidR="00D7198C" w:rsidRPr="005F705E">
        <w:rPr>
          <w:rFonts w:ascii="Times New Roman" w:hAnsi="Times New Roman" w:cs="Times New Roman"/>
        </w:rPr>
        <w:lastRenderedPageBreak/>
        <w:t>este lapso aumentó la proporción de hogares cuyo PSH estaba ocupado en empleos del sector formal tanto público como privado; mientras que, como reverso, se redujo la participación de hogares cuyo PSH estaba inserto en el sector microempresario/informal o recibía un plan de empleo</w:t>
      </w:r>
      <w:r w:rsidR="00D7198C" w:rsidRPr="005F705E">
        <w:rPr>
          <w:rStyle w:val="Refdenotaalpie"/>
          <w:rFonts w:ascii="Times New Roman" w:hAnsi="Times New Roman" w:cs="Times New Roman"/>
        </w:rPr>
        <w:footnoteReference w:id="13"/>
      </w:r>
      <w:r w:rsidR="00D7198C" w:rsidRPr="005F705E">
        <w:rPr>
          <w:rFonts w:ascii="Times New Roman" w:hAnsi="Times New Roman" w:cs="Times New Roman"/>
        </w:rPr>
        <w:t>.</w:t>
      </w:r>
    </w:p>
    <w:p w:rsidR="00094454" w:rsidRPr="005F705E" w:rsidRDefault="00094454" w:rsidP="00094454">
      <w:pPr>
        <w:pStyle w:val="Sinespaciado"/>
        <w:jc w:val="both"/>
        <w:rPr>
          <w:rFonts w:ascii="Times New Roman" w:hAnsi="Times New Roman" w:cs="Times New Roman"/>
          <w:b/>
          <w:sz w:val="22"/>
        </w:rPr>
      </w:pPr>
      <w:r w:rsidRPr="005F705E">
        <w:rPr>
          <w:rFonts w:ascii="Times New Roman" w:hAnsi="Times New Roman" w:cs="Times New Roman"/>
          <w:b/>
          <w:sz w:val="22"/>
        </w:rPr>
        <w:t xml:space="preserve">Cuadro 3B. </w:t>
      </w:r>
      <w:r w:rsidR="00F252AD" w:rsidRPr="005F705E">
        <w:rPr>
          <w:rFonts w:ascii="Times New Roman" w:hAnsi="Times New Roman" w:cs="Times New Roman"/>
          <w:b/>
          <w:sz w:val="22"/>
        </w:rPr>
        <w:t>Distribución de los hogares según posición económico-ocupacional del Principal Sostén del Hogar</w:t>
      </w:r>
      <w:r w:rsidRPr="005F705E">
        <w:rPr>
          <w:rFonts w:ascii="Times New Roman" w:hAnsi="Times New Roman" w:cs="Times New Roman"/>
          <w:b/>
          <w:sz w:val="22"/>
        </w:rPr>
        <w:t xml:space="preserve">. </w:t>
      </w:r>
      <w:r w:rsidR="00F252AD" w:rsidRPr="005F705E">
        <w:rPr>
          <w:rFonts w:ascii="Times New Roman" w:hAnsi="Times New Roman" w:cs="Times New Roman"/>
          <w:b/>
          <w:sz w:val="22"/>
        </w:rPr>
        <w:t>Total de Aglomerados urbanos. Argentina, 2003-2014.</w:t>
      </w:r>
    </w:p>
    <w:p w:rsidR="00094454" w:rsidRPr="005F705E" w:rsidRDefault="00094454" w:rsidP="00094454">
      <w:pPr>
        <w:pStyle w:val="Sinespaciado"/>
        <w:jc w:val="both"/>
        <w:rPr>
          <w:rFonts w:ascii="Times New Roman" w:hAnsi="Times New Roman" w:cs="Times New Roman"/>
          <w:sz w:val="20"/>
        </w:rPr>
      </w:pPr>
      <w:r w:rsidRPr="005F705E">
        <w:rPr>
          <w:rFonts w:ascii="Times New Roman" w:hAnsi="Times New Roman" w:cs="Times New Roman"/>
          <w:sz w:val="20"/>
        </w:rPr>
        <w:t>En porcentajes sobre el total de hogares con PSH ocupado.</w:t>
      </w:r>
    </w:p>
    <w:tbl>
      <w:tblPr>
        <w:tblW w:w="8460" w:type="dxa"/>
        <w:jc w:val="center"/>
        <w:tblInd w:w="55" w:type="dxa"/>
        <w:tblCellMar>
          <w:left w:w="70" w:type="dxa"/>
          <w:right w:w="70" w:type="dxa"/>
        </w:tblCellMar>
        <w:tblLook w:val="04A0"/>
      </w:tblPr>
      <w:tblGrid>
        <w:gridCol w:w="4620"/>
        <w:gridCol w:w="640"/>
        <w:gridCol w:w="640"/>
        <w:gridCol w:w="640"/>
        <w:gridCol w:w="640"/>
        <w:gridCol w:w="640"/>
        <w:gridCol w:w="640"/>
      </w:tblGrid>
      <w:tr w:rsidR="00094454" w:rsidRPr="005F705E" w:rsidTr="00A33618">
        <w:trPr>
          <w:trHeight w:val="495"/>
          <w:jc w:val="center"/>
        </w:trPr>
        <w:tc>
          <w:tcPr>
            <w:tcW w:w="4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454" w:rsidRPr="005F705E" w:rsidRDefault="00094454" w:rsidP="00A33618">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single" w:sz="4" w:space="0" w:color="auto"/>
              <w:left w:val="nil"/>
              <w:bottom w:val="single" w:sz="4" w:space="0" w:color="auto"/>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2003</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2005</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2007</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2010</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2012</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w:t>
            </w:r>
            <w:r w:rsidRPr="005F705E">
              <w:rPr>
                <w:rFonts w:ascii="Times New Roman" w:eastAsia="Times New Roman" w:hAnsi="Times New Roman" w:cs="Times New Roman"/>
                <w:b/>
                <w:bCs/>
                <w:color w:val="000000"/>
                <w:sz w:val="18"/>
                <w:szCs w:val="18"/>
                <w:lang w:eastAsia="es-AR"/>
              </w:rPr>
              <w:br/>
              <w:t>IV</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2F2F2"/>
            <w:noWrap/>
            <w:vAlign w:val="bottom"/>
            <w:hideMark/>
          </w:tcPr>
          <w:p w:rsidR="00094454" w:rsidRPr="005F705E" w:rsidRDefault="00094454" w:rsidP="00A33618">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formal público y privado</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56,7</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61,9</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64,3</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67,3</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65,6</w:t>
            </w:r>
          </w:p>
        </w:tc>
        <w:tc>
          <w:tcPr>
            <w:tcW w:w="640" w:type="dxa"/>
            <w:tcBorders>
              <w:top w:val="nil"/>
              <w:left w:val="nil"/>
              <w:bottom w:val="nil"/>
              <w:right w:val="single" w:sz="4" w:space="0" w:color="auto"/>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65,7</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single" w:sz="4" w:space="0" w:color="auto"/>
            </w:tcBorders>
            <w:shd w:val="clear" w:color="000000" w:fill="FFFFFF"/>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Empleadores, directivos y profesionales</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6,0</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6,4</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6,4</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6,2</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5,8</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5,6</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registrados del sector privado formal</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26,5</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29,8</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32,3</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36,8</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33,6</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34,4</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precarios del sector privado formal</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9,1</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10,1</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9,4</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7,7</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7,7</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7,8</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Empleados del sector público</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15,2</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15,6</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16,1</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16,6</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18,5</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17,9</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2F2F2"/>
            <w:noWrap/>
            <w:vAlign w:val="bottom"/>
            <w:hideMark/>
          </w:tcPr>
          <w:p w:rsidR="00094454" w:rsidRPr="005F705E" w:rsidRDefault="00094454" w:rsidP="00A33618">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microempresario / informal</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38,3</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36,1</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35,2</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32,2</w:t>
            </w:r>
          </w:p>
        </w:tc>
        <w:tc>
          <w:tcPr>
            <w:tcW w:w="640" w:type="dxa"/>
            <w:tcBorders>
              <w:top w:val="nil"/>
              <w:left w:val="nil"/>
              <w:bottom w:val="nil"/>
              <w:right w:val="nil"/>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34,1</w:t>
            </w:r>
          </w:p>
        </w:tc>
        <w:tc>
          <w:tcPr>
            <w:tcW w:w="640" w:type="dxa"/>
            <w:tcBorders>
              <w:top w:val="nil"/>
              <w:left w:val="nil"/>
              <w:bottom w:val="nil"/>
              <w:right w:val="single" w:sz="4" w:space="0" w:color="auto"/>
            </w:tcBorders>
            <w:shd w:val="clear" w:color="000000" w:fill="F2F2F2"/>
            <w:vAlign w:val="bottom"/>
            <w:hideMark/>
          </w:tcPr>
          <w:p w:rsidR="00094454" w:rsidRPr="005F705E" w:rsidRDefault="00094454"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33,7</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094454"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094454" w:rsidRPr="005F705E" w:rsidRDefault="00094454"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Patrones microempresas y TCP calificados con capital</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3,7</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4,1</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4,5</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4,2</w:t>
            </w:r>
          </w:p>
        </w:tc>
        <w:tc>
          <w:tcPr>
            <w:tcW w:w="640" w:type="dxa"/>
            <w:tcBorders>
              <w:top w:val="nil"/>
              <w:left w:val="nil"/>
              <w:bottom w:val="nil"/>
              <w:right w:val="nil"/>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4,8</w:t>
            </w:r>
          </w:p>
        </w:tc>
        <w:tc>
          <w:tcPr>
            <w:tcW w:w="640" w:type="dxa"/>
            <w:tcBorders>
              <w:top w:val="nil"/>
              <w:left w:val="nil"/>
              <w:bottom w:val="nil"/>
              <w:right w:val="single" w:sz="4" w:space="0" w:color="auto"/>
            </w:tcBorders>
            <w:shd w:val="clear" w:color="000000" w:fill="FFFFFF"/>
            <w:noWrap/>
            <w:vAlign w:val="bottom"/>
            <w:hideMark/>
          </w:tcPr>
          <w:p w:rsidR="00094454" w:rsidRPr="005F705E" w:rsidRDefault="00094454"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4,3</w:t>
            </w:r>
          </w:p>
        </w:tc>
      </w:tr>
      <w:tr w:rsidR="003C0E29"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3C0E29" w:rsidRPr="005F705E" w:rsidRDefault="003C0E29"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TCP no calificados y/o sin capital propio</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16,6</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15,6</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13,8</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13,2</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14,2</w:t>
            </w:r>
          </w:p>
        </w:tc>
        <w:tc>
          <w:tcPr>
            <w:tcW w:w="640" w:type="dxa"/>
            <w:tcBorders>
              <w:top w:val="nil"/>
              <w:left w:val="nil"/>
              <w:bottom w:val="nil"/>
              <w:right w:val="single" w:sz="4" w:space="0" w:color="auto"/>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13,2</w:t>
            </w:r>
          </w:p>
        </w:tc>
      </w:tr>
      <w:tr w:rsidR="003C0E29" w:rsidRPr="005F705E" w:rsidTr="003C0E29">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3C0E29" w:rsidRPr="005F705E" w:rsidRDefault="003C0E29" w:rsidP="00A33618">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nil"/>
            </w:tcBorders>
            <w:shd w:val="clear" w:color="000000" w:fill="FFFFFF"/>
            <w:noWrap/>
            <w:vAlign w:val="bottom"/>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p>
        </w:tc>
        <w:tc>
          <w:tcPr>
            <w:tcW w:w="640" w:type="dxa"/>
            <w:tcBorders>
              <w:top w:val="nil"/>
              <w:left w:val="nil"/>
              <w:bottom w:val="nil"/>
              <w:right w:val="single" w:sz="4" w:space="0" w:color="auto"/>
            </w:tcBorders>
            <w:shd w:val="clear" w:color="000000" w:fill="FFFFFF"/>
            <w:noWrap/>
            <w:vAlign w:val="bottom"/>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p>
        </w:tc>
      </w:tr>
      <w:tr w:rsidR="003C0E29"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3C0E29" w:rsidRPr="005F705E" w:rsidRDefault="003C0E29"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del sector privado microempresario</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12,4</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11,3</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11,9</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10,3</w:t>
            </w:r>
          </w:p>
        </w:tc>
        <w:tc>
          <w:tcPr>
            <w:tcW w:w="640" w:type="dxa"/>
            <w:tcBorders>
              <w:top w:val="nil"/>
              <w:left w:val="nil"/>
              <w:bottom w:val="nil"/>
              <w:right w:val="nil"/>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10,9</w:t>
            </w:r>
          </w:p>
        </w:tc>
        <w:tc>
          <w:tcPr>
            <w:tcW w:w="640" w:type="dxa"/>
            <w:tcBorders>
              <w:top w:val="nil"/>
              <w:left w:val="nil"/>
              <w:bottom w:val="nil"/>
              <w:right w:val="single" w:sz="4" w:space="0" w:color="auto"/>
            </w:tcBorders>
            <w:shd w:val="clear" w:color="000000" w:fill="FFFFFF"/>
            <w:noWrap/>
            <w:vAlign w:val="bottom"/>
            <w:hideMark/>
          </w:tcPr>
          <w:p w:rsidR="003C0E29" w:rsidRPr="005F705E" w:rsidRDefault="003C0E29" w:rsidP="003C0E29">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11,4</w:t>
            </w:r>
          </w:p>
        </w:tc>
      </w:tr>
      <w:tr w:rsidR="003C0E29"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3C0E29" w:rsidRPr="005F705E" w:rsidRDefault="003C0E29" w:rsidP="00A33618">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Servicio doméstico</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5,5</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5,1</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5,0</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4,4</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4,2</w:t>
            </w:r>
          </w:p>
        </w:tc>
        <w:tc>
          <w:tcPr>
            <w:tcW w:w="640" w:type="dxa"/>
            <w:tcBorders>
              <w:top w:val="nil"/>
              <w:left w:val="nil"/>
              <w:bottom w:val="nil"/>
              <w:right w:val="single" w:sz="4" w:space="0" w:color="auto"/>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4,8</w:t>
            </w:r>
          </w:p>
        </w:tc>
      </w:tr>
      <w:tr w:rsidR="003C0E29"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3C0E29" w:rsidRPr="005F705E" w:rsidRDefault="003C0E29" w:rsidP="00A33618">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3C0E29" w:rsidRPr="005F705E" w:rsidTr="00A33618">
        <w:trPr>
          <w:trHeight w:val="222"/>
          <w:jc w:val="center"/>
        </w:trPr>
        <w:tc>
          <w:tcPr>
            <w:tcW w:w="4620" w:type="dxa"/>
            <w:tcBorders>
              <w:top w:val="nil"/>
              <w:left w:val="single" w:sz="4" w:space="0" w:color="auto"/>
              <w:bottom w:val="nil"/>
              <w:right w:val="single" w:sz="4" w:space="0" w:color="auto"/>
            </w:tcBorders>
            <w:shd w:val="clear" w:color="000000" w:fill="FFFFFF"/>
            <w:noWrap/>
            <w:vAlign w:val="bottom"/>
            <w:hideMark/>
          </w:tcPr>
          <w:p w:rsidR="003C0E29" w:rsidRPr="005F705E" w:rsidRDefault="003C0E29" w:rsidP="00A33618">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Beneficiarios de planes de empleo</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5,0</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0,5</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0,5</w:t>
            </w:r>
          </w:p>
        </w:tc>
        <w:tc>
          <w:tcPr>
            <w:tcW w:w="640" w:type="dxa"/>
            <w:tcBorders>
              <w:top w:val="nil"/>
              <w:left w:val="nil"/>
              <w:bottom w:val="nil"/>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0,3</w:t>
            </w:r>
          </w:p>
        </w:tc>
        <w:tc>
          <w:tcPr>
            <w:tcW w:w="640" w:type="dxa"/>
            <w:tcBorders>
              <w:top w:val="nil"/>
              <w:left w:val="nil"/>
              <w:bottom w:val="nil"/>
              <w:right w:val="single" w:sz="4" w:space="0" w:color="auto"/>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0,7</w:t>
            </w:r>
          </w:p>
        </w:tc>
      </w:tr>
      <w:tr w:rsidR="003C0E29" w:rsidRPr="005F705E" w:rsidTr="00A33618">
        <w:trPr>
          <w:trHeight w:val="222"/>
          <w:jc w:val="center"/>
        </w:trPr>
        <w:tc>
          <w:tcPr>
            <w:tcW w:w="4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E29" w:rsidRPr="005F705E" w:rsidRDefault="003C0E29" w:rsidP="00A33618">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Total</w:t>
            </w:r>
          </w:p>
        </w:tc>
        <w:tc>
          <w:tcPr>
            <w:tcW w:w="640" w:type="dxa"/>
            <w:tcBorders>
              <w:top w:val="single" w:sz="4" w:space="0" w:color="auto"/>
              <w:left w:val="nil"/>
              <w:bottom w:val="single" w:sz="4" w:space="0" w:color="auto"/>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nil"/>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rsidR="003C0E29" w:rsidRPr="005F705E" w:rsidRDefault="003C0E29" w:rsidP="00A33618">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100,0</w:t>
            </w:r>
          </w:p>
        </w:tc>
      </w:tr>
    </w:tbl>
    <w:p w:rsidR="00094454" w:rsidRPr="005F705E" w:rsidRDefault="00094454" w:rsidP="00094454">
      <w:pPr>
        <w:pStyle w:val="Sinespaciado"/>
        <w:jc w:val="both"/>
        <w:rPr>
          <w:rFonts w:ascii="Times New Roman" w:hAnsi="Times New Roman" w:cs="Times New Roman"/>
          <w:lang w:val="es-ES"/>
        </w:rPr>
      </w:pPr>
      <w:r w:rsidRPr="005F705E">
        <w:rPr>
          <w:rFonts w:ascii="Times New Roman" w:hAnsi="Times New Roman" w:cs="Times New Roman"/>
          <w:sz w:val="15"/>
          <w:szCs w:val="15"/>
          <w:lang w:val="es-ES"/>
        </w:rPr>
        <w:t>Fuente: Elaboración propia en base a microdatos de la EPH-INDEC para los períodos indicados. Disponibles en: &lt;</w:t>
      </w:r>
      <w:r w:rsidRPr="005F705E">
        <w:rPr>
          <w:rFonts w:ascii="Times New Roman" w:hAnsi="Times New Roman" w:cs="Times New Roman"/>
          <w:sz w:val="15"/>
          <w:szCs w:val="15"/>
          <w:u w:val="single"/>
          <w:lang w:val="es-ES"/>
        </w:rPr>
        <w:t>www.indec.gov.ar</w:t>
      </w:r>
      <w:r w:rsidRPr="005F705E">
        <w:rPr>
          <w:rFonts w:ascii="Times New Roman" w:hAnsi="Times New Roman" w:cs="Times New Roman"/>
          <w:sz w:val="15"/>
          <w:szCs w:val="15"/>
          <w:lang w:val="es-ES"/>
        </w:rPr>
        <w:t>&gt;</w:t>
      </w:r>
    </w:p>
    <w:p w:rsidR="00F115BD" w:rsidRPr="005F705E" w:rsidRDefault="00F115BD" w:rsidP="00281743">
      <w:pPr>
        <w:pStyle w:val="Sinespaciado"/>
        <w:spacing w:line="480" w:lineRule="auto"/>
        <w:jc w:val="both"/>
        <w:rPr>
          <w:rFonts w:ascii="Times New Roman" w:hAnsi="Times New Roman" w:cs="Times New Roman"/>
        </w:rPr>
      </w:pPr>
    </w:p>
    <w:p w:rsidR="001D23DF" w:rsidRPr="005F705E" w:rsidRDefault="001D23DF" w:rsidP="001D23DF">
      <w:pPr>
        <w:pStyle w:val="Sinespaciado"/>
        <w:spacing w:line="480" w:lineRule="auto"/>
        <w:jc w:val="both"/>
        <w:rPr>
          <w:rFonts w:ascii="Times New Roman" w:hAnsi="Times New Roman" w:cs="Times New Roman"/>
        </w:rPr>
      </w:pPr>
      <w:r w:rsidRPr="005F705E">
        <w:rPr>
          <w:rFonts w:ascii="Times New Roman" w:hAnsi="Times New Roman" w:cs="Times New Roman"/>
        </w:rPr>
        <w:t xml:space="preserve">Si tomamos en cuenta a los hogares que participaban del sector más estructurado, constatamos que entre 2003 y 2007 se expandió el peso de los hogares cuyo PSH era asalariado registrado o empleado en el sector público, mientras que no se alteró la participación de aquellos hogares cuyo PSH era un asalariado precario. En cambio, si se toma en cuenta al sector microempresario, se verifica que en esta primera fase del ciclo post-reformas se retrajo levemente el peso de los hogares encabezados por trabajadores por cuenta propia no calificados o sin capital propio y por empleados del servicio </w:t>
      </w:r>
      <w:r w:rsidRPr="005F705E">
        <w:rPr>
          <w:rFonts w:ascii="Times New Roman" w:hAnsi="Times New Roman" w:cs="Times New Roman"/>
        </w:rPr>
        <w:lastRenderedPageBreak/>
        <w:t xml:space="preserve">doméstico, y creció la participación de los hogares encabezados por patrones de microempresas o trabajadores autónomos calificados con capital propio. </w:t>
      </w:r>
    </w:p>
    <w:p w:rsidR="009122C0" w:rsidRPr="005F705E" w:rsidRDefault="008E1B11" w:rsidP="009B79D3">
      <w:pPr>
        <w:pStyle w:val="Sinespaciado"/>
        <w:spacing w:line="480" w:lineRule="auto"/>
        <w:jc w:val="both"/>
        <w:rPr>
          <w:rFonts w:ascii="Times New Roman" w:hAnsi="Times New Roman" w:cs="Times New Roman"/>
        </w:rPr>
      </w:pPr>
      <w:r w:rsidRPr="005F705E">
        <w:rPr>
          <w:rFonts w:ascii="Times New Roman" w:hAnsi="Times New Roman" w:cs="Times New Roman"/>
        </w:rPr>
        <w:t>La segunda fase del ciclo</w:t>
      </w:r>
      <w:r w:rsidR="00036FDC" w:rsidRPr="005F705E">
        <w:rPr>
          <w:rFonts w:ascii="Times New Roman" w:hAnsi="Times New Roman" w:cs="Times New Roman"/>
        </w:rPr>
        <w:t xml:space="preserve"> </w:t>
      </w:r>
      <w:r w:rsidR="00B730F8" w:rsidRPr="005F705E">
        <w:rPr>
          <w:rFonts w:ascii="Times New Roman" w:hAnsi="Times New Roman" w:cs="Times New Roman"/>
        </w:rPr>
        <w:t>post-</w:t>
      </w:r>
      <w:r w:rsidR="0003698D" w:rsidRPr="005F705E">
        <w:rPr>
          <w:rFonts w:ascii="Times New Roman" w:hAnsi="Times New Roman" w:cs="Times New Roman"/>
        </w:rPr>
        <w:t>reformas</w:t>
      </w:r>
      <w:r w:rsidR="00036FDC" w:rsidRPr="005F705E">
        <w:rPr>
          <w:rFonts w:ascii="Times New Roman" w:hAnsi="Times New Roman" w:cs="Times New Roman"/>
        </w:rPr>
        <w:t xml:space="preserve"> (2007-2014) estuvo caracterizad</w:t>
      </w:r>
      <w:r w:rsidRPr="005F705E">
        <w:rPr>
          <w:rFonts w:ascii="Times New Roman" w:hAnsi="Times New Roman" w:cs="Times New Roman"/>
        </w:rPr>
        <w:t>a</w:t>
      </w:r>
      <w:r w:rsidR="00036FDC" w:rsidRPr="005F705E">
        <w:rPr>
          <w:rFonts w:ascii="Times New Roman" w:hAnsi="Times New Roman" w:cs="Times New Roman"/>
        </w:rPr>
        <w:t xml:space="preserve"> por un ritmo inferior de crecimiento económico y una más lenta recomposición del mercado laboral. </w:t>
      </w:r>
      <w:r w:rsidR="00CE4EC8" w:rsidRPr="005F705E">
        <w:rPr>
          <w:rFonts w:ascii="Times New Roman" w:hAnsi="Times New Roman" w:cs="Times New Roman"/>
        </w:rPr>
        <w:t>L</w:t>
      </w:r>
      <w:r w:rsidR="00036FDC" w:rsidRPr="005F705E">
        <w:rPr>
          <w:rFonts w:ascii="Times New Roman" w:hAnsi="Times New Roman" w:cs="Times New Roman"/>
        </w:rPr>
        <w:t xml:space="preserve">as tendencias verificadas en la participación socio-laboral de los hogares durante la primera parte de la década se mantuvieron, pero fueron significativamente menos intensas. </w:t>
      </w:r>
      <w:r w:rsidR="00802A8D" w:rsidRPr="005F705E">
        <w:rPr>
          <w:rFonts w:ascii="Times New Roman" w:hAnsi="Times New Roman" w:cs="Times New Roman"/>
        </w:rPr>
        <w:t>En este contexto</w:t>
      </w:r>
      <w:r w:rsidR="00741480" w:rsidRPr="005F705E">
        <w:rPr>
          <w:rFonts w:ascii="Times New Roman" w:hAnsi="Times New Roman" w:cs="Times New Roman"/>
        </w:rPr>
        <w:t>, volvió a incrementarse el peso de los hogares cuyo PSH estaba ocupado en el sector formal público y privado</w:t>
      </w:r>
      <w:r w:rsidR="00802A8D" w:rsidRPr="005F705E">
        <w:rPr>
          <w:rFonts w:ascii="Times New Roman" w:hAnsi="Times New Roman" w:cs="Times New Roman"/>
        </w:rPr>
        <w:t>,</w:t>
      </w:r>
      <w:r w:rsidR="00741480" w:rsidRPr="005F705E">
        <w:rPr>
          <w:rFonts w:ascii="Times New Roman" w:hAnsi="Times New Roman" w:cs="Times New Roman"/>
        </w:rPr>
        <w:t xml:space="preserve"> </w:t>
      </w:r>
      <w:r w:rsidR="00802A8D" w:rsidRPr="005F705E">
        <w:rPr>
          <w:rFonts w:ascii="Times New Roman" w:hAnsi="Times New Roman" w:cs="Times New Roman"/>
        </w:rPr>
        <w:t>de suerte</w:t>
      </w:r>
      <w:r w:rsidR="00741480" w:rsidRPr="005F705E">
        <w:rPr>
          <w:rFonts w:ascii="Times New Roman" w:hAnsi="Times New Roman" w:cs="Times New Roman"/>
        </w:rPr>
        <w:t xml:space="preserve"> que se redujo el de aquellas unidades domésticas cuyo PSH estaba ocupado en el sector microempresario/informal. </w:t>
      </w:r>
      <w:r w:rsidR="00802A8D" w:rsidRPr="005F705E">
        <w:rPr>
          <w:rFonts w:ascii="Times New Roman" w:hAnsi="Times New Roman" w:cs="Times New Roman"/>
        </w:rPr>
        <w:t xml:space="preserve">Al igual que en la primera etapa, </w:t>
      </w:r>
      <w:r w:rsidR="00741480" w:rsidRPr="005F705E">
        <w:rPr>
          <w:rFonts w:ascii="Times New Roman" w:hAnsi="Times New Roman" w:cs="Times New Roman"/>
        </w:rPr>
        <w:t xml:space="preserve">se incrementó el peso de los hogares cuyo PSH era asalariado registrado del sector privado o empleado del sector público, </w:t>
      </w:r>
      <w:r w:rsidR="00802A8D" w:rsidRPr="005F705E">
        <w:rPr>
          <w:rFonts w:ascii="Times New Roman" w:hAnsi="Times New Roman" w:cs="Times New Roman"/>
        </w:rPr>
        <w:t xml:space="preserve">y se redujo de forma leve la </w:t>
      </w:r>
      <w:r w:rsidR="00741480" w:rsidRPr="005F705E">
        <w:rPr>
          <w:rFonts w:ascii="Times New Roman" w:hAnsi="Times New Roman" w:cs="Times New Roman"/>
        </w:rPr>
        <w:t xml:space="preserve">incidencia </w:t>
      </w:r>
      <w:r w:rsidR="00094454" w:rsidRPr="005F705E">
        <w:rPr>
          <w:rFonts w:ascii="Times New Roman" w:hAnsi="Times New Roman" w:cs="Times New Roman"/>
        </w:rPr>
        <w:t xml:space="preserve">de </w:t>
      </w:r>
      <w:r w:rsidR="00741480" w:rsidRPr="005F705E">
        <w:rPr>
          <w:rFonts w:ascii="Times New Roman" w:hAnsi="Times New Roman" w:cs="Times New Roman"/>
        </w:rPr>
        <w:t xml:space="preserve">los hogares encabezados por asalariados precarios del sector privado. </w:t>
      </w:r>
      <w:r w:rsidR="00802A8D" w:rsidRPr="005F705E">
        <w:rPr>
          <w:rFonts w:ascii="Times New Roman" w:hAnsi="Times New Roman" w:cs="Times New Roman"/>
        </w:rPr>
        <w:t>L</w:t>
      </w:r>
      <w:r w:rsidR="00741480" w:rsidRPr="005F705E">
        <w:rPr>
          <w:rFonts w:ascii="Times New Roman" w:hAnsi="Times New Roman" w:cs="Times New Roman"/>
        </w:rPr>
        <w:t>os cambios ocurridos entre los hogares cuyo PSH se insertaba en el sector microempresario no fueron estadísticamente significativos al interi</w:t>
      </w:r>
      <w:r w:rsidR="00802A8D" w:rsidRPr="005F705E">
        <w:rPr>
          <w:rFonts w:ascii="Times New Roman" w:hAnsi="Times New Roman" w:cs="Times New Roman"/>
        </w:rPr>
        <w:t xml:space="preserve">or de las categorías estudiadas. Este último aspecto permite </w:t>
      </w:r>
      <w:r w:rsidR="00CE4EC8" w:rsidRPr="005F705E">
        <w:rPr>
          <w:rFonts w:ascii="Times New Roman" w:hAnsi="Times New Roman" w:cs="Times New Roman"/>
        </w:rPr>
        <w:t>subrayar</w:t>
      </w:r>
      <w:r w:rsidR="00802A8D" w:rsidRPr="005F705E">
        <w:rPr>
          <w:rFonts w:ascii="Times New Roman" w:hAnsi="Times New Roman" w:cs="Times New Roman"/>
        </w:rPr>
        <w:t xml:space="preserve"> el carácter progresivo pero cuanto menos insuficiente del tipo de crecimiento que tuvo lugar para promover una sostenida modificación en la</w:t>
      </w:r>
      <w:r w:rsidR="00094454" w:rsidRPr="005F705E">
        <w:rPr>
          <w:rFonts w:ascii="Times New Roman" w:hAnsi="Times New Roman" w:cs="Times New Roman"/>
        </w:rPr>
        <w:t>s oportunidades laborales a las que accedieron las unidades domésticas</w:t>
      </w:r>
      <w:r w:rsidR="00802A8D" w:rsidRPr="005F705E">
        <w:rPr>
          <w:rFonts w:ascii="Times New Roman" w:hAnsi="Times New Roman" w:cs="Times New Roman"/>
        </w:rPr>
        <w:t xml:space="preserve">. </w:t>
      </w:r>
    </w:p>
    <w:p w:rsidR="00741480" w:rsidRPr="005F705E" w:rsidRDefault="00741480" w:rsidP="009B79D3">
      <w:pPr>
        <w:pStyle w:val="Sinespaciado"/>
        <w:spacing w:line="480" w:lineRule="auto"/>
        <w:jc w:val="both"/>
        <w:rPr>
          <w:rFonts w:ascii="Times New Roman" w:hAnsi="Times New Roman" w:cs="Times New Roman"/>
          <w:iCs/>
        </w:rPr>
      </w:pPr>
      <w:r w:rsidRPr="005F705E">
        <w:rPr>
          <w:rFonts w:ascii="Times New Roman" w:hAnsi="Times New Roman" w:cs="Times New Roman"/>
        </w:rPr>
        <w:t xml:space="preserve">Si </w:t>
      </w:r>
      <w:r w:rsidR="00802A8D" w:rsidRPr="005F705E">
        <w:rPr>
          <w:rFonts w:ascii="Times New Roman" w:hAnsi="Times New Roman" w:cs="Times New Roman"/>
        </w:rPr>
        <w:t>tomamos a</w:t>
      </w:r>
      <w:r w:rsidRPr="005F705E">
        <w:rPr>
          <w:rFonts w:ascii="Times New Roman" w:hAnsi="Times New Roman" w:cs="Times New Roman"/>
        </w:rPr>
        <w:t xml:space="preserve">l período </w:t>
      </w:r>
      <w:r w:rsidR="000B38E0" w:rsidRPr="005F705E">
        <w:rPr>
          <w:rFonts w:ascii="Times New Roman" w:hAnsi="Times New Roman" w:cs="Times New Roman"/>
        </w:rPr>
        <w:t>post-</w:t>
      </w:r>
      <w:r w:rsidR="0003698D" w:rsidRPr="005F705E">
        <w:rPr>
          <w:rFonts w:ascii="Times New Roman" w:hAnsi="Times New Roman" w:cs="Times New Roman"/>
        </w:rPr>
        <w:t xml:space="preserve">reformas </w:t>
      </w:r>
      <w:r w:rsidR="00802A8D" w:rsidRPr="005F705E">
        <w:rPr>
          <w:rFonts w:ascii="Times New Roman" w:hAnsi="Times New Roman" w:cs="Times New Roman"/>
        </w:rPr>
        <w:t xml:space="preserve">en su conjunto </w:t>
      </w:r>
      <w:r w:rsidRPr="005F705E">
        <w:rPr>
          <w:rFonts w:ascii="Times New Roman" w:hAnsi="Times New Roman" w:cs="Times New Roman"/>
        </w:rPr>
        <w:t xml:space="preserve">(2003-2014) es posible consignar dos </w:t>
      </w:r>
      <w:r w:rsidR="00496470" w:rsidRPr="005F705E">
        <w:rPr>
          <w:rFonts w:ascii="Times New Roman" w:hAnsi="Times New Roman" w:cs="Times New Roman"/>
        </w:rPr>
        <w:t>rasgos</w:t>
      </w:r>
      <w:r w:rsidRPr="005F705E">
        <w:rPr>
          <w:rFonts w:ascii="Times New Roman" w:hAnsi="Times New Roman" w:cs="Times New Roman"/>
        </w:rPr>
        <w:t xml:space="preserve"> contrapuest</w:t>
      </w:r>
      <w:r w:rsidR="00496470" w:rsidRPr="005F705E">
        <w:rPr>
          <w:rFonts w:ascii="Times New Roman" w:hAnsi="Times New Roman" w:cs="Times New Roman"/>
        </w:rPr>
        <w:t>o</w:t>
      </w:r>
      <w:r w:rsidRPr="005F705E">
        <w:rPr>
          <w:rFonts w:ascii="Times New Roman" w:hAnsi="Times New Roman" w:cs="Times New Roman"/>
        </w:rPr>
        <w:t xml:space="preserve">s a nivel de la </w:t>
      </w:r>
      <w:r w:rsidR="00094454" w:rsidRPr="005F705E">
        <w:rPr>
          <w:rFonts w:ascii="Times New Roman" w:hAnsi="Times New Roman" w:cs="Times New Roman"/>
        </w:rPr>
        <w:t xml:space="preserve">estructura económico-ocupacional evaluada a nivel de las </w:t>
      </w:r>
      <w:r w:rsidRPr="005F705E">
        <w:rPr>
          <w:rFonts w:ascii="Times New Roman" w:hAnsi="Times New Roman" w:cs="Times New Roman"/>
        </w:rPr>
        <w:t>unidades domésticas argentinas. En primer lugar, una recomposición del peso de los hogares cuyo PSH estaba inserto en empleos del sector más dinámico de la economía. En particular, se destaca lo ocurrido con los asalariados protegidos y, secundariamente, con los empleados públicos.</w:t>
      </w:r>
      <w:r w:rsidR="00802A8D" w:rsidRPr="005F705E">
        <w:rPr>
          <w:rFonts w:ascii="Times New Roman" w:hAnsi="Times New Roman" w:cs="Times New Roman"/>
        </w:rPr>
        <w:t xml:space="preserve"> Sin embargo, junto con estas modificaciones</w:t>
      </w:r>
      <w:r w:rsidRPr="005F705E">
        <w:rPr>
          <w:rFonts w:ascii="Times New Roman" w:hAnsi="Times New Roman" w:cs="Times New Roman"/>
          <w:iCs/>
        </w:rPr>
        <w:t>, hacia el final de la serie aún persistía una estructura de posicio</w:t>
      </w:r>
      <w:r w:rsidR="007D47D5" w:rsidRPr="005F705E">
        <w:rPr>
          <w:rFonts w:ascii="Times New Roman" w:hAnsi="Times New Roman" w:cs="Times New Roman"/>
          <w:iCs/>
        </w:rPr>
        <w:t xml:space="preserve">nes </w:t>
      </w:r>
      <w:r w:rsidR="007D47D5" w:rsidRPr="005F705E">
        <w:rPr>
          <w:rFonts w:ascii="Times New Roman" w:hAnsi="Times New Roman" w:cs="Times New Roman"/>
          <w:iCs/>
        </w:rPr>
        <w:lastRenderedPageBreak/>
        <w:t>laborales en la que</w:t>
      </w:r>
      <w:r w:rsidRPr="005F705E">
        <w:rPr>
          <w:rFonts w:ascii="Times New Roman" w:hAnsi="Times New Roman" w:cs="Times New Roman"/>
          <w:iCs/>
        </w:rPr>
        <w:t xml:space="preserve"> </w:t>
      </w:r>
      <w:r w:rsidR="007D47D5" w:rsidRPr="005F705E">
        <w:rPr>
          <w:rFonts w:ascii="Times New Roman" w:hAnsi="Times New Roman" w:cs="Times New Roman"/>
          <w:iCs/>
        </w:rPr>
        <w:t>42,2% de los hogares</w:t>
      </w:r>
      <w:r w:rsidRPr="005F705E">
        <w:rPr>
          <w:rFonts w:ascii="Times New Roman" w:hAnsi="Times New Roman" w:cs="Times New Roman"/>
          <w:iCs/>
        </w:rPr>
        <w:t xml:space="preserve"> se encontraban encabezados por un trabajador </w:t>
      </w:r>
      <w:r w:rsidR="00EC0E08" w:rsidRPr="005F705E">
        <w:rPr>
          <w:rFonts w:ascii="Times New Roman" w:hAnsi="Times New Roman" w:cs="Times New Roman"/>
          <w:iCs/>
        </w:rPr>
        <w:t>inserto en el sector microempresario/</w:t>
      </w:r>
      <w:r w:rsidR="00BE00B7" w:rsidRPr="005F705E">
        <w:rPr>
          <w:rFonts w:ascii="Times New Roman" w:hAnsi="Times New Roman" w:cs="Times New Roman"/>
          <w:iCs/>
        </w:rPr>
        <w:t xml:space="preserve"> </w:t>
      </w:r>
      <w:r w:rsidRPr="005F705E">
        <w:rPr>
          <w:rFonts w:ascii="Times New Roman" w:hAnsi="Times New Roman" w:cs="Times New Roman"/>
          <w:iCs/>
        </w:rPr>
        <w:t xml:space="preserve">informal o en </w:t>
      </w:r>
      <w:r w:rsidR="00EC0E08" w:rsidRPr="005F705E">
        <w:rPr>
          <w:rFonts w:ascii="Times New Roman" w:hAnsi="Times New Roman" w:cs="Times New Roman"/>
          <w:iCs/>
        </w:rPr>
        <w:t xml:space="preserve">condiciones laborales </w:t>
      </w:r>
      <w:r w:rsidR="000B38E0" w:rsidRPr="005F705E">
        <w:rPr>
          <w:rFonts w:ascii="Times New Roman" w:hAnsi="Times New Roman" w:cs="Times New Roman"/>
          <w:iCs/>
        </w:rPr>
        <w:t>“</w:t>
      </w:r>
      <w:r w:rsidR="00EC0E08" w:rsidRPr="005F705E">
        <w:rPr>
          <w:rFonts w:ascii="Times New Roman" w:hAnsi="Times New Roman" w:cs="Times New Roman"/>
          <w:iCs/>
        </w:rPr>
        <w:t>atípicas</w:t>
      </w:r>
      <w:r w:rsidR="000B38E0" w:rsidRPr="005F705E">
        <w:rPr>
          <w:rFonts w:ascii="Times New Roman" w:hAnsi="Times New Roman" w:cs="Times New Roman"/>
          <w:iCs/>
        </w:rPr>
        <w:t>”</w:t>
      </w:r>
      <w:r w:rsidR="00EC0E08" w:rsidRPr="005F705E">
        <w:rPr>
          <w:rFonts w:ascii="Times New Roman" w:hAnsi="Times New Roman" w:cs="Times New Roman"/>
          <w:iCs/>
        </w:rPr>
        <w:t xml:space="preserve">. </w:t>
      </w:r>
    </w:p>
    <w:p w:rsidR="00B6352F" w:rsidRPr="005F705E" w:rsidRDefault="00B6352F" w:rsidP="00B6352F">
      <w:pPr>
        <w:pStyle w:val="Sinespaciado"/>
        <w:jc w:val="both"/>
        <w:rPr>
          <w:rFonts w:ascii="Times New Roman" w:hAnsi="Times New Roman" w:cs="Times New Roman"/>
          <w:b/>
          <w:sz w:val="22"/>
        </w:rPr>
      </w:pPr>
      <w:r w:rsidRPr="005F705E">
        <w:rPr>
          <w:rFonts w:ascii="Times New Roman" w:hAnsi="Times New Roman" w:cs="Times New Roman"/>
          <w:b/>
          <w:sz w:val="22"/>
        </w:rPr>
        <w:t xml:space="preserve">Cuadro 4. </w:t>
      </w:r>
      <w:r w:rsidR="00F252AD" w:rsidRPr="005F705E">
        <w:rPr>
          <w:rFonts w:ascii="Times New Roman" w:hAnsi="Times New Roman" w:cs="Times New Roman"/>
          <w:b/>
          <w:sz w:val="22"/>
        </w:rPr>
        <w:t>Variación</w:t>
      </w:r>
      <w:r w:rsidRPr="005F705E">
        <w:rPr>
          <w:rFonts w:ascii="Times New Roman" w:hAnsi="Times New Roman" w:cs="Times New Roman"/>
          <w:b/>
          <w:sz w:val="22"/>
        </w:rPr>
        <w:t xml:space="preserve"> </w:t>
      </w:r>
      <w:r w:rsidR="00F252AD" w:rsidRPr="005F705E">
        <w:rPr>
          <w:rFonts w:ascii="Times New Roman" w:hAnsi="Times New Roman" w:cs="Times New Roman"/>
          <w:b/>
          <w:sz w:val="22"/>
        </w:rPr>
        <w:t>en la distribución de los hogares según posición económico-ocupacional del Principal Sostén del Hogar</w:t>
      </w:r>
      <w:r w:rsidRPr="005F705E">
        <w:rPr>
          <w:rFonts w:ascii="Times New Roman" w:hAnsi="Times New Roman" w:cs="Times New Roman"/>
          <w:b/>
          <w:sz w:val="22"/>
        </w:rPr>
        <w:t xml:space="preserve"> y significancia estadística del cambio. Total de Aglomerados urbanos. Argentina, 2003-2014.</w:t>
      </w:r>
    </w:p>
    <w:p w:rsidR="00B6352F" w:rsidRPr="005F705E" w:rsidRDefault="00B6352F" w:rsidP="00B6352F">
      <w:pPr>
        <w:pStyle w:val="Sinespaciado"/>
        <w:jc w:val="both"/>
        <w:rPr>
          <w:rFonts w:ascii="Times New Roman" w:hAnsi="Times New Roman" w:cs="Times New Roman"/>
          <w:sz w:val="18"/>
        </w:rPr>
      </w:pPr>
      <w:r w:rsidRPr="005F705E">
        <w:rPr>
          <w:rFonts w:ascii="Times New Roman" w:hAnsi="Times New Roman" w:cs="Times New Roman"/>
          <w:sz w:val="20"/>
        </w:rPr>
        <w:t>En puntos porcentuales.</w:t>
      </w:r>
    </w:p>
    <w:tbl>
      <w:tblPr>
        <w:tblW w:w="8460" w:type="dxa"/>
        <w:tblInd w:w="55" w:type="dxa"/>
        <w:tblCellMar>
          <w:left w:w="70" w:type="dxa"/>
          <w:right w:w="70" w:type="dxa"/>
        </w:tblCellMar>
        <w:tblLook w:val="04A0"/>
      </w:tblPr>
      <w:tblGrid>
        <w:gridCol w:w="4620"/>
        <w:gridCol w:w="640"/>
        <w:gridCol w:w="640"/>
        <w:gridCol w:w="640"/>
        <w:gridCol w:w="640"/>
        <w:gridCol w:w="640"/>
        <w:gridCol w:w="640"/>
      </w:tblGrid>
      <w:tr w:rsidR="00B6352F" w:rsidRPr="005F705E" w:rsidTr="00496470">
        <w:trPr>
          <w:trHeight w:val="465"/>
        </w:trPr>
        <w:tc>
          <w:tcPr>
            <w:tcW w:w="4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1280" w:type="dxa"/>
            <w:gridSpan w:val="2"/>
            <w:tcBorders>
              <w:top w:val="single" w:sz="4" w:space="0" w:color="auto"/>
              <w:left w:val="nil"/>
              <w:bottom w:val="single" w:sz="4" w:space="0" w:color="auto"/>
              <w:right w:val="single" w:sz="4" w:space="0" w:color="000000"/>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Var.</w:t>
            </w:r>
            <w:r w:rsidRPr="005F705E">
              <w:rPr>
                <w:rFonts w:ascii="Times New Roman" w:eastAsia="Times New Roman" w:hAnsi="Times New Roman" w:cs="Times New Roman"/>
                <w:b/>
                <w:bCs/>
                <w:color w:val="000000"/>
                <w:sz w:val="18"/>
                <w:szCs w:val="18"/>
                <w:lang w:eastAsia="es-AR"/>
              </w:rPr>
              <w:br/>
              <w:t>2007-2003</w:t>
            </w:r>
          </w:p>
        </w:tc>
        <w:tc>
          <w:tcPr>
            <w:tcW w:w="1280" w:type="dxa"/>
            <w:gridSpan w:val="2"/>
            <w:tcBorders>
              <w:top w:val="single" w:sz="4" w:space="0" w:color="auto"/>
              <w:left w:val="nil"/>
              <w:bottom w:val="single" w:sz="4" w:space="0" w:color="auto"/>
              <w:right w:val="single" w:sz="4" w:space="0" w:color="000000"/>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Var.</w:t>
            </w:r>
            <w:r w:rsidRPr="005F705E">
              <w:rPr>
                <w:rFonts w:ascii="Times New Roman" w:eastAsia="Times New Roman" w:hAnsi="Times New Roman" w:cs="Times New Roman"/>
                <w:b/>
                <w:bCs/>
                <w:color w:val="000000"/>
                <w:sz w:val="18"/>
                <w:szCs w:val="18"/>
                <w:lang w:eastAsia="es-AR"/>
              </w:rPr>
              <w:br/>
              <w:t>2014-2007</w:t>
            </w:r>
          </w:p>
        </w:tc>
        <w:tc>
          <w:tcPr>
            <w:tcW w:w="1280" w:type="dxa"/>
            <w:gridSpan w:val="2"/>
            <w:tcBorders>
              <w:top w:val="single" w:sz="4" w:space="0" w:color="auto"/>
              <w:left w:val="nil"/>
              <w:bottom w:val="single" w:sz="4" w:space="0" w:color="auto"/>
              <w:right w:val="single" w:sz="4" w:space="0" w:color="000000"/>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Var.</w:t>
            </w:r>
            <w:r w:rsidRPr="005F705E">
              <w:rPr>
                <w:rFonts w:ascii="Times New Roman" w:eastAsia="Times New Roman" w:hAnsi="Times New Roman" w:cs="Times New Roman"/>
                <w:b/>
                <w:bCs/>
                <w:color w:val="000000"/>
                <w:sz w:val="18"/>
                <w:szCs w:val="18"/>
                <w:lang w:eastAsia="es-AR"/>
              </w:rPr>
              <w:br/>
              <w:t>2014-2003</w:t>
            </w:r>
          </w:p>
        </w:tc>
      </w:tr>
      <w:tr w:rsidR="00B6352F" w:rsidRPr="005F705E" w:rsidTr="00496470">
        <w:trPr>
          <w:trHeight w:val="300"/>
        </w:trPr>
        <w:tc>
          <w:tcPr>
            <w:tcW w:w="4620" w:type="dxa"/>
            <w:tcBorders>
              <w:top w:val="nil"/>
              <w:left w:val="single" w:sz="4" w:space="0" w:color="auto"/>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p.p.</w:t>
            </w:r>
          </w:p>
        </w:tc>
        <w:tc>
          <w:tcPr>
            <w:tcW w:w="640" w:type="dxa"/>
            <w:tcBorders>
              <w:top w:val="nil"/>
              <w:left w:val="nil"/>
              <w:bottom w:val="single" w:sz="4" w:space="0" w:color="auto"/>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Sig.</w:t>
            </w:r>
          </w:p>
        </w:tc>
        <w:tc>
          <w:tcPr>
            <w:tcW w:w="640" w:type="dxa"/>
            <w:tcBorders>
              <w:top w:val="nil"/>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p.p.</w:t>
            </w:r>
          </w:p>
        </w:tc>
        <w:tc>
          <w:tcPr>
            <w:tcW w:w="640" w:type="dxa"/>
            <w:tcBorders>
              <w:top w:val="nil"/>
              <w:left w:val="nil"/>
              <w:bottom w:val="single" w:sz="4" w:space="0" w:color="auto"/>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Sig.</w:t>
            </w:r>
          </w:p>
        </w:tc>
        <w:tc>
          <w:tcPr>
            <w:tcW w:w="640" w:type="dxa"/>
            <w:tcBorders>
              <w:top w:val="nil"/>
              <w:left w:val="nil"/>
              <w:bottom w:val="single" w:sz="4" w:space="0" w:color="auto"/>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p.p.</w:t>
            </w:r>
          </w:p>
        </w:tc>
        <w:tc>
          <w:tcPr>
            <w:tcW w:w="640" w:type="dxa"/>
            <w:tcBorders>
              <w:top w:val="nil"/>
              <w:left w:val="nil"/>
              <w:bottom w:val="single" w:sz="4" w:space="0" w:color="auto"/>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Sig.</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2F2F2"/>
            <w:noWrap/>
            <w:vAlign w:val="bottom"/>
            <w:hideMark/>
          </w:tcPr>
          <w:p w:rsidR="00B6352F" w:rsidRPr="005F705E" w:rsidRDefault="00B6352F" w:rsidP="00EC02EA">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formal público y privado</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7,6</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1,4</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9,0</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single" w:sz="4" w:space="0" w:color="auto"/>
            </w:tcBorders>
            <w:shd w:val="clear" w:color="000000" w:fill="FFFFFF"/>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Empleadores, directivos y profesionales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0,4</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-0,8</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-0,4</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registrados del sector privado formal</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5,9</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2,0</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7,9</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precarios del sector privado formal</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0,3</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Empleados del sector público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2F2F2"/>
            <w:noWrap/>
            <w:vAlign w:val="bottom"/>
            <w:hideMark/>
          </w:tcPr>
          <w:p w:rsidR="00B6352F" w:rsidRPr="005F705E" w:rsidRDefault="00B6352F" w:rsidP="00EC02EA">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microempresario / informal</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-3,1</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-1,6</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c>
          <w:tcPr>
            <w:tcW w:w="640" w:type="dxa"/>
            <w:tcBorders>
              <w:top w:val="nil"/>
              <w:left w:val="nil"/>
              <w:bottom w:val="nil"/>
              <w:right w:val="nil"/>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-4,7</w:t>
            </w:r>
          </w:p>
        </w:tc>
        <w:tc>
          <w:tcPr>
            <w:tcW w:w="640" w:type="dxa"/>
            <w:tcBorders>
              <w:top w:val="nil"/>
              <w:left w:val="nil"/>
              <w:bottom w:val="nil"/>
              <w:right w:val="single" w:sz="4" w:space="0" w:color="auto"/>
            </w:tcBorders>
            <w:shd w:val="clear" w:color="000000" w:fill="F2F2F2"/>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Patrones microempresas y TCP calificados con capital</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0,8</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-0,3</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0,5</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TCP no calificados y/o sin capital propio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22"/>
                <w:lang w:eastAsia="es-AR"/>
              </w:rPr>
            </w:pPr>
            <w:r w:rsidRPr="005F705E">
              <w:rPr>
                <w:rFonts w:ascii="Times New Roman" w:eastAsia="Times New Roman" w:hAnsi="Times New Roman" w:cs="Times New Roman"/>
                <w:color w:val="000000"/>
                <w:sz w:val="22"/>
                <w:lang w:eastAsia="es-AR"/>
              </w:rPr>
              <w:t> </w:t>
            </w:r>
          </w:p>
        </w:tc>
        <w:tc>
          <w:tcPr>
            <w:tcW w:w="640" w:type="dxa"/>
            <w:tcBorders>
              <w:top w:val="nil"/>
              <w:left w:val="single" w:sz="4" w:space="0" w:color="auto"/>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-0,6</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del sector privado microempresario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-0,5</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22"/>
                <w:lang w:eastAsia="es-AR"/>
              </w:rPr>
            </w:pPr>
            <w:r w:rsidRPr="005F705E">
              <w:rPr>
                <w:rFonts w:ascii="Times New Roman" w:eastAsia="Times New Roman" w:hAnsi="Times New Roman" w:cs="Times New Roman"/>
                <w:color w:val="000000"/>
                <w:sz w:val="22"/>
                <w:lang w:eastAsia="es-AR"/>
              </w:rPr>
              <w:t> </w:t>
            </w:r>
          </w:p>
        </w:tc>
        <w:tc>
          <w:tcPr>
            <w:tcW w:w="640" w:type="dxa"/>
            <w:tcBorders>
              <w:top w:val="nil"/>
              <w:left w:val="single" w:sz="4" w:space="0" w:color="auto"/>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-0,6</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Servicio doméstico</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-0,5</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-0,2</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-0,7</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w:t>
            </w:r>
          </w:p>
        </w:tc>
      </w:tr>
      <w:tr w:rsidR="00B6352F" w:rsidRPr="005F705E" w:rsidTr="00496470">
        <w:trPr>
          <w:trHeight w:val="222"/>
        </w:trPr>
        <w:tc>
          <w:tcPr>
            <w:tcW w:w="4620" w:type="dxa"/>
            <w:tcBorders>
              <w:top w:val="nil"/>
              <w:left w:val="single" w:sz="4" w:space="0" w:color="auto"/>
              <w:bottom w:val="nil"/>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B6352F" w:rsidRPr="005F705E" w:rsidTr="00496470">
        <w:trPr>
          <w:trHeight w:val="222"/>
        </w:trPr>
        <w:tc>
          <w:tcPr>
            <w:tcW w:w="4620" w:type="dxa"/>
            <w:tcBorders>
              <w:top w:val="nil"/>
              <w:left w:val="single" w:sz="4" w:space="0" w:color="auto"/>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Beneficiarios de planes de empleo</w:t>
            </w:r>
          </w:p>
        </w:tc>
        <w:tc>
          <w:tcPr>
            <w:tcW w:w="640" w:type="dxa"/>
            <w:tcBorders>
              <w:top w:val="nil"/>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-4,5</w:t>
            </w:r>
          </w:p>
        </w:tc>
        <w:tc>
          <w:tcPr>
            <w:tcW w:w="640" w:type="dxa"/>
            <w:tcBorders>
              <w:top w:val="nil"/>
              <w:left w:val="nil"/>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c>
          <w:tcPr>
            <w:tcW w:w="640" w:type="dxa"/>
            <w:tcBorders>
              <w:top w:val="nil"/>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0,2</w:t>
            </w:r>
          </w:p>
        </w:tc>
        <w:tc>
          <w:tcPr>
            <w:tcW w:w="640" w:type="dxa"/>
            <w:tcBorders>
              <w:top w:val="nil"/>
              <w:left w:val="nil"/>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c>
          <w:tcPr>
            <w:tcW w:w="640" w:type="dxa"/>
            <w:tcBorders>
              <w:top w:val="nil"/>
              <w:left w:val="nil"/>
              <w:bottom w:val="single" w:sz="4" w:space="0" w:color="auto"/>
              <w:right w:val="nil"/>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-4,3</w:t>
            </w:r>
          </w:p>
        </w:tc>
        <w:tc>
          <w:tcPr>
            <w:tcW w:w="640" w:type="dxa"/>
            <w:tcBorders>
              <w:top w:val="nil"/>
              <w:left w:val="nil"/>
              <w:bottom w:val="single" w:sz="4" w:space="0" w:color="auto"/>
              <w:right w:val="single" w:sz="4" w:space="0" w:color="auto"/>
            </w:tcBorders>
            <w:shd w:val="clear" w:color="000000" w:fill="FFFFFF"/>
            <w:noWrap/>
            <w:vAlign w:val="bottom"/>
            <w:hideMark/>
          </w:tcPr>
          <w:p w:rsidR="00B6352F" w:rsidRPr="005F705E" w:rsidRDefault="00B6352F" w:rsidP="00EC02EA">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w:t>
            </w:r>
          </w:p>
        </w:tc>
      </w:tr>
    </w:tbl>
    <w:p w:rsidR="00B6352F" w:rsidRPr="005F705E" w:rsidRDefault="000713D8" w:rsidP="00B6352F">
      <w:pPr>
        <w:pStyle w:val="Sinespaciado"/>
        <w:jc w:val="both"/>
        <w:rPr>
          <w:rFonts w:ascii="Times New Roman" w:hAnsi="Times New Roman" w:cs="Times New Roman"/>
          <w:sz w:val="15"/>
          <w:szCs w:val="15"/>
          <w:lang w:val="en-US"/>
        </w:rPr>
      </w:pPr>
      <w:r w:rsidRPr="005F705E">
        <w:rPr>
          <w:rFonts w:ascii="Times New Roman" w:hAnsi="Times New Roman" w:cs="Times New Roman"/>
          <w:sz w:val="15"/>
          <w:szCs w:val="15"/>
          <w:lang w:val="en-US"/>
        </w:rPr>
        <w:t>Nota: ***p-value &lt; 0,0</w:t>
      </w:r>
      <w:r w:rsidR="00B6352F" w:rsidRPr="005F705E">
        <w:rPr>
          <w:rFonts w:ascii="Times New Roman" w:hAnsi="Times New Roman" w:cs="Times New Roman"/>
          <w:sz w:val="15"/>
          <w:szCs w:val="15"/>
          <w:lang w:val="en-US"/>
        </w:rPr>
        <w:t>1 / ** p-value &lt; 0,05 / * p-value &lt;0,1.</w:t>
      </w:r>
    </w:p>
    <w:p w:rsidR="00B6352F" w:rsidRPr="005F705E" w:rsidRDefault="00B6352F" w:rsidP="00B6352F">
      <w:pPr>
        <w:pStyle w:val="Sinespaciado"/>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Fuente: Elaboración propia en base a microdatos de la EPH-INDEC para los períodos indicados. Disponibles en: &lt;</w:t>
      </w:r>
      <w:r w:rsidRPr="005F705E">
        <w:rPr>
          <w:rFonts w:ascii="Times New Roman" w:hAnsi="Times New Roman" w:cs="Times New Roman"/>
          <w:sz w:val="15"/>
          <w:szCs w:val="15"/>
          <w:u w:val="single"/>
          <w:lang w:val="es-ES"/>
        </w:rPr>
        <w:t>www.indec.gov.ar</w:t>
      </w:r>
      <w:r w:rsidRPr="005F705E">
        <w:rPr>
          <w:rFonts w:ascii="Times New Roman" w:hAnsi="Times New Roman" w:cs="Times New Roman"/>
          <w:sz w:val="15"/>
          <w:szCs w:val="15"/>
          <w:lang w:val="es-ES"/>
        </w:rPr>
        <w:t>&gt;</w:t>
      </w:r>
    </w:p>
    <w:p w:rsidR="00CE4EC8" w:rsidRPr="005F705E" w:rsidRDefault="00CE4EC8" w:rsidP="000B38E0">
      <w:pPr>
        <w:pStyle w:val="Sinespaciado"/>
        <w:jc w:val="both"/>
        <w:rPr>
          <w:rFonts w:ascii="Times New Roman" w:hAnsi="Times New Roman" w:cs="Times New Roman"/>
          <w:i/>
          <w:u w:val="single"/>
          <w:lang w:val="es-ES"/>
        </w:rPr>
      </w:pPr>
    </w:p>
    <w:p w:rsidR="009354D8" w:rsidRPr="005F705E" w:rsidRDefault="000B38E0" w:rsidP="00F115BD">
      <w:pPr>
        <w:pStyle w:val="Sinespaciado"/>
        <w:jc w:val="both"/>
        <w:rPr>
          <w:rFonts w:ascii="Times New Roman" w:hAnsi="Times New Roman" w:cs="Times New Roman"/>
          <w:i/>
          <w:u w:val="single"/>
          <w:lang w:val="es-ES"/>
        </w:rPr>
      </w:pPr>
      <w:r w:rsidRPr="005F705E">
        <w:rPr>
          <w:rFonts w:ascii="Times New Roman" w:hAnsi="Times New Roman" w:cs="Times New Roman"/>
          <w:i/>
          <w:u w:val="single"/>
          <w:lang w:val="es-ES"/>
        </w:rPr>
        <w:t xml:space="preserve">b. </w:t>
      </w:r>
      <w:r w:rsidR="009354D8" w:rsidRPr="005F705E">
        <w:rPr>
          <w:rFonts w:ascii="Times New Roman" w:hAnsi="Times New Roman" w:cs="Times New Roman"/>
          <w:i/>
          <w:u w:val="single"/>
          <w:lang w:val="es-ES"/>
        </w:rPr>
        <w:t>Características de la inserción laboral de los ocupados secundarios de los hogares</w:t>
      </w:r>
    </w:p>
    <w:p w:rsidR="00E240B7" w:rsidRPr="005F705E" w:rsidRDefault="00E240B7" w:rsidP="00F115BD">
      <w:pPr>
        <w:pStyle w:val="Sinespaciado"/>
        <w:jc w:val="both"/>
        <w:rPr>
          <w:rFonts w:ascii="Times New Roman" w:hAnsi="Times New Roman" w:cs="Times New Roman"/>
          <w:iCs/>
        </w:rPr>
      </w:pPr>
    </w:p>
    <w:p w:rsidR="00E240B7" w:rsidRPr="005F705E" w:rsidRDefault="000B38E0" w:rsidP="009B79D3">
      <w:pPr>
        <w:pStyle w:val="Sinespaciado"/>
        <w:spacing w:line="480" w:lineRule="auto"/>
        <w:jc w:val="both"/>
        <w:rPr>
          <w:rFonts w:ascii="Times New Roman" w:hAnsi="Times New Roman" w:cs="Times New Roman"/>
        </w:rPr>
      </w:pPr>
      <w:r w:rsidRPr="005F705E">
        <w:rPr>
          <w:rFonts w:ascii="Times New Roman" w:hAnsi="Times New Roman" w:cs="Times New Roman"/>
          <w:iCs/>
        </w:rPr>
        <w:t>Desde una perspectiva centrada en las condiciones de reproducción de las unidades domésticas, resulta relevante conocer el papel jugado</w:t>
      </w:r>
      <w:r w:rsidR="00B6352F" w:rsidRPr="005F705E">
        <w:rPr>
          <w:rFonts w:ascii="Times New Roman" w:hAnsi="Times New Roman" w:cs="Times New Roman"/>
          <w:iCs/>
        </w:rPr>
        <w:t xml:space="preserve"> no sólo por el principal sostén del hogar, sino también </w:t>
      </w:r>
      <w:r w:rsidRPr="005F705E">
        <w:rPr>
          <w:rFonts w:ascii="Times New Roman" w:hAnsi="Times New Roman" w:cs="Times New Roman"/>
          <w:iCs/>
        </w:rPr>
        <w:t>por los ocupados secundarios de l</w:t>
      </w:r>
      <w:r w:rsidR="00B6352F" w:rsidRPr="005F705E">
        <w:rPr>
          <w:rFonts w:ascii="Times New Roman" w:hAnsi="Times New Roman" w:cs="Times New Roman"/>
          <w:iCs/>
        </w:rPr>
        <w:t>as unidades domésticas</w:t>
      </w:r>
      <w:r w:rsidRPr="005F705E">
        <w:rPr>
          <w:rFonts w:ascii="Times New Roman" w:hAnsi="Times New Roman" w:cs="Times New Roman"/>
          <w:iCs/>
        </w:rPr>
        <w:t>. Ello adquiere mayor relevancia en un contexto en el cual, como se analizó, sólo una parte de las familias disponían de un único proveedor de ingresos laborales</w:t>
      </w:r>
      <w:r w:rsidR="00B17E73" w:rsidRPr="005F705E">
        <w:rPr>
          <w:rFonts w:ascii="Times New Roman" w:hAnsi="Times New Roman" w:cs="Times New Roman"/>
          <w:lang w:val="es-ES"/>
        </w:rPr>
        <w:t xml:space="preserve">. </w:t>
      </w:r>
      <w:r w:rsidR="008A02BB" w:rsidRPr="005F705E">
        <w:rPr>
          <w:rFonts w:ascii="Times New Roman" w:hAnsi="Times New Roman" w:cs="Times New Roman"/>
          <w:lang w:val="es-ES"/>
        </w:rPr>
        <w:t xml:space="preserve">El propósito aquí es </w:t>
      </w:r>
      <w:r w:rsidR="005670FC" w:rsidRPr="005F705E">
        <w:rPr>
          <w:rFonts w:ascii="Times New Roman" w:hAnsi="Times New Roman" w:cs="Times New Roman"/>
          <w:lang w:val="es-ES"/>
        </w:rPr>
        <w:t>examinar</w:t>
      </w:r>
      <w:r w:rsidR="00CB6C41" w:rsidRPr="005F705E">
        <w:rPr>
          <w:rFonts w:ascii="Times New Roman" w:hAnsi="Times New Roman" w:cs="Times New Roman"/>
          <w:lang w:val="es-ES"/>
        </w:rPr>
        <w:t xml:space="preserve"> </w:t>
      </w:r>
      <w:r w:rsidR="005670FC" w:rsidRPr="005F705E">
        <w:rPr>
          <w:rFonts w:ascii="Times New Roman" w:hAnsi="Times New Roman" w:cs="Times New Roman"/>
          <w:lang w:val="es-ES"/>
        </w:rPr>
        <w:t xml:space="preserve">si </w:t>
      </w:r>
      <w:r w:rsidR="008E3ED8" w:rsidRPr="005F705E">
        <w:rPr>
          <w:rFonts w:ascii="Times New Roman" w:hAnsi="Times New Roman" w:cs="Times New Roman"/>
          <w:lang w:val="es-ES"/>
        </w:rPr>
        <w:t>la estructura</w:t>
      </w:r>
      <w:r w:rsidR="005670FC" w:rsidRPr="005F705E">
        <w:rPr>
          <w:rFonts w:ascii="Times New Roman" w:hAnsi="Times New Roman" w:cs="Times New Roman"/>
          <w:lang w:val="es-ES"/>
        </w:rPr>
        <w:t xml:space="preserve"> económico-ocupacional</w:t>
      </w:r>
      <w:r w:rsidR="008E3ED8" w:rsidRPr="005F705E">
        <w:rPr>
          <w:rFonts w:ascii="Times New Roman" w:hAnsi="Times New Roman" w:cs="Times New Roman"/>
          <w:lang w:val="es-ES"/>
        </w:rPr>
        <w:t xml:space="preserve"> segmentada anteriormente descripta reduce tal rasgo cuando se </w:t>
      </w:r>
      <w:r w:rsidR="005670FC" w:rsidRPr="005F705E">
        <w:rPr>
          <w:rFonts w:ascii="Times New Roman" w:hAnsi="Times New Roman" w:cs="Times New Roman"/>
          <w:lang w:val="es-ES"/>
        </w:rPr>
        <w:t>consideran</w:t>
      </w:r>
      <w:r w:rsidR="008E3ED8" w:rsidRPr="005F705E">
        <w:rPr>
          <w:rFonts w:ascii="Times New Roman" w:hAnsi="Times New Roman" w:cs="Times New Roman"/>
          <w:lang w:val="es-ES"/>
        </w:rPr>
        <w:t xml:space="preserve"> </w:t>
      </w:r>
      <w:r w:rsidR="005670FC" w:rsidRPr="005F705E">
        <w:rPr>
          <w:rFonts w:ascii="Times New Roman" w:hAnsi="Times New Roman" w:cs="Times New Roman"/>
          <w:lang w:val="es-ES"/>
        </w:rPr>
        <w:t xml:space="preserve">las </w:t>
      </w:r>
      <w:r w:rsidR="008E3ED8" w:rsidRPr="005F705E">
        <w:rPr>
          <w:rFonts w:ascii="Times New Roman" w:hAnsi="Times New Roman" w:cs="Times New Roman"/>
          <w:lang w:val="es-ES"/>
        </w:rPr>
        <w:t>otras ocupacion</w:t>
      </w:r>
      <w:r w:rsidR="00CE4EC8" w:rsidRPr="005F705E">
        <w:rPr>
          <w:rFonts w:ascii="Times New Roman" w:hAnsi="Times New Roman" w:cs="Times New Roman"/>
          <w:lang w:val="es-ES"/>
        </w:rPr>
        <w:t xml:space="preserve">es de </w:t>
      </w:r>
      <w:r w:rsidR="005670FC" w:rsidRPr="005F705E">
        <w:rPr>
          <w:rFonts w:ascii="Times New Roman" w:hAnsi="Times New Roman" w:cs="Times New Roman"/>
          <w:lang w:val="es-ES"/>
        </w:rPr>
        <w:t xml:space="preserve">las </w:t>
      </w:r>
      <w:r w:rsidR="00CE4EC8" w:rsidRPr="005F705E">
        <w:rPr>
          <w:rFonts w:ascii="Times New Roman" w:hAnsi="Times New Roman" w:cs="Times New Roman"/>
          <w:lang w:val="es-ES"/>
        </w:rPr>
        <w:t>que disponen los hogares</w:t>
      </w:r>
      <w:r w:rsidR="008A02BB" w:rsidRPr="005F705E">
        <w:rPr>
          <w:rFonts w:ascii="Times New Roman" w:hAnsi="Times New Roman" w:cs="Times New Roman"/>
          <w:lang w:val="es-ES"/>
        </w:rPr>
        <w:t xml:space="preserve">, de suerte que aun cuando el PSH pertenece al sector informal o tiene un empleo no registrado, </w:t>
      </w:r>
      <w:r w:rsidR="000E27E7" w:rsidRPr="005F705E">
        <w:rPr>
          <w:rFonts w:ascii="Times New Roman" w:hAnsi="Times New Roman" w:cs="Times New Roman"/>
          <w:lang w:val="es-ES"/>
        </w:rPr>
        <w:t>algún trabajador secundario</w:t>
      </w:r>
      <w:r w:rsidR="008A02BB" w:rsidRPr="005F705E">
        <w:rPr>
          <w:rFonts w:ascii="Times New Roman" w:hAnsi="Times New Roman" w:cs="Times New Roman"/>
          <w:lang w:val="es-ES"/>
        </w:rPr>
        <w:t xml:space="preserve"> del hogar accede a otro tipo de empleos. </w:t>
      </w:r>
      <w:r w:rsidR="009445E3" w:rsidRPr="005F705E">
        <w:rPr>
          <w:rFonts w:ascii="Times New Roman" w:hAnsi="Times New Roman" w:cs="Times New Roman"/>
          <w:lang w:val="es-ES"/>
        </w:rPr>
        <w:t>Adicionalmente,</w:t>
      </w:r>
      <w:r w:rsidR="007D47D5" w:rsidRPr="005F705E">
        <w:rPr>
          <w:rFonts w:ascii="Times New Roman" w:hAnsi="Times New Roman" w:cs="Times New Roman"/>
          <w:lang w:val="es-ES"/>
        </w:rPr>
        <w:t xml:space="preserve"> este análisis </w:t>
      </w:r>
      <w:r w:rsidR="003A0B64" w:rsidRPr="005F705E">
        <w:rPr>
          <w:rFonts w:ascii="Times New Roman" w:hAnsi="Times New Roman" w:cs="Times New Roman"/>
          <w:lang w:val="es-ES"/>
        </w:rPr>
        <w:t xml:space="preserve">permite </w:t>
      </w:r>
      <w:r w:rsidR="00E240B7" w:rsidRPr="005F705E">
        <w:rPr>
          <w:rFonts w:ascii="Times New Roman" w:hAnsi="Times New Roman" w:cs="Times New Roman"/>
          <w:lang w:val="es-ES"/>
        </w:rPr>
        <w:t xml:space="preserve">evaluar </w:t>
      </w:r>
      <w:r w:rsidR="00E240B7" w:rsidRPr="005F705E">
        <w:rPr>
          <w:rFonts w:ascii="Times New Roman" w:hAnsi="Times New Roman" w:cs="Times New Roman"/>
        </w:rPr>
        <w:t xml:space="preserve">la existencia de un núcleo de hogares que no consigue acceder a posiciones por fuera del sector microempresario o a </w:t>
      </w:r>
      <w:r w:rsidR="00E240B7" w:rsidRPr="005F705E">
        <w:rPr>
          <w:rFonts w:ascii="Times New Roman" w:hAnsi="Times New Roman" w:cs="Times New Roman"/>
        </w:rPr>
        <w:lastRenderedPageBreak/>
        <w:t>empleos no precarios, pese a la existencia de cambios significativos en el conjunto del sistema socio-ocupacional.</w:t>
      </w:r>
    </w:p>
    <w:p w:rsidR="001D23DF" w:rsidRPr="005F705E" w:rsidRDefault="001D23DF" w:rsidP="001D23DF">
      <w:pPr>
        <w:pStyle w:val="Sinespaciado"/>
        <w:jc w:val="both"/>
        <w:rPr>
          <w:rFonts w:ascii="Times New Roman" w:hAnsi="Times New Roman" w:cs="Times New Roman"/>
          <w:b/>
          <w:sz w:val="22"/>
        </w:rPr>
      </w:pPr>
      <w:r w:rsidRPr="005F705E">
        <w:rPr>
          <w:rFonts w:ascii="Times New Roman" w:hAnsi="Times New Roman" w:cs="Times New Roman"/>
          <w:b/>
          <w:sz w:val="22"/>
        </w:rPr>
        <w:t xml:space="preserve">Cuadro 5. </w:t>
      </w:r>
      <w:r w:rsidR="00F252AD" w:rsidRPr="005F705E">
        <w:rPr>
          <w:rFonts w:ascii="Times New Roman" w:hAnsi="Times New Roman" w:cs="Times New Roman"/>
          <w:b/>
          <w:sz w:val="22"/>
        </w:rPr>
        <w:t>Distribución de h</w:t>
      </w:r>
      <w:r w:rsidRPr="005F705E">
        <w:rPr>
          <w:rFonts w:ascii="Times New Roman" w:hAnsi="Times New Roman" w:cs="Times New Roman"/>
          <w:b/>
          <w:sz w:val="22"/>
        </w:rPr>
        <w:t>ogares con situaciones ocupacionales "mixtas"</w:t>
      </w:r>
      <w:r w:rsidRPr="005F705E">
        <w:rPr>
          <w:rFonts w:ascii="Times New Roman" w:hAnsi="Times New Roman" w:cs="Times New Roman"/>
          <w:b/>
          <w:sz w:val="22"/>
          <w:vertAlign w:val="superscript"/>
        </w:rPr>
        <w:t xml:space="preserve">(1) </w:t>
      </w:r>
      <w:r w:rsidRPr="005F705E">
        <w:rPr>
          <w:rFonts w:ascii="Times New Roman" w:hAnsi="Times New Roman" w:cs="Times New Roman"/>
          <w:b/>
          <w:sz w:val="22"/>
        </w:rPr>
        <w:t xml:space="preserve">según posición </w:t>
      </w:r>
      <w:r w:rsidR="00F252AD" w:rsidRPr="005F705E">
        <w:rPr>
          <w:rFonts w:ascii="Times New Roman" w:hAnsi="Times New Roman" w:cs="Times New Roman"/>
          <w:b/>
          <w:sz w:val="22"/>
        </w:rPr>
        <w:t xml:space="preserve">económico-ocupacional </w:t>
      </w:r>
      <w:r w:rsidRPr="005F705E">
        <w:rPr>
          <w:rFonts w:ascii="Times New Roman" w:hAnsi="Times New Roman" w:cs="Times New Roman"/>
          <w:b/>
          <w:sz w:val="22"/>
        </w:rPr>
        <w:t>del Principal Sostén del Hogar (PSH). Total de Aglomerados urbanos. Argentina, 2003-2014</w:t>
      </w:r>
    </w:p>
    <w:p w:rsidR="001D23DF" w:rsidRPr="005F705E" w:rsidRDefault="001D23DF" w:rsidP="001D23DF">
      <w:pPr>
        <w:pStyle w:val="Sinespaciado"/>
        <w:jc w:val="both"/>
        <w:rPr>
          <w:rFonts w:ascii="Times New Roman" w:hAnsi="Times New Roman" w:cs="Times New Roman"/>
          <w:sz w:val="20"/>
        </w:rPr>
      </w:pPr>
      <w:r w:rsidRPr="005F705E">
        <w:rPr>
          <w:rFonts w:ascii="Times New Roman" w:hAnsi="Times New Roman" w:cs="Times New Roman"/>
          <w:sz w:val="20"/>
        </w:rPr>
        <w:t xml:space="preserve">En porcentajes sobre el total de hogares de cada posición </w:t>
      </w:r>
      <w:r w:rsidR="00F252AD" w:rsidRPr="005F705E">
        <w:rPr>
          <w:rFonts w:ascii="Times New Roman" w:hAnsi="Times New Roman" w:cs="Times New Roman"/>
          <w:sz w:val="20"/>
        </w:rPr>
        <w:t>económico-ocupacional</w:t>
      </w:r>
      <w:r w:rsidRPr="005F705E">
        <w:rPr>
          <w:rFonts w:ascii="Times New Roman" w:hAnsi="Times New Roman" w:cs="Times New Roman"/>
          <w:sz w:val="20"/>
        </w:rPr>
        <w:t>.</w:t>
      </w:r>
    </w:p>
    <w:tbl>
      <w:tblPr>
        <w:tblW w:w="8516" w:type="dxa"/>
        <w:tblInd w:w="59" w:type="dxa"/>
        <w:tblCellMar>
          <w:left w:w="70" w:type="dxa"/>
          <w:right w:w="70" w:type="dxa"/>
        </w:tblCellMar>
        <w:tblLook w:val="04A0"/>
      </w:tblPr>
      <w:tblGrid>
        <w:gridCol w:w="4760"/>
        <w:gridCol w:w="640"/>
        <w:gridCol w:w="640"/>
        <w:gridCol w:w="640"/>
        <w:gridCol w:w="640"/>
        <w:gridCol w:w="640"/>
        <w:gridCol w:w="556"/>
      </w:tblGrid>
      <w:tr w:rsidR="001D23DF" w:rsidRPr="005F705E" w:rsidTr="004572F7">
        <w:trPr>
          <w:trHeight w:val="555"/>
        </w:trPr>
        <w:tc>
          <w:tcPr>
            <w:tcW w:w="4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2003</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2005</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2007</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2010</w:t>
            </w:r>
            <w:r w:rsidRPr="005F705E">
              <w:rPr>
                <w:rFonts w:ascii="Times New Roman" w:eastAsia="Times New Roman" w:hAnsi="Times New Roman" w:cs="Times New Roman"/>
                <w:b/>
                <w:bCs/>
                <w:color w:val="000000"/>
                <w:sz w:val="18"/>
                <w:szCs w:val="18"/>
                <w:lang w:eastAsia="es-AR"/>
              </w:rPr>
              <w:br/>
              <w:t>IV</w:t>
            </w:r>
          </w:p>
        </w:tc>
        <w:tc>
          <w:tcPr>
            <w:tcW w:w="64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2012</w:t>
            </w:r>
            <w:r w:rsidRPr="005F705E">
              <w:rPr>
                <w:rFonts w:ascii="Times New Roman" w:eastAsia="Times New Roman" w:hAnsi="Times New Roman" w:cs="Times New Roman"/>
                <w:b/>
                <w:bCs/>
                <w:color w:val="000000"/>
                <w:sz w:val="18"/>
                <w:szCs w:val="18"/>
                <w:lang w:eastAsia="es-AR"/>
              </w:rPr>
              <w:br/>
              <w:t>IV</w:t>
            </w:r>
          </w:p>
        </w:tc>
        <w:tc>
          <w:tcPr>
            <w:tcW w:w="556" w:type="dxa"/>
            <w:tcBorders>
              <w:top w:val="single" w:sz="4" w:space="0" w:color="auto"/>
              <w:left w:val="nil"/>
              <w:bottom w:val="single" w:sz="4" w:space="0" w:color="auto"/>
              <w:right w:val="single" w:sz="4" w:space="0" w:color="auto"/>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w:t>
            </w:r>
            <w:r w:rsidRPr="005F705E">
              <w:rPr>
                <w:rFonts w:ascii="Times New Roman" w:eastAsia="Times New Roman" w:hAnsi="Times New Roman" w:cs="Times New Roman"/>
                <w:b/>
                <w:bCs/>
                <w:color w:val="000000"/>
                <w:sz w:val="18"/>
                <w:szCs w:val="18"/>
                <w:lang w:eastAsia="es-AR"/>
              </w:rPr>
              <w:br/>
              <w:t>IV</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2F2F2"/>
            <w:noWrap/>
            <w:vAlign w:val="bottom"/>
            <w:hideMark/>
          </w:tcPr>
          <w:p w:rsidR="001D23DF" w:rsidRPr="005F705E" w:rsidRDefault="001D23DF" w:rsidP="004572F7">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formal público y privado</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24,1</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26,9</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26,5</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25,3</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23,8</w:t>
            </w:r>
          </w:p>
        </w:tc>
        <w:tc>
          <w:tcPr>
            <w:tcW w:w="556" w:type="dxa"/>
            <w:tcBorders>
              <w:top w:val="nil"/>
              <w:left w:val="nil"/>
              <w:bottom w:val="nil"/>
              <w:right w:val="single" w:sz="4" w:space="0" w:color="auto"/>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24,9</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4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556" w:type="dxa"/>
            <w:tcBorders>
              <w:top w:val="nil"/>
              <w:left w:val="nil"/>
              <w:bottom w:val="nil"/>
              <w:right w:val="single" w:sz="4" w:space="0" w:color="auto"/>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Empleadores, directivos y profesionales</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20,8</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25,3</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18,6</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22,2</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17,0</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24,3</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registrados del sector privado formal</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28,9</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32,2</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31,6</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28,3</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26,0</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28,3</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precarios del sector privado formal</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13,3</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12,1</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15,7</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16,8</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17,9</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15,5</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Empleados del sector público</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23,3</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26,9</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25,7</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23,8</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24,5</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22,9</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2F2F2"/>
            <w:noWrap/>
            <w:vAlign w:val="bottom"/>
            <w:hideMark/>
          </w:tcPr>
          <w:p w:rsidR="001D23DF" w:rsidRPr="005F705E" w:rsidRDefault="001D23DF" w:rsidP="004572F7">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microempresario / informal</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9,0</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10,3</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11,9</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12,6</w:t>
            </w:r>
          </w:p>
        </w:tc>
        <w:tc>
          <w:tcPr>
            <w:tcW w:w="64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12,7</w:t>
            </w:r>
          </w:p>
        </w:tc>
        <w:tc>
          <w:tcPr>
            <w:tcW w:w="556" w:type="dxa"/>
            <w:tcBorders>
              <w:top w:val="nil"/>
              <w:left w:val="nil"/>
              <w:bottom w:val="nil"/>
              <w:right w:val="single" w:sz="4" w:space="0" w:color="auto"/>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11,9</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Patrones microempresas y TCP calificados con capital</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19,5</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21,0</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23,9</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22,1</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20,4</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17,3</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TCP no calificados y/o sin capital propio</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8,3</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9,9</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11,4</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12,3</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11,6</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10,8</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del sector privado microempresario</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8,8</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10,2</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11,7</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12,1</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12,6</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14,3</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Servicio doméstico</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4,8</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3,1</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2,7</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5,3</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8,2</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4,7</w:t>
            </w:r>
          </w:p>
        </w:tc>
      </w:tr>
      <w:tr w:rsidR="001D23DF" w:rsidRPr="005F705E" w:rsidTr="004572F7">
        <w:trPr>
          <w:trHeight w:val="210"/>
        </w:trPr>
        <w:tc>
          <w:tcPr>
            <w:tcW w:w="476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10"/>
        </w:trPr>
        <w:tc>
          <w:tcPr>
            <w:tcW w:w="4760" w:type="dxa"/>
            <w:tcBorders>
              <w:top w:val="nil"/>
              <w:left w:val="single" w:sz="4" w:space="0" w:color="auto"/>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Beneficiarios de planes de empleo</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0,8</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12,5</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9,4</w:t>
            </w:r>
          </w:p>
        </w:tc>
        <w:tc>
          <w:tcPr>
            <w:tcW w:w="64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3,9</w:t>
            </w:r>
          </w:p>
        </w:tc>
        <w:tc>
          <w:tcPr>
            <w:tcW w:w="556"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7,5</w:t>
            </w:r>
          </w:p>
        </w:tc>
      </w:tr>
      <w:tr w:rsidR="001D23DF" w:rsidRPr="005F705E" w:rsidTr="004572F7">
        <w:trPr>
          <w:trHeight w:val="210"/>
        </w:trPr>
        <w:tc>
          <w:tcPr>
            <w:tcW w:w="4760" w:type="dxa"/>
            <w:tcBorders>
              <w:top w:val="nil"/>
              <w:left w:val="single" w:sz="4" w:space="0" w:color="auto"/>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Hogares con al menos un empleo formal</w:t>
            </w:r>
          </w:p>
        </w:tc>
        <w:tc>
          <w:tcPr>
            <w:tcW w:w="640" w:type="dxa"/>
            <w:tcBorders>
              <w:top w:val="single" w:sz="4" w:space="0" w:color="auto"/>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52,4</w:t>
            </w:r>
          </w:p>
        </w:tc>
        <w:tc>
          <w:tcPr>
            <w:tcW w:w="640" w:type="dxa"/>
            <w:tcBorders>
              <w:top w:val="single" w:sz="4" w:space="0" w:color="auto"/>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56,7</w:t>
            </w:r>
          </w:p>
        </w:tc>
        <w:tc>
          <w:tcPr>
            <w:tcW w:w="640" w:type="dxa"/>
            <w:tcBorders>
              <w:top w:val="single" w:sz="4" w:space="0" w:color="auto"/>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60,6</w:t>
            </w:r>
          </w:p>
        </w:tc>
        <w:tc>
          <w:tcPr>
            <w:tcW w:w="640" w:type="dxa"/>
            <w:tcBorders>
              <w:top w:val="single" w:sz="4" w:space="0" w:color="auto"/>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65,0</w:t>
            </w:r>
          </w:p>
        </w:tc>
        <w:tc>
          <w:tcPr>
            <w:tcW w:w="640" w:type="dxa"/>
            <w:tcBorders>
              <w:top w:val="single" w:sz="4" w:space="0" w:color="auto"/>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63,7</w:t>
            </w:r>
          </w:p>
        </w:tc>
        <w:tc>
          <w:tcPr>
            <w:tcW w:w="556" w:type="dxa"/>
            <w:tcBorders>
              <w:top w:val="single" w:sz="4" w:space="0" w:color="auto"/>
              <w:left w:val="nil"/>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63,1</w:t>
            </w:r>
          </w:p>
        </w:tc>
      </w:tr>
      <w:tr w:rsidR="001D23DF" w:rsidRPr="005F705E" w:rsidTr="004572F7">
        <w:trPr>
          <w:trHeight w:val="210"/>
        </w:trPr>
        <w:tc>
          <w:tcPr>
            <w:tcW w:w="4760" w:type="dxa"/>
            <w:tcBorders>
              <w:top w:val="nil"/>
              <w:left w:val="single" w:sz="4" w:space="0" w:color="auto"/>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Hogares sin ningún empleo formal</w:t>
            </w:r>
          </w:p>
        </w:tc>
        <w:tc>
          <w:tcPr>
            <w:tcW w:w="64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47,6</w:t>
            </w:r>
          </w:p>
        </w:tc>
        <w:tc>
          <w:tcPr>
            <w:tcW w:w="64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43,3</w:t>
            </w:r>
          </w:p>
        </w:tc>
        <w:tc>
          <w:tcPr>
            <w:tcW w:w="64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39,4</w:t>
            </w:r>
          </w:p>
        </w:tc>
        <w:tc>
          <w:tcPr>
            <w:tcW w:w="64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35,0</w:t>
            </w:r>
          </w:p>
        </w:tc>
        <w:tc>
          <w:tcPr>
            <w:tcW w:w="64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36,3</w:t>
            </w:r>
          </w:p>
        </w:tc>
        <w:tc>
          <w:tcPr>
            <w:tcW w:w="556" w:type="dxa"/>
            <w:tcBorders>
              <w:top w:val="nil"/>
              <w:left w:val="nil"/>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36,9</w:t>
            </w:r>
          </w:p>
        </w:tc>
      </w:tr>
    </w:tbl>
    <w:p w:rsidR="001D23DF" w:rsidRPr="005F705E" w:rsidRDefault="001D23DF" w:rsidP="001D23DF">
      <w:pPr>
        <w:pStyle w:val="Sinespaciado"/>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 xml:space="preserve">Nota: (1) Para hogares cuyo PSH era empleador, asalariado registrado del sector privado formal o empleado del sector público, se </w:t>
      </w:r>
      <w:r w:rsidR="00F252AD" w:rsidRPr="005F705E">
        <w:rPr>
          <w:rFonts w:ascii="Times New Roman" w:hAnsi="Times New Roman" w:cs="Times New Roman"/>
          <w:sz w:val="15"/>
          <w:szCs w:val="15"/>
          <w:lang w:val="es-ES"/>
        </w:rPr>
        <w:t>presenta</w:t>
      </w:r>
      <w:r w:rsidRPr="005F705E">
        <w:rPr>
          <w:rFonts w:ascii="Times New Roman" w:hAnsi="Times New Roman" w:cs="Times New Roman"/>
          <w:sz w:val="15"/>
          <w:szCs w:val="15"/>
          <w:lang w:val="es-ES"/>
        </w:rPr>
        <w:t xml:space="preserve"> </w:t>
      </w:r>
      <w:r w:rsidR="00F252AD" w:rsidRPr="005F705E">
        <w:rPr>
          <w:rFonts w:ascii="Times New Roman" w:hAnsi="Times New Roman" w:cs="Times New Roman"/>
          <w:sz w:val="15"/>
          <w:szCs w:val="15"/>
          <w:lang w:val="es-ES"/>
        </w:rPr>
        <w:t>el porcentaje</w:t>
      </w:r>
      <w:r w:rsidRPr="005F705E">
        <w:rPr>
          <w:rFonts w:ascii="Times New Roman" w:hAnsi="Times New Roman" w:cs="Times New Roman"/>
          <w:sz w:val="15"/>
          <w:szCs w:val="15"/>
          <w:lang w:val="es-ES"/>
        </w:rPr>
        <w:t xml:space="preserve"> de hogares que tenían acceso -a través de un ocupado secundario- a empleos en el sector informal o en condiciones de precariedad. Para hogares cuyo PSH pertenecía al sector informal, era asalariado precario o beneficiario de un programa de empleo, se </w:t>
      </w:r>
      <w:r w:rsidR="00F252AD" w:rsidRPr="005F705E">
        <w:rPr>
          <w:rFonts w:ascii="Times New Roman" w:hAnsi="Times New Roman" w:cs="Times New Roman"/>
          <w:sz w:val="15"/>
          <w:szCs w:val="15"/>
          <w:lang w:val="es-ES"/>
        </w:rPr>
        <w:t>presenta el porcentaje</w:t>
      </w:r>
      <w:r w:rsidRPr="005F705E">
        <w:rPr>
          <w:rFonts w:ascii="Times New Roman" w:hAnsi="Times New Roman" w:cs="Times New Roman"/>
          <w:sz w:val="15"/>
          <w:szCs w:val="15"/>
          <w:lang w:val="es-ES"/>
        </w:rPr>
        <w:t xml:space="preserve"> de hogares que tenían acceso -a través de un ocupado secundario- a empleos como empleadores o asalariados registrados del sector formal, o empleados del sector público.</w:t>
      </w:r>
      <w:r w:rsidRPr="005F705E">
        <w:rPr>
          <w:rFonts w:ascii="Times New Roman" w:hAnsi="Times New Roman" w:cs="Times New Roman"/>
          <w:sz w:val="15"/>
          <w:szCs w:val="15"/>
          <w:lang w:val="es-ES"/>
        </w:rPr>
        <w:tab/>
      </w:r>
    </w:p>
    <w:p w:rsidR="001D23DF" w:rsidRPr="005F705E" w:rsidRDefault="001D23DF" w:rsidP="001D23DF">
      <w:pPr>
        <w:pStyle w:val="Sinespaciado"/>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Fuente: Elaboración propia en base a microdatos de la EPH-INDEC para los períodos indicados. Disponibles en: &lt;</w:t>
      </w:r>
      <w:r w:rsidRPr="005F705E">
        <w:rPr>
          <w:rFonts w:ascii="Times New Roman" w:hAnsi="Times New Roman" w:cs="Times New Roman"/>
          <w:sz w:val="15"/>
          <w:szCs w:val="15"/>
          <w:u w:val="single"/>
          <w:lang w:val="es-ES"/>
        </w:rPr>
        <w:t>www.indec.gov.ar</w:t>
      </w:r>
      <w:r w:rsidRPr="005F705E">
        <w:rPr>
          <w:rFonts w:ascii="Times New Roman" w:hAnsi="Times New Roman" w:cs="Times New Roman"/>
          <w:sz w:val="15"/>
          <w:szCs w:val="15"/>
          <w:lang w:val="es-ES"/>
        </w:rPr>
        <w:t>&gt;</w:t>
      </w:r>
    </w:p>
    <w:p w:rsidR="001D23DF" w:rsidRPr="005F705E" w:rsidRDefault="001D23DF" w:rsidP="009B79D3">
      <w:pPr>
        <w:pStyle w:val="Sinespaciado"/>
        <w:spacing w:line="480" w:lineRule="auto"/>
        <w:jc w:val="both"/>
        <w:rPr>
          <w:rFonts w:ascii="Times New Roman" w:hAnsi="Times New Roman" w:cs="Times New Roman"/>
          <w:lang w:val="es-ES"/>
        </w:rPr>
      </w:pPr>
    </w:p>
    <w:p w:rsidR="003F0EAE" w:rsidRPr="005F705E" w:rsidRDefault="008A0794"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El Cuadro 5 </w:t>
      </w:r>
      <w:r w:rsidR="009445E3" w:rsidRPr="005F705E">
        <w:rPr>
          <w:rFonts w:ascii="Times New Roman" w:hAnsi="Times New Roman" w:cs="Times New Roman"/>
          <w:lang w:val="es-ES"/>
        </w:rPr>
        <w:t>informa sobre</w:t>
      </w:r>
      <w:r w:rsidRPr="005F705E">
        <w:rPr>
          <w:rFonts w:ascii="Times New Roman" w:hAnsi="Times New Roman" w:cs="Times New Roman"/>
          <w:lang w:val="es-ES"/>
        </w:rPr>
        <w:t xml:space="preserve"> </w:t>
      </w:r>
      <w:r w:rsidR="009445E3" w:rsidRPr="005F705E">
        <w:rPr>
          <w:rFonts w:ascii="Times New Roman" w:hAnsi="Times New Roman" w:cs="Times New Roman"/>
          <w:lang w:val="es-ES"/>
        </w:rPr>
        <w:t>la existencia de situaciones ocupacionales mixtas en los hogares al considerar la inserción de los ocupados secundarios. Es posible señalar un conjunto de comportamientos a partir de estos resultados. En primer término, se advierte que entre los hogares cuyo PSH pertenecía al sector formal era más frecuente la ex</w:t>
      </w:r>
      <w:r w:rsidR="00496470" w:rsidRPr="005F705E">
        <w:rPr>
          <w:rFonts w:ascii="Times New Roman" w:hAnsi="Times New Roman" w:cs="Times New Roman"/>
          <w:lang w:val="es-ES"/>
        </w:rPr>
        <w:t xml:space="preserve">istencia de situaciones mixtas </w:t>
      </w:r>
      <w:r w:rsidR="009445E3" w:rsidRPr="005F705E">
        <w:rPr>
          <w:rFonts w:ascii="Times New Roman" w:hAnsi="Times New Roman" w:cs="Times New Roman"/>
          <w:lang w:val="es-ES"/>
        </w:rPr>
        <w:t xml:space="preserve">que </w:t>
      </w:r>
      <w:r w:rsidR="00496470" w:rsidRPr="005F705E">
        <w:rPr>
          <w:rFonts w:ascii="Times New Roman" w:hAnsi="Times New Roman" w:cs="Times New Roman"/>
          <w:lang w:val="es-ES"/>
        </w:rPr>
        <w:t>entre los hogares cuyo</w:t>
      </w:r>
      <w:r w:rsidR="009445E3" w:rsidRPr="005F705E">
        <w:rPr>
          <w:rFonts w:ascii="Times New Roman" w:hAnsi="Times New Roman" w:cs="Times New Roman"/>
          <w:lang w:val="es-ES"/>
        </w:rPr>
        <w:t xml:space="preserve"> PSH pertenecía al sector microempresario. En segundo lugar, interesa examinar los cambios en </w:t>
      </w:r>
      <w:r w:rsidRPr="005F705E">
        <w:rPr>
          <w:rFonts w:ascii="Times New Roman" w:hAnsi="Times New Roman" w:cs="Times New Roman"/>
          <w:lang w:val="es-ES"/>
        </w:rPr>
        <w:t xml:space="preserve">las oportunidades de acceso a </w:t>
      </w:r>
      <w:r w:rsidR="009445E3" w:rsidRPr="005F705E">
        <w:rPr>
          <w:rFonts w:ascii="Times New Roman" w:hAnsi="Times New Roman" w:cs="Times New Roman"/>
          <w:lang w:val="es-ES"/>
        </w:rPr>
        <w:t xml:space="preserve">al menos </w:t>
      </w:r>
      <w:r w:rsidRPr="005F705E">
        <w:rPr>
          <w:rFonts w:ascii="Times New Roman" w:hAnsi="Times New Roman" w:cs="Times New Roman"/>
          <w:lang w:val="es-ES"/>
        </w:rPr>
        <w:t>un empleo formal</w:t>
      </w:r>
      <w:r w:rsidR="007D47D5" w:rsidRPr="005F705E">
        <w:rPr>
          <w:rStyle w:val="Refdenotaalpie"/>
          <w:rFonts w:ascii="Times New Roman" w:hAnsi="Times New Roman" w:cs="Times New Roman"/>
          <w:lang w:val="es-ES"/>
        </w:rPr>
        <w:footnoteReference w:id="14"/>
      </w:r>
      <w:r w:rsidRPr="005F705E">
        <w:rPr>
          <w:rFonts w:ascii="Times New Roman" w:hAnsi="Times New Roman" w:cs="Times New Roman"/>
          <w:lang w:val="es-ES"/>
        </w:rPr>
        <w:t xml:space="preserve"> entre los hogares de la Argentina urbana durante el período post-reformas. Entre 2003 y 2007 tuvo lugar un aumento de la proporción de hogares que accedían a al menos un empleo </w:t>
      </w:r>
      <w:r w:rsidR="007D47D5" w:rsidRPr="005F705E">
        <w:rPr>
          <w:rFonts w:ascii="Times New Roman" w:hAnsi="Times New Roman" w:cs="Times New Roman"/>
          <w:lang w:val="es-ES"/>
        </w:rPr>
        <w:t xml:space="preserve">de este tipo </w:t>
      </w:r>
      <w:r w:rsidRPr="005F705E">
        <w:rPr>
          <w:rFonts w:ascii="Times New Roman" w:hAnsi="Times New Roman" w:cs="Times New Roman"/>
          <w:lang w:val="es-ES"/>
        </w:rPr>
        <w:t>por medio de su</w:t>
      </w:r>
      <w:r w:rsidR="007D47D5" w:rsidRPr="005F705E">
        <w:rPr>
          <w:rFonts w:ascii="Times New Roman" w:hAnsi="Times New Roman" w:cs="Times New Roman"/>
          <w:lang w:val="es-ES"/>
        </w:rPr>
        <w:t xml:space="preserve">s </w:t>
      </w:r>
      <w:r w:rsidR="007D47D5" w:rsidRPr="005F705E">
        <w:rPr>
          <w:rFonts w:ascii="Times New Roman" w:hAnsi="Times New Roman" w:cs="Times New Roman"/>
          <w:lang w:val="es-ES"/>
        </w:rPr>
        <w:lastRenderedPageBreak/>
        <w:t>miembros ocupados</w:t>
      </w:r>
      <w:r w:rsidRPr="005F705E">
        <w:rPr>
          <w:rFonts w:ascii="Times New Roman" w:hAnsi="Times New Roman" w:cs="Times New Roman"/>
          <w:lang w:val="es-ES"/>
        </w:rPr>
        <w:t xml:space="preserve">. </w:t>
      </w:r>
      <w:r w:rsidR="007D47D5" w:rsidRPr="005F705E">
        <w:rPr>
          <w:rFonts w:ascii="Times New Roman" w:hAnsi="Times New Roman" w:cs="Times New Roman"/>
          <w:lang w:val="es-ES"/>
        </w:rPr>
        <w:t>En cambio, e</w:t>
      </w:r>
      <w:r w:rsidRPr="005F705E">
        <w:rPr>
          <w:rFonts w:ascii="Times New Roman" w:hAnsi="Times New Roman" w:cs="Times New Roman"/>
          <w:lang w:val="es-ES"/>
        </w:rPr>
        <w:t>ntre 2007 y 2014, el ritm</w:t>
      </w:r>
      <w:r w:rsidR="007D47D5" w:rsidRPr="005F705E">
        <w:rPr>
          <w:rFonts w:ascii="Times New Roman" w:hAnsi="Times New Roman" w:cs="Times New Roman"/>
          <w:lang w:val="es-ES"/>
        </w:rPr>
        <w:t>o de incremento fue más lento y –</w:t>
      </w:r>
      <w:r w:rsidRPr="005F705E">
        <w:rPr>
          <w:rFonts w:ascii="Times New Roman" w:hAnsi="Times New Roman" w:cs="Times New Roman"/>
          <w:lang w:val="es-ES"/>
        </w:rPr>
        <w:t>con</w:t>
      </w:r>
      <w:r w:rsidR="007D47D5" w:rsidRPr="005F705E">
        <w:rPr>
          <w:rFonts w:ascii="Times New Roman" w:hAnsi="Times New Roman" w:cs="Times New Roman"/>
          <w:lang w:val="es-ES"/>
        </w:rPr>
        <w:t xml:space="preserve"> </w:t>
      </w:r>
      <w:r w:rsidRPr="005F705E">
        <w:rPr>
          <w:rFonts w:ascii="Times New Roman" w:hAnsi="Times New Roman" w:cs="Times New Roman"/>
          <w:lang w:val="es-ES"/>
        </w:rPr>
        <w:t>la excepción de lo ocurrido entre los hogares cuyo PSH era asalariado del sector microempresario o empleado del servicio doméstico</w:t>
      </w:r>
      <w:r w:rsidR="007D47D5" w:rsidRPr="005F705E">
        <w:rPr>
          <w:rFonts w:ascii="Times New Roman" w:hAnsi="Times New Roman" w:cs="Times New Roman"/>
          <w:lang w:val="es-ES"/>
        </w:rPr>
        <w:t>–</w:t>
      </w:r>
      <w:r w:rsidRPr="005F705E">
        <w:rPr>
          <w:rFonts w:ascii="Times New Roman" w:hAnsi="Times New Roman" w:cs="Times New Roman"/>
          <w:lang w:val="es-ES"/>
        </w:rPr>
        <w:t xml:space="preserve"> aquellos hogares que participaban del sector microempresario vieron reducirse su capacidad de acceder a este tipo de empleos. </w:t>
      </w:r>
    </w:p>
    <w:p w:rsidR="008A0794" w:rsidRPr="005F705E" w:rsidRDefault="009445E3"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Más allá de los cambios durante el período, e</w:t>
      </w:r>
      <w:r w:rsidR="008A0794" w:rsidRPr="005F705E">
        <w:rPr>
          <w:rFonts w:ascii="Times New Roman" w:hAnsi="Times New Roman" w:cs="Times New Roman"/>
          <w:lang w:val="es-ES"/>
        </w:rPr>
        <w:t xml:space="preserve">n aquellos hogares cuyo PSH pertenecía al sector microempresario o era trabajador precario, las chances de disponer de un empleo formal </w:t>
      </w:r>
      <w:r w:rsidRPr="005F705E">
        <w:rPr>
          <w:rFonts w:ascii="Times New Roman" w:hAnsi="Times New Roman" w:cs="Times New Roman"/>
          <w:lang w:val="es-ES"/>
        </w:rPr>
        <w:t xml:space="preserve">por medio de un ocupado secundario </w:t>
      </w:r>
      <w:r w:rsidR="008A0794" w:rsidRPr="005F705E">
        <w:rPr>
          <w:rFonts w:ascii="Times New Roman" w:hAnsi="Times New Roman" w:cs="Times New Roman"/>
          <w:lang w:val="es-ES"/>
        </w:rPr>
        <w:t xml:space="preserve">fueron sensiblemente inferiores que entre los hogares cuyo PSH era empleador o asalariado registrado del sector público o privado. </w:t>
      </w:r>
      <w:r w:rsidR="003F0EAE" w:rsidRPr="005F705E">
        <w:rPr>
          <w:rFonts w:ascii="Times New Roman" w:hAnsi="Times New Roman" w:cs="Times New Roman"/>
          <w:lang w:val="es-ES"/>
        </w:rPr>
        <w:t>Finalmente</w:t>
      </w:r>
      <w:r w:rsidR="008A0794" w:rsidRPr="005F705E">
        <w:rPr>
          <w:rFonts w:ascii="Times New Roman" w:hAnsi="Times New Roman" w:cs="Times New Roman"/>
          <w:lang w:val="es-ES"/>
        </w:rPr>
        <w:t>,</w:t>
      </w:r>
      <w:r w:rsidR="001B2AA0" w:rsidRPr="005F705E">
        <w:rPr>
          <w:rFonts w:ascii="Times New Roman" w:hAnsi="Times New Roman" w:cs="Times New Roman"/>
          <w:lang w:val="es-ES"/>
        </w:rPr>
        <w:t xml:space="preserve"> </w:t>
      </w:r>
      <w:r w:rsidR="003F0EAE" w:rsidRPr="005F705E">
        <w:rPr>
          <w:rFonts w:ascii="Times New Roman" w:hAnsi="Times New Roman" w:cs="Times New Roman"/>
          <w:lang w:val="es-ES"/>
        </w:rPr>
        <w:t xml:space="preserve">cabe consignar que </w:t>
      </w:r>
      <w:r w:rsidR="001B2AA0" w:rsidRPr="005F705E">
        <w:rPr>
          <w:rFonts w:ascii="Times New Roman" w:hAnsi="Times New Roman" w:cs="Times New Roman"/>
          <w:lang w:val="es-ES"/>
        </w:rPr>
        <w:t xml:space="preserve">si bien durante el ciclo post-reformas tuvo lugar una reducción de la proporción de hogares que no accedían a </w:t>
      </w:r>
      <w:r w:rsidR="003F0EAE" w:rsidRPr="005F705E">
        <w:rPr>
          <w:rFonts w:ascii="Times New Roman" w:hAnsi="Times New Roman" w:cs="Times New Roman"/>
          <w:lang w:val="es-ES"/>
        </w:rPr>
        <w:t>una ocupación por fuera del sector microempresario o en condiciones de precariedad</w:t>
      </w:r>
      <w:r w:rsidR="001B2AA0" w:rsidRPr="005F705E">
        <w:rPr>
          <w:rFonts w:ascii="Times New Roman" w:hAnsi="Times New Roman" w:cs="Times New Roman"/>
          <w:lang w:val="es-ES"/>
        </w:rPr>
        <w:t xml:space="preserve">, al término del período </w:t>
      </w:r>
      <w:r w:rsidR="007D47D5" w:rsidRPr="005F705E">
        <w:rPr>
          <w:rFonts w:ascii="Times New Roman" w:hAnsi="Times New Roman" w:cs="Times New Roman"/>
          <w:lang w:val="es-ES"/>
        </w:rPr>
        <w:t xml:space="preserve">36,9% </w:t>
      </w:r>
      <w:r w:rsidR="003F0EAE" w:rsidRPr="005F705E">
        <w:rPr>
          <w:rFonts w:ascii="Times New Roman" w:hAnsi="Times New Roman" w:cs="Times New Roman"/>
          <w:lang w:val="es-ES"/>
        </w:rPr>
        <w:t>se encontraba en dicha situación</w:t>
      </w:r>
      <w:r w:rsidR="001B2AA0" w:rsidRPr="005F705E">
        <w:rPr>
          <w:rFonts w:ascii="Times New Roman" w:hAnsi="Times New Roman" w:cs="Times New Roman"/>
          <w:lang w:val="es-ES"/>
        </w:rPr>
        <w:t xml:space="preserve">. </w:t>
      </w:r>
      <w:r w:rsidR="003F0EAE" w:rsidRPr="005F705E">
        <w:rPr>
          <w:rFonts w:ascii="Times New Roman" w:hAnsi="Times New Roman" w:cs="Times New Roman"/>
          <w:lang w:val="es-ES"/>
        </w:rPr>
        <w:t xml:space="preserve">Estos resultados </w:t>
      </w:r>
      <w:r w:rsidR="00496470" w:rsidRPr="005F705E">
        <w:rPr>
          <w:rFonts w:ascii="Times New Roman" w:hAnsi="Times New Roman" w:cs="Times New Roman"/>
          <w:lang w:val="es-ES"/>
        </w:rPr>
        <w:t>indican</w:t>
      </w:r>
      <w:r w:rsidR="003F0EAE" w:rsidRPr="005F705E">
        <w:rPr>
          <w:rFonts w:ascii="Times New Roman" w:hAnsi="Times New Roman" w:cs="Times New Roman"/>
          <w:lang w:val="es-ES"/>
        </w:rPr>
        <w:t xml:space="preserve"> que, si los hogares que participaban en el sector microempresario o tenían un PSH precario desplegaron estrategias para mantenerse entre la formalidad y la informalidad, tales comportamientos no parecen haber sido exitosos para un amplio conjunto de unidades domésticas (si bien una parte de ellos logró acceder a ambos tipos de posiciones ocupacionales).</w:t>
      </w:r>
    </w:p>
    <w:p w:rsidR="00242A14" w:rsidRPr="005F705E" w:rsidRDefault="00F7008C"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Ahora bien, </w:t>
      </w:r>
      <w:r w:rsidR="000D0A06" w:rsidRPr="005F705E">
        <w:rPr>
          <w:rFonts w:ascii="Times New Roman" w:hAnsi="Times New Roman" w:cs="Times New Roman"/>
          <w:lang w:val="es-ES"/>
        </w:rPr>
        <w:t>¿</w:t>
      </w:r>
      <w:r w:rsidRPr="005F705E">
        <w:rPr>
          <w:rFonts w:ascii="Times New Roman" w:hAnsi="Times New Roman" w:cs="Times New Roman"/>
          <w:lang w:val="es-ES"/>
        </w:rPr>
        <w:t>e</w:t>
      </w:r>
      <w:r w:rsidR="005670FC" w:rsidRPr="005F705E">
        <w:rPr>
          <w:rFonts w:ascii="Times New Roman" w:hAnsi="Times New Roman" w:cs="Times New Roman"/>
          <w:lang w:val="es-ES"/>
        </w:rPr>
        <w:t xml:space="preserve">n qué medida la desigualdad de acceso a empleos formales o registrados se </w:t>
      </w:r>
      <w:r w:rsidR="00496470" w:rsidRPr="005F705E">
        <w:rPr>
          <w:rFonts w:ascii="Times New Roman" w:hAnsi="Times New Roman" w:cs="Times New Roman"/>
          <w:lang w:val="es-ES"/>
        </w:rPr>
        <w:t>encuentra influida</w:t>
      </w:r>
      <w:r w:rsidR="005670FC" w:rsidRPr="005F705E">
        <w:rPr>
          <w:rFonts w:ascii="Times New Roman" w:hAnsi="Times New Roman" w:cs="Times New Roman"/>
          <w:lang w:val="es-ES"/>
        </w:rPr>
        <w:t xml:space="preserve"> </w:t>
      </w:r>
      <w:r w:rsidR="00496470" w:rsidRPr="005F705E">
        <w:rPr>
          <w:rFonts w:ascii="Times New Roman" w:hAnsi="Times New Roman" w:cs="Times New Roman"/>
          <w:lang w:val="es-ES"/>
        </w:rPr>
        <w:t>por</w:t>
      </w:r>
      <w:r w:rsidR="005670FC" w:rsidRPr="005F705E">
        <w:rPr>
          <w:rFonts w:ascii="Times New Roman" w:hAnsi="Times New Roman" w:cs="Times New Roman"/>
          <w:lang w:val="es-ES"/>
        </w:rPr>
        <w:t xml:space="preserve"> la posición laboral del PSH</w:t>
      </w:r>
      <w:r w:rsidR="000D0A06" w:rsidRPr="005F705E">
        <w:rPr>
          <w:rFonts w:ascii="Times New Roman" w:hAnsi="Times New Roman" w:cs="Times New Roman"/>
          <w:lang w:val="es-ES"/>
        </w:rPr>
        <w:t xml:space="preserve">–como aproximación de la posición del hogar–? </w:t>
      </w:r>
      <w:r w:rsidR="005844FC" w:rsidRPr="005F705E">
        <w:rPr>
          <w:rFonts w:ascii="Times New Roman" w:hAnsi="Times New Roman" w:cs="Times New Roman"/>
          <w:lang w:val="es-ES"/>
        </w:rPr>
        <w:t>P</w:t>
      </w:r>
      <w:r w:rsidR="005670FC" w:rsidRPr="005F705E">
        <w:rPr>
          <w:rFonts w:ascii="Times New Roman" w:hAnsi="Times New Roman" w:cs="Times New Roman"/>
          <w:lang w:val="es-ES"/>
        </w:rPr>
        <w:t xml:space="preserve">odría ocurrir que los resultados anteriores se originaran en una desigual distribución de características individuales y que ello explicara el acceso a distintos tipos de empleos. </w:t>
      </w:r>
      <w:r w:rsidR="004217B4" w:rsidRPr="005F705E">
        <w:rPr>
          <w:rFonts w:ascii="Times New Roman" w:hAnsi="Times New Roman" w:cs="Times New Roman"/>
          <w:lang w:val="es-ES"/>
        </w:rPr>
        <w:t xml:space="preserve">Para responder a este interrogante </w:t>
      </w:r>
      <w:r w:rsidR="005670FC" w:rsidRPr="005F705E">
        <w:rPr>
          <w:rFonts w:ascii="Times New Roman" w:hAnsi="Times New Roman" w:cs="Times New Roman"/>
          <w:lang w:val="es-ES"/>
        </w:rPr>
        <w:t xml:space="preserve">se </w:t>
      </w:r>
      <w:r w:rsidRPr="005F705E">
        <w:rPr>
          <w:rFonts w:ascii="Times New Roman" w:hAnsi="Times New Roman" w:cs="Times New Roman"/>
          <w:lang w:val="es-ES"/>
        </w:rPr>
        <w:t>recurrió a</w:t>
      </w:r>
      <w:r w:rsidR="005670FC" w:rsidRPr="005F705E">
        <w:rPr>
          <w:rFonts w:ascii="Times New Roman" w:hAnsi="Times New Roman" w:cs="Times New Roman"/>
          <w:lang w:val="es-ES"/>
        </w:rPr>
        <w:t xml:space="preserve"> </w:t>
      </w:r>
      <w:r w:rsidR="00701F20" w:rsidRPr="005F705E">
        <w:rPr>
          <w:rFonts w:ascii="Times New Roman" w:hAnsi="Times New Roman" w:cs="Times New Roman"/>
          <w:lang w:val="es-ES"/>
        </w:rPr>
        <w:t xml:space="preserve">un modelo de análisis que, luego de controlar distintos atributos personales y del hogar, </w:t>
      </w:r>
      <w:r w:rsidR="005670FC" w:rsidRPr="005F705E">
        <w:rPr>
          <w:rFonts w:ascii="Times New Roman" w:hAnsi="Times New Roman" w:cs="Times New Roman"/>
          <w:lang w:val="es-ES"/>
        </w:rPr>
        <w:t>permit</w:t>
      </w:r>
      <w:r w:rsidRPr="005F705E">
        <w:rPr>
          <w:rFonts w:ascii="Times New Roman" w:hAnsi="Times New Roman" w:cs="Times New Roman"/>
          <w:lang w:val="es-ES"/>
        </w:rPr>
        <w:t>iera</w:t>
      </w:r>
      <w:r w:rsidR="005670FC" w:rsidRPr="005F705E">
        <w:rPr>
          <w:rFonts w:ascii="Times New Roman" w:hAnsi="Times New Roman" w:cs="Times New Roman"/>
          <w:lang w:val="es-ES"/>
        </w:rPr>
        <w:t xml:space="preserve"> indicar</w:t>
      </w:r>
      <w:r w:rsidR="00701F20" w:rsidRPr="005F705E">
        <w:rPr>
          <w:rFonts w:ascii="Times New Roman" w:hAnsi="Times New Roman" w:cs="Times New Roman"/>
          <w:lang w:val="es-ES"/>
        </w:rPr>
        <w:t xml:space="preserve"> </w:t>
      </w:r>
      <w:r w:rsidRPr="005F705E">
        <w:rPr>
          <w:rFonts w:ascii="Times New Roman" w:hAnsi="Times New Roman" w:cs="Times New Roman"/>
          <w:lang w:val="es-ES"/>
        </w:rPr>
        <w:t xml:space="preserve">si en el acceso a empleos formales o registrados </w:t>
      </w:r>
      <w:r w:rsidR="005844FC" w:rsidRPr="005F705E">
        <w:rPr>
          <w:rFonts w:ascii="Times New Roman" w:hAnsi="Times New Roman" w:cs="Times New Roman"/>
          <w:lang w:val="es-ES"/>
        </w:rPr>
        <w:t xml:space="preserve">por parte de ocupados secundarios </w:t>
      </w:r>
      <w:r w:rsidRPr="005F705E">
        <w:rPr>
          <w:rFonts w:ascii="Times New Roman" w:hAnsi="Times New Roman" w:cs="Times New Roman"/>
          <w:lang w:val="es-ES"/>
        </w:rPr>
        <w:t xml:space="preserve">existe </w:t>
      </w:r>
      <w:r w:rsidRPr="005F705E">
        <w:rPr>
          <w:rFonts w:ascii="Times New Roman" w:hAnsi="Times New Roman" w:cs="Times New Roman"/>
          <w:lang w:val="es-ES"/>
        </w:rPr>
        <w:lastRenderedPageBreak/>
        <w:t xml:space="preserve">un </w:t>
      </w:r>
      <w:r w:rsidR="00A33618" w:rsidRPr="005F705E">
        <w:rPr>
          <w:rFonts w:ascii="Times New Roman" w:hAnsi="Times New Roman" w:cs="Times New Roman"/>
          <w:lang w:val="es-ES"/>
        </w:rPr>
        <w:t xml:space="preserve">efecto </w:t>
      </w:r>
      <w:r w:rsidRPr="005F705E">
        <w:rPr>
          <w:rFonts w:ascii="Times New Roman" w:hAnsi="Times New Roman" w:cs="Times New Roman"/>
          <w:lang w:val="es-ES"/>
        </w:rPr>
        <w:t xml:space="preserve">específicamente </w:t>
      </w:r>
      <w:r w:rsidR="00701F20" w:rsidRPr="005F705E">
        <w:rPr>
          <w:rFonts w:ascii="Times New Roman" w:hAnsi="Times New Roman" w:cs="Times New Roman"/>
          <w:lang w:val="es-ES"/>
        </w:rPr>
        <w:t xml:space="preserve">atribuible a la posición socio-ocupacional del </w:t>
      </w:r>
      <w:r w:rsidR="004217B4" w:rsidRPr="005F705E">
        <w:rPr>
          <w:rFonts w:ascii="Times New Roman" w:hAnsi="Times New Roman" w:cs="Times New Roman"/>
          <w:lang w:val="es-ES"/>
        </w:rPr>
        <w:t>PSH</w:t>
      </w:r>
      <w:r w:rsidR="009C402B" w:rsidRPr="005F705E">
        <w:rPr>
          <w:rStyle w:val="Refdenotaalpie"/>
          <w:rFonts w:ascii="Times New Roman" w:hAnsi="Times New Roman" w:cs="Times New Roman"/>
          <w:lang w:val="es-ES"/>
        </w:rPr>
        <w:footnoteReference w:id="15"/>
      </w:r>
      <w:r w:rsidR="00701F20" w:rsidRPr="005F705E">
        <w:rPr>
          <w:rFonts w:ascii="Times New Roman" w:hAnsi="Times New Roman" w:cs="Times New Roman"/>
          <w:lang w:val="es-ES"/>
        </w:rPr>
        <w:t>.</w:t>
      </w:r>
      <w:r w:rsidR="00201D5B" w:rsidRPr="005F705E">
        <w:rPr>
          <w:rFonts w:ascii="Times New Roman" w:hAnsi="Times New Roman" w:cs="Times New Roman"/>
          <w:lang w:val="es-ES"/>
        </w:rPr>
        <w:t xml:space="preserve"> C</w:t>
      </w:r>
      <w:r w:rsidR="00166033" w:rsidRPr="005F705E">
        <w:rPr>
          <w:rFonts w:ascii="Times New Roman" w:hAnsi="Times New Roman" w:cs="Times New Roman"/>
          <w:lang w:val="es-ES"/>
        </w:rPr>
        <w:t xml:space="preserve">omo se trata de una variable dependiente dicotómica, se aplicó un modelo </w:t>
      </w:r>
      <w:r w:rsidRPr="005F705E">
        <w:rPr>
          <w:rFonts w:ascii="Times New Roman" w:hAnsi="Times New Roman" w:cs="Times New Roman"/>
          <w:i/>
          <w:lang w:val="es-ES"/>
        </w:rPr>
        <w:t>probit</w:t>
      </w:r>
      <w:r w:rsidR="00CC3042" w:rsidRPr="005F705E">
        <w:rPr>
          <w:rFonts w:ascii="Times New Roman" w:hAnsi="Times New Roman" w:cs="Times New Roman"/>
          <w:lang w:val="es-ES"/>
        </w:rPr>
        <w:t xml:space="preserve"> (Wooldridge, 2014).</w:t>
      </w:r>
      <w:r w:rsidR="00166033" w:rsidRPr="005F705E">
        <w:rPr>
          <w:rFonts w:ascii="Times New Roman" w:hAnsi="Times New Roman" w:cs="Times New Roman"/>
          <w:lang w:val="es-ES"/>
        </w:rPr>
        <w:t xml:space="preserve"> </w:t>
      </w:r>
      <w:r w:rsidR="00CC3042" w:rsidRPr="005F705E">
        <w:rPr>
          <w:rFonts w:ascii="Times New Roman" w:hAnsi="Times New Roman" w:cs="Times New Roman"/>
          <w:lang w:val="es-ES"/>
        </w:rPr>
        <w:t>Este modelo parte de la expresión:</w:t>
      </w:r>
    </w:p>
    <w:p w:rsidR="00166033" w:rsidRPr="005F705E" w:rsidRDefault="00166033" w:rsidP="008E3ED8">
      <w:pPr>
        <w:pStyle w:val="Sinespaciado"/>
        <w:jc w:val="both"/>
        <w:rPr>
          <w:rFonts w:ascii="Times New Roman" w:hAnsi="Times New Roman" w:cs="Times New Roman"/>
          <w:i/>
          <w:lang w:val="es-ES"/>
        </w:rPr>
      </w:pPr>
    </w:p>
    <w:p w:rsidR="00CC3042" w:rsidRPr="005F705E" w:rsidRDefault="00CC3042" w:rsidP="00CC3042">
      <w:pPr>
        <w:pStyle w:val="Sinespaciado"/>
        <w:numPr>
          <w:ilvl w:val="0"/>
          <w:numId w:val="1"/>
        </w:numPr>
        <w:jc w:val="center"/>
        <w:rPr>
          <w:rFonts w:ascii="Times New Roman" w:hAnsi="Times New Roman" w:cs="Times New Roman"/>
          <w:sz w:val="22"/>
          <w:lang w:val="es-ES"/>
        </w:rPr>
      </w:pPr>
      <w:r w:rsidRPr="005F705E">
        <w:rPr>
          <w:rFonts w:ascii="Times New Roman" w:hAnsi="Times New Roman" w:cs="Times New Roman"/>
          <w:sz w:val="22"/>
          <w:lang w:val="es-ES"/>
        </w:rPr>
        <w:t xml:space="preserve">P (y=1 | x)  = </w:t>
      </w:r>
      <w:r w:rsidRPr="005F705E">
        <w:rPr>
          <w:rFonts w:ascii="Times New Roman" w:hAnsi="Times New Roman" w:cs="Times New Roman"/>
          <w:i/>
          <w:sz w:val="22"/>
          <w:lang w:val="es-ES"/>
        </w:rPr>
        <w:t>G</w:t>
      </w:r>
      <w:r w:rsidRPr="005F705E">
        <w:rPr>
          <w:rFonts w:ascii="Times New Roman" w:hAnsi="Times New Roman" w:cs="Times New Roman"/>
          <w:sz w:val="22"/>
          <w:lang w:val="es-ES"/>
        </w:rPr>
        <w:t xml:space="preserve"> (β</w:t>
      </w:r>
      <w:r w:rsidRPr="005F705E">
        <w:rPr>
          <w:rFonts w:ascii="Times New Roman" w:hAnsi="Times New Roman" w:cs="Times New Roman"/>
          <w:sz w:val="22"/>
          <w:vertAlign w:val="subscript"/>
          <w:lang w:val="es-ES"/>
        </w:rPr>
        <w:t xml:space="preserve">0 </w:t>
      </w:r>
      <w:r w:rsidRPr="005F705E">
        <w:rPr>
          <w:rFonts w:ascii="Times New Roman" w:hAnsi="Times New Roman" w:cs="Times New Roman"/>
          <w:sz w:val="22"/>
          <w:lang w:val="es-ES"/>
        </w:rPr>
        <w:t>+ β</w:t>
      </w:r>
      <w:r w:rsidRPr="005F705E">
        <w:rPr>
          <w:rFonts w:ascii="Times New Roman" w:hAnsi="Times New Roman" w:cs="Times New Roman"/>
          <w:sz w:val="22"/>
          <w:vertAlign w:val="subscript"/>
          <w:lang w:val="es-ES"/>
        </w:rPr>
        <w:t>1</w:t>
      </w:r>
      <w:r w:rsidRPr="005F705E">
        <w:rPr>
          <w:rFonts w:ascii="Times New Roman" w:hAnsi="Times New Roman" w:cs="Times New Roman"/>
          <w:sz w:val="22"/>
          <w:lang w:val="es-ES"/>
        </w:rPr>
        <w:t>x</w:t>
      </w:r>
      <w:r w:rsidRPr="005F705E">
        <w:rPr>
          <w:rFonts w:ascii="Times New Roman" w:hAnsi="Times New Roman" w:cs="Times New Roman"/>
          <w:sz w:val="22"/>
          <w:vertAlign w:val="subscript"/>
          <w:lang w:val="es-ES"/>
        </w:rPr>
        <w:t xml:space="preserve">1 </w:t>
      </w:r>
      <w:r w:rsidRPr="005F705E">
        <w:rPr>
          <w:rFonts w:ascii="Times New Roman" w:hAnsi="Times New Roman" w:cs="Times New Roman"/>
          <w:sz w:val="22"/>
          <w:lang w:val="es-ES"/>
        </w:rPr>
        <w:t>+ … + β</w:t>
      </w:r>
      <w:r w:rsidRPr="005F705E">
        <w:rPr>
          <w:rFonts w:ascii="Times New Roman" w:hAnsi="Times New Roman" w:cs="Times New Roman"/>
          <w:sz w:val="22"/>
          <w:vertAlign w:val="subscript"/>
          <w:lang w:val="es-ES"/>
        </w:rPr>
        <w:t>k</w:t>
      </w:r>
      <w:r w:rsidRPr="005F705E">
        <w:rPr>
          <w:rFonts w:ascii="Times New Roman" w:hAnsi="Times New Roman" w:cs="Times New Roman"/>
          <w:sz w:val="22"/>
          <w:lang w:val="es-ES"/>
        </w:rPr>
        <w:t>X</w:t>
      </w:r>
      <w:r w:rsidRPr="005F705E">
        <w:rPr>
          <w:rFonts w:ascii="Times New Roman" w:hAnsi="Times New Roman" w:cs="Times New Roman"/>
          <w:sz w:val="22"/>
          <w:vertAlign w:val="subscript"/>
          <w:lang w:val="es-ES"/>
        </w:rPr>
        <w:t xml:space="preserve">k </w:t>
      </w:r>
      <w:r w:rsidRPr="005F705E">
        <w:rPr>
          <w:rFonts w:ascii="Times New Roman" w:hAnsi="Times New Roman" w:cs="Times New Roman"/>
          <w:sz w:val="22"/>
          <w:lang w:val="es-ES"/>
        </w:rPr>
        <w:t>)</w:t>
      </w:r>
    </w:p>
    <w:p w:rsidR="00A67D03" w:rsidRPr="005F705E" w:rsidRDefault="00A67D03" w:rsidP="008E3ED8">
      <w:pPr>
        <w:pStyle w:val="Sinespaciado"/>
        <w:jc w:val="both"/>
        <w:rPr>
          <w:rFonts w:ascii="Times New Roman" w:hAnsi="Times New Roman" w:cs="Times New Roman"/>
          <w:lang w:val="es-ES"/>
        </w:rPr>
      </w:pPr>
    </w:p>
    <w:p w:rsidR="00A67D03" w:rsidRPr="005F705E" w:rsidRDefault="004025F1"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Donde </w:t>
      </w:r>
      <w:r w:rsidRPr="005F705E">
        <w:rPr>
          <w:rFonts w:ascii="Times New Roman" w:hAnsi="Times New Roman" w:cs="Times New Roman"/>
          <w:i/>
          <w:lang w:val="es-ES"/>
        </w:rPr>
        <w:t xml:space="preserve">G </w:t>
      </w:r>
      <w:r w:rsidRPr="005F705E">
        <w:rPr>
          <w:rFonts w:ascii="Times New Roman" w:hAnsi="Times New Roman" w:cs="Times New Roman"/>
          <w:lang w:val="es-ES"/>
        </w:rPr>
        <w:t xml:space="preserve">es la función de distribución acumulada normal estándar. Para modelar la probabilidad de que un individuo </w:t>
      </w:r>
      <w:r w:rsidRPr="005F705E">
        <w:rPr>
          <w:rFonts w:ascii="Times New Roman" w:hAnsi="Times New Roman" w:cs="Times New Roman"/>
          <w:i/>
          <w:lang w:val="es-ES"/>
        </w:rPr>
        <w:t xml:space="preserve">i </w:t>
      </w:r>
      <w:r w:rsidRPr="005F705E">
        <w:rPr>
          <w:rFonts w:ascii="Times New Roman" w:hAnsi="Times New Roman" w:cs="Times New Roman"/>
          <w:lang w:val="es-ES"/>
        </w:rPr>
        <w:t>(que es ocupado secundario) tenga un empleo formal se consideran distintas variables independientes (x</w:t>
      </w:r>
      <w:r w:rsidRPr="005F705E">
        <w:rPr>
          <w:rFonts w:ascii="Times New Roman" w:hAnsi="Times New Roman" w:cs="Times New Roman"/>
          <w:vertAlign w:val="subscript"/>
          <w:lang w:val="es-ES"/>
        </w:rPr>
        <w:t>k</w:t>
      </w:r>
      <w:r w:rsidRPr="005F705E">
        <w:rPr>
          <w:rFonts w:ascii="Times New Roman" w:hAnsi="Times New Roman" w:cs="Times New Roman"/>
          <w:lang w:val="es-ES"/>
        </w:rPr>
        <w:t>) siendo β</w:t>
      </w:r>
      <w:r w:rsidRPr="005F705E">
        <w:rPr>
          <w:rFonts w:ascii="Times New Roman" w:hAnsi="Times New Roman" w:cs="Times New Roman"/>
          <w:vertAlign w:val="subscript"/>
          <w:lang w:val="es-ES"/>
        </w:rPr>
        <w:t xml:space="preserve">k </w:t>
      </w:r>
      <w:r w:rsidRPr="005F705E">
        <w:rPr>
          <w:rFonts w:ascii="Times New Roman" w:hAnsi="Times New Roman" w:cs="Times New Roman"/>
          <w:lang w:val="es-ES"/>
        </w:rPr>
        <w:t>los parámetros a estimar.</w:t>
      </w:r>
      <w:r w:rsidR="005844FC" w:rsidRPr="005F705E">
        <w:rPr>
          <w:rFonts w:ascii="Times New Roman" w:hAnsi="Times New Roman" w:cs="Times New Roman"/>
          <w:lang w:val="es-ES"/>
        </w:rPr>
        <w:t xml:space="preserve"> </w:t>
      </w:r>
      <w:r w:rsidR="00A67D03" w:rsidRPr="005F705E">
        <w:rPr>
          <w:rFonts w:ascii="Times New Roman" w:hAnsi="Times New Roman" w:cs="Times New Roman"/>
          <w:lang w:val="es-ES"/>
        </w:rPr>
        <w:t xml:space="preserve">A diferencia de un modelo lineal de probabilidad, el signo de los coeficientes señala el sentido en que incide una variable explicativa, pero </w:t>
      </w:r>
      <w:r w:rsidR="005844FC" w:rsidRPr="005F705E">
        <w:rPr>
          <w:rFonts w:ascii="Times New Roman" w:hAnsi="Times New Roman" w:cs="Times New Roman"/>
          <w:lang w:val="es-ES"/>
        </w:rPr>
        <w:t xml:space="preserve">sus magnitudes </w:t>
      </w:r>
      <w:r w:rsidR="00A67D03" w:rsidRPr="005F705E">
        <w:rPr>
          <w:rFonts w:ascii="Times New Roman" w:hAnsi="Times New Roman" w:cs="Times New Roman"/>
          <w:lang w:val="es-ES"/>
        </w:rPr>
        <w:t>no son directamente interpretables. Para ello deben calcularse los efectos</w:t>
      </w:r>
      <w:r w:rsidR="009B79D3" w:rsidRPr="005F705E">
        <w:rPr>
          <w:rFonts w:ascii="Times New Roman" w:hAnsi="Times New Roman" w:cs="Times New Roman"/>
          <w:lang w:val="es-ES"/>
        </w:rPr>
        <w:t xml:space="preserve"> marginales:</w:t>
      </w:r>
    </w:p>
    <w:p w:rsidR="002C7E1D" w:rsidRPr="005F705E" w:rsidRDefault="00A2705A" w:rsidP="002B5A31">
      <w:pPr>
        <w:pStyle w:val="Sinespaciado"/>
        <w:jc w:val="center"/>
        <w:rPr>
          <w:rFonts w:ascii="Times New Roman" w:hAnsi="Times New Roman" w:cs="Times New Roman"/>
          <w:sz w:val="22"/>
          <w:lang w:val="es-ES"/>
        </w:rPr>
      </w:pPr>
      <m:oMathPara>
        <m:oMathParaPr>
          <m:jc m:val="center"/>
        </m:oMathParaPr>
        <m:oMath>
          <m:d>
            <m:dPr>
              <m:ctrlPr>
                <w:rPr>
                  <w:rFonts w:ascii="Cambria Math" w:hAnsi="Cambria Math" w:cs="Times New Roman"/>
                  <w:i/>
                  <w:sz w:val="22"/>
                  <w:lang w:val="es-ES"/>
                </w:rPr>
              </m:ctrlPr>
            </m:dPr>
            <m:e>
              <m:r>
                <w:rPr>
                  <w:rFonts w:ascii="Cambria Math" w:hAnsi="Cambria Math" w:cs="Times New Roman"/>
                  <w:sz w:val="22"/>
                  <w:lang w:val="es-ES"/>
                </w:rPr>
                <m:t>2</m:t>
              </m:r>
            </m:e>
          </m:d>
          <m:f>
            <m:fPr>
              <m:ctrlPr>
                <w:rPr>
                  <w:rFonts w:ascii="Cambria Math" w:hAnsi="Cambria Math" w:cs="Times New Roman"/>
                  <w:i/>
                  <w:sz w:val="22"/>
                  <w:lang w:val="es-ES"/>
                </w:rPr>
              </m:ctrlPr>
            </m:fPr>
            <m:num>
              <m:r>
                <w:rPr>
                  <w:rFonts w:ascii="Cambria Math" w:hAnsi="Cambria Math" w:cs="Times New Roman"/>
                  <w:sz w:val="22"/>
                  <w:lang w:val="es-ES"/>
                </w:rPr>
                <m:t>∂p (x)</m:t>
              </m:r>
            </m:num>
            <m:den>
              <m:r>
                <w:rPr>
                  <w:rFonts w:ascii="Cambria Math" w:hAnsi="Cambria Math" w:cs="Times New Roman"/>
                  <w:sz w:val="22"/>
                  <w:lang w:val="es-ES"/>
                </w:rPr>
                <m:t>∂</m:t>
              </m:r>
              <m:sSub>
                <m:sSubPr>
                  <m:ctrlPr>
                    <w:rPr>
                      <w:rFonts w:ascii="Cambria Math" w:hAnsi="Cambria Math" w:cs="Times New Roman"/>
                      <w:i/>
                      <w:sz w:val="22"/>
                      <w:lang w:val="es-ES"/>
                    </w:rPr>
                  </m:ctrlPr>
                </m:sSubPr>
                <m:e>
                  <m:r>
                    <w:rPr>
                      <w:rFonts w:ascii="Cambria Math" w:hAnsi="Cambria Math" w:cs="Times New Roman"/>
                      <w:sz w:val="22"/>
                      <w:lang w:val="es-ES"/>
                    </w:rPr>
                    <m:t>x</m:t>
                  </m:r>
                </m:e>
                <m:sub>
                  <m:r>
                    <w:rPr>
                      <w:rFonts w:ascii="Cambria Math" w:hAnsi="Cambria Math" w:cs="Times New Roman"/>
                      <w:sz w:val="22"/>
                      <w:lang w:val="es-ES"/>
                    </w:rPr>
                    <m:t>j</m:t>
                  </m:r>
                </m:sub>
              </m:sSub>
            </m:den>
          </m:f>
          <m:r>
            <w:rPr>
              <w:rFonts w:ascii="Cambria Math" w:hAnsi="Cambria Math" w:cs="Times New Roman"/>
              <w:sz w:val="22"/>
              <w:lang w:val="es-ES"/>
            </w:rPr>
            <m:t xml:space="preserve">=g </m:t>
          </m:r>
          <m:d>
            <m:dPr>
              <m:ctrlPr>
                <w:rPr>
                  <w:rFonts w:ascii="Cambria Math" w:hAnsi="Cambria Math" w:cs="Times New Roman"/>
                  <w:i/>
                  <w:sz w:val="22"/>
                  <w:lang w:val="es-ES"/>
                </w:rPr>
              </m:ctrlPr>
            </m:dPr>
            <m:e>
              <m:sSub>
                <m:sSubPr>
                  <m:ctrlPr>
                    <w:rPr>
                      <w:rFonts w:ascii="Cambria Math" w:hAnsi="Cambria Math" w:cs="Times New Roman"/>
                      <w:i/>
                      <w:sz w:val="22"/>
                      <w:lang w:val="es-ES"/>
                    </w:rPr>
                  </m:ctrlPr>
                </m:sSubPr>
                <m:e>
                  <m:r>
                    <w:rPr>
                      <w:rFonts w:ascii="Cambria Math" w:hAnsi="Cambria Math" w:cs="Times New Roman"/>
                      <w:sz w:val="22"/>
                      <w:lang w:val="es-ES"/>
                    </w:rPr>
                    <m:t>β</m:t>
                  </m:r>
                </m:e>
                <m:sub>
                  <m:r>
                    <w:rPr>
                      <w:rFonts w:ascii="Cambria Math" w:hAnsi="Cambria Math" w:cs="Times New Roman"/>
                      <w:sz w:val="22"/>
                      <w:lang w:val="es-ES"/>
                    </w:rPr>
                    <m:t>0</m:t>
                  </m:r>
                </m:sub>
              </m:sSub>
              <m:r>
                <w:rPr>
                  <w:rFonts w:ascii="Cambria Math" w:hAnsi="Cambria Math" w:cs="Times New Roman"/>
                  <w:sz w:val="22"/>
                  <w:lang w:val="es-ES"/>
                </w:rPr>
                <m:t>+xβ</m:t>
              </m:r>
            </m:e>
          </m:d>
          <m:sSub>
            <m:sSubPr>
              <m:ctrlPr>
                <w:rPr>
                  <w:rFonts w:ascii="Cambria Math" w:hAnsi="Cambria Math" w:cs="Times New Roman"/>
                  <w:i/>
                  <w:sz w:val="22"/>
                  <w:lang w:val="es-ES"/>
                </w:rPr>
              </m:ctrlPr>
            </m:sSubPr>
            <m:e>
              <m:r>
                <w:rPr>
                  <w:rFonts w:ascii="Cambria Math" w:hAnsi="Cambria Math" w:cs="Times New Roman"/>
                  <w:sz w:val="22"/>
                  <w:lang w:val="es-ES"/>
                </w:rPr>
                <m:t>β</m:t>
              </m:r>
            </m:e>
            <m:sub>
              <m:r>
                <w:rPr>
                  <w:rFonts w:ascii="Cambria Math" w:hAnsi="Cambria Math" w:cs="Times New Roman"/>
                  <w:sz w:val="22"/>
                  <w:lang w:val="es-ES"/>
                </w:rPr>
                <m:t>j</m:t>
              </m:r>
            </m:sub>
          </m:sSub>
          <m:r>
            <w:rPr>
              <w:rFonts w:ascii="Cambria Math" w:hAnsi="Cambria Math" w:cs="Times New Roman"/>
              <w:sz w:val="22"/>
              <w:lang w:val="es-ES"/>
            </w:rPr>
            <m:t xml:space="preserve">, </m:t>
          </m:r>
          <m:r>
            <m:rPr>
              <m:sty m:val="p"/>
            </m:rPr>
            <w:rPr>
              <w:rFonts w:ascii="Cambria Math" w:hAnsi="Cambria Math" w:cs="Times New Roman"/>
              <w:sz w:val="22"/>
              <w:lang w:val="es-ES"/>
            </w:rPr>
            <m:t xml:space="preserve">donde </m:t>
          </m:r>
          <m:sSub>
            <m:sSubPr>
              <m:ctrlPr>
                <w:rPr>
                  <w:rFonts w:ascii="Cambria Math" w:hAnsi="Cambria Math" w:cs="Times New Roman"/>
                  <w:i/>
                  <w:sz w:val="22"/>
                  <w:lang w:val="es-ES"/>
                </w:rPr>
              </m:ctrlPr>
            </m:sSubPr>
            <m:e>
              <m:r>
                <w:rPr>
                  <w:rFonts w:ascii="Cambria Math" w:hAnsi="Cambria Math" w:cs="Times New Roman"/>
                  <w:sz w:val="22"/>
                  <w:lang w:val="es-ES"/>
                </w:rPr>
                <m:t>g</m:t>
              </m:r>
            </m:e>
            <m:sub>
              <m:r>
                <w:rPr>
                  <w:rFonts w:ascii="Cambria Math" w:hAnsi="Cambria Math" w:cs="Times New Roman"/>
                  <w:sz w:val="22"/>
                  <w:lang w:val="es-ES"/>
                </w:rPr>
                <m:t>z</m:t>
              </m:r>
            </m:sub>
          </m:sSub>
          <m:r>
            <w:rPr>
              <w:rFonts w:ascii="Cambria Math" w:hAnsi="Cambria Math" w:cs="Times New Roman"/>
              <w:sz w:val="22"/>
              <w:lang w:val="es-ES"/>
            </w:rPr>
            <m:t>≡</m:t>
          </m:r>
          <m:f>
            <m:fPr>
              <m:ctrlPr>
                <w:rPr>
                  <w:rFonts w:ascii="Cambria Math" w:hAnsi="Cambria Math" w:cs="Times New Roman"/>
                  <w:i/>
                  <w:sz w:val="22"/>
                  <w:lang w:val="es-ES"/>
                </w:rPr>
              </m:ctrlPr>
            </m:fPr>
            <m:num>
              <m:r>
                <w:rPr>
                  <w:rFonts w:ascii="Cambria Math" w:hAnsi="Cambria Math" w:cs="Times New Roman"/>
                  <w:sz w:val="22"/>
                  <w:lang w:val="es-ES"/>
                </w:rPr>
                <m:t>dG</m:t>
              </m:r>
            </m:num>
            <m:den>
              <m:r>
                <w:rPr>
                  <w:rFonts w:ascii="Cambria Math" w:hAnsi="Cambria Math" w:cs="Times New Roman"/>
                  <w:sz w:val="22"/>
                  <w:lang w:val="es-ES"/>
                </w:rPr>
                <m:t>dz</m:t>
              </m:r>
            </m:den>
          </m:f>
          <m:r>
            <w:rPr>
              <w:rFonts w:ascii="Cambria Math" w:hAnsi="Cambria Math" w:cs="Times New Roman"/>
              <w:sz w:val="22"/>
              <w:lang w:val="es-ES"/>
            </w:rPr>
            <m:t xml:space="preserve"> (z)</m:t>
          </m:r>
        </m:oMath>
      </m:oMathPara>
    </w:p>
    <w:p w:rsidR="008E3ED8" w:rsidRPr="005F705E" w:rsidRDefault="009B79D3"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Si x</w:t>
      </w:r>
      <w:r w:rsidRPr="005F705E">
        <w:rPr>
          <w:rFonts w:ascii="Times New Roman" w:hAnsi="Times New Roman" w:cs="Times New Roman"/>
          <w:vertAlign w:val="subscript"/>
          <w:lang w:val="es-ES"/>
        </w:rPr>
        <w:t>1</w:t>
      </w:r>
      <w:r w:rsidRPr="005F705E">
        <w:rPr>
          <w:rFonts w:ascii="Times New Roman" w:hAnsi="Times New Roman" w:cs="Times New Roman"/>
          <w:lang w:val="es-ES"/>
        </w:rPr>
        <w:t xml:space="preserve"> es una variable binaria, su efecto marginal se obtiene a partir de:  </w:t>
      </w:r>
    </w:p>
    <w:p w:rsidR="009B79D3" w:rsidRPr="005F705E" w:rsidRDefault="009B79D3" w:rsidP="009B79D3">
      <w:pPr>
        <w:pStyle w:val="Sinespaciado"/>
        <w:ind w:left="360"/>
        <w:jc w:val="center"/>
        <w:rPr>
          <w:rFonts w:ascii="Times New Roman" w:hAnsi="Times New Roman" w:cs="Times New Roman"/>
          <w:sz w:val="22"/>
          <w:lang w:val="es-ES"/>
        </w:rPr>
      </w:pPr>
      <w:r w:rsidRPr="005F705E">
        <w:rPr>
          <w:rFonts w:ascii="Times New Roman" w:hAnsi="Times New Roman" w:cs="Times New Roman"/>
          <w:sz w:val="22"/>
          <w:lang w:val="es-ES"/>
        </w:rPr>
        <w:t xml:space="preserve">(3) </w:t>
      </w:r>
      <w:r w:rsidRPr="005F705E">
        <w:rPr>
          <w:rFonts w:ascii="Times New Roman" w:hAnsi="Times New Roman" w:cs="Times New Roman"/>
          <w:i/>
          <w:sz w:val="22"/>
          <w:lang w:val="es-ES"/>
        </w:rPr>
        <w:t>G</w:t>
      </w:r>
      <w:r w:rsidRPr="005F705E">
        <w:rPr>
          <w:rFonts w:ascii="Times New Roman" w:hAnsi="Times New Roman" w:cs="Times New Roman"/>
          <w:sz w:val="22"/>
          <w:lang w:val="es-ES"/>
        </w:rPr>
        <w:t xml:space="preserve"> (β</w:t>
      </w:r>
      <w:r w:rsidRPr="005F705E">
        <w:rPr>
          <w:rFonts w:ascii="Times New Roman" w:hAnsi="Times New Roman" w:cs="Times New Roman"/>
          <w:sz w:val="22"/>
          <w:vertAlign w:val="subscript"/>
          <w:lang w:val="es-ES"/>
        </w:rPr>
        <w:t xml:space="preserve">0 </w:t>
      </w:r>
      <w:r w:rsidRPr="005F705E">
        <w:rPr>
          <w:rFonts w:ascii="Times New Roman" w:hAnsi="Times New Roman" w:cs="Times New Roman"/>
          <w:sz w:val="22"/>
          <w:lang w:val="es-ES"/>
        </w:rPr>
        <w:t>+ β</w:t>
      </w:r>
      <w:r w:rsidRPr="005F705E">
        <w:rPr>
          <w:rFonts w:ascii="Times New Roman" w:hAnsi="Times New Roman" w:cs="Times New Roman"/>
          <w:sz w:val="22"/>
          <w:vertAlign w:val="subscript"/>
          <w:lang w:val="es-ES"/>
        </w:rPr>
        <w:t xml:space="preserve">1 </w:t>
      </w:r>
      <w:r w:rsidRPr="005F705E">
        <w:rPr>
          <w:rFonts w:ascii="Times New Roman" w:hAnsi="Times New Roman" w:cs="Times New Roman"/>
          <w:sz w:val="22"/>
          <w:lang w:val="es-ES"/>
        </w:rPr>
        <w:t>+ β</w:t>
      </w:r>
      <w:r w:rsidRPr="005F705E">
        <w:rPr>
          <w:rFonts w:ascii="Times New Roman" w:hAnsi="Times New Roman" w:cs="Times New Roman"/>
          <w:sz w:val="22"/>
          <w:vertAlign w:val="subscript"/>
          <w:lang w:val="es-ES"/>
        </w:rPr>
        <w:t>2</w:t>
      </w:r>
      <w:r w:rsidRPr="005F705E">
        <w:rPr>
          <w:rFonts w:ascii="Times New Roman" w:hAnsi="Times New Roman" w:cs="Times New Roman"/>
          <w:sz w:val="22"/>
          <w:lang w:val="es-ES"/>
        </w:rPr>
        <w:t>x</w:t>
      </w:r>
      <w:r w:rsidRPr="005F705E">
        <w:rPr>
          <w:rFonts w:ascii="Times New Roman" w:hAnsi="Times New Roman" w:cs="Times New Roman"/>
          <w:sz w:val="22"/>
          <w:vertAlign w:val="subscript"/>
          <w:lang w:val="es-ES"/>
        </w:rPr>
        <w:t xml:space="preserve">2 </w:t>
      </w:r>
      <w:r w:rsidR="001D39DC" w:rsidRPr="005F705E">
        <w:rPr>
          <w:rFonts w:ascii="Times New Roman" w:hAnsi="Times New Roman" w:cs="Times New Roman"/>
          <w:sz w:val="22"/>
          <w:lang w:val="es-ES"/>
        </w:rPr>
        <w:t>+</w:t>
      </w:r>
      <w:r w:rsidRPr="005F705E">
        <w:rPr>
          <w:rFonts w:ascii="Times New Roman" w:hAnsi="Times New Roman" w:cs="Times New Roman"/>
          <w:sz w:val="22"/>
          <w:lang w:val="es-ES"/>
        </w:rPr>
        <w:t>…+ β</w:t>
      </w:r>
      <w:r w:rsidRPr="005F705E">
        <w:rPr>
          <w:rFonts w:ascii="Times New Roman" w:hAnsi="Times New Roman" w:cs="Times New Roman"/>
          <w:sz w:val="22"/>
          <w:vertAlign w:val="subscript"/>
          <w:lang w:val="es-ES"/>
        </w:rPr>
        <w:t>k</w:t>
      </w:r>
      <w:r w:rsidRPr="005F705E">
        <w:rPr>
          <w:rFonts w:ascii="Times New Roman" w:hAnsi="Times New Roman" w:cs="Times New Roman"/>
          <w:sz w:val="22"/>
          <w:lang w:val="es-ES"/>
        </w:rPr>
        <w:t>X</w:t>
      </w:r>
      <w:r w:rsidRPr="005F705E">
        <w:rPr>
          <w:rFonts w:ascii="Times New Roman" w:hAnsi="Times New Roman" w:cs="Times New Roman"/>
          <w:sz w:val="22"/>
          <w:vertAlign w:val="subscript"/>
          <w:lang w:val="es-ES"/>
        </w:rPr>
        <w:t xml:space="preserve">k </w:t>
      </w:r>
      <w:r w:rsidRPr="005F705E">
        <w:rPr>
          <w:rFonts w:ascii="Times New Roman" w:hAnsi="Times New Roman" w:cs="Times New Roman"/>
          <w:sz w:val="22"/>
          <w:lang w:val="es-ES"/>
        </w:rPr>
        <w:t xml:space="preserve">) – </w:t>
      </w:r>
      <w:r w:rsidRPr="005F705E">
        <w:rPr>
          <w:rFonts w:ascii="Times New Roman" w:hAnsi="Times New Roman" w:cs="Times New Roman"/>
          <w:i/>
          <w:sz w:val="22"/>
          <w:lang w:val="es-ES"/>
        </w:rPr>
        <w:t>G</w:t>
      </w:r>
      <w:r w:rsidRPr="005F705E">
        <w:rPr>
          <w:rFonts w:ascii="Times New Roman" w:hAnsi="Times New Roman" w:cs="Times New Roman"/>
          <w:sz w:val="22"/>
          <w:lang w:val="es-ES"/>
        </w:rPr>
        <w:t xml:space="preserve"> (β</w:t>
      </w:r>
      <w:r w:rsidRPr="005F705E">
        <w:rPr>
          <w:rFonts w:ascii="Times New Roman" w:hAnsi="Times New Roman" w:cs="Times New Roman"/>
          <w:sz w:val="22"/>
          <w:vertAlign w:val="subscript"/>
          <w:lang w:val="es-ES"/>
        </w:rPr>
        <w:t xml:space="preserve">0 </w:t>
      </w:r>
      <w:r w:rsidRPr="005F705E">
        <w:rPr>
          <w:rFonts w:ascii="Times New Roman" w:hAnsi="Times New Roman" w:cs="Times New Roman"/>
          <w:sz w:val="22"/>
          <w:lang w:val="es-ES"/>
        </w:rPr>
        <w:t>+ β</w:t>
      </w:r>
      <w:r w:rsidRPr="005F705E">
        <w:rPr>
          <w:rFonts w:ascii="Times New Roman" w:hAnsi="Times New Roman" w:cs="Times New Roman"/>
          <w:sz w:val="22"/>
          <w:vertAlign w:val="subscript"/>
          <w:lang w:val="es-ES"/>
        </w:rPr>
        <w:t>2</w:t>
      </w:r>
      <w:r w:rsidRPr="005F705E">
        <w:rPr>
          <w:rFonts w:ascii="Times New Roman" w:hAnsi="Times New Roman" w:cs="Times New Roman"/>
          <w:sz w:val="22"/>
          <w:lang w:val="es-ES"/>
        </w:rPr>
        <w:t>x</w:t>
      </w:r>
      <w:r w:rsidRPr="005F705E">
        <w:rPr>
          <w:rFonts w:ascii="Times New Roman" w:hAnsi="Times New Roman" w:cs="Times New Roman"/>
          <w:sz w:val="22"/>
          <w:vertAlign w:val="subscript"/>
          <w:lang w:val="es-ES"/>
        </w:rPr>
        <w:t xml:space="preserve">2 </w:t>
      </w:r>
      <w:r w:rsidR="001D39DC" w:rsidRPr="005F705E">
        <w:rPr>
          <w:rFonts w:ascii="Times New Roman" w:hAnsi="Times New Roman" w:cs="Times New Roman"/>
          <w:sz w:val="22"/>
          <w:lang w:val="es-ES"/>
        </w:rPr>
        <w:t>+…</w:t>
      </w:r>
      <w:r w:rsidRPr="005F705E">
        <w:rPr>
          <w:rFonts w:ascii="Times New Roman" w:hAnsi="Times New Roman" w:cs="Times New Roman"/>
          <w:sz w:val="22"/>
          <w:lang w:val="es-ES"/>
        </w:rPr>
        <w:t>+ β</w:t>
      </w:r>
      <w:r w:rsidRPr="005F705E">
        <w:rPr>
          <w:rFonts w:ascii="Times New Roman" w:hAnsi="Times New Roman" w:cs="Times New Roman"/>
          <w:sz w:val="22"/>
          <w:vertAlign w:val="subscript"/>
          <w:lang w:val="es-ES"/>
        </w:rPr>
        <w:t>k</w:t>
      </w:r>
      <w:r w:rsidRPr="005F705E">
        <w:rPr>
          <w:rFonts w:ascii="Times New Roman" w:hAnsi="Times New Roman" w:cs="Times New Roman"/>
          <w:sz w:val="22"/>
          <w:lang w:val="es-ES"/>
        </w:rPr>
        <w:t>X</w:t>
      </w:r>
      <w:r w:rsidRPr="005F705E">
        <w:rPr>
          <w:rFonts w:ascii="Times New Roman" w:hAnsi="Times New Roman" w:cs="Times New Roman"/>
          <w:sz w:val="22"/>
          <w:vertAlign w:val="subscript"/>
          <w:lang w:val="es-ES"/>
        </w:rPr>
        <w:t xml:space="preserve">k </w:t>
      </w:r>
      <w:r w:rsidRPr="005F705E">
        <w:rPr>
          <w:rFonts w:ascii="Times New Roman" w:hAnsi="Times New Roman" w:cs="Times New Roman"/>
          <w:sz w:val="22"/>
          <w:lang w:val="es-ES"/>
        </w:rPr>
        <w:t>)</w:t>
      </w:r>
    </w:p>
    <w:p w:rsidR="009B79D3" w:rsidRPr="005F705E" w:rsidRDefault="009B79D3" w:rsidP="008E3ED8">
      <w:pPr>
        <w:pStyle w:val="Sinespaciado"/>
        <w:jc w:val="both"/>
        <w:rPr>
          <w:rFonts w:ascii="Times New Roman" w:hAnsi="Times New Roman" w:cs="Times New Roman"/>
          <w:lang w:val="es-ES"/>
        </w:rPr>
      </w:pPr>
    </w:p>
    <w:p w:rsidR="004025F1" w:rsidRPr="005F705E" w:rsidRDefault="002C7E1D"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Entre las </w:t>
      </w:r>
      <w:r w:rsidR="004025F1" w:rsidRPr="005F705E">
        <w:rPr>
          <w:rFonts w:ascii="Times New Roman" w:hAnsi="Times New Roman" w:cs="Times New Roman"/>
          <w:lang w:val="es-ES"/>
        </w:rPr>
        <w:t xml:space="preserve">distintas </w:t>
      </w:r>
      <w:r w:rsidRPr="005F705E">
        <w:rPr>
          <w:rFonts w:ascii="Times New Roman" w:hAnsi="Times New Roman" w:cs="Times New Roman"/>
          <w:lang w:val="es-ES"/>
        </w:rPr>
        <w:t>variables que se incluyen en el modelo, se introduce la presencia de</w:t>
      </w:r>
      <w:r w:rsidR="004217B4" w:rsidRPr="005F705E">
        <w:rPr>
          <w:rFonts w:ascii="Times New Roman" w:hAnsi="Times New Roman" w:cs="Times New Roman"/>
          <w:lang w:val="es-ES"/>
        </w:rPr>
        <w:t>l</w:t>
      </w:r>
      <w:r w:rsidRPr="005F705E">
        <w:rPr>
          <w:rFonts w:ascii="Times New Roman" w:hAnsi="Times New Roman" w:cs="Times New Roman"/>
          <w:lang w:val="es-ES"/>
        </w:rPr>
        <w:t xml:space="preserve"> PSH </w:t>
      </w:r>
      <w:r w:rsidR="002B5A31" w:rsidRPr="005F705E">
        <w:rPr>
          <w:rFonts w:ascii="Times New Roman" w:hAnsi="Times New Roman" w:cs="Times New Roman"/>
          <w:lang w:val="es-ES"/>
        </w:rPr>
        <w:t xml:space="preserve">ocupado en el sector formal (público o privado, excluyendo posiciones precarias) </w:t>
      </w:r>
      <w:r w:rsidR="000C2CC3" w:rsidRPr="005F705E">
        <w:rPr>
          <w:rFonts w:ascii="Times New Roman" w:hAnsi="Times New Roman" w:cs="Times New Roman"/>
          <w:lang w:val="es-ES"/>
        </w:rPr>
        <w:t xml:space="preserve">para estimar su efecto sobre </w:t>
      </w:r>
      <w:r w:rsidR="002B5A31" w:rsidRPr="005F705E">
        <w:rPr>
          <w:rFonts w:ascii="Times New Roman" w:hAnsi="Times New Roman" w:cs="Times New Roman"/>
          <w:lang w:val="es-ES"/>
        </w:rPr>
        <w:t>la posición laboral de los ocupados secundarios</w:t>
      </w:r>
      <w:r w:rsidR="000C2CC3" w:rsidRPr="005F705E">
        <w:rPr>
          <w:rFonts w:ascii="Times New Roman" w:hAnsi="Times New Roman" w:cs="Times New Roman"/>
          <w:lang w:val="es-ES"/>
        </w:rPr>
        <w:t>.</w:t>
      </w:r>
      <w:r w:rsidR="002B5A31" w:rsidRPr="005F705E">
        <w:rPr>
          <w:rFonts w:ascii="Times New Roman" w:hAnsi="Times New Roman" w:cs="Times New Roman"/>
          <w:lang w:val="es-ES"/>
        </w:rPr>
        <w:t xml:space="preserve"> En la estimación se incluyó el control de sesgo de selección, </w:t>
      </w:r>
      <w:r w:rsidR="005844FC" w:rsidRPr="005F705E">
        <w:rPr>
          <w:rFonts w:ascii="Times New Roman" w:hAnsi="Times New Roman" w:cs="Times New Roman"/>
          <w:lang w:val="es-ES"/>
        </w:rPr>
        <w:t xml:space="preserve">incorporándose a </w:t>
      </w:r>
      <w:r w:rsidR="002B5A31" w:rsidRPr="005F705E">
        <w:rPr>
          <w:rFonts w:ascii="Times New Roman" w:hAnsi="Times New Roman" w:cs="Times New Roman"/>
          <w:lang w:val="es-ES"/>
        </w:rPr>
        <w:t xml:space="preserve">la ecuación de selección la situación conyugal (con o sin pareja), el número de niños en el hogar y el nivel educativo. </w:t>
      </w:r>
    </w:p>
    <w:p w:rsidR="00C80137" w:rsidRPr="005F705E" w:rsidRDefault="004217B4"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A partir de la aplicación de este modelo de análisis, </w:t>
      </w:r>
      <w:r w:rsidR="005844FC" w:rsidRPr="005F705E">
        <w:rPr>
          <w:rFonts w:ascii="Times New Roman" w:hAnsi="Times New Roman" w:cs="Times New Roman"/>
          <w:lang w:val="es-ES"/>
        </w:rPr>
        <w:t>advertimos</w:t>
      </w:r>
      <w:r w:rsidRPr="005F705E">
        <w:rPr>
          <w:rFonts w:ascii="Times New Roman" w:hAnsi="Times New Roman" w:cs="Times New Roman"/>
          <w:lang w:val="es-ES"/>
        </w:rPr>
        <w:t xml:space="preserve"> que</w:t>
      </w:r>
      <w:r w:rsidR="000C2CC3" w:rsidRPr="005F705E">
        <w:rPr>
          <w:rFonts w:ascii="Times New Roman" w:hAnsi="Times New Roman" w:cs="Times New Roman"/>
          <w:lang w:val="es-ES"/>
        </w:rPr>
        <w:t xml:space="preserve"> la probabilidad de tener un empleo formal entre los ocupados secundarios, se encuentra asociada a un conjunto de atributos personales de la fuerza de trabajo que operan como mecanismo de selección en determinadas coyunturas del mercado. </w:t>
      </w:r>
      <w:r w:rsidR="00FA300F" w:rsidRPr="005F705E">
        <w:rPr>
          <w:rFonts w:ascii="Times New Roman" w:hAnsi="Times New Roman" w:cs="Times New Roman"/>
          <w:lang w:val="es-ES"/>
        </w:rPr>
        <w:t xml:space="preserve">Más allá de ello, la presencia de un </w:t>
      </w:r>
      <w:r w:rsidR="00FA300F" w:rsidRPr="005F705E">
        <w:rPr>
          <w:rFonts w:ascii="Times New Roman" w:hAnsi="Times New Roman" w:cs="Times New Roman"/>
          <w:lang w:val="es-ES"/>
        </w:rPr>
        <w:lastRenderedPageBreak/>
        <w:t xml:space="preserve">PSH ocupado en el sector formal público y privado (excluyendo posiciones precarias) constituyó un determinante significativo de la probabilidad de acceder a un empleo formal: </w:t>
      </w:r>
      <w:r w:rsidR="00DE01DA" w:rsidRPr="005F705E">
        <w:rPr>
          <w:rFonts w:ascii="Times New Roman" w:hAnsi="Times New Roman" w:cs="Times New Roman"/>
          <w:lang w:val="es-ES"/>
        </w:rPr>
        <w:t xml:space="preserve">en promedio, </w:t>
      </w:r>
      <w:r w:rsidR="000C2CC3" w:rsidRPr="005F705E">
        <w:rPr>
          <w:rFonts w:ascii="Times New Roman" w:hAnsi="Times New Roman" w:cs="Times New Roman"/>
          <w:lang w:val="es-ES"/>
        </w:rPr>
        <w:t xml:space="preserve">durante el </w:t>
      </w:r>
      <w:r w:rsidR="009C402B" w:rsidRPr="005F705E">
        <w:rPr>
          <w:rFonts w:ascii="Times New Roman" w:hAnsi="Times New Roman" w:cs="Times New Roman"/>
          <w:lang w:val="es-ES"/>
        </w:rPr>
        <w:t>ciclo post-</w:t>
      </w:r>
      <w:r w:rsidR="00FA300F" w:rsidRPr="005F705E">
        <w:rPr>
          <w:rFonts w:ascii="Times New Roman" w:hAnsi="Times New Roman" w:cs="Times New Roman"/>
          <w:lang w:val="es-ES"/>
        </w:rPr>
        <w:t>reformas</w:t>
      </w:r>
      <w:r w:rsidR="00DE01DA" w:rsidRPr="005F705E">
        <w:rPr>
          <w:rFonts w:ascii="Times New Roman" w:hAnsi="Times New Roman" w:cs="Times New Roman"/>
          <w:lang w:val="es-ES"/>
        </w:rPr>
        <w:t xml:space="preserve">, tal probabilidad se incrementó alrededor de 20 p.p. cuando el PSH estaba ocupado en el sector formal, manteniendo los demás factores constantes. </w:t>
      </w:r>
    </w:p>
    <w:p w:rsidR="005670FC" w:rsidRPr="005F705E" w:rsidRDefault="005670FC" w:rsidP="002B5A31">
      <w:pPr>
        <w:pStyle w:val="Sinespaciado"/>
        <w:jc w:val="both"/>
        <w:rPr>
          <w:rFonts w:ascii="Times New Roman" w:hAnsi="Times New Roman" w:cs="Times New Roman"/>
          <w:b/>
          <w:sz w:val="22"/>
          <w:lang w:val="es-ES"/>
        </w:rPr>
      </w:pPr>
      <w:r w:rsidRPr="005F705E">
        <w:rPr>
          <w:rFonts w:ascii="Times New Roman" w:hAnsi="Times New Roman" w:cs="Times New Roman"/>
          <w:b/>
          <w:sz w:val="22"/>
          <w:lang w:val="es-ES"/>
        </w:rPr>
        <w:t xml:space="preserve">Cuadro 6. Determinantes del empleo en el sector formal público o privado entre los ocupados secundarios de los hogares </w:t>
      </w:r>
      <w:r w:rsidRPr="005F705E">
        <w:rPr>
          <w:rFonts w:ascii="Times New Roman" w:hAnsi="Times New Roman" w:cs="Times New Roman"/>
          <w:b/>
          <w:sz w:val="22"/>
          <w:vertAlign w:val="superscript"/>
          <w:lang w:val="es-ES"/>
        </w:rPr>
        <w:t>(1)</w:t>
      </w:r>
      <w:r w:rsidRPr="005F705E">
        <w:rPr>
          <w:rFonts w:ascii="Times New Roman" w:hAnsi="Times New Roman" w:cs="Times New Roman"/>
          <w:b/>
          <w:sz w:val="22"/>
          <w:lang w:val="es-ES"/>
        </w:rPr>
        <w:t>. Total de Aglomerados urbanos. Argentina, 2003-2014</w:t>
      </w:r>
    </w:p>
    <w:tbl>
      <w:tblPr>
        <w:tblW w:w="8434" w:type="dxa"/>
        <w:jc w:val="center"/>
        <w:tblInd w:w="2371" w:type="dxa"/>
        <w:tblCellMar>
          <w:left w:w="70" w:type="dxa"/>
          <w:right w:w="70" w:type="dxa"/>
        </w:tblCellMar>
        <w:tblLook w:val="04A0"/>
      </w:tblPr>
      <w:tblGrid>
        <w:gridCol w:w="2567"/>
        <w:gridCol w:w="815"/>
        <w:gridCol w:w="1014"/>
        <w:gridCol w:w="190"/>
        <w:gridCol w:w="815"/>
        <w:gridCol w:w="1014"/>
        <w:gridCol w:w="190"/>
        <w:gridCol w:w="815"/>
        <w:gridCol w:w="1014"/>
      </w:tblGrid>
      <w:tr w:rsidR="00FA300F" w:rsidRPr="005F705E" w:rsidTr="00FA300F">
        <w:trPr>
          <w:trHeight w:val="255"/>
          <w:jc w:val="center"/>
        </w:trPr>
        <w:tc>
          <w:tcPr>
            <w:tcW w:w="2567" w:type="dxa"/>
            <w:tcBorders>
              <w:top w:val="single" w:sz="4" w:space="0" w:color="auto"/>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1829" w:type="dxa"/>
            <w:gridSpan w:val="2"/>
            <w:tcBorders>
              <w:top w:val="single" w:sz="4" w:space="0" w:color="auto"/>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2003</w:t>
            </w:r>
          </w:p>
        </w:tc>
        <w:tc>
          <w:tcPr>
            <w:tcW w:w="190" w:type="dxa"/>
            <w:tcBorders>
              <w:top w:val="single" w:sz="4" w:space="0" w:color="auto"/>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1829" w:type="dxa"/>
            <w:gridSpan w:val="2"/>
            <w:tcBorders>
              <w:top w:val="single" w:sz="4" w:space="0" w:color="auto"/>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2007</w:t>
            </w:r>
          </w:p>
        </w:tc>
        <w:tc>
          <w:tcPr>
            <w:tcW w:w="190" w:type="dxa"/>
            <w:tcBorders>
              <w:top w:val="single" w:sz="4" w:space="0" w:color="auto"/>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1829" w:type="dxa"/>
            <w:gridSpan w:val="2"/>
            <w:tcBorders>
              <w:top w:val="single" w:sz="4" w:space="0" w:color="auto"/>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2014</w:t>
            </w:r>
          </w:p>
        </w:tc>
      </w:tr>
      <w:tr w:rsidR="00FA300F" w:rsidRPr="005F705E" w:rsidTr="00FA300F">
        <w:trPr>
          <w:trHeight w:val="255"/>
          <w:jc w:val="center"/>
        </w:trPr>
        <w:tc>
          <w:tcPr>
            <w:tcW w:w="2567"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Coef.</w:t>
            </w:r>
          </w:p>
        </w:tc>
        <w:tc>
          <w:tcPr>
            <w:tcW w:w="1014"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E. Marginal</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Coef.</w:t>
            </w:r>
          </w:p>
        </w:tc>
        <w:tc>
          <w:tcPr>
            <w:tcW w:w="1014"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E. Marginal</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Coef.</w:t>
            </w:r>
          </w:p>
        </w:tc>
        <w:tc>
          <w:tcPr>
            <w:tcW w:w="1014"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E. Marginal</w:t>
            </w:r>
          </w:p>
        </w:tc>
      </w:tr>
      <w:tr w:rsidR="00FA300F" w:rsidRPr="005F705E" w:rsidTr="00FA300F">
        <w:trPr>
          <w:trHeight w:val="210"/>
          <w:jc w:val="center"/>
        </w:trPr>
        <w:tc>
          <w:tcPr>
            <w:tcW w:w="2567" w:type="dxa"/>
            <w:tcBorders>
              <w:top w:val="single" w:sz="4" w:space="0" w:color="auto"/>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PSH ocupado en sector formal (excl. Asal. Prec.)</w:t>
            </w:r>
          </w:p>
        </w:tc>
        <w:tc>
          <w:tcPr>
            <w:tcW w:w="815" w:type="dxa"/>
            <w:tcBorders>
              <w:top w:val="single" w:sz="4" w:space="0" w:color="auto"/>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0,663***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0,223</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0,683***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0,197</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0,649***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0,198</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Tamaño del hogar</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-0,047***</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-0,016</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-0,028***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-0,008</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-0,025***</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-0,008</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Con presencia de menores de 4 años en el hogar</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-0,015</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0,013</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-0,003</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Varón</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0,111***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0,037</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0,174***</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0,051</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0,078**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0,024</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Edad</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0,017</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0,070***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0,020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0,076***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0,023</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Edad al cuadrado</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Asiste a un establecimiento educativo</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0,162**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0,055</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0,137***</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0,184***</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0,057</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(0,065)</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Secundaria completa</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0,426***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0,150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0,595***</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0,187</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0,588***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0,191</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(0,066)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(0,054)</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Universitario completo</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1,273***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0,475</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1,468***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0,530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1,484***</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0,538</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(0,113)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(0,090)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(0,090)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Región: AMBA</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0,268***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0,094</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0,140***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0,042</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0,163***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0,052</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(0,062)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(0,047)</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Región: Noreste</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0,101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0,035</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-0,014</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-0,003</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(0,079)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(0,062)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Región: Cuyo</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0,163**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0,057</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0,025</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0,007</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0,111*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0,035</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(0,071)</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(0,057)</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Región: Pampeana</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0,256***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0,088</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0,057</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0,017</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0,073*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0,023</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(0,043)</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Región: Patagónica</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0,666***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0,250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0,518***</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0,170</w:t>
            </w: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0,486***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0,165</w:t>
            </w: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(0,080)</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(0,049)</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(0,052)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Constante</w:t>
            </w: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-2,084***</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-2,726***</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-2,792***</w:t>
            </w:r>
          </w:p>
        </w:tc>
        <w:tc>
          <w:tcPr>
            <w:tcW w:w="1014" w:type="dxa"/>
            <w:tcBorders>
              <w:top w:val="nil"/>
              <w:left w:val="nil"/>
              <w:bottom w:val="nil"/>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r w:rsidR="00FA300F" w:rsidRPr="005F705E" w:rsidTr="00FA300F">
        <w:trPr>
          <w:trHeight w:val="210"/>
          <w:jc w:val="center"/>
        </w:trPr>
        <w:tc>
          <w:tcPr>
            <w:tcW w:w="2567"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 </w:t>
            </w:r>
          </w:p>
        </w:tc>
        <w:tc>
          <w:tcPr>
            <w:tcW w:w="815"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(0,336)</w:t>
            </w:r>
          </w:p>
        </w:tc>
        <w:tc>
          <w:tcPr>
            <w:tcW w:w="1014"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(0,257)</w:t>
            </w:r>
          </w:p>
        </w:tc>
        <w:tc>
          <w:tcPr>
            <w:tcW w:w="1014"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190"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c>
          <w:tcPr>
            <w:tcW w:w="815"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r w:rsidRPr="005F705E">
              <w:rPr>
                <w:rFonts w:ascii="Times New Roman" w:eastAsia="Times New Roman" w:hAnsi="Times New Roman" w:cs="Times New Roman"/>
                <w:sz w:val="16"/>
                <w:szCs w:val="16"/>
                <w:lang w:eastAsia="es-AR"/>
              </w:rPr>
              <w:t>(0,250)</w:t>
            </w:r>
          </w:p>
        </w:tc>
        <w:tc>
          <w:tcPr>
            <w:tcW w:w="1014" w:type="dxa"/>
            <w:tcBorders>
              <w:top w:val="nil"/>
              <w:left w:val="nil"/>
              <w:bottom w:val="single" w:sz="4" w:space="0" w:color="auto"/>
              <w:right w:val="nil"/>
            </w:tcBorders>
            <w:shd w:val="clear" w:color="000000" w:fill="FFFFFF"/>
            <w:noWrap/>
            <w:vAlign w:val="bottom"/>
            <w:hideMark/>
          </w:tcPr>
          <w:p w:rsidR="00FA300F" w:rsidRPr="005F705E" w:rsidRDefault="00FA300F" w:rsidP="00FA300F">
            <w:pPr>
              <w:spacing w:after="0" w:line="240" w:lineRule="auto"/>
              <w:jc w:val="center"/>
              <w:rPr>
                <w:rFonts w:ascii="Times New Roman" w:eastAsia="Times New Roman" w:hAnsi="Times New Roman" w:cs="Times New Roman"/>
                <w:sz w:val="16"/>
                <w:szCs w:val="16"/>
                <w:lang w:eastAsia="es-AR"/>
              </w:rPr>
            </w:pPr>
          </w:p>
        </w:tc>
      </w:tr>
    </w:tbl>
    <w:p w:rsidR="00FA300F" w:rsidRPr="005F705E" w:rsidRDefault="00FA300F" w:rsidP="00FA300F">
      <w:pPr>
        <w:pStyle w:val="Sinespaciado"/>
        <w:jc w:val="both"/>
        <w:rPr>
          <w:rFonts w:ascii="Times New Roman" w:hAnsi="Times New Roman" w:cs="Times New Roman"/>
          <w:sz w:val="22"/>
        </w:rPr>
      </w:pPr>
      <w:r w:rsidRPr="005F705E">
        <w:rPr>
          <w:rFonts w:ascii="Times New Roman" w:hAnsi="Times New Roman" w:cs="Times New Roman"/>
          <w:sz w:val="16"/>
        </w:rPr>
        <w:t>Notas: (1) Modelos probit con control de sesgo de selección muestral. Variable dependiente: empleos en el sector formal público o privado (excluyendo posiciones como asalariados precarios) de los ocupados secundarios de los hogares. (2)  ***p-value &lt; 0,01 / ** p-value &lt; 0,05 / *** p-value &lt;0,1. (3) Errores estándar entre paréntesis.</w:t>
      </w:r>
      <w:r w:rsidRPr="005F705E">
        <w:rPr>
          <w:rFonts w:ascii="Times New Roman" w:hAnsi="Times New Roman" w:cs="Times New Roman"/>
          <w:sz w:val="16"/>
        </w:rPr>
        <w:tab/>
      </w:r>
      <w:r w:rsidRPr="005F705E">
        <w:rPr>
          <w:rFonts w:ascii="Times New Roman" w:hAnsi="Times New Roman" w:cs="Times New Roman"/>
          <w:sz w:val="16"/>
        </w:rPr>
        <w:tab/>
      </w:r>
      <w:r w:rsidRPr="005F705E">
        <w:rPr>
          <w:rFonts w:ascii="Times New Roman" w:hAnsi="Times New Roman" w:cs="Times New Roman"/>
          <w:sz w:val="22"/>
        </w:rPr>
        <w:tab/>
      </w:r>
      <w:r w:rsidRPr="005F705E">
        <w:rPr>
          <w:rFonts w:ascii="Times New Roman" w:hAnsi="Times New Roman" w:cs="Times New Roman"/>
          <w:sz w:val="22"/>
        </w:rPr>
        <w:tab/>
      </w:r>
      <w:r w:rsidRPr="005F705E">
        <w:rPr>
          <w:rFonts w:ascii="Times New Roman" w:hAnsi="Times New Roman" w:cs="Times New Roman"/>
          <w:sz w:val="22"/>
        </w:rPr>
        <w:tab/>
      </w:r>
    </w:p>
    <w:p w:rsidR="00FA300F" w:rsidRPr="005F705E" w:rsidRDefault="00FA300F" w:rsidP="00FA300F">
      <w:pPr>
        <w:pStyle w:val="Sinespaciado"/>
        <w:jc w:val="both"/>
        <w:rPr>
          <w:rFonts w:ascii="Times New Roman" w:hAnsi="Times New Roman" w:cs="Times New Roman"/>
          <w:sz w:val="16"/>
          <w:szCs w:val="16"/>
          <w:lang w:val="es-ES"/>
        </w:rPr>
      </w:pPr>
      <w:r w:rsidRPr="005F705E">
        <w:rPr>
          <w:rFonts w:ascii="Times New Roman" w:hAnsi="Times New Roman" w:cs="Times New Roman"/>
          <w:sz w:val="16"/>
          <w:szCs w:val="16"/>
          <w:lang w:val="es-ES"/>
        </w:rPr>
        <w:t>Fuente: Elaboración propia en base a microdatos de la EPH-INDEC para los períodos indicados. Disponibles en: &lt;</w:t>
      </w:r>
      <w:r w:rsidRPr="005F705E">
        <w:rPr>
          <w:rFonts w:ascii="Times New Roman" w:hAnsi="Times New Roman" w:cs="Times New Roman"/>
          <w:sz w:val="16"/>
          <w:szCs w:val="16"/>
          <w:u w:val="single"/>
          <w:lang w:val="es-ES"/>
        </w:rPr>
        <w:t>www.indec.gov.ar</w:t>
      </w:r>
      <w:r w:rsidRPr="005F705E">
        <w:rPr>
          <w:rFonts w:ascii="Times New Roman" w:hAnsi="Times New Roman" w:cs="Times New Roman"/>
          <w:sz w:val="16"/>
          <w:szCs w:val="16"/>
          <w:lang w:val="es-ES"/>
        </w:rPr>
        <w:t>&gt;</w:t>
      </w:r>
    </w:p>
    <w:p w:rsidR="00FA300F" w:rsidRPr="005F705E" w:rsidRDefault="00FA300F" w:rsidP="00FA300F">
      <w:pPr>
        <w:pStyle w:val="Sinespaciado"/>
        <w:jc w:val="both"/>
        <w:rPr>
          <w:rFonts w:ascii="Times New Roman" w:hAnsi="Times New Roman" w:cs="Times New Roman"/>
          <w:sz w:val="22"/>
        </w:rPr>
      </w:pPr>
    </w:p>
    <w:p w:rsidR="00DE01DA" w:rsidRPr="005F705E" w:rsidRDefault="00DE01DA"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El análisis precedente muestra que las modificaciones en el mercado de trabajo vistas desde las unidades domésticas dan cuenta de la persistencia de una estructura segmentada en la que los hogares ubicados en distintas posiciones sociales no tuvieron similares chances de disponer de empleos formales. Los hogares que </w:t>
      </w:r>
      <w:r w:rsidR="005844FC" w:rsidRPr="005F705E">
        <w:rPr>
          <w:rFonts w:ascii="Times New Roman" w:hAnsi="Times New Roman" w:cs="Times New Roman"/>
          <w:lang w:val="es-ES"/>
        </w:rPr>
        <w:t xml:space="preserve">participaban del </w:t>
      </w:r>
      <w:r w:rsidR="005844FC" w:rsidRPr="005F705E">
        <w:rPr>
          <w:rFonts w:ascii="Times New Roman" w:hAnsi="Times New Roman" w:cs="Times New Roman"/>
          <w:lang w:val="es-ES"/>
        </w:rPr>
        <w:lastRenderedPageBreak/>
        <w:t>sector formal</w:t>
      </w:r>
      <w:r w:rsidRPr="005F705E">
        <w:rPr>
          <w:rFonts w:ascii="Times New Roman" w:hAnsi="Times New Roman" w:cs="Times New Roman"/>
          <w:lang w:val="es-ES"/>
        </w:rPr>
        <w:t xml:space="preserve"> a través de su PSH “capturaron” con mayor facilidad </w:t>
      </w:r>
      <w:r w:rsidR="005844FC" w:rsidRPr="005F705E">
        <w:rPr>
          <w:rFonts w:ascii="Times New Roman" w:hAnsi="Times New Roman" w:cs="Times New Roman"/>
          <w:lang w:val="es-ES"/>
        </w:rPr>
        <w:t xml:space="preserve">ocupaciones de este tipo a través de sus ocupados secundarios. En contraste, </w:t>
      </w:r>
      <w:r w:rsidRPr="005F705E">
        <w:rPr>
          <w:rFonts w:ascii="Times New Roman" w:hAnsi="Times New Roman" w:cs="Times New Roman"/>
          <w:lang w:val="es-ES"/>
        </w:rPr>
        <w:t>los que participaban en el sector microempresario o tenían un PSH precario tuvieron mayores dificultades para acceder a tales empleos por medio de sus ocupados secundarios –aun controlando atributos individuales de la fuerza de trabajo–</w:t>
      </w:r>
      <w:r w:rsidRPr="005F705E">
        <w:rPr>
          <w:rStyle w:val="Refdenotaalpie"/>
          <w:rFonts w:ascii="Times New Roman" w:hAnsi="Times New Roman" w:cs="Times New Roman"/>
          <w:lang w:val="es-ES"/>
        </w:rPr>
        <w:footnoteReference w:id="16"/>
      </w:r>
      <w:r w:rsidRPr="005F705E">
        <w:rPr>
          <w:rFonts w:ascii="Times New Roman" w:hAnsi="Times New Roman" w:cs="Times New Roman"/>
          <w:lang w:val="es-ES"/>
        </w:rPr>
        <w:t xml:space="preserve">. </w:t>
      </w:r>
    </w:p>
    <w:p w:rsidR="00A33618" w:rsidRPr="005F705E" w:rsidRDefault="00DE01DA"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Así, nuestras</w:t>
      </w:r>
      <w:r w:rsidR="00C80137" w:rsidRPr="005F705E">
        <w:rPr>
          <w:rFonts w:ascii="Times New Roman" w:hAnsi="Times New Roman" w:cs="Times New Roman"/>
          <w:lang w:val="es-ES"/>
        </w:rPr>
        <w:t xml:space="preserve"> conclusiones se aproximan –si bien a partir de un enfoque diferente– a los hallazgos de Groisman (2011) para los primeros años del modelo económico post-crisis. Tal como hemos planteado anteriormente, en condiciones de heterogeneidad estructural y persistente segmentación de los mercados, una parte de las unidades domésticas han permanecido en condiciones de marginalidad en términos de </w:t>
      </w:r>
      <w:r w:rsidR="00A33618" w:rsidRPr="005F705E">
        <w:rPr>
          <w:rFonts w:ascii="Times New Roman" w:hAnsi="Times New Roman" w:cs="Times New Roman"/>
          <w:lang w:val="es-ES"/>
        </w:rPr>
        <w:t>la</w:t>
      </w:r>
      <w:r w:rsidR="00C80137" w:rsidRPr="005F705E">
        <w:rPr>
          <w:rFonts w:ascii="Times New Roman" w:hAnsi="Times New Roman" w:cs="Times New Roman"/>
          <w:lang w:val="es-ES"/>
        </w:rPr>
        <w:t xml:space="preserve"> inserción </w:t>
      </w:r>
      <w:r w:rsidR="00A33618" w:rsidRPr="005F705E">
        <w:rPr>
          <w:rFonts w:ascii="Times New Roman" w:hAnsi="Times New Roman" w:cs="Times New Roman"/>
          <w:lang w:val="es-ES"/>
        </w:rPr>
        <w:t>económico-</w:t>
      </w:r>
      <w:r w:rsidR="00C80137" w:rsidRPr="005F705E">
        <w:rPr>
          <w:rFonts w:ascii="Times New Roman" w:hAnsi="Times New Roman" w:cs="Times New Roman"/>
          <w:lang w:val="es-ES"/>
        </w:rPr>
        <w:t xml:space="preserve">ocupacional </w:t>
      </w:r>
      <w:r w:rsidR="00A33618" w:rsidRPr="005F705E">
        <w:rPr>
          <w:rFonts w:ascii="Times New Roman" w:hAnsi="Times New Roman" w:cs="Times New Roman"/>
          <w:lang w:val="es-ES"/>
        </w:rPr>
        <w:t xml:space="preserve">de sus integrantes, </w:t>
      </w:r>
      <w:r w:rsidR="00C80137" w:rsidRPr="005F705E">
        <w:rPr>
          <w:rFonts w:ascii="Times New Roman" w:hAnsi="Times New Roman" w:cs="Times New Roman"/>
          <w:lang w:val="es-ES"/>
        </w:rPr>
        <w:t xml:space="preserve">que no se resuelve al considerar a </w:t>
      </w:r>
      <w:r w:rsidR="00A33618" w:rsidRPr="005F705E">
        <w:rPr>
          <w:rFonts w:ascii="Times New Roman" w:hAnsi="Times New Roman" w:cs="Times New Roman"/>
          <w:lang w:val="es-ES"/>
        </w:rPr>
        <w:t xml:space="preserve">los </w:t>
      </w:r>
      <w:r w:rsidR="00C80137" w:rsidRPr="005F705E">
        <w:rPr>
          <w:rFonts w:ascii="Times New Roman" w:hAnsi="Times New Roman" w:cs="Times New Roman"/>
          <w:lang w:val="es-ES"/>
        </w:rPr>
        <w:t>ocupados del hogar</w:t>
      </w:r>
      <w:r w:rsidR="00A33618" w:rsidRPr="005F705E">
        <w:rPr>
          <w:rFonts w:ascii="Times New Roman" w:hAnsi="Times New Roman" w:cs="Times New Roman"/>
          <w:lang w:val="es-ES"/>
        </w:rPr>
        <w:t xml:space="preserve"> que no sean el</w:t>
      </w:r>
      <w:r w:rsidR="00F741E8" w:rsidRPr="005F705E">
        <w:rPr>
          <w:rFonts w:ascii="Times New Roman" w:hAnsi="Times New Roman" w:cs="Times New Roman"/>
          <w:lang w:val="es-ES"/>
        </w:rPr>
        <w:t xml:space="preserve"> PSH.</w:t>
      </w:r>
      <w:r w:rsidR="005670FC" w:rsidRPr="005F705E">
        <w:rPr>
          <w:rFonts w:ascii="Times New Roman" w:hAnsi="Times New Roman" w:cs="Times New Roman"/>
          <w:lang w:val="es-ES"/>
        </w:rPr>
        <w:t xml:space="preserve"> </w:t>
      </w:r>
    </w:p>
    <w:p w:rsidR="008C4A9F" w:rsidRPr="005F705E" w:rsidRDefault="009D3AA1" w:rsidP="00F115BD">
      <w:pPr>
        <w:pStyle w:val="Sinespaciado"/>
        <w:jc w:val="both"/>
        <w:rPr>
          <w:rFonts w:ascii="Times New Roman" w:hAnsi="Times New Roman" w:cs="Times New Roman"/>
          <w:b/>
          <w:lang w:val="es-ES"/>
        </w:rPr>
      </w:pPr>
      <w:r w:rsidRPr="005F705E">
        <w:rPr>
          <w:rFonts w:ascii="Times New Roman" w:hAnsi="Times New Roman" w:cs="Times New Roman"/>
          <w:b/>
          <w:lang w:val="es-ES"/>
        </w:rPr>
        <w:t>4.</w:t>
      </w:r>
      <w:r w:rsidR="008C4A9F" w:rsidRPr="005F705E">
        <w:rPr>
          <w:rFonts w:ascii="Times New Roman" w:hAnsi="Times New Roman" w:cs="Times New Roman"/>
          <w:b/>
          <w:lang w:val="es-ES"/>
        </w:rPr>
        <w:t xml:space="preserve"> </w:t>
      </w:r>
      <w:r w:rsidR="0063010C" w:rsidRPr="005F705E">
        <w:rPr>
          <w:rFonts w:ascii="Times New Roman" w:hAnsi="Times New Roman" w:cs="Times New Roman"/>
          <w:b/>
          <w:lang w:val="es-ES"/>
        </w:rPr>
        <w:t>Participación laboral y condiciones de vida familiares</w:t>
      </w:r>
      <w:r w:rsidR="00ED7573" w:rsidRPr="005F705E">
        <w:rPr>
          <w:rFonts w:ascii="Times New Roman" w:hAnsi="Times New Roman" w:cs="Times New Roman"/>
          <w:b/>
          <w:lang w:val="es-ES"/>
        </w:rPr>
        <w:t xml:space="preserve">: ganadores, perdedores y desigualdades persistentes durante el </w:t>
      </w:r>
      <w:r w:rsidR="00C147E1" w:rsidRPr="005F705E">
        <w:rPr>
          <w:rFonts w:ascii="Times New Roman" w:hAnsi="Times New Roman" w:cs="Times New Roman"/>
          <w:b/>
          <w:lang w:val="es-ES"/>
        </w:rPr>
        <w:t>ciclo post-reformas</w:t>
      </w:r>
    </w:p>
    <w:p w:rsidR="00C80137" w:rsidRPr="005F705E" w:rsidRDefault="00C80137" w:rsidP="00F115BD">
      <w:pPr>
        <w:pStyle w:val="Sinespaciado"/>
        <w:jc w:val="both"/>
        <w:rPr>
          <w:rFonts w:ascii="Times New Roman" w:hAnsi="Times New Roman" w:cs="Times New Roman"/>
          <w:lang w:val="es-ES"/>
        </w:rPr>
      </w:pPr>
    </w:p>
    <w:p w:rsidR="00C80137" w:rsidRPr="005F705E" w:rsidRDefault="00E04532"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En esta sección nos preguntamos por la relación existente entre los cambios en las oportunidades laborales y el bienestar económico de los hogares. Nos aproximamos al bienestar a través del ingreso per cápita familiar</w:t>
      </w:r>
      <w:r w:rsidR="00C147E1" w:rsidRPr="005F705E">
        <w:rPr>
          <w:rFonts w:ascii="Times New Roman" w:hAnsi="Times New Roman" w:cs="Times New Roman"/>
          <w:lang w:val="es-ES"/>
        </w:rPr>
        <w:t xml:space="preserve"> real</w:t>
      </w:r>
      <w:r w:rsidR="00C147E1" w:rsidRPr="005F705E">
        <w:rPr>
          <w:rStyle w:val="Refdenotaalpie"/>
          <w:rFonts w:ascii="Times New Roman" w:hAnsi="Times New Roman" w:cs="Times New Roman"/>
          <w:lang w:val="es-ES"/>
        </w:rPr>
        <w:footnoteReference w:id="17"/>
      </w:r>
      <w:r w:rsidRPr="005F705E">
        <w:rPr>
          <w:rFonts w:ascii="Times New Roman" w:hAnsi="Times New Roman" w:cs="Times New Roman"/>
          <w:lang w:val="es-ES"/>
        </w:rPr>
        <w:t xml:space="preserve"> y consideramos la incidencia de la pobreza como un indicador estandarizado</w:t>
      </w:r>
      <w:r w:rsidR="00F55C8E" w:rsidRPr="005F705E">
        <w:rPr>
          <w:rFonts w:ascii="Times New Roman" w:hAnsi="Times New Roman" w:cs="Times New Roman"/>
          <w:lang w:val="es-ES"/>
        </w:rPr>
        <w:t xml:space="preserve"> del mismo</w:t>
      </w:r>
      <w:r w:rsidRPr="005F705E">
        <w:rPr>
          <w:rFonts w:ascii="Times New Roman" w:hAnsi="Times New Roman" w:cs="Times New Roman"/>
          <w:lang w:val="es-ES"/>
        </w:rPr>
        <w:t xml:space="preserve">. </w:t>
      </w:r>
      <w:r w:rsidR="00C147E1" w:rsidRPr="005F705E">
        <w:rPr>
          <w:rFonts w:ascii="Times New Roman" w:hAnsi="Times New Roman" w:cs="Times New Roman"/>
          <w:lang w:val="es-ES"/>
        </w:rPr>
        <w:t>C</w:t>
      </w:r>
      <w:r w:rsidRPr="005F705E">
        <w:rPr>
          <w:rFonts w:ascii="Times New Roman" w:hAnsi="Times New Roman" w:cs="Times New Roman"/>
          <w:lang w:val="es-ES"/>
        </w:rPr>
        <w:t>abe subrayar que el ingreso per cápita familiar es el resultado combinado de los ingresos provenientes del mercado de trabajo, de aquellos derivados de políticas sociales u otras fuentes no laborales y de los propios comportamientos demográficos de las unidades domésticas (Salvia, 2012)</w:t>
      </w:r>
      <w:r w:rsidR="00C147E1" w:rsidRPr="005F705E">
        <w:rPr>
          <w:rFonts w:ascii="Times New Roman" w:hAnsi="Times New Roman" w:cs="Times New Roman"/>
          <w:lang w:val="es-ES"/>
        </w:rPr>
        <w:t xml:space="preserve">. Aquí </w:t>
      </w:r>
      <w:r w:rsidRPr="005F705E">
        <w:rPr>
          <w:rFonts w:ascii="Times New Roman" w:hAnsi="Times New Roman" w:cs="Times New Roman"/>
          <w:lang w:val="es-ES"/>
        </w:rPr>
        <w:t xml:space="preserve"> no abordamos </w:t>
      </w:r>
      <w:r w:rsidR="00C147E1" w:rsidRPr="005F705E">
        <w:rPr>
          <w:rFonts w:ascii="Times New Roman" w:hAnsi="Times New Roman" w:cs="Times New Roman"/>
          <w:lang w:val="es-ES"/>
        </w:rPr>
        <w:t xml:space="preserve">detalladamente </w:t>
      </w:r>
      <w:r w:rsidR="00446174" w:rsidRPr="005F705E">
        <w:rPr>
          <w:rFonts w:ascii="Times New Roman" w:hAnsi="Times New Roman" w:cs="Times New Roman"/>
          <w:lang w:val="es-ES"/>
        </w:rPr>
        <w:t>el rol de tales componentes sino</w:t>
      </w:r>
      <w:r w:rsidRPr="005F705E">
        <w:rPr>
          <w:rFonts w:ascii="Times New Roman" w:hAnsi="Times New Roman" w:cs="Times New Roman"/>
          <w:lang w:val="es-ES"/>
        </w:rPr>
        <w:t xml:space="preserve"> las oportunidades </w:t>
      </w:r>
      <w:r w:rsidRPr="005F705E">
        <w:rPr>
          <w:rFonts w:ascii="Times New Roman" w:hAnsi="Times New Roman" w:cs="Times New Roman"/>
          <w:lang w:val="es-ES"/>
        </w:rPr>
        <w:lastRenderedPageBreak/>
        <w:t>de bienestar asociadas a las distintas posiciones socio-económicas</w:t>
      </w:r>
      <w:r w:rsidR="00C147E1" w:rsidRPr="005F705E">
        <w:rPr>
          <w:rFonts w:ascii="Times New Roman" w:hAnsi="Times New Roman" w:cs="Times New Roman"/>
          <w:lang w:val="es-ES"/>
        </w:rPr>
        <w:t>; sin embargo, presentamos la evolución del ingreso per cápita familiar total y neto de ingresos no laborales con el propósito de evaluar lo ocurrido en base a la participación laboral de las familias</w:t>
      </w:r>
      <w:r w:rsidRPr="005F705E">
        <w:rPr>
          <w:rFonts w:ascii="Times New Roman" w:hAnsi="Times New Roman" w:cs="Times New Roman"/>
          <w:lang w:val="es-ES"/>
        </w:rPr>
        <w:t xml:space="preserve">. </w:t>
      </w:r>
    </w:p>
    <w:p w:rsidR="00A42195" w:rsidRPr="005F705E" w:rsidRDefault="00430D53"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Durante los años post-</w:t>
      </w:r>
      <w:r w:rsidR="00C147E1" w:rsidRPr="005F705E">
        <w:rPr>
          <w:rFonts w:ascii="Times New Roman" w:hAnsi="Times New Roman" w:cs="Times New Roman"/>
          <w:lang w:val="es-ES"/>
        </w:rPr>
        <w:t>reformas</w:t>
      </w:r>
      <w:r w:rsidR="00DD1197" w:rsidRPr="005F705E">
        <w:rPr>
          <w:rFonts w:ascii="Times New Roman" w:hAnsi="Times New Roman" w:cs="Times New Roman"/>
          <w:lang w:val="es-ES"/>
        </w:rPr>
        <w:t xml:space="preserve"> </w:t>
      </w:r>
      <w:r w:rsidR="00FB2F44" w:rsidRPr="005F705E">
        <w:rPr>
          <w:rFonts w:ascii="Times New Roman" w:hAnsi="Times New Roman" w:cs="Times New Roman"/>
          <w:lang w:val="es-ES"/>
        </w:rPr>
        <w:t>se constató</w:t>
      </w:r>
      <w:r w:rsidR="00DD1197" w:rsidRPr="005F705E">
        <w:rPr>
          <w:rFonts w:ascii="Times New Roman" w:hAnsi="Times New Roman" w:cs="Times New Roman"/>
          <w:lang w:val="es-ES"/>
        </w:rPr>
        <w:t xml:space="preserve"> un doble proceso a nivel de las unidades domésticas. Por una parte, </w:t>
      </w:r>
      <w:r w:rsidRPr="005F705E">
        <w:rPr>
          <w:rFonts w:ascii="Times New Roman" w:hAnsi="Times New Roman" w:cs="Times New Roman"/>
          <w:lang w:val="es-ES"/>
        </w:rPr>
        <w:t xml:space="preserve">se recompuso el nivel </w:t>
      </w:r>
      <w:r w:rsidR="00DD1197" w:rsidRPr="005F705E">
        <w:rPr>
          <w:rFonts w:ascii="Times New Roman" w:hAnsi="Times New Roman" w:cs="Times New Roman"/>
          <w:lang w:val="es-ES"/>
        </w:rPr>
        <w:t xml:space="preserve">de vida </w:t>
      </w:r>
      <w:r w:rsidRPr="005F705E">
        <w:rPr>
          <w:rFonts w:ascii="Times New Roman" w:hAnsi="Times New Roman" w:cs="Times New Roman"/>
          <w:lang w:val="es-ES"/>
        </w:rPr>
        <w:t>del conjunto de los hogares urbanos, tomando en cuenta la evolución del ingreso per cápita familiar (</w:t>
      </w:r>
      <w:r w:rsidR="00C147E1" w:rsidRPr="005F705E">
        <w:rPr>
          <w:rFonts w:ascii="Times New Roman" w:hAnsi="Times New Roman" w:cs="Times New Roman"/>
          <w:lang w:val="es-ES"/>
        </w:rPr>
        <w:t>Cuadro 7</w:t>
      </w:r>
      <w:r w:rsidRPr="005F705E">
        <w:rPr>
          <w:rFonts w:ascii="Times New Roman" w:hAnsi="Times New Roman" w:cs="Times New Roman"/>
          <w:lang w:val="es-ES"/>
        </w:rPr>
        <w:t>).</w:t>
      </w:r>
      <w:r w:rsidR="00DD1197" w:rsidRPr="005F705E">
        <w:rPr>
          <w:rFonts w:ascii="Times New Roman" w:hAnsi="Times New Roman" w:cs="Times New Roman"/>
          <w:lang w:val="es-ES"/>
        </w:rPr>
        <w:t xml:space="preserve"> Por otra parte, este proceso de recomposición fue diferenci</w:t>
      </w:r>
      <w:r w:rsidRPr="005F705E">
        <w:rPr>
          <w:rFonts w:ascii="Times New Roman" w:hAnsi="Times New Roman" w:cs="Times New Roman"/>
          <w:lang w:val="es-ES"/>
        </w:rPr>
        <w:t>al</w:t>
      </w:r>
      <w:r w:rsidR="00DD1197" w:rsidRPr="005F705E">
        <w:rPr>
          <w:rFonts w:ascii="Times New Roman" w:hAnsi="Times New Roman" w:cs="Times New Roman"/>
          <w:lang w:val="es-ES"/>
        </w:rPr>
        <w:t xml:space="preserve"> </w:t>
      </w:r>
      <w:r w:rsidRPr="005F705E">
        <w:rPr>
          <w:rFonts w:ascii="Times New Roman" w:hAnsi="Times New Roman" w:cs="Times New Roman"/>
          <w:lang w:val="es-ES"/>
        </w:rPr>
        <w:t>para los hogares según la posición ocupacional del PSH</w:t>
      </w:r>
      <w:r w:rsidR="00DD1197" w:rsidRPr="005F705E">
        <w:rPr>
          <w:rFonts w:ascii="Times New Roman" w:hAnsi="Times New Roman" w:cs="Times New Roman"/>
          <w:lang w:val="es-ES"/>
        </w:rPr>
        <w:t xml:space="preserve">. </w:t>
      </w:r>
      <w:r w:rsidRPr="005F705E">
        <w:rPr>
          <w:rFonts w:ascii="Times New Roman" w:hAnsi="Times New Roman" w:cs="Times New Roman"/>
          <w:lang w:val="es-ES"/>
        </w:rPr>
        <w:t>Es aquí donde se encuentran elementos significativos para explicar la reducción de la desigualdad global</w:t>
      </w:r>
      <w:r w:rsidR="00DD1197" w:rsidRPr="005F705E">
        <w:rPr>
          <w:rFonts w:ascii="Times New Roman" w:hAnsi="Times New Roman" w:cs="Times New Roman"/>
          <w:lang w:val="es-ES"/>
        </w:rPr>
        <w:t>.</w:t>
      </w:r>
    </w:p>
    <w:p w:rsidR="00685D15" w:rsidRPr="005F705E" w:rsidRDefault="00DE4300" w:rsidP="00685D15">
      <w:pPr>
        <w:pStyle w:val="Sinespaciado"/>
        <w:jc w:val="both"/>
        <w:rPr>
          <w:rFonts w:ascii="Times New Roman" w:hAnsi="Times New Roman" w:cs="Times New Roman"/>
          <w:b/>
          <w:sz w:val="22"/>
          <w:lang w:val="es-ES"/>
        </w:rPr>
      </w:pPr>
      <w:r w:rsidRPr="005F705E">
        <w:rPr>
          <w:rFonts w:ascii="Times New Roman" w:hAnsi="Times New Roman" w:cs="Times New Roman"/>
          <w:b/>
          <w:sz w:val="22"/>
          <w:lang w:val="es-ES"/>
        </w:rPr>
        <w:t>Cuadro</w:t>
      </w:r>
      <w:r w:rsidR="00685D15" w:rsidRPr="005F705E">
        <w:rPr>
          <w:rFonts w:ascii="Times New Roman" w:hAnsi="Times New Roman" w:cs="Times New Roman"/>
          <w:b/>
          <w:sz w:val="22"/>
          <w:lang w:val="es-ES"/>
        </w:rPr>
        <w:t xml:space="preserve"> </w:t>
      </w:r>
      <w:r w:rsidRPr="005F705E">
        <w:rPr>
          <w:rFonts w:ascii="Times New Roman" w:hAnsi="Times New Roman" w:cs="Times New Roman"/>
          <w:b/>
          <w:sz w:val="22"/>
          <w:lang w:val="es-ES"/>
        </w:rPr>
        <w:t>7</w:t>
      </w:r>
      <w:r w:rsidR="00685D15" w:rsidRPr="005F705E">
        <w:rPr>
          <w:rFonts w:ascii="Times New Roman" w:hAnsi="Times New Roman" w:cs="Times New Roman"/>
          <w:b/>
          <w:sz w:val="22"/>
          <w:lang w:val="es-ES"/>
        </w:rPr>
        <w:t xml:space="preserve">. Variación del ingreso per cápita familiar real </w:t>
      </w:r>
      <w:r w:rsidR="00C147E1" w:rsidRPr="005F705E">
        <w:rPr>
          <w:rFonts w:ascii="Times New Roman" w:hAnsi="Times New Roman" w:cs="Times New Roman"/>
          <w:b/>
          <w:sz w:val="22"/>
          <w:lang w:val="es-ES"/>
        </w:rPr>
        <w:t xml:space="preserve">(total y neto de ingresos no laborales) </w:t>
      </w:r>
      <w:r w:rsidR="004572F7" w:rsidRPr="005F705E">
        <w:rPr>
          <w:rFonts w:ascii="Times New Roman" w:hAnsi="Times New Roman" w:cs="Times New Roman"/>
          <w:b/>
          <w:sz w:val="22"/>
          <w:lang w:val="es-ES"/>
        </w:rPr>
        <w:t xml:space="preserve">de los hogares </w:t>
      </w:r>
      <w:r w:rsidR="00685D15" w:rsidRPr="005F705E">
        <w:rPr>
          <w:rFonts w:ascii="Times New Roman" w:hAnsi="Times New Roman" w:cs="Times New Roman"/>
          <w:b/>
          <w:sz w:val="22"/>
          <w:lang w:val="es-ES"/>
        </w:rPr>
        <w:t xml:space="preserve">según posición económico-ocupacional del </w:t>
      </w:r>
      <w:r w:rsidR="004572F7" w:rsidRPr="005F705E">
        <w:rPr>
          <w:rFonts w:ascii="Times New Roman" w:hAnsi="Times New Roman" w:cs="Times New Roman"/>
          <w:b/>
          <w:sz w:val="22"/>
          <w:lang w:val="es-ES"/>
        </w:rPr>
        <w:t>Principal Sostén del Hogar</w:t>
      </w:r>
      <w:r w:rsidR="00E3306D" w:rsidRPr="005F705E">
        <w:rPr>
          <w:rFonts w:ascii="Times New Roman" w:hAnsi="Times New Roman" w:cs="Times New Roman"/>
          <w:b/>
          <w:sz w:val="22"/>
          <w:vertAlign w:val="superscript"/>
          <w:lang w:val="es-ES"/>
        </w:rPr>
        <w:t>(1)</w:t>
      </w:r>
      <w:r w:rsidR="00685D15" w:rsidRPr="005F705E">
        <w:rPr>
          <w:rFonts w:ascii="Times New Roman" w:hAnsi="Times New Roman" w:cs="Times New Roman"/>
          <w:b/>
          <w:sz w:val="22"/>
          <w:lang w:val="es-ES"/>
        </w:rPr>
        <w:t>. Total de Aglomerados urbanos. Argentina, 2003-2014.</w:t>
      </w:r>
    </w:p>
    <w:p w:rsidR="00685D15" w:rsidRPr="005F705E" w:rsidRDefault="00685D15" w:rsidP="00685D15">
      <w:pPr>
        <w:pStyle w:val="Sinespaciado"/>
        <w:jc w:val="both"/>
        <w:rPr>
          <w:rFonts w:ascii="Times New Roman" w:hAnsi="Times New Roman" w:cs="Times New Roman"/>
          <w:sz w:val="20"/>
          <w:lang w:val="es-ES"/>
        </w:rPr>
      </w:pPr>
      <w:r w:rsidRPr="005F705E">
        <w:rPr>
          <w:rFonts w:ascii="Times New Roman" w:hAnsi="Times New Roman" w:cs="Times New Roman"/>
          <w:sz w:val="20"/>
          <w:lang w:val="es-ES"/>
        </w:rPr>
        <w:t>En variación porcentual promedio anual de los períodos considerados.</w:t>
      </w:r>
    </w:p>
    <w:tbl>
      <w:tblPr>
        <w:tblW w:w="8613" w:type="dxa"/>
        <w:jc w:val="center"/>
        <w:tblInd w:w="178" w:type="dxa"/>
        <w:tblCellMar>
          <w:left w:w="70" w:type="dxa"/>
          <w:right w:w="70" w:type="dxa"/>
        </w:tblCellMar>
        <w:tblLook w:val="04A0"/>
      </w:tblPr>
      <w:tblGrid>
        <w:gridCol w:w="4287"/>
        <w:gridCol w:w="652"/>
        <w:gridCol w:w="790"/>
        <w:gridCol w:w="652"/>
        <w:gridCol w:w="790"/>
        <w:gridCol w:w="652"/>
        <w:gridCol w:w="790"/>
      </w:tblGrid>
      <w:tr w:rsidR="00C147E1" w:rsidRPr="005F705E" w:rsidTr="00C147E1">
        <w:trPr>
          <w:trHeight w:val="246"/>
          <w:jc w:val="center"/>
        </w:trPr>
        <w:tc>
          <w:tcPr>
            <w:tcW w:w="42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144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2007-2003</w:t>
            </w:r>
          </w:p>
        </w:tc>
        <w:tc>
          <w:tcPr>
            <w:tcW w:w="144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147E1" w:rsidRPr="005F705E" w:rsidRDefault="005844FC" w:rsidP="005844FC">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w:t>
            </w:r>
            <w:r w:rsidR="00C147E1" w:rsidRPr="005F705E">
              <w:rPr>
                <w:rFonts w:ascii="Times New Roman" w:eastAsia="Times New Roman" w:hAnsi="Times New Roman" w:cs="Times New Roman"/>
                <w:b/>
                <w:bCs/>
                <w:color w:val="000000"/>
                <w:sz w:val="18"/>
                <w:szCs w:val="18"/>
                <w:lang w:eastAsia="es-AR"/>
              </w:rPr>
              <w:t>-20</w:t>
            </w:r>
            <w:r w:rsidRPr="005F705E">
              <w:rPr>
                <w:rFonts w:ascii="Times New Roman" w:eastAsia="Times New Roman" w:hAnsi="Times New Roman" w:cs="Times New Roman"/>
                <w:b/>
                <w:bCs/>
                <w:color w:val="000000"/>
                <w:sz w:val="18"/>
                <w:szCs w:val="18"/>
                <w:lang w:eastAsia="es-AR"/>
              </w:rPr>
              <w:t>07</w:t>
            </w:r>
          </w:p>
        </w:tc>
        <w:tc>
          <w:tcPr>
            <w:tcW w:w="144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147E1" w:rsidRPr="005F705E" w:rsidRDefault="00C147E1" w:rsidP="005844FC">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2014-20</w:t>
            </w:r>
            <w:r w:rsidR="005844FC" w:rsidRPr="005F705E">
              <w:rPr>
                <w:rFonts w:ascii="Times New Roman" w:eastAsia="Times New Roman" w:hAnsi="Times New Roman" w:cs="Times New Roman"/>
                <w:b/>
                <w:bCs/>
                <w:color w:val="000000"/>
                <w:sz w:val="18"/>
                <w:szCs w:val="18"/>
                <w:lang w:eastAsia="es-AR"/>
              </w:rPr>
              <w:t>0</w:t>
            </w:r>
            <w:r w:rsidRPr="005F705E">
              <w:rPr>
                <w:rFonts w:ascii="Times New Roman" w:eastAsia="Times New Roman" w:hAnsi="Times New Roman" w:cs="Times New Roman"/>
                <w:b/>
                <w:bCs/>
                <w:color w:val="000000"/>
                <w:sz w:val="18"/>
                <w:szCs w:val="18"/>
                <w:lang w:eastAsia="es-AR"/>
              </w:rPr>
              <w:t>3</w:t>
            </w:r>
          </w:p>
        </w:tc>
      </w:tr>
      <w:tr w:rsidR="00C147E1" w:rsidRPr="005F705E" w:rsidTr="00C147E1">
        <w:trPr>
          <w:trHeight w:val="908"/>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single" w:sz="4" w:space="0" w:color="auto"/>
              <w:right w:val="single" w:sz="4" w:space="0" w:color="auto"/>
            </w:tcBorders>
            <w:shd w:val="clear" w:color="000000" w:fill="FFFFFF"/>
            <w:vAlign w:val="center"/>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IPCF</w:t>
            </w:r>
          </w:p>
        </w:tc>
        <w:tc>
          <w:tcPr>
            <w:tcW w:w="790" w:type="dxa"/>
            <w:tcBorders>
              <w:top w:val="nil"/>
              <w:left w:val="nil"/>
              <w:bottom w:val="single" w:sz="4" w:space="0" w:color="auto"/>
              <w:right w:val="single" w:sz="4" w:space="0" w:color="auto"/>
            </w:tcBorders>
            <w:shd w:val="clear" w:color="000000" w:fill="FFFFFF"/>
            <w:vAlign w:val="center"/>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Sin ingresos no laborales</w:t>
            </w:r>
          </w:p>
        </w:tc>
        <w:tc>
          <w:tcPr>
            <w:tcW w:w="652" w:type="dxa"/>
            <w:tcBorders>
              <w:top w:val="nil"/>
              <w:left w:val="nil"/>
              <w:bottom w:val="single" w:sz="4" w:space="0" w:color="auto"/>
              <w:right w:val="single" w:sz="4" w:space="0" w:color="auto"/>
            </w:tcBorders>
            <w:shd w:val="clear" w:color="000000" w:fill="FFFFFF"/>
            <w:vAlign w:val="center"/>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IPCF</w:t>
            </w:r>
          </w:p>
        </w:tc>
        <w:tc>
          <w:tcPr>
            <w:tcW w:w="790" w:type="dxa"/>
            <w:tcBorders>
              <w:top w:val="nil"/>
              <w:left w:val="nil"/>
              <w:bottom w:val="single" w:sz="4" w:space="0" w:color="auto"/>
              <w:right w:val="single" w:sz="4" w:space="0" w:color="auto"/>
            </w:tcBorders>
            <w:shd w:val="clear" w:color="000000" w:fill="FFFFFF"/>
            <w:vAlign w:val="center"/>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Sin ingresos no laborales</w:t>
            </w:r>
          </w:p>
        </w:tc>
        <w:tc>
          <w:tcPr>
            <w:tcW w:w="652" w:type="dxa"/>
            <w:tcBorders>
              <w:top w:val="nil"/>
              <w:left w:val="nil"/>
              <w:bottom w:val="single" w:sz="4" w:space="0" w:color="auto"/>
              <w:right w:val="single" w:sz="4" w:space="0" w:color="auto"/>
            </w:tcBorders>
            <w:shd w:val="clear" w:color="000000" w:fill="FFFFFF"/>
            <w:vAlign w:val="center"/>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IPCF</w:t>
            </w:r>
          </w:p>
        </w:tc>
        <w:tc>
          <w:tcPr>
            <w:tcW w:w="790" w:type="dxa"/>
            <w:tcBorders>
              <w:top w:val="nil"/>
              <w:left w:val="nil"/>
              <w:bottom w:val="single" w:sz="4" w:space="0" w:color="auto"/>
              <w:right w:val="single" w:sz="4" w:space="0" w:color="auto"/>
            </w:tcBorders>
            <w:shd w:val="clear" w:color="000000" w:fill="FFFFFF"/>
            <w:vAlign w:val="center"/>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Sin ingresos no laborales</w:t>
            </w:r>
          </w:p>
        </w:tc>
      </w:tr>
      <w:tr w:rsidR="00C147E1" w:rsidRPr="005F705E" w:rsidTr="00C147E1">
        <w:trPr>
          <w:trHeight w:val="224"/>
          <w:jc w:val="center"/>
        </w:trPr>
        <w:tc>
          <w:tcPr>
            <w:tcW w:w="4287" w:type="dxa"/>
            <w:tcBorders>
              <w:top w:val="single" w:sz="4" w:space="0" w:color="auto"/>
              <w:left w:val="single" w:sz="4" w:space="0" w:color="auto"/>
              <w:bottom w:val="nil"/>
              <w:right w:val="single" w:sz="4" w:space="0" w:color="auto"/>
            </w:tcBorders>
            <w:shd w:val="clear" w:color="000000" w:fill="F2F2F2"/>
            <w:noWrap/>
            <w:vAlign w:val="bottom"/>
            <w:hideMark/>
          </w:tcPr>
          <w:p w:rsidR="00C147E1" w:rsidRPr="005F705E" w:rsidRDefault="00C147E1" w:rsidP="00C147E1">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formal público y privado</w:t>
            </w:r>
          </w:p>
        </w:tc>
        <w:tc>
          <w:tcPr>
            <w:tcW w:w="652"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6,3</w:t>
            </w:r>
          </w:p>
        </w:tc>
        <w:tc>
          <w:tcPr>
            <w:tcW w:w="790"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6,1</w:t>
            </w:r>
          </w:p>
        </w:tc>
        <w:tc>
          <w:tcPr>
            <w:tcW w:w="652"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0,7</w:t>
            </w:r>
          </w:p>
        </w:tc>
        <w:tc>
          <w:tcPr>
            <w:tcW w:w="790"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0,7</w:t>
            </w:r>
          </w:p>
        </w:tc>
        <w:tc>
          <w:tcPr>
            <w:tcW w:w="652"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2,7</w:t>
            </w:r>
          </w:p>
        </w:tc>
        <w:tc>
          <w:tcPr>
            <w:tcW w:w="790"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2,6</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52" w:type="dxa"/>
            <w:tcBorders>
              <w:top w:val="nil"/>
              <w:left w:val="nil"/>
              <w:bottom w:val="nil"/>
              <w:right w:val="single" w:sz="4" w:space="0" w:color="auto"/>
            </w:tcBorders>
            <w:shd w:val="clear" w:color="000000" w:fill="FFFFFF"/>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90" w:type="dxa"/>
            <w:tcBorders>
              <w:top w:val="nil"/>
              <w:left w:val="nil"/>
              <w:bottom w:val="nil"/>
              <w:right w:val="single" w:sz="4" w:space="0" w:color="auto"/>
            </w:tcBorders>
            <w:shd w:val="clear" w:color="000000" w:fill="FFFFFF"/>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52" w:type="dxa"/>
            <w:tcBorders>
              <w:top w:val="nil"/>
              <w:left w:val="nil"/>
              <w:bottom w:val="nil"/>
              <w:right w:val="single" w:sz="4" w:space="0" w:color="auto"/>
            </w:tcBorders>
            <w:shd w:val="clear" w:color="000000" w:fill="FFFFFF"/>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90" w:type="dxa"/>
            <w:tcBorders>
              <w:top w:val="nil"/>
              <w:left w:val="nil"/>
              <w:bottom w:val="nil"/>
              <w:right w:val="single" w:sz="4" w:space="0" w:color="auto"/>
            </w:tcBorders>
            <w:shd w:val="clear" w:color="000000" w:fill="FFFFFF"/>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652" w:type="dxa"/>
            <w:tcBorders>
              <w:top w:val="nil"/>
              <w:left w:val="nil"/>
              <w:bottom w:val="nil"/>
              <w:right w:val="single" w:sz="4" w:space="0" w:color="auto"/>
            </w:tcBorders>
            <w:shd w:val="clear" w:color="000000" w:fill="FFFFFF"/>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90" w:type="dxa"/>
            <w:tcBorders>
              <w:top w:val="nil"/>
              <w:left w:val="nil"/>
              <w:bottom w:val="nil"/>
              <w:right w:val="single" w:sz="4" w:space="0" w:color="auto"/>
            </w:tcBorders>
            <w:shd w:val="clear" w:color="000000" w:fill="FFFFFF"/>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Empleadores, directivos y profesionales</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3,8</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3,6</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-0,2</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-0,2</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1,1</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registrados del sector privado formal</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5,9</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5,8</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0,6</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0,4</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2,5</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2,4</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precarios del sector privado formal</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6,8</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6,1</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0,0</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-0,4</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2,4</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1,9</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Empleados del sector público</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8,8</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8,5</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2,3</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4,5</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4,5</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2F2F2"/>
            <w:noWrap/>
            <w:vAlign w:val="bottom"/>
            <w:hideMark/>
          </w:tcPr>
          <w:p w:rsidR="00C147E1" w:rsidRPr="005F705E" w:rsidRDefault="00C147E1" w:rsidP="00C147E1">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microempresario / informal</w:t>
            </w:r>
          </w:p>
        </w:tc>
        <w:tc>
          <w:tcPr>
            <w:tcW w:w="652"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8,6</w:t>
            </w:r>
          </w:p>
        </w:tc>
        <w:tc>
          <w:tcPr>
            <w:tcW w:w="790"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8,3</w:t>
            </w:r>
          </w:p>
        </w:tc>
        <w:tc>
          <w:tcPr>
            <w:tcW w:w="652"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1,0</w:t>
            </w:r>
          </w:p>
        </w:tc>
        <w:tc>
          <w:tcPr>
            <w:tcW w:w="790"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0,1</w:t>
            </w:r>
          </w:p>
        </w:tc>
        <w:tc>
          <w:tcPr>
            <w:tcW w:w="652"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3,7</w:t>
            </w:r>
          </w:p>
        </w:tc>
        <w:tc>
          <w:tcPr>
            <w:tcW w:w="790" w:type="dxa"/>
            <w:tcBorders>
              <w:top w:val="nil"/>
              <w:left w:val="nil"/>
              <w:bottom w:val="nil"/>
              <w:right w:val="single" w:sz="4" w:space="0" w:color="auto"/>
            </w:tcBorders>
            <w:shd w:val="clear" w:color="000000" w:fill="F2F2F2"/>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3,0</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Patrones microempresas y TCP calificados con capital</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8,5</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8,6</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-1,9</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-2,8</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TCP no calificados y/o sin capital propio</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10,1</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10,4</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0,4</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-0,7</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3,8</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3,2</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del sector privado microempresario</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7,1</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6,1</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3,0</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2,6</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4,5</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3,8</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Servicio doméstico</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1,9</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-1,4</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4,4</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3,6</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3,5</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1,7</w:t>
            </w:r>
          </w:p>
        </w:tc>
      </w:tr>
      <w:tr w:rsidR="00C147E1" w:rsidRPr="005F705E" w:rsidTr="00C147E1">
        <w:trPr>
          <w:trHeight w:val="224"/>
          <w:jc w:val="center"/>
        </w:trPr>
        <w:tc>
          <w:tcPr>
            <w:tcW w:w="4287" w:type="dxa"/>
            <w:tcBorders>
              <w:top w:val="nil"/>
              <w:left w:val="single" w:sz="4" w:space="0" w:color="auto"/>
              <w:bottom w:val="nil"/>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652"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90" w:type="dxa"/>
            <w:tcBorders>
              <w:top w:val="nil"/>
              <w:left w:val="nil"/>
              <w:bottom w:val="nil"/>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C147E1" w:rsidRPr="005F705E" w:rsidTr="00C147E1">
        <w:trPr>
          <w:trHeight w:val="224"/>
          <w:jc w:val="center"/>
        </w:trPr>
        <w:tc>
          <w:tcPr>
            <w:tcW w:w="4287" w:type="dxa"/>
            <w:tcBorders>
              <w:top w:val="nil"/>
              <w:left w:val="single" w:sz="4" w:space="0" w:color="auto"/>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Total</w:t>
            </w:r>
          </w:p>
        </w:tc>
        <w:tc>
          <w:tcPr>
            <w:tcW w:w="652" w:type="dxa"/>
            <w:tcBorders>
              <w:top w:val="nil"/>
              <w:left w:val="nil"/>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7,6</w:t>
            </w:r>
          </w:p>
        </w:tc>
        <w:tc>
          <w:tcPr>
            <w:tcW w:w="790" w:type="dxa"/>
            <w:tcBorders>
              <w:top w:val="nil"/>
              <w:left w:val="nil"/>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7,4</w:t>
            </w:r>
          </w:p>
        </w:tc>
        <w:tc>
          <w:tcPr>
            <w:tcW w:w="652" w:type="dxa"/>
            <w:tcBorders>
              <w:top w:val="nil"/>
              <w:left w:val="nil"/>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0,9</w:t>
            </w:r>
          </w:p>
        </w:tc>
        <w:tc>
          <w:tcPr>
            <w:tcW w:w="790" w:type="dxa"/>
            <w:tcBorders>
              <w:top w:val="nil"/>
              <w:left w:val="nil"/>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0,6</w:t>
            </w:r>
          </w:p>
        </w:tc>
        <w:tc>
          <w:tcPr>
            <w:tcW w:w="652" w:type="dxa"/>
            <w:tcBorders>
              <w:top w:val="nil"/>
              <w:left w:val="nil"/>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3,3</w:t>
            </w:r>
          </w:p>
        </w:tc>
        <w:tc>
          <w:tcPr>
            <w:tcW w:w="790" w:type="dxa"/>
            <w:tcBorders>
              <w:top w:val="nil"/>
              <w:left w:val="nil"/>
              <w:bottom w:val="single" w:sz="4" w:space="0" w:color="auto"/>
              <w:right w:val="single" w:sz="4" w:space="0" w:color="auto"/>
            </w:tcBorders>
            <w:shd w:val="clear" w:color="000000" w:fill="FFFFFF"/>
            <w:noWrap/>
            <w:vAlign w:val="bottom"/>
            <w:hideMark/>
          </w:tcPr>
          <w:p w:rsidR="00C147E1" w:rsidRPr="005F705E" w:rsidRDefault="00C147E1" w:rsidP="00C147E1">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3,0</w:t>
            </w:r>
          </w:p>
        </w:tc>
      </w:tr>
    </w:tbl>
    <w:p w:rsidR="00E3306D" w:rsidRPr="005F705E" w:rsidRDefault="00E3306D" w:rsidP="00685D15">
      <w:pPr>
        <w:pStyle w:val="Sinespaciado"/>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Nota: (1) Excluye hogares cuyo PSH era beneficiario de un plan de empleo.</w:t>
      </w:r>
    </w:p>
    <w:p w:rsidR="00685D15" w:rsidRPr="005F705E" w:rsidRDefault="00685D15" w:rsidP="00685D15">
      <w:pPr>
        <w:pStyle w:val="Sinespaciado"/>
        <w:jc w:val="both"/>
        <w:rPr>
          <w:rFonts w:ascii="Times New Roman" w:hAnsi="Times New Roman" w:cs="Times New Roman"/>
          <w:lang w:val="es-ES"/>
        </w:rPr>
      </w:pPr>
      <w:r w:rsidRPr="005F705E">
        <w:rPr>
          <w:rFonts w:ascii="Times New Roman" w:hAnsi="Times New Roman" w:cs="Times New Roman"/>
          <w:sz w:val="15"/>
          <w:szCs w:val="15"/>
          <w:lang w:val="es-ES"/>
        </w:rPr>
        <w:t>Fuente: Elaboración propia en base a microdatos de la EPH-INDEC para los períodos indicados. Disponibles en: &lt;</w:t>
      </w:r>
      <w:r w:rsidRPr="005F705E">
        <w:rPr>
          <w:rFonts w:ascii="Times New Roman" w:hAnsi="Times New Roman" w:cs="Times New Roman"/>
          <w:sz w:val="15"/>
          <w:szCs w:val="15"/>
          <w:u w:val="single"/>
          <w:lang w:val="es-ES"/>
        </w:rPr>
        <w:t>www.indec.gov.ar</w:t>
      </w:r>
      <w:r w:rsidRPr="005F705E">
        <w:rPr>
          <w:rFonts w:ascii="Times New Roman" w:hAnsi="Times New Roman" w:cs="Times New Roman"/>
          <w:sz w:val="15"/>
          <w:szCs w:val="15"/>
          <w:lang w:val="es-ES"/>
        </w:rPr>
        <w:t>&gt;</w:t>
      </w:r>
    </w:p>
    <w:p w:rsidR="00C147E1" w:rsidRPr="005F705E" w:rsidRDefault="00C147E1" w:rsidP="00F115BD">
      <w:pPr>
        <w:pStyle w:val="Sinespaciado"/>
        <w:jc w:val="both"/>
        <w:rPr>
          <w:rFonts w:ascii="Times New Roman" w:hAnsi="Times New Roman" w:cs="Times New Roman"/>
          <w:lang w:val="es-ES"/>
        </w:rPr>
      </w:pPr>
    </w:p>
    <w:p w:rsidR="00CC406A" w:rsidRPr="005F705E" w:rsidRDefault="00430D53"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La mayor parte</w:t>
      </w:r>
      <w:r w:rsidR="00FB2F44" w:rsidRPr="005F705E">
        <w:rPr>
          <w:rFonts w:ascii="Times New Roman" w:hAnsi="Times New Roman" w:cs="Times New Roman"/>
          <w:lang w:val="es-ES"/>
        </w:rPr>
        <w:t xml:space="preserve"> de</w:t>
      </w:r>
      <w:r w:rsidRPr="005F705E">
        <w:rPr>
          <w:rFonts w:ascii="Times New Roman" w:hAnsi="Times New Roman" w:cs="Times New Roman"/>
          <w:lang w:val="es-ES"/>
        </w:rPr>
        <w:t>l incremento de los ingresos</w:t>
      </w:r>
      <w:r w:rsidR="00FB2F44" w:rsidRPr="005F705E">
        <w:rPr>
          <w:rFonts w:ascii="Times New Roman" w:hAnsi="Times New Roman" w:cs="Times New Roman"/>
          <w:lang w:val="es-ES"/>
        </w:rPr>
        <w:t xml:space="preserve"> </w:t>
      </w:r>
      <w:r w:rsidRPr="005F705E">
        <w:rPr>
          <w:rFonts w:ascii="Times New Roman" w:hAnsi="Times New Roman" w:cs="Times New Roman"/>
          <w:lang w:val="es-ES"/>
        </w:rPr>
        <w:t>se dio durante el primer ciclo del período post-</w:t>
      </w:r>
      <w:r w:rsidR="00C147E1" w:rsidRPr="005F705E">
        <w:rPr>
          <w:rFonts w:ascii="Times New Roman" w:hAnsi="Times New Roman" w:cs="Times New Roman"/>
          <w:lang w:val="es-ES"/>
        </w:rPr>
        <w:t>reformas</w:t>
      </w:r>
      <w:r w:rsidRPr="005F705E">
        <w:rPr>
          <w:rFonts w:ascii="Times New Roman" w:hAnsi="Times New Roman" w:cs="Times New Roman"/>
          <w:lang w:val="es-ES"/>
        </w:rPr>
        <w:t xml:space="preserve"> </w:t>
      </w:r>
      <w:r w:rsidR="00CC406A" w:rsidRPr="005F705E">
        <w:rPr>
          <w:rFonts w:ascii="Times New Roman" w:hAnsi="Times New Roman" w:cs="Times New Roman"/>
          <w:lang w:val="es-ES"/>
        </w:rPr>
        <w:t xml:space="preserve">(2003-2007), </w:t>
      </w:r>
      <w:r w:rsidR="00FB2F44" w:rsidRPr="005F705E">
        <w:rPr>
          <w:rFonts w:ascii="Times New Roman" w:hAnsi="Times New Roman" w:cs="Times New Roman"/>
          <w:lang w:val="es-ES"/>
        </w:rPr>
        <w:t xml:space="preserve">y </w:t>
      </w:r>
      <w:r w:rsidRPr="005F705E">
        <w:rPr>
          <w:rFonts w:ascii="Times New Roman" w:hAnsi="Times New Roman" w:cs="Times New Roman"/>
          <w:lang w:val="es-ES"/>
        </w:rPr>
        <w:t>tuvo que ver</w:t>
      </w:r>
      <w:r w:rsidR="00FB2F44" w:rsidRPr="005F705E">
        <w:rPr>
          <w:rFonts w:ascii="Times New Roman" w:hAnsi="Times New Roman" w:cs="Times New Roman"/>
          <w:lang w:val="es-ES"/>
        </w:rPr>
        <w:t xml:space="preserve">, en buena medida, </w:t>
      </w:r>
      <w:r w:rsidRPr="005F705E">
        <w:rPr>
          <w:rFonts w:ascii="Times New Roman" w:hAnsi="Times New Roman" w:cs="Times New Roman"/>
          <w:lang w:val="es-ES"/>
        </w:rPr>
        <w:t>con una</w:t>
      </w:r>
      <w:r w:rsidR="00FB2F44" w:rsidRPr="005F705E">
        <w:rPr>
          <w:rFonts w:ascii="Times New Roman" w:hAnsi="Times New Roman" w:cs="Times New Roman"/>
          <w:lang w:val="es-ES"/>
        </w:rPr>
        <w:t xml:space="preserve"> recomposición de </w:t>
      </w:r>
      <w:r w:rsidR="00FB2F44" w:rsidRPr="005F705E">
        <w:rPr>
          <w:rFonts w:ascii="Times New Roman" w:hAnsi="Times New Roman" w:cs="Times New Roman"/>
          <w:lang w:val="es-ES"/>
        </w:rPr>
        <w:lastRenderedPageBreak/>
        <w:t>los ingresos tras la fuerte devaluación del año 2002</w:t>
      </w:r>
      <w:r w:rsidR="00DA5997" w:rsidRPr="005F705E">
        <w:rPr>
          <w:rStyle w:val="Refdenotaalpie"/>
          <w:rFonts w:ascii="Times New Roman" w:hAnsi="Times New Roman" w:cs="Times New Roman"/>
          <w:lang w:val="es-ES"/>
        </w:rPr>
        <w:footnoteReference w:id="18"/>
      </w:r>
      <w:r w:rsidR="00FB2F44" w:rsidRPr="005F705E">
        <w:rPr>
          <w:rFonts w:ascii="Times New Roman" w:hAnsi="Times New Roman" w:cs="Times New Roman"/>
          <w:lang w:val="es-ES"/>
        </w:rPr>
        <w:t xml:space="preserve">. </w:t>
      </w:r>
      <w:r w:rsidR="00CC406A" w:rsidRPr="005F705E">
        <w:rPr>
          <w:rFonts w:ascii="Times New Roman" w:hAnsi="Times New Roman" w:cs="Times New Roman"/>
          <w:lang w:val="es-ES"/>
        </w:rPr>
        <w:t xml:space="preserve">Si bien todos los hogares, ya sea que participaran en el sector formal público y privado o en el sector microempresario/informal, vieron mejorar sus condiciones de vida, fueron los segundos los que </w:t>
      </w:r>
      <w:r w:rsidR="00FB2F44" w:rsidRPr="005F705E">
        <w:rPr>
          <w:rFonts w:ascii="Times New Roman" w:hAnsi="Times New Roman" w:cs="Times New Roman"/>
          <w:lang w:val="es-ES"/>
        </w:rPr>
        <w:t>mejoraron</w:t>
      </w:r>
      <w:r w:rsidR="00CC406A" w:rsidRPr="005F705E">
        <w:rPr>
          <w:rFonts w:ascii="Times New Roman" w:hAnsi="Times New Roman" w:cs="Times New Roman"/>
          <w:lang w:val="es-ES"/>
        </w:rPr>
        <w:t xml:space="preserve"> de manera más intensa su nivel de bienestar. Entre los hogares cuyo PSH pertenecía al sector formal/dinámico fueron los asalariados precarios y los empleados públicos los que tuvieron un incremento más significativo en sus ingresos per cápita familiares. Por su parte, entre los hogares que participaban del sector microempresario, fueron </w:t>
      </w:r>
      <w:r w:rsidR="00FB2F44" w:rsidRPr="005F705E">
        <w:rPr>
          <w:rFonts w:ascii="Times New Roman" w:hAnsi="Times New Roman" w:cs="Times New Roman"/>
          <w:lang w:val="es-ES"/>
        </w:rPr>
        <w:t xml:space="preserve">aquellos encabezados por </w:t>
      </w:r>
      <w:r w:rsidR="005D486F" w:rsidRPr="005F705E">
        <w:rPr>
          <w:rFonts w:ascii="Times New Roman" w:hAnsi="Times New Roman" w:cs="Times New Roman"/>
          <w:lang w:val="es-ES"/>
        </w:rPr>
        <w:t xml:space="preserve">no </w:t>
      </w:r>
      <w:r w:rsidR="00CC406A" w:rsidRPr="005F705E">
        <w:rPr>
          <w:rFonts w:ascii="Times New Roman" w:hAnsi="Times New Roman" w:cs="Times New Roman"/>
          <w:lang w:val="es-ES"/>
        </w:rPr>
        <w:t>asalariados los que más aumentaron sus ingresos, en tanto que</w:t>
      </w:r>
      <w:r w:rsidR="00FB2F44" w:rsidRPr="005F705E">
        <w:rPr>
          <w:rFonts w:ascii="Times New Roman" w:hAnsi="Times New Roman" w:cs="Times New Roman"/>
          <w:lang w:val="es-ES"/>
        </w:rPr>
        <w:t xml:space="preserve"> los hogares encabezados por </w:t>
      </w:r>
      <w:r w:rsidR="005D486F" w:rsidRPr="005F705E">
        <w:rPr>
          <w:rFonts w:ascii="Times New Roman" w:hAnsi="Times New Roman" w:cs="Times New Roman"/>
          <w:lang w:val="es-ES"/>
        </w:rPr>
        <w:t xml:space="preserve">asalariados precarios </w:t>
      </w:r>
      <w:r w:rsidR="00FB2F44" w:rsidRPr="005F705E">
        <w:rPr>
          <w:rFonts w:ascii="Times New Roman" w:hAnsi="Times New Roman" w:cs="Times New Roman"/>
          <w:lang w:val="es-ES"/>
        </w:rPr>
        <w:t>o</w:t>
      </w:r>
      <w:r w:rsidR="00CC406A" w:rsidRPr="005F705E">
        <w:rPr>
          <w:rFonts w:ascii="Times New Roman" w:hAnsi="Times New Roman" w:cs="Times New Roman"/>
          <w:lang w:val="es-ES"/>
        </w:rPr>
        <w:t xml:space="preserve"> trabajadores del servicio doméstico </w:t>
      </w:r>
      <w:r w:rsidR="001F011C" w:rsidRPr="005F705E">
        <w:rPr>
          <w:rFonts w:ascii="Times New Roman" w:hAnsi="Times New Roman" w:cs="Times New Roman"/>
          <w:lang w:val="es-ES"/>
        </w:rPr>
        <w:t xml:space="preserve">se vieron menos beneficiados en este primer ciclo de crecimiento económico. </w:t>
      </w:r>
    </w:p>
    <w:p w:rsidR="005B3AE4" w:rsidRPr="005F705E" w:rsidRDefault="00FB2F44"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Durante</w:t>
      </w:r>
      <w:r w:rsidR="001F011C" w:rsidRPr="005F705E">
        <w:rPr>
          <w:rFonts w:ascii="Times New Roman" w:hAnsi="Times New Roman" w:cs="Times New Roman"/>
          <w:lang w:val="es-ES"/>
        </w:rPr>
        <w:t xml:space="preserve"> el segundo ciclo </w:t>
      </w:r>
      <w:r w:rsidR="00430D53" w:rsidRPr="005F705E">
        <w:rPr>
          <w:rFonts w:ascii="Times New Roman" w:hAnsi="Times New Roman" w:cs="Times New Roman"/>
          <w:lang w:val="es-ES"/>
        </w:rPr>
        <w:t>analizado</w:t>
      </w:r>
      <w:r w:rsidR="001F011C" w:rsidRPr="005F705E">
        <w:rPr>
          <w:rFonts w:ascii="Times New Roman" w:hAnsi="Times New Roman" w:cs="Times New Roman"/>
          <w:lang w:val="es-ES"/>
        </w:rPr>
        <w:t xml:space="preserve"> (2007-2014) </w:t>
      </w:r>
      <w:r w:rsidRPr="005F705E">
        <w:rPr>
          <w:rFonts w:ascii="Times New Roman" w:hAnsi="Times New Roman" w:cs="Times New Roman"/>
          <w:lang w:val="es-ES"/>
        </w:rPr>
        <w:t xml:space="preserve">se registraron </w:t>
      </w:r>
      <w:r w:rsidR="001F011C" w:rsidRPr="005F705E">
        <w:rPr>
          <w:rFonts w:ascii="Times New Roman" w:hAnsi="Times New Roman" w:cs="Times New Roman"/>
          <w:lang w:val="es-ES"/>
        </w:rPr>
        <w:t>niveles más bajos de crecimiento económico</w:t>
      </w:r>
      <w:r w:rsidRPr="005F705E">
        <w:rPr>
          <w:rFonts w:ascii="Times New Roman" w:hAnsi="Times New Roman" w:cs="Times New Roman"/>
          <w:lang w:val="es-ES"/>
        </w:rPr>
        <w:t xml:space="preserve"> que afectaron lo ocurrido con el bienestar de los hogares. </w:t>
      </w:r>
      <w:r w:rsidR="00430D53" w:rsidRPr="005F705E">
        <w:rPr>
          <w:rFonts w:ascii="Times New Roman" w:hAnsi="Times New Roman" w:cs="Times New Roman"/>
          <w:lang w:val="es-ES"/>
        </w:rPr>
        <w:t xml:space="preserve">En este contexto, </w:t>
      </w:r>
      <w:r w:rsidR="001F011C" w:rsidRPr="005F705E">
        <w:rPr>
          <w:rFonts w:ascii="Times New Roman" w:hAnsi="Times New Roman" w:cs="Times New Roman"/>
          <w:lang w:val="es-ES"/>
        </w:rPr>
        <w:t>se modificaron</w:t>
      </w:r>
      <w:r w:rsidR="00DE01DA" w:rsidRPr="005F705E">
        <w:rPr>
          <w:rFonts w:ascii="Times New Roman" w:hAnsi="Times New Roman" w:cs="Times New Roman"/>
          <w:lang w:val="es-ES"/>
        </w:rPr>
        <w:t xml:space="preserve"> algunas tendencias previas</w:t>
      </w:r>
      <w:r w:rsidR="001F011C" w:rsidRPr="005F705E">
        <w:rPr>
          <w:rFonts w:ascii="Times New Roman" w:hAnsi="Times New Roman" w:cs="Times New Roman"/>
          <w:lang w:val="es-ES"/>
        </w:rPr>
        <w:t>. Al interior del sector formal público y pr</w:t>
      </w:r>
      <w:r w:rsidRPr="005F705E">
        <w:rPr>
          <w:rFonts w:ascii="Times New Roman" w:hAnsi="Times New Roman" w:cs="Times New Roman"/>
          <w:lang w:val="es-ES"/>
        </w:rPr>
        <w:t>ivado, los hogares cuyo PSH era</w:t>
      </w:r>
      <w:r w:rsidR="001F011C" w:rsidRPr="005F705E">
        <w:rPr>
          <w:rFonts w:ascii="Times New Roman" w:hAnsi="Times New Roman" w:cs="Times New Roman"/>
          <w:lang w:val="es-ES"/>
        </w:rPr>
        <w:t xml:space="preserve"> asalariado registrado </w:t>
      </w:r>
      <w:r w:rsidRPr="005F705E">
        <w:rPr>
          <w:rFonts w:ascii="Times New Roman" w:hAnsi="Times New Roman" w:cs="Times New Roman"/>
          <w:lang w:val="es-ES"/>
        </w:rPr>
        <w:t>o</w:t>
      </w:r>
      <w:r w:rsidR="001F011C" w:rsidRPr="005F705E">
        <w:rPr>
          <w:rFonts w:ascii="Times New Roman" w:hAnsi="Times New Roman" w:cs="Times New Roman"/>
          <w:lang w:val="es-ES"/>
        </w:rPr>
        <w:t xml:space="preserve"> empleado del sector público vieron mejorar sus ingresos, en tanto que los encabezados por empleadores y profesionales redujeron sus niveles de bienestar económico y aquellos encabezados por asalariados precarios se mantuvieron casi sin </w:t>
      </w:r>
      <w:r w:rsidR="00430D53" w:rsidRPr="005F705E">
        <w:rPr>
          <w:rFonts w:ascii="Times New Roman" w:hAnsi="Times New Roman" w:cs="Times New Roman"/>
          <w:lang w:val="es-ES"/>
        </w:rPr>
        <w:t>alteraciones</w:t>
      </w:r>
      <w:r w:rsidR="001F011C" w:rsidRPr="005F705E">
        <w:rPr>
          <w:rFonts w:ascii="Times New Roman" w:hAnsi="Times New Roman" w:cs="Times New Roman"/>
          <w:lang w:val="es-ES"/>
        </w:rPr>
        <w:t xml:space="preserve">. </w:t>
      </w:r>
      <w:r w:rsidR="002E5069" w:rsidRPr="005F705E">
        <w:rPr>
          <w:rFonts w:ascii="Times New Roman" w:hAnsi="Times New Roman" w:cs="Times New Roman"/>
          <w:lang w:val="es-ES"/>
        </w:rPr>
        <w:t xml:space="preserve">Entre estos últimos, si se considera el ingreso per cápita neto de ingresos no laborales, se advierte incluso una caída de los niveles de bienestar. </w:t>
      </w:r>
      <w:r w:rsidR="00430D53" w:rsidRPr="005F705E">
        <w:rPr>
          <w:rFonts w:ascii="Times New Roman" w:hAnsi="Times New Roman" w:cs="Times New Roman"/>
          <w:lang w:val="es-ES"/>
        </w:rPr>
        <w:t>Entre los hogares cuyo PSH</w:t>
      </w:r>
      <w:r w:rsidR="001F011C" w:rsidRPr="005F705E">
        <w:rPr>
          <w:rFonts w:ascii="Times New Roman" w:hAnsi="Times New Roman" w:cs="Times New Roman"/>
          <w:lang w:val="es-ES"/>
        </w:rPr>
        <w:t xml:space="preserve"> </w:t>
      </w:r>
      <w:r w:rsidR="00430D53" w:rsidRPr="005F705E">
        <w:rPr>
          <w:rFonts w:ascii="Times New Roman" w:hAnsi="Times New Roman" w:cs="Times New Roman"/>
          <w:lang w:val="es-ES"/>
        </w:rPr>
        <w:t xml:space="preserve">pertenecía al sector </w:t>
      </w:r>
      <w:r w:rsidR="002E5069" w:rsidRPr="005F705E">
        <w:rPr>
          <w:rFonts w:ascii="Times New Roman" w:hAnsi="Times New Roman" w:cs="Times New Roman"/>
          <w:lang w:val="es-ES"/>
        </w:rPr>
        <w:t>microempresario</w:t>
      </w:r>
      <w:r w:rsidR="001F011C" w:rsidRPr="005F705E">
        <w:rPr>
          <w:rFonts w:ascii="Times New Roman" w:hAnsi="Times New Roman" w:cs="Times New Roman"/>
          <w:lang w:val="es-ES"/>
        </w:rPr>
        <w:t xml:space="preserve">, el incremento de los niveles de bienestar fue, en promedio, similar </w:t>
      </w:r>
      <w:r w:rsidR="00324DC2" w:rsidRPr="005F705E">
        <w:rPr>
          <w:rFonts w:ascii="Times New Roman" w:hAnsi="Times New Roman" w:cs="Times New Roman"/>
          <w:lang w:val="es-ES"/>
        </w:rPr>
        <w:t>al verificado en</w:t>
      </w:r>
      <w:r w:rsidR="001F011C" w:rsidRPr="005F705E">
        <w:rPr>
          <w:rFonts w:ascii="Times New Roman" w:hAnsi="Times New Roman" w:cs="Times New Roman"/>
          <w:lang w:val="es-ES"/>
        </w:rPr>
        <w:t xml:space="preserve"> aquellos que participaban del sector formal. Sin embargo, este comportamiento agregado escond</w:t>
      </w:r>
      <w:r w:rsidRPr="005F705E">
        <w:rPr>
          <w:rFonts w:ascii="Times New Roman" w:hAnsi="Times New Roman" w:cs="Times New Roman"/>
          <w:lang w:val="es-ES"/>
        </w:rPr>
        <w:t>ió</w:t>
      </w:r>
      <w:r w:rsidR="001F011C" w:rsidRPr="005F705E">
        <w:rPr>
          <w:rFonts w:ascii="Times New Roman" w:hAnsi="Times New Roman" w:cs="Times New Roman"/>
          <w:lang w:val="es-ES"/>
        </w:rPr>
        <w:t xml:space="preserve"> distintos procesos. Por un</w:t>
      </w:r>
      <w:r w:rsidRPr="005F705E">
        <w:rPr>
          <w:rFonts w:ascii="Times New Roman" w:hAnsi="Times New Roman" w:cs="Times New Roman"/>
          <w:lang w:val="es-ES"/>
        </w:rPr>
        <w:t>a parte</w:t>
      </w:r>
      <w:r w:rsidR="001F011C" w:rsidRPr="005F705E">
        <w:rPr>
          <w:rFonts w:ascii="Times New Roman" w:hAnsi="Times New Roman" w:cs="Times New Roman"/>
          <w:lang w:val="es-ES"/>
        </w:rPr>
        <w:t xml:space="preserve">, los </w:t>
      </w:r>
      <w:r w:rsidR="002D5654" w:rsidRPr="005F705E">
        <w:rPr>
          <w:rFonts w:ascii="Times New Roman" w:hAnsi="Times New Roman" w:cs="Times New Roman"/>
          <w:lang w:val="es-ES"/>
        </w:rPr>
        <w:t xml:space="preserve">hogares </w:t>
      </w:r>
      <w:r w:rsidR="002D5654" w:rsidRPr="005F705E">
        <w:rPr>
          <w:rFonts w:ascii="Times New Roman" w:hAnsi="Times New Roman" w:cs="Times New Roman"/>
          <w:lang w:val="es-ES"/>
        </w:rPr>
        <w:lastRenderedPageBreak/>
        <w:t xml:space="preserve">encabezados por </w:t>
      </w:r>
      <w:r w:rsidR="001F011C" w:rsidRPr="005F705E">
        <w:rPr>
          <w:rFonts w:ascii="Times New Roman" w:hAnsi="Times New Roman" w:cs="Times New Roman"/>
          <w:lang w:val="es-ES"/>
        </w:rPr>
        <w:t xml:space="preserve">patrones y trabajadores independientes con capital propio </w:t>
      </w:r>
      <w:r w:rsidR="002D5654" w:rsidRPr="005F705E">
        <w:rPr>
          <w:rFonts w:ascii="Times New Roman" w:hAnsi="Times New Roman" w:cs="Times New Roman"/>
          <w:lang w:val="es-ES"/>
        </w:rPr>
        <w:t xml:space="preserve">experimentaron una retracción de sus ingresos per cápita familiares, en tanto que aquellos encabezados por </w:t>
      </w:r>
      <w:r w:rsidR="00557D3C" w:rsidRPr="005F705E">
        <w:rPr>
          <w:rFonts w:ascii="Times New Roman" w:hAnsi="Times New Roman" w:cs="Times New Roman"/>
          <w:lang w:val="es-ES"/>
        </w:rPr>
        <w:t>trabajadores por cuenta propia</w:t>
      </w:r>
      <w:r w:rsidR="005D486F" w:rsidRPr="005F705E">
        <w:rPr>
          <w:rFonts w:ascii="Times New Roman" w:hAnsi="Times New Roman" w:cs="Times New Roman"/>
          <w:lang w:val="es-ES"/>
        </w:rPr>
        <w:t xml:space="preserve"> informales </w:t>
      </w:r>
      <w:r w:rsidR="002D5654" w:rsidRPr="005F705E">
        <w:rPr>
          <w:rFonts w:ascii="Times New Roman" w:hAnsi="Times New Roman" w:cs="Times New Roman"/>
          <w:lang w:val="es-ES"/>
        </w:rPr>
        <w:t>apenas lograron aumentar su bienestar.</w:t>
      </w:r>
      <w:r w:rsidR="002E5069" w:rsidRPr="005F705E">
        <w:rPr>
          <w:rFonts w:ascii="Times New Roman" w:hAnsi="Times New Roman" w:cs="Times New Roman"/>
          <w:lang w:val="es-ES"/>
        </w:rPr>
        <w:t xml:space="preserve"> De no haber mediado la existencia de ingresos no laborales, estos grupos hubieran experimentado una retracción del bienestar. </w:t>
      </w:r>
      <w:r w:rsidR="002D5654" w:rsidRPr="005F705E">
        <w:rPr>
          <w:rFonts w:ascii="Times New Roman" w:hAnsi="Times New Roman" w:cs="Times New Roman"/>
          <w:lang w:val="es-ES"/>
        </w:rPr>
        <w:t xml:space="preserve">Por otro lado, tanto los hogares encabezados por </w:t>
      </w:r>
      <w:r w:rsidR="005D486F" w:rsidRPr="005F705E">
        <w:rPr>
          <w:rFonts w:ascii="Times New Roman" w:hAnsi="Times New Roman" w:cs="Times New Roman"/>
          <w:lang w:val="es-ES"/>
        </w:rPr>
        <w:t xml:space="preserve">asalariados de microempresas </w:t>
      </w:r>
      <w:r w:rsidR="002D5654" w:rsidRPr="005F705E">
        <w:rPr>
          <w:rFonts w:ascii="Times New Roman" w:hAnsi="Times New Roman" w:cs="Times New Roman"/>
          <w:lang w:val="es-ES"/>
        </w:rPr>
        <w:t xml:space="preserve">como por trabajadores del servicio doméstico consiguieron incrementar sus niveles de </w:t>
      </w:r>
      <w:r w:rsidRPr="005F705E">
        <w:rPr>
          <w:rFonts w:ascii="Times New Roman" w:hAnsi="Times New Roman" w:cs="Times New Roman"/>
          <w:lang w:val="es-ES"/>
        </w:rPr>
        <w:t>ingresos familiares</w:t>
      </w:r>
      <w:r w:rsidR="002E5069" w:rsidRPr="005F705E">
        <w:rPr>
          <w:rFonts w:ascii="Times New Roman" w:hAnsi="Times New Roman" w:cs="Times New Roman"/>
          <w:lang w:val="es-ES"/>
        </w:rPr>
        <w:t>. También entre estos hogares fue significativo el efecto de los ingresos no laborales para entender la variación del ingreso per cápita</w:t>
      </w:r>
      <w:r w:rsidR="00430D53" w:rsidRPr="005F705E">
        <w:rPr>
          <w:rStyle w:val="Refdenotaalpie"/>
          <w:rFonts w:ascii="Times New Roman" w:hAnsi="Times New Roman" w:cs="Times New Roman"/>
          <w:lang w:val="es-ES"/>
        </w:rPr>
        <w:footnoteReference w:id="19"/>
      </w:r>
      <w:r w:rsidR="002D5654" w:rsidRPr="005F705E">
        <w:rPr>
          <w:rFonts w:ascii="Times New Roman" w:hAnsi="Times New Roman" w:cs="Times New Roman"/>
          <w:lang w:val="es-ES"/>
        </w:rPr>
        <w:t xml:space="preserve">. </w:t>
      </w:r>
    </w:p>
    <w:p w:rsidR="009122C0" w:rsidRPr="005F705E" w:rsidRDefault="002C1422"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De este modo, una estructura económico-ocupacional segmentada y con un núcleo persistente de hogares en el sector microempresario coexistió con una recomposición de ingresos que fue más acentuada entre este último tipo de unidades domésticas. Sin embargo, un modo de poner en perspectiva esta dinámica es evaluar en qué medida esta recomposición permitió una mayor capacidad de los hogares para cubrir sus necesidades de consumo. En el Cuadro </w:t>
      </w:r>
      <w:r w:rsidR="008119DE" w:rsidRPr="005F705E">
        <w:rPr>
          <w:rFonts w:ascii="Times New Roman" w:hAnsi="Times New Roman" w:cs="Times New Roman"/>
          <w:lang w:val="es-ES"/>
        </w:rPr>
        <w:t>8</w:t>
      </w:r>
      <w:r w:rsidRPr="005F705E">
        <w:rPr>
          <w:rFonts w:ascii="Times New Roman" w:hAnsi="Times New Roman" w:cs="Times New Roman"/>
          <w:lang w:val="es-ES"/>
        </w:rPr>
        <w:t xml:space="preserve"> utilizamos la incidencia de la pobreza para examinar los alcances que las variaciones anteriores tuvieron sobre el bienestar</w:t>
      </w:r>
      <w:r w:rsidRPr="005F705E">
        <w:rPr>
          <w:rStyle w:val="Refdenotaalpie"/>
          <w:rFonts w:ascii="Times New Roman" w:hAnsi="Times New Roman" w:cs="Times New Roman"/>
          <w:lang w:val="es-ES"/>
        </w:rPr>
        <w:footnoteReference w:id="20"/>
      </w:r>
      <w:r w:rsidRPr="005F705E">
        <w:rPr>
          <w:rFonts w:ascii="Times New Roman" w:hAnsi="Times New Roman" w:cs="Times New Roman"/>
          <w:lang w:val="es-ES"/>
        </w:rPr>
        <w:t>.</w:t>
      </w:r>
    </w:p>
    <w:p w:rsidR="00D47C06" w:rsidRPr="005F705E" w:rsidRDefault="00CE3CE3"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El</w:t>
      </w:r>
      <w:r w:rsidR="00D47C06" w:rsidRPr="005F705E">
        <w:rPr>
          <w:rFonts w:ascii="Times New Roman" w:hAnsi="Times New Roman" w:cs="Times New Roman"/>
          <w:lang w:val="es-ES"/>
        </w:rPr>
        <w:t xml:space="preserve"> primer ciclo del período </w:t>
      </w:r>
      <w:r w:rsidRPr="005F705E">
        <w:rPr>
          <w:rFonts w:ascii="Times New Roman" w:hAnsi="Times New Roman" w:cs="Times New Roman"/>
          <w:lang w:val="es-ES"/>
        </w:rPr>
        <w:t>post-</w:t>
      </w:r>
      <w:r w:rsidR="002E5069" w:rsidRPr="005F705E">
        <w:rPr>
          <w:rFonts w:ascii="Times New Roman" w:hAnsi="Times New Roman" w:cs="Times New Roman"/>
          <w:lang w:val="es-ES"/>
        </w:rPr>
        <w:t xml:space="preserve">reformas </w:t>
      </w:r>
      <w:r w:rsidR="00D47C06" w:rsidRPr="005F705E">
        <w:rPr>
          <w:rFonts w:ascii="Times New Roman" w:hAnsi="Times New Roman" w:cs="Times New Roman"/>
          <w:lang w:val="es-ES"/>
        </w:rPr>
        <w:t xml:space="preserve">(2003-2007) se caracterizó por una sostenida retracción de la pobreza por ingresos. En términos </w:t>
      </w:r>
      <w:r w:rsidR="00CE65BA" w:rsidRPr="005F705E">
        <w:rPr>
          <w:rFonts w:ascii="Times New Roman" w:hAnsi="Times New Roman" w:cs="Times New Roman"/>
          <w:lang w:val="es-ES"/>
        </w:rPr>
        <w:t xml:space="preserve">generales, la evolución acompañó lo </w:t>
      </w:r>
      <w:r w:rsidRPr="005F705E">
        <w:rPr>
          <w:rFonts w:ascii="Times New Roman" w:hAnsi="Times New Roman" w:cs="Times New Roman"/>
          <w:lang w:val="es-ES"/>
        </w:rPr>
        <w:t>ya analizado</w:t>
      </w:r>
      <w:r w:rsidR="00CE65BA" w:rsidRPr="005F705E">
        <w:rPr>
          <w:rFonts w:ascii="Times New Roman" w:hAnsi="Times New Roman" w:cs="Times New Roman"/>
          <w:lang w:val="es-ES"/>
        </w:rPr>
        <w:t xml:space="preserve"> </w:t>
      </w:r>
      <w:r w:rsidR="003C5B25" w:rsidRPr="005F705E">
        <w:rPr>
          <w:rFonts w:ascii="Times New Roman" w:hAnsi="Times New Roman" w:cs="Times New Roman"/>
          <w:lang w:val="es-ES"/>
        </w:rPr>
        <w:t xml:space="preserve">con </w:t>
      </w:r>
      <w:r w:rsidR="00CE65BA" w:rsidRPr="005F705E">
        <w:rPr>
          <w:rFonts w:ascii="Times New Roman" w:hAnsi="Times New Roman" w:cs="Times New Roman"/>
          <w:lang w:val="es-ES"/>
        </w:rPr>
        <w:t xml:space="preserve">respecto </w:t>
      </w:r>
      <w:r w:rsidR="003C5B25" w:rsidRPr="005F705E">
        <w:rPr>
          <w:rFonts w:ascii="Times New Roman" w:hAnsi="Times New Roman" w:cs="Times New Roman"/>
          <w:lang w:val="es-ES"/>
        </w:rPr>
        <w:t>a</w:t>
      </w:r>
      <w:r w:rsidR="00CE65BA" w:rsidRPr="005F705E">
        <w:rPr>
          <w:rFonts w:ascii="Times New Roman" w:hAnsi="Times New Roman" w:cs="Times New Roman"/>
          <w:lang w:val="es-ES"/>
        </w:rPr>
        <w:t xml:space="preserve"> los ingresos familiares</w:t>
      </w:r>
      <w:r w:rsidR="00587668" w:rsidRPr="005F705E">
        <w:rPr>
          <w:rFonts w:ascii="Times New Roman" w:hAnsi="Times New Roman" w:cs="Times New Roman"/>
          <w:lang w:val="es-ES"/>
        </w:rPr>
        <w:t xml:space="preserve">. </w:t>
      </w:r>
      <w:r w:rsidRPr="005F705E">
        <w:rPr>
          <w:rFonts w:ascii="Times New Roman" w:hAnsi="Times New Roman" w:cs="Times New Roman"/>
          <w:lang w:val="es-ES"/>
        </w:rPr>
        <w:t xml:space="preserve">Sin embargo, </w:t>
      </w:r>
      <w:r w:rsidR="008119DE" w:rsidRPr="005F705E">
        <w:rPr>
          <w:rFonts w:ascii="Times New Roman" w:hAnsi="Times New Roman" w:cs="Times New Roman"/>
          <w:lang w:val="es-ES"/>
        </w:rPr>
        <w:t>se constata que,</w:t>
      </w:r>
      <w:r w:rsidRPr="005F705E">
        <w:rPr>
          <w:rFonts w:ascii="Times New Roman" w:hAnsi="Times New Roman" w:cs="Times New Roman"/>
          <w:lang w:val="es-ES"/>
        </w:rPr>
        <w:t xml:space="preserve"> más allá de las variaciones, </w:t>
      </w:r>
      <w:r w:rsidR="00587668" w:rsidRPr="005F705E">
        <w:rPr>
          <w:rFonts w:ascii="Times New Roman" w:hAnsi="Times New Roman" w:cs="Times New Roman"/>
          <w:lang w:val="es-ES"/>
        </w:rPr>
        <w:t xml:space="preserve">un tercio de los hogares que </w:t>
      </w:r>
      <w:r w:rsidR="00CE65BA" w:rsidRPr="005F705E">
        <w:rPr>
          <w:rFonts w:ascii="Times New Roman" w:hAnsi="Times New Roman" w:cs="Times New Roman"/>
          <w:lang w:val="es-ES"/>
        </w:rPr>
        <w:t xml:space="preserve">participaban en </w:t>
      </w:r>
      <w:r w:rsidR="003C5B25" w:rsidRPr="005F705E">
        <w:rPr>
          <w:rFonts w:ascii="Times New Roman" w:hAnsi="Times New Roman" w:cs="Times New Roman"/>
          <w:lang w:val="es-ES"/>
        </w:rPr>
        <w:t xml:space="preserve">el </w:t>
      </w:r>
      <w:r w:rsidR="00587668" w:rsidRPr="005F705E">
        <w:rPr>
          <w:rFonts w:ascii="Times New Roman" w:hAnsi="Times New Roman" w:cs="Times New Roman"/>
          <w:lang w:val="es-ES"/>
        </w:rPr>
        <w:t xml:space="preserve">sector </w:t>
      </w:r>
      <w:r w:rsidR="00CE65BA" w:rsidRPr="005F705E">
        <w:rPr>
          <w:rFonts w:ascii="Times New Roman" w:hAnsi="Times New Roman" w:cs="Times New Roman"/>
          <w:lang w:val="es-ES"/>
        </w:rPr>
        <w:t>microempresario</w:t>
      </w:r>
      <w:r w:rsidR="00587668" w:rsidRPr="005F705E">
        <w:rPr>
          <w:rFonts w:ascii="Times New Roman" w:hAnsi="Times New Roman" w:cs="Times New Roman"/>
          <w:lang w:val="es-ES"/>
        </w:rPr>
        <w:t xml:space="preserve"> permanecía en la pobreza tras los años de mayor crecimiento económico, estando singularmente afectados aquellos cuyo PSH era </w:t>
      </w:r>
      <w:r w:rsidR="00557D3C" w:rsidRPr="005F705E">
        <w:rPr>
          <w:rFonts w:ascii="Times New Roman" w:hAnsi="Times New Roman" w:cs="Times New Roman"/>
          <w:lang w:val="es-ES"/>
        </w:rPr>
        <w:t xml:space="preserve">trabajador por </w:t>
      </w:r>
      <w:r w:rsidR="00557D3C" w:rsidRPr="005F705E">
        <w:rPr>
          <w:rFonts w:ascii="Times New Roman" w:hAnsi="Times New Roman" w:cs="Times New Roman"/>
          <w:lang w:val="es-ES"/>
        </w:rPr>
        <w:lastRenderedPageBreak/>
        <w:t>cuenta propia</w:t>
      </w:r>
      <w:r w:rsidR="00587668" w:rsidRPr="005F705E">
        <w:rPr>
          <w:rFonts w:ascii="Times New Roman" w:hAnsi="Times New Roman" w:cs="Times New Roman"/>
          <w:lang w:val="es-ES"/>
        </w:rPr>
        <w:t xml:space="preserve"> informal, asalariado del sector microempresario o trabajador del servicio doméstico. Asimismo, es relevante observar la fuerte incidencia de la pobreza en los hogares encabezados por trabajadores precarios del sector formal privado, aspecto que los asemeja a lo ocurrido en el sector microempresario</w:t>
      </w:r>
      <w:r w:rsidRPr="005F705E">
        <w:rPr>
          <w:rFonts w:ascii="Times New Roman" w:hAnsi="Times New Roman" w:cs="Times New Roman"/>
          <w:lang w:val="es-ES"/>
        </w:rPr>
        <w:t>.</w:t>
      </w:r>
    </w:p>
    <w:p w:rsidR="001D23DF" w:rsidRPr="005F705E" w:rsidRDefault="001D23DF" w:rsidP="001D23DF">
      <w:pPr>
        <w:pStyle w:val="Sinespaciado"/>
        <w:jc w:val="both"/>
        <w:rPr>
          <w:rFonts w:ascii="Times New Roman" w:hAnsi="Times New Roman" w:cs="Times New Roman"/>
          <w:b/>
          <w:sz w:val="22"/>
          <w:lang w:val="es-ES"/>
        </w:rPr>
      </w:pPr>
      <w:r w:rsidRPr="005F705E">
        <w:rPr>
          <w:rFonts w:ascii="Times New Roman" w:hAnsi="Times New Roman" w:cs="Times New Roman"/>
          <w:b/>
          <w:sz w:val="22"/>
          <w:lang w:val="es-ES"/>
        </w:rPr>
        <w:t xml:space="preserve">Cuadro 8. </w:t>
      </w:r>
      <w:r w:rsidR="004572F7" w:rsidRPr="005F705E">
        <w:rPr>
          <w:rFonts w:ascii="Times New Roman" w:hAnsi="Times New Roman" w:cs="Times New Roman"/>
          <w:b/>
          <w:sz w:val="22"/>
          <w:lang w:val="es-ES"/>
        </w:rPr>
        <w:t>Incidencia de la pobreza</w:t>
      </w:r>
      <w:r w:rsidRPr="005F705E">
        <w:rPr>
          <w:rFonts w:ascii="Times New Roman" w:hAnsi="Times New Roman" w:cs="Times New Roman"/>
          <w:b/>
          <w:sz w:val="22"/>
          <w:lang w:val="es-ES"/>
        </w:rPr>
        <w:t xml:space="preserve"> </w:t>
      </w:r>
      <w:r w:rsidR="004572F7" w:rsidRPr="005F705E">
        <w:rPr>
          <w:rFonts w:ascii="Times New Roman" w:hAnsi="Times New Roman" w:cs="Times New Roman"/>
          <w:b/>
          <w:sz w:val="22"/>
          <w:lang w:val="es-ES"/>
        </w:rPr>
        <w:t xml:space="preserve">por ingresos </w:t>
      </w:r>
      <w:r w:rsidRPr="005F705E">
        <w:rPr>
          <w:rFonts w:ascii="Times New Roman" w:hAnsi="Times New Roman" w:cs="Times New Roman"/>
          <w:b/>
          <w:sz w:val="22"/>
          <w:lang w:val="es-ES"/>
        </w:rPr>
        <w:t xml:space="preserve">según posición </w:t>
      </w:r>
      <w:r w:rsidR="004572F7" w:rsidRPr="005F705E">
        <w:rPr>
          <w:rFonts w:ascii="Times New Roman" w:hAnsi="Times New Roman" w:cs="Times New Roman"/>
          <w:b/>
          <w:sz w:val="22"/>
          <w:lang w:val="es-ES"/>
        </w:rPr>
        <w:t xml:space="preserve">económico-ocupacional </w:t>
      </w:r>
      <w:r w:rsidRPr="005F705E">
        <w:rPr>
          <w:rFonts w:ascii="Times New Roman" w:hAnsi="Times New Roman" w:cs="Times New Roman"/>
          <w:b/>
          <w:sz w:val="22"/>
          <w:lang w:val="es-ES"/>
        </w:rPr>
        <w:t>del Principal Sostén del Hogar</w:t>
      </w:r>
      <w:r w:rsidR="00E3306D" w:rsidRPr="005F705E">
        <w:rPr>
          <w:rFonts w:ascii="Times New Roman" w:hAnsi="Times New Roman" w:cs="Times New Roman"/>
          <w:b/>
          <w:sz w:val="22"/>
          <w:vertAlign w:val="superscript"/>
          <w:lang w:val="es-ES"/>
        </w:rPr>
        <w:t>(1)</w:t>
      </w:r>
      <w:r w:rsidRPr="005F705E">
        <w:rPr>
          <w:rFonts w:ascii="Times New Roman" w:hAnsi="Times New Roman" w:cs="Times New Roman"/>
          <w:b/>
          <w:sz w:val="22"/>
          <w:lang w:val="es-ES"/>
        </w:rPr>
        <w:t>. Total de Aglomerados urbanos. Argentina, 2003-2014.</w:t>
      </w:r>
    </w:p>
    <w:p w:rsidR="001D23DF" w:rsidRPr="005F705E" w:rsidRDefault="001D23DF" w:rsidP="001D23DF">
      <w:pPr>
        <w:spacing w:after="0" w:line="240" w:lineRule="auto"/>
        <w:jc w:val="both"/>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20"/>
          <w:szCs w:val="18"/>
          <w:lang w:eastAsia="es-AR"/>
        </w:rPr>
        <w:t xml:space="preserve">En porcentajes sobre el total de hogares de cada </w:t>
      </w:r>
      <w:r w:rsidR="004572F7" w:rsidRPr="005F705E">
        <w:rPr>
          <w:rFonts w:ascii="Times New Roman" w:eastAsia="Times New Roman" w:hAnsi="Times New Roman" w:cs="Times New Roman"/>
          <w:color w:val="000000"/>
          <w:sz w:val="20"/>
          <w:szCs w:val="18"/>
          <w:lang w:eastAsia="es-AR"/>
        </w:rPr>
        <w:t>posición económico-ocupacional</w:t>
      </w:r>
      <w:r w:rsidRPr="005F705E">
        <w:rPr>
          <w:rFonts w:ascii="Times New Roman" w:eastAsia="Times New Roman" w:hAnsi="Times New Roman" w:cs="Times New Roman"/>
          <w:color w:val="000000"/>
          <w:sz w:val="20"/>
          <w:szCs w:val="18"/>
          <w:lang w:eastAsia="es-AR"/>
        </w:rPr>
        <w:t>.</w:t>
      </w:r>
    </w:p>
    <w:tbl>
      <w:tblPr>
        <w:tblW w:w="8800" w:type="dxa"/>
        <w:tblInd w:w="55" w:type="dxa"/>
        <w:tblCellMar>
          <w:left w:w="70" w:type="dxa"/>
          <w:right w:w="70" w:type="dxa"/>
        </w:tblCellMar>
        <w:tblLook w:val="04A0"/>
      </w:tblPr>
      <w:tblGrid>
        <w:gridCol w:w="4600"/>
        <w:gridCol w:w="700"/>
        <w:gridCol w:w="700"/>
        <w:gridCol w:w="700"/>
        <w:gridCol w:w="700"/>
        <w:gridCol w:w="700"/>
        <w:gridCol w:w="700"/>
      </w:tblGrid>
      <w:tr w:rsidR="001D23DF" w:rsidRPr="005F705E" w:rsidTr="004572F7">
        <w:trPr>
          <w:trHeight w:val="495"/>
        </w:trPr>
        <w:tc>
          <w:tcPr>
            <w:tcW w:w="4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2003</w:t>
            </w:r>
            <w:r w:rsidRPr="005F705E">
              <w:rPr>
                <w:rFonts w:ascii="Times New Roman" w:eastAsia="Times New Roman" w:hAnsi="Times New Roman" w:cs="Times New Roman"/>
                <w:b/>
                <w:bCs/>
                <w:color w:val="000000"/>
                <w:sz w:val="18"/>
                <w:szCs w:val="18"/>
                <w:lang w:eastAsia="es-AR"/>
              </w:rPr>
              <w:br/>
              <w:t>IV</w:t>
            </w:r>
          </w:p>
        </w:tc>
        <w:tc>
          <w:tcPr>
            <w:tcW w:w="70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2005</w:t>
            </w:r>
            <w:r w:rsidRPr="005F705E">
              <w:rPr>
                <w:rFonts w:ascii="Times New Roman" w:eastAsia="Times New Roman" w:hAnsi="Times New Roman" w:cs="Times New Roman"/>
                <w:b/>
                <w:bCs/>
                <w:color w:val="000000"/>
                <w:sz w:val="18"/>
                <w:szCs w:val="18"/>
                <w:lang w:eastAsia="es-AR"/>
              </w:rPr>
              <w:br/>
              <w:t>IV</w:t>
            </w:r>
          </w:p>
        </w:tc>
        <w:tc>
          <w:tcPr>
            <w:tcW w:w="70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2007</w:t>
            </w:r>
            <w:r w:rsidRPr="005F705E">
              <w:rPr>
                <w:rFonts w:ascii="Times New Roman" w:eastAsia="Times New Roman" w:hAnsi="Times New Roman" w:cs="Times New Roman"/>
                <w:b/>
                <w:bCs/>
                <w:color w:val="000000"/>
                <w:sz w:val="18"/>
                <w:szCs w:val="18"/>
                <w:lang w:eastAsia="es-AR"/>
              </w:rPr>
              <w:br/>
              <w:t>IV</w:t>
            </w:r>
          </w:p>
        </w:tc>
        <w:tc>
          <w:tcPr>
            <w:tcW w:w="70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2010</w:t>
            </w:r>
            <w:r w:rsidRPr="005F705E">
              <w:rPr>
                <w:rFonts w:ascii="Times New Roman" w:eastAsia="Times New Roman" w:hAnsi="Times New Roman" w:cs="Times New Roman"/>
                <w:b/>
                <w:bCs/>
                <w:color w:val="000000"/>
                <w:sz w:val="18"/>
                <w:szCs w:val="18"/>
                <w:lang w:eastAsia="es-AR"/>
              </w:rPr>
              <w:br/>
              <w:t>IV</w:t>
            </w:r>
          </w:p>
        </w:tc>
        <w:tc>
          <w:tcPr>
            <w:tcW w:w="700" w:type="dxa"/>
            <w:tcBorders>
              <w:top w:val="single" w:sz="4" w:space="0" w:color="auto"/>
              <w:left w:val="nil"/>
              <w:bottom w:val="single" w:sz="4" w:space="0" w:color="auto"/>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2012</w:t>
            </w:r>
            <w:r w:rsidRPr="005F705E">
              <w:rPr>
                <w:rFonts w:ascii="Times New Roman" w:eastAsia="Times New Roman" w:hAnsi="Times New Roman" w:cs="Times New Roman"/>
                <w:b/>
                <w:bCs/>
                <w:color w:val="000000"/>
                <w:sz w:val="18"/>
                <w:szCs w:val="18"/>
                <w:lang w:eastAsia="es-AR"/>
              </w:rPr>
              <w:br/>
              <w:t>IV</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2014</w:t>
            </w:r>
            <w:r w:rsidRPr="005F705E">
              <w:rPr>
                <w:rFonts w:ascii="Times New Roman" w:eastAsia="Times New Roman" w:hAnsi="Times New Roman" w:cs="Times New Roman"/>
                <w:b/>
                <w:bCs/>
                <w:color w:val="000000"/>
                <w:sz w:val="18"/>
                <w:szCs w:val="18"/>
                <w:lang w:eastAsia="es-AR"/>
              </w:rPr>
              <w:br/>
              <w:t>IV</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2F2F2"/>
            <w:noWrap/>
            <w:vAlign w:val="bottom"/>
            <w:hideMark/>
          </w:tcPr>
          <w:p w:rsidR="001D23DF" w:rsidRPr="005F705E" w:rsidRDefault="001D23DF" w:rsidP="004572F7">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formal público y privado</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24,1</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14,5</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11,3</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8,8</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6,0</w:t>
            </w:r>
          </w:p>
        </w:tc>
        <w:tc>
          <w:tcPr>
            <w:tcW w:w="700" w:type="dxa"/>
            <w:tcBorders>
              <w:top w:val="nil"/>
              <w:left w:val="nil"/>
              <w:bottom w:val="nil"/>
              <w:right w:val="single" w:sz="4" w:space="0" w:color="auto"/>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8,4</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70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0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0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0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00" w:type="dxa"/>
            <w:tcBorders>
              <w:top w:val="nil"/>
              <w:left w:val="nil"/>
              <w:bottom w:val="nil"/>
              <w:right w:val="nil"/>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c>
          <w:tcPr>
            <w:tcW w:w="700" w:type="dxa"/>
            <w:tcBorders>
              <w:top w:val="nil"/>
              <w:left w:val="nil"/>
              <w:bottom w:val="nil"/>
              <w:right w:val="single" w:sz="4" w:space="0" w:color="auto"/>
            </w:tcBorders>
            <w:shd w:val="clear" w:color="000000" w:fill="FFFFFF"/>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 </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Empleadores, directivos y profesionales</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6,9</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3,0</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2,4</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3,2</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registrados del sector privado formal</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22,5</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12,1</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9,9</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8,2</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5,7</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7,4</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precarios del sector privado formal</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43,0</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37,1</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24,9</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23,7</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15,2</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23,1</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Empleados del sector público</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9,4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10,3</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4,0</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5,6</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2F2F2"/>
            <w:noWrap/>
            <w:vAlign w:val="bottom"/>
            <w:hideMark/>
          </w:tcPr>
          <w:p w:rsidR="001D23DF" w:rsidRPr="005F705E" w:rsidRDefault="001D23DF" w:rsidP="004572F7">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Sector microempresario / informal</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46,8</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38,0</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29,3</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25,4</w:t>
            </w:r>
          </w:p>
        </w:tc>
        <w:tc>
          <w:tcPr>
            <w:tcW w:w="700" w:type="dxa"/>
            <w:tcBorders>
              <w:top w:val="nil"/>
              <w:left w:val="nil"/>
              <w:bottom w:val="nil"/>
              <w:right w:val="nil"/>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21,0</w:t>
            </w:r>
          </w:p>
        </w:tc>
        <w:tc>
          <w:tcPr>
            <w:tcW w:w="700" w:type="dxa"/>
            <w:tcBorders>
              <w:top w:val="nil"/>
              <w:left w:val="nil"/>
              <w:bottom w:val="nil"/>
              <w:right w:val="single" w:sz="4" w:space="0" w:color="auto"/>
            </w:tcBorders>
            <w:shd w:val="clear" w:color="000000" w:fill="F2F2F2"/>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26,1</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No asalariados</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Patrones microempresas y TCP calificados con capital</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22,7</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16,8</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6,9</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8,9</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6,4</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14,9</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TCP no calificados y/o sin capital propio</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48,4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38,9</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27,4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27,0</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21,1</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29,4</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i/>
                <w:iCs/>
                <w:color w:val="000000"/>
                <w:sz w:val="18"/>
                <w:szCs w:val="18"/>
                <w:lang w:eastAsia="es-AR"/>
              </w:rPr>
            </w:pPr>
            <w:r w:rsidRPr="005F705E">
              <w:rPr>
                <w:rFonts w:ascii="Times New Roman" w:eastAsia="Times New Roman" w:hAnsi="Times New Roman" w:cs="Times New Roman"/>
                <w:i/>
                <w:iCs/>
                <w:color w:val="000000"/>
                <w:sz w:val="18"/>
                <w:szCs w:val="18"/>
                <w:lang w:eastAsia="es-AR"/>
              </w:rPr>
              <w:t>Asalariados</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Asalariados del sector privado microempresario</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50,8</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42,6</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33,4</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23,2</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22,2</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22,1</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ind w:firstLineChars="100" w:firstLine="180"/>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Servicio doméstico</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49,2</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42,2</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45,2</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41,3</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34,4</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36,3</w:t>
            </w:r>
          </w:p>
        </w:tc>
      </w:tr>
      <w:tr w:rsidR="001D23DF" w:rsidRPr="005F705E" w:rsidTr="004572F7">
        <w:trPr>
          <w:trHeight w:val="240"/>
        </w:trPr>
        <w:tc>
          <w:tcPr>
            <w:tcW w:w="4600" w:type="dxa"/>
            <w:tcBorders>
              <w:top w:val="nil"/>
              <w:left w:val="single" w:sz="4" w:space="0" w:color="auto"/>
              <w:bottom w:val="nil"/>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c>
          <w:tcPr>
            <w:tcW w:w="700" w:type="dxa"/>
            <w:tcBorders>
              <w:top w:val="nil"/>
              <w:left w:val="nil"/>
              <w:bottom w:val="nil"/>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 </w:t>
            </w:r>
          </w:p>
        </w:tc>
      </w:tr>
      <w:tr w:rsidR="001D23DF" w:rsidRPr="005F705E" w:rsidTr="004572F7">
        <w:trPr>
          <w:trHeight w:val="240"/>
        </w:trPr>
        <w:tc>
          <w:tcPr>
            <w:tcW w:w="4600" w:type="dxa"/>
            <w:tcBorders>
              <w:top w:val="nil"/>
              <w:left w:val="single" w:sz="4" w:space="0" w:color="auto"/>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Total</w:t>
            </w:r>
          </w:p>
        </w:tc>
        <w:tc>
          <w:tcPr>
            <w:tcW w:w="70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36,3</w:t>
            </w:r>
          </w:p>
        </w:tc>
        <w:tc>
          <w:tcPr>
            <w:tcW w:w="70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24,5</w:t>
            </w:r>
          </w:p>
        </w:tc>
        <w:tc>
          <w:tcPr>
            <w:tcW w:w="70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17,9</w:t>
            </w:r>
          </w:p>
        </w:tc>
        <w:tc>
          <w:tcPr>
            <w:tcW w:w="70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14,4</w:t>
            </w:r>
          </w:p>
        </w:tc>
        <w:tc>
          <w:tcPr>
            <w:tcW w:w="700" w:type="dxa"/>
            <w:tcBorders>
              <w:top w:val="nil"/>
              <w:left w:val="nil"/>
              <w:bottom w:val="single" w:sz="4" w:space="0" w:color="auto"/>
              <w:right w:val="nil"/>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11,3</w:t>
            </w:r>
          </w:p>
        </w:tc>
        <w:tc>
          <w:tcPr>
            <w:tcW w:w="700" w:type="dxa"/>
            <w:tcBorders>
              <w:top w:val="nil"/>
              <w:left w:val="nil"/>
              <w:bottom w:val="single" w:sz="4" w:space="0" w:color="auto"/>
              <w:right w:val="single" w:sz="4" w:space="0" w:color="auto"/>
            </w:tcBorders>
            <w:shd w:val="clear" w:color="000000" w:fill="FFFFFF"/>
            <w:noWrap/>
            <w:vAlign w:val="bottom"/>
            <w:hideMark/>
          </w:tcPr>
          <w:p w:rsidR="001D23DF" w:rsidRPr="005F705E" w:rsidRDefault="001D23DF" w:rsidP="004572F7">
            <w:pPr>
              <w:spacing w:after="0" w:line="240" w:lineRule="auto"/>
              <w:jc w:val="center"/>
              <w:rPr>
                <w:rFonts w:ascii="Times New Roman" w:eastAsia="Times New Roman" w:hAnsi="Times New Roman" w:cs="Times New Roman"/>
                <w:b/>
                <w:bCs/>
                <w:color w:val="000000"/>
                <w:sz w:val="18"/>
                <w:szCs w:val="18"/>
                <w:lang w:eastAsia="es-AR"/>
              </w:rPr>
            </w:pPr>
            <w:r w:rsidRPr="005F705E">
              <w:rPr>
                <w:rFonts w:ascii="Times New Roman" w:eastAsia="Times New Roman" w:hAnsi="Times New Roman" w:cs="Times New Roman"/>
                <w:b/>
                <w:bCs/>
                <w:color w:val="000000"/>
                <w:sz w:val="18"/>
                <w:szCs w:val="18"/>
                <w:lang w:eastAsia="es-AR"/>
              </w:rPr>
              <w:t>14,7</w:t>
            </w:r>
          </w:p>
        </w:tc>
      </w:tr>
    </w:tbl>
    <w:p w:rsidR="00E3306D" w:rsidRPr="005F705E" w:rsidRDefault="00E3306D" w:rsidP="001D23DF">
      <w:pPr>
        <w:spacing w:after="0" w:line="240" w:lineRule="auto"/>
        <w:jc w:val="both"/>
        <w:rPr>
          <w:rFonts w:ascii="Times New Roman" w:hAnsi="Times New Roman" w:cs="Times New Roman"/>
          <w:sz w:val="15"/>
          <w:szCs w:val="15"/>
          <w:lang w:val="es-ES"/>
        </w:rPr>
      </w:pPr>
      <w:r w:rsidRPr="005F705E">
        <w:rPr>
          <w:rFonts w:ascii="Times New Roman" w:hAnsi="Times New Roman" w:cs="Times New Roman"/>
          <w:sz w:val="15"/>
          <w:szCs w:val="15"/>
          <w:lang w:val="es-ES"/>
        </w:rPr>
        <w:t>Nota: (1) Excluye hogares cuyo PSH era beneficiario de un plan de empleo.</w:t>
      </w:r>
    </w:p>
    <w:p w:rsidR="001D23DF" w:rsidRPr="005F705E" w:rsidRDefault="001D23DF" w:rsidP="001D23DF">
      <w:pPr>
        <w:spacing w:after="0" w:line="240" w:lineRule="auto"/>
        <w:jc w:val="both"/>
        <w:rPr>
          <w:rFonts w:ascii="Times New Roman" w:hAnsi="Times New Roman" w:cs="Times New Roman"/>
          <w:lang w:val="es-ES"/>
        </w:rPr>
      </w:pPr>
      <w:r w:rsidRPr="005F705E">
        <w:rPr>
          <w:rFonts w:ascii="Times New Roman" w:hAnsi="Times New Roman" w:cs="Times New Roman"/>
          <w:sz w:val="15"/>
          <w:szCs w:val="15"/>
          <w:lang w:val="es-ES"/>
        </w:rPr>
        <w:t>Fuente: Elaboración propia en base a microdatos de la EPH-INDEC para los períodos indicados. Disponibles en: &lt;</w:t>
      </w:r>
      <w:r w:rsidRPr="005F705E">
        <w:rPr>
          <w:rFonts w:ascii="Times New Roman" w:hAnsi="Times New Roman" w:cs="Times New Roman"/>
          <w:sz w:val="15"/>
          <w:szCs w:val="15"/>
          <w:u w:val="single"/>
          <w:lang w:val="es-ES"/>
        </w:rPr>
        <w:t>www.indec.gov.ar</w:t>
      </w:r>
      <w:r w:rsidRPr="005F705E">
        <w:rPr>
          <w:rFonts w:ascii="Times New Roman" w:hAnsi="Times New Roman" w:cs="Times New Roman"/>
          <w:sz w:val="15"/>
          <w:szCs w:val="15"/>
          <w:lang w:val="es-ES"/>
        </w:rPr>
        <w:t>&gt;</w:t>
      </w:r>
    </w:p>
    <w:p w:rsidR="001D23DF" w:rsidRPr="005F705E" w:rsidRDefault="001D23DF" w:rsidP="009B79D3">
      <w:pPr>
        <w:pStyle w:val="Sinespaciado"/>
        <w:spacing w:line="480" w:lineRule="auto"/>
        <w:jc w:val="both"/>
        <w:rPr>
          <w:rFonts w:ascii="Times New Roman" w:hAnsi="Times New Roman" w:cs="Times New Roman"/>
          <w:lang w:val="es-ES"/>
        </w:rPr>
      </w:pPr>
    </w:p>
    <w:p w:rsidR="00545DED" w:rsidRPr="005F705E" w:rsidRDefault="00F9594E"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El segundo ciclo del período </w:t>
      </w:r>
      <w:r w:rsidR="002E5069" w:rsidRPr="005F705E">
        <w:rPr>
          <w:rFonts w:ascii="Times New Roman" w:hAnsi="Times New Roman" w:cs="Times New Roman"/>
          <w:lang w:val="es-ES"/>
        </w:rPr>
        <w:t>post-reformas</w:t>
      </w:r>
      <w:r w:rsidRPr="005F705E">
        <w:rPr>
          <w:rFonts w:ascii="Times New Roman" w:hAnsi="Times New Roman" w:cs="Times New Roman"/>
          <w:lang w:val="es-ES"/>
        </w:rPr>
        <w:t xml:space="preserve"> (2007-2014) reconoc</w:t>
      </w:r>
      <w:r w:rsidR="008119DE" w:rsidRPr="005F705E">
        <w:rPr>
          <w:rFonts w:ascii="Times New Roman" w:hAnsi="Times New Roman" w:cs="Times New Roman"/>
          <w:lang w:val="es-ES"/>
        </w:rPr>
        <w:t>ió</w:t>
      </w:r>
      <w:r w:rsidRPr="005F705E">
        <w:rPr>
          <w:rFonts w:ascii="Times New Roman" w:hAnsi="Times New Roman" w:cs="Times New Roman"/>
          <w:lang w:val="es-ES"/>
        </w:rPr>
        <w:t xml:space="preserve"> dos momentos diferenciales. Por una parte, hasta 2012, la </w:t>
      </w:r>
      <w:r w:rsidR="00CE3CE3" w:rsidRPr="005F705E">
        <w:rPr>
          <w:rFonts w:ascii="Times New Roman" w:hAnsi="Times New Roman" w:cs="Times New Roman"/>
          <w:lang w:val="es-ES"/>
        </w:rPr>
        <w:t xml:space="preserve">incidencia </w:t>
      </w:r>
      <w:r w:rsidRPr="005F705E">
        <w:rPr>
          <w:rFonts w:ascii="Times New Roman" w:hAnsi="Times New Roman" w:cs="Times New Roman"/>
          <w:lang w:val="es-ES"/>
        </w:rPr>
        <w:t xml:space="preserve">de </w:t>
      </w:r>
      <w:r w:rsidR="00CE3CE3" w:rsidRPr="005F705E">
        <w:rPr>
          <w:rFonts w:ascii="Times New Roman" w:hAnsi="Times New Roman" w:cs="Times New Roman"/>
          <w:lang w:val="es-ES"/>
        </w:rPr>
        <w:t xml:space="preserve">la </w:t>
      </w:r>
      <w:r w:rsidRPr="005F705E">
        <w:rPr>
          <w:rFonts w:ascii="Times New Roman" w:hAnsi="Times New Roman" w:cs="Times New Roman"/>
          <w:lang w:val="es-ES"/>
        </w:rPr>
        <w:t>pobreza contin</w:t>
      </w:r>
      <w:r w:rsidR="00545DED" w:rsidRPr="005F705E">
        <w:rPr>
          <w:rFonts w:ascii="Times New Roman" w:hAnsi="Times New Roman" w:cs="Times New Roman"/>
          <w:lang w:val="es-ES"/>
        </w:rPr>
        <w:t>uó</w:t>
      </w:r>
      <w:r w:rsidRPr="005F705E">
        <w:rPr>
          <w:rFonts w:ascii="Times New Roman" w:hAnsi="Times New Roman" w:cs="Times New Roman"/>
          <w:lang w:val="es-ES"/>
        </w:rPr>
        <w:t xml:space="preserve"> su ritmo descendente (a pesar de una coyuntura desfavorable en el año 2009)</w:t>
      </w:r>
      <w:r w:rsidR="00001009" w:rsidRPr="005F705E">
        <w:rPr>
          <w:rFonts w:ascii="Times New Roman" w:hAnsi="Times New Roman" w:cs="Times New Roman"/>
          <w:lang w:val="es-ES"/>
        </w:rPr>
        <w:t xml:space="preserve">, si bien el ritmo de </w:t>
      </w:r>
      <w:r w:rsidR="00545DED" w:rsidRPr="005F705E">
        <w:rPr>
          <w:rFonts w:ascii="Times New Roman" w:hAnsi="Times New Roman" w:cs="Times New Roman"/>
          <w:lang w:val="es-ES"/>
        </w:rPr>
        <w:t>la reducción</w:t>
      </w:r>
      <w:r w:rsidR="00001009" w:rsidRPr="005F705E">
        <w:rPr>
          <w:rFonts w:ascii="Times New Roman" w:hAnsi="Times New Roman" w:cs="Times New Roman"/>
          <w:lang w:val="es-ES"/>
        </w:rPr>
        <w:t xml:space="preserve"> fue muy inferior al que había tenido lugar en la primera etapa del ciclo</w:t>
      </w:r>
      <w:r w:rsidRPr="005F705E">
        <w:rPr>
          <w:rFonts w:ascii="Times New Roman" w:hAnsi="Times New Roman" w:cs="Times New Roman"/>
          <w:lang w:val="es-ES"/>
        </w:rPr>
        <w:t xml:space="preserve">. Entre 2012 y 2014, como resultado de </w:t>
      </w:r>
      <w:r w:rsidR="009666D5" w:rsidRPr="005F705E">
        <w:rPr>
          <w:rFonts w:ascii="Times New Roman" w:hAnsi="Times New Roman" w:cs="Times New Roman"/>
          <w:lang w:val="es-ES"/>
        </w:rPr>
        <w:t>una brusca</w:t>
      </w:r>
      <w:r w:rsidRPr="005F705E">
        <w:rPr>
          <w:rFonts w:ascii="Times New Roman" w:hAnsi="Times New Roman" w:cs="Times New Roman"/>
          <w:lang w:val="es-ES"/>
        </w:rPr>
        <w:t xml:space="preserve"> devaluación</w:t>
      </w:r>
      <w:r w:rsidR="00001009" w:rsidRPr="005F705E">
        <w:rPr>
          <w:rFonts w:ascii="Times New Roman" w:hAnsi="Times New Roman" w:cs="Times New Roman"/>
          <w:lang w:val="es-ES"/>
        </w:rPr>
        <w:t xml:space="preserve"> de</w:t>
      </w:r>
      <w:r w:rsidR="009666D5" w:rsidRPr="005F705E">
        <w:rPr>
          <w:rFonts w:ascii="Times New Roman" w:hAnsi="Times New Roman" w:cs="Times New Roman"/>
          <w:lang w:val="es-ES"/>
        </w:rPr>
        <w:t xml:space="preserve"> </w:t>
      </w:r>
      <w:r w:rsidR="00001009" w:rsidRPr="005F705E">
        <w:rPr>
          <w:rFonts w:ascii="Times New Roman" w:hAnsi="Times New Roman" w:cs="Times New Roman"/>
          <w:lang w:val="es-ES"/>
        </w:rPr>
        <w:t>l</w:t>
      </w:r>
      <w:r w:rsidR="009666D5" w:rsidRPr="005F705E">
        <w:rPr>
          <w:rFonts w:ascii="Times New Roman" w:hAnsi="Times New Roman" w:cs="Times New Roman"/>
          <w:lang w:val="es-ES"/>
        </w:rPr>
        <w:t>a</w:t>
      </w:r>
      <w:r w:rsidR="00001009" w:rsidRPr="005F705E">
        <w:rPr>
          <w:rFonts w:ascii="Times New Roman" w:hAnsi="Times New Roman" w:cs="Times New Roman"/>
          <w:lang w:val="es-ES"/>
        </w:rPr>
        <w:t xml:space="preserve"> </w:t>
      </w:r>
      <w:r w:rsidR="009666D5" w:rsidRPr="005F705E">
        <w:rPr>
          <w:rFonts w:ascii="Times New Roman" w:hAnsi="Times New Roman" w:cs="Times New Roman"/>
          <w:lang w:val="es-ES"/>
        </w:rPr>
        <w:t>moneda</w:t>
      </w:r>
      <w:r w:rsidR="00001009" w:rsidRPr="005F705E">
        <w:rPr>
          <w:rFonts w:ascii="Times New Roman" w:hAnsi="Times New Roman" w:cs="Times New Roman"/>
          <w:lang w:val="es-ES"/>
        </w:rPr>
        <w:t xml:space="preserve">, tuvo lugar un incremento de la pobreza por ingresos. En este último comportamiento se destaca, principalmente, lo ocurrido con los hogares encabezados por patrones de microempresas informales, </w:t>
      </w:r>
      <w:r w:rsidR="005D486F" w:rsidRPr="005F705E">
        <w:rPr>
          <w:rFonts w:ascii="Times New Roman" w:hAnsi="Times New Roman" w:cs="Times New Roman"/>
          <w:lang w:val="es-ES"/>
        </w:rPr>
        <w:t xml:space="preserve">los </w:t>
      </w:r>
      <w:r w:rsidR="00557D3C" w:rsidRPr="005F705E">
        <w:rPr>
          <w:rFonts w:ascii="Times New Roman" w:hAnsi="Times New Roman" w:cs="Times New Roman"/>
          <w:lang w:val="es-ES"/>
        </w:rPr>
        <w:t>trabajadores por cuenta propia</w:t>
      </w:r>
      <w:r w:rsidR="005D486F" w:rsidRPr="005F705E">
        <w:rPr>
          <w:rFonts w:ascii="Times New Roman" w:hAnsi="Times New Roman" w:cs="Times New Roman"/>
          <w:lang w:val="es-ES"/>
        </w:rPr>
        <w:t xml:space="preserve"> informales </w:t>
      </w:r>
      <w:r w:rsidR="00001009" w:rsidRPr="005F705E">
        <w:rPr>
          <w:rFonts w:ascii="Times New Roman" w:hAnsi="Times New Roman" w:cs="Times New Roman"/>
          <w:lang w:val="es-ES"/>
        </w:rPr>
        <w:t xml:space="preserve">y los trabajadores del servicio doméstico, y una estabilidad de la incidencia de la pobreza en el caso de los hogares encabezados por </w:t>
      </w:r>
      <w:r w:rsidR="005D486F" w:rsidRPr="005F705E">
        <w:rPr>
          <w:rFonts w:ascii="Times New Roman" w:hAnsi="Times New Roman" w:cs="Times New Roman"/>
          <w:lang w:val="es-ES"/>
        </w:rPr>
        <w:t>asalariados del sector microempresario</w:t>
      </w:r>
      <w:r w:rsidR="00001009" w:rsidRPr="005F705E">
        <w:rPr>
          <w:rFonts w:ascii="Times New Roman" w:hAnsi="Times New Roman" w:cs="Times New Roman"/>
          <w:lang w:val="es-ES"/>
        </w:rPr>
        <w:t xml:space="preserve">. </w:t>
      </w:r>
      <w:r w:rsidR="00545DED" w:rsidRPr="005F705E">
        <w:rPr>
          <w:rFonts w:ascii="Times New Roman" w:hAnsi="Times New Roman" w:cs="Times New Roman"/>
          <w:lang w:val="es-ES"/>
        </w:rPr>
        <w:t xml:space="preserve">Nuevamente, a lo largo del </w:t>
      </w:r>
      <w:r w:rsidR="00545DED" w:rsidRPr="005F705E">
        <w:rPr>
          <w:rFonts w:ascii="Times New Roman" w:hAnsi="Times New Roman" w:cs="Times New Roman"/>
          <w:lang w:val="es-ES"/>
        </w:rPr>
        <w:lastRenderedPageBreak/>
        <w:t xml:space="preserve">período la incidencia de la pobreza continuó siendo elevada y afectaba a uno de cada cuatro hogares del sector microempresario/informal. </w:t>
      </w:r>
    </w:p>
    <w:p w:rsidR="00CD7629" w:rsidRPr="005F705E" w:rsidRDefault="00CD7629"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En suma, durante el ciclo </w:t>
      </w:r>
      <w:r w:rsidR="00CE3CE3" w:rsidRPr="005F705E">
        <w:rPr>
          <w:rFonts w:ascii="Times New Roman" w:hAnsi="Times New Roman" w:cs="Times New Roman"/>
          <w:lang w:val="es-ES"/>
        </w:rPr>
        <w:t>post-</w:t>
      </w:r>
      <w:r w:rsidR="002E5069" w:rsidRPr="005F705E">
        <w:rPr>
          <w:rFonts w:ascii="Times New Roman" w:hAnsi="Times New Roman" w:cs="Times New Roman"/>
          <w:lang w:val="es-ES"/>
        </w:rPr>
        <w:t>reformas</w:t>
      </w:r>
      <w:r w:rsidRPr="005F705E">
        <w:rPr>
          <w:rFonts w:ascii="Times New Roman" w:hAnsi="Times New Roman" w:cs="Times New Roman"/>
          <w:lang w:val="es-ES"/>
        </w:rPr>
        <w:t xml:space="preserve"> </w:t>
      </w:r>
      <w:r w:rsidR="002C1422" w:rsidRPr="005F705E">
        <w:rPr>
          <w:rFonts w:ascii="Times New Roman" w:hAnsi="Times New Roman" w:cs="Times New Roman"/>
          <w:lang w:val="es-ES"/>
        </w:rPr>
        <w:t>tuvo lugar</w:t>
      </w:r>
      <w:r w:rsidRPr="005F705E">
        <w:rPr>
          <w:rFonts w:ascii="Times New Roman" w:hAnsi="Times New Roman" w:cs="Times New Roman"/>
          <w:lang w:val="es-ES"/>
        </w:rPr>
        <w:t>: a) una mejora del ingreso per cápita familiar más intensa, en términos relativos, entre los hogares que estaban insertos en el sector microempresario informal, que entre aquellos que estaban ocupados en el sector formal público y privado</w:t>
      </w:r>
      <w:r w:rsidR="00CE3CE3" w:rsidRPr="005F705E">
        <w:rPr>
          <w:rFonts w:ascii="Times New Roman" w:hAnsi="Times New Roman" w:cs="Times New Roman"/>
          <w:lang w:val="es-ES"/>
        </w:rPr>
        <w:t xml:space="preserve"> –lo que se expresó en una reducción de la desigualdad global–</w:t>
      </w:r>
      <w:r w:rsidRPr="005F705E">
        <w:rPr>
          <w:rFonts w:ascii="Times New Roman" w:hAnsi="Times New Roman" w:cs="Times New Roman"/>
          <w:lang w:val="es-ES"/>
        </w:rPr>
        <w:t xml:space="preserve">; b) que se dio en un contexto de pobreza persistente –si bien declinante– a nivel de las unidades domésticas </w:t>
      </w:r>
      <w:r w:rsidR="008119DE" w:rsidRPr="005F705E">
        <w:rPr>
          <w:rFonts w:ascii="Times New Roman" w:hAnsi="Times New Roman" w:cs="Times New Roman"/>
          <w:lang w:val="es-ES"/>
        </w:rPr>
        <w:t>cuyo PSH se ubicaba</w:t>
      </w:r>
      <w:r w:rsidRPr="005F705E">
        <w:rPr>
          <w:rFonts w:ascii="Times New Roman" w:hAnsi="Times New Roman" w:cs="Times New Roman"/>
          <w:lang w:val="es-ES"/>
        </w:rPr>
        <w:t xml:space="preserve"> en el sector microempresario/informal</w:t>
      </w:r>
      <w:r w:rsidR="008119DE" w:rsidRPr="005F705E">
        <w:rPr>
          <w:rFonts w:ascii="Times New Roman" w:hAnsi="Times New Roman" w:cs="Times New Roman"/>
          <w:lang w:val="es-ES"/>
        </w:rPr>
        <w:t xml:space="preserve"> o era asalariado precario</w:t>
      </w:r>
      <w:r w:rsidRPr="005F705E">
        <w:rPr>
          <w:rFonts w:ascii="Times New Roman" w:hAnsi="Times New Roman" w:cs="Times New Roman"/>
          <w:lang w:val="es-ES"/>
        </w:rPr>
        <w:t xml:space="preserve">. Si se toma en cuenta, como se indicó más arriba, que durante la segunda fase del ciclo los hogares tuvieron más restricciones para volcar perceptores laborales al mercado de trabajo a la vez que contaron con mayores perceptores de fuentes no laborales, es posible suponer que en la reducción de la pobreza se incrementó el rol desempeñado por este último tipo de ingresos.  </w:t>
      </w:r>
    </w:p>
    <w:p w:rsidR="008119DE" w:rsidRPr="005F705E" w:rsidRDefault="008119DE" w:rsidP="009B79D3">
      <w:pPr>
        <w:pStyle w:val="Sinespaciado"/>
        <w:spacing w:line="480" w:lineRule="auto"/>
        <w:jc w:val="both"/>
        <w:rPr>
          <w:rFonts w:ascii="Times New Roman" w:hAnsi="Times New Roman" w:cs="Times New Roman"/>
          <w:b/>
          <w:lang w:val="es-ES"/>
        </w:rPr>
      </w:pPr>
    </w:p>
    <w:p w:rsidR="00DF70D1" w:rsidRPr="005F705E" w:rsidRDefault="00DF70D1" w:rsidP="009B79D3">
      <w:pPr>
        <w:pStyle w:val="Sinespaciado"/>
        <w:spacing w:line="480" w:lineRule="auto"/>
        <w:jc w:val="both"/>
        <w:rPr>
          <w:rFonts w:ascii="Times New Roman" w:hAnsi="Times New Roman" w:cs="Times New Roman"/>
          <w:b/>
          <w:lang w:val="es-ES"/>
        </w:rPr>
      </w:pPr>
      <w:r w:rsidRPr="005F705E">
        <w:rPr>
          <w:rFonts w:ascii="Times New Roman" w:hAnsi="Times New Roman" w:cs="Times New Roman"/>
          <w:b/>
          <w:lang w:val="es-ES"/>
        </w:rPr>
        <w:t>5. Reflexiones finales</w:t>
      </w:r>
    </w:p>
    <w:p w:rsidR="007922C2" w:rsidRPr="005F705E" w:rsidRDefault="00DF70D1"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En este trabajo nos hemos aproximado a algunas de las principales transformaciones que experimentó el vínculo</w:t>
      </w:r>
      <w:r w:rsidR="00CE3CE3" w:rsidRPr="005F705E">
        <w:rPr>
          <w:rFonts w:ascii="Times New Roman" w:hAnsi="Times New Roman" w:cs="Times New Roman"/>
          <w:lang w:val="es-ES"/>
        </w:rPr>
        <w:t xml:space="preserve"> de los hogares con el mercado de trabajo</w:t>
      </w:r>
      <w:r w:rsidRPr="005F705E">
        <w:rPr>
          <w:rFonts w:ascii="Times New Roman" w:hAnsi="Times New Roman" w:cs="Times New Roman"/>
          <w:lang w:val="es-ES"/>
        </w:rPr>
        <w:t xml:space="preserve"> durante </w:t>
      </w:r>
      <w:r w:rsidR="00CE3CE3" w:rsidRPr="005F705E">
        <w:rPr>
          <w:rFonts w:ascii="Times New Roman" w:hAnsi="Times New Roman" w:cs="Times New Roman"/>
          <w:lang w:val="es-ES"/>
        </w:rPr>
        <w:t>los años post-</w:t>
      </w:r>
      <w:r w:rsidR="00947794" w:rsidRPr="005F705E">
        <w:rPr>
          <w:rFonts w:ascii="Times New Roman" w:hAnsi="Times New Roman" w:cs="Times New Roman"/>
          <w:lang w:val="es-ES"/>
        </w:rPr>
        <w:t>reformas</w:t>
      </w:r>
      <w:r w:rsidRPr="005F705E">
        <w:rPr>
          <w:rFonts w:ascii="Times New Roman" w:hAnsi="Times New Roman" w:cs="Times New Roman"/>
          <w:lang w:val="es-ES"/>
        </w:rPr>
        <w:t xml:space="preserve">. </w:t>
      </w:r>
      <w:r w:rsidR="00324DC2" w:rsidRPr="005F705E">
        <w:rPr>
          <w:rFonts w:ascii="Times New Roman" w:hAnsi="Times New Roman" w:cs="Times New Roman"/>
          <w:lang w:val="es-ES"/>
        </w:rPr>
        <w:t xml:space="preserve">Este </w:t>
      </w:r>
      <w:r w:rsidRPr="005F705E">
        <w:rPr>
          <w:rFonts w:ascii="Times New Roman" w:hAnsi="Times New Roman" w:cs="Times New Roman"/>
          <w:lang w:val="es-ES"/>
        </w:rPr>
        <w:t xml:space="preserve">análisis permitió evaluar tanto los principales rasgos </w:t>
      </w:r>
      <w:r w:rsidR="008751DF" w:rsidRPr="005F705E">
        <w:rPr>
          <w:rFonts w:ascii="Times New Roman" w:hAnsi="Times New Roman" w:cs="Times New Roman"/>
          <w:lang w:val="es-ES"/>
        </w:rPr>
        <w:t xml:space="preserve">que asumió </w:t>
      </w:r>
      <w:r w:rsidR="00DA53CC" w:rsidRPr="005F705E">
        <w:rPr>
          <w:rFonts w:ascii="Times New Roman" w:hAnsi="Times New Roman" w:cs="Times New Roman"/>
          <w:lang w:val="es-ES"/>
        </w:rPr>
        <w:t>la</w:t>
      </w:r>
      <w:r w:rsidRPr="005F705E">
        <w:rPr>
          <w:rFonts w:ascii="Times New Roman" w:hAnsi="Times New Roman" w:cs="Times New Roman"/>
          <w:lang w:val="es-ES"/>
        </w:rPr>
        <w:t xml:space="preserve"> estructura </w:t>
      </w:r>
      <w:r w:rsidR="008751DF" w:rsidRPr="005F705E">
        <w:rPr>
          <w:rFonts w:ascii="Times New Roman" w:hAnsi="Times New Roman" w:cs="Times New Roman"/>
          <w:lang w:val="es-ES"/>
        </w:rPr>
        <w:t>económico-ocupacional examinada a nivel de las familias</w:t>
      </w:r>
      <w:r w:rsidRPr="005F705E">
        <w:rPr>
          <w:rFonts w:ascii="Times New Roman" w:hAnsi="Times New Roman" w:cs="Times New Roman"/>
          <w:lang w:val="es-ES"/>
        </w:rPr>
        <w:t xml:space="preserve"> en el contexto de una economía heterogénea y segmentada, </w:t>
      </w:r>
      <w:r w:rsidR="009122C0" w:rsidRPr="005F705E">
        <w:rPr>
          <w:rFonts w:ascii="Times New Roman" w:hAnsi="Times New Roman" w:cs="Times New Roman"/>
          <w:lang w:val="es-ES"/>
        </w:rPr>
        <w:t>así como</w:t>
      </w:r>
      <w:r w:rsidRPr="005F705E">
        <w:rPr>
          <w:rFonts w:ascii="Times New Roman" w:hAnsi="Times New Roman" w:cs="Times New Roman"/>
          <w:lang w:val="es-ES"/>
        </w:rPr>
        <w:t xml:space="preserve"> el efecto que tuvo</w:t>
      </w:r>
      <w:r w:rsidR="008751DF" w:rsidRPr="005F705E">
        <w:rPr>
          <w:rFonts w:ascii="Times New Roman" w:hAnsi="Times New Roman" w:cs="Times New Roman"/>
          <w:lang w:val="es-ES"/>
        </w:rPr>
        <w:t xml:space="preserve"> sobre aquella </w:t>
      </w:r>
      <w:r w:rsidRPr="005F705E">
        <w:rPr>
          <w:rFonts w:ascii="Times New Roman" w:hAnsi="Times New Roman" w:cs="Times New Roman"/>
          <w:lang w:val="es-ES"/>
        </w:rPr>
        <w:t xml:space="preserve">la aplicación de un conjunto de políticas de signo distinto </w:t>
      </w:r>
      <w:r w:rsidR="00D74FD3" w:rsidRPr="005F705E">
        <w:rPr>
          <w:rFonts w:ascii="Times New Roman" w:hAnsi="Times New Roman" w:cs="Times New Roman"/>
          <w:lang w:val="es-ES"/>
        </w:rPr>
        <w:t xml:space="preserve">al de aquellas que indujeron, precisamente, una mayor heterogeneidad y segmentación socio-productiva. </w:t>
      </w:r>
    </w:p>
    <w:p w:rsidR="008751DF" w:rsidRPr="005F705E" w:rsidRDefault="00EE0704"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C</w:t>
      </w:r>
      <w:r w:rsidR="00D74FD3" w:rsidRPr="005F705E">
        <w:rPr>
          <w:rFonts w:ascii="Times New Roman" w:hAnsi="Times New Roman" w:cs="Times New Roman"/>
          <w:lang w:val="es-ES"/>
        </w:rPr>
        <w:t xml:space="preserve">onstatamos la existencia de un proceso significativo de recomposición de las oportunidades de empleo </w:t>
      </w:r>
      <w:r w:rsidRPr="005F705E">
        <w:rPr>
          <w:rFonts w:ascii="Times New Roman" w:hAnsi="Times New Roman" w:cs="Times New Roman"/>
          <w:lang w:val="es-ES"/>
        </w:rPr>
        <w:t xml:space="preserve">en el sector </w:t>
      </w:r>
      <w:r w:rsidR="00D74FD3" w:rsidRPr="005F705E">
        <w:rPr>
          <w:rFonts w:ascii="Times New Roman" w:hAnsi="Times New Roman" w:cs="Times New Roman"/>
          <w:lang w:val="es-ES"/>
        </w:rPr>
        <w:t>formal a nivel de los hogares, lo que cabe suponer que habilita mecanismos de “movilidad estructural”.</w:t>
      </w:r>
      <w:r w:rsidR="00DA53CC" w:rsidRPr="005F705E">
        <w:rPr>
          <w:rFonts w:ascii="Times New Roman" w:hAnsi="Times New Roman" w:cs="Times New Roman"/>
          <w:lang w:val="es-ES"/>
        </w:rPr>
        <w:t xml:space="preserve"> </w:t>
      </w:r>
      <w:r w:rsidR="00947794" w:rsidRPr="005F705E">
        <w:rPr>
          <w:rFonts w:ascii="Times New Roman" w:hAnsi="Times New Roman" w:cs="Times New Roman"/>
          <w:lang w:val="es-ES"/>
        </w:rPr>
        <w:t>L</w:t>
      </w:r>
      <w:r w:rsidR="00D74FD3" w:rsidRPr="005F705E">
        <w:rPr>
          <w:rFonts w:ascii="Times New Roman" w:hAnsi="Times New Roman" w:cs="Times New Roman"/>
          <w:lang w:val="es-ES"/>
        </w:rPr>
        <w:t>a aplicación de políticas pro-</w:t>
      </w:r>
      <w:r w:rsidR="00D74FD3" w:rsidRPr="005F705E">
        <w:rPr>
          <w:rFonts w:ascii="Times New Roman" w:hAnsi="Times New Roman" w:cs="Times New Roman"/>
          <w:lang w:val="es-ES"/>
        </w:rPr>
        <w:lastRenderedPageBreak/>
        <w:t xml:space="preserve">mercado interno en el contexto de una economía </w:t>
      </w:r>
      <w:r w:rsidR="008C4328" w:rsidRPr="005F705E">
        <w:rPr>
          <w:rFonts w:ascii="Times New Roman" w:hAnsi="Times New Roman" w:cs="Times New Roman"/>
          <w:lang w:val="es-ES"/>
        </w:rPr>
        <w:t>abierta</w:t>
      </w:r>
      <w:r w:rsidR="00D74FD3" w:rsidRPr="005F705E">
        <w:rPr>
          <w:rFonts w:ascii="Times New Roman" w:hAnsi="Times New Roman" w:cs="Times New Roman"/>
          <w:lang w:val="es-ES"/>
        </w:rPr>
        <w:t xml:space="preserve"> </w:t>
      </w:r>
      <w:r w:rsidR="00947794" w:rsidRPr="005F705E">
        <w:rPr>
          <w:rFonts w:ascii="Times New Roman" w:hAnsi="Times New Roman" w:cs="Times New Roman"/>
          <w:lang w:val="es-ES"/>
        </w:rPr>
        <w:t xml:space="preserve">habría </w:t>
      </w:r>
      <w:r w:rsidR="00CE3CE3" w:rsidRPr="005F705E">
        <w:rPr>
          <w:rFonts w:ascii="Times New Roman" w:hAnsi="Times New Roman" w:cs="Times New Roman"/>
          <w:lang w:val="es-ES"/>
        </w:rPr>
        <w:t>promovi</w:t>
      </w:r>
      <w:r w:rsidR="00947794" w:rsidRPr="005F705E">
        <w:rPr>
          <w:rFonts w:ascii="Times New Roman" w:hAnsi="Times New Roman" w:cs="Times New Roman"/>
          <w:lang w:val="es-ES"/>
        </w:rPr>
        <w:t>do</w:t>
      </w:r>
      <w:r w:rsidR="00D74FD3" w:rsidRPr="005F705E">
        <w:rPr>
          <w:rFonts w:ascii="Times New Roman" w:hAnsi="Times New Roman" w:cs="Times New Roman"/>
          <w:lang w:val="es-ES"/>
        </w:rPr>
        <w:t xml:space="preserve"> </w:t>
      </w:r>
      <w:r w:rsidR="008C4328" w:rsidRPr="005F705E">
        <w:rPr>
          <w:rFonts w:ascii="Times New Roman" w:hAnsi="Times New Roman" w:cs="Times New Roman"/>
          <w:lang w:val="es-ES"/>
        </w:rPr>
        <w:t xml:space="preserve">una ampliación de </w:t>
      </w:r>
      <w:r w:rsidRPr="005F705E">
        <w:rPr>
          <w:rFonts w:ascii="Times New Roman" w:hAnsi="Times New Roman" w:cs="Times New Roman"/>
          <w:lang w:val="es-ES"/>
        </w:rPr>
        <w:t xml:space="preserve">este tipo de </w:t>
      </w:r>
      <w:r w:rsidR="008C4328" w:rsidRPr="005F705E">
        <w:rPr>
          <w:rFonts w:ascii="Times New Roman" w:hAnsi="Times New Roman" w:cs="Times New Roman"/>
          <w:lang w:val="es-ES"/>
        </w:rPr>
        <w:t xml:space="preserve">oportunidades laborales </w:t>
      </w:r>
      <w:r w:rsidRPr="005F705E">
        <w:rPr>
          <w:rFonts w:ascii="Times New Roman" w:hAnsi="Times New Roman" w:cs="Times New Roman"/>
          <w:lang w:val="es-ES"/>
        </w:rPr>
        <w:t>para los hogares</w:t>
      </w:r>
      <w:r w:rsidR="008C4328" w:rsidRPr="005F705E">
        <w:rPr>
          <w:rFonts w:ascii="Times New Roman" w:hAnsi="Times New Roman" w:cs="Times New Roman"/>
          <w:lang w:val="es-ES"/>
        </w:rPr>
        <w:t>.</w:t>
      </w:r>
      <w:r w:rsidR="000A3DE9" w:rsidRPr="005F705E">
        <w:rPr>
          <w:rFonts w:ascii="Times New Roman" w:hAnsi="Times New Roman" w:cs="Times New Roman"/>
          <w:lang w:val="es-ES"/>
        </w:rPr>
        <w:t xml:space="preserve"> </w:t>
      </w:r>
      <w:r w:rsidRPr="005F705E">
        <w:rPr>
          <w:rFonts w:ascii="Times New Roman" w:hAnsi="Times New Roman" w:cs="Times New Roman"/>
          <w:lang w:val="es-ES"/>
        </w:rPr>
        <w:t xml:space="preserve">No obstante, </w:t>
      </w:r>
      <w:r w:rsidR="00595225" w:rsidRPr="005F705E">
        <w:rPr>
          <w:rFonts w:ascii="Times New Roman" w:hAnsi="Times New Roman" w:cs="Times New Roman"/>
          <w:lang w:val="es-ES"/>
        </w:rPr>
        <w:t xml:space="preserve">cabe enfatizar dos aspectos. En primer lugar, la recomposición advertida se concentró en la fase más dinámica del ciclo económico (2003-2007), tendiendo a estancarse con posterioridad. En segundo lugar, </w:t>
      </w:r>
      <w:r w:rsidR="008C4328" w:rsidRPr="005F705E">
        <w:rPr>
          <w:rFonts w:ascii="Times New Roman" w:hAnsi="Times New Roman" w:cs="Times New Roman"/>
          <w:lang w:val="es-ES"/>
        </w:rPr>
        <w:t xml:space="preserve">este proceso </w:t>
      </w:r>
      <w:r w:rsidR="000A3DE9" w:rsidRPr="005F705E">
        <w:rPr>
          <w:rFonts w:ascii="Times New Roman" w:hAnsi="Times New Roman" w:cs="Times New Roman"/>
          <w:lang w:val="es-ES"/>
        </w:rPr>
        <w:t>se dio simultáneamente</w:t>
      </w:r>
      <w:r w:rsidR="008C4328" w:rsidRPr="005F705E">
        <w:rPr>
          <w:rFonts w:ascii="Times New Roman" w:hAnsi="Times New Roman" w:cs="Times New Roman"/>
          <w:lang w:val="es-ES"/>
        </w:rPr>
        <w:t xml:space="preserve"> con una persistente fragmentación de la estructura socio-ocupacional</w:t>
      </w:r>
      <w:r w:rsidR="00DA53CC" w:rsidRPr="005F705E">
        <w:rPr>
          <w:rFonts w:ascii="Times New Roman" w:hAnsi="Times New Roman" w:cs="Times New Roman"/>
          <w:lang w:val="es-ES"/>
        </w:rPr>
        <w:t xml:space="preserve">, </w:t>
      </w:r>
      <w:r w:rsidRPr="005F705E">
        <w:rPr>
          <w:rFonts w:ascii="Times New Roman" w:hAnsi="Times New Roman" w:cs="Times New Roman"/>
          <w:lang w:val="es-ES"/>
        </w:rPr>
        <w:t xml:space="preserve">que </w:t>
      </w:r>
      <w:r w:rsidR="00DA53CC" w:rsidRPr="005F705E">
        <w:rPr>
          <w:rFonts w:ascii="Times New Roman" w:hAnsi="Times New Roman" w:cs="Times New Roman"/>
          <w:lang w:val="es-ES"/>
        </w:rPr>
        <w:t xml:space="preserve">cabe inscribir </w:t>
      </w:r>
      <w:r w:rsidR="008C4328" w:rsidRPr="005F705E">
        <w:rPr>
          <w:rFonts w:ascii="Times New Roman" w:hAnsi="Times New Roman" w:cs="Times New Roman"/>
          <w:lang w:val="es-ES"/>
        </w:rPr>
        <w:t>en tendencias de más largo plazo (Groisman, 2013)</w:t>
      </w:r>
      <w:r w:rsidRPr="005F705E">
        <w:rPr>
          <w:rFonts w:ascii="Times New Roman" w:hAnsi="Times New Roman" w:cs="Times New Roman"/>
          <w:lang w:val="es-ES"/>
        </w:rPr>
        <w:t>, y que se traduce en que al término del período 4 de cada 10 hogares tenían a su PSH inserto en el sector informal o en condiciones laborales precarias.</w:t>
      </w:r>
      <w:r w:rsidR="008C4328" w:rsidRPr="005F705E">
        <w:rPr>
          <w:rFonts w:ascii="Times New Roman" w:hAnsi="Times New Roman" w:cs="Times New Roman"/>
          <w:lang w:val="es-ES"/>
        </w:rPr>
        <w:t xml:space="preserve"> </w:t>
      </w:r>
    </w:p>
    <w:p w:rsidR="008C4328" w:rsidRPr="005F705E" w:rsidRDefault="00CE3CE3"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U</w:t>
      </w:r>
      <w:r w:rsidR="00D83F49" w:rsidRPr="005F705E">
        <w:rPr>
          <w:rFonts w:ascii="Times New Roman" w:hAnsi="Times New Roman" w:cs="Times New Roman"/>
          <w:lang w:val="es-ES"/>
        </w:rPr>
        <w:t>no de los propósitos específicos de este trabajo fue examinar en qué medida la consideración de los hogares como unidades de análisis</w:t>
      </w:r>
      <w:r w:rsidR="00EE0704" w:rsidRPr="005F705E">
        <w:rPr>
          <w:rFonts w:ascii="Times New Roman" w:hAnsi="Times New Roman" w:cs="Times New Roman"/>
          <w:lang w:val="es-ES"/>
        </w:rPr>
        <w:t xml:space="preserve"> –</w:t>
      </w:r>
      <w:r w:rsidR="00D83F49" w:rsidRPr="005F705E">
        <w:rPr>
          <w:rFonts w:ascii="Times New Roman" w:hAnsi="Times New Roman" w:cs="Times New Roman"/>
          <w:lang w:val="es-ES"/>
        </w:rPr>
        <w:t>en</w:t>
      </w:r>
      <w:r w:rsidR="00EE0704" w:rsidRPr="005F705E">
        <w:rPr>
          <w:rFonts w:ascii="Times New Roman" w:hAnsi="Times New Roman" w:cs="Times New Roman"/>
          <w:lang w:val="es-ES"/>
        </w:rPr>
        <w:t xml:space="preserve"> lugar</w:t>
      </w:r>
      <w:r w:rsidR="00D83F49" w:rsidRPr="005F705E">
        <w:rPr>
          <w:rFonts w:ascii="Times New Roman" w:hAnsi="Times New Roman" w:cs="Times New Roman"/>
          <w:lang w:val="es-ES"/>
        </w:rPr>
        <w:t xml:space="preserve"> de la fuerza de trabajo individual</w:t>
      </w:r>
      <w:r w:rsidR="00EE0704" w:rsidRPr="005F705E">
        <w:rPr>
          <w:rFonts w:ascii="Times New Roman" w:hAnsi="Times New Roman" w:cs="Times New Roman"/>
          <w:lang w:val="es-ES"/>
        </w:rPr>
        <w:t>–</w:t>
      </w:r>
      <w:r w:rsidR="00D83F49" w:rsidRPr="005F705E">
        <w:rPr>
          <w:rFonts w:ascii="Times New Roman" w:hAnsi="Times New Roman" w:cs="Times New Roman"/>
          <w:lang w:val="es-ES"/>
        </w:rPr>
        <w:t xml:space="preserve"> traducía un grado menor de polarización social que el que emerge del análisis de la estructura social de la fuerza de trabajo. </w:t>
      </w:r>
      <w:r w:rsidR="00EE0704" w:rsidRPr="005F705E">
        <w:rPr>
          <w:rFonts w:ascii="Times New Roman" w:hAnsi="Times New Roman" w:cs="Times New Roman"/>
          <w:lang w:val="es-ES"/>
        </w:rPr>
        <w:t xml:space="preserve">Según este argumento, los hogares combinan ocupaciones en el sector formal y en el informal o en condiciones de no registración. </w:t>
      </w:r>
      <w:r w:rsidR="00595225" w:rsidRPr="005F705E">
        <w:rPr>
          <w:rFonts w:ascii="Times New Roman" w:hAnsi="Times New Roman" w:cs="Times New Roman"/>
          <w:lang w:val="es-ES"/>
        </w:rPr>
        <w:t>Por una parte</w:t>
      </w:r>
      <w:r w:rsidR="00EE0704" w:rsidRPr="005F705E">
        <w:rPr>
          <w:rFonts w:ascii="Times New Roman" w:hAnsi="Times New Roman" w:cs="Times New Roman"/>
          <w:lang w:val="es-ES"/>
        </w:rPr>
        <w:t>, observamos que</w:t>
      </w:r>
      <w:r w:rsidR="00595225" w:rsidRPr="005F705E">
        <w:rPr>
          <w:rFonts w:ascii="Times New Roman" w:hAnsi="Times New Roman" w:cs="Times New Roman"/>
          <w:lang w:val="es-ES"/>
        </w:rPr>
        <w:t>,</w:t>
      </w:r>
      <w:r w:rsidR="00EE0704" w:rsidRPr="005F705E">
        <w:rPr>
          <w:rFonts w:ascii="Times New Roman" w:hAnsi="Times New Roman" w:cs="Times New Roman"/>
          <w:lang w:val="es-ES"/>
        </w:rPr>
        <w:t xml:space="preserve"> </w:t>
      </w:r>
      <w:r w:rsidR="00595225" w:rsidRPr="005F705E">
        <w:rPr>
          <w:rFonts w:ascii="Times New Roman" w:hAnsi="Times New Roman" w:cs="Times New Roman"/>
          <w:lang w:val="es-ES"/>
        </w:rPr>
        <w:t xml:space="preserve">más allá de la recomposición observada en las oportunidades de empleo formal, hacia 2014 más de un tercio de los hogares no accedían a ninguna ocupación en el sector formal (excluyendo posiciones precarias) </w:t>
      </w:r>
      <w:r w:rsidR="002F2127" w:rsidRPr="005F705E">
        <w:rPr>
          <w:rFonts w:ascii="Times New Roman" w:hAnsi="Times New Roman" w:cs="Times New Roman"/>
          <w:lang w:val="es-ES"/>
        </w:rPr>
        <w:t>tomando en cuenta no sólo la inserción del PSH sino</w:t>
      </w:r>
      <w:r w:rsidR="00595225" w:rsidRPr="005F705E">
        <w:rPr>
          <w:rFonts w:ascii="Times New Roman" w:hAnsi="Times New Roman" w:cs="Times New Roman"/>
          <w:lang w:val="es-ES"/>
        </w:rPr>
        <w:t xml:space="preserve"> </w:t>
      </w:r>
      <w:r w:rsidR="002F2127" w:rsidRPr="005F705E">
        <w:rPr>
          <w:rFonts w:ascii="Times New Roman" w:hAnsi="Times New Roman" w:cs="Times New Roman"/>
          <w:lang w:val="es-ES"/>
        </w:rPr>
        <w:t>las</w:t>
      </w:r>
      <w:r w:rsidR="00595225" w:rsidRPr="005F705E">
        <w:rPr>
          <w:rFonts w:ascii="Times New Roman" w:hAnsi="Times New Roman" w:cs="Times New Roman"/>
          <w:lang w:val="es-ES"/>
        </w:rPr>
        <w:t xml:space="preserve"> de sus ocupados secundarios. Por otra parte, advertimos que aquellos hogares que cuyo PSH se encontraba por fuera del sector formal público o privado “concentraron” empleos en el sector microempresario o en condiciones precarias al considerar a sus ocupados secundarios, aún controlando los atributos personales de la fuerza de trabajo. </w:t>
      </w:r>
      <w:r w:rsidR="00EE0704" w:rsidRPr="005F705E">
        <w:rPr>
          <w:rFonts w:ascii="Times New Roman" w:hAnsi="Times New Roman" w:cs="Times New Roman"/>
          <w:lang w:val="es-ES"/>
        </w:rPr>
        <w:t>E</w:t>
      </w:r>
      <w:r w:rsidR="002C1422" w:rsidRPr="005F705E">
        <w:rPr>
          <w:rFonts w:ascii="Times New Roman" w:hAnsi="Times New Roman" w:cs="Times New Roman"/>
          <w:lang w:val="es-ES"/>
        </w:rPr>
        <w:t xml:space="preserve">stos resultados </w:t>
      </w:r>
      <w:r w:rsidR="00595225" w:rsidRPr="005F705E">
        <w:rPr>
          <w:rFonts w:ascii="Times New Roman" w:hAnsi="Times New Roman" w:cs="Times New Roman"/>
          <w:lang w:val="es-ES"/>
        </w:rPr>
        <w:t>indican</w:t>
      </w:r>
      <w:r w:rsidR="00EE0704" w:rsidRPr="005F705E">
        <w:rPr>
          <w:rFonts w:ascii="Times New Roman" w:hAnsi="Times New Roman" w:cs="Times New Roman"/>
          <w:lang w:val="es-ES"/>
        </w:rPr>
        <w:t xml:space="preserve"> que para un</w:t>
      </w:r>
      <w:r w:rsidR="002F2127" w:rsidRPr="005F705E">
        <w:rPr>
          <w:rFonts w:ascii="Times New Roman" w:hAnsi="Times New Roman" w:cs="Times New Roman"/>
          <w:lang w:val="es-ES"/>
        </w:rPr>
        <w:t>a</w:t>
      </w:r>
      <w:r w:rsidR="00EE0704" w:rsidRPr="005F705E">
        <w:rPr>
          <w:rFonts w:ascii="Times New Roman" w:hAnsi="Times New Roman" w:cs="Times New Roman"/>
          <w:lang w:val="es-ES"/>
        </w:rPr>
        <w:t xml:space="preserve"> am</w:t>
      </w:r>
      <w:r w:rsidR="00595225" w:rsidRPr="005F705E">
        <w:rPr>
          <w:rFonts w:ascii="Times New Roman" w:hAnsi="Times New Roman" w:cs="Times New Roman"/>
          <w:lang w:val="es-ES"/>
        </w:rPr>
        <w:t xml:space="preserve">plia franja de las unidades domésticas los comportamientos de “combinación” de inserciones ocupacionales no habrían sido exitosos. A la vez, sugieren la configuración de </w:t>
      </w:r>
      <w:r w:rsidR="009122C0" w:rsidRPr="005F705E">
        <w:rPr>
          <w:rFonts w:ascii="Times New Roman" w:hAnsi="Times New Roman" w:cs="Times New Roman"/>
          <w:lang w:val="es-ES"/>
        </w:rPr>
        <w:t xml:space="preserve">pautas de desigualdad persistente en el acceso a empleos </w:t>
      </w:r>
      <w:r w:rsidR="009122C0" w:rsidRPr="005F705E">
        <w:rPr>
          <w:rFonts w:ascii="Times New Roman" w:hAnsi="Times New Roman" w:cs="Times New Roman"/>
          <w:lang w:val="es-ES"/>
        </w:rPr>
        <w:lastRenderedPageBreak/>
        <w:t>en el sector más estructurado de la economía</w:t>
      </w:r>
      <w:r w:rsidR="00595225" w:rsidRPr="005F705E">
        <w:rPr>
          <w:rFonts w:ascii="Times New Roman" w:hAnsi="Times New Roman" w:cs="Times New Roman"/>
          <w:lang w:val="es-ES"/>
        </w:rPr>
        <w:t xml:space="preserve"> cuyo estudio cabe complementar con aproximaciones a los distintos procesos sociales involucrados</w:t>
      </w:r>
      <w:r w:rsidR="009122C0" w:rsidRPr="005F705E">
        <w:rPr>
          <w:rFonts w:ascii="Times New Roman" w:hAnsi="Times New Roman" w:cs="Times New Roman"/>
          <w:lang w:val="es-ES"/>
        </w:rPr>
        <w:t>.</w:t>
      </w:r>
    </w:p>
    <w:p w:rsidR="008C4328" w:rsidRPr="005F705E" w:rsidRDefault="002C1422"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 xml:space="preserve">La </w:t>
      </w:r>
      <w:r w:rsidR="008C4328" w:rsidRPr="005F705E">
        <w:rPr>
          <w:rFonts w:ascii="Times New Roman" w:hAnsi="Times New Roman" w:cs="Times New Roman"/>
          <w:lang w:val="es-ES"/>
        </w:rPr>
        <w:t>persistente heterogeneidad observad</w:t>
      </w:r>
      <w:r w:rsidRPr="005F705E">
        <w:rPr>
          <w:rFonts w:ascii="Times New Roman" w:hAnsi="Times New Roman" w:cs="Times New Roman"/>
          <w:lang w:val="es-ES"/>
        </w:rPr>
        <w:t>a</w:t>
      </w:r>
      <w:r w:rsidR="008C4328" w:rsidRPr="005F705E">
        <w:rPr>
          <w:rFonts w:ascii="Times New Roman" w:hAnsi="Times New Roman" w:cs="Times New Roman"/>
          <w:lang w:val="es-ES"/>
        </w:rPr>
        <w:t xml:space="preserve"> a nivel de la estructura social operó en conjunto con una recomposición de los ingresos per cápita familiares. </w:t>
      </w:r>
      <w:r w:rsidR="009122C0" w:rsidRPr="005F705E">
        <w:rPr>
          <w:rFonts w:ascii="Times New Roman" w:hAnsi="Times New Roman" w:cs="Times New Roman"/>
          <w:lang w:val="es-ES"/>
        </w:rPr>
        <w:t>En este sentido, q</w:t>
      </w:r>
      <w:r w:rsidR="008C4328" w:rsidRPr="005F705E">
        <w:rPr>
          <w:rFonts w:ascii="Times New Roman" w:hAnsi="Times New Roman" w:cs="Times New Roman"/>
          <w:lang w:val="es-ES"/>
        </w:rPr>
        <w:t xml:space="preserve">uienes pudieron </w:t>
      </w:r>
      <w:r w:rsidR="009122C0" w:rsidRPr="005F705E">
        <w:rPr>
          <w:rFonts w:ascii="Times New Roman" w:hAnsi="Times New Roman" w:cs="Times New Roman"/>
          <w:lang w:val="es-ES"/>
        </w:rPr>
        <w:t xml:space="preserve">incrementar </w:t>
      </w:r>
      <w:r w:rsidR="008C4328" w:rsidRPr="005F705E">
        <w:rPr>
          <w:rFonts w:ascii="Times New Roman" w:hAnsi="Times New Roman" w:cs="Times New Roman"/>
          <w:lang w:val="es-ES"/>
        </w:rPr>
        <w:t>ingresos</w:t>
      </w:r>
      <w:r w:rsidR="009122C0" w:rsidRPr="005F705E">
        <w:rPr>
          <w:rFonts w:ascii="Times New Roman" w:hAnsi="Times New Roman" w:cs="Times New Roman"/>
          <w:lang w:val="es-ES"/>
        </w:rPr>
        <w:t xml:space="preserve"> en mayor medida</w:t>
      </w:r>
      <w:r w:rsidR="008C4328" w:rsidRPr="005F705E">
        <w:rPr>
          <w:rFonts w:ascii="Times New Roman" w:hAnsi="Times New Roman" w:cs="Times New Roman"/>
          <w:lang w:val="es-ES"/>
        </w:rPr>
        <w:t xml:space="preserve"> fueron los hogares peor posicionados en términos de la estructura socio-ocupacional</w:t>
      </w:r>
      <w:r w:rsidR="00595225" w:rsidRPr="005F705E">
        <w:rPr>
          <w:rFonts w:ascii="Times New Roman" w:hAnsi="Times New Roman" w:cs="Times New Roman"/>
          <w:lang w:val="es-ES"/>
        </w:rPr>
        <w:t>. Este fue un factor relevante para entender la reducción de la desigualdad distributiva</w:t>
      </w:r>
      <w:r w:rsidR="008C4328" w:rsidRPr="005F705E">
        <w:rPr>
          <w:rFonts w:ascii="Times New Roman" w:hAnsi="Times New Roman" w:cs="Times New Roman"/>
          <w:lang w:val="es-ES"/>
        </w:rPr>
        <w:t xml:space="preserve">. </w:t>
      </w:r>
      <w:r w:rsidR="00080CA5" w:rsidRPr="005F705E">
        <w:rPr>
          <w:rFonts w:ascii="Times New Roman" w:hAnsi="Times New Roman" w:cs="Times New Roman"/>
          <w:lang w:val="es-ES"/>
        </w:rPr>
        <w:t>Sin embargo</w:t>
      </w:r>
      <w:r w:rsidR="000A3DE9" w:rsidRPr="005F705E">
        <w:rPr>
          <w:rFonts w:ascii="Times New Roman" w:hAnsi="Times New Roman" w:cs="Times New Roman"/>
          <w:lang w:val="es-ES"/>
        </w:rPr>
        <w:t xml:space="preserve">, tal </w:t>
      </w:r>
      <w:r w:rsidR="009122C0" w:rsidRPr="005F705E">
        <w:rPr>
          <w:rFonts w:ascii="Times New Roman" w:hAnsi="Times New Roman" w:cs="Times New Roman"/>
          <w:lang w:val="es-ES"/>
        </w:rPr>
        <w:t>incremento</w:t>
      </w:r>
      <w:r w:rsidR="000A3DE9" w:rsidRPr="005F705E">
        <w:rPr>
          <w:rFonts w:ascii="Times New Roman" w:hAnsi="Times New Roman" w:cs="Times New Roman"/>
          <w:lang w:val="es-ES"/>
        </w:rPr>
        <w:t xml:space="preserve"> no </w:t>
      </w:r>
      <w:r w:rsidR="002F2127" w:rsidRPr="005F705E">
        <w:rPr>
          <w:rFonts w:ascii="Times New Roman" w:hAnsi="Times New Roman" w:cs="Times New Roman"/>
          <w:lang w:val="es-ES"/>
        </w:rPr>
        <w:t>bastó para disolver</w:t>
      </w:r>
      <w:r w:rsidR="000A3DE9" w:rsidRPr="005F705E">
        <w:rPr>
          <w:rFonts w:ascii="Times New Roman" w:hAnsi="Times New Roman" w:cs="Times New Roman"/>
          <w:lang w:val="es-ES"/>
        </w:rPr>
        <w:t xml:space="preserve"> la estrecha asociación entre la inserción laboral </w:t>
      </w:r>
      <w:r w:rsidR="00AC11C5" w:rsidRPr="005F705E">
        <w:rPr>
          <w:rFonts w:ascii="Times New Roman" w:hAnsi="Times New Roman" w:cs="Times New Roman"/>
          <w:lang w:val="es-ES"/>
        </w:rPr>
        <w:t xml:space="preserve">del PSH </w:t>
      </w:r>
      <w:r w:rsidR="000A3DE9" w:rsidRPr="005F705E">
        <w:rPr>
          <w:rFonts w:ascii="Times New Roman" w:hAnsi="Times New Roman" w:cs="Times New Roman"/>
          <w:lang w:val="es-ES"/>
        </w:rPr>
        <w:t>en el sector de baja productividad y la pobreza</w:t>
      </w:r>
      <w:r w:rsidR="002F2127" w:rsidRPr="005F705E">
        <w:rPr>
          <w:rFonts w:ascii="Times New Roman" w:hAnsi="Times New Roman" w:cs="Times New Roman"/>
          <w:lang w:val="es-ES"/>
        </w:rPr>
        <w:t xml:space="preserve">. En buena medida, ello se debió a que </w:t>
      </w:r>
      <w:r w:rsidR="009122C0" w:rsidRPr="005F705E">
        <w:rPr>
          <w:rFonts w:ascii="Times New Roman" w:hAnsi="Times New Roman" w:cs="Times New Roman"/>
          <w:lang w:val="es-ES"/>
        </w:rPr>
        <w:t xml:space="preserve">el aumento de ingresos fue </w:t>
      </w:r>
      <w:r w:rsidR="002F2127" w:rsidRPr="005F705E">
        <w:rPr>
          <w:rFonts w:ascii="Times New Roman" w:hAnsi="Times New Roman" w:cs="Times New Roman"/>
          <w:lang w:val="es-ES"/>
        </w:rPr>
        <w:t xml:space="preserve">en rigor </w:t>
      </w:r>
      <w:r w:rsidR="009122C0" w:rsidRPr="005F705E">
        <w:rPr>
          <w:rFonts w:ascii="Times New Roman" w:hAnsi="Times New Roman" w:cs="Times New Roman"/>
          <w:lang w:val="es-ES"/>
        </w:rPr>
        <w:t>una recomposición de niveles bajos a los que se había llegado en la etapa neoliberal</w:t>
      </w:r>
      <w:r w:rsidR="002F2127" w:rsidRPr="005F705E">
        <w:rPr>
          <w:rFonts w:ascii="Times New Roman" w:hAnsi="Times New Roman" w:cs="Times New Roman"/>
          <w:lang w:val="es-ES"/>
        </w:rPr>
        <w:t xml:space="preserve">. </w:t>
      </w:r>
      <w:r w:rsidRPr="005F705E">
        <w:rPr>
          <w:rFonts w:ascii="Times New Roman" w:hAnsi="Times New Roman" w:cs="Times New Roman"/>
          <w:lang w:val="es-ES"/>
        </w:rPr>
        <w:t xml:space="preserve">Al mismo tiempo, </w:t>
      </w:r>
      <w:r w:rsidR="00595225" w:rsidRPr="005F705E">
        <w:rPr>
          <w:rFonts w:ascii="Times New Roman" w:hAnsi="Times New Roman" w:cs="Times New Roman"/>
          <w:lang w:val="es-ES"/>
        </w:rPr>
        <w:t xml:space="preserve">pudimos observar que </w:t>
      </w:r>
      <w:r w:rsidRPr="005F705E">
        <w:rPr>
          <w:rFonts w:ascii="Times New Roman" w:hAnsi="Times New Roman" w:cs="Times New Roman"/>
          <w:lang w:val="es-ES"/>
        </w:rPr>
        <w:t>una parte de las mejoras en el bienestar</w:t>
      </w:r>
      <w:r w:rsidR="00595225" w:rsidRPr="005F705E">
        <w:rPr>
          <w:rFonts w:ascii="Times New Roman" w:hAnsi="Times New Roman" w:cs="Times New Roman"/>
          <w:lang w:val="es-ES"/>
        </w:rPr>
        <w:t xml:space="preserve"> durante el ciclo 2007-2014</w:t>
      </w:r>
      <w:r w:rsidRPr="005F705E">
        <w:rPr>
          <w:rFonts w:ascii="Times New Roman" w:hAnsi="Times New Roman" w:cs="Times New Roman"/>
          <w:lang w:val="es-ES"/>
        </w:rPr>
        <w:t xml:space="preserve"> </w:t>
      </w:r>
      <w:r w:rsidR="00595225" w:rsidRPr="005F705E">
        <w:rPr>
          <w:rFonts w:ascii="Times New Roman" w:hAnsi="Times New Roman" w:cs="Times New Roman"/>
          <w:lang w:val="es-ES"/>
        </w:rPr>
        <w:t xml:space="preserve">tuvo que ver con el </w:t>
      </w:r>
      <w:r w:rsidRPr="005F705E">
        <w:rPr>
          <w:rFonts w:ascii="Times New Roman" w:hAnsi="Times New Roman" w:cs="Times New Roman"/>
          <w:lang w:val="es-ES"/>
        </w:rPr>
        <w:t xml:space="preserve">papel jugado por </w:t>
      </w:r>
      <w:r w:rsidR="00595225" w:rsidRPr="005F705E">
        <w:rPr>
          <w:rFonts w:ascii="Times New Roman" w:hAnsi="Times New Roman" w:cs="Times New Roman"/>
          <w:lang w:val="es-ES"/>
        </w:rPr>
        <w:t>fuentes no laborales</w:t>
      </w:r>
      <w:r w:rsidRPr="005F705E">
        <w:rPr>
          <w:rFonts w:ascii="Times New Roman" w:hAnsi="Times New Roman" w:cs="Times New Roman"/>
          <w:lang w:val="es-ES"/>
        </w:rPr>
        <w:t xml:space="preserve">, lo que indicaría </w:t>
      </w:r>
      <w:r w:rsidR="008C4328" w:rsidRPr="005F705E">
        <w:rPr>
          <w:rFonts w:ascii="Times New Roman" w:hAnsi="Times New Roman" w:cs="Times New Roman"/>
          <w:lang w:val="es-ES"/>
        </w:rPr>
        <w:t xml:space="preserve">un cambio </w:t>
      </w:r>
      <w:r w:rsidR="000A3DE9" w:rsidRPr="005F705E">
        <w:rPr>
          <w:rFonts w:ascii="Times New Roman" w:hAnsi="Times New Roman" w:cs="Times New Roman"/>
          <w:lang w:val="es-ES"/>
        </w:rPr>
        <w:t xml:space="preserve">relevante </w:t>
      </w:r>
      <w:r w:rsidR="008C4328" w:rsidRPr="005F705E">
        <w:rPr>
          <w:rFonts w:ascii="Times New Roman" w:hAnsi="Times New Roman" w:cs="Times New Roman"/>
          <w:lang w:val="es-ES"/>
        </w:rPr>
        <w:t xml:space="preserve">en las condiciones </w:t>
      </w:r>
      <w:r w:rsidRPr="005F705E">
        <w:rPr>
          <w:rFonts w:ascii="Times New Roman" w:hAnsi="Times New Roman" w:cs="Times New Roman"/>
          <w:lang w:val="es-ES"/>
        </w:rPr>
        <w:t>de reproducción social</w:t>
      </w:r>
      <w:r w:rsidR="008C4328" w:rsidRPr="005F705E">
        <w:rPr>
          <w:rFonts w:ascii="Times New Roman" w:hAnsi="Times New Roman" w:cs="Times New Roman"/>
          <w:lang w:val="es-ES"/>
        </w:rPr>
        <w:t>.</w:t>
      </w:r>
    </w:p>
    <w:p w:rsidR="00080CA5" w:rsidRPr="005F705E" w:rsidRDefault="00DA53CC"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De este modo, e</w:t>
      </w:r>
      <w:r w:rsidR="00FD5BFC" w:rsidRPr="005F705E">
        <w:rPr>
          <w:rFonts w:ascii="Times New Roman" w:hAnsi="Times New Roman" w:cs="Times New Roman"/>
          <w:lang w:val="es-ES"/>
        </w:rPr>
        <w:t xml:space="preserve">l estudio del caso argentino reciente permitió observar una persistente segmentación de la estructura laboral evaluada a nivel de los hogares y la reproducción de un conjunto de posiciones marginales persistentes. Al mismo tiempo, los resultados permitieron hacer observable el grado en que la aplicación de un conjunto de políticas de orientación distinta a la de aquellas que propiciaron una mayor heterogeneidad estructural marcó una inflexión con </w:t>
      </w:r>
      <w:r w:rsidRPr="005F705E">
        <w:rPr>
          <w:rFonts w:ascii="Times New Roman" w:hAnsi="Times New Roman" w:cs="Times New Roman"/>
          <w:lang w:val="es-ES"/>
        </w:rPr>
        <w:t>relación a</w:t>
      </w:r>
      <w:r w:rsidR="00FD5BFC" w:rsidRPr="005F705E">
        <w:rPr>
          <w:rFonts w:ascii="Times New Roman" w:hAnsi="Times New Roman" w:cs="Times New Roman"/>
          <w:lang w:val="es-ES"/>
        </w:rPr>
        <w:t xml:space="preserve">l deterioro sociolaboral que </w:t>
      </w:r>
      <w:r w:rsidRPr="005F705E">
        <w:rPr>
          <w:rFonts w:ascii="Times New Roman" w:hAnsi="Times New Roman" w:cs="Times New Roman"/>
          <w:lang w:val="es-ES"/>
        </w:rPr>
        <w:t xml:space="preserve">fue característico de </w:t>
      </w:r>
      <w:r w:rsidR="00FD5BFC" w:rsidRPr="005F705E">
        <w:rPr>
          <w:rFonts w:ascii="Times New Roman" w:hAnsi="Times New Roman" w:cs="Times New Roman"/>
          <w:lang w:val="es-ES"/>
        </w:rPr>
        <w:t xml:space="preserve">los años </w:t>
      </w:r>
      <w:r w:rsidRPr="005F705E">
        <w:rPr>
          <w:rFonts w:ascii="Times New Roman" w:hAnsi="Times New Roman" w:cs="Times New Roman"/>
          <w:lang w:val="es-ES"/>
        </w:rPr>
        <w:t xml:space="preserve">de reformas </w:t>
      </w:r>
      <w:r w:rsidR="00FD5BFC" w:rsidRPr="005F705E">
        <w:rPr>
          <w:rFonts w:ascii="Times New Roman" w:hAnsi="Times New Roman" w:cs="Times New Roman"/>
          <w:lang w:val="es-ES"/>
        </w:rPr>
        <w:t xml:space="preserve">neoliberales. </w:t>
      </w:r>
    </w:p>
    <w:p w:rsidR="000A3DE9" w:rsidRPr="005F705E" w:rsidRDefault="00CE3CE3" w:rsidP="009B79D3">
      <w:pPr>
        <w:pStyle w:val="Sinespaciado"/>
        <w:spacing w:line="480" w:lineRule="auto"/>
        <w:jc w:val="both"/>
        <w:rPr>
          <w:rFonts w:ascii="Times New Roman" w:hAnsi="Times New Roman" w:cs="Times New Roman"/>
          <w:lang w:val="es-ES"/>
        </w:rPr>
      </w:pPr>
      <w:r w:rsidRPr="005F705E">
        <w:rPr>
          <w:rFonts w:ascii="Times New Roman" w:hAnsi="Times New Roman" w:cs="Times New Roman"/>
          <w:lang w:val="es-ES"/>
        </w:rPr>
        <w:t>S</w:t>
      </w:r>
      <w:r w:rsidR="00FD5BFC" w:rsidRPr="005F705E">
        <w:rPr>
          <w:rFonts w:ascii="Times New Roman" w:hAnsi="Times New Roman" w:cs="Times New Roman"/>
          <w:lang w:val="es-ES"/>
        </w:rPr>
        <w:t>in embargo, las condiciones más generales en que se reproduce el régimen social de acumulación</w:t>
      </w:r>
      <w:r w:rsidR="00DA53CC" w:rsidRPr="005F705E">
        <w:rPr>
          <w:rFonts w:ascii="Times New Roman" w:hAnsi="Times New Roman" w:cs="Times New Roman"/>
          <w:lang w:val="es-ES"/>
        </w:rPr>
        <w:t xml:space="preserve"> argentino</w:t>
      </w:r>
      <w:r w:rsidR="00FD5BFC" w:rsidRPr="005F705E">
        <w:rPr>
          <w:rFonts w:ascii="Times New Roman" w:hAnsi="Times New Roman" w:cs="Times New Roman"/>
          <w:lang w:val="es-ES"/>
        </w:rPr>
        <w:t xml:space="preserve"> parecen haber puesto límites a estas modificaciones, que se concentraron en los primeros años de expansión económica. En ese sentido, los hogares peor ubicados </w:t>
      </w:r>
      <w:r w:rsidR="00AC11C5" w:rsidRPr="005F705E">
        <w:rPr>
          <w:rFonts w:ascii="Times New Roman" w:hAnsi="Times New Roman" w:cs="Times New Roman"/>
          <w:lang w:val="es-ES"/>
        </w:rPr>
        <w:t>parecen haber encontrado dificultades</w:t>
      </w:r>
      <w:r w:rsidR="00FD5BFC" w:rsidRPr="005F705E">
        <w:rPr>
          <w:rFonts w:ascii="Times New Roman" w:hAnsi="Times New Roman" w:cs="Times New Roman"/>
          <w:lang w:val="es-ES"/>
        </w:rPr>
        <w:t xml:space="preserve"> para </w:t>
      </w:r>
      <w:r w:rsidR="00AC11C5" w:rsidRPr="005F705E">
        <w:rPr>
          <w:rFonts w:ascii="Times New Roman" w:hAnsi="Times New Roman" w:cs="Times New Roman"/>
          <w:lang w:val="es-ES"/>
        </w:rPr>
        <w:t xml:space="preserve">salir de la pobreza por </w:t>
      </w:r>
      <w:r w:rsidR="00AC11C5" w:rsidRPr="005F705E">
        <w:rPr>
          <w:rFonts w:ascii="Times New Roman" w:hAnsi="Times New Roman" w:cs="Times New Roman"/>
          <w:lang w:val="es-ES"/>
        </w:rPr>
        <w:lastRenderedPageBreak/>
        <w:t xml:space="preserve">ingresos </w:t>
      </w:r>
      <w:r w:rsidR="00FD5BFC" w:rsidRPr="005F705E">
        <w:rPr>
          <w:rFonts w:ascii="Times New Roman" w:hAnsi="Times New Roman" w:cs="Times New Roman"/>
          <w:lang w:val="es-ES"/>
        </w:rPr>
        <w:t>exclusivamente a partir del mercado laboral.</w:t>
      </w:r>
      <w:r w:rsidR="00080CA5" w:rsidRPr="005F705E">
        <w:rPr>
          <w:rFonts w:ascii="Times New Roman" w:hAnsi="Times New Roman" w:cs="Times New Roman"/>
          <w:lang w:val="es-ES"/>
        </w:rPr>
        <w:t xml:space="preserve"> Futuros trabajos deberán indagar acerca de los mecanismos micro-sociales y demográficos que explican los cambios verificados en el bienestar </w:t>
      </w:r>
      <w:r w:rsidR="00AC11C5" w:rsidRPr="005F705E">
        <w:rPr>
          <w:rFonts w:ascii="Times New Roman" w:hAnsi="Times New Roman" w:cs="Times New Roman"/>
          <w:lang w:val="es-ES"/>
        </w:rPr>
        <w:t xml:space="preserve">y la pobreza, así como </w:t>
      </w:r>
      <w:r w:rsidR="00080CA5" w:rsidRPr="005F705E">
        <w:rPr>
          <w:rFonts w:ascii="Times New Roman" w:hAnsi="Times New Roman" w:cs="Times New Roman"/>
          <w:lang w:val="es-ES"/>
        </w:rPr>
        <w:t xml:space="preserve">el rol </w:t>
      </w:r>
      <w:r w:rsidR="003B59A6" w:rsidRPr="005F705E">
        <w:rPr>
          <w:rFonts w:ascii="Times New Roman" w:hAnsi="Times New Roman" w:cs="Times New Roman"/>
          <w:lang w:val="es-ES"/>
        </w:rPr>
        <w:t xml:space="preserve">específico </w:t>
      </w:r>
      <w:r w:rsidR="00080CA5" w:rsidRPr="005F705E">
        <w:rPr>
          <w:rFonts w:ascii="Times New Roman" w:hAnsi="Times New Roman" w:cs="Times New Roman"/>
          <w:lang w:val="es-ES"/>
        </w:rPr>
        <w:t>jugado por las distintas fuentes que componen los presupuestos domésticos de los hogares según la posición que ocupan en la estructura económico-ocupacional.</w:t>
      </w:r>
    </w:p>
    <w:p w:rsidR="00AB75BE" w:rsidRPr="005F705E" w:rsidRDefault="00AB75BE" w:rsidP="008C4A9F">
      <w:pPr>
        <w:pStyle w:val="Sinespaciado"/>
        <w:spacing w:line="360" w:lineRule="auto"/>
        <w:rPr>
          <w:rFonts w:ascii="Times New Roman" w:hAnsi="Times New Roman" w:cs="Times New Roman"/>
          <w:b/>
          <w:lang w:val="es-ES"/>
        </w:rPr>
      </w:pPr>
      <w:r w:rsidRPr="005F705E">
        <w:rPr>
          <w:rFonts w:ascii="Times New Roman" w:hAnsi="Times New Roman" w:cs="Times New Roman"/>
          <w:b/>
          <w:lang w:val="es-ES"/>
        </w:rPr>
        <w:t>Referencias bibliográficas</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Águila, Nicolás y Kennedy, Damián</w:t>
      </w:r>
      <w:r w:rsidRPr="005F705E">
        <w:rPr>
          <w:rFonts w:ascii="Times New Roman" w:hAnsi="Times New Roman" w:cs="Times New Roman"/>
          <w:szCs w:val="24"/>
        </w:rPr>
        <w:t xml:space="preserve"> (2015), “El deterioro de las condiciones de reproducción de la familia trabajadora argentina desde mediados de los años setenta”, en Realidad Económica, vol. 297.</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Arriagada, Irma</w:t>
      </w:r>
      <w:r w:rsidRPr="005F705E">
        <w:rPr>
          <w:rFonts w:ascii="Times New Roman" w:hAnsi="Times New Roman" w:cs="Times New Roman"/>
          <w:szCs w:val="24"/>
        </w:rPr>
        <w:t xml:space="preserve"> (2007), Familias y políticas públicas en América Latina: una historia de desencuentros, Santiago de Chile, CEPAL. </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 xml:space="preserve">Beccaria, Luis, Carpio, Jorge y Orsatti, Alvaro </w:t>
      </w:r>
      <w:r w:rsidRPr="005F705E">
        <w:rPr>
          <w:rFonts w:ascii="Times New Roman" w:hAnsi="Times New Roman" w:cs="Times New Roman"/>
          <w:szCs w:val="24"/>
        </w:rPr>
        <w:t>(2000), “Argentina: informalidad laboral en el nuevo modelo económico”, en: Carpio, Jorge, Klein, Emilio y Novacovsky, Irene (comps.), Informalidad y exclusión social, Buenos Aires, Fondo de Cultura Económica-SIEMPRO-OIT.</w:t>
      </w:r>
    </w:p>
    <w:p w:rsidR="005F72E7" w:rsidRPr="005F705E" w:rsidRDefault="005F72E7" w:rsidP="005F72E7">
      <w:pPr>
        <w:spacing w:after="0" w:line="240" w:lineRule="auto"/>
        <w:jc w:val="both"/>
        <w:rPr>
          <w:rFonts w:ascii="Times New Roman" w:hAnsi="Times New Roman" w:cs="Times New Roman"/>
          <w:szCs w:val="24"/>
          <w:lang w:val="es-ES"/>
        </w:rPr>
      </w:pPr>
      <w:r w:rsidRPr="005F705E">
        <w:rPr>
          <w:rFonts w:ascii="Times New Roman" w:hAnsi="Times New Roman" w:cs="Times New Roman"/>
          <w:smallCaps/>
          <w:szCs w:val="24"/>
        </w:rPr>
        <w:t xml:space="preserve">Benza, Gabriela </w:t>
      </w:r>
      <w:r w:rsidRPr="005F705E">
        <w:rPr>
          <w:rFonts w:ascii="Times New Roman" w:hAnsi="Times New Roman" w:cs="Times New Roman"/>
          <w:szCs w:val="24"/>
          <w:lang w:val="es-ES"/>
        </w:rPr>
        <w:t xml:space="preserve">(2016), “La estructura de clases argentina durante la década 2003-2013”, en Kessler, Gabriel (comp.) La sociedad argentina hoy. Radiografía de una nueva estructura, Buenos Aires: Siglo XXI-Fundación OSDE. </w:t>
      </w:r>
    </w:p>
    <w:p w:rsidR="009E4865" w:rsidRPr="005F705E" w:rsidRDefault="009E4865" w:rsidP="000C0422">
      <w:pPr>
        <w:spacing w:after="0" w:line="240" w:lineRule="auto"/>
        <w:jc w:val="both"/>
        <w:rPr>
          <w:rFonts w:ascii="Times New Roman" w:hAnsi="Times New Roman" w:cs="Times New Roman"/>
          <w:smallCaps/>
          <w:szCs w:val="24"/>
        </w:rPr>
      </w:pPr>
      <w:r w:rsidRPr="005F705E">
        <w:rPr>
          <w:rFonts w:ascii="Times New Roman" w:hAnsi="Times New Roman" w:cs="Times New Roman"/>
          <w:smallCaps/>
          <w:szCs w:val="24"/>
        </w:rPr>
        <w:t xml:space="preserve">Beccaria, Luis y Maurizio, Roxana (2012), </w:t>
      </w:r>
      <w:r w:rsidRPr="005F705E">
        <w:rPr>
          <w:rFonts w:ascii="Times New Roman" w:hAnsi="Times New Roman" w:cs="Times New Roman"/>
          <w:szCs w:val="24"/>
        </w:rPr>
        <w:t>"Reversión y continuidades bajo dos regímenes macroeconómicos diferentes. Mercado de trabajo e ingresos en Argentina 1990-2010”</w:t>
      </w:r>
      <w:r w:rsidRPr="005F705E">
        <w:rPr>
          <w:rFonts w:ascii="Times New Roman" w:hAnsi="Times New Roman" w:cs="Times New Roman"/>
          <w:smallCaps/>
          <w:szCs w:val="24"/>
        </w:rPr>
        <w:t xml:space="preserve">, </w:t>
      </w:r>
      <w:r w:rsidRPr="005F705E">
        <w:rPr>
          <w:rFonts w:ascii="Times New Roman" w:hAnsi="Times New Roman" w:cs="Times New Roman"/>
          <w:szCs w:val="24"/>
        </w:rPr>
        <w:t>Desarrollo Económico, nro. 206, vol. 52.</w:t>
      </w:r>
    </w:p>
    <w:p w:rsidR="009E4865" w:rsidRPr="005F705E" w:rsidRDefault="009E4865" w:rsidP="000C0422">
      <w:pPr>
        <w:spacing w:after="0" w:line="240" w:lineRule="auto"/>
        <w:jc w:val="both"/>
        <w:rPr>
          <w:rFonts w:ascii="Times New Roman" w:hAnsi="Times New Roman" w:cs="Times New Roman"/>
          <w:szCs w:val="24"/>
          <w:lang w:val="en-US"/>
        </w:rPr>
      </w:pPr>
      <w:r w:rsidRPr="005F705E">
        <w:rPr>
          <w:rFonts w:ascii="Times New Roman" w:hAnsi="Times New Roman" w:cs="Times New Roman"/>
          <w:smallCaps/>
          <w:szCs w:val="24"/>
          <w:lang w:val="en-US"/>
        </w:rPr>
        <w:t>Bienefeld, Manfred</w:t>
      </w:r>
      <w:r w:rsidRPr="005F705E">
        <w:rPr>
          <w:rFonts w:ascii="Times New Roman" w:hAnsi="Times New Roman" w:cs="Times New Roman"/>
          <w:szCs w:val="24"/>
          <w:lang w:val="en-US"/>
        </w:rPr>
        <w:t>. (1975), “The Informal Sector and Peripheral Capitalism: the Case of Tanzania”, en Institute of Development Studies Bulletin, vol. 6, nro. 3.</w:t>
      </w:r>
    </w:p>
    <w:p w:rsidR="009E4865" w:rsidRPr="005F705E" w:rsidRDefault="009E4865" w:rsidP="000C0422">
      <w:pPr>
        <w:spacing w:after="0" w:line="240" w:lineRule="auto"/>
        <w:jc w:val="both"/>
        <w:rPr>
          <w:rFonts w:ascii="Times New Roman" w:hAnsi="Times New Roman" w:cs="Times New Roman"/>
          <w:szCs w:val="24"/>
          <w:lang w:val="pt-BR"/>
        </w:rPr>
      </w:pPr>
      <w:r w:rsidRPr="005F705E">
        <w:rPr>
          <w:rFonts w:ascii="Times New Roman" w:hAnsi="Times New Roman" w:cs="Times New Roman"/>
          <w:smallCaps/>
          <w:szCs w:val="24"/>
          <w:lang w:val="pt-BR"/>
        </w:rPr>
        <w:t>Cacciamali, Maria Cristina</w:t>
      </w:r>
      <w:r w:rsidRPr="005F705E">
        <w:rPr>
          <w:rFonts w:ascii="Times New Roman" w:hAnsi="Times New Roman" w:cs="Times New Roman"/>
          <w:szCs w:val="24"/>
          <w:lang w:val="pt-BR"/>
        </w:rPr>
        <w:t xml:space="preserve"> (2000). “Globalização el processo de informalidade”, em Economia e Sociedade, nro. 14.</w:t>
      </w:r>
    </w:p>
    <w:p w:rsidR="009E4865" w:rsidRPr="005F705E" w:rsidRDefault="009E4865" w:rsidP="000C0422">
      <w:pPr>
        <w:spacing w:after="0" w:line="240" w:lineRule="auto"/>
        <w:jc w:val="both"/>
        <w:rPr>
          <w:rFonts w:ascii="Times New Roman" w:hAnsi="Times New Roman" w:cs="Times New Roman"/>
          <w:smallCaps/>
          <w:szCs w:val="24"/>
        </w:rPr>
      </w:pPr>
      <w:r w:rsidRPr="005F705E">
        <w:rPr>
          <w:rFonts w:ascii="Times New Roman" w:hAnsi="Times New Roman" w:cs="Times New Roman"/>
          <w:smallCaps/>
          <w:szCs w:val="24"/>
        </w:rPr>
        <w:t xml:space="preserve">Centro de Estudios para el Desarrollo Argentino (2010), </w:t>
      </w:r>
      <w:r w:rsidRPr="005F705E">
        <w:rPr>
          <w:rFonts w:ascii="Times New Roman" w:hAnsi="Times New Roman" w:cs="Times New Roman"/>
          <w:szCs w:val="24"/>
        </w:rPr>
        <w:t>La anatomía del nuevo patrón de crecimiento y la encrucijada actual. La economía argentina en el período 2002 – 2010, Buenos Aires, Atuel.</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Chávez Molina, Eduardo y Sacco, Nicolás</w:t>
      </w:r>
      <w:r w:rsidRPr="005F705E">
        <w:rPr>
          <w:rFonts w:ascii="Times New Roman" w:hAnsi="Times New Roman" w:cs="Times New Roman"/>
          <w:szCs w:val="24"/>
        </w:rPr>
        <w:t xml:space="preserve"> (2015), “Reconfiguraciones en la estructura social: dos décadas de cambios en los procesos distributivos”, en Lindenboim, Javier y Salvia, Agustín (coords.), Hora de balance: proceso de acumulación, mercado de trabajo y bienestar. Argentina, 2002-2014, Buenos Aires, EUDEBA.</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Chena, Pablo</w:t>
      </w:r>
      <w:r w:rsidRPr="005F705E">
        <w:rPr>
          <w:rFonts w:ascii="Times New Roman" w:hAnsi="Times New Roman" w:cs="Times New Roman"/>
          <w:szCs w:val="24"/>
        </w:rPr>
        <w:t xml:space="preserve"> (2010), “La heterogeneidad estructural vista desde tres teorías alternativas: el caso de Argentina”, en Comercio Exterior, vol. 60, nro. 2.</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Coatz, Diego, García Díaz, Fernando y Woyecheszen, Sergio</w:t>
      </w:r>
      <w:r w:rsidRPr="005F705E">
        <w:rPr>
          <w:rFonts w:ascii="Times New Roman" w:hAnsi="Times New Roman" w:cs="Times New Roman"/>
          <w:szCs w:val="24"/>
        </w:rPr>
        <w:t xml:space="preserve"> (2010). “Acerca de la dinámica creciente de la heterogeneidad productiva y social en la Argentina: un aporte para repensar las políticas públicas a partir del análisis desde la estructura ocupacional”, En Boletín Informativo Techint, nro. 332.</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Cortés, Fernando</w:t>
      </w:r>
      <w:r w:rsidRPr="005F705E">
        <w:rPr>
          <w:rFonts w:ascii="Times New Roman" w:hAnsi="Times New Roman" w:cs="Times New Roman"/>
          <w:szCs w:val="24"/>
        </w:rPr>
        <w:t xml:space="preserve"> (2000), La distribución del ingreso en México en épocas de estabilización y reforma económica, PORRÚA-CIESAS, México D.F. </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Curcio, Javier y Beccaria, Alejandra</w:t>
      </w:r>
      <w:r w:rsidRPr="005F705E">
        <w:rPr>
          <w:rFonts w:ascii="Times New Roman" w:hAnsi="Times New Roman" w:cs="Times New Roman"/>
          <w:szCs w:val="24"/>
        </w:rPr>
        <w:t xml:space="preserve"> (2013), “Sistema de Seguridad Social y mercado de trabajo: evolución de la cobertura en la Argentina entre 1990 y 2010”, en Danani, Claudia y Hintze, Susana (coords.), Protecciones y desprotecciones: la seguridad social en la Argentina 1990-2010, Los Polvorines: UNGS. </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lastRenderedPageBreak/>
        <w:t xml:space="preserve">Dalle, Pablo, Carrascosa, Joaquín, Lazarte, Lautaro, Mattera, Pablo y Ragulich, Germán </w:t>
      </w:r>
      <w:r w:rsidRPr="005F705E">
        <w:rPr>
          <w:rFonts w:ascii="Times New Roman" w:hAnsi="Times New Roman" w:cs="Times New Roman"/>
          <w:szCs w:val="24"/>
        </w:rPr>
        <w:t>(2015). “Reconsideraciones sobre el perfil de la estructura de estratificación y la movilidad social intergeneracional desde las clases populares en Argentina a comienzos del siglo XXI”, en Lavboratorio</w:t>
      </w:r>
      <w:r w:rsidRPr="005F705E">
        <w:rPr>
          <w:rFonts w:ascii="Times New Roman" w:hAnsi="Times New Roman" w:cs="Times New Roman"/>
          <w:i/>
          <w:szCs w:val="24"/>
        </w:rPr>
        <w:t xml:space="preserve">, </w:t>
      </w:r>
      <w:r w:rsidRPr="005F705E">
        <w:rPr>
          <w:rFonts w:ascii="Times New Roman" w:hAnsi="Times New Roman" w:cs="Times New Roman"/>
          <w:szCs w:val="24"/>
        </w:rPr>
        <w:t>nro. 15.</w:t>
      </w:r>
    </w:p>
    <w:p w:rsidR="009E4865" w:rsidRPr="005F705E" w:rsidRDefault="009E4865" w:rsidP="000C0422">
      <w:pPr>
        <w:spacing w:after="0" w:line="240" w:lineRule="auto"/>
        <w:jc w:val="both"/>
        <w:rPr>
          <w:rFonts w:ascii="Times New Roman" w:hAnsi="Times New Roman" w:cs="Times New Roman"/>
          <w:szCs w:val="24"/>
          <w:lang w:val="en-US"/>
        </w:rPr>
      </w:pPr>
      <w:r w:rsidRPr="005F705E">
        <w:rPr>
          <w:rFonts w:ascii="Times New Roman" w:hAnsi="Times New Roman" w:cs="Times New Roman"/>
          <w:smallCaps/>
          <w:szCs w:val="24"/>
          <w:lang w:val="es-ES"/>
        </w:rPr>
        <w:t>Danani, Claudia y Lindenboim, Javier</w:t>
      </w:r>
      <w:r w:rsidRPr="005F705E">
        <w:rPr>
          <w:rFonts w:ascii="Times New Roman" w:hAnsi="Times New Roman" w:cs="Times New Roman"/>
          <w:szCs w:val="24"/>
          <w:lang w:val="es-ES"/>
        </w:rPr>
        <w:t xml:space="preserve"> (2016). </w:t>
      </w:r>
      <w:r w:rsidRPr="005F705E">
        <w:rPr>
          <w:rFonts w:ascii="Times New Roman" w:hAnsi="Times New Roman" w:cs="Times New Roman"/>
          <w:szCs w:val="24"/>
          <w:lang w:val="en-US"/>
        </w:rPr>
        <w:t xml:space="preserve">“Informal Employment and Absence of Job Security: Where Social Inequality Begins, and Where it Leads. Employment and Policies in Argentina, 2003-2014”, en Routh, Supriya y Borghi, Vando (eds.): Workers and the Global Informal Economy, Londres: Routledge. </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Donza, Eduardo</w:t>
      </w:r>
      <w:r w:rsidRPr="005F705E">
        <w:rPr>
          <w:rFonts w:ascii="Times New Roman" w:hAnsi="Times New Roman" w:cs="Times New Roman"/>
          <w:szCs w:val="24"/>
        </w:rPr>
        <w:t xml:space="preserve"> (2015). “Cambios en las capacidades de consumo en la estructura social urbana”, en Lindenboim, Javier y Salvia, Agustín (coords.), Hora de balance: proceso de acumulación, mercado de trabajo y bienestar. Argentina, 2002-2014, Buenos Aires, EUDEBA.</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Eguía, Amalia y Ortale, Susana</w:t>
      </w:r>
      <w:r w:rsidRPr="005F705E">
        <w:rPr>
          <w:rFonts w:ascii="Times New Roman" w:hAnsi="Times New Roman" w:cs="Times New Roman"/>
          <w:szCs w:val="24"/>
        </w:rPr>
        <w:t xml:space="preserve"> (2004), “Reproducción social y pobreza urbana”, en Cuestiones de Sociología, nro. 2.</w:t>
      </w:r>
    </w:p>
    <w:p w:rsidR="009E4865" w:rsidRPr="005F705E" w:rsidRDefault="009E4865" w:rsidP="000C0422">
      <w:pPr>
        <w:autoSpaceDE w:val="0"/>
        <w:autoSpaceDN w:val="0"/>
        <w:adjustRightInd w:val="0"/>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Fernández Bugna, Cecilia y Porta, Fernando</w:t>
      </w:r>
      <w:r w:rsidRPr="005F705E">
        <w:rPr>
          <w:rFonts w:ascii="Times New Roman" w:hAnsi="Times New Roman" w:cs="Times New Roman"/>
          <w:szCs w:val="24"/>
        </w:rPr>
        <w:t xml:space="preserve"> (2008), “El crecimiento reciente de la industria argentina. Nuevo régimen sin cambio estructural”, en </w:t>
      </w:r>
      <w:r w:rsidRPr="005F705E">
        <w:rPr>
          <w:rFonts w:ascii="Times New Roman" w:hAnsi="Times New Roman" w:cs="Times New Roman"/>
          <w:iCs/>
          <w:szCs w:val="24"/>
        </w:rPr>
        <w:t>Realidad Económica</w:t>
      </w:r>
      <w:r w:rsidRPr="005F705E">
        <w:rPr>
          <w:rFonts w:ascii="Times New Roman" w:hAnsi="Times New Roman" w:cs="Times New Roman"/>
          <w:szCs w:val="24"/>
        </w:rPr>
        <w:t>, nro. 233.</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Filgueira, Carlos y Kaztman, Rubén</w:t>
      </w:r>
      <w:r w:rsidRPr="005F705E">
        <w:rPr>
          <w:rFonts w:ascii="Times New Roman" w:hAnsi="Times New Roman" w:cs="Times New Roman"/>
          <w:szCs w:val="24"/>
        </w:rPr>
        <w:t xml:space="preserve"> (1999). “Marco conceptual sobre activos, vulnerabilidad y estructuras de oportunidades”, Documento de Trabajo CEPAL, Montevideo: CEPAL.</w:t>
      </w:r>
    </w:p>
    <w:p w:rsidR="009E4865" w:rsidRPr="005F705E" w:rsidRDefault="009E4865" w:rsidP="000C0422">
      <w:pPr>
        <w:spacing w:after="0" w:line="240" w:lineRule="auto"/>
        <w:jc w:val="both"/>
        <w:rPr>
          <w:rFonts w:ascii="Times New Roman" w:hAnsi="Times New Roman" w:cs="Times New Roman"/>
          <w:szCs w:val="24"/>
          <w:lang w:val="en-US"/>
        </w:rPr>
      </w:pPr>
      <w:r w:rsidRPr="005F705E">
        <w:rPr>
          <w:rFonts w:ascii="Times New Roman" w:hAnsi="Times New Roman" w:cs="Times New Roman"/>
          <w:smallCaps/>
          <w:szCs w:val="24"/>
          <w:lang w:val="en-US"/>
        </w:rPr>
        <w:t>Fine, Ben</w:t>
      </w:r>
      <w:r w:rsidRPr="005F705E">
        <w:rPr>
          <w:rFonts w:ascii="Times New Roman" w:hAnsi="Times New Roman" w:cs="Times New Roman"/>
          <w:szCs w:val="24"/>
          <w:lang w:val="en-US"/>
        </w:rPr>
        <w:t xml:space="preserve"> (2003), Labour Market Theory. A Constructive Reassessment, Londres: Routledge / Taylor &amp; Francis.</w:t>
      </w:r>
    </w:p>
    <w:p w:rsidR="009E4865" w:rsidRPr="005F705E" w:rsidRDefault="009E4865" w:rsidP="000C0422">
      <w:pPr>
        <w:spacing w:after="0" w:line="240" w:lineRule="auto"/>
        <w:jc w:val="both"/>
        <w:rPr>
          <w:rFonts w:ascii="Times New Roman" w:hAnsi="Times New Roman" w:cs="Times New Roman"/>
          <w:szCs w:val="24"/>
          <w:lang w:val="en-US"/>
        </w:rPr>
      </w:pPr>
      <w:r w:rsidRPr="005F705E">
        <w:rPr>
          <w:rFonts w:ascii="Times New Roman" w:eastAsia="Calibri" w:hAnsi="Times New Roman" w:cs="Times New Roman"/>
          <w:smallCaps/>
          <w:szCs w:val="24"/>
        </w:rPr>
        <w:t>Fraser, Neil, Gutiérrez, Rodolfo y Peña Casas, Ramón</w:t>
      </w:r>
      <w:r w:rsidRPr="005F705E">
        <w:rPr>
          <w:rFonts w:ascii="Times New Roman" w:eastAsia="Calibri" w:hAnsi="Times New Roman" w:cs="Times New Roman"/>
          <w:szCs w:val="24"/>
        </w:rPr>
        <w:t xml:space="preserve"> (2011). </w:t>
      </w:r>
      <w:r w:rsidRPr="005F705E">
        <w:rPr>
          <w:rFonts w:ascii="Times New Roman" w:eastAsia="Calibri" w:hAnsi="Times New Roman" w:cs="Times New Roman"/>
          <w:szCs w:val="24"/>
          <w:lang w:val="en-US"/>
        </w:rPr>
        <w:t>Working Poverty in Europe, Londres: Palgrave-MacMillan.</w:t>
      </w:r>
    </w:p>
    <w:p w:rsidR="009E4865" w:rsidRPr="005F705E" w:rsidRDefault="009E4865" w:rsidP="000C0422">
      <w:pPr>
        <w:widowControl w:val="0"/>
        <w:autoSpaceDE w:val="0"/>
        <w:autoSpaceDN w:val="0"/>
        <w:adjustRightInd w:val="0"/>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Gaggero, Andrés, Schorr, Martín y Wainer, Andrés</w:t>
      </w:r>
      <w:r w:rsidRPr="005F705E">
        <w:rPr>
          <w:rFonts w:ascii="Times New Roman" w:hAnsi="Times New Roman" w:cs="Times New Roman"/>
          <w:szCs w:val="24"/>
        </w:rPr>
        <w:t xml:space="preserve"> (2014) Restricción eterna. El poder económico durante el kirchnerismo, Buenos Aires, Crisis y Futuro Anterior.</w:t>
      </w:r>
    </w:p>
    <w:p w:rsidR="009E4865" w:rsidRPr="005F705E" w:rsidRDefault="009E4865" w:rsidP="000C0422">
      <w:pPr>
        <w:spacing w:after="0" w:line="240" w:lineRule="auto"/>
        <w:jc w:val="both"/>
        <w:rPr>
          <w:rFonts w:ascii="Times New Roman" w:hAnsi="Times New Roman" w:cs="Times New Roman"/>
          <w:i/>
          <w:szCs w:val="24"/>
        </w:rPr>
      </w:pPr>
      <w:r w:rsidRPr="005F705E">
        <w:rPr>
          <w:rFonts w:ascii="Times New Roman" w:hAnsi="Times New Roman" w:cs="Times New Roman"/>
          <w:smallCaps/>
          <w:szCs w:val="24"/>
        </w:rPr>
        <w:t>Graña, Juan</w:t>
      </w:r>
      <w:r w:rsidRPr="005F705E">
        <w:rPr>
          <w:rFonts w:ascii="Times New Roman" w:hAnsi="Times New Roman" w:cs="Times New Roman"/>
          <w:szCs w:val="24"/>
        </w:rPr>
        <w:t xml:space="preserve"> (2015). “Los problemas productivos de las empresas y su vinculación con el deterioro de las condiciones de empleo de los trabajadores” en Lindenboim, Javier y Salvia, Agustín (coords.), Hora de balance: proceso de acumulación, mercado de trabajo y bienestar. Argentina, 2002-2014, Buenos Aires, EUDEBA.</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Groisman, Fernando</w:t>
      </w:r>
      <w:r w:rsidRPr="005F705E">
        <w:rPr>
          <w:rFonts w:ascii="Times New Roman" w:hAnsi="Times New Roman" w:cs="Times New Roman"/>
          <w:szCs w:val="24"/>
        </w:rPr>
        <w:t xml:space="preserve"> (2011) “Argentina: Los hogares y los cambios en el mercado laboral (2004-2009)”, en Revista de la CEPAL</w:t>
      </w:r>
      <w:r w:rsidRPr="005F705E">
        <w:rPr>
          <w:rFonts w:ascii="Times New Roman" w:hAnsi="Times New Roman" w:cs="Times New Roman"/>
          <w:i/>
          <w:szCs w:val="24"/>
        </w:rPr>
        <w:t xml:space="preserve">, </w:t>
      </w:r>
      <w:r w:rsidRPr="005F705E">
        <w:rPr>
          <w:rFonts w:ascii="Times New Roman" w:hAnsi="Times New Roman" w:cs="Times New Roman"/>
          <w:szCs w:val="24"/>
        </w:rPr>
        <w:t>nro. 104.</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Groisman, Fernando</w:t>
      </w:r>
      <w:r w:rsidRPr="005F705E">
        <w:rPr>
          <w:rFonts w:ascii="Times New Roman" w:hAnsi="Times New Roman" w:cs="Times New Roman"/>
          <w:szCs w:val="24"/>
        </w:rPr>
        <w:t xml:space="preserve"> (2013). “Gran Buenos Aires: Polarización del ingreso, clase media e informalidad laboral (1974-2010)”, en Revista de la CEPAL, nro. 109.</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Gutiérrez, Alicia</w:t>
      </w:r>
      <w:r w:rsidRPr="005F705E">
        <w:rPr>
          <w:rFonts w:ascii="Times New Roman" w:hAnsi="Times New Roman" w:cs="Times New Roman"/>
          <w:szCs w:val="24"/>
        </w:rPr>
        <w:t xml:space="preserve"> (2005). “La reproducción en la pobreza (¿y de la pobreza?). El enfoque desde la perspectiva de las estrategias familiares”, en Cuestiones de sociología, nro. 2.</w:t>
      </w:r>
    </w:p>
    <w:p w:rsidR="005F72E7" w:rsidRPr="005F705E" w:rsidRDefault="005F72E7" w:rsidP="005F72E7">
      <w:pPr>
        <w:spacing w:after="0"/>
        <w:jc w:val="both"/>
        <w:rPr>
          <w:rFonts w:ascii="Times New Roman" w:hAnsi="Times New Roman" w:cs="Times New Roman"/>
          <w:smallCaps/>
          <w:szCs w:val="24"/>
        </w:rPr>
      </w:pPr>
      <w:r w:rsidRPr="005F705E">
        <w:rPr>
          <w:rFonts w:ascii="Times New Roman" w:hAnsi="Times New Roman" w:cs="Times New Roman"/>
          <w:smallCaps/>
          <w:szCs w:val="24"/>
          <w:lang w:val="en-US"/>
        </w:rPr>
        <w:t>Hussmans, Ralph</w:t>
      </w:r>
      <w:r w:rsidRPr="005F705E">
        <w:rPr>
          <w:rFonts w:ascii="Times New Roman" w:hAnsi="Times New Roman" w:cs="Times New Roman"/>
          <w:szCs w:val="24"/>
          <w:lang w:val="en-US"/>
        </w:rPr>
        <w:t xml:space="preserve"> (2004). “Measuring the Informal Economy: From Employment in the Informal Sector to Informal Employment”, Working Paper, N° 53. </w:t>
      </w:r>
      <w:r w:rsidRPr="005F705E">
        <w:rPr>
          <w:rFonts w:ascii="Times New Roman" w:hAnsi="Times New Roman" w:cs="Times New Roman"/>
          <w:szCs w:val="24"/>
        </w:rPr>
        <w:t>Ginebra: OIT.</w:t>
      </w:r>
    </w:p>
    <w:p w:rsidR="009E4865" w:rsidRPr="005F705E" w:rsidRDefault="009E4865" w:rsidP="005F72E7">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Infante, Ricardo</w:t>
      </w:r>
      <w:r w:rsidRPr="005F705E">
        <w:rPr>
          <w:rFonts w:ascii="Times New Roman" w:hAnsi="Times New Roman" w:cs="Times New Roman"/>
          <w:szCs w:val="24"/>
        </w:rPr>
        <w:t xml:space="preserve"> (2011), El desarrollo inclusivo en América Latina y el Caribe. Ensayos sobre políticas de convergencia productiva para la igualdad,</w:t>
      </w:r>
      <w:r w:rsidRPr="005F705E">
        <w:rPr>
          <w:rFonts w:ascii="Times New Roman" w:hAnsi="Times New Roman" w:cs="Times New Roman"/>
          <w:i/>
          <w:szCs w:val="24"/>
        </w:rPr>
        <w:t xml:space="preserve"> </w:t>
      </w:r>
      <w:r w:rsidRPr="005F705E">
        <w:rPr>
          <w:rFonts w:ascii="Times New Roman" w:hAnsi="Times New Roman" w:cs="Times New Roman"/>
          <w:szCs w:val="24"/>
        </w:rPr>
        <w:t>Santiago de Chile: CEPAL.</w:t>
      </w:r>
    </w:p>
    <w:p w:rsidR="005F72E7" w:rsidRPr="005F705E" w:rsidRDefault="005F72E7" w:rsidP="000C0422">
      <w:pPr>
        <w:spacing w:after="0" w:line="240" w:lineRule="auto"/>
        <w:jc w:val="both"/>
        <w:rPr>
          <w:rFonts w:ascii="Times New Roman" w:hAnsi="Times New Roman" w:cs="Times New Roman"/>
          <w:smallCaps/>
          <w:szCs w:val="24"/>
        </w:rPr>
      </w:pPr>
      <w:r w:rsidRPr="005F705E">
        <w:rPr>
          <w:rFonts w:ascii="Times New Roman" w:hAnsi="Times New Roman" w:cs="Times New Roman"/>
          <w:smallCaps/>
          <w:szCs w:val="24"/>
        </w:rPr>
        <w:t>Instituto Nacional de Estadística y Censos [INDEC]</w:t>
      </w:r>
      <w:r w:rsidRPr="005F705E">
        <w:rPr>
          <w:rFonts w:ascii="Times New Roman" w:hAnsi="Times New Roman" w:cs="Times New Roman"/>
          <w:szCs w:val="24"/>
        </w:rPr>
        <w:t xml:space="preserve"> (2003), La nueva Encuesta Permanente de Hogares de Argentina, Buenos Aires: INDEC.</w:t>
      </w:r>
    </w:p>
    <w:p w:rsidR="009E4865" w:rsidRPr="005F705E" w:rsidRDefault="009E4865" w:rsidP="000C0422">
      <w:pPr>
        <w:spacing w:after="0" w:line="240" w:lineRule="auto"/>
        <w:jc w:val="both"/>
        <w:rPr>
          <w:rFonts w:ascii="Times New Roman" w:hAnsi="Times New Roman" w:cs="Times New Roman"/>
          <w:szCs w:val="24"/>
          <w:lang w:val="es-ES"/>
        </w:rPr>
      </w:pPr>
      <w:r w:rsidRPr="005F705E">
        <w:rPr>
          <w:rFonts w:ascii="Times New Roman" w:hAnsi="Times New Roman" w:cs="Times New Roman"/>
          <w:smallCaps/>
          <w:szCs w:val="24"/>
          <w:lang w:val="es-ES"/>
        </w:rPr>
        <w:t>Jaccoud, Florencia., Arakaki, Agustín, Monteforte, Ezequiel, Pacífico, Laura, Graña, Juan y Kennedy, Damián</w:t>
      </w:r>
      <w:r w:rsidRPr="005F705E">
        <w:rPr>
          <w:rFonts w:ascii="Times New Roman" w:hAnsi="Times New Roman" w:cs="Times New Roman"/>
          <w:szCs w:val="24"/>
          <w:lang w:val="es-ES"/>
        </w:rPr>
        <w:t xml:space="preserve"> (2015), “Estructura productiva y reproducción de la fuerza de trabajo: la vigencia de los limitantes estructurales de la economía argentina”, en Cuadernos de Economía Crítica, </w:t>
      </w:r>
      <w:r w:rsidR="008C6F2C" w:rsidRPr="005F705E">
        <w:rPr>
          <w:rFonts w:ascii="Times New Roman" w:hAnsi="Times New Roman" w:cs="Times New Roman"/>
          <w:szCs w:val="24"/>
          <w:lang w:val="es-ES"/>
        </w:rPr>
        <w:t>vol. 2, nro. 1.</w:t>
      </w:r>
    </w:p>
    <w:p w:rsidR="008C6F2C" w:rsidRPr="005F705E" w:rsidRDefault="008C6F2C" w:rsidP="000C0422">
      <w:pPr>
        <w:spacing w:after="0" w:line="240" w:lineRule="auto"/>
        <w:jc w:val="both"/>
        <w:rPr>
          <w:rFonts w:ascii="Times New Roman" w:hAnsi="Times New Roman" w:cs="Times New Roman"/>
          <w:smallCaps/>
          <w:szCs w:val="24"/>
        </w:rPr>
      </w:pPr>
      <w:r w:rsidRPr="005F705E">
        <w:rPr>
          <w:rFonts w:ascii="Times New Roman" w:hAnsi="Times New Roman" w:cs="Times New Roman"/>
          <w:smallCaps/>
          <w:szCs w:val="24"/>
        </w:rPr>
        <w:t xml:space="preserve">Lindenboim, Javier (2015) </w:t>
      </w:r>
      <w:r w:rsidRPr="005F705E">
        <w:rPr>
          <w:rFonts w:ascii="Times New Roman" w:hAnsi="Times New Roman" w:cs="Times New Roman"/>
          <w:szCs w:val="24"/>
          <w:lang w:val="es-ES"/>
        </w:rPr>
        <w:t>“Estadísticas y estadistas, una relación difícil”, en Revista Latinoamericana de Metodología de la Investigación Social, vol. 4, nro. 8.</w:t>
      </w:r>
    </w:p>
    <w:p w:rsidR="009E4865" w:rsidRPr="005F705E" w:rsidRDefault="009E4865" w:rsidP="000C0422">
      <w:pPr>
        <w:spacing w:after="0" w:line="240" w:lineRule="auto"/>
        <w:jc w:val="both"/>
        <w:rPr>
          <w:rFonts w:ascii="Times New Roman" w:hAnsi="Times New Roman" w:cs="Times New Roman"/>
          <w:szCs w:val="24"/>
          <w:lang w:val="en-US"/>
        </w:rPr>
      </w:pPr>
      <w:r w:rsidRPr="005F705E">
        <w:rPr>
          <w:rFonts w:ascii="Times New Roman" w:hAnsi="Times New Roman" w:cs="Times New Roman"/>
          <w:smallCaps/>
          <w:szCs w:val="24"/>
          <w:lang w:val="en-GB"/>
        </w:rPr>
        <w:lastRenderedPageBreak/>
        <w:t>Maloney, William</w:t>
      </w:r>
      <w:r w:rsidRPr="005F705E">
        <w:rPr>
          <w:rFonts w:ascii="Times New Roman" w:hAnsi="Times New Roman" w:cs="Times New Roman"/>
          <w:szCs w:val="24"/>
          <w:lang w:val="en-GB"/>
        </w:rPr>
        <w:t xml:space="preserve"> (2004), “Informality Revisited”, World Development, vol. 7</w:t>
      </w:r>
      <w:r w:rsidR="008C6F2C" w:rsidRPr="005F705E">
        <w:rPr>
          <w:rFonts w:ascii="Times New Roman" w:hAnsi="Times New Roman" w:cs="Times New Roman"/>
          <w:szCs w:val="24"/>
          <w:lang w:val="en-GB"/>
        </w:rPr>
        <w:t>, nro. 32.</w:t>
      </w:r>
    </w:p>
    <w:p w:rsidR="005F72E7" w:rsidRPr="005F705E" w:rsidRDefault="005F72E7" w:rsidP="005F72E7">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 xml:space="preserve">Monza, Alfredo y López, Néstor (1995), </w:t>
      </w:r>
      <w:r w:rsidRPr="005F705E">
        <w:rPr>
          <w:rFonts w:ascii="Times New Roman" w:hAnsi="Times New Roman" w:cs="Times New Roman"/>
          <w:szCs w:val="24"/>
        </w:rPr>
        <w:t>“Un intento de estimación del sector informal urbano en la Argentina”, Desarrollo Económico, vol. 35, nro. 139.</w:t>
      </w:r>
    </w:p>
    <w:p w:rsidR="004A377E" w:rsidRPr="005F705E" w:rsidRDefault="004A377E" w:rsidP="000C0422">
      <w:pPr>
        <w:spacing w:after="0" w:line="240" w:lineRule="auto"/>
        <w:jc w:val="both"/>
        <w:rPr>
          <w:rFonts w:ascii="Times New Roman" w:hAnsi="Times New Roman" w:cs="Times New Roman"/>
          <w:smallCaps/>
          <w:szCs w:val="24"/>
        </w:rPr>
      </w:pPr>
      <w:r w:rsidRPr="005F705E">
        <w:rPr>
          <w:rFonts w:ascii="Times New Roman" w:hAnsi="Times New Roman" w:cs="Times New Roman"/>
          <w:smallCaps/>
          <w:szCs w:val="24"/>
        </w:rPr>
        <w:t xml:space="preserve">Mora Salas, Minor (2010). </w:t>
      </w:r>
      <w:r w:rsidRPr="005F705E">
        <w:rPr>
          <w:rFonts w:ascii="Times New Roman" w:hAnsi="Times New Roman" w:cs="Times New Roman"/>
          <w:szCs w:val="24"/>
        </w:rPr>
        <w:t xml:space="preserve">Ajuste y empleo. La precarización del trabajo asalariado en la era de la globalización, México: El Colegio de México. </w:t>
      </w:r>
    </w:p>
    <w:p w:rsidR="009E4865" w:rsidRPr="005F705E" w:rsidRDefault="009E4865" w:rsidP="000C0422">
      <w:pPr>
        <w:spacing w:after="0" w:line="240" w:lineRule="auto"/>
        <w:jc w:val="both"/>
        <w:rPr>
          <w:rFonts w:ascii="Times New Roman" w:hAnsi="Times New Roman" w:cs="Times New Roman"/>
          <w:szCs w:val="24"/>
          <w:lang w:val="en-US"/>
        </w:rPr>
      </w:pPr>
      <w:r w:rsidRPr="005F705E">
        <w:rPr>
          <w:rFonts w:ascii="Times New Roman" w:hAnsi="Times New Roman" w:cs="Times New Roman"/>
          <w:smallCaps/>
          <w:szCs w:val="24"/>
          <w:lang w:val="en-US"/>
        </w:rPr>
        <w:t>Moser, Caroline</w:t>
      </w:r>
      <w:r w:rsidRPr="005F705E">
        <w:rPr>
          <w:rFonts w:ascii="Times New Roman" w:hAnsi="Times New Roman" w:cs="Times New Roman"/>
          <w:szCs w:val="24"/>
          <w:lang w:val="en-US"/>
        </w:rPr>
        <w:t xml:space="preserve"> (1978). “Informal Sector or Petty Commodity Production? Dualism or Dependence in Urban Development”, en: World Development, vol. 6, n</w:t>
      </w:r>
      <w:r w:rsidR="008C6F2C" w:rsidRPr="005F705E">
        <w:rPr>
          <w:rFonts w:ascii="Times New Roman" w:hAnsi="Times New Roman" w:cs="Times New Roman"/>
          <w:szCs w:val="24"/>
          <w:lang w:val="en-US"/>
        </w:rPr>
        <w:t>ro.</w:t>
      </w:r>
      <w:r w:rsidRPr="005F705E">
        <w:rPr>
          <w:rFonts w:ascii="Times New Roman" w:hAnsi="Times New Roman" w:cs="Times New Roman"/>
          <w:szCs w:val="24"/>
          <w:lang w:val="en-US"/>
        </w:rPr>
        <w:t xml:space="preserve"> 9.</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Neffa, Julio César</w:t>
      </w:r>
      <w:r w:rsidRPr="005F705E">
        <w:rPr>
          <w:rFonts w:ascii="Times New Roman" w:hAnsi="Times New Roman" w:cs="Times New Roman"/>
          <w:szCs w:val="24"/>
        </w:rPr>
        <w:t xml:space="preserve"> (2008), “Las teorías de la segmentación de los mercados de trabajo”, en: Eymard-Duvernay, Françoise y Neffa, Julio César, Teorías económicas sobre el mercado de trabajo. III. Análisis institucionalistas, Buenos Aires: Fondo de Cultura Económica y CEIL-PIETTE.</w:t>
      </w:r>
    </w:p>
    <w:p w:rsidR="009E4865" w:rsidRPr="005F705E" w:rsidRDefault="009E4865" w:rsidP="000C0422">
      <w:pPr>
        <w:tabs>
          <w:tab w:val="left" w:pos="142"/>
        </w:tabs>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Neffa, Julio César y Panigo, Demián</w:t>
      </w:r>
      <w:r w:rsidRPr="005F705E">
        <w:rPr>
          <w:rFonts w:ascii="Times New Roman" w:hAnsi="Times New Roman" w:cs="Times New Roman"/>
          <w:szCs w:val="24"/>
        </w:rPr>
        <w:t xml:space="preserve"> (2009). El mercado de trabajo argentino en el nuevo modelo de desarrollo, Buenos Aires: Dirección Nacional de Programación Macroeconómica.</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Palomino, Héctor y Dalle, Pablo</w:t>
      </w:r>
      <w:r w:rsidRPr="005F705E">
        <w:rPr>
          <w:rFonts w:ascii="Times New Roman" w:hAnsi="Times New Roman" w:cs="Times New Roman"/>
          <w:szCs w:val="24"/>
        </w:rPr>
        <w:t xml:space="preserve"> (2012). “El impacto de los cambios ocupacionales en la estructura social de la Argentina: 2003-2011”, en: Revista de Trabajo, vol. 8, nro. 10.</w:t>
      </w:r>
    </w:p>
    <w:p w:rsidR="009E4865" w:rsidRPr="005F705E" w:rsidRDefault="009E4865" w:rsidP="000C0422">
      <w:pPr>
        <w:pStyle w:val="Sinespaciado"/>
        <w:jc w:val="both"/>
        <w:rPr>
          <w:rFonts w:ascii="Times New Roman" w:hAnsi="Times New Roman" w:cs="Times New Roman"/>
          <w:szCs w:val="24"/>
        </w:rPr>
      </w:pPr>
      <w:r w:rsidRPr="005F705E">
        <w:rPr>
          <w:rFonts w:ascii="Times New Roman" w:hAnsi="Times New Roman" w:cs="Times New Roman"/>
          <w:smallCaps/>
          <w:szCs w:val="24"/>
          <w:lang w:val="en-US"/>
        </w:rPr>
        <w:t xml:space="preserve">Perry, Guillermo, Maloney, William, Arias, Omar, Fajnzylber, Pablo, Mason, Andrew. </w:t>
      </w:r>
      <w:r w:rsidRPr="005F705E">
        <w:rPr>
          <w:rFonts w:ascii="Times New Roman" w:hAnsi="Times New Roman" w:cs="Times New Roman"/>
          <w:smallCaps/>
          <w:szCs w:val="24"/>
        </w:rPr>
        <w:t>y Saavedra Chanduvi, Jaime</w:t>
      </w:r>
      <w:r w:rsidRPr="005F705E">
        <w:rPr>
          <w:rFonts w:ascii="Times New Roman" w:hAnsi="Times New Roman" w:cs="Times New Roman"/>
          <w:szCs w:val="24"/>
        </w:rPr>
        <w:t xml:space="preserve"> (2007), Informality: Exit and Exclusion, Nueva York: Banco Mundial.</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lang w:val="en-US"/>
        </w:rPr>
        <w:t>Pok, Cynthia y Lorenzetti, Andrea</w:t>
      </w:r>
      <w:r w:rsidRPr="005F705E">
        <w:rPr>
          <w:rFonts w:ascii="Times New Roman" w:hAnsi="Times New Roman" w:cs="Times New Roman"/>
          <w:szCs w:val="24"/>
          <w:lang w:val="en-US"/>
        </w:rPr>
        <w:t xml:space="preserve"> (2007). </w:t>
      </w:r>
      <w:r w:rsidRPr="005F705E">
        <w:rPr>
          <w:rFonts w:ascii="Times New Roman" w:hAnsi="Times New Roman" w:cs="Times New Roman"/>
          <w:szCs w:val="24"/>
        </w:rPr>
        <w:t>“El abordaje conceptual- metodológico de la informalidad”, en: Lavboratorio, nro. 20.</w:t>
      </w:r>
    </w:p>
    <w:p w:rsidR="009E4865" w:rsidRPr="005F705E" w:rsidRDefault="009E4865" w:rsidP="000C0422">
      <w:pPr>
        <w:autoSpaceDE w:val="0"/>
        <w:autoSpaceDN w:val="0"/>
        <w:adjustRightInd w:val="0"/>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Poy, Santiago, Vera, Julieta y Salvia, Agustín</w:t>
      </w:r>
      <w:r w:rsidRPr="005F705E">
        <w:rPr>
          <w:rFonts w:ascii="Times New Roman" w:hAnsi="Times New Roman" w:cs="Times New Roman"/>
          <w:szCs w:val="24"/>
        </w:rPr>
        <w:t xml:space="preserve"> (2015), “Cambios en la distribución del ingreso y en los patrones de reproducción social de los hogares del Gran Buenos Aires (1974-2014)”, Ponencia presentada en XII Jornadas Argentinas de Estudios de Población, 16-18 de septiembre, Salta.</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Salvia, Agustín</w:t>
      </w:r>
      <w:r w:rsidRPr="005F705E">
        <w:rPr>
          <w:rFonts w:ascii="Times New Roman" w:hAnsi="Times New Roman" w:cs="Times New Roman"/>
          <w:szCs w:val="24"/>
        </w:rPr>
        <w:t xml:space="preserve"> (2012), La trampa neoliberal. Un estudio sobre los cambios en la heterogeneidad estructural y la distribución del ingreso en la Argentina: 1990-2003, Buenos Aires, EUDEBA. </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Salvia, Agustín</w:t>
      </w:r>
      <w:r w:rsidRPr="005F705E">
        <w:rPr>
          <w:rFonts w:ascii="Times New Roman" w:hAnsi="Times New Roman" w:cs="Times New Roman"/>
          <w:szCs w:val="24"/>
        </w:rPr>
        <w:t xml:space="preserve"> (2016) “Heterogeneidad estructural y marginalidad económica en un contexto de políticas heterodoxas”, en: Salvia, Agustín y Chávez Molina, Eduardo (coords.), Claves sobre la marginalidad económica y la movilidad social, Buenos Aires, Biblos. </w:t>
      </w:r>
    </w:p>
    <w:p w:rsidR="002C1422" w:rsidRPr="005F705E" w:rsidRDefault="002C1422" w:rsidP="000C0422">
      <w:pPr>
        <w:spacing w:after="0" w:line="240" w:lineRule="auto"/>
        <w:jc w:val="both"/>
        <w:rPr>
          <w:rFonts w:ascii="Times New Roman" w:hAnsi="Times New Roman" w:cs="Times New Roman"/>
          <w:smallCaps/>
          <w:szCs w:val="24"/>
        </w:rPr>
      </w:pPr>
      <w:r w:rsidRPr="005F705E">
        <w:rPr>
          <w:rFonts w:ascii="Times New Roman" w:hAnsi="Times New Roman" w:cs="Times New Roman"/>
          <w:smallCaps/>
          <w:szCs w:val="24"/>
        </w:rPr>
        <w:t xml:space="preserve">Salvia, Agustín, Poy, Santiago y Vera, Julieta (2016). </w:t>
      </w:r>
      <w:r w:rsidRPr="005F705E">
        <w:rPr>
          <w:rFonts w:ascii="Times New Roman" w:hAnsi="Times New Roman" w:cs="Times New Roman"/>
          <w:szCs w:val="24"/>
        </w:rPr>
        <w:t xml:space="preserve">“La política social y sus efectos sobre la pobreza durante distintas etapas macroeconómicas. Argentina, 1992-2012”, Revista Desarrollo y Sociedad, vol. 76, nro. </w:t>
      </w:r>
      <w:r w:rsidRPr="005F705E">
        <w:rPr>
          <w:rFonts w:ascii="Times New Roman" w:hAnsi="Times New Roman" w:cs="Times New Roman"/>
          <w:smallCaps/>
          <w:szCs w:val="24"/>
        </w:rPr>
        <w:t>2.</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Salvia, Agustín, Vera, Julieta y Poy, Santiago</w:t>
      </w:r>
      <w:r w:rsidRPr="005F705E">
        <w:rPr>
          <w:rFonts w:ascii="Times New Roman" w:hAnsi="Times New Roman" w:cs="Times New Roman"/>
          <w:szCs w:val="24"/>
        </w:rPr>
        <w:t xml:space="preserve"> (2015), “Cambios y continuidades en la estructura ocupacional urbana argentina”, en Lindenboim, Javier y Salvia, Agustín (coords.), Hora de balance: proceso de acumulación, mercado de trabajo y bienestar. Argentina, 2002-2014, Buenos Aires, EUDEBA.</w:t>
      </w:r>
    </w:p>
    <w:p w:rsidR="009E4865" w:rsidRPr="005F705E" w:rsidRDefault="009E4865" w:rsidP="000C0422">
      <w:pPr>
        <w:widowControl w:val="0"/>
        <w:autoSpaceDE w:val="0"/>
        <w:autoSpaceDN w:val="0"/>
        <w:adjustRightInd w:val="0"/>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 xml:space="preserve">Salvia, Agustín y Vera, Julieta </w:t>
      </w:r>
      <w:r w:rsidRPr="005F705E">
        <w:rPr>
          <w:rFonts w:ascii="Times New Roman" w:hAnsi="Times New Roman" w:cs="Times New Roman"/>
          <w:szCs w:val="24"/>
        </w:rPr>
        <w:t xml:space="preserve">(2012), “Cambios en la estructura ocupacional y en el mercado de trabajo durante fases de distintas reglas macroeconómicas (1992-2010)”, en </w:t>
      </w:r>
      <w:r w:rsidRPr="005F705E">
        <w:rPr>
          <w:rFonts w:ascii="Times New Roman" w:hAnsi="Times New Roman" w:cs="Times New Roman"/>
          <w:iCs/>
          <w:szCs w:val="24"/>
        </w:rPr>
        <w:t xml:space="preserve">Revista Estudios del Trabajo, nro. </w:t>
      </w:r>
      <w:r w:rsidRPr="005F705E">
        <w:rPr>
          <w:rFonts w:ascii="Times New Roman" w:hAnsi="Times New Roman" w:cs="Times New Roman"/>
          <w:szCs w:val="24"/>
        </w:rPr>
        <w:t xml:space="preserve">41/42. </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Schorr, Martín</w:t>
      </w:r>
      <w:r w:rsidRPr="005F705E">
        <w:rPr>
          <w:rFonts w:ascii="Times New Roman" w:hAnsi="Times New Roman" w:cs="Times New Roman"/>
          <w:szCs w:val="24"/>
        </w:rPr>
        <w:t xml:space="preserve"> (2012). “Argentina: ¿nuevo modelo o ‘viento de cola’? Una caracterización en clave comparativa”, en Nueva Sociedad, nro. 237.</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Shaikh, Anwar</w:t>
      </w:r>
      <w:r w:rsidRPr="005F705E">
        <w:rPr>
          <w:rFonts w:ascii="Times New Roman" w:hAnsi="Times New Roman" w:cs="Times New Roman"/>
          <w:szCs w:val="24"/>
        </w:rPr>
        <w:t xml:space="preserve">. (2007 [1991]). Valor, acumulación y crisis, Buenos Aires: Ediciones RyR. </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lang w:val="en-GB"/>
        </w:rPr>
        <w:t>Standing, Guy</w:t>
      </w:r>
      <w:r w:rsidRPr="005F705E">
        <w:rPr>
          <w:rFonts w:ascii="Times New Roman" w:hAnsi="Times New Roman" w:cs="Times New Roman"/>
          <w:szCs w:val="24"/>
          <w:lang w:val="en-GB"/>
        </w:rPr>
        <w:t xml:space="preserve"> (2011), </w:t>
      </w:r>
      <w:r w:rsidRPr="005F705E">
        <w:rPr>
          <w:rFonts w:ascii="Times New Roman" w:hAnsi="Times New Roman" w:cs="Times New Roman"/>
          <w:iCs/>
          <w:szCs w:val="24"/>
          <w:lang w:val="en-GB"/>
        </w:rPr>
        <w:t>The Precariat: The New Dangerous Class</w:t>
      </w:r>
      <w:r w:rsidRPr="005F705E">
        <w:rPr>
          <w:rFonts w:ascii="Times New Roman" w:hAnsi="Times New Roman" w:cs="Times New Roman"/>
          <w:szCs w:val="24"/>
          <w:lang w:val="en-GB"/>
        </w:rPr>
        <w:t xml:space="preserve">. </w:t>
      </w:r>
      <w:r w:rsidRPr="005F705E">
        <w:rPr>
          <w:rFonts w:ascii="Times New Roman" w:hAnsi="Times New Roman" w:cs="Times New Roman"/>
          <w:szCs w:val="24"/>
        </w:rPr>
        <w:t>London: Bloomsbury.</w:t>
      </w:r>
    </w:p>
    <w:p w:rsidR="009E4865" w:rsidRPr="005F705E" w:rsidRDefault="009E4865" w:rsidP="000C0422">
      <w:pPr>
        <w:tabs>
          <w:tab w:val="left" w:pos="142"/>
        </w:tabs>
        <w:spacing w:after="0" w:line="240" w:lineRule="auto"/>
        <w:jc w:val="both"/>
        <w:rPr>
          <w:rFonts w:ascii="Times New Roman" w:hAnsi="Times New Roman" w:cs="Times New Roman"/>
          <w:szCs w:val="24"/>
        </w:rPr>
      </w:pPr>
      <w:r w:rsidRPr="005F705E">
        <w:rPr>
          <w:rFonts w:ascii="Times New Roman" w:hAnsi="Times New Roman" w:cs="Times New Roman"/>
          <w:smallCaps/>
          <w:szCs w:val="24"/>
        </w:rPr>
        <w:lastRenderedPageBreak/>
        <w:t>Tokman, Víctor</w:t>
      </w:r>
      <w:r w:rsidRPr="005F705E">
        <w:rPr>
          <w:rFonts w:ascii="Times New Roman" w:hAnsi="Times New Roman" w:cs="Times New Roman"/>
          <w:szCs w:val="24"/>
        </w:rPr>
        <w:t xml:space="preserve"> (2000). “El sector informal posreforma económica”, en: Carpio, Jorge, Klein, Emilio y Novacovsky, Irene (comps.). Informalidad y exclusión social, Buenos Aires, Fondo de Cultura Económica-SIEMPRO-OIT.</w:t>
      </w:r>
    </w:p>
    <w:p w:rsidR="009E4865" w:rsidRPr="005F705E" w:rsidRDefault="009E4865" w:rsidP="000C0422">
      <w:pPr>
        <w:spacing w:after="0" w:line="240" w:lineRule="auto"/>
        <w:jc w:val="both"/>
        <w:rPr>
          <w:rFonts w:ascii="Times New Roman" w:hAnsi="Times New Roman" w:cs="Times New Roman"/>
          <w:szCs w:val="24"/>
        </w:rPr>
      </w:pPr>
      <w:r w:rsidRPr="005F705E">
        <w:rPr>
          <w:rFonts w:ascii="Times New Roman" w:hAnsi="Times New Roman" w:cs="Times New Roman"/>
          <w:smallCaps/>
          <w:szCs w:val="24"/>
        </w:rPr>
        <w:t xml:space="preserve">Torrado, Susana </w:t>
      </w:r>
      <w:r w:rsidRPr="005F705E">
        <w:rPr>
          <w:rFonts w:ascii="Times New Roman" w:hAnsi="Times New Roman" w:cs="Times New Roman"/>
          <w:szCs w:val="24"/>
        </w:rPr>
        <w:t>(1992), La estructura social de la Argentina (1945-1983), Buenos Aires, Ediciones de la Flor.</w:t>
      </w:r>
    </w:p>
    <w:p w:rsidR="009E4865" w:rsidRPr="005F705E" w:rsidRDefault="009E4865" w:rsidP="000C0422">
      <w:pPr>
        <w:spacing w:after="0" w:line="240" w:lineRule="auto"/>
        <w:jc w:val="both"/>
        <w:rPr>
          <w:rFonts w:ascii="Times New Roman" w:eastAsia="Calibri" w:hAnsi="Times New Roman" w:cs="Times New Roman"/>
          <w:szCs w:val="24"/>
        </w:rPr>
      </w:pPr>
      <w:r w:rsidRPr="005F705E">
        <w:rPr>
          <w:rFonts w:ascii="Times New Roman" w:hAnsi="Times New Roman" w:cs="Times New Roman"/>
          <w:smallCaps/>
          <w:szCs w:val="24"/>
        </w:rPr>
        <w:t>Torrado, Susana</w:t>
      </w:r>
      <w:r w:rsidRPr="005F705E">
        <w:rPr>
          <w:rFonts w:ascii="Times New Roman" w:hAnsi="Times New Roman" w:cs="Times New Roman"/>
          <w:szCs w:val="24"/>
        </w:rPr>
        <w:t xml:space="preserve"> (2006 [1982]) “</w:t>
      </w:r>
      <w:r w:rsidRPr="005F705E">
        <w:rPr>
          <w:rFonts w:ascii="Times New Roman" w:eastAsia="Calibri" w:hAnsi="Times New Roman" w:cs="Times New Roman"/>
          <w:szCs w:val="24"/>
        </w:rPr>
        <w:t>El enfoque de las estrategias familiares de vida en América Latina. Orientaciones teórico metodológicas”, en: Torrado, Susana (comp.) Familia y diferenciación social – Cuestiones de método</w:t>
      </w:r>
      <w:r w:rsidRPr="005F705E">
        <w:rPr>
          <w:rFonts w:ascii="Times New Roman" w:hAnsi="Times New Roman" w:cs="Times New Roman"/>
          <w:i/>
          <w:szCs w:val="24"/>
        </w:rPr>
        <w:t xml:space="preserve">, </w:t>
      </w:r>
      <w:r w:rsidRPr="005F705E">
        <w:rPr>
          <w:rFonts w:ascii="Times New Roman" w:eastAsia="Calibri" w:hAnsi="Times New Roman" w:cs="Times New Roman"/>
          <w:szCs w:val="24"/>
        </w:rPr>
        <w:t>Buenos Aires: EUDEBA.</w:t>
      </w:r>
    </w:p>
    <w:p w:rsidR="008C6F2C" w:rsidRPr="005F705E" w:rsidRDefault="00676751" w:rsidP="000C0422">
      <w:pPr>
        <w:spacing w:after="0" w:line="240" w:lineRule="auto"/>
        <w:jc w:val="both"/>
        <w:rPr>
          <w:rFonts w:ascii="Times New Roman" w:eastAsia="Calibri" w:hAnsi="Times New Roman" w:cs="Times New Roman"/>
          <w:szCs w:val="24"/>
        </w:rPr>
      </w:pPr>
      <w:r w:rsidRPr="005F705E">
        <w:rPr>
          <w:rFonts w:ascii="Times New Roman" w:eastAsia="Calibri" w:hAnsi="Times New Roman" w:cs="Times New Roman"/>
          <w:smallCaps/>
          <w:szCs w:val="24"/>
        </w:rPr>
        <w:t>Wooldridge, Jeffrey</w:t>
      </w:r>
      <w:r w:rsidRPr="005F705E">
        <w:rPr>
          <w:rFonts w:ascii="Times New Roman" w:eastAsia="Calibri" w:hAnsi="Times New Roman" w:cs="Times New Roman"/>
          <w:szCs w:val="24"/>
        </w:rPr>
        <w:t xml:space="preserve"> (2014) Introducción a la econometría, México D.F.: Cengage Learning.</w:t>
      </w:r>
    </w:p>
    <w:p w:rsidR="004D0E65" w:rsidRPr="005F705E" w:rsidRDefault="004D0E65" w:rsidP="004D0E65">
      <w:pPr>
        <w:spacing w:after="0" w:line="240" w:lineRule="auto"/>
        <w:jc w:val="both"/>
        <w:rPr>
          <w:rFonts w:ascii="Times New Roman" w:hAnsi="Times New Roman" w:cs="Times New Roman"/>
          <w:b/>
          <w:sz w:val="22"/>
          <w:lang w:val="es-ES"/>
        </w:rPr>
      </w:pPr>
    </w:p>
    <w:p w:rsidR="004D0E65" w:rsidRPr="005F705E" w:rsidRDefault="004D0E65" w:rsidP="004D0E65">
      <w:pPr>
        <w:spacing w:after="0" w:line="240" w:lineRule="auto"/>
        <w:jc w:val="center"/>
        <w:rPr>
          <w:rFonts w:ascii="Times New Roman" w:hAnsi="Times New Roman" w:cs="Times New Roman"/>
          <w:b/>
          <w:szCs w:val="24"/>
          <w:lang w:val="es-ES"/>
        </w:rPr>
      </w:pPr>
      <w:r w:rsidRPr="005F705E">
        <w:rPr>
          <w:rFonts w:ascii="Times New Roman" w:hAnsi="Times New Roman" w:cs="Times New Roman"/>
          <w:b/>
          <w:szCs w:val="24"/>
          <w:lang w:val="es-ES"/>
        </w:rPr>
        <w:t>ANEXO METODOLÓGICO</w:t>
      </w:r>
    </w:p>
    <w:p w:rsidR="004D0E65" w:rsidRPr="005F705E" w:rsidRDefault="004D0E65" w:rsidP="004D0E65">
      <w:pPr>
        <w:spacing w:after="0" w:line="240" w:lineRule="auto"/>
        <w:jc w:val="both"/>
        <w:rPr>
          <w:rFonts w:ascii="Times New Roman" w:hAnsi="Times New Roman" w:cs="Times New Roman"/>
          <w:b/>
          <w:sz w:val="22"/>
          <w:lang w:val="es-ES"/>
        </w:rPr>
      </w:pPr>
    </w:p>
    <w:p w:rsidR="004D0E65" w:rsidRPr="005F705E" w:rsidRDefault="004D0E65" w:rsidP="004D0E65">
      <w:pPr>
        <w:spacing w:after="0" w:line="240" w:lineRule="auto"/>
        <w:jc w:val="both"/>
        <w:rPr>
          <w:rFonts w:ascii="Times New Roman" w:hAnsi="Times New Roman" w:cs="Times New Roman"/>
          <w:b/>
          <w:sz w:val="22"/>
          <w:lang w:val="es-ES"/>
        </w:rPr>
      </w:pPr>
      <w:r w:rsidRPr="005F705E">
        <w:rPr>
          <w:rFonts w:ascii="Times New Roman" w:hAnsi="Times New Roman" w:cs="Times New Roman"/>
          <w:b/>
          <w:sz w:val="22"/>
          <w:lang w:val="es-ES"/>
        </w:rPr>
        <w:t>Cuadro A.1. Canasta Básica Total por Adulto Equivalente.</w:t>
      </w:r>
    </w:p>
    <w:p w:rsidR="004D0E65" w:rsidRPr="005F705E" w:rsidRDefault="004D0E65" w:rsidP="004D0E65">
      <w:pPr>
        <w:spacing w:after="0" w:line="240" w:lineRule="auto"/>
        <w:jc w:val="both"/>
        <w:rPr>
          <w:rFonts w:ascii="Times New Roman" w:eastAsia="Times New Roman" w:hAnsi="Times New Roman" w:cs="Times New Roman"/>
          <w:color w:val="000000"/>
          <w:sz w:val="18"/>
          <w:szCs w:val="18"/>
          <w:lang w:eastAsia="es-AR"/>
        </w:rPr>
      </w:pPr>
      <w:r w:rsidRPr="005F705E">
        <w:rPr>
          <w:rFonts w:ascii="Times New Roman" w:eastAsia="Times New Roman" w:hAnsi="Times New Roman" w:cs="Times New Roman"/>
          <w:color w:val="000000"/>
          <w:sz w:val="18"/>
          <w:szCs w:val="18"/>
          <w:lang w:eastAsia="es-AR"/>
        </w:rPr>
        <w:t>En pesos corrientes.</w:t>
      </w:r>
    </w:p>
    <w:tbl>
      <w:tblPr>
        <w:tblW w:w="8376" w:type="dxa"/>
        <w:jc w:val="center"/>
        <w:tblInd w:w="55" w:type="dxa"/>
        <w:tblCellMar>
          <w:left w:w="70" w:type="dxa"/>
          <w:right w:w="70" w:type="dxa"/>
        </w:tblCellMar>
        <w:tblLook w:val="04A0"/>
      </w:tblPr>
      <w:tblGrid>
        <w:gridCol w:w="1040"/>
        <w:gridCol w:w="1096"/>
        <w:gridCol w:w="1040"/>
        <w:gridCol w:w="1040"/>
        <w:gridCol w:w="1040"/>
        <w:gridCol w:w="1040"/>
        <w:gridCol w:w="1040"/>
        <w:gridCol w:w="1040"/>
      </w:tblGrid>
      <w:tr w:rsidR="004D0E65" w:rsidRPr="005F705E" w:rsidTr="004D0E65">
        <w:trPr>
          <w:trHeight w:val="726"/>
          <w:jc w:val="center"/>
        </w:trPr>
        <w:tc>
          <w:tcPr>
            <w:tcW w:w="1040" w:type="dxa"/>
            <w:tcBorders>
              <w:top w:val="single" w:sz="4" w:space="0" w:color="auto"/>
              <w:left w:val="nil"/>
              <w:bottom w:val="single" w:sz="4" w:space="0" w:color="auto"/>
              <w:right w:val="nil"/>
            </w:tcBorders>
            <w:shd w:val="clear" w:color="000000" w:fill="FFFFFF"/>
            <w:noWrap/>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b/>
              </w:rPr>
              <w:t xml:space="preserve"> </w:t>
            </w:r>
            <w:r w:rsidRPr="005F705E">
              <w:rPr>
                <w:rFonts w:ascii="Times New Roman" w:eastAsia="Times New Roman" w:hAnsi="Times New Roman" w:cs="Times New Roman"/>
                <w:color w:val="000000"/>
                <w:sz w:val="20"/>
                <w:szCs w:val="20"/>
                <w:lang w:eastAsia="es-AR"/>
              </w:rPr>
              <w:t>Año</w:t>
            </w:r>
          </w:p>
        </w:tc>
        <w:tc>
          <w:tcPr>
            <w:tcW w:w="1096" w:type="dxa"/>
            <w:tcBorders>
              <w:top w:val="single" w:sz="4" w:space="0" w:color="auto"/>
              <w:left w:val="nil"/>
              <w:bottom w:val="single" w:sz="4" w:space="0" w:color="auto"/>
              <w:right w:val="nil"/>
            </w:tcBorders>
            <w:shd w:val="clear" w:color="000000" w:fill="FFFFFF"/>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CBT Adulto Equivalente</w:t>
            </w:r>
          </w:p>
        </w:tc>
        <w:tc>
          <w:tcPr>
            <w:tcW w:w="1040" w:type="dxa"/>
            <w:tcBorders>
              <w:top w:val="single" w:sz="4" w:space="0" w:color="auto"/>
              <w:left w:val="nil"/>
              <w:bottom w:val="single" w:sz="4" w:space="0" w:color="auto"/>
              <w:right w:val="nil"/>
            </w:tcBorders>
            <w:shd w:val="clear" w:color="000000" w:fill="FFFFFF"/>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Gran Buenos Aires</w:t>
            </w:r>
          </w:p>
        </w:tc>
        <w:tc>
          <w:tcPr>
            <w:tcW w:w="1040" w:type="dxa"/>
            <w:tcBorders>
              <w:top w:val="single" w:sz="4" w:space="0" w:color="auto"/>
              <w:left w:val="nil"/>
              <w:bottom w:val="single" w:sz="4" w:space="0" w:color="auto"/>
              <w:right w:val="nil"/>
            </w:tcBorders>
            <w:shd w:val="clear" w:color="000000" w:fill="FFFFFF"/>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Noroeste</w:t>
            </w:r>
          </w:p>
        </w:tc>
        <w:tc>
          <w:tcPr>
            <w:tcW w:w="1040" w:type="dxa"/>
            <w:tcBorders>
              <w:top w:val="single" w:sz="4" w:space="0" w:color="auto"/>
              <w:left w:val="nil"/>
              <w:bottom w:val="single" w:sz="4" w:space="0" w:color="auto"/>
              <w:right w:val="nil"/>
            </w:tcBorders>
            <w:shd w:val="clear" w:color="000000" w:fill="FFFFFF"/>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Noreste</w:t>
            </w:r>
          </w:p>
        </w:tc>
        <w:tc>
          <w:tcPr>
            <w:tcW w:w="1040" w:type="dxa"/>
            <w:tcBorders>
              <w:top w:val="single" w:sz="4" w:space="0" w:color="auto"/>
              <w:left w:val="nil"/>
              <w:bottom w:val="single" w:sz="4" w:space="0" w:color="auto"/>
              <w:right w:val="nil"/>
            </w:tcBorders>
            <w:shd w:val="clear" w:color="000000" w:fill="FFFFFF"/>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Cuyo</w:t>
            </w:r>
          </w:p>
        </w:tc>
        <w:tc>
          <w:tcPr>
            <w:tcW w:w="1040" w:type="dxa"/>
            <w:tcBorders>
              <w:top w:val="single" w:sz="4" w:space="0" w:color="auto"/>
              <w:left w:val="nil"/>
              <w:bottom w:val="single" w:sz="4" w:space="0" w:color="auto"/>
              <w:right w:val="nil"/>
            </w:tcBorders>
            <w:shd w:val="clear" w:color="000000" w:fill="FFFFFF"/>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Pampeana</w:t>
            </w:r>
          </w:p>
        </w:tc>
        <w:tc>
          <w:tcPr>
            <w:tcW w:w="1040" w:type="dxa"/>
            <w:tcBorders>
              <w:top w:val="single" w:sz="4" w:space="0" w:color="auto"/>
              <w:left w:val="nil"/>
              <w:bottom w:val="single" w:sz="4" w:space="0" w:color="auto"/>
              <w:right w:val="nil"/>
            </w:tcBorders>
            <w:shd w:val="clear" w:color="000000" w:fill="FFFFFF"/>
            <w:vAlign w:val="center"/>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Patagonia</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IV-2003</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229,7</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229,7</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202,1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206,3</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205,1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216,8</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237,7</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IV-2004</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238,5</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238,5</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209,9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214,2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213,0</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225,1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246,8</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IV-2005</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266,4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266,4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234,4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239,2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237,9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251,5</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275,7</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IV-2006</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285,6</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285,6</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251,4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256,5</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255,1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269,6</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295,6</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IV-2007</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349,7</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349,7</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307,7</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314,0</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312,3</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330,1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361,9</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IV-2008</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458,9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458,9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403,8</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412,1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409,8</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433,2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474,9</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IV-2009</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559,2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559,2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492,1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502,2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499,4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527,9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578,8</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IV-2010</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658,6</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658,6</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579,6</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591,4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588,1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621,7</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681,6</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IV-2011</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819,2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819,2</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720,9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735,6</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731,5</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773,3</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847,8</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IV-2012</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1.043,9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1.043,9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918,7</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937,5</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932,3</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985,4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1.080,4</w:t>
            </w:r>
          </w:p>
        </w:tc>
      </w:tr>
      <w:tr w:rsidR="004D0E65" w:rsidRPr="005F705E" w:rsidTr="004D0E65">
        <w:trPr>
          <w:trHeight w:val="247"/>
          <w:jc w:val="center"/>
        </w:trPr>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IV-2013</w:t>
            </w:r>
          </w:p>
        </w:tc>
        <w:tc>
          <w:tcPr>
            <w:tcW w:w="1096"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1.397,4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1.397,4</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1.229,8</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1.254,9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1.247,9</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1.319,1</w:t>
            </w:r>
          </w:p>
        </w:tc>
        <w:tc>
          <w:tcPr>
            <w:tcW w:w="1040" w:type="dxa"/>
            <w:tcBorders>
              <w:top w:val="nil"/>
              <w:left w:val="nil"/>
              <w:bottom w:val="nil"/>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1.446,3</w:t>
            </w:r>
          </w:p>
        </w:tc>
      </w:tr>
      <w:tr w:rsidR="004D0E65" w:rsidRPr="005F705E" w:rsidTr="004D0E65">
        <w:trPr>
          <w:trHeight w:val="247"/>
          <w:jc w:val="center"/>
        </w:trPr>
        <w:tc>
          <w:tcPr>
            <w:tcW w:w="1040"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IV-2014</w:t>
            </w:r>
          </w:p>
        </w:tc>
        <w:tc>
          <w:tcPr>
            <w:tcW w:w="1096"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1.918,5</w:t>
            </w:r>
          </w:p>
        </w:tc>
        <w:tc>
          <w:tcPr>
            <w:tcW w:w="1040"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1.918,5</w:t>
            </w:r>
          </w:p>
        </w:tc>
        <w:tc>
          <w:tcPr>
            <w:tcW w:w="1040"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1.688,3</w:t>
            </w:r>
          </w:p>
        </w:tc>
        <w:tc>
          <w:tcPr>
            <w:tcW w:w="1040"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1.722,8</w:t>
            </w:r>
          </w:p>
        </w:tc>
        <w:tc>
          <w:tcPr>
            <w:tcW w:w="1040"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1.713,3</w:t>
            </w:r>
          </w:p>
        </w:tc>
        <w:tc>
          <w:tcPr>
            <w:tcW w:w="1040"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1.811,0</w:t>
            </w:r>
          </w:p>
        </w:tc>
        <w:tc>
          <w:tcPr>
            <w:tcW w:w="1040" w:type="dxa"/>
            <w:tcBorders>
              <w:top w:val="nil"/>
              <w:left w:val="nil"/>
              <w:bottom w:val="single" w:sz="4" w:space="0" w:color="auto"/>
              <w:right w:val="nil"/>
            </w:tcBorders>
            <w:shd w:val="clear" w:color="000000" w:fill="FFFFFF"/>
            <w:noWrap/>
            <w:vAlign w:val="bottom"/>
            <w:hideMark/>
          </w:tcPr>
          <w:p w:rsidR="004D0E65" w:rsidRPr="005F705E" w:rsidRDefault="004D0E65" w:rsidP="004D0E65">
            <w:pPr>
              <w:spacing w:after="0" w:line="240" w:lineRule="auto"/>
              <w:jc w:val="center"/>
              <w:rPr>
                <w:rFonts w:ascii="Times New Roman" w:eastAsia="Times New Roman" w:hAnsi="Times New Roman" w:cs="Times New Roman"/>
                <w:color w:val="000000"/>
                <w:sz w:val="20"/>
                <w:szCs w:val="20"/>
                <w:lang w:eastAsia="es-AR"/>
              </w:rPr>
            </w:pPr>
            <w:r w:rsidRPr="005F705E">
              <w:rPr>
                <w:rFonts w:ascii="Times New Roman" w:eastAsia="Times New Roman" w:hAnsi="Times New Roman" w:cs="Times New Roman"/>
                <w:color w:val="000000"/>
                <w:sz w:val="20"/>
                <w:szCs w:val="20"/>
                <w:lang w:eastAsia="es-AR"/>
              </w:rPr>
              <w:t>1.985,6</w:t>
            </w:r>
          </w:p>
        </w:tc>
      </w:tr>
    </w:tbl>
    <w:p w:rsidR="004D0E65" w:rsidRPr="004D0E65" w:rsidRDefault="004D0E65" w:rsidP="004D0E65">
      <w:pPr>
        <w:spacing w:after="0" w:line="240" w:lineRule="auto"/>
        <w:jc w:val="both"/>
        <w:rPr>
          <w:rFonts w:ascii="Times New Roman" w:eastAsia="Times New Roman" w:hAnsi="Times New Roman" w:cs="Times New Roman"/>
          <w:color w:val="000000"/>
          <w:sz w:val="15"/>
          <w:szCs w:val="15"/>
          <w:lang w:eastAsia="es-AR"/>
        </w:rPr>
      </w:pPr>
      <w:r w:rsidRPr="005F705E">
        <w:rPr>
          <w:rFonts w:ascii="Times New Roman" w:eastAsia="Times New Roman" w:hAnsi="Times New Roman" w:cs="Times New Roman"/>
          <w:color w:val="000000"/>
          <w:sz w:val="15"/>
          <w:szCs w:val="15"/>
          <w:lang w:eastAsia="es-AR"/>
        </w:rPr>
        <w:t>Fuente: Elaboración propia en base a INDEC y organismos públicos y privados (FIEL, IGB, CIFRA 7 Provincias, ISEPCI).</w:t>
      </w:r>
    </w:p>
    <w:sectPr w:rsidR="004D0E65" w:rsidRPr="004D0E65" w:rsidSect="003607B3">
      <w:footerReference w:type="default" r:id="rId10"/>
      <w:pgSz w:w="11907" w:h="16839" w:code="9"/>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94" w:rsidRDefault="00914C94" w:rsidP="00EA0CFF">
      <w:pPr>
        <w:spacing w:after="0" w:line="240" w:lineRule="auto"/>
      </w:pPr>
      <w:r>
        <w:separator/>
      </w:r>
    </w:p>
  </w:endnote>
  <w:endnote w:type="continuationSeparator" w:id="0">
    <w:p w:rsidR="00914C94" w:rsidRDefault="00914C94" w:rsidP="00EA0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27" w:rsidRPr="00814883" w:rsidRDefault="00AA0927">
    <w:pPr>
      <w:pStyle w:val="Piedepgina"/>
      <w:jc w:val="center"/>
      <w:rPr>
        <w:rFonts w:ascii="Times New Roman" w:hAnsi="Times New Roman" w:cs="Times New Roman"/>
        <w:szCs w:val="24"/>
      </w:rPr>
    </w:pPr>
  </w:p>
  <w:p w:rsidR="00AA0927" w:rsidRPr="00814883" w:rsidRDefault="00AA0927">
    <w:pPr>
      <w:pStyle w:val="Piedepgina"/>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4"/>
      </w:rPr>
      <w:id w:val="491913441"/>
      <w:docPartObj>
        <w:docPartGallery w:val="Page Numbers (Bottom of Page)"/>
        <w:docPartUnique/>
      </w:docPartObj>
    </w:sdtPr>
    <w:sdtContent>
      <w:p w:rsidR="00AA0927" w:rsidRPr="00814883" w:rsidRDefault="00A2705A">
        <w:pPr>
          <w:pStyle w:val="Piedepgina"/>
          <w:jc w:val="center"/>
          <w:rPr>
            <w:rFonts w:ascii="Times New Roman" w:hAnsi="Times New Roman" w:cs="Times New Roman"/>
            <w:szCs w:val="24"/>
          </w:rPr>
        </w:pPr>
        <w:r w:rsidRPr="00814883">
          <w:rPr>
            <w:rFonts w:ascii="Times New Roman" w:hAnsi="Times New Roman" w:cs="Times New Roman"/>
            <w:szCs w:val="24"/>
          </w:rPr>
          <w:fldChar w:fldCharType="begin"/>
        </w:r>
        <w:r w:rsidR="00AA0927" w:rsidRPr="00814883">
          <w:rPr>
            <w:rFonts w:ascii="Times New Roman" w:hAnsi="Times New Roman" w:cs="Times New Roman"/>
            <w:szCs w:val="24"/>
          </w:rPr>
          <w:instrText xml:space="preserve"> PAGE   \* MERGEFORMAT </w:instrText>
        </w:r>
        <w:r w:rsidRPr="00814883">
          <w:rPr>
            <w:rFonts w:ascii="Times New Roman" w:hAnsi="Times New Roman" w:cs="Times New Roman"/>
            <w:szCs w:val="24"/>
          </w:rPr>
          <w:fldChar w:fldCharType="separate"/>
        </w:r>
        <w:r w:rsidR="005F705E">
          <w:rPr>
            <w:rFonts w:ascii="Times New Roman" w:hAnsi="Times New Roman" w:cs="Times New Roman"/>
            <w:noProof/>
            <w:szCs w:val="24"/>
          </w:rPr>
          <w:t>1</w:t>
        </w:r>
        <w:r w:rsidRPr="00814883">
          <w:rPr>
            <w:rFonts w:ascii="Times New Roman" w:hAnsi="Times New Roman" w:cs="Times New Roman"/>
            <w:szCs w:val="24"/>
          </w:rPr>
          <w:fldChar w:fldCharType="end"/>
        </w:r>
      </w:p>
    </w:sdtContent>
  </w:sdt>
  <w:p w:rsidR="00AA0927" w:rsidRPr="00814883" w:rsidRDefault="00AA0927">
    <w:pPr>
      <w:pStyle w:val="Piedepgina"/>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94" w:rsidRDefault="00914C94" w:rsidP="00EA0CFF">
      <w:pPr>
        <w:spacing w:after="0" w:line="240" w:lineRule="auto"/>
      </w:pPr>
      <w:r>
        <w:separator/>
      </w:r>
    </w:p>
  </w:footnote>
  <w:footnote w:type="continuationSeparator" w:id="0">
    <w:p w:rsidR="00914C94" w:rsidRDefault="00914C94" w:rsidP="00EA0CFF">
      <w:pPr>
        <w:spacing w:after="0" w:line="240" w:lineRule="auto"/>
      </w:pPr>
      <w:r>
        <w:continuationSeparator/>
      </w:r>
    </w:p>
  </w:footnote>
  <w:footnote w:id="1">
    <w:p w:rsidR="00AA0927" w:rsidRPr="00CB5828" w:rsidRDefault="00AA0927" w:rsidP="00F115BD">
      <w:pPr>
        <w:pStyle w:val="Textonotapie"/>
        <w:jc w:val="both"/>
        <w:rPr>
          <w:rFonts w:ascii="Times New Roman" w:hAnsi="Times New Roman" w:cs="Times New Roman"/>
        </w:rPr>
      </w:pPr>
      <w:r w:rsidRPr="00F55ED9">
        <w:rPr>
          <w:rStyle w:val="Refdenotaalpie"/>
          <w:rFonts w:ascii="Times New Roman" w:hAnsi="Times New Roman" w:cs="Times New Roman"/>
        </w:rPr>
        <w:footnoteRef/>
      </w:r>
      <w:r w:rsidRPr="00F55ED9">
        <w:rPr>
          <w:rFonts w:ascii="Times New Roman" w:hAnsi="Times New Roman" w:cs="Times New Roman"/>
        </w:rPr>
        <w:t xml:space="preserve"> Este trabajo incluye avances preliminares de mi tesis de doctorado. Una versión anterior fue presentada en el VIII Congreso Latinoamericano de Estudios del Trabajo, realizado en Buenos Aires en agosto de 2016. Parte de este artículo fue elaborado en el marco de la Red INCASI, proyecto  financiado por el programa de investigación “Horizonte 2020” de la Comisión Europea bajo el Marie Sklodowska-Curie GA N° 691004, coordinado por el Dr. Pedro López-Roldán. Sus contenidos reflejan la visión del autor y la Agencia no se responsabiliza por el uso que pueda hacerse de esta información. Deseo agradecer a Agustín Salvia y a Julieta Vera los comentarios realizados a una versión anterior de este documento eximiéndolos de cualquier error que pudiera persistir.</w:t>
      </w:r>
    </w:p>
  </w:footnote>
  <w:footnote w:id="2">
    <w:p w:rsidR="00AA0927" w:rsidRPr="00D864A3" w:rsidRDefault="00AA0927" w:rsidP="00F115BD">
      <w:pPr>
        <w:pStyle w:val="Textonotapie"/>
        <w:jc w:val="both"/>
        <w:rPr>
          <w:rFonts w:ascii="Times New Roman" w:hAnsi="Times New Roman" w:cs="Times New Roman"/>
        </w:rPr>
      </w:pPr>
      <w:r w:rsidRPr="00D864A3">
        <w:rPr>
          <w:rStyle w:val="Refdenotaalpie"/>
          <w:rFonts w:ascii="Times New Roman" w:hAnsi="Times New Roman" w:cs="Times New Roman"/>
        </w:rPr>
        <w:footnoteRef/>
      </w:r>
      <w:r w:rsidRPr="00D864A3">
        <w:rPr>
          <w:rFonts w:ascii="Times New Roman" w:hAnsi="Times New Roman" w:cs="Times New Roman"/>
        </w:rPr>
        <w:t xml:space="preserve"> A estos antecedentes podrían sumarse los trabajos que abordan estos temas desde la perspectiva de clases sociales (véase Chávez Molina y Sacco, 2015; </w:t>
      </w:r>
      <w:r w:rsidRPr="005F72E7">
        <w:rPr>
          <w:rFonts w:ascii="Times New Roman" w:hAnsi="Times New Roman" w:cs="Times New Roman"/>
        </w:rPr>
        <w:t>Benza, 2016</w:t>
      </w:r>
      <w:r w:rsidRPr="00D864A3">
        <w:rPr>
          <w:rFonts w:ascii="Times New Roman" w:hAnsi="Times New Roman" w:cs="Times New Roman"/>
        </w:rPr>
        <w:t>), pero estos estudios no tematizan, en general, los cambios en las modalidades de participación económica que se dan al interior de los hogares o la cuestión de la informalidad laboral. Por otro lado, los estudios basados en sistemas de estratificación por quintiles (Donza, 2015, Poy, Vera y Salvia, 2015) no hacen explícito el modo en que las oportunidades laborales operan sobre los cambios registrados en la distribución del ingreso. Por último, el reciente trabajo de Águila y Kennedy (2015), si bien aborda en perspectiva histórica lo ocurrido con las unidades domésticas y sus capacidades de reproducción, se centra en lo ocurrido con la clase obrera.</w:t>
      </w:r>
    </w:p>
  </w:footnote>
  <w:footnote w:id="3">
    <w:p w:rsidR="00AA0927" w:rsidRPr="00D864A3" w:rsidRDefault="00AA0927" w:rsidP="00F115BD">
      <w:pPr>
        <w:pStyle w:val="Textonotapie"/>
        <w:jc w:val="both"/>
        <w:rPr>
          <w:rFonts w:ascii="Times New Roman" w:hAnsi="Times New Roman" w:cs="Times New Roman"/>
        </w:rPr>
      </w:pPr>
      <w:r w:rsidRPr="00D864A3">
        <w:rPr>
          <w:rStyle w:val="Refdenotaalpie"/>
          <w:rFonts w:ascii="Times New Roman" w:hAnsi="Times New Roman" w:cs="Times New Roman"/>
        </w:rPr>
        <w:footnoteRef/>
      </w:r>
      <w:r w:rsidRPr="00D864A3">
        <w:rPr>
          <w:rFonts w:ascii="Times New Roman" w:hAnsi="Times New Roman" w:cs="Times New Roman"/>
        </w:rPr>
        <w:t xml:space="preserve"> En este trabajo, definimos a los hogares como “una persona o grupo de personas, parientes o no, que habitan bajo un mismo techo en un régimen de tipo familiar; es decir, comparten sus gastos en alimentación u otros esenciales para vivir” </w:t>
      </w:r>
      <w:r w:rsidRPr="005F72E7">
        <w:rPr>
          <w:rFonts w:ascii="Times New Roman" w:hAnsi="Times New Roman" w:cs="Times New Roman"/>
        </w:rPr>
        <w:t>(INDEC, 2003: 6).</w:t>
      </w:r>
      <w:r w:rsidRPr="00D864A3">
        <w:rPr>
          <w:rFonts w:ascii="Times New Roman" w:hAnsi="Times New Roman" w:cs="Times New Roman"/>
        </w:rPr>
        <w:t xml:space="preserve"> </w:t>
      </w:r>
      <w:r>
        <w:rPr>
          <w:rFonts w:ascii="Times New Roman" w:hAnsi="Times New Roman" w:cs="Times New Roman"/>
        </w:rPr>
        <w:t xml:space="preserve">A su vez, utilizamos de modo equivalente los términos “familia”, “hogar” y “unidad doméstica”. Si bien no desconocemos sus diferencias, esto resulta útil a los fines de facilitar la lectura. </w:t>
      </w:r>
    </w:p>
  </w:footnote>
  <w:footnote w:id="4">
    <w:p w:rsidR="00AA0927" w:rsidRPr="00D864A3" w:rsidRDefault="00AA0927" w:rsidP="00F115BD">
      <w:pPr>
        <w:pStyle w:val="Textonotapie"/>
        <w:jc w:val="both"/>
        <w:rPr>
          <w:rFonts w:ascii="Times New Roman" w:hAnsi="Times New Roman" w:cs="Times New Roman"/>
        </w:rPr>
      </w:pPr>
      <w:r w:rsidRPr="00D864A3">
        <w:rPr>
          <w:rStyle w:val="Refdenotaalpie"/>
          <w:rFonts w:ascii="Times New Roman" w:hAnsi="Times New Roman" w:cs="Times New Roman"/>
        </w:rPr>
        <w:footnoteRef/>
      </w:r>
      <w:r w:rsidRPr="00D864A3">
        <w:rPr>
          <w:rFonts w:ascii="Times New Roman" w:hAnsi="Times New Roman" w:cs="Times New Roman"/>
        </w:rPr>
        <w:t xml:space="preserve"> El concepto de </w:t>
      </w:r>
      <w:r w:rsidRPr="00D864A3">
        <w:rPr>
          <w:rFonts w:ascii="Times New Roman" w:hAnsi="Times New Roman" w:cs="Times New Roman"/>
          <w:i/>
        </w:rPr>
        <w:t>marginalidad</w:t>
      </w:r>
      <w:r w:rsidRPr="00D864A3">
        <w:rPr>
          <w:rFonts w:ascii="Times New Roman" w:hAnsi="Times New Roman" w:cs="Times New Roman"/>
        </w:rPr>
        <w:t xml:space="preserve"> que utilizamos proviene de Salvia (2016), quien recupera la tesis de Nun acerca de la existencia de una absorción insuficiente de fuerza de trabajo que da lugar a una población excedente no funcional (en el sentido de que no constituye un “ejército de reserva”) al régimen de acumulación. </w:t>
      </w:r>
    </w:p>
  </w:footnote>
  <w:footnote w:id="5">
    <w:p w:rsidR="00AA0927" w:rsidRPr="00CB5828" w:rsidRDefault="00AA0927" w:rsidP="00F115BD">
      <w:pPr>
        <w:pStyle w:val="Textonotapie"/>
        <w:jc w:val="both"/>
        <w:rPr>
          <w:rFonts w:ascii="Times New Roman" w:hAnsi="Times New Roman" w:cs="Times New Roman"/>
        </w:rPr>
      </w:pPr>
      <w:r w:rsidRPr="00D864A3">
        <w:rPr>
          <w:rStyle w:val="Refdenotaalpie"/>
          <w:rFonts w:ascii="Times New Roman" w:hAnsi="Times New Roman" w:cs="Times New Roman"/>
        </w:rPr>
        <w:footnoteRef/>
      </w:r>
      <w:r w:rsidRPr="00D864A3">
        <w:rPr>
          <w:rFonts w:ascii="Times New Roman" w:hAnsi="Times New Roman" w:cs="Times New Roman"/>
        </w:rPr>
        <w:t xml:space="preserve"> Nos referimos a la tradición que enfatiza el rol de las unidades domésticas en la reproducción de la vida y de la fuerza de trabajo y que quedó plasmada en el uso de conceptos como </w:t>
      </w:r>
      <w:r w:rsidRPr="00D864A3">
        <w:rPr>
          <w:rFonts w:ascii="Times New Roman" w:hAnsi="Times New Roman" w:cs="Times New Roman"/>
          <w:i/>
        </w:rPr>
        <w:t>estrategias de supervivencia</w:t>
      </w:r>
      <w:r>
        <w:rPr>
          <w:rFonts w:ascii="Times New Roman" w:hAnsi="Times New Roman" w:cs="Times New Roman"/>
        </w:rPr>
        <w:t>,</w:t>
      </w:r>
      <w:r w:rsidRPr="00D864A3">
        <w:rPr>
          <w:rFonts w:ascii="Times New Roman" w:hAnsi="Times New Roman" w:cs="Times New Roman"/>
        </w:rPr>
        <w:t xml:space="preserve"> </w:t>
      </w:r>
      <w:r w:rsidRPr="00D864A3">
        <w:rPr>
          <w:rFonts w:ascii="Times New Roman" w:hAnsi="Times New Roman" w:cs="Times New Roman"/>
          <w:i/>
        </w:rPr>
        <w:t xml:space="preserve">estrategias familiares de vida </w:t>
      </w:r>
      <w:r w:rsidRPr="00D864A3">
        <w:rPr>
          <w:rFonts w:ascii="Times New Roman" w:hAnsi="Times New Roman" w:cs="Times New Roman"/>
        </w:rPr>
        <w:t xml:space="preserve">(Torrado, 2006 [1982]) y </w:t>
      </w:r>
      <w:r w:rsidRPr="00D864A3">
        <w:rPr>
          <w:rFonts w:ascii="Times New Roman" w:hAnsi="Times New Roman" w:cs="Times New Roman"/>
          <w:i/>
        </w:rPr>
        <w:t>estrategias de reproducción social</w:t>
      </w:r>
      <w:r w:rsidRPr="00D864A3">
        <w:rPr>
          <w:rFonts w:ascii="Times New Roman" w:hAnsi="Times New Roman" w:cs="Times New Roman"/>
        </w:rPr>
        <w:t xml:space="preserve"> (Gutiérrez, 2004; Eguía y Ortale, 2004). En todos los casos, el concepto ha buscado enfatizar el rol activo de los hogares en la optimización de sus recursos y condiciones de vida.</w:t>
      </w:r>
    </w:p>
  </w:footnote>
  <w:footnote w:id="6">
    <w:p w:rsidR="00AA0927" w:rsidRPr="00505E15" w:rsidRDefault="00AA0927" w:rsidP="00F115BD">
      <w:pPr>
        <w:pStyle w:val="Textonotapie"/>
        <w:jc w:val="both"/>
        <w:rPr>
          <w:rFonts w:ascii="Times New Roman" w:hAnsi="Times New Roman" w:cs="Times New Roman"/>
        </w:rPr>
      </w:pPr>
      <w:r w:rsidRPr="00AE7258">
        <w:rPr>
          <w:rStyle w:val="Refdenotaalpie"/>
          <w:rFonts w:ascii="Times New Roman" w:hAnsi="Times New Roman" w:cs="Times New Roman"/>
        </w:rPr>
        <w:footnoteRef/>
      </w:r>
      <w:r w:rsidRPr="00AE7258">
        <w:rPr>
          <w:rFonts w:ascii="Times New Roman" w:hAnsi="Times New Roman" w:cs="Times New Roman"/>
        </w:rPr>
        <w:t xml:space="preserve"> Tales inserciones fungen como “estructuras de oportunidades” laborales disponibles en un período determinado. Este concepto alude a: “[las] probabilidades de acceso a bienes, a servicios o al desempeño de actividades. Estas oportunidades inciden sobre el bienestar de los hogares, ya sea porque permiten o facilitan a los miembros del hogar el uso de sus propios recursos o porque les proveen recursos nuevos” (</w:t>
      </w:r>
      <w:r>
        <w:rPr>
          <w:rFonts w:ascii="Times New Roman" w:hAnsi="Times New Roman" w:cs="Times New Roman"/>
        </w:rPr>
        <w:t>Filgueira y Kaztman</w:t>
      </w:r>
      <w:r w:rsidRPr="00AE7258">
        <w:rPr>
          <w:rFonts w:ascii="Times New Roman" w:hAnsi="Times New Roman" w:cs="Times New Roman"/>
        </w:rPr>
        <w:t xml:space="preserve">, 1999: 9). En este sentido, las </w:t>
      </w:r>
      <w:r>
        <w:rPr>
          <w:rFonts w:ascii="Times New Roman" w:hAnsi="Times New Roman" w:cs="Times New Roman"/>
        </w:rPr>
        <w:t>oportunidades laborales</w:t>
      </w:r>
      <w:r w:rsidRPr="00AE7258">
        <w:rPr>
          <w:rFonts w:ascii="Times New Roman" w:hAnsi="Times New Roman" w:cs="Times New Roman"/>
        </w:rPr>
        <w:t xml:space="preserve"> </w:t>
      </w:r>
      <w:r>
        <w:rPr>
          <w:rFonts w:ascii="Times New Roman" w:hAnsi="Times New Roman" w:cs="Times New Roman"/>
        </w:rPr>
        <w:t xml:space="preserve">para </w:t>
      </w:r>
      <w:r w:rsidRPr="00AE7258">
        <w:rPr>
          <w:rFonts w:ascii="Times New Roman" w:hAnsi="Times New Roman" w:cs="Times New Roman"/>
        </w:rPr>
        <w:t>individuos y hogares resultan de un determinado sistema económico y ocupacional.</w:t>
      </w:r>
    </w:p>
  </w:footnote>
  <w:footnote w:id="7">
    <w:p w:rsidR="00AA0927" w:rsidRPr="00C9697D" w:rsidRDefault="00AA0927" w:rsidP="00F115BD">
      <w:pPr>
        <w:pStyle w:val="Textonotapie"/>
        <w:jc w:val="both"/>
        <w:rPr>
          <w:rFonts w:ascii="Times New Roman" w:hAnsi="Times New Roman" w:cs="Times New Roman"/>
        </w:rPr>
      </w:pPr>
      <w:r w:rsidRPr="00C9697D">
        <w:rPr>
          <w:rStyle w:val="Refdenotaalpie"/>
          <w:rFonts w:ascii="Times New Roman" w:hAnsi="Times New Roman" w:cs="Times New Roman"/>
        </w:rPr>
        <w:footnoteRef/>
      </w:r>
      <w:r>
        <w:rPr>
          <w:rFonts w:ascii="Times New Roman" w:hAnsi="Times New Roman" w:cs="Times New Roman"/>
        </w:rPr>
        <w:t xml:space="preserve"> </w:t>
      </w:r>
      <w:r w:rsidRPr="00C9697D">
        <w:rPr>
          <w:rFonts w:ascii="Times New Roman" w:hAnsi="Times New Roman" w:cs="Times New Roman"/>
        </w:rPr>
        <w:t xml:space="preserve">Desde </w:t>
      </w:r>
      <w:r>
        <w:rPr>
          <w:rFonts w:ascii="Times New Roman" w:hAnsi="Times New Roman" w:cs="Times New Roman"/>
        </w:rPr>
        <w:t xml:space="preserve">la </w:t>
      </w:r>
      <w:r w:rsidRPr="00C9697D">
        <w:rPr>
          <w:rFonts w:ascii="Times New Roman" w:hAnsi="Times New Roman" w:cs="Times New Roman"/>
        </w:rPr>
        <w:t>decimoséptima Conferencia de Estadísticos del Trabajo</w:t>
      </w:r>
      <w:r>
        <w:rPr>
          <w:rFonts w:ascii="Times New Roman" w:hAnsi="Times New Roman" w:cs="Times New Roman"/>
        </w:rPr>
        <w:t xml:space="preserve"> (2003) </w:t>
      </w:r>
      <w:r w:rsidRPr="00C9697D">
        <w:rPr>
          <w:rFonts w:ascii="Times New Roman" w:hAnsi="Times New Roman" w:cs="Times New Roman"/>
        </w:rPr>
        <w:t xml:space="preserve">la OIT realiza una distinción entre </w:t>
      </w:r>
      <w:r w:rsidRPr="00C9697D">
        <w:rPr>
          <w:rFonts w:ascii="Times New Roman" w:hAnsi="Times New Roman" w:cs="Times New Roman"/>
          <w:i/>
        </w:rPr>
        <w:t>empleo en el sector informal</w:t>
      </w:r>
      <w:r w:rsidRPr="00C9697D">
        <w:rPr>
          <w:rFonts w:ascii="Times New Roman" w:hAnsi="Times New Roman" w:cs="Times New Roman"/>
        </w:rPr>
        <w:t xml:space="preserve">, que mantiene un enfoque basado en las características productivas de los establecimientos, y el </w:t>
      </w:r>
      <w:r w:rsidRPr="00C9697D">
        <w:rPr>
          <w:rFonts w:ascii="Times New Roman" w:hAnsi="Times New Roman" w:cs="Times New Roman"/>
          <w:i/>
        </w:rPr>
        <w:t>empleo informal</w:t>
      </w:r>
      <w:r w:rsidRPr="00C9697D">
        <w:rPr>
          <w:rFonts w:ascii="Times New Roman" w:hAnsi="Times New Roman" w:cs="Times New Roman"/>
        </w:rPr>
        <w:t xml:space="preserve"> que incluye los empleos extralegales que puedan existir también en el sector formal (</w:t>
      </w:r>
      <w:r w:rsidRPr="005F72E7">
        <w:rPr>
          <w:rFonts w:ascii="Times New Roman" w:hAnsi="Times New Roman" w:cs="Times New Roman"/>
        </w:rPr>
        <w:t>Hussmans, 2004</w:t>
      </w:r>
      <w:r w:rsidRPr="00C9697D">
        <w:rPr>
          <w:rFonts w:ascii="Times New Roman" w:hAnsi="Times New Roman" w:cs="Times New Roman"/>
        </w:rPr>
        <w:t xml:space="preserve">). </w:t>
      </w:r>
      <w:r>
        <w:rPr>
          <w:rFonts w:ascii="Times New Roman" w:hAnsi="Times New Roman" w:cs="Times New Roman"/>
        </w:rPr>
        <w:t>Aquí mantenemos la distinción entre los estratos de productividad y el tipo de empleos según su calidad. De todos modos, l</w:t>
      </w:r>
      <w:r w:rsidRPr="00AE7258">
        <w:rPr>
          <w:rFonts w:ascii="Times New Roman" w:hAnsi="Times New Roman" w:cs="Times New Roman"/>
        </w:rPr>
        <w:t>a heterogeneidad estructural se vincula con  la cuestión de la precariedad por cuanto las diferencias de productividad determinan –si bien no de modo único– las modalidades de contratación de la fuerza de trabajo (Coatz, García Díaz y Woyecheszen, 2010).</w:t>
      </w:r>
    </w:p>
  </w:footnote>
  <w:footnote w:id="8">
    <w:p w:rsidR="00AA0927" w:rsidRPr="000B0AD4" w:rsidRDefault="00AA0927" w:rsidP="000B0AD4">
      <w:pPr>
        <w:pStyle w:val="Textonotapie"/>
        <w:jc w:val="both"/>
        <w:rPr>
          <w:rFonts w:ascii="Times New Roman" w:hAnsi="Times New Roman" w:cs="Times New Roman"/>
        </w:rPr>
      </w:pPr>
      <w:r w:rsidRPr="001D23DF">
        <w:rPr>
          <w:rStyle w:val="Refdenotaalpie"/>
          <w:rFonts w:ascii="Times New Roman" w:hAnsi="Times New Roman" w:cs="Times New Roman"/>
        </w:rPr>
        <w:footnoteRef/>
      </w:r>
      <w:r>
        <w:rPr>
          <w:rFonts w:ascii="Times New Roman" w:hAnsi="Times New Roman" w:cs="Times New Roman"/>
        </w:rPr>
        <w:t xml:space="preserve"> </w:t>
      </w:r>
      <w:r w:rsidRPr="001D23DF">
        <w:rPr>
          <w:rFonts w:ascii="Times New Roman" w:hAnsi="Times New Roman" w:cs="Times New Roman"/>
        </w:rPr>
        <w:t>En un reciente comunicado, el INDEC advierte acerca de las reservas necesarias con que debe considerarse la información oficial producida entre enero de 2007 y diciembre de 2015 (&lt;www.indec.gov.ar&gt;). Sobre la situación de las estadísticas públicas en el período véase Lindenboim (2015). Por otra parte, a partir del cuarto trimestre de 2013 comenzó un ajuste de la muestra de la EPH a los resultados del Censo Nacional de Población, Vivienda y Hogares de 2010 lo que supuso la modificación de los coeficientes de expansión. De acuerdo a lo informado por el INDEC, tal procedimiento está en revisión, y los datos correspondientes a 2014 deben ser considerados a la luz de esta aclaración.</w:t>
      </w:r>
      <w:r>
        <w:rPr>
          <w:rFonts w:ascii="Times New Roman" w:hAnsi="Times New Roman" w:cs="Times New Roman"/>
        </w:rPr>
        <w:t xml:space="preserve"> </w:t>
      </w:r>
    </w:p>
  </w:footnote>
  <w:footnote w:id="9">
    <w:p w:rsidR="00AA0927" w:rsidRPr="006A1BBF" w:rsidRDefault="00AA0927" w:rsidP="00F115BD">
      <w:pPr>
        <w:pStyle w:val="Textonotapie"/>
        <w:jc w:val="both"/>
        <w:rPr>
          <w:rFonts w:ascii="Times New Roman" w:hAnsi="Times New Roman" w:cs="Times New Roman"/>
        </w:rPr>
      </w:pPr>
      <w:r w:rsidRPr="00AE7258">
        <w:rPr>
          <w:rStyle w:val="Refdenotaalpie"/>
          <w:rFonts w:ascii="Times New Roman" w:hAnsi="Times New Roman" w:cs="Times New Roman"/>
        </w:rPr>
        <w:footnoteRef/>
      </w:r>
      <w:r w:rsidRPr="00AE7258">
        <w:rPr>
          <w:rFonts w:ascii="Times New Roman" w:hAnsi="Times New Roman" w:cs="Times New Roman"/>
        </w:rPr>
        <w:t xml:space="preserve"> Definimos al “</w:t>
      </w:r>
      <w:r>
        <w:rPr>
          <w:rFonts w:ascii="Times New Roman" w:hAnsi="Times New Roman" w:cs="Times New Roman"/>
        </w:rPr>
        <w:t>P</w:t>
      </w:r>
      <w:r w:rsidRPr="00AE7258">
        <w:rPr>
          <w:rFonts w:ascii="Times New Roman" w:hAnsi="Times New Roman" w:cs="Times New Roman"/>
        </w:rPr>
        <w:t xml:space="preserve">rincipal </w:t>
      </w:r>
      <w:r>
        <w:rPr>
          <w:rFonts w:ascii="Times New Roman" w:hAnsi="Times New Roman" w:cs="Times New Roman"/>
        </w:rPr>
        <w:t>S</w:t>
      </w:r>
      <w:r w:rsidRPr="00AE7258">
        <w:rPr>
          <w:rFonts w:ascii="Times New Roman" w:hAnsi="Times New Roman" w:cs="Times New Roman"/>
        </w:rPr>
        <w:t xml:space="preserve">ostén del </w:t>
      </w:r>
      <w:r>
        <w:rPr>
          <w:rFonts w:ascii="Times New Roman" w:hAnsi="Times New Roman" w:cs="Times New Roman"/>
        </w:rPr>
        <w:t>H</w:t>
      </w:r>
      <w:r w:rsidRPr="00AE7258">
        <w:rPr>
          <w:rFonts w:ascii="Times New Roman" w:hAnsi="Times New Roman" w:cs="Times New Roman"/>
        </w:rPr>
        <w:t>ogar” (PSH) como aquel miembro de la unidad doméstica que aporta el ingreso principal. Los “trabajadores secundarios” son aquellos que aportan otros ingresos inferiores al del PSH.</w:t>
      </w:r>
    </w:p>
  </w:footnote>
  <w:footnote w:id="10">
    <w:p w:rsidR="00AA0927" w:rsidRPr="00AE7258" w:rsidRDefault="00AA0927" w:rsidP="00F115BD">
      <w:pPr>
        <w:pStyle w:val="Textonotapie"/>
        <w:jc w:val="both"/>
        <w:rPr>
          <w:rFonts w:ascii="Times New Roman" w:hAnsi="Times New Roman" w:cs="Times New Roman"/>
          <w:lang w:val="es-ES"/>
        </w:rPr>
      </w:pPr>
      <w:r w:rsidRPr="00AE7258">
        <w:rPr>
          <w:rStyle w:val="Refdenotaalpie"/>
          <w:rFonts w:ascii="Times New Roman" w:hAnsi="Times New Roman" w:cs="Times New Roman"/>
        </w:rPr>
        <w:footnoteRef/>
      </w:r>
      <w:r w:rsidRPr="00AE7258">
        <w:rPr>
          <w:rFonts w:ascii="Times New Roman" w:hAnsi="Times New Roman" w:cs="Times New Roman"/>
        </w:rPr>
        <w:t xml:space="preserve"> </w:t>
      </w:r>
      <w:r>
        <w:rPr>
          <w:rFonts w:ascii="Times New Roman" w:hAnsi="Times New Roman" w:cs="Times New Roman"/>
        </w:rPr>
        <w:t>Debe tenerse en cuenta que entre</w:t>
      </w:r>
      <w:r w:rsidRPr="00AE7258">
        <w:rPr>
          <w:rFonts w:ascii="Times New Roman" w:hAnsi="Times New Roman" w:cs="Times New Roman"/>
          <w:lang w:val="es-ES"/>
        </w:rPr>
        <w:t xml:space="preserve"> 2003 y 2014</w:t>
      </w:r>
      <w:r>
        <w:rPr>
          <w:rFonts w:ascii="Times New Roman" w:hAnsi="Times New Roman" w:cs="Times New Roman"/>
          <w:lang w:val="es-ES"/>
        </w:rPr>
        <w:t xml:space="preserve"> (</w:t>
      </w:r>
      <w:r w:rsidRPr="00AE7258">
        <w:rPr>
          <w:rFonts w:ascii="Times New Roman" w:hAnsi="Times New Roman" w:cs="Times New Roman"/>
          <w:lang w:val="es-ES"/>
        </w:rPr>
        <w:t xml:space="preserve">de acuerdo </w:t>
      </w:r>
      <w:r>
        <w:rPr>
          <w:rFonts w:ascii="Times New Roman" w:hAnsi="Times New Roman" w:cs="Times New Roman"/>
          <w:lang w:val="es-ES"/>
        </w:rPr>
        <w:t>con</w:t>
      </w:r>
      <w:r w:rsidRPr="00AE7258">
        <w:rPr>
          <w:rFonts w:ascii="Times New Roman" w:hAnsi="Times New Roman" w:cs="Times New Roman"/>
          <w:lang w:val="es-ES"/>
        </w:rPr>
        <w:t xml:space="preserve"> los datos de la EPH</w:t>
      </w:r>
      <w:r>
        <w:rPr>
          <w:rFonts w:ascii="Times New Roman" w:hAnsi="Times New Roman" w:cs="Times New Roman"/>
          <w:lang w:val="es-ES"/>
        </w:rPr>
        <w:t>)</w:t>
      </w:r>
      <w:r w:rsidRPr="00AE7258">
        <w:rPr>
          <w:rFonts w:ascii="Times New Roman" w:hAnsi="Times New Roman" w:cs="Times New Roman"/>
          <w:lang w:val="es-ES"/>
        </w:rPr>
        <w:t xml:space="preserve"> la población activa </w:t>
      </w:r>
      <w:r>
        <w:rPr>
          <w:rFonts w:ascii="Times New Roman" w:hAnsi="Times New Roman" w:cs="Times New Roman"/>
          <w:lang w:val="es-ES"/>
        </w:rPr>
        <w:t xml:space="preserve">creció a un ritmo de 1,2% </w:t>
      </w:r>
      <w:r w:rsidRPr="00AE7258">
        <w:rPr>
          <w:rFonts w:ascii="Times New Roman" w:hAnsi="Times New Roman" w:cs="Times New Roman"/>
          <w:lang w:val="es-ES"/>
        </w:rPr>
        <w:t>promedio</w:t>
      </w:r>
      <w:r>
        <w:rPr>
          <w:rFonts w:ascii="Times New Roman" w:hAnsi="Times New Roman" w:cs="Times New Roman"/>
          <w:lang w:val="es-ES"/>
        </w:rPr>
        <w:t xml:space="preserve"> anual, </w:t>
      </w:r>
      <w:r w:rsidRPr="00AE7258">
        <w:rPr>
          <w:rFonts w:ascii="Times New Roman" w:hAnsi="Times New Roman" w:cs="Times New Roman"/>
          <w:lang w:val="es-ES"/>
        </w:rPr>
        <w:t>el número de hogares lo hizo a una tasa de 1,7%</w:t>
      </w:r>
      <w:r>
        <w:rPr>
          <w:rFonts w:ascii="Times New Roman" w:hAnsi="Times New Roman" w:cs="Times New Roman"/>
          <w:lang w:val="es-ES"/>
        </w:rPr>
        <w:t xml:space="preserve"> y el </w:t>
      </w:r>
      <w:r w:rsidRPr="00AE7258">
        <w:rPr>
          <w:rFonts w:ascii="Times New Roman" w:hAnsi="Times New Roman" w:cs="Times New Roman"/>
          <w:lang w:val="es-ES"/>
        </w:rPr>
        <w:t xml:space="preserve">número de ocupados se incrementó a un ritmo de 1,9% anual </w:t>
      </w:r>
      <w:r>
        <w:rPr>
          <w:rFonts w:ascii="Times New Roman" w:hAnsi="Times New Roman" w:cs="Times New Roman"/>
          <w:lang w:val="es-ES"/>
        </w:rPr>
        <w:t>(</w:t>
      </w:r>
      <w:r w:rsidRPr="00AE7258">
        <w:rPr>
          <w:rFonts w:ascii="Times New Roman" w:hAnsi="Times New Roman" w:cs="Times New Roman"/>
          <w:lang w:val="es-ES"/>
        </w:rPr>
        <w:t>que llegó a un promedio de más de 4% entre 2003-2004 y 2005-2006</w:t>
      </w:r>
      <w:r>
        <w:rPr>
          <w:rFonts w:ascii="Times New Roman" w:hAnsi="Times New Roman" w:cs="Times New Roman"/>
          <w:lang w:val="es-ES"/>
        </w:rPr>
        <w:t xml:space="preserve">). Esta leve diferencia se tradujo en el aumento del promedio de ocupados por hogar. </w:t>
      </w:r>
    </w:p>
  </w:footnote>
  <w:footnote w:id="11">
    <w:p w:rsidR="00AA0927" w:rsidRPr="00CB5828" w:rsidRDefault="00AA0927" w:rsidP="001D23DF">
      <w:pPr>
        <w:spacing w:after="0" w:line="240" w:lineRule="auto"/>
        <w:jc w:val="both"/>
        <w:rPr>
          <w:rFonts w:ascii="Times New Roman" w:hAnsi="Times New Roman" w:cs="Times New Roman"/>
          <w:sz w:val="20"/>
          <w:szCs w:val="20"/>
          <w:lang w:val="es-MX"/>
        </w:rPr>
      </w:pPr>
      <w:r w:rsidRPr="00AE7258">
        <w:rPr>
          <w:rStyle w:val="Refdenotaalpie"/>
          <w:rFonts w:ascii="Times New Roman" w:hAnsi="Times New Roman" w:cs="Times New Roman"/>
          <w:sz w:val="20"/>
          <w:szCs w:val="20"/>
        </w:rPr>
        <w:footnoteRef/>
      </w:r>
      <w:r w:rsidRPr="00AE7258">
        <w:rPr>
          <w:rFonts w:ascii="Times New Roman" w:hAnsi="Times New Roman" w:cs="Times New Roman"/>
          <w:sz w:val="20"/>
          <w:szCs w:val="20"/>
        </w:rPr>
        <w:t xml:space="preserve"> Si bien no es el objeto de este trabajo, durante el ciclo de políticas </w:t>
      </w:r>
      <w:r>
        <w:rPr>
          <w:rFonts w:ascii="Times New Roman" w:hAnsi="Times New Roman" w:cs="Times New Roman"/>
          <w:sz w:val="20"/>
          <w:szCs w:val="20"/>
        </w:rPr>
        <w:t>post-reformas</w:t>
      </w:r>
      <w:r w:rsidRPr="00AE7258">
        <w:rPr>
          <w:rFonts w:ascii="Times New Roman" w:hAnsi="Times New Roman" w:cs="Times New Roman"/>
          <w:sz w:val="20"/>
          <w:szCs w:val="20"/>
        </w:rPr>
        <w:t xml:space="preserve"> tuvo lugar </w:t>
      </w:r>
      <w:r w:rsidRPr="00AE7258">
        <w:rPr>
          <w:rFonts w:ascii="Times New Roman" w:hAnsi="Times New Roman" w:cs="Times New Roman"/>
          <w:sz w:val="20"/>
          <w:szCs w:val="20"/>
          <w:lang w:val="es-MX"/>
        </w:rPr>
        <w:t>un conjunto de reformas en materia de política social que explica estos resultados. Cabe destacar la expansión de la cobertura previsional y de las políticas de transferencia de ingresos de base no contributiva, como la Asignación Universal por Hijo (Curcio y Beccaria, 2013).</w:t>
      </w:r>
      <w:r w:rsidRPr="00CB5828">
        <w:rPr>
          <w:rFonts w:ascii="Times New Roman" w:hAnsi="Times New Roman" w:cs="Times New Roman"/>
          <w:sz w:val="20"/>
          <w:szCs w:val="20"/>
          <w:lang w:val="es-MX"/>
        </w:rPr>
        <w:t xml:space="preserve"> </w:t>
      </w:r>
    </w:p>
  </w:footnote>
  <w:footnote w:id="12">
    <w:p w:rsidR="00AA0927" w:rsidRPr="00CB5828" w:rsidRDefault="00AA0927" w:rsidP="00F115BD">
      <w:pPr>
        <w:pStyle w:val="Sinespaciado"/>
        <w:jc w:val="both"/>
        <w:rPr>
          <w:rFonts w:ascii="Times New Roman" w:hAnsi="Times New Roman" w:cs="Times New Roman"/>
          <w:sz w:val="20"/>
          <w:szCs w:val="20"/>
        </w:rPr>
      </w:pPr>
      <w:r w:rsidRPr="00AE7258">
        <w:rPr>
          <w:rStyle w:val="Refdenotaalpie"/>
          <w:rFonts w:ascii="Times New Roman" w:hAnsi="Times New Roman" w:cs="Times New Roman"/>
          <w:sz w:val="20"/>
          <w:szCs w:val="20"/>
        </w:rPr>
        <w:footnoteRef/>
      </w:r>
      <w:r w:rsidRPr="00AE7258">
        <w:rPr>
          <w:rFonts w:ascii="Times New Roman" w:hAnsi="Times New Roman" w:cs="Times New Roman"/>
          <w:sz w:val="20"/>
          <w:szCs w:val="20"/>
        </w:rPr>
        <w:t xml:space="preserve"> Si bien se presenta en el Cuadro 3A la información sobre el universo de hogares cuyo jefe es activo, el análisis se continúa en adelante con los hogares que tienen un principal sostén del hogar (PSH) ocupado, los que representan alrededor de tres cuartas partes del total de unidades domésticas de los aglomerados urbanos relevados. La inclusión de los desocupados</w:t>
      </w:r>
      <w:r>
        <w:rPr>
          <w:rFonts w:ascii="Times New Roman" w:hAnsi="Times New Roman" w:cs="Times New Roman"/>
          <w:sz w:val="20"/>
          <w:szCs w:val="20"/>
        </w:rPr>
        <w:t xml:space="preserve"> ha tenido por objeto destacar su importante participació</w:t>
      </w:r>
      <w:r w:rsidRPr="00AE7258">
        <w:rPr>
          <w:rFonts w:ascii="Times New Roman" w:hAnsi="Times New Roman" w:cs="Times New Roman"/>
          <w:sz w:val="20"/>
          <w:szCs w:val="20"/>
        </w:rPr>
        <w:t>n en la estructura económico-ocupacional al comienzo del período estudiado.</w:t>
      </w:r>
    </w:p>
  </w:footnote>
  <w:footnote w:id="13">
    <w:p w:rsidR="00AA0927" w:rsidRPr="00CB5828" w:rsidRDefault="00AA0927" w:rsidP="00F115BD">
      <w:pPr>
        <w:pStyle w:val="Textonotapie"/>
        <w:jc w:val="both"/>
        <w:rPr>
          <w:rFonts w:ascii="Times New Roman" w:hAnsi="Times New Roman" w:cs="Times New Roman"/>
          <w:lang w:val="es-ES"/>
        </w:rPr>
      </w:pPr>
      <w:r w:rsidRPr="00CE4EC8">
        <w:rPr>
          <w:rStyle w:val="Refdenotaalpie"/>
          <w:rFonts w:ascii="Times New Roman" w:hAnsi="Times New Roman" w:cs="Times New Roman"/>
        </w:rPr>
        <w:footnoteRef/>
      </w:r>
      <w:r w:rsidRPr="00CE4EC8">
        <w:rPr>
          <w:rFonts w:ascii="Times New Roman" w:hAnsi="Times New Roman" w:cs="Times New Roman"/>
        </w:rPr>
        <w:t xml:space="preserve"> </w:t>
      </w:r>
      <w:r w:rsidRPr="00CE4EC8">
        <w:rPr>
          <w:rFonts w:ascii="Times New Roman" w:hAnsi="Times New Roman" w:cs="Times New Roman"/>
          <w:lang w:val="es-ES"/>
        </w:rPr>
        <w:t>Debe recordarse que el Plan Jefas y Jefes de Hogar Desocupados llegó a tener más de dos millones de beneficiarios. Esta categoría es incluida en la descripción de la estructura socioeconómica pero es excluida de los análisis posteriores, puesto que su bajo peso estadístico arroja resultados que no son fácilmente interpretables.</w:t>
      </w:r>
      <w:r w:rsidRPr="00CB5828">
        <w:rPr>
          <w:rFonts w:ascii="Times New Roman" w:hAnsi="Times New Roman" w:cs="Times New Roman"/>
          <w:lang w:val="es-ES"/>
        </w:rPr>
        <w:t xml:space="preserve"> </w:t>
      </w:r>
    </w:p>
  </w:footnote>
  <w:footnote w:id="14">
    <w:p w:rsidR="00AA0927" w:rsidRPr="008A0794" w:rsidRDefault="00AA0927" w:rsidP="007D47D5">
      <w:pPr>
        <w:pStyle w:val="Textonotapie"/>
        <w:jc w:val="both"/>
        <w:rPr>
          <w:rFonts w:ascii="Times New Roman" w:hAnsi="Times New Roman" w:cs="Times New Roman"/>
          <w:sz w:val="18"/>
          <w:szCs w:val="18"/>
        </w:rPr>
      </w:pPr>
      <w:r w:rsidRPr="00496470">
        <w:rPr>
          <w:rStyle w:val="Refdenotaalpie"/>
          <w:rFonts w:ascii="Times New Roman" w:hAnsi="Times New Roman" w:cs="Times New Roman"/>
          <w:sz w:val="18"/>
          <w:szCs w:val="18"/>
        </w:rPr>
        <w:footnoteRef/>
      </w:r>
      <w:r w:rsidRPr="00496470">
        <w:rPr>
          <w:rFonts w:ascii="Times New Roman" w:hAnsi="Times New Roman" w:cs="Times New Roman"/>
          <w:sz w:val="18"/>
          <w:szCs w:val="18"/>
        </w:rPr>
        <w:t xml:space="preserve"> Se trata de ocupaciones como </w:t>
      </w:r>
      <w:r w:rsidRPr="00496470">
        <w:rPr>
          <w:rFonts w:ascii="Times New Roman" w:hAnsi="Times New Roman" w:cs="Times New Roman"/>
          <w:sz w:val="18"/>
          <w:szCs w:val="18"/>
          <w:lang w:val="es-ES"/>
        </w:rPr>
        <w:t>empleadores, directivos y profesionales, asalariados registrados del sector privado formal, o empleados del sector público.</w:t>
      </w:r>
    </w:p>
  </w:footnote>
  <w:footnote w:id="15">
    <w:p w:rsidR="00AA0927" w:rsidRPr="009C402B" w:rsidRDefault="00AA0927" w:rsidP="00F115BD">
      <w:pPr>
        <w:pStyle w:val="Textonotapie"/>
        <w:jc w:val="both"/>
        <w:rPr>
          <w:rFonts w:ascii="Times New Roman" w:hAnsi="Times New Roman" w:cs="Times New Roman"/>
        </w:rPr>
      </w:pPr>
      <w:r w:rsidRPr="00CE4EC8">
        <w:rPr>
          <w:rStyle w:val="Refdenotaalpie"/>
          <w:rFonts w:ascii="Times New Roman" w:hAnsi="Times New Roman" w:cs="Times New Roman"/>
        </w:rPr>
        <w:footnoteRef/>
      </w:r>
      <w:r w:rsidRPr="00CE4EC8">
        <w:rPr>
          <w:rFonts w:ascii="Times New Roman" w:hAnsi="Times New Roman" w:cs="Times New Roman"/>
        </w:rPr>
        <w:t xml:space="preserve"> Un modelo de análisis similar fue aplicado por Groisman (2011) para los primeros años del período post-convertibilidad. Partiendo de la idea de endogeneidad en la “decisión” de participar en la economía formal o informal, utilizó modelos probit recursivos bivariados.</w:t>
      </w:r>
    </w:p>
  </w:footnote>
  <w:footnote w:id="16">
    <w:p w:rsidR="00AA0927" w:rsidRPr="00F741E8" w:rsidRDefault="00AA0927" w:rsidP="00DE01DA">
      <w:pPr>
        <w:pStyle w:val="Textonotapie"/>
        <w:jc w:val="both"/>
        <w:rPr>
          <w:rFonts w:ascii="Times New Roman" w:hAnsi="Times New Roman" w:cs="Times New Roman"/>
        </w:rPr>
      </w:pPr>
      <w:r w:rsidRPr="001C050F">
        <w:rPr>
          <w:rStyle w:val="Refdenotaalpie"/>
          <w:rFonts w:ascii="Times New Roman" w:hAnsi="Times New Roman" w:cs="Times New Roman"/>
        </w:rPr>
        <w:footnoteRef/>
      </w:r>
      <w:r w:rsidRPr="001C050F">
        <w:rPr>
          <w:rFonts w:ascii="Times New Roman" w:hAnsi="Times New Roman" w:cs="Times New Roman"/>
        </w:rPr>
        <w:t xml:space="preserve"> Cabe suponer que un conjunto de procesos meso-sociales y micro-sociales operan en esta dirección. Entre éstos, es posible incluir los mecanismos de selección de las empresas (Groisman, 2011), la lógica de funcionamiento del sector informal muy asociada a la participación de fuerza de trabajo familiar (Tokman, 2000) y la propia dinámica de la marginalidad económica (Salvia, 2007).</w:t>
      </w:r>
    </w:p>
  </w:footnote>
  <w:footnote w:id="17">
    <w:p w:rsidR="00AA0927" w:rsidRPr="001C050F" w:rsidRDefault="00AA0927" w:rsidP="00C147E1">
      <w:pPr>
        <w:pStyle w:val="Textonotapie"/>
        <w:jc w:val="both"/>
        <w:rPr>
          <w:rFonts w:ascii="Times New Roman" w:hAnsi="Times New Roman" w:cs="Times New Roman"/>
        </w:rPr>
      </w:pPr>
      <w:r w:rsidRPr="001C050F">
        <w:rPr>
          <w:rStyle w:val="Refdenotaalpie"/>
          <w:rFonts w:ascii="Times New Roman" w:hAnsi="Times New Roman" w:cs="Times New Roman"/>
        </w:rPr>
        <w:footnoteRef/>
      </w:r>
      <w:r w:rsidRPr="001C050F">
        <w:rPr>
          <w:rFonts w:ascii="Times New Roman" w:hAnsi="Times New Roman" w:cs="Times New Roman"/>
        </w:rPr>
        <w:t xml:space="preserve"> Los ingresos corrientes de los hogares se deflactaron a precios de diciembre de 2014, aplicando para ello el índice oficial de precios (IPC-GBA del INDEC) para el período 2003-2006, así como un índice elaborado y publicado por ex técnicos del INDEC (IP GB) para el período 2007-2014. Se siguió esta estrategia, utilizada en trabajos previos (Salvia, Poy y Vera, 201</w:t>
      </w:r>
      <w:r>
        <w:rPr>
          <w:rFonts w:ascii="Times New Roman" w:hAnsi="Times New Roman" w:cs="Times New Roman"/>
        </w:rPr>
        <w:t>6</w:t>
      </w:r>
      <w:r w:rsidRPr="001C050F">
        <w:rPr>
          <w:rFonts w:ascii="Times New Roman" w:hAnsi="Times New Roman" w:cs="Times New Roman"/>
        </w:rPr>
        <w:t>), debido a la manipulación de los índices de precios que experimentó</w:t>
      </w:r>
      <w:r>
        <w:rPr>
          <w:rFonts w:ascii="Times New Roman" w:hAnsi="Times New Roman" w:cs="Times New Roman"/>
        </w:rPr>
        <w:t xml:space="preserve"> el INDEC a partir del año 2007 (Lindenboim, 2015).</w:t>
      </w:r>
    </w:p>
  </w:footnote>
  <w:footnote w:id="18">
    <w:p w:rsidR="00AA0927" w:rsidRPr="00CB5828" w:rsidRDefault="00AA0927" w:rsidP="00F115BD">
      <w:pPr>
        <w:pStyle w:val="Textonotapie"/>
        <w:jc w:val="both"/>
        <w:rPr>
          <w:rFonts w:ascii="Times New Roman" w:hAnsi="Times New Roman" w:cs="Times New Roman"/>
        </w:rPr>
      </w:pPr>
      <w:r w:rsidRPr="001C050F">
        <w:rPr>
          <w:rStyle w:val="Refdenotaalpie"/>
          <w:rFonts w:ascii="Times New Roman" w:hAnsi="Times New Roman" w:cs="Times New Roman"/>
        </w:rPr>
        <w:footnoteRef/>
      </w:r>
      <w:r w:rsidRPr="001C050F">
        <w:rPr>
          <w:rFonts w:ascii="Times New Roman" w:hAnsi="Times New Roman" w:cs="Times New Roman"/>
        </w:rPr>
        <w:t xml:space="preserve"> Si se consideran los ingresos per cápita familiares de los hogares del Gran Buenos Aires, los mismos eran en el cuarto trimestre de 2003 un 27% más bajos que en octubre de 2001 (Poy, Vera y Salvia, 2015). Este indicador permite poner en perspectiva lo ocurrido con los ingresos familiares durante el ciclo estudiado.</w:t>
      </w:r>
    </w:p>
  </w:footnote>
  <w:footnote w:id="19">
    <w:p w:rsidR="00AA0927" w:rsidRPr="00324DC2" w:rsidRDefault="00AA0927" w:rsidP="00F115BD">
      <w:pPr>
        <w:pStyle w:val="Textonotapie"/>
        <w:jc w:val="both"/>
        <w:rPr>
          <w:rFonts w:ascii="Times New Roman" w:hAnsi="Times New Roman" w:cs="Times New Roman"/>
          <w:lang w:val="es-ES"/>
        </w:rPr>
      </w:pPr>
      <w:r w:rsidRPr="00324DC2">
        <w:rPr>
          <w:rStyle w:val="Refdenotaalpie"/>
          <w:rFonts w:ascii="Times New Roman" w:hAnsi="Times New Roman" w:cs="Times New Roman"/>
        </w:rPr>
        <w:footnoteRef/>
      </w:r>
      <w:r w:rsidRPr="00324DC2">
        <w:rPr>
          <w:rFonts w:ascii="Times New Roman" w:hAnsi="Times New Roman" w:cs="Times New Roman"/>
        </w:rPr>
        <w:t xml:space="preserve"> </w:t>
      </w:r>
      <w:r>
        <w:rPr>
          <w:rFonts w:ascii="Times New Roman" w:hAnsi="Times New Roman" w:cs="Times New Roman"/>
        </w:rPr>
        <w:t xml:space="preserve">Para comprender la evolución de los ingresos no laborales </w:t>
      </w:r>
      <w:r>
        <w:rPr>
          <w:rFonts w:ascii="Times New Roman" w:hAnsi="Times New Roman" w:cs="Times New Roman"/>
          <w:lang w:val="es-ES"/>
        </w:rPr>
        <w:t xml:space="preserve">debe subrayarse la ampliación de la cobertura jubilatoria </w:t>
      </w:r>
      <w:r w:rsidRPr="00324DC2">
        <w:rPr>
          <w:rFonts w:ascii="Times New Roman" w:hAnsi="Times New Roman" w:cs="Times New Roman"/>
          <w:lang w:val="es-ES"/>
        </w:rPr>
        <w:t>a partir del año 2005 y la implementación de la Asignación Universal por Hijo en 2009</w:t>
      </w:r>
      <w:r>
        <w:rPr>
          <w:rFonts w:ascii="Times New Roman" w:hAnsi="Times New Roman" w:cs="Times New Roman"/>
          <w:lang w:val="es-ES"/>
        </w:rPr>
        <w:t xml:space="preserve">. Este último programa estuvo dirigido </w:t>
      </w:r>
      <w:r w:rsidRPr="00324DC2">
        <w:rPr>
          <w:rFonts w:ascii="Times New Roman" w:hAnsi="Times New Roman" w:cs="Times New Roman"/>
          <w:lang w:val="es-ES"/>
        </w:rPr>
        <w:t>a los hogares que participaban de la economía informal.</w:t>
      </w:r>
    </w:p>
  </w:footnote>
  <w:footnote w:id="20">
    <w:p w:rsidR="00AA0927" w:rsidRPr="006604ED" w:rsidRDefault="00AA0927" w:rsidP="00F115BD">
      <w:pPr>
        <w:pStyle w:val="Textonotapie"/>
        <w:jc w:val="both"/>
        <w:rPr>
          <w:rFonts w:ascii="Times New Roman" w:hAnsi="Times New Roman" w:cs="Times New Roman"/>
          <w:lang w:val="es-ES"/>
        </w:rPr>
      </w:pPr>
      <w:r w:rsidRPr="00324DC2">
        <w:rPr>
          <w:rStyle w:val="Refdenotaalpie"/>
          <w:rFonts w:ascii="Times New Roman" w:hAnsi="Times New Roman" w:cs="Times New Roman"/>
        </w:rPr>
        <w:footnoteRef/>
      </w:r>
      <w:r w:rsidRPr="00324DC2">
        <w:rPr>
          <w:rFonts w:ascii="Times New Roman" w:hAnsi="Times New Roman" w:cs="Times New Roman"/>
        </w:rPr>
        <w:t xml:space="preserve"> </w:t>
      </w:r>
      <w:r w:rsidRPr="00324DC2">
        <w:rPr>
          <w:rFonts w:ascii="Times New Roman" w:hAnsi="Times New Roman" w:cs="Times New Roman"/>
          <w:lang w:val="es-ES"/>
        </w:rPr>
        <w:t>Son conocidas las dificultades existentes en la Argentina para medir la incidencia de la pobreza. Es por ello que en este trabajo se tomó como referencia la Canasta Básica Total por Adulto Equivalente cuya evolución se presenta en el Anexo Metodológico. Si bien ello no está exento de sesgos, constituye un intento por aproximarse, de manera estandarizada, a las necesidades de consumo de los grupos domésticos con la información disponible.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05D"/>
    <w:multiLevelType w:val="hybridMultilevel"/>
    <w:tmpl w:val="A30221B2"/>
    <w:lvl w:ilvl="0" w:tplc="EB6ACAAE">
      <w:start w:val="1"/>
      <w:numFmt w:val="decimal"/>
      <w:lvlText w:val="(%1)"/>
      <w:lvlJc w:val="left"/>
      <w:pPr>
        <w:ind w:left="720" w:hanging="360"/>
      </w:pPr>
      <w:rPr>
        <w:rFonts w:ascii="Times New Roman" w:eastAsiaTheme="minorEastAsia" w:hAnsi="Times New Roman" w:cs="Times New Roman"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A0437D1"/>
    <w:multiLevelType w:val="hybridMultilevel"/>
    <w:tmpl w:val="8780B3D4"/>
    <w:lvl w:ilvl="0" w:tplc="DAA0BDA8">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
    <w:nsid w:val="24352B8F"/>
    <w:multiLevelType w:val="hybridMultilevel"/>
    <w:tmpl w:val="8780B3D4"/>
    <w:lvl w:ilvl="0" w:tplc="DAA0BDA8">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3">
    <w:nsid w:val="62483857"/>
    <w:multiLevelType w:val="hybridMultilevel"/>
    <w:tmpl w:val="A30221B2"/>
    <w:lvl w:ilvl="0" w:tplc="EB6ACAAE">
      <w:start w:val="1"/>
      <w:numFmt w:val="decimal"/>
      <w:lvlText w:val="(%1)"/>
      <w:lvlJc w:val="left"/>
      <w:pPr>
        <w:ind w:left="720" w:hanging="360"/>
      </w:pPr>
      <w:rPr>
        <w:rFonts w:ascii="Times New Roman" w:eastAsiaTheme="minorEastAsia" w:hAnsi="Times New Roman" w:cs="Times New Roman"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D926B4"/>
    <w:rsid w:val="00001009"/>
    <w:rsid w:val="00010EE7"/>
    <w:rsid w:val="00027BED"/>
    <w:rsid w:val="0003698D"/>
    <w:rsid w:val="00036FDC"/>
    <w:rsid w:val="00047A68"/>
    <w:rsid w:val="000509CA"/>
    <w:rsid w:val="00051622"/>
    <w:rsid w:val="00056312"/>
    <w:rsid w:val="00057F07"/>
    <w:rsid w:val="00070D58"/>
    <w:rsid w:val="000713D8"/>
    <w:rsid w:val="00080CA5"/>
    <w:rsid w:val="000861EC"/>
    <w:rsid w:val="000879F6"/>
    <w:rsid w:val="000914C2"/>
    <w:rsid w:val="00094454"/>
    <w:rsid w:val="00095B62"/>
    <w:rsid w:val="000A3DE9"/>
    <w:rsid w:val="000A6E93"/>
    <w:rsid w:val="000B0AD4"/>
    <w:rsid w:val="000B1776"/>
    <w:rsid w:val="000B38E0"/>
    <w:rsid w:val="000B62D9"/>
    <w:rsid w:val="000C0422"/>
    <w:rsid w:val="000C2CC3"/>
    <w:rsid w:val="000D0A06"/>
    <w:rsid w:val="000D2234"/>
    <w:rsid w:val="000D5DCF"/>
    <w:rsid w:val="000E27E7"/>
    <w:rsid w:val="00106A16"/>
    <w:rsid w:val="00113000"/>
    <w:rsid w:val="00121D20"/>
    <w:rsid w:val="00150E3B"/>
    <w:rsid w:val="001639C5"/>
    <w:rsid w:val="00165929"/>
    <w:rsid w:val="00166033"/>
    <w:rsid w:val="00177CC8"/>
    <w:rsid w:val="001842EF"/>
    <w:rsid w:val="00184B8A"/>
    <w:rsid w:val="0018532C"/>
    <w:rsid w:val="00190FA4"/>
    <w:rsid w:val="001B1390"/>
    <w:rsid w:val="001B2AA0"/>
    <w:rsid w:val="001B3BDE"/>
    <w:rsid w:val="001C050F"/>
    <w:rsid w:val="001C3996"/>
    <w:rsid w:val="001D23DF"/>
    <w:rsid w:val="001D39DC"/>
    <w:rsid w:val="001F011C"/>
    <w:rsid w:val="001F636B"/>
    <w:rsid w:val="001F6848"/>
    <w:rsid w:val="00201D5B"/>
    <w:rsid w:val="00206BFE"/>
    <w:rsid w:val="002221A8"/>
    <w:rsid w:val="00224C2B"/>
    <w:rsid w:val="002304D0"/>
    <w:rsid w:val="0023724D"/>
    <w:rsid w:val="0023749D"/>
    <w:rsid w:val="0024267B"/>
    <w:rsid w:val="00242A14"/>
    <w:rsid w:val="00244C14"/>
    <w:rsid w:val="00254E24"/>
    <w:rsid w:val="00267B77"/>
    <w:rsid w:val="00280FEA"/>
    <w:rsid w:val="00281743"/>
    <w:rsid w:val="00283707"/>
    <w:rsid w:val="00291B81"/>
    <w:rsid w:val="00296A91"/>
    <w:rsid w:val="002A0931"/>
    <w:rsid w:val="002A650C"/>
    <w:rsid w:val="002B5A31"/>
    <w:rsid w:val="002B7E5B"/>
    <w:rsid w:val="002C1422"/>
    <w:rsid w:val="002C762A"/>
    <w:rsid w:val="002C7E1D"/>
    <w:rsid w:val="002D1804"/>
    <w:rsid w:val="002D4B4F"/>
    <w:rsid w:val="002D5654"/>
    <w:rsid w:val="002E0CAD"/>
    <w:rsid w:val="002E45C0"/>
    <w:rsid w:val="002E5069"/>
    <w:rsid w:val="002F2127"/>
    <w:rsid w:val="0030055B"/>
    <w:rsid w:val="00300F84"/>
    <w:rsid w:val="00306529"/>
    <w:rsid w:val="003100FF"/>
    <w:rsid w:val="00324DC2"/>
    <w:rsid w:val="00330AB7"/>
    <w:rsid w:val="00341DDB"/>
    <w:rsid w:val="00356242"/>
    <w:rsid w:val="003607B3"/>
    <w:rsid w:val="003772AB"/>
    <w:rsid w:val="00382B2E"/>
    <w:rsid w:val="003842D9"/>
    <w:rsid w:val="003843C3"/>
    <w:rsid w:val="003861CD"/>
    <w:rsid w:val="00393B22"/>
    <w:rsid w:val="003A0B64"/>
    <w:rsid w:val="003A46E0"/>
    <w:rsid w:val="003B59A6"/>
    <w:rsid w:val="003C0E29"/>
    <w:rsid w:val="003C5539"/>
    <w:rsid w:val="003C5B25"/>
    <w:rsid w:val="003D4B18"/>
    <w:rsid w:val="003D5948"/>
    <w:rsid w:val="003E3173"/>
    <w:rsid w:val="003E5E48"/>
    <w:rsid w:val="003F0EAE"/>
    <w:rsid w:val="003F34C8"/>
    <w:rsid w:val="003F3D7A"/>
    <w:rsid w:val="003F627F"/>
    <w:rsid w:val="004025F1"/>
    <w:rsid w:val="00403454"/>
    <w:rsid w:val="0040359D"/>
    <w:rsid w:val="00406EC6"/>
    <w:rsid w:val="004217B4"/>
    <w:rsid w:val="00430D53"/>
    <w:rsid w:val="004332CD"/>
    <w:rsid w:val="00433520"/>
    <w:rsid w:val="00446174"/>
    <w:rsid w:val="004572F7"/>
    <w:rsid w:val="00471B97"/>
    <w:rsid w:val="004750B8"/>
    <w:rsid w:val="00477F5A"/>
    <w:rsid w:val="00496470"/>
    <w:rsid w:val="004A2AFA"/>
    <w:rsid w:val="004A377E"/>
    <w:rsid w:val="004B5EEC"/>
    <w:rsid w:val="004D0E65"/>
    <w:rsid w:val="004D601F"/>
    <w:rsid w:val="00505334"/>
    <w:rsid w:val="00505E15"/>
    <w:rsid w:val="00525389"/>
    <w:rsid w:val="005325E5"/>
    <w:rsid w:val="005435CE"/>
    <w:rsid w:val="00544047"/>
    <w:rsid w:val="00545DED"/>
    <w:rsid w:val="00551765"/>
    <w:rsid w:val="00553819"/>
    <w:rsid w:val="0055560E"/>
    <w:rsid w:val="00557D3C"/>
    <w:rsid w:val="005670FC"/>
    <w:rsid w:val="00571A28"/>
    <w:rsid w:val="005844FC"/>
    <w:rsid w:val="00587668"/>
    <w:rsid w:val="00594DBB"/>
    <w:rsid w:val="00595225"/>
    <w:rsid w:val="005A113F"/>
    <w:rsid w:val="005A32A9"/>
    <w:rsid w:val="005B3AE4"/>
    <w:rsid w:val="005B6F44"/>
    <w:rsid w:val="005C2AFA"/>
    <w:rsid w:val="005D27C1"/>
    <w:rsid w:val="005D3876"/>
    <w:rsid w:val="005D486F"/>
    <w:rsid w:val="005E47A0"/>
    <w:rsid w:val="005F705E"/>
    <w:rsid w:val="005F72E7"/>
    <w:rsid w:val="00621722"/>
    <w:rsid w:val="0062762C"/>
    <w:rsid w:val="0063010C"/>
    <w:rsid w:val="00640B9B"/>
    <w:rsid w:val="00641733"/>
    <w:rsid w:val="00645616"/>
    <w:rsid w:val="006461F1"/>
    <w:rsid w:val="006552C1"/>
    <w:rsid w:val="00655FAE"/>
    <w:rsid w:val="006604ED"/>
    <w:rsid w:val="00663AF7"/>
    <w:rsid w:val="00665BBD"/>
    <w:rsid w:val="006742A7"/>
    <w:rsid w:val="00676751"/>
    <w:rsid w:val="00685D15"/>
    <w:rsid w:val="006A034C"/>
    <w:rsid w:val="006A1BBF"/>
    <w:rsid w:val="006A65C5"/>
    <w:rsid w:val="006B27B6"/>
    <w:rsid w:val="006C198C"/>
    <w:rsid w:val="006C2414"/>
    <w:rsid w:val="006C7A3A"/>
    <w:rsid w:val="006D5EAA"/>
    <w:rsid w:val="006D639A"/>
    <w:rsid w:val="006E209A"/>
    <w:rsid w:val="006F7BDE"/>
    <w:rsid w:val="00701F20"/>
    <w:rsid w:val="00711C64"/>
    <w:rsid w:val="00733B69"/>
    <w:rsid w:val="00734D25"/>
    <w:rsid w:val="007351FF"/>
    <w:rsid w:val="00741480"/>
    <w:rsid w:val="00746061"/>
    <w:rsid w:val="00747D3C"/>
    <w:rsid w:val="00751D7D"/>
    <w:rsid w:val="00755993"/>
    <w:rsid w:val="00766CCB"/>
    <w:rsid w:val="007679E1"/>
    <w:rsid w:val="00777683"/>
    <w:rsid w:val="0078492E"/>
    <w:rsid w:val="007922C2"/>
    <w:rsid w:val="007A1A39"/>
    <w:rsid w:val="007B1077"/>
    <w:rsid w:val="007C05D5"/>
    <w:rsid w:val="007D3847"/>
    <w:rsid w:val="007D40BC"/>
    <w:rsid w:val="007D47D5"/>
    <w:rsid w:val="007D6800"/>
    <w:rsid w:val="007E5E96"/>
    <w:rsid w:val="007F3916"/>
    <w:rsid w:val="007F3B65"/>
    <w:rsid w:val="008000FB"/>
    <w:rsid w:val="0080283D"/>
    <w:rsid w:val="00802A8D"/>
    <w:rsid w:val="00803653"/>
    <w:rsid w:val="008119DE"/>
    <w:rsid w:val="00814883"/>
    <w:rsid w:val="00836BF4"/>
    <w:rsid w:val="00843298"/>
    <w:rsid w:val="00844AAF"/>
    <w:rsid w:val="008518C4"/>
    <w:rsid w:val="00852016"/>
    <w:rsid w:val="0087258C"/>
    <w:rsid w:val="008731F4"/>
    <w:rsid w:val="008751DF"/>
    <w:rsid w:val="00881961"/>
    <w:rsid w:val="008855C6"/>
    <w:rsid w:val="00890669"/>
    <w:rsid w:val="008A02BB"/>
    <w:rsid w:val="008A0794"/>
    <w:rsid w:val="008A70D8"/>
    <w:rsid w:val="008B4F54"/>
    <w:rsid w:val="008B69C7"/>
    <w:rsid w:val="008C4328"/>
    <w:rsid w:val="008C4A9F"/>
    <w:rsid w:val="008C56DA"/>
    <w:rsid w:val="008C6F2C"/>
    <w:rsid w:val="008D3BC7"/>
    <w:rsid w:val="008D4F4E"/>
    <w:rsid w:val="008D6941"/>
    <w:rsid w:val="008E1B11"/>
    <w:rsid w:val="008E3ED8"/>
    <w:rsid w:val="00901156"/>
    <w:rsid w:val="009024A1"/>
    <w:rsid w:val="009122C0"/>
    <w:rsid w:val="00914C94"/>
    <w:rsid w:val="0091523C"/>
    <w:rsid w:val="009330E3"/>
    <w:rsid w:val="00934564"/>
    <w:rsid w:val="009354D8"/>
    <w:rsid w:val="009445E3"/>
    <w:rsid w:val="0094626D"/>
    <w:rsid w:val="00947794"/>
    <w:rsid w:val="00954760"/>
    <w:rsid w:val="009666D5"/>
    <w:rsid w:val="009720EF"/>
    <w:rsid w:val="00985A5E"/>
    <w:rsid w:val="00987399"/>
    <w:rsid w:val="009A6EDD"/>
    <w:rsid w:val="009A71A7"/>
    <w:rsid w:val="009A7F64"/>
    <w:rsid w:val="009B55E2"/>
    <w:rsid w:val="009B79D3"/>
    <w:rsid w:val="009C402B"/>
    <w:rsid w:val="009D3AA1"/>
    <w:rsid w:val="009D7F99"/>
    <w:rsid w:val="009E20A9"/>
    <w:rsid w:val="009E4865"/>
    <w:rsid w:val="009F3375"/>
    <w:rsid w:val="009F3A9D"/>
    <w:rsid w:val="00A20E4D"/>
    <w:rsid w:val="00A2705A"/>
    <w:rsid w:val="00A33618"/>
    <w:rsid w:val="00A42195"/>
    <w:rsid w:val="00A4330F"/>
    <w:rsid w:val="00A4346F"/>
    <w:rsid w:val="00A535B7"/>
    <w:rsid w:val="00A60D09"/>
    <w:rsid w:val="00A61B16"/>
    <w:rsid w:val="00A63675"/>
    <w:rsid w:val="00A65750"/>
    <w:rsid w:val="00A67D03"/>
    <w:rsid w:val="00A83BB0"/>
    <w:rsid w:val="00A83FC4"/>
    <w:rsid w:val="00A8565E"/>
    <w:rsid w:val="00A915F0"/>
    <w:rsid w:val="00AA0927"/>
    <w:rsid w:val="00AA1370"/>
    <w:rsid w:val="00AA49D0"/>
    <w:rsid w:val="00AB112A"/>
    <w:rsid w:val="00AB75BE"/>
    <w:rsid w:val="00AC11C5"/>
    <w:rsid w:val="00AC1C25"/>
    <w:rsid w:val="00AD59AA"/>
    <w:rsid w:val="00AD72CF"/>
    <w:rsid w:val="00AE1201"/>
    <w:rsid w:val="00AE5504"/>
    <w:rsid w:val="00AE7258"/>
    <w:rsid w:val="00B01280"/>
    <w:rsid w:val="00B06747"/>
    <w:rsid w:val="00B06A32"/>
    <w:rsid w:val="00B07601"/>
    <w:rsid w:val="00B17E73"/>
    <w:rsid w:val="00B320E7"/>
    <w:rsid w:val="00B409A4"/>
    <w:rsid w:val="00B40A61"/>
    <w:rsid w:val="00B53BFE"/>
    <w:rsid w:val="00B57AB6"/>
    <w:rsid w:val="00B6352F"/>
    <w:rsid w:val="00B706C3"/>
    <w:rsid w:val="00B730F8"/>
    <w:rsid w:val="00B84DA0"/>
    <w:rsid w:val="00B87A87"/>
    <w:rsid w:val="00B920D6"/>
    <w:rsid w:val="00B9269E"/>
    <w:rsid w:val="00BA445E"/>
    <w:rsid w:val="00BD397D"/>
    <w:rsid w:val="00BD4DE2"/>
    <w:rsid w:val="00BD5786"/>
    <w:rsid w:val="00BE00B7"/>
    <w:rsid w:val="00BE3E3A"/>
    <w:rsid w:val="00C069E8"/>
    <w:rsid w:val="00C11380"/>
    <w:rsid w:val="00C147E1"/>
    <w:rsid w:val="00C31C3F"/>
    <w:rsid w:val="00C45156"/>
    <w:rsid w:val="00C512BE"/>
    <w:rsid w:val="00C56C7A"/>
    <w:rsid w:val="00C72E34"/>
    <w:rsid w:val="00C77CB5"/>
    <w:rsid w:val="00C80137"/>
    <w:rsid w:val="00C830EB"/>
    <w:rsid w:val="00C8388C"/>
    <w:rsid w:val="00C870B5"/>
    <w:rsid w:val="00C872CD"/>
    <w:rsid w:val="00C95D84"/>
    <w:rsid w:val="00C9697D"/>
    <w:rsid w:val="00CA07C1"/>
    <w:rsid w:val="00CA08B0"/>
    <w:rsid w:val="00CA235E"/>
    <w:rsid w:val="00CA7C5E"/>
    <w:rsid w:val="00CB5828"/>
    <w:rsid w:val="00CB5A25"/>
    <w:rsid w:val="00CB5B25"/>
    <w:rsid w:val="00CB6C41"/>
    <w:rsid w:val="00CC1B28"/>
    <w:rsid w:val="00CC3042"/>
    <w:rsid w:val="00CC406A"/>
    <w:rsid w:val="00CC684B"/>
    <w:rsid w:val="00CD28CB"/>
    <w:rsid w:val="00CD7629"/>
    <w:rsid w:val="00CE3CE3"/>
    <w:rsid w:val="00CE4775"/>
    <w:rsid w:val="00CE4EC8"/>
    <w:rsid w:val="00CE65BA"/>
    <w:rsid w:val="00CF5058"/>
    <w:rsid w:val="00D05D29"/>
    <w:rsid w:val="00D20EF2"/>
    <w:rsid w:val="00D31645"/>
    <w:rsid w:val="00D360A8"/>
    <w:rsid w:val="00D36339"/>
    <w:rsid w:val="00D376C2"/>
    <w:rsid w:val="00D4595E"/>
    <w:rsid w:val="00D47C06"/>
    <w:rsid w:val="00D604B7"/>
    <w:rsid w:val="00D66CB9"/>
    <w:rsid w:val="00D7198C"/>
    <w:rsid w:val="00D74FD3"/>
    <w:rsid w:val="00D83F49"/>
    <w:rsid w:val="00D864A3"/>
    <w:rsid w:val="00D925C7"/>
    <w:rsid w:val="00D926B4"/>
    <w:rsid w:val="00DA1335"/>
    <w:rsid w:val="00DA4AB4"/>
    <w:rsid w:val="00DA53CC"/>
    <w:rsid w:val="00DA5997"/>
    <w:rsid w:val="00DB6449"/>
    <w:rsid w:val="00DD1197"/>
    <w:rsid w:val="00DD3DB5"/>
    <w:rsid w:val="00DE01DA"/>
    <w:rsid w:val="00DE4300"/>
    <w:rsid w:val="00DE4D3B"/>
    <w:rsid w:val="00DF2DE7"/>
    <w:rsid w:val="00DF70D1"/>
    <w:rsid w:val="00E04532"/>
    <w:rsid w:val="00E05886"/>
    <w:rsid w:val="00E10CC5"/>
    <w:rsid w:val="00E22C69"/>
    <w:rsid w:val="00E240B7"/>
    <w:rsid w:val="00E3306D"/>
    <w:rsid w:val="00E34BD2"/>
    <w:rsid w:val="00E34BDC"/>
    <w:rsid w:val="00E454C5"/>
    <w:rsid w:val="00E64066"/>
    <w:rsid w:val="00E93D2F"/>
    <w:rsid w:val="00E94A25"/>
    <w:rsid w:val="00EA0CFF"/>
    <w:rsid w:val="00EA5AD5"/>
    <w:rsid w:val="00EC02EA"/>
    <w:rsid w:val="00EC0E08"/>
    <w:rsid w:val="00EC1E1F"/>
    <w:rsid w:val="00EC3137"/>
    <w:rsid w:val="00EC385D"/>
    <w:rsid w:val="00ED66A2"/>
    <w:rsid w:val="00ED73E4"/>
    <w:rsid w:val="00ED7573"/>
    <w:rsid w:val="00EE0704"/>
    <w:rsid w:val="00EE4C31"/>
    <w:rsid w:val="00EF2196"/>
    <w:rsid w:val="00EF57F2"/>
    <w:rsid w:val="00F019D2"/>
    <w:rsid w:val="00F07572"/>
    <w:rsid w:val="00F115BD"/>
    <w:rsid w:val="00F14B6F"/>
    <w:rsid w:val="00F150BD"/>
    <w:rsid w:val="00F252AD"/>
    <w:rsid w:val="00F258DF"/>
    <w:rsid w:val="00F3609B"/>
    <w:rsid w:val="00F44C26"/>
    <w:rsid w:val="00F50FDA"/>
    <w:rsid w:val="00F55C8E"/>
    <w:rsid w:val="00F55ED9"/>
    <w:rsid w:val="00F60F5E"/>
    <w:rsid w:val="00F7008C"/>
    <w:rsid w:val="00F741E8"/>
    <w:rsid w:val="00F80C88"/>
    <w:rsid w:val="00F86654"/>
    <w:rsid w:val="00F94494"/>
    <w:rsid w:val="00F9594E"/>
    <w:rsid w:val="00FA300F"/>
    <w:rsid w:val="00FB2F44"/>
    <w:rsid w:val="00FC5D80"/>
    <w:rsid w:val="00FD4A5A"/>
    <w:rsid w:val="00FD5BFC"/>
    <w:rsid w:val="00FE02A6"/>
    <w:rsid w:val="00FF2510"/>
    <w:rsid w:val="00FF358D"/>
    <w:rsid w:val="00FF45DB"/>
    <w:rsid w:val="00FF67A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26B4"/>
    <w:pPr>
      <w:spacing w:after="0" w:line="240" w:lineRule="auto"/>
    </w:pPr>
  </w:style>
  <w:style w:type="paragraph" w:styleId="Textonotapie">
    <w:name w:val="footnote text"/>
    <w:basedOn w:val="Normal"/>
    <w:link w:val="TextonotapieCar"/>
    <w:uiPriority w:val="99"/>
    <w:unhideWhenUsed/>
    <w:rsid w:val="00EA0CFF"/>
    <w:pPr>
      <w:spacing w:after="0" w:line="240" w:lineRule="auto"/>
    </w:pPr>
    <w:rPr>
      <w:sz w:val="20"/>
      <w:szCs w:val="20"/>
    </w:rPr>
  </w:style>
  <w:style w:type="character" w:customStyle="1" w:styleId="TextonotapieCar">
    <w:name w:val="Texto nota pie Car"/>
    <w:basedOn w:val="Fuentedeprrafopredeter"/>
    <w:link w:val="Textonotapie"/>
    <w:uiPriority w:val="99"/>
    <w:rsid w:val="00EA0CFF"/>
    <w:rPr>
      <w:sz w:val="20"/>
      <w:szCs w:val="20"/>
    </w:rPr>
  </w:style>
  <w:style w:type="character" w:styleId="Refdenotaalpie">
    <w:name w:val="footnote reference"/>
    <w:basedOn w:val="Fuentedeprrafopredeter"/>
    <w:uiPriority w:val="99"/>
    <w:unhideWhenUsed/>
    <w:rsid w:val="00EA0CFF"/>
    <w:rPr>
      <w:vertAlign w:val="superscript"/>
    </w:rPr>
  </w:style>
  <w:style w:type="paragraph" w:styleId="Encabezado">
    <w:name w:val="header"/>
    <w:basedOn w:val="Normal"/>
    <w:link w:val="EncabezadoCar"/>
    <w:uiPriority w:val="99"/>
    <w:unhideWhenUsed/>
    <w:rsid w:val="00C87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2CD"/>
  </w:style>
  <w:style w:type="paragraph" w:styleId="Piedepgina">
    <w:name w:val="footer"/>
    <w:basedOn w:val="Normal"/>
    <w:link w:val="PiedepginaCar"/>
    <w:uiPriority w:val="99"/>
    <w:unhideWhenUsed/>
    <w:rsid w:val="00C872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2CD"/>
  </w:style>
  <w:style w:type="paragraph" w:styleId="Textodeglobo">
    <w:name w:val="Balloon Text"/>
    <w:basedOn w:val="Normal"/>
    <w:link w:val="TextodegloboCar"/>
    <w:uiPriority w:val="99"/>
    <w:semiHidden/>
    <w:unhideWhenUsed/>
    <w:rsid w:val="00166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033"/>
    <w:rPr>
      <w:rFonts w:ascii="Tahoma" w:hAnsi="Tahoma" w:cs="Tahoma"/>
      <w:sz w:val="16"/>
      <w:szCs w:val="16"/>
    </w:rPr>
  </w:style>
  <w:style w:type="character" w:styleId="Hipervnculo">
    <w:name w:val="Hyperlink"/>
    <w:rsid w:val="007F3916"/>
    <w:rPr>
      <w:color w:val="0000FF"/>
      <w:u w:val="single"/>
    </w:rPr>
  </w:style>
  <w:style w:type="character" w:styleId="Refdecomentario">
    <w:name w:val="annotation reference"/>
    <w:basedOn w:val="Fuentedeprrafopredeter"/>
    <w:uiPriority w:val="99"/>
    <w:semiHidden/>
    <w:unhideWhenUsed/>
    <w:rsid w:val="00F94494"/>
    <w:rPr>
      <w:sz w:val="16"/>
      <w:szCs w:val="16"/>
    </w:rPr>
  </w:style>
  <w:style w:type="paragraph" w:styleId="Textocomentario">
    <w:name w:val="annotation text"/>
    <w:basedOn w:val="Normal"/>
    <w:link w:val="TextocomentarioCar"/>
    <w:uiPriority w:val="99"/>
    <w:semiHidden/>
    <w:unhideWhenUsed/>
    <w:rsid w:val="00F944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4494"/>
    <w:rPr>
      <w:sz w:val="20"/>
      <w:szCs w:val="20"/>
    </w:rPr>
  </w:style>
  <w:style w:type="paragraph" w:styleId="Asuntodelcomentario">
    <w:name w:val="annotation subject"/>
    <w:basedOn w:val="Textocomentario"/>
    <w:next w:val="Textocomentario"/>
    <w:link w:val="AsuntodelcomentarioCar"/>
    <w:uiPriority w:val="99"/>
    <w:semiHidden/>
    <w:unhideWhenUsed/>
    <w:rsid w:val="00F94494"/>
    <w:rPr>
      <w:b/>
      <w:bCs/>
    </w:rPr>
  </w:style>
  <w:style w:type="character" w:customStyle="1" w:styleId="AsuntodelcomentarioCar">
    <w:name w:val="Asunto del comentario Car"/>
    <w:basedOn w:val="TextocomentarioCar"/>
    <w:link w:val="Asuntodelcomentario"/>
    <w:uiPriority w:val="99"/>
    <w:semiHidden/>
    <w:rsid w:val="00F94494"/>
    <w:rPr>
      <w:b/>
      <w:bCs/>
    </w:rPr>
  </w:style>
  <w:style w:type="character" w:styleId="Textodelmarcadordeposicin">
    <w:name w:val="Placeholder Text"/>
    <w:basedOn w:val="Fuentedeprrafopredeter"/>
    <w:uiPriority w:val="99"/>
    <w:semiHidden/>
    <w:rsid w:val="004025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26B4"/>
    <w:pPr>
      <w:spacing w:after="0" w:line="240" w:lineRule="auto"/>
    </w:pPr>
  </w:style>
  <w:style w:type="paragraph" w:styleId="Textonotapie">
    <w:name w:val="footnote text"/>
    <w:basedOn w:val="Normal"/>
    <w:link w:val="TextonotapieCar"/>
    <w:uiPriority w:val="99"/>
    <w:unhideWhenUsed/>
    <w:rsid w:val="00EA0CFF"/>
    <w:pPr>
      <w:spacing w:after="0" w:line="240" w:lineRule="auto"/>
    </w:pPr>
    <w:rPr>
      <w:sz w:val="20"/>
      <w:szCs w:val="20"/>
    </w:rPr>
  </w:style>
  <w:style w:type="character" w:customStyle="1" w:styleId="TextonotapieCar">
    <w:name w:val="Texto nota pie Car"/>
    <w:basedOn w:val="Fuentedeprrafopredeter"/>
    <w:link w:val="Textonotapie"/>
    <w:uiPriority w:val="99"/>
    <w:rsid w:val="00EA0CFF"/>
    <w:rPr>
      <w:sz w:val="20"/>
      <w:szCs w:val="20"/>
    </w:rPr>
  </w:style>
  <w:style w:type="character" w:styleId="Refdenotaalpie">
    <w:name w:val="footnote reference"/>
    <w:basedOn w:val="Fuentedeprrafopredeter"/>
    <w:uiPriority w:val="99"/>
    <w:unhideWhenUsed/>
    <w:rsid w:val="00EA0CFF"/>
    <w:rPr>
      <w:vertAlign w:val="superscript"/>
    </w:rPr>
  </w:style>
  <w:style w:type="paragraph" w:styleId="Encabezado">
    <w:name w:val="header"/>
    <w:basedOn w:val="Normal"/>
    <w:link w:val="EncabezadoCar"/>
    <w:uiPriority w:val="99"/>
    <w:unhideWhenUsed/>
    <w:rsid w:val="00C87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2CD"/>
  </w:style>
  <w:style w:type="paragraph" w:styleId="Piedepgina">
    <w:name w:val="footer"/>
    <w:basedOn w:val="Normal"/>
    <w:link w:val="PiedepginaCar"/>
    <w:uiPriority w:val="99"/>
    <w:unhideWhenUsed/>
    <w:rsid w:val="00C872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2CD"/>
  </w:style>
  <w:style w:type="paragraph" w:styleId="Textodeglobo">
    <w:name w:val="Balloon Text"/>
    <w:basedOn w:val="Normal"/>
    <w:link w:val="TextodegloboCar"/>
    <w:uiPriority w:val="99"/>
    <w:semiHidden/>
    <w:unhideWhenUsed/>
    <w:rsid w:val="00166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033"/>
    <w:rPr>
      <w:rFonts w:ascii="Tahoma" w:hAnsi="Tahoma" w:cs="Tahoma"/>
      <w:sz w:val="16"/>
      <w:szCs w:val="16"/>
    </w:rPr>
  </w:style>
  <w:style w:type="character" w:styleId="Hipervnculo">
    <w:name w:val="Hyperlink"/>
    <w:rsid w:val="007F3916"/>
    <w:rPr>
      <w:color w:val="0000FF"/>
      <w:u w:val="single"/>
    </w:rPr>
  </w:style>
</w:styles>
</file>

<file path=word/webSettings.xml><?xml version="1.0" encoding="utf-8"?>
<w:webSettings xmlns:r="http://schemas.openxmlformats.org/officeDocument/2006/relationships" xmlns:w="http://schemas.openxmlformats.org/wordprocessingml/2006/main">
  <w:divs>
    <w:div w:id="25296986">
      <w:bodyDiv w:val="1"/>
      <w:marLeft w:val="0"/>
      <w:marRight w:val="0"/>
      <w:marTop w:val="0"/>
      <w:marBottom w:val="0"/>
      <w:divBdr>
        <w:top w:val="none" w:sz="0" w:space="0" w:color="auto"/>
        <w:left w:val="none" w:sz="0" w:space="0" w:color="auto"/>
        <w:bottom w:val="none" w:sz="0" w:space="0" w:color="auto"/>
        <w:right w:val="none" w:sz="0" w:space="0" w:color="auto"/>
      </w:divBdr>
    </w:div>
    <w:div w:id="40599080">
      <w:bodyDiv w:val="1"/>
      <w:marLeft w:val="0"/>
      <w:marRight w:val="0"/>
      <w:marTop w:val="0"/>
      <w:marBottom w:val="0"/>
      <w:divBdr>
        <w:top w:val="none" w:sz="0" w:space="0" w:color="auto"/>
        <w:left w:val="none" w:sz="0" w:space="0" w:color="auto"/>
        <w:bottom w:val="none" w:sz="0" w:space="0" w:color="auto"/>
        <w:right w:val="none" w:sz="0" w:space="0" w:color="auto"/>
      </w:divBdr>
    </w:div>
    <w:div w:id="82650369">
      <w:bodyDiv w:val="1"/>
      <w:marLeft w:val="0"/>
      <w:marRight w:val="0"/>
      <w:marTop w:val="0"/>
      <w:marBottom w:val="0"/>
      <w:divBdr>
        <w:top w:val="none" w:sz="0" w:space="0" w:color="auto"/>
        <w:left w:val="none" w:sz="0" w:space="0" w:color="auto"/>
        <w:bottom w:val="none" w:sz="0" w:space="0" w:color="auto"/>
        <w:right w:val="none" w:sz="0" w:space="0" w:color="auto"/>
      </w:divBdr>
    </w:div>
    <w:div w:id="122768417">
      <w:bodyDiv w:val="1"/>
      <w:marLeft w:val="0"/>
      <w:marRight w:val="0"/>
      <w:marTop w:val="0"/>
      <w:marBottom w:val="0"/>
      <w:divBdr>
        <w:top w:val="none" w:sz="0" w:space="0" w:color="auto"/>
        <w:left w:val="none" w:sz="0" w:space="0" w:color="auto"/>
        <w:bottom w:val="none" w:sz="0" w:space="0" w:color="auto"/>
        <w:right w:val="none" w:sz="0" w:space="0" w:color="auto"/>
      </w:divBdr>
    </w:div>
    <w:div w:id="142745624">
      <w:bodyDiv w:val="1"/>
      <w:marLeft w:val="0"/>
      <w:marRight w:val="0"/>
      <w:marTop w:val="0"/>
      <w:marBottom w:val="0"/>
      <w:divBdr>
        <w:top w:val="none" w:sz="0" w:space="0" w:color="auto"/>
        <w:left w:val="none" w:sz="0" w:space="0" w:color="auto"/>
        <w:bottom w:val="none" w:sz="0" w:space="0" w:color="auto"/>
        <w:right w:val="none" w:sz="0" w:space="0" w:color="auto"/>
      </w:divBdr>
    </w:div>
    <w:div w:id="161624305">
      <w:bodyDiv w:val="1"/>
      <w:marLeft w:val="0"/>
      <w:marRight w:val="0"/>
      <w:marTop w:val="0"/>
      <w:marBottom w:val="0"/>
      <w:divBdr>
        <w:top w:val="none" w:sz="0" w:space="0" w:color="auto"/>
        <w:left w:val="none" w:sz="0" w:space="0" w:color="auto"/>
        <w:bottom w:val="none" w:sz="0" w:space="0" w:color="auto"/>
        <w:right w:val="none" w:sz="0" w:space="0" w:color="auto"/>
      </w:divBdr>
    </w:div>
    <w:div w:id="190655667">
      <w:bodyDiv w:val="1"/>
      <w:marLeft w:val="0"/>
      <w:marRight w:val="0"/>
      <w:marTop w:val="0"/>
      <w:marBottom w:val="0"/>
      <w:divBdr>
        <w:top w:val="none" w:sz="0" w:space="0" w:color="auto"/>
        <w:left w:val="none" w:sz="0" w:space="0" w:color="auto"/>
        <w:bottom w:val="none" w:sz="0" w:space="0" w:color="auto"/>
        <w:right w:val="none" w:sz="0" w:space="0" w:color="auto"/>
      </w:divBdr>
    </w:div>
    <w:div w:id="234166825">
      <w:bodyDiv w:val="1"/>
      <w:marLeft w:val="0"/>
      <w:marRight w:val="0"/>
      <w:marTop w:val="0"/>
      <w:marBottom w:val="0"/>
      <w:divBdr>
        <w:top w:val="none" w:sz="0" w:space="0" w:color="auto"/>
        <w:left w:val="none" w:sz="0" w:space="0" w:color="auto"/>
        <w:bottom w:val="none" w:sz="0" w:space="0" w:color="auto"/>
        <w:right w:val="none" w:sz="0" w:space="0" w:color="auto"/>
      </w:divBdr>
    </w:div>
    <w:div w:id="321281924">
      <w:bodyDiv w:val="1"/>
      <w:marLeft w:val="0"/>
      <w:marRight w:val="0"/>
      <w:marTop w:val="0"/>
      <w:marBottom w:val="0"/>
      <w:divBdr>
        <w:top w:val="none" w:sz="0" w:space="0" w:color="auto"/>
        <w:left w:val="none" w:sz="0" w:space="0" w:color="auto"/>
        <w:bottom w:val="none" w:sz="0" w:space="0" w:color="auto"/>
        <w:right w:val="none" w:sz="0" w:space="0" w:color="auto"/>
      </w:divBdr>
    </w:div>
    <w:div w:id="325942703">
      <w:bodyDiv w:val="1"/>
      <w:marLeft w:val="0"/>
      <w:marRight w:val="0"/>
      <w:marTop w:val="0"/>
      <w:marBottom w:val="0"/>
      <w:divBdr>
        <w:top w:val="none" w:sz="0" w:space="0" w:color="auto"/>
        <w:left w:val="none" w:sz="0" w:space="0" w:color="auto"/>
        <w:bottom w:val="none" w:sz="0" w:space="0" w:color="auto"/>
        <w:right w:val="none" w:sz="0" w:space="0" w:color="auto"/>
      </w:divBdr>
    </w:div>
    <w:div w:id="333806155">
      <w:bodyDiv w:val="1"/>
      <w:marLeft w:val="0"/>
      <w:marRight w:val="0"/>
      <w:marTop w:val="0"/>
      <w:marBottom w:val="0"/>
      <w:divBdr>
        <w:top w:val="none" w:sz="0" w:space="0" w:color="auto"/>
        <w:left w:val="none" w:sz="0" w:space="0" w:color="auto"/>
        <w:bottom w:val="none" w:sz="0" w:space="0" w:color="auto"/>
        <w:right w:val="none" w:sz="0" w:space="0" w:color="auto"/>
      </w:divBdr>
    </w:div>
    <w:div w:id="338583671">
      <w:bodyDiv w:val="1"/>
      <w:marLeft w:val="0"/>
      <w:marRight w:val="0"/>
      <w:marTop w:val="0"/>
      <w:marBottom w:val="0"/>
      <w:divBdr>
        <w:top w:val="none" w:sz="0" w:space="0" w:color="auto"/>
        <w:left w:val="none" w:sz="0" w:space="0" w:color="auto"/>
        <w:bottom w:val="none" w:sz="0" w:space="0" w:color="auto"/>
        <w:right w:val="none" w:sz="0" w:space="0" w:color="auto"/>
      </w:divBdr>
    </w:div>
    <w:div w:id="398672055">
      <w:bodyDiv w:val="1"/>
      <w:marLeft w:val="0"/>
      <w:marRight w:val="0"/>
      <w:marTop w:val="0"/>
      <w:marBottom w:val="0"/>
      <w:divBdr>
        <w:top w:val="none" w:sz="0" w:space="0" w:color="auto"/>
        <w:left w:val="none" w:sz="0" w:space="0" w:color="auto"/>
        <w:bottom w:val="none" w:sz="0" w:space="0" w:color="auto"/>
        <w:right w:val="none" w:sz="0" w:space="0" w:color="auto"/>
      </w:divBdr>
    </w:div>
    <w:div w:id="407191815">
      <w:bodyDiv w:val="1"/>
      <w:marLeft w:val="0"/>
      <w:marRight w:val="0"/>
      <w:marTop w:val="0"/>
      <w:marBottom w:val="0"/>
      <w:divBdr>
        <w:top w:val="none" w:sz="0" w:space="0" w:color="auto"/>
        <w:left w:val="none" w:sz="0" w:space="0" w:color="auto"/>
        <w:bottom w:val="none" w:sz="0" w:space="0" w:color="auto"/>
        <w:right w:val="none" w:sz="0" w:space="0" w:color="auto"/>
      </w:divBdr>
    </w:div>
    <w:div w:id="563028254">
      <w:bodyDiv w:val="1"/>
      <w:marLeft w:val="0"/>
      <w:marRight w:val="0"/>
      <w:marTop w:val="0"/>
      <w:marBottom w:val="0"/>
      <w:divBdr>
        <w:top w:val="none" w:sz="0" w:space="0" w:color="auto"/>
        <w:left w:val="none" w:sz="0" w:space="0" w:color="auto"/>
        <w:bottom w:val="none" w:sz="0" w:space="0" w:color="auto"/>
        <w:right w:val="none" w:sz="0" w:space="0" w:color="auto"/>
      </w:divBdr>
    </w:div>
    <w:div w:id="577446367">
      <w:bodyDiv w:val="1"/>
      <w:marLeft w:val="0"/>
      <w:marRight w:val="0"/>
      <w:marTop w:val="0"/>
      <w:marBottom w:val="0"/>
      <w:divBdr>
        <w:top w:val="none" w:sz="0" w:space="0" w:color="auto"/>
        <w:left w:val="none" w:sz="0" w:space="0" w:color="auto"/>
        <w:bottom w:val="none" w:sz="0" w:space="0" w:color="auto"/>
        <w:right w:val="none" w:sz="0" w:space="0" w:color="auto"/>
      </w:divBdr>
    </w:div>
    <w:div w:id="665667350">
      <w:bodyDiv w:val="1"/>
      <w:marLeft w:val="0"/>
      <w:marRight w:val="0"/>
      <w:marTop w:val="0"/>
      <w:marBottom w:val="0"/>
      <w:divBdr>
        <w:top w:val="none" w:sz="0" w:space="0" w:color="auto"/>
        <w:left w:val="none" w:sz="0" w:space="0" w:color="auto"/>
        <w:bottom w:val="none" w:sz="0" w:space="0" w:color="auto"/>
        <w:right w:val="none" w:sz="0" w:space="0" w:color="auto"/>
      </w:divBdr>
    </w:div>
    <w:div w:id="724254201">
      <w:bodyDiv w:val="1"/>
      <w:marLeft w:val="0"/>
      <w:marRight w:val="0"/>
      <w:marTop w:val="0"/>
      <w:marBottom w:val="0"/>
      <w:divBdr>
        <w:top w:val="none" w:sz="0" w:space="0" w:color="auto"/>
        <w:left w:val="none" w:sz="0" w:space="0" w:color="auto"/>
        <w:bottom w:val="none" w:sz="0" w:space="0" w:color="auto"/>
        <w:right w:val="none" w:sz="0" w:space="0" w:color="auto"/>
      </w:divBdr>
    </w:div>
    <w:div w:id="754210057">
      <w:bodyDiv w:val="1"/>
      <w:marLeft w:val="0"/>
      <w:marRight w:val="0"/>
      <w:marTop w:val="0"/>
      <w:marBottom w:val="0"/>
      <w:divBdr>
        <w:top w:val="none" w:sz="0" w:space="0" w:color="auto"/>
        <w:left w:val="none" w:sz="0" w:space="0" w:color="auto"/>
        <w:bottom w:val="none" w:sz="0" w:space="0" w:color="auto"/>
        <w:right w:val="none" w:sz="0" w:space="0" w:color="auto"/>
      </w:divBdr>
    </w:div>
    <w:div w:id="755135304">
      <w:bodyDiv w:val="1"/>
      <w:marLeft w:val="0"/>
      <w:marRight w:val="0"/>
      <w:marTop w:val="0"/>
      <w:marBottom w:val="0"/>
      <w:divBdr>
        <w:top w:val="none" w:sz="0" w:space="0" w:color="auto"/>
        <w:left w:val="none" w:sz="0" w:space="0" w:color="auto"/>
        <w:bottom w:val="none" w:sz="0" w:space="0" w:color="auto"/>
        <w:right w:val="none" w:sz="0" w:space="0" w:color="auto"/>
      </w:divBdr>
    </w:div>
    <w:div w:id="812718227">
      <w:bodyDiv w:val="1"/>
      <w:marLeft w:val="0"/>
      <w:marRight w:val="0"/>
      <w:marTop w:val="0"/>
      <w:marBottom w:val="0"/>
      <w:divBdr>
        <w:top w:val="none" w:sz="0" w:space="0" w:color="auto"/>
        <w:left w:val="none" w:sz="0" w:space="0" w:color="auto"/>
        <w:bottom w:val="none" w:sz="0" w:space="0" w:color="auto"/>
        <w:right w:val="none" w:sz="0" w:space="0" w:color="auto"/>
      </w:divBdr>
    </w:div>
    <w:div w:id="865872612">
      <w:bodyDiv w:val="1"/>
      <w:marLeft w:val="0"/>
      <w:marRight w:val="0"/>
      <w:marTop w:val="0"/>
      <w:marBottom w:val="0"/>
      <w:divBdr>
        <w:top w:val="none" w:sz="0" w:space="0" w:color="auto"/>
        <w:left w:val="none" w:sz="0" w:space="0" w:color="auto"/>
        <w:bottom w:val="none" w:sz="0" w:space="0" w:color="auto"/>
        <w:right w:val="none" w:sz="0" w:space="0" w:color="auto"/>
      </w:divBdr>
    </w:div>
    <w:div w:id="894660598">
      <w:bodyDiv w:val="1"/>
      <w:marLeft w:val="0"/>
      <w:marRight w:val="0"/>
      <w:marTop w:val="0"/>
      <w:marBottom w:val="0"/>
      <w:divBdr>
        <w:top w:val="none" w:sz="0" w:space="0" w:color="auto"/>
        <w:left w:val="none" w:sz="0" w:space="0" w:color="auto"/>
        <w:bottom w:val="none" w:sz="0" w:space="0" w:color="auto"/>
        <w:right w:val="none" w:sz="0" w:space="0" w:color="auto"/>
      </w:divBdr>
    </w:div>
    <w:div w:id="949359739">
      <w:bodyDiv w:val="1"/>
      <w:marLeft w:val="0"/>
      <w:marRight w:val="0"/>
      <w:marTop w:val="0"/>
      <w:marBottom w:val="0"/>
      <w:divBdr>
        <w:top w:val="none" w:sz="0" w:space="0" w:color="auto"/>
        <w:left w:val="none" w:sz="0" w:space="0" w:color="auto"/>
        <w:bottom w:val="none" w:sz="0" w:space="0" w:color="auto"/>
        <w:right w:val="none" w:sz="0" w:space="0" w:color="auto"/>
      </w:divBdr>
    </w:div>
    <w:div w:id="965543719">
      <w:bodyDiv w:val="1"/>
      <w:marLeft w:val="0"/>
      <w:marRight w:val="0"/>
      <w:marTop w:val="0"/>
      <w:marBottom w:val="0"/>
      <w:divBdr>
        <w:top w:val="none" w:sz="0" w:space="0" w:color="auto"/>
        <w:left w:val="none" w:sz="0" w:space="0" w:color="auto"/>
        <w:bottom w:val="none" w:sz="0" w:space="0" w:color="auto"/>
        <w:right w:val="none" w:sz="0" w:space="0" w:color="auto"/>
      </w:divBdr>
    </w:div>
    <w:div w:id="1007177500">
      <w:bodyDiv w:val="1"/>
      <w:marLeft w:val="0"/>
      <w:marRight w:val="0"/>
      <w:marTop w:val="0"/>
      <w:marBottom w:val="0"/>
      <w:divBdr>
        <w:top w:val="none" w:sz="0" w:space="0" w:color="auto"/>
        <w:left w:val="none" w:sz="0" w:space="0" w:color="auto"/>
        <w:bottom w:val="none" w:sz="0" w:space="0" w:color="auto"/>
        <w:right w:val="none" w:sz="0" w:space="0" w:color="auto"/>
      </w:divBdr>
    </w:div>
    <w:div w:id="1035425883">
      <w:bodyDiv w:val="1"/>
      <w:marLeft w:val="0"/>
      <w:marRight w:val="0"/>
      <w:marTop w:val="0"/>
      <w:marBottom w:val="0"/>
      <w:divBdr>
        <w:top w:val="none" w:sz="0" w:space="0" w:color="auto"/>
        <w:left w:val="none" w:sz="0" w:space="0" w:color="auto"/>
        <w:bottom w:val="none" w:sz="0" w:space="0" w:color="auto"/>
        <w:right w:val="none" w:sz="0" w:space="0" w:color="auto"/>
      </w:divBdr>
    </w:div>
    <w:div w:id="1073166749">
      <w:bodyDiv w:val="1"/>
      <w:marLeft w:val="0"/>
      <w:marRight w:val="0"/>
      <w:marTop w:val="0"/>
      <w:marBottom w:val="0"/>
      <w:divBdr>
        <w:top w:val="none" w:sz="0" w:space="0" w:color="auto"/>
        <w:left w:val="none" w:sz="0" w:space="0" w:color="auto"/>
        <w:bottom w:val="none" w:sz="0" w:space="0" w:color="auto"/>
        <w:right w:val="none" w:sz="0" w:space="0" w:color="auto"/>
      </w:divBdr>
    </w:div>
    <w:div w:id="1120223177">
      <w:bodyDiv w:val="1"/>
      <w:marLeft w:val="0"/>
      <w:marRight w:val="0"/>
      <w:marTop w:val="0"/>
      <w:marBottom w:val="0"/>
      <w:divBdr>
        <w:top w:val="none" w:sz="0" w:space="0" w:color="auto"/>
        <w:left w:val="none" w:sz="0" w:space="0" w:color="auto"/>
        <w:bottom w:val="none" w:sz="0" w:space="0" w:color="auto"/>
        <w:right w:val="none" w:sz="0" w:space="0" w:color="auto"/>
      </w:divBdr>
    </w:div>
    <w:div w:id="1193806390">
      <w:bodyDiv w:val="1"/>
      <w:marLeft w:val="0"/>
      <w:marRight w:val="0"/>
      <w:marTop w:val="0"/>
      <w:marBottom w:val="0"/>
      <w:divBdr>
        <w:top w:val="none" w:sz="0" w:space="0" w:color="auto"/>
        <w:left w:val="none" w:sz="0" w:space="0" w:color="auto"/>
        <w:bottom w:val="none" w:sz="0" w:space="0" w:color="auto"/>
        <w:right w:val="none" w:sz="0" w:space="0" w:color="auto"/>
      </w:divBdr>
    </w:div>
    <w:div w:id="1215896873">
      <w:bodyDiv w:val="1"/>
      <w:marLeft w:val="0"/>
      <w:marRight w:val="0"/>
      <w:marTop w:val="0"/>
      <w:marBottom w:val="0"/>
      <w:divBdr>
        <w:top w:val="none" w:sz="0" w:space="0" w:color="auto"/>
        <w:left w:val="none" w:sz="0" w:space="0" w:color="auto"/>
        <w:bottom w:val="none" w:sz="0" w:space="0" w:color="auto"/>
        <w:right w:val="none" w:sz="0" w:space="0" w:color="auto"/>
      </w:divBdr>
    </w:div>
    <w:div w:id="1303998465">
      <w:bodyDiv w:val="1"/>
      <w:marLeft w:val="0"/>
      <w:marRight w:val="0"/>
      <w:marTop w:val="0"/>
      <w:marBottom w:val="0"/>
      <w:divBdr>
        <w:top w:val="none" w:sz="0" w:space="0" w:color="auto"/>
        <w:left w:val="none" w:sz="0" w:space="0" w:color="auto"/>
        <w:bottom w:val="none" w:sz="0" w:space="0" w:color="auto"/>
        <w:right w:val="none" w:sz="0" w:space="0" w:color="auto"/>
      </w:divBdr>
    </w:div>
    <w:div w:id="1333484755">
      <w:bodyDiv w:val="1"/>
      <w:marLeft w:val="0"/>
      <w:marRight w:val="0"/>
      <w:marTop w:val="0"/>
      <w:marBottom w:val="0"/>
      <w:divBdr>
        <w:top w:val="none" w:sz="0" w:space="0" w:color="auto"/>
        <w:left w:val="none" w:sz="0" w:space="0" w:color="auto"/>
        <w:bottom w:val="none" w:sz="0" w:space="0" w:color="auto"/>
        <w:right w:val="none" w:sz="0" w:space="0" w:color="auto"/>
      </w:divBdr>
    </w:div>
    <w:div w:id="1352026336">
      <w:bodyDiv w:val="1"/>
      <w:marLeft w:val="0"/>
      <w:marRight w:val="0"/>
      <w:marTop w:val="0"/>
      <w:marBottom w:val="0"/>
      <w:divBdr>
        <w:top w:val="none" w:sz="0" w:space="0" w:color="auto"/>
        <w:left w:val="none" w:sz="0" w:space="0" w:color="auto"/>
        <w:bottom w:val="none" w:sz="0" w:space="0" w:color="auto"/>
        <w:right w:val="none" w:sz="0" w:space="0" w:color="auto"/>
      </w:divBdr>
    </w:div>
    <w:div w:id="1378899118">
      <w:bodyDiv w:val="1"/>
      <w:marLeft w:val="0"/>
      <w:marRight w:val="0"/>
      <w:marTop w:val="0"/>
      <w:marBottom w:val="0"/>
      <w:divBdr>
        <w:top w:val="none" w:sz="0" w:space="0" w:color="auto"/>
        <w:left w:val="none" w:sz="0" w:space="0" w:color="auto"/>
        <w:bottom w:val="none" w:sz="0" w:space="0" w:color="auto"/>
        <w:right w:val="none" w:sz="0" w:space="0" w:color="auto"/>
      </w:divBdr>
    </w:div>
    <w:div w:id="1418405655">
      <w:bodyDiv w:val="1"/>
      <w:marLeft w:val="0"/>
      <w:marRight w:val="0"/>
      <w:marTop w:val="0"/>
      <w:marBottom w:val="0"/>
      <w:divBdr>
        <w:top w:val="none" w:sz="0" w:space="0" w:color="auto"/>
        <w:left w:val="none" w:sz="0" w:space="0" w:color="auto"/>
        <w:bottom w:val="none" w:sz="0" w:space="0" w:color="auto"/>
        <w:right w:val="none" w:sz="0" w:space="0" w:color="auto"/>
      </w:divBdr>
    </w:div>
    <w:div w:id="1425761553">
      <w:bodyDiv w:val="1"/>
      <w:marLeft w:val="0"/>
      <w:marRight w:val="0"/>
      <w:marTop w:val="0"/>
      <w:marBottom w:val="0"/>
      <w:divBdr>
        <w:top w:val="none" w:sz="0" w:space="0" w:color="auto"/>
        <w:left w:val="none" w:sz="0" w:space="0" w:color="auto"/>
        <w:bottom w:val="none" w:sz="0" w:space="0" w:color="auto"/>
        <w:right w:val="none" w:sz="0" w:space="0" w:color="auto"/>
      </w:divBdr>
    </w:div>
    <w:div w:id="1557935821">
      <w:bodyDiv w:val="1"/>
      <w:marLeft w:val="0"/>
      <w:marRight w:val="0"/>
      <w:marTop w:val="0"/>
      <w:marBottom w:val="0"/>
      <w:divBdr>
        <w:top w:val="none" w:sz="0" w:space="0" w:color="auto"/>
        <w:left w:val="none" w:sz="0" w:space="0" w:color="auto"/>
        <w:bottom w:val="none" w:sz="0" w:space="0" w:color="auto"/>
        <w:right w:val="none" w:sz="0" w:space="0" w:color="auto"/>
      </w:divBdr>
    </w:div>
    <w:div w:id="1585063495">
      <w:bodyDiv w:val="1"/>
      <w:marLeft w:val="0"/>
      <w:marRight w:val="0"/>
      <w:marTop w:val="0"/>
      <w:marBottom w:val="0"/>
      <w:divBdr>
        <w:top w:val="none" w:sz="0" w:space="0" w:color="auto"/>
        <w:left w:val="none" w:sz="0" w:space="0" w:color="auto"/>
        <w:bottom w:val="none" w:sz="0" w:space="0" w:color="auto"/>
        <w:right w:val="none" w:sz="0" w:space="0" w:color="auto"/>
      </w:divBdr>
    </w:div>
    <w:div w:id="1632323158">
      <w:bodyDiv w:val="1"/>
      <w:marLeft w:val="0"/>
      <w:marRight w:val="0"/>
      <w:marTop w:val="0"/>
      <w:marBottom w:val="0"/>
      <w:divBdr>
        <w:top w:val="none" w:sz="0" w:space="0" w:color="auto"/>
        <w:left w:val="none" w:sz="0" w:space="0" w:color="auto"/>
        <w:bottom w:val="none" w:sz="0" w:space="0" w:color="auto"/>
        <w:right w:val="none" w:sz="0" w:space="0" w:color="auto"/>
      </w:divBdr>
    </w:div>
    <w:div w:id="1639263762">
      <w:bodyDiv w:val="1"/>
      <w:marLeft w:val="0"/>
      <w:marRight w:val="0"/>
      <w:marTop w:val="0"/>
      <w:marBottom w:val="0"/>
      <w:divBdr>
        <w:top w:val="none" w:sz="0" w:space="0" w:color="auto"/>
        <w:left w:val="none" w:sz="0" w:space="0" w:color="auto"/>
        <w:bottom w:val="none" w:sz="0" w:space="0" w:color="auto"/>
        <w:right w:val="none" w:sz="0" w:space="0" w:color="auto"/>
      </w:divBdr>
    </w:div>
    <w:div w:id="1662342659">
      <w:bodyDiv w:val="1"/>
      <w:marLeft w:val="0"/>
      <w:marRight w:val="0"/>
      <w:marTop w:val="0"/>
      <w:marBottom w:val="0"/>
      <w:divBdr>
        <w:top w:val="none" w:sz="0" w:space="0" w:color="auto"/>
        <w:left w:val="none" w:sz="0" w:space="0" w:color="auto"/>
        <w:bottom w:val="none" w:sz="0" w:space="0" w:color="auto"/>
        <w:right w:val="none" w:sz="0" w:space="0" w:color="auto"/>
      </w:divBdr>
    </w:div>
    <w:div w:id="1675494587">
      <w:bodyDiv w:val="1"/>
      <w:marLeft w:val="0"/>
      <w:marRight w:val="0"/>
      <w:marTop w:val="0"/>
      <w:marBottom w:val="0"/>
      <w:divBdr>
        <w:top w:val="none" w:sz="0" w:space="0" w:color="auto"/>
        <w:left w:val="none" w:sz="0" w:space="0" w:color="auto"/>
        <w:bottom w:val="none" w:sz="0" w:space="0" w:color="auto"/>
        <w:right w:val="none" w:sz="0" w:space="0" w:color="auto"/>
      </w:divBdr>
    </w:div>
    <w:div w:id="1719817062">
      <w:bodyDiv w:val="1"/>
      <w:marLeft w:val="0"/>
      <w:marRight w:val="0"/>
      <w:marTop w:val="0"/>
      <w:marBottom w:val="0"/>
      <w:divBdr>
        <w:top w:val="none" w:sz="0" w:space="0" w:color="auto"/>
        <w:left w:val="none" w:sz="0" w:space="0" w:color="auto"/>
        <w:bottom w:val="none" w:sz="0" w:space="0" w:color="auto"/>
        <w:right w:val="none" w:sz="0" w:space="0" w:color="auto"/>
      </w:divBdr>
    </w:div>
    <w:div w:id="1782797843">
      <w:bodyDiv w:val="1"/>
      <w:marLeft w:val="0"/>
      <w:marRight w:val="0"/>
      <w:marTop w:val="0"/>
      <w:marBottom w:val="0"/>
      <w:divBdr>
        <w:top w:val="none" w:sz="0" w:space="0" w:color="auto"/>
        <w:left w:val="none" w:sz="0" w:space="0" w:color="auto"/>
        <w:bottom w:val="none" w:sz="0" w:space="0" w:color="auto"/>
        <w:right w:val="none" w:sz="0" w:space="0" w:color="auto"/>
      </w:divBdr>
    </w:div>
    <w:div w:id="1877155385">
      <w:bodyDiv w:val="1"/>
      <w:marLeft w:val="0"/>
      <w:marRight w:val="0"/>
      <w:marTop w:val="0"/>
      <w:marBottom w:val="0"/>
      <w:divBdr>
        <w:top w:val="none" w:sz="0" w:space="0" w:color="auto"/>
        <w:left w:val="none" w:sz="0" w:space="0" w:color="auto"/>
        <w:bottom w:val="none" w:sz="0" w:space="0" w:color="auto"/>
        <w:right w:val="none" w:sz="0" w:space="0" w:color="auto"/>
      </w:divBdr>
    </w:div>
    <w:div w:id="1938631048">
      <w:bodyDiv w:val="1"/>
      <w:marLeft w:val="0"/>
      <w:marRight w:val="0"/>
      <w:marTop w:val="0"/>
      <w:marBottom w:val="0"/>
      <w:divBdr>
        <w:top w:val="none" w:sz="0" w:space="0" w:color="auto"/>
        <w:left w:val="none" w:sz="0" w:space="0" w:color="auto"/>
        <w:bottom w:val="none" w:sz="0" w:space="0" w:color="auto"/>
        <w:right w:val="none" w:sz="0" w:space="0" w:color="auto"/>
      </w:divBdr>
    </w:div>
    <w:div w:id="2000571935">
      <w:bodyDiv w:val="1"/>
      <w:marLeft w:val="0"/>
      <w:marRight w:val="0"/>
      <w:marTop w:val="0"/>
      <w:marBottom w:val="0"/>
      <w:divBdr>
        <w:top w:val="none" w:sz="0" w:space="0" w:color="auto"/>
        <w:left w:val="none" w:sz="0" w:space="0" w:color="auto"/>
        <w:bottom w:val="none" w:sz="0" w:space="0" w:color="auto"/>
        <w:right w:val="none" w:sz="0" w:space="0" w:color="auto"/>
      </w:divBdr>
    </w:div>
    <w:div w:id="2053458526">
      <w:bodyDiv w:val="1"/>
      <w:marLeft w:val="0"/>
      <w:marRight w:val="0"/>
      <w:marTop w:val="0"/>
      <w:marBottom w:val="0"/>
      <w:divBdr>
        <w:top w:val="none" w:sz="0" w:space="0" w:color="auto"/>
        <w:left w:val="none" w:sz="0" w:space="0" w:color="auto"/>
        <w:bottom w:val="none" w:sz="0" w:space="0" w:color="auto"/>
        <w:right w:val="none" w:sz="0" w:space="0" w:color="auto"/>
      </w:divBdr>
    </w:div>
    <w:div w:id="2077583029">
      <w:bodyDiv w:val="1"/>
      <w:marLeft w:val="0"/>
      <w:marRight w:val="0"/>
      <w:marTop w:val="0"/>
      <w:marBottom w:val="0"/>
      <w:divBdr>
        <w:top w:val="none" w:sz="0" w:space="0" w:color="auto"/>
        <w:left w:val="none" w:sz="0" w:space="0" w:color="auto"/>
        <w:bottom w:val="none" w:sz="0" w:space="0" w:color="auto"/>
        <w:right w:val="none" w:sz="0" w:space="0" w:color="auto"/>
      </w:divBdr>
    </w:div>
    <w:div w:id="2080785058">
      <w:bodyDiv w:val="1"/>
      <w:marLeft w:val="0"/>
      <w:marRight w:val="0"/>
      <w:marTop w:val="0"/>
      <w:marBottom w:val="0"/>
      <w:divBdr>
        <w:top w:val="none" w:sz="0" w:space="0" w:color="auto"/>
        <w:left w:val="none" w:sz="0" w:space="0" w:color="auto"/>
        <w:bottom w:val="none" w:sz="0" w:space="0" w:color="auto"/>
        <w:right w:val="none" w:sz="0" w:space="0" w:color="auto"/>
      </w:divBdr>
    </w:div>
    <w:div w:id="2094619909">
      <w:bodyDiv w:val="1"/>
      <w:marLeft w:val="0"/>
      <w:marRight w:val="0"/>
      <w:marTop w:val="0"/>
      <w:marBottom w:val="0"/>
      <w:divBdr>
        <w:top w:val="none" w:sz="0" w:space="0" w:color="auto"/>
        <w:left w:val="none" w:sz="0" w:space="0" w:color="auto"/>
        <w:bottom w:val="none" w:sz="0" w:space="0" w:color="auto"/>
        <w:right w:val="none" w:sz="0" w:space="0" w:color="auto"/>
      </w:divBdr>
    </w:div>
    <w:div w:id="20992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poy@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7375-F12B-4ABE-9AA0-5491AD10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32</Pages>
  <Words>10707</Words>
  <Characters>58891</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Santiago</cp:lastModifiedBy>
  <cp:revision>15</cp:revision>
  <cp:lastPrinted>2017-02-16T19:50:00Z</cp:lastPrinted>
  <dcterms:created xsi:type="dcterms:W3CDTF">2017-02-20T16:27:00Z</dcterms:created>
  <dcterms:modified xsi:type="dcterms:W3CDTF">2017-02-26T15:15:00Z</dcterms:modified>
</cp:coreProperties>
</file>