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220" w:rsidRPr="00483AEE" w:rsidRDefault="001F60E6" w:rsidP="00483AEE">
      <w:pPr>
        <w:spacing w:after="120" w:line="360" w:lineRule="auto"/>
        <w:jc w:val="center"/>
        <w:rPr>
          <w:b/>
          <w:szCs w:val="24"/>
        </w:rPr>
      </w:pPr>
      <w:r w:rsidRPr="00483AEE">
        <w:rPr>
          <w:b/>
          <w:szCs w:val="24"/>
        </w:rPr>
        <w:t>Transformaciones económicas, reformas estructurales y desigualdad distributiva del ingreso monetario familiar en la argentina</w:t>
      </w:r>
      <w:r w:rsidR="002F3FCC" w:rsidRPr="00483AEE">
        <w:rPr>
          <w:b/>
          <w:szCs w:val="24"/>
        </w:rPr>
        <w:t xml:space="preserve"> (197</w:t>
      </w:r>
      <w:r w:rsidR="007E7C2D" w:rsidRPr="00483AEE">
        <w:rPr>
          <w:b/>
          <w:szCs w:val="24"/>
        </w:rPr>
        <w:t>4</w:t>
      </w:r>
      <w:r w:rsidR="002F3FCC" w:rsidRPr="00483AEE">
        <w:rPr>
          <w:b/>
          <w:szCs w:val="24"/>
        </w:rPr>
        <w:t>-2014).</w:t>
      </w:r>
      <w:r w:rsidRPr="00483AEE">
        <w:rPr>
          <w:rStyle w:val="EncabezadoCar"/>
          <w:b/>
          <w:szCs w:val="24"/>
        </w:rPr>
        <w:t xml:space="preserve"> </w:t>
      </w:r>
      <w:r w:rsidRPr="00483AEE">
        <w:rPr>
          <w:rStyle w:val="Refdenotaalpie"/>
          <w:b/>
          <w:szCs w:val="24"/>
        </w:rPr>
        <w:footnoteReference w:customMarkFollows="1" w:id="1"/>
        <w:sym w:font="Symbol" w:char="F02A"/>
      </w:r>
    </w:p>
    <w:p w:rsidR="00F542D8" w:rsidRPr="00483AEE" w:rsidRDefault="00746CBF" w:rsidP="00483AEE">
      <w:pPr>
        <w:spacing w:after="0" w:line="360" w:lineRule="auto"/>
        <w:jc w:val="right"/>
        <w:rPr>
          <w:rFonts w:eastAsia="Times New Roman"/>
          <w:bCs/>
          <w:i/>
          <w:szCs w:val="24"/>
          <w:lang w:val="es-ES" w:eastAsia="es-ES"/>
        </w:rPr>
      </w:pPr>
      <w:r w:rsidRPr="00483AEE">
        <w:rPr>
          <w:rFonts w:eastAsia="Times New Roman"/>
          <w:bCs/>
          <w:i/>
          <w:szCs w:val="24"/>
          <w:lang w:val="es-ES" w:eastAsia="es-ES"/>
        </w:rPr>
        <w:t>Santiago Poy</w:t>
      </w:r>
    </w:p>
    <w:p w:rsidR="00F267E5" w:rsidRPr="00483AEE" w:rsidRDefault="00746CBF" w:rsidP="00483AEE">
      <w:pPr>
        <w:spacing w:after="0" w:line="360" w:lineRule="auto"/>
        <w:jc w:val="right"/>
        <w:rPr>
          <w:rFonts w:eastAsia="Times New Roman"/>
          <w:bCs/>
          <w:i/>
          <w:szCs w:val="24"/>
          <w:lang w:val="es-ES" w:eastAsia="es-ES"/>
        </w:rPr>
      </w:pPr>
      <w:r w:rsidRPr="00483AEE">
        <w:rPr>
          <w:rFonts w:eastAsia="Times New Roman"/>
          <w:bCs/>
          <w:i/>
          <w:szCs w:val="24"/>
          <w:lang w:val="es-ES" w:eastAsia="es-ES"/>
        </w:rPr>
        <w:t>Agustín Salvia</w:t>
      </w:r>
    </w:p>
    <w:p w:rsidR="003B47A5" w:rsidRPr="00483AEE" w:rsidRDefault="003B47A5" w:rsidP="00483AEE">
      <w:pPr>
        <w:spacing w:after="0" w:line="360" w:lineRule="auto"/>
        <w:rPr>
          <w:rFonts w:eastAsia="Times New Roman"/>
          <w:bCs/>
          <w:szCs w:val="24"/>
          <w:lang w:val="es-ES" w:eastAsia="es-ES"/>
        </w:rPr>
      </w:pPr>
    </w:p>
    <w:p w:rsidR="001A4335" w:rsidRPr="00483AEE" w:rsidRDefault="001A4335" w:rsidP="00483AEE">
      <w:pPr>
        <w:spacing w:after="120" w:line="360" w:lineRule="auto"/>
        <w:jc w:val="center"/>
        <w:rPr>
          <w:rFonts w:eastAsia="Times New Roman"/>
          <w:b/>
          <w:bCs/>
          <w:szCs w:val="24"/>
          <w:lang w:val="es-ES" w:eastAsia="es-ES"/>
        </w:rPr>
      </w:pPr>
      <w:r w:rsidRPr="00483AEE">
        <w:rPr>
          <w:rFonts w:eastAsia="Times New Roman"/>
          <w:b/>
          <w:bCs/>
          <w:szCs w:val="24"/>
          <w:lang w:val="es-ES" w:eastAsia="es-ES"/>
        </w:rPr>
        <w:t xml:space="preserve">1.- </w:t>
      </w:r>
      <w:r w:rsidR="00990099" w:rsidRPr="00483AEE">
        <w:rPr>
          <w:rFonts w:eastAsia="Times New Roman"/>
          <w:b/>
          <w:bCs/>
          <w:szCs w:val="24"/>
          <w:lang w:val="es-ES" w:eastAsia="es-ES"/>
        </w:rPr>
        <w:t>Introducción</w:t>
      </w:r>
    </w:p>
    <w:p w:rsidR="002D7C0D" w:rsidRPr="00483AEE" w:rsidRDefault="002B1D20" w:rsidP="00483AEE">
      <w:pPr>
        <w:spacing w:after="120" w:line="360" w:lineRule="auto"/>
        <w:jc w:val="both"/>
        <w:rPr>
          <w:rFonts w:eastAsia="Times New Roman"/>
          <w:bCs/>
          <w:szCs w:val="24"/>
          <w:lang w:val="es-ES" w:eastAsia="es-ES"/>
        </w:rPr>
      </w:pPr>
      <w:r w:rsidRPr="00483AEE">
        <w:rPr>
          <w:rFonts w:eastAsia="Times New Roman"/>
          <w:bCs/>
          <w:szCs w:val="24"/>
          <w:lang w:val="es-ES" w:eastAsia="es-ES"/>
        </w:rPr>
        <w:t xml:space="preserve">El presente capítulo aborda un análisis de las últimas cuatro décadas de historia político-económica argentina con el fin de brindar un marco </w:t>
      </w:r>
      <w:r w:rsidR="00BD235E" w:rsidRPr="00483AEE">
        <w:rPr>
          <w:rFonts w:eastAsia="Times New Roman"/>
          <w:bCs/>
          <w:szCs w:val="24"/>
          <w:lang w:val="es-ES" w:eastAsia="es-ES"/>
        </w:rPr>
        <w:t>descriptivo</w:t>
      </w:r>
      <w:r w:rsidRPr="00483AEE">
        <w:rPr>
          <w:rFonts w:eastAsia="Times New Roman"/>
          <w:bCs/>
          <w:szCs w:val="24"/>
          <w:lang w:val="es-ES" w:eastAsia="es-ES"/>
        </w:rPr>
        <w:t xml:space="preserve"> a los cambios registrados por la desigualdad económica a lo largo de </w:t>
      </w:r>
      <w:r w:rsidR="00BD235E" w:rsidRPr="00483AEE">
        <w:rPr>
          <w:rFonts w:eastAsia="Times New Roman"/>
          <w:bCs/>
          <w:szCs w:val="24"/>
          <w:lang w:val="es-ES" w:eastAsia="es-ES"/>
        </w:rPr>
        <w:t>dicho</w:t>
      </w:r>
      <w:r w:rsidRPr="00483AEE">
        <w:rPr>
          <w:rFonts w:eastAsia="Times New Roman"/>
          <w:bCs/>
          <w:szCs w:val="24"/>
          <w:lang w:val="es-ES" w:eastAsia="es-ES"/>
        </w:rPr>
        <w:t xml:space="preserve"> período. En función d</w:t>
      </w:r>
      <w:r w:rsidR="009B1739" w:rsidRPr="00483AEE">
        <w:rPr>
          <w:rFonts w:eastAsia="Times New Roman"/>
          <w:bCs/>
          <w:szCs w:val="24"/>
          <w:lang w:val="es-ES" w:eastAsia="es-ES"/>
        </w:rPr>
        <w:t>e este objetivo</w:t>
      </w:r>
      <w:r w:rsidR="00BD235E" w:rsidRPr="00483AEE">
        <w:rPr>
          <w:rFonts w:eastAsia="Times New Roman"/>
          <w:bCs/>
          <w:szCs w:val="24"/>
          <w:lang w:val="es-ES" w:eastAsia="es-ES"/>
        </w:rPr>
        <w:t>,</w:t>
      </w:r>
      <w:r w:rsidRPr="00483AEE">
        <w:rPr>
          <w:rFonts w:eastAsia="Times New Roman"/>
          <w:bCs/>
          <w:szCs w:val="24"/>
          <w:lang w:val="es-ES" w:eastAsia="es-ES"/>
        </w:rPr>
        <w:t xml:space="preserve"> se </w:t>
      </w:r>
      <w:r w:rsidR="009B1739" w:rsidRPr="00483AEE">
        <w:rPr>
          <w:rFonts w:eastAsia="Times New Roman"/>
          <w:bCs/>
          <w:szCs w:val="24"/>
          <w:lang w:val="es-ES" w:eastAsia="es-ES"/>
        </w:rPr>
        <w:t>analizan los cambios en la desigualdad económica entre 1974 y 2014 a partir de considerar</w:t>
      </w:r>
      <w:r w:rsidRPr="00483AEE">
        <w:rPr>
          <w:rFonts w:eastAsia="Times New Roman"/>
          <w:bCs/>
          <w:szCs w:val="24"/>
          <w:lang w:val="es-ES" w:eastAsia="es-ES"/>
        </w:rPr>
        <w:t xml:space="preserve"> -</w:t>
      </w:r>
      <w:r w:rsidR="00144F6B" w:rsidRPr="00483AEE">
        <w:rPr>
          <w:rFonts w:eastAsia="Times New Roman"/>
          <w:bCs/>
          <w:szCs w:val="24"/>
          <w:lang w:val="es-ES" w:eastAsia="es-ES"/>
        </w:rPr>
        <w:t xml:space="preserve">siguiendo el modelo presentado en </w:t>
      </w:r>
      <w:r w:rsidRPr="00483AEE">
        <w:rPr>
          <w:rFonts w:eastAsia="Times New Roman"/>
          <w:bCs/>
          <w:szCs w:val="24"/>
          <w:lang w:val="es-ES" w:eastAsia="es-ES"/>
        </w:rPr>
        <w:t xml:space="preserve">el </w:t>
      </w:r>
      <w:r w:rsidR="00C739DC" w:rsidRPr="00483AEE">
        <w:rPr>
          <w:rFonts w:eastAsia="Times New Roman"/>
          <w:bCs/>
          <w:szCs w:val="24"/>
          <w:highlight w:val="yellow"/>
          <w:lang w:val="es-ES" w:eastAsia="es-ES"/>
        </w:rPr>
        <w:t>capítulo 1</w:t>
      </w:r>
      <w:r w:rsidRPr="00483AEE">
        <w:rPr>
          <w:rFonts w:eastAsia="Times New Roman"/>
          <w:bCs/>
          <w:szCs w:val="24"/>
          <w:lang w:val="es-ES" w:eastAsia="es-ES"/>
        </w:rPr>
        <w:t xml:space="preserve"> de este libro- tres etapas político-económicas bien diferenciadas</w:t>
      </w:r>
      <w:r w:rsidR="009B1739" w:rsidRPr="00483AEE">
        <w:rPr>
          <w:rFonts w:eastAsia="Times New Roman"/>
          <w:bCs/>
          <w:szCs w:val="24"/>
          <w:lang w:val="es-ES" w:eastAsia="es-ES"/>
        </w:rPr>
        <w:t xml:space="preserve"> en la dinámica histórica del país.</w:t>
      </w:r>
      <w:r w:rsidRPr="00483AEE">
        <w:rPr>
          <w:rFonts w:eastAsia="Times New Roman"/>
          <w:bCs/>
          <w:szCs w:val="24"/>
          <w:lang w:val="es-ES" w:eastAsia="es-ES"/>
        </w:rPr>
        <w:t xml:space="preserve"> </w:t>
      </w:r>
    </w:p>
    <w:p w:rsidR="009B1739" w:rsidRPr="00483AEE" w:rsidRDefault="002B1D20" w:rsidP="00483AEE">
      <w:pPr>
        <w:spacing w:after="120" w:line="360" w:lineRule="auto"/>
        <w:jc w:val="both"/>
        <w:rPr>
          <w:rFonts w:eastAsia="Times New Roman"/>
          <w:bCs/>
          <w:szCs w:val="24"/>
          <w:lang w:val="es-ES" w:eastAsia="es-ES"/>
        </w:rPr>
      </w:pPr>
      <w:r w:rsidRPr="00483AEE">
        <w:rPr>
          <w:rFonts w:eastAsia="Times New Roman"/>
          <w:bCs/>
          <w:szCs w:val="24"/>
          <w:lang w:val="es-ES" w:eastAsia="es-ES"/>
        </w:rPr>
        <w:t xml:space="preserve">Tal como se habrá de </w:t>
      </w:r>
      <w:r w:rsidR="00550876" w:rsidRPr="00483AEE">
        <w:rPr>
          <w:rFonts w:eastAsia="Times New Roman"/>
          <w:bCs/>
          <w:szCs w:val="24"/>
          <w:lang w:val="es-ES" w:eastAsia="es-ES"/>
        </w:rPr>
        <w:t>mostrar</w:t>
      </w:r>
      <w:r w:rsidRPr="00483AEE">
        <w:rPr>
          <w:rFonts w:eastAsia="Times New Roman"/>
          <w:bCs/>
          <w:szCs w:val="24"/>
          <w:lang w:val="es-ES" w:eastAsia="es-ES"/>
        </w:rPr>
        <w:t xml:space="preserve">, cada una de </w:t>
      </w:r>
      <w:r w:rsidR="00144F6B" w:rsidRPr="00483AEE">
        <w:rPr>
          <w:rFonts w:eastAsia="Times New Roman"/>
          <w:bCs/>
          <w:szCs w:val="24"/>
          <w:lang w:val="es-ES" w:eastAsia="es-ES"/>
        </w:rPr>
        <w:t>estas etapas</w:t>
      </w:r>
      <w:r w:rsidRPr="00483AEE">
        <w:rPr>
          <w:rFonts w:eastAsia="Times New Roman"/>
          <w:bCs/>
          <w:szCs w:val="24"/>
          <w:lang w:val="es-ES" w:eastAsia="es-ES"/>
        </w:rPr>
        <w:t xml:space="preserve"> registró comportamientos diferentes en materia de </w:t>
      </w:r>
      <w:r w:rsidR="002D7C0D" w:rsidRPr="00483AEE">
        <w:rPr>
          <w:rFonts w:eastAsia="Times New Roman"/>
          <w:bCs/>
          <w:szCs w:val="24"/>
          <w:lang w:val="es-ES" w:eastAsia="es-ES"/>
        </w:rPr>
        <w:t>modelo</w:t>
      </w:r>
      <w:r w:rsidR="00144F6B" w:rsidRPr="00483AEE">
        <w:rPr>
          <w:rFonts w:eastAsia="Times New Roman"/>
          <w:bCs/>
          <w:szCs w:val="24"/>
          <w:lang w:val="es-ES" w:eastAsia="es-ES"/>
        </w:rPr>
        <w:t xml:space="preserve"> de crecimiento, </w:t>
      </w:r>
      <w:r w:rsidR="002D7C0D" w:rsidRPr="00483AEE">
        <w:rPr>
          <w:rFonts w:eastAsia="Times New Roman"/>
          <w:bCs/>
          <w:szCs w:val="24"/>
          <w:lang w:val="es-ES" w:eastAsia="es-ES"/>
        </w:rPr>
        <w:t xml:space="preserve">alianzas políticas </w:t>
      </w:r>
      <w:r w:rsidR="00144F6B" w:rsidRPr="00483AEE">
        <w:rPr>
          <w:rFonts w:eastAsia="Times New Roman"/>
          <w:bCs/>
          <w:szCs w:val="24"/>
          <w:lang w:val="es-ES" w:eastAsia="es-ES"/>
        </w:rPr>
        <w:t xml:space="preserve">y </w:t>
      </w:r>
      <w:r w:rsidRPr="00483AEE">
        <w:rPr>
          <w:rFonts w:eastAsia="Times New Roman"/>
          <w:bCs/>
          <w:szCs w:val="24"/>
          <w:lang w:val="es-ES" w:eastAsia="es-ES"/>
        </w:rPr>
        <w:t>desigualdad económica</w:t>
      </w:r>
      <w:r w:rsidR="00BA1380" w:rsidRPr="00483AEE">
        <w:rPr>
          <w:rFonts w:eastAsia="Times New Roman"/>
          <w:bCs/>
          <w:szCs w:val="24"/>
          <w:lang w:val="es-ES" w:eastAsia="es-ES"/>
        </w:rPr>
        <w:t xml:space="preserve">, pero no por ello </w:t>
      </w:r>
      <w:r w:rsidR="002D7C0D" w:rsidRPr="00483AEE">
        <w:rPr>
          <w:rFonts w:eastAsia="Times New Roman"/>
          <w:bCs/>
          <w:szCs w:val="24"/>
          <w:lang w:val="es-ES" w:eastAsia="es-ES"/>
        </w:rPr>
        <w:t>se explican sus</w:t>
      </w:r>
      <w:r w:rsidR="00BA1380" w:rsidRPr="00483AEE">
        <w:rPr>
          <w:rFonts w:eastAsia="Times New Roman"/>
          <w:bCs/>
          <w:szCs w:val="24"/>
          <w:lang w:val="es-ES" w:eastAsia="es-ES"/>
        </w:rPr>
        <w:t xml:space="preserve"> resultados</w:t>
      </w:r>
      <w:r w:rsidRPr="00483AEE">
        <w:rPr>
          <w:rFonts w:eastAsia="Times New Roman"/>
          <w:bCs/>
          <w:szCs w:val="24"/>
          <w:lang w:val="es-ES" w:eastAsia="es-ES"/>
        </w:rPr>
        <w:t>.</w:t>
      </w:r>
      <w:r w:rsidR="00BA1380" w:rsidRPr="00483AEE">
        <w:rPr>
          <w:rFonts w:eastAsia="Times New Roman"/>
          <w:bCs/>
          <w:szCs w:val="24"/>
          <w:lang w:val="es-ES" w:eastAsia="es-ES"/>
        </w:rPr>
        <w:t xml:space="preserve"> Para aproximarnos a este objetivo debemos al menos entender </w:t>
      </w:r>
      <w:r w:rsidR="00656E2C" w:rsidRPr="00483AEE">
        <w:rPr>
          <w:rFonts w:eastAsia="Times New Roman"/>
          <w:bCs/>
          <w:szCs w:val="24"/>
          <w:lang w:val="es-ES" w:eastAsia="es-ES"/>
        </w:rPr>
        <w:t>l</w:t>
      </w:r>
      <w:r w:rsidR="00202199" w:rsidRPr="00483AEE">
        <w:rPr>
          <w:rFonts w:eastAsia="Times New Roman"/>
          <w:bCs/>
          <w:szCs w:val="24"/>
          <w:lang w:val="es-ES" w:eastAsia="es-ES"/>
        </w:rPr>
        <w:t>os cambios ocurridos en l</w:t>
      </w:r>
      <w:r w:rsidR="00144F6B" w:rsidRPr="00483AEE">
        <w:rPr>
          <w:rFonts w:eastAsia="Times New Roman"/>
          <w:bCs/>
          <w:szCs w:val="24"/>
          <w:lang w:val="es-ES" w:eastAsia="es-ES"/>
        </w:rPr>
        <w:t>a</w:t>
      </w:r>
      <w:r w:rsidR="00202199" w:rsidRPr="00483AEE">
        <w:rPr>
          <w:rFonts w:eastAsia="Times New Roman"/>
          <w:bCs/>
          <w:szCs w:val="24"/>
          <w:lang w:val="es-ES" w:eastAsia="es-ES"/>
        </w:rPr>
        <w:t xml:space="preserve"> dinámica m</w:t>
      </w:r>
      <w:r w:rsidR="00BA1380" w:rsidRPr="00483AEE">
        <w:rPr>
          <w:rFonts w:eastAsia="Times New Roman"/>
          <w:bCs/>
          <w:szCs w:val="24"/>
          <w:lang w:val="es-ES" w:eastAsia="es-ES"/>
        </w:rPr>
        <w:t xml:space="preserve">acroeconómica, </w:t>
      </w:r>
      <w:r w:rsidR="00144F6B" w:rsidRPr="00483AEE">
        <w:rPr>
          <w:rFonts w:eastAsia="Times New Roman"/>
          <w:bCs/>
          <w:szCs w:val="24"/>
          <w:lang w:val="es-ES" w:eastAsia="es-ES"/>
        </w:rPr>
        <w:t xml:space="preserve">en </w:t>
      </w:r>
      <w:r w:rsidR="00202199" w:rsidRPr="00483AEE">
        <w:rPr>
          <w:rFonts w:eastAsia="Times New Roman"/>
          <w:bCs/>
          <w:szCs w:val="24"/>
          <w:lang w:val="es-ES" w:eastAsia="es-ES"/>
        </w:rPr>
        <w:t xml:space="preserve">el </w:t>
      </w:r>
      <w:r w:rsidR="002D7C0D" w:rsidRPr="00483AEE">
        <w:rPr>
          <w:rFonts w:eastAsia="Times New Roman"/>
          <w:bCs/>
          <w:szCs w:val="24"/>
          <w:lang w:val="es-ES" w:eastAsia="es-ES"/>
        </w:rPr>
        <w:t xml:space="preserve">comportamiento </w:t>
      </w:r>
      <w:r w:rsidR="00202199" w:rsidRPr="00483AEE">
        <w:rPr>
          <w:rFonts w:eastAsia="Times New Roman"/>
          <w:bCs/>
          <w:szCs w:val="24"/>
          <w:lang w:val="es-ES" w:eastAsia="es-ES"/>
        </w:rPr>
        <w:t xml:space="preserve">de </w:t>
      </w:r>
      <w:r w:rsidR="00BA1380" w:rsidRPr="00483AEE">
        <w:rPr>
          <w:rFonts w:eastAsia="Times New Roman"/>
          <w:bCs/>
          <w:szCs w:val="24"/>
          <w:lang w:val="es-ES" w:eastAsia="es-ES"/>
        </w:rPr>
        <w:t>los</w:t>
      </w:r>
      <w:r w:rsidRPr="00483AEE">
        <w:rPr>
          <w:rFonts w:eastAsia="Times New Roman"/>
          <w:bCs/>
          <w:szCs w:val="24"/>
          <w:lang w:val="es-ES" w:eastAsia="es-ES"/>
        </w:rPr>
        <w:t xml:space="preserve"> mercado</w:t>
      </w:r>
      <w:r w:rsidR="00BA1380" w:rsidRPr="00483AEE">
        <w:rPr>
          <w:rFonts w:eastAsia="Times New Roman"/>
          <w:bCs/>
          <w:szCs w:val="24"/>
          <w:lang w:val="es-ES" w:eastAsia="es-ES"/>
        </w:rPr>
        <w:t>s</w:t>
      </w:r>
      <w:r w:rsidRPr="00483AEE">
        <w:rPr>
          <w:rFonts w:eastAsia="Times New Roman"/>
          <w:bCs/>
          <w:szCs w:val="24"/>
          <w:lang w:val="es-ES" w:eastAsia="es-ES"/>
        </w:rPr>
        <w:t xml:space="preserve"> de trabajo</w:t>
      </w:r>
      <w:r w:rsidR="00BA1380" w:rsidRPr="00483AEE">
        <w:rPr>
          <w:rFonts w:eastAsia="Times New Roman"/>
          <w:bCs/>
          <w:szCs w:val="24"/>
          <w:lang w:val="es-ES" w:eastAsia="es-ES"/>
        </w:rPr>
        <w:t xml:space="preserve"> y </w:t>
      </w:r>
      <w:r w:rsidR="00202199" w:rsidRPr="00483AEE">
        <w:rPr>
          <w:rFonts w:eastAsia="Times New Roman"/>
          <w:bCs/>
          <w:szCs w:val="24"/>
          <w:lang w:val="es-ES" w:eastAsia="es-ES"/>
        </w:rPr>
        <w:t>en los</w:t>
      </w:r>
      <w:r w:rsidR="00BA1380" w:rsidRPr="00483AEE">
        <w:rPr>
          <w:rFonts w:eastAsia="Times New Roman"/>
          <w:bCs/>
          <w:szCs w:val="24"/>
          <w:lang w:val="es-ES" w:eastAsia="es-ES"/>
        </w:rPr>
        <w:t xml:space="preserve"> alcance</w:t>
      </w:r>
      <w:r w:rsidR="00202199" w:rsidRPr="00483AEE">
        <w:rPr>
          <w:rFonts w:eastAsia="Times New Roman"/>
          <w:bCs/>
          <w:szCs w:val="24"/>
          <w:lang w:val="es-ES" w:eastAsia="es-ES"/>
        </w:rPr>
        <w:t>s</w:t>
      </w:r>
      <w:r w:rsidR="00BA1380" w:rsidRPr="00483AEE">
        <w:rPr>
          <w:rFonts w:eastAsia="Times New Roman"/>
          <w:bCs/>
          <w:szCs w:val="24"/>
          <w:lang w:val="es-ES" w:eastAsia="es-ES"/>
        </w:rPr>
        <w:t xml:space="preserve"> de las polít</w:t>
      </w:r>
      <w:r w:rsidRPr="00483AEE">
        <w:rPr>
          <w:rFonts w:eastAsia="Times New Roman"/>
          <w:bCs/>
          <w:szCs w:val="24"/>
          <w:lang w:val="es-ES" w:eastAsia="es-ES"/>
        </w:rPr>
        <w:t xml:space="preserve">icas </w:t>
      </w:r>
      <w:r w:rsidR="00483AEE" w:rsidRPr="00483AEE">
        <w:rPr>
          <w:rFonts w:eastAsia="Times New Roman"/>
          <w:bCs/>
          <w:szCs w:val="24"/>
          <w:lang w:val="es-ES" w:eastAsia="es-ES"/>
        </w:rPr>
        <w:t>sociolaborales</w:t>
      </w:r>
      <w:r w:rsidRPr="00483AEE">
        <w:rPr>
          <w:rFonts w:eastAsia="Times New Roman"/>
          <w:bCs/>
          <w:szCs w:val="24"/>
          <w:lang w:val="es-ES" w:eastAsia="es-ES"/>
        </w:rPr>
        <w:t xml:space="preserve">, en tanto mecanismos que </w:t>
      </w:r>
      <w:r w:rsidR="002D7C0D" w:rsidRPr="00483AEE">
        <w:rPr>
          <w:rFonts w:eastAsia="Times New Roman"/>
          <w:bCs/>
          <w:szCs w:val="24"/>
          <w:lang w:val="es-ES" w:eastAsia="es-ES"/>
        </w:rPr>
        <w:t xml:space="preserve">habrían </w:t>
      </w:r>
      <w:r w:rsidRPr="00483AEE">
        <w:rPr>
          <w:rFonts w:eastAsia="Times New Roman"/>
          <w:bCs/>
          <w:szCs w:val="24"/>
          <w:lang w:val="es-ES" w:eastAsia="es-ES"/>
        </w:rPr>
        <w:t>interv</w:t>
      </w:r>
      <w:r w:rsidR="002D7C0D" w:rsidRPr="00483AEE">
        <w:rPr>
          <w:rFonts w:eastAsia="Times New Roman"/>
          <w:bCs/>
          <w:szCs w:val="24"/>
          <w:lang w:val="es-ES" w:eastAsia="es-ES"/>
        </w:rPr>
        <w:t>enido</w:t>
      </w:r>
      <w:r w:rsidRPr="00483AEE">
        <w:rPr>
          <w:rFonts w:eastAsia="Times New Roman"/>
          <w:bCs/>
          <w:szCs w:val="24"/>
          <w:lang w:val="es-ES" w:eastAsia="es-ES"/>
        </w:rPr>
        <w:t xml:space="preserve"> de manera </w:t>
      </w:r>
      <w:r w:rsidR="002D7C0D" w:rsidRPr="00483AEE">
        <w:rPr>
          <w:rFonts w:eastAsia="Times New Roman"/>
          <w:bCs/>
          <w:szCs w:val="24"/>
          <w:lang w:val="es-ES" w:eastAsia="es-ES"/>
        </w:rPr>
        <w:t>importante</w:t>
      </w:r>
      <w:r w:rsidRPr="00483AEE">
        <w:rPr>
          <w:rFonts w:eastAsia="Times New Roman"/>
          <w:bCs/>
          <w:szCs w:val="24"/>
          <w:lang w:val="es-ES" w:eastAsia="es-ES"/>
        </w:rPr>
        <w:t xml:space="preserve"> sobre </w:t>
      </w:r>
      <w:r w:rsidR="00D14F8F" w:rsidRPr="00483AEE">
        <w:rPr>
          <w:rFonts w:eastAsia="Times New Roman"/>
          <w:bCs/>
          <w:szCs w:val="24"/>
          <w:lang w:val="es-ES" w:eastAsia="es-ES"/>
        </w:rPr>
        <w:t>las variaciones ocurridas en la</w:t>
      </w:r>
      <w:r w:rsidRPr="00483AEE">
        <w:rPr>
          <w:rFonts w:eastAsia="Times New Roman"/>
          <w:bCs/>
          <w:szCs w:val="24"/>
          <w:lang w:val="es-ES" w:eastAsia="es-ES"/>
        </w:rPr>
        <w:t xml:space="preserve"> distribución del ingreso. </w:t>
      </w:r>
    </w:p>
    <w:p w:rsidR="00D81D24" w:rsidRPr="00483AEE" w:rsidRDefault="00D81D24" w:rsidP="00483AEE">
      <w:pPr>
        <w:spacing w:after="120" w:line="360" w:lineRule="auto"/>
        <w:jc w:val="both"/>
        <w:rPr>
          <w:szCs w:val="24"/>
        </w:rPr>
      </w:pPr>
      <w:r w:rsidRPr="00483AEE">
        <w:rPr>
          <w:szCs w:val="24"/>
        </w:rPr>
        <w:t xml:space="preserve">Si bien es sabido que el estudio de la desigualdad económica basado en la captación de ingresos que hacen las encuestas de hogares -tal como aquí se aplica- consiguen sólo una aproximación parcial y sesgada del fenómeno, en tanto que esta estrategia no  incluye a los sectores más ricos, </w:t>
      </w:r>
      <w:proofErr w:type="spellStart"/>
      <w:r w:rsidRPr="00483AEE">
        <w:rPr>
          <w:szCs w:val="24"/>
        </w:rPr>
        <w:t>subregistra</w:t>
      </w:r>
      <w:proofErr w:type="spellEnd"/>
      <w:r w:rsidRPr="00483AEE">
        <w:rPr>
          <w:szCs w:val="24"/>
        </w:rPr>
        <w:t xml:space="preserve"> ingresos e ignora la concentración de capitales físicos, financieros y/o tecnológicos</w:t>
      </w:r>
      <w:r w:rsidRPr="00483AEE">
        <w:rPr>
          <w:rStyle w:val="Refdenotaalpie"/>
          <w:szCs w:val="24"/>
        </w:rPr>
        <w:footnoteReference w:id="2"/>
      </w:r>
      <w:r w:rsidRPr="00483AEE">
        <w:rPr>
          <w:szCs w:val="24"/>
        </w:rPr>
        <w:t xml:space="preserve">, se asume aquí que el comportamiento de la desigualdad distributiva observada permite </w:t>
      </w:r>
      <w:r w:rsidR="00A51230" w:rsidRPr="00483AEE">
        <w:rPr>
          <w:szCs w:val="24"/>
        </w:rPr>
        <w:t>sacar</w:t>
      </w:r>
      <w:r w:rsidRPr="00483AEE">
        <w:rPr>
          <w:szCs w:val="24"/>
        </w:rPr>
        <w:t xml:space="preserve"> a la luz aspectos significativos de los cambios que experimenta el patrón de acumulación y distribución de excedentes </w:t>
      </w:r>
      <w:r w:rsidR="002D7C0D" w:rsidRPr="00483AEE">
        <w:rPr>
          <w:szCs w:val="24"/>
        </w:rPr>
        <w:t xml:space="preserve">económicos </w:t>
      </w:r>
      <w:r w:rsidRPr="00483AEE">
        <w:rPr>
          <w:szCs w:val="24"/>
        </w:rPr>
        <w:t xml:space="preserve">de una sociedad. </w:t>
      </w:r>
    </w:p>
    <w:p w:rsidR="00D81D24" w:rsidRPr="00483AEE" w:rsidRDefault="00F03591" w:rsidP="00483AEE">
      <w:pPr>
        <w:spacing w:after="120" w:line="360" w:lineRule="auto"/>
        <w:jc w:val="both"/>
        <w:rPr>
          <w:rFonts w:eastAsia="Times New Roman"/>
          <w:bCs/>
          <w:szCs w:val="24"/>
          <w:lang w:val="es-ES" w:eastAsia="es-ES"/>
        </w:rPr>
      </w:pPr>
      <w:r w:rsidRPr="00483AEE">
        <w:rPr>
          <w:rFonts w:eastAsia="Times New Roman"/>
          <w:bCs/>
          <w:szCs w:val="24"/>
          <w:lang w:val="es-ES" w:eastAsia="es-ES"/>
        </w:rPr>
        <w:lastRenderedPageBreak/>
        <w:t xml:space="preserve">Una </w:t>
      </w:r>
      <w:r w:rsidR="002D7C0D" w:rsidRPr="00483AEE">
        <w:rPr>
          <w:rFonts w:eastAsia="Times New Roman"/>
          <w:bCs/>
          <w:szCs w:val="24"/>
          <w:lang w:val="es-ES" w:eastAsia="es-ES"/>
        </w:rPr>
        <w:t>primera</w:t>
      </w:r>
      <w:r w:rsidRPr="00483AEE">
        <w:rPr>
          <w:rFonts w:eastAsia="Times New Roman"/>
          <w:bCs/>
          <w:szCs w:val="24"/>
          <w:lang w:val="es-ES" w:eastAsia="es-ES"/>
        </w:rPr>
        <w:t xml:space="preserve"> representación de los ciclos que </w:t>
      </w:r>
      <w:r w:rsidR="006A70CD" w:rsidRPr="00483AEE">
        <w:rPr>
          <w:rFonts w:eastAsia="Times New Roman"/>
          <w:bCs/>
          <w:szCs w:val="24"/>
          <w:lang w:val="es-ES" w:eastAsia="es-ES"/>
        </w:rPr>
        <w:t>marcaron la evolución de</w:t>
      </w:r>
      <w:r w:rsidRPr="00483AEE">
        <w:rPr>
          <w:rFonts w:eastAsia="Times New Roman"/>
          <w:bCs/>
          <w:szCs w:val="24"/>
          <w:lang w:val="es-ES" w:eastAsia="es-ES"/>
        </w:rPr>
        <w:t xml:space="preserve"> la economía argentina durante el período 1974-2014, pueden apreciarse en la </w:t>
      </w:r>
      <w:r w:rsidR="00BE7D8D" w:rsidRPr="00483AEE">
        <w:rPr>
          <w:rFonts w:eastAsia="Times New Roman"/>
          <w:bCs/>
          <w:szCs w:val="24"/>
          <w:lang w:val="es-ES" w:eastAsia="es-ES"/>
        </w:rPr>
        <w:t>Gráfica</w:t>
      </w:r>
      <w:r w:rsidRPr="00483AEE">
        <w:rPr>
          <w:rFonts w:eastAsia="Times New Roman"/>
          <w:bCs/>
          <w:szCs w:val="24"/>
          <w:lang w:val="es-ES" w:eastAsia="es-ES"/>
        </w:rPr>
        <w:t xml:space="preserve"> </w:t>
      </w:r>
      <w:r w:rsidR="00BE7D8D" w:rsidRPr="00483AEE">
        <w:rPr>
          <w:rFonts w:eastAsia="Times New Roman"/>
          <w:bCs/>
          <w:szCs w:val="24"/>
          <w:lang w:val="es-ES" w:eastAsia="es-ES"/>
        </w:rPr>
        <w:t>2.</w:t>
      </w:r>
      <w:r w:rsidRPr="00483AEE">
        <w:rPr>
          <w:rFonts w:eastAsia="Times New Roman"/>
          <w:bCs/>
          <w:szCs w:val="24"/>
          <w:lang w:val="es-ES" w:eastAsia="es-ES"/>
        </w:rPr>
        <w:t xml:space="preserve">1, a través </w:t>
      </w:r>
      <w:r w:rsidR="007411DC" w:rsidRPr="00483AEE">
        <w:rPr>
          <w:rFonts w:eastAsia="Times New Roman"/>
          <w:bCs/>
          <w:szCs w:val="24"/>
          <w:lang w:val="es-ES" w:eastAsia="es-ES"/>
        </w:rPr>
        <w:t>de las tasas de crecimiento</w:t>
      </w:r>
      <w:r w:rsidRPr="00483AEE">
        <w:rPr>
          <w:rFonts w:eastAsia="Times New Roman"/>
          <w:bCs/>
          <w:szCs w:val="24"/>
          <w:lang w:val="es-ES" w:eastAsia="es-ES"/>
        </w:rPr>
        <w:t xml:space="preserve"> del </w:t>
      </w:r>
      <w:r w:rsidR="001654EE" w:rsidRPr="00483AEE">
        <w:rPr>
          <w:rFonts w:eastAsia="Times New Roman"/>
          <w:bCs/>
          <w:szCs w:val="24"/>
          <w:lang w:val="es-ES" w:eastAsia="es-ES"/>
        </w:rPr>
        <w:t>PIB</w:t>
      </w:r>
      <w:r w:rsidRPr="00483AEE">
        <w:rPr>
          <w:rFonts w:eastAsia="Times New Roman"/>
          <w:bCs/>
          <w:szCs w:val="24"/>
          <w:lang w:val="es-ES" w:eastAsia="es-ES"/>
        </w:rPr>
        <w:t xml:space="preserve"> y del </w:t>
      </w:r>
      <w:r w:rsidR="001654EE" w:rsidRPr="00483AEE">
        <w:rPr>
          <w:rFonts w:eastAsia="Times New Roman"/>
          <w:bCs/>
          <w:szCs w:val="24"/>
          <w:lang w:val="es-ES" w:eastAsia="es-ES"/>
        </w:rPr>
        <w:t>PIB</w:t>
      </w:r>
      <w:r w:rsidRPr="00483AEE">
        <w:rPr>
          <w:rFonts w:eastAsia="Times New Roman"/>
          <w:bCs/>
          <w:szCs w:val="24"/>
          <w:lang w:val="es-ES" w:eastAsia="es-ES"/>
        </w:rPr>
        <w:t xml:space="preserve"> per cápita a precios constantes. </w:t>
      </w:r>
      <w:r w:rsidR="00D81D24" w:rsidRPr="00483AEE">
        <w:rPr>
          <w:rFonts w:eastAsia="Times New Roman"/>
          <w:bCs/>
          <w:szCs w:val="24"/>
          <w:lang w:val="es-ES" w:eastAsia="es-ES"/>
        </w:rPr>
        <w:t xml:space="preserve">A su vez, la </w:t>
      </w:r>
      <w:r w:rsidR="00BE7D8D" w:rsidRPr="00483AEE">
        <w:rPr>
          <w:rFonts w:eastAsia="Times New Roman"/>
          <w:bCs/>
          <w:szCs w:val="24"/>
          <w:lang w:val="es-ES" w:eastAsia="es-ES"/>
        </w:rPr>
        <w:t>Gráfica</w:t>
      </w:r>
      <w:r w:rsidR="00D81D24" w:rsidRPr="00483AEE">
        <w:rPr>
          <w:rFonts w:eastAsia="Times New Roman"/>
          <w:bCs/>
          <w:szCs w:val="24"/>
          <w:lang w:val="es-ES" w:eastAsia="es-ES"/>
        </w:rPr>
        <w:t xml:space="preserve"> </w:t>
      </w:r>
      <w:r w:rsidR="00BE7D8D" w:rsidRPr="00483AEE">
        <w:rPr>
          <w:rFonts w:eastAsia="Times New Roman"/>
          <w:bCs/>
          <w:szCs w:val="24"/>
          <w:lang w:val="es-ES" w:eastAsia="es-ES"/>
        </w:rPr>
        <w:t>2.</w:t>
      </w:r>
      <w:r w:rsidR="00D81D24" w:rsidRPr="00483AEE">
        <w:rPr>
          <w:rFonts w:eastAsia="Times New Roman"/>
          <w:bCs/>
          <w:szCs w:val="24"/>
          <w:lang w:val="es-ES" w:eastAsia="es-ES"/>
        </w:rPr>
        <w:t xml:space="preserve">2 presenta para el mismo período el comportamiento registrado por </w:t>
      </w:r>
      <w:r w:rsidR="00CF365C" w:rsidRPr="00483AEE">
        <w:rPr>
          <w:rFonts w:eastAsia="Times New Roman"/>
          <w:bCs/>
          <w:szCs w:val="24"/>
          <w:lang w:val="es-ES" w:eastAsia="es-ES"/>
        </w:rPr>
        <w:t>el crecimiento de la economía</w:t>
      </w:r>
      <w:r w:rsidR="00D81D24" w:rsidRPr="00483AEE">
        <w:rPr>
          <w:rFonts w:eastAsia="Times New Roman"/>
          <w:bCs/>
          <w:szCs w:val="24"/>
          <w:lang w:val="es-ES" w:eastAsia="es-ES"/>
        </w:rPr>
        <w:t xml:space="preserve">, medido a través del </w:t>
      </w:r>
      <w:r w:rsidR="001654EE" w:rsidRPr="00483AEE">
        <w:rPr>
          <w:rFonts w:eastAsia="Times New Roman"/>
          <w:bCs/>
          <w:szCs w:val="24"/>
          <w:lang w:val="es-ES" w:eastAsia="es-ES"/>
        </w:rPr>
        <w:t>PIB</w:t>
      </w:r>
      <w:r w:rsidR="00D81D24" w:rsidRPr="00483AEE">
        <w:rPr>
          <w:rFonts w:eastAsia="Times New Roman"/>
          <w:bCs/>
          <w:szCs w:val="24"/>
          <w:lang w:val="es-ES" w:eastAsia="es-ES"/>
        </w:rPr>
        <w:t xml:space="preserve"> per cápita a precios constantes, y la evolución p</w:t>
      </w:r>
      <w:r w:rsidR="00D81D24" w:rsidRPr="00483AEE">
        <w:rPr>
          <w:szCs w:val="24"/>
        </w:rPr>
        <w:t>ara el</w:t>
      </w:r>
      <w:r w:rsidR="00D81D24" w:rsidRPr="00483AEE">
        <w:rPr>
          <w:rFonts w:eastAsia="Times New Roman"/>
          <w:bCs/>
          <w:szCs w:val="24"/>
          <w:lang w:val="es-ES" w:eastAsia="es-ES"/>
        </w:rPr>
        <w:t xml:space="preserve"> Gran Buenos Aires de la desigualdad en la distribución del ingreso </w:t>
      </w:r>
      <w:r w:rsidR="00695891" w:rsidRPr="00483AEE">
        <w:rPr>
          <w:rFonts w:eastAsia="Times New Roman"/>
          <w:bCs/>
          <w:szCs w:val="24"/>
          <w:lang w:val="es-ES" w:eastAsia="es-ES"/>
        </w:rPr>
        <w:t xml:space="preserve">familiar, </w:t>
      </w:r>
      <w:r w:rsidR="00D81D24" w:rsidRPr="00483AEE">
        <w:rPr>
          <w:szCs w:val="24"/>
        </w:rPr>
        <w:t>per cápita familiar</w:t>
      </w:r>
      <w:r w:rsidR="00695891" w:rsidRPr="00483AEE">
        <w:rPr>
          <w:szCs w:val="24"/>
        </w:rPr>
        <w:t xml:space="preserve"> y por perceptor</w:t>
      </w:r>
      <w:r w:rsidR="00D81D24" w:rsidRPr="00483AEE">
        <w:rPr>
          <w:szCs w:val="24"/>
        </w:rPr>
        <w:t xml:space="preserve">, medida </w:t>
      </w:r>
      <w:r w:rsidR="00695891" w:rsidRPr="00483AEE">
        <w:rPr>
          <w:szCs w:val="24"/>
        </w:rPr>
        <w:t>a través de</w:t>
      </w:r>
      <w:r w:rsidR="00D81D24" w:rsidRPr="00483AEE">
        <w:rPr>
          <w:rFonts w:eastAsia="Times New Roman"/>
          <w:bCs/>
          <w:szCs w:val="24"/>
          <w:lang w:val="es-ES" w:eastAsia="es-ES"/>
        </w:rPr>
        <w:t xml:space="preserve">l coeficiente de Gini.  </w:t>
      </w:r>
    </w:p>
    <w:p w:rsidR="00F03591" w:rsidRPr="00483AEE" w:rsidRDefault="00BE7D8D" w:rsidP="00483AEE">
      <w:pPr>
        <w:keepNext/>
        <w:spacing w:before="360" w:after="120" w:line="240" w:lineRule="auto"/>
        <w:jc w:val="both"/>
        <w:rPr>
          <w:b/>
          <w:szCs w:val="24"/>
        </w:rPr>
      </w:pPr>
      <w:r w:rsidRPr="00483AEE">
        <w:rPr>
          <w:b/>
          <w:szCs w:val="24"/>
        </w:rPr>
        <w:t>Gráfica</w:t>
      </w:r>
      <w:r w:rsidR="00F03591" w:rsidRPr="00483AEE">
        <w:rPr>
          <w:b/>
          <w:szCs w:val="24"/>
        </w:rPr>
        <w:t xml:space="preserve"> </w:t>
      </w:r>
      <w:r w:rsidRPr="00483AEE">
        <w:rPr>
          <w:b/>
          <w:szCs w:val="24"/>
        </w:rPr>
        <w:t>2.</w:t>
      </w:r>
      <w:r w:rsidR="00F03591" w:rsidRPr="00483AEE">
        <w:rPr>
          <w:b/>
          <w:szCs w:val="24"/>
        </w:rPr>
        <w:t>1. Tasa de crecimiento anual del PIB y del PIB per cápita. Argentina, 1974-2014. Precios constantes.</w:t>
      </w:r>
    </w:p>
    <w:p w:rsidR="00F03591" w:rsidRDefault="005634A5" w:rsidP="00F03591">
      <w:pPr>
        <w:spacing w:after="120" w:line="240" w:lineRule="auto"/>
        <w:jc w:val="center"/>
        <w:rPr>
          <w:rFonts w:ascii="Calibri" w:hAnsi="Calibri"/>
          <w:szCs w:val="24"/>
        </w:rPr>
      </w:pPr>
      <w:r>
        <w:rPr>
          <w:rFonts w:ascii="Calibri" w:hAnsi="Calibri"/>
          <w:noProof/>
          <w:szCs w:val="24"/>
        </w:rPr>
        <w:drawing>
          <wp:inline distT="0" distB="0" distL="0" distR="0" wp14:anchorId="163FAF83">
            <wp:extent cx="5402929" cy="25800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7466" cy="2586947"/>
                    </a:xfrm>
                    <a:prstGeom prst="rect">
                      <a:avLst/>
                    </a:prstGeom>
                    <a:noFill/>
                  </pic:spPr>
                </pic:pic>
              </a:graphicData>
            </a:graphic>
          </wp:inline>
        </w:drawing>
      </w:r>
    </w:p>
    <w:p w:rsidR="00F03591" w:rsidRPr="00483AEE" w:rsidRDefault="00F03591" w:rsidP="00F03591">
      <w:pPr>
        <w:spacing w:after="120" w:line="240" w:lineRule="auto"/>
        <w:jc w:val="both"/>
        <w:rPr>
          <w:sz w:val="16"/>
          <w:szCs w:val="24"/>
        </w:rPr>
      </w:pPr>
      <w:r w:rsidRPr="00483AEE">
        <w:rPr>
          <w:sz w:val="18"/>
          <w:szCs w:val="24"/>
        </w:rPr>
        <w:t xml:space="preserve">Fuente: </w:t>
      </w:r>
      <w:r w:rsidR="007411DC" w:rsidRPr="00483AEE">
        <w:rPr>
          <w:sz w:val="18"/>
          <w:szCs w:val="24"/>
        </w:rPr>
        <w:t>E</w:t>
      </w:r>
      <w:r w:rsidRPr="00483AEE">
        <w:rPr>
          <w:sz w:val="18"/>
          <w:szCs w:val="24"/>
        </w:rPr>
        <w:t xml:space="preserve">laboración propia </w:t>
      </w:r>
      <w:r w:rsidR="00483AEE" w:rsidRPr="00483AEE">
        <w:rPr>
          <w:sz w:val="18"/>
          <w:szCs w:val="24"/>
        </w:rPr>
        <w:t>a partir de</w:t>
      </w:r>
      <w:r w:rsidRPr="00483AEE">
        <w:rPr>
          <w:sz w:val="18"/>
          <w:szCs w:val="24"/>
        </w:rPr>
        <w:t xml:space="preserve"> INDEC-MECON (año base 2004 y revisión 2016).</w:t>
      </w:r>
    </w:p>
    <w:p w:rsidR="007F0335" w:rsidRDefault="007F0335" w:rsidP="001C4EC3">
      <w:pPr>
        <w:spacing w:after="0" w:line="240" w:lineRule="auto"/>
        <w:jc w:val="both"/>
        <w:rPr>
          <w:rFonts w:ascii="Calibri" w:eastAsia="Times New Roman" w:hAnsi="Calibri"/>
          <w:bCs/>
          <w:szCs w:val="24"/>
          <w:lang w:val="es-ES" w:eastAsia="es-ES"/>
        </w:rPr>
      </w:pPr>
    </w:p>
    <w:p w:rsidR="00153819" w:rsidRPr="00483AEE" w:rsidRDefault="00153819" w:rsidP="00153819">
      <w:pPr>
        <w:spacing w:after="120" w:line="360" w:lineRule="auto"/>
        <w:jc w:val="both"/>
        <w:rPr>
          <w:rFonts w:eastAsia="Times New Roman"/>
          <w:bCs/>
          <w:szCs w:val="24"/>
          <w:lang w:val="es-ES" w:eastAsia="es-ES"/>
        </w:rPr>
      </w:pPr>
      <w:r w:rsidRPr="00483AEE">
        <w:rPr>
          <w:rFonts w:eastAsia="Times New Roman"/>
          <w:bCs/>
          <w:szCs w:val="24"/>
          <w:lang w:val="es-ES" w:eastAsia="es-ES"/>
        </w:rPr>
        <w:t xml:space="preserve">Un primer examen de ambas representaciones permite dar cuenta de algunas tendencias relevantes que atravesaron las diferentes fases político-económicas durante el período estudiado: </w:t>
      </w:r>
    </w:p>
    <w:p w:rsidR="00153819" w:rsidRPr="00483AEE" w:rsidRDefault="00153819" w:rsidP="00153819">
      <w:pPr>
        <w:spacing w:after="120" w:line="360" w:lineRule="auto"/>
        <w:jc w:val="both"/>
        <w:rPr>
          <w:rFonts w:eastAsia="Times New Roman"/>
          <w:bCs/>
          <w:szCs w:val="24"/>
          <w:lang w:val="es-ES" w:eastAsia="es-ES"/>
        </w:rPr>
      </w:pPr>
      <w:r w:rsidRPr="00483AEE">
        <w:rPr>
          <w:rFonts w:eastAsia="Times New Roman"/>
          <w:bCs/>
          <w:szCs w:val="24"/>
          <w:lang w:val="es-ES" w:eastAsia="es-ES"/>
        </w:rPr>
        <w:t xml:space="preserve">1) Si bien las fases de crecimiento fueron igualmente intensas en las diferentes etapas analizadas, éstas fueron algo más duraderas durante la segunda (1998-2003) y tercera etapa (2003-2014) que durante la etapa inicial (1974-1988). La inestabilidad de los ciclos de la economía argentina se presenta como un rasgo estructural no asociada de manera exclusiva a ninguna de las fases político-económicas consideradas. </w:t>
      </w:r>
    </w:p>
    <w:p w:rsidR="00153819" w:rsidRPr="00483AEE" w:rsidRDefault="00153819" w:rsidP="00153819">
      <w:pPr>
        <w:spacing w:after="120" w:line="360" w:lineRule="auto"/>
        <w:jc w:val="both"/>
        <w:rPr>
          <w:rFonts w:eastAsia="Times New Roman"/>
          <w:bCs/>
          <w:szCs w:val="24"/>
          <w:lang w:val="es-ES" w:eastAsia="es-ES"/>
        </w:rPr>
      </w:pPr>
      <w:r w:rsidRPr="00483AEE">
        <w:rPr>
          <w:rFonts w:eastAsia="Times New Roman"/>
          <w:bCs/>
          <w:szCs w:val="24"/>
          <w:lang w:val="es-ES" w:eastAsia="es-ES"/>
        </w:rPr>
        <w:t xml:space="preserve">2) La evidencia empírica disponible permite afirmar que la desigualdad económica presentó un comportamiento dispar a lo largo del tiempo y según el ciclo económico. En principio, tanto en la primera etapa (1974-1988) como en la segunda etapa (1988-2003), la desigualdad medida por los coeficientes de Gini de hogares del Gran Buenos Aires </w:t>
      </w:r>
      <w:r w:rsidRPr="00483AEE">
        <w:rPr>
          <w:rFonts w:eastAsia="Times New Roman"/>
          <w:bCs/>
          <w:szCs w:val="24"/>
          <w:lang w:val="es-ES" w:eastAsia="es-ES"/>
        </w:rPr>
        <w:lastRenderedPageBreak/>
        <w:t>creció tanto en contexto de crecimiento como de decrecimiento del PIB per cápita</w:t>
      </w:r>
      <w:r w:rsidRPr="00483AEE">
        <w:rPr>
          <w:rStyle w:val="Refdenotaalpie"/>
          <w:rFonts w:eastAsia="Times New Roman"/>
          <w:bCs/>
          <w:szCs w:val="24"/>
          <w:lang w:val="es-ES" w:eastAsia="es-ES"/>
        </w:rPr>
        <w:footnoteReference w:id="3"/>
      </w:r>
      <w:r w:rsidRPr="00483AEE">
        <w:rPr>
          <w:rFonts w:eastAsia="Times New Roman"/>
          <w:bCs/>
          <w:szCs w:val="24"/>
          <w:lang w:val="es-ES" w:eastAsia="es-ES"/>
        </w:rPr>
        <w:t xml:space="preserve">; mientras que en el tercer período (2003-2014), la desigualdad se redujo de manera significativa acompañando un proceso de fuerte crecimiento, aunque esta tendencia se frenó y parece haberse revertido al final del período bajo un nuevo ciclo de estancamiento económico. Asimismo, es evidente que con el correr de los años, el comportamiento de los diferentes indicadores de desigualdad, aunque mantienen una estrecha correlación, tendieron a diferenciarse.  </w:t>
      </w:r>
    </w:p>
    <w:p w:rsidR="007411DC" w:rsidRDefault="00BE7D8D" w:rsidP="00483AEE">
      <w:pPr>
        <w:keepNext/>
        <w:spacing w:before="360" w:after="120" w:line="240" w:lineRule="auto"/>
        <w:jc w:val="both"/>
        <w:rPr>
          <w:rFonts w:ascii="Calibri" w:hAnsi="Calibri"/>
          <w:b/>
          <w:szCs w:val="24"/>
        </w:rPr>
      </w:pPr>
      <w:r w:rsidRPr="00483AEE">
        <w:rPr>
          <w:b/>
          <w:szCs w:val="24"/>
        </w:rPr>
        <w:t>Gráfica</w:t>
      </w:r>
      <w:r w:rsidR="007411DC" w:rsidRPr="00483AEE">
        <w:rPr>
          <w:b/>
          <w:szCs w:val="24"/>
        </w:rPr>
        <w:t xml:space="preserve"> </w:t>
      </w:r>
      <w:r w:rsidRPr="00483AEE">
        <w:rPr>
          <w:b/>
          <w:szCs w:val="24"/>
        </w:rPr>
        <w:t>2.</w:t>
      </w:r>
      <w:r w:rsidR="007411DC" w:rsidRPr="00483AEE">
        <w:rPr>
          <w:b/>
          <w:szCs w:val="24"/>
        </w:rPr>
        <w:t xml:space="preserve">2. </w:t>
      </w:r>
      <w:r w:rsidR="001654EE" w:rsidRPr="00483AEE">
        <w:rPr>
          <w:b/>
          <w:szCs w:val="24"/>
        </w:rPr>
        <w:t>PIB</w:t>
      </w:r>
      <w:r w:rsidR="007411DC" w:rsidRPr="00483AEE">
        <w:rPr>
          <w:b/>
          <w:szCs w:val="24"/>
        </w:rPr>
        <w:t xml:space="preserve"> per cápita nacional y coeficiente</w:t>
      </w:r>
      <w:r w:rsidR="0052133E" w:rsidRPr="00483AEE">
        <w:rPr>
          <w:b/>
          <w:szCs w:val="24"/>
        </w:rPr>
        <w:t>s</w:t>
      </w:r>
      <w:r w:rsidR="007411DC" w:rsidRPr="00483AEE">
        <w:rPr>
          <w:b/>
          <w:szCs w:val="24"/>
        </w:rPr>
        <w:t xml:space="preserve"> de Gini de los ingresos per cápita familiar</w:t>
      </w:r>
      <w:r w:rsidR="0052133E" w:rsidRPr="00483AEE">
        <w:rPr>
          <w:b/>
          <w:szCs w:val="24"/>
        </w:rPr>
        <w:t>, total familiar y por perceptor</w:t>
      </w:r>
      <w:r w:rsidR="007411DC" w:rsidRPr="00483AEE">
        <w:rPr>
          <w:b/>
          <w:szCs w:val="24"/>
        </w:rPr>
        <w:t xml:space="preserve">. Período 1974-2014. </w:t>
      </w:r>
      <w:r w:rsidR="001654EE" w:rsidRPr="00483AEE">
        <w:rPr>
          <w:b/>
          <w:szCs w:val="24"/>
        </w:rPr>
        <w:t>PIB</w:t>
      </w:r>
      <w:r w:rsidR="007411DC" w:rsidRPr="00483AEE">
        <w:rPr>
          <w:b/>
          <w:szCs w:val="24"/>
        </w:rPr>
        <w:t xml:space="preserve"> per cápita a nivel país en miles de AR$</w:t>
      </w:r>
      <w:r w:rsidR="0052133E" w:rsidRPr="00483AEE">
        <w:rPr>
          <w:b/>
          <w:szCs w:val="24"/>
        </w:rPr>
        <w:t xml:space="preserve"> 2004</w:t>
      </w:r>
      <w:r w:rsidR="007411DC" w:rsidRPr="00483AEE">
        <w:rPr>
          <w:b/>
          <w:szCs w:val="24"/>
        </w:rPr>
        <w:t xml:space="preserve"> y Coeficiente</w:t>
      </w:r>
      <w:r w:rsidR="0052133E" w:rsidRPr="00483AEE">
        <w:rPr>
          <w:b/>
          <w:szCs w:val="24"/>
        </w:rPr>
        <w:t>s</w:t>
      </w:r>
      <w:r w:rsidR="007411DC" w:rsidRPr="00483AEE">
        <w:rPr>
          <w:b/>
          <w:szCs w:val="24"/>
        </w:rPr>
        <w:t xml:space="preserve"> de Gini </w:t>
      </w:r>
      <w:r w:rsidR="00821898" w:rsidRPr="00483AEE">
        <w:rPr>
          <w:b/>
          <w:szCs w:val="24"/>
        </w:rPr>
        <w:t>en</w:t>
      </w:r>
      <w:r w:rsidR="007411DC" w:rsidRPr="00483AEE">
        <w:rPr>
          <w:b/>
          <w:szCs w:val="24"/>
        </w:rPr>
        <w:t xml:space="preserve"> </w:t>
      </w:r>
      <w:r w:rsidR="0052133E" w:rsidRPr="00483AEE">
        <w:rPr>
          <w:b/>
          <w:szCs w:val="24"/>
        </w:rPr>
        <w:t>hogares d</w:t>
      </w:r>
      <w:r w:rsidR="007411DC" w:rsidRPr="00483AEE">
        <w:rPr>
          <w:b/>
          <w:szCs w:val="24"/>
        </w:rPr>
        <w:t>el Gran Buenos Aires.</w:t>
      </w:r>
      <w:r w:rsidR="007411DC" w:rsidRPr="00C84FDE">
        <w:rPr>
          <w:rFonts w:ascii="Calibri" w:hAnsi="Calibri"/>
          <w:b/>
          <w:szCs w:val="24"/>
        </w:rPr>
        <w:t xml:space="preserve"> </w:t>
      </w:r>
    </w:p>
    <w:p w:rsidR="0037569F" w:rsidRDefault="005634A5" w:rsidP="007411DC">
      <w:pPr>
        <w:spacing w:after="0" w:line="240" w:lineRule="auto"/>
        <w:jc w:val="both"/>
        <w:rPr>
          <w:rFonts w:ascii="Calibri" w:hAnsi="Calibri"/>
          <w:b/>
          <w:szCs w:val="24"/>
        </w:rPr>
      </w:pPr>
      <w:r>
        <w:rPr>
          <w:rFonts w:ascii="Calibri" w:hAnsi="Calibri"/>
          <w:b/>
          <w:noProof/>
          <w:szCs w:val="24"/>
        </w:rPr>
        <w:drawing>
          <wp:inline distT="0" distB="0" distL="0" distR="0" wp14:anchorId="2DD0A0E4">
            <wp:extent cx="5478338" cy="244665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8226" cy="2451071"/>
                    </a:xfrm>
                    <a:prstGeom prst="rect">
                      <a:avLst/>
                    </a:prstGeom>
                    <a:noFill/>
                  </pic:spPr>
                </pic:pic>
              </a:graphicData>
            </a:graphic>
          </wp:inline>
        </w:drawing>
      </w:r>
    </w:p>
    <w:p w:rsidR="007411DC" w:rsidRPr="00483AEE" w:rsidRDefault="007411DC" w:rsidP="00483AEE">
      <w:pPr>
        <w:spacing w:before="120" w:after="360" w:line="240" w:lineRule="auto"/>
        <w:jc w:val="both"/>
        <w:rPr>
          <w:sz w:val="18"/>
          <w:szCs w:val="18"/>
        </w:rPr>
      </w:pPr>
      <w:r w:rsidRPr="00483AEE">
        <w:rPr>
          <w:sz w:val="18"/>
          <w:szCs w:val="18"/>
        </w:rPr>
        <w:t xml:space="preserve">Fuente: </w:t>
      </w:r>
      <w:r w:rsidR="00C25B76" w:rsidRPr="00483AEE">
        <w:rPr>
          <w:sz w:val="18"/>
          <w:szCs w:val="18"/>
        </w:rPr>
        <w:t xml:space="preserve">Elaboración propia </w:t>
      </w:r>
      <w:r w:rsidR="00483AEE" w:rsidRPr="00483AEE">
        <w:rPr>
          <w:sz w:val="18"/>
          <w:szCs w:val="18"/>
        </w:rPr>
        <w:t>a partir de</w:t>
      </w:r>
      <w:r w:rsidR="00C25B76" w:rsidRPr="00483AEE">
        <w:rPr>
          <w:sz w:val="18"/>
          <w:szCs w:val="18"/>
        </w:rPr>
        <w:t xml:space="preserve"> INDEC-MECON (año base 2004 y revisión 2016) y </w:t>
      </w:r>
      <w:r w:rsidRPr="00483AEE">
        <w:rPr>
          <w:sz w:val="18"/>
          <w:szCs w:val="18"/>
        </w:rPr>
        <w:t>microdatos de la EPH-INDEC, ondas indicadas. Disponibles en &lt;ww</w:t>
      </w:r>
      <w:bookmarkStart w:id="0" w:name="_GoBack"/>
      <w:bookmarkEnd w:id="0"/>
      <w:r w:rsidRPr="00483AEE">
        <w:rPr>
          <w:sz w:val="18"/>
          <w:szCs w:val="18"/>
        </w:rPr>
        <w:t>w.indec.gov.ar&gt;</w:t>
      </w:r>
    </w:p>
    <w:p w:rsidR="006C719C" w:rsidRPr="00483AEE" w:rsidRDefault="00B15ACD" w:rsidP="00483AEE">
      <w:pPr>
        <w:spacing w:after="120" w:line="360" w:lineRule="auto"/>
        <w:jc w:val="both"/>
        <w:rPr>
          <w:szCs w:val="24"/>
        </w:rPr>
      </w:pPr>
      <w:r w:rsidRPr="00483AEE">
        <w:rPr>
          <w:szCs w:val="24"/>
        </w:rPr>
        <w:t>En la medida</w:t>
      </w:r>
      <w:r w:rsidR="001C4EC3" w:rsidRPr="00483AEE">
        <w:rPr>
          <w:szCs w:val="24"/>
        </w:rPr>
        <w:t xml:space="preserve"> que </w:t>
      </w:r>
      <w:r w:rsidR="00AA4442" w:rsidRPr="00483AEE">
        <w:rPr>
          <w:szCs w:val="24"/>
        </w:rPr>
        <w:t xml:space="preserve">no cabe </w:t>
      </w:r>
      <w:r w:rsidR="001C4EC3" w:rsidRPr="00483AEE">
        <w:rPr>
          <w:szCs w:val="24"/>
        </w:rPr>
        <w:t xml:space="preserve">esperar </w:t>
      </w:r>
      <w:r w:rsidRPr="00483AEE">
        <w:rPr>
          <w:szCs w:val="24"/>
        </w:rPr>
        <w:t xml:space="preserve">teóricamente </w:t>
      </w:r>
      <w:r w:rsidR="001C4EC3" w:rsidRPr="00483AEE">
        <w:rPr>
          <w:szCs w:val="24"/>
        </w:rPr>
        <w:t xml:space="preserve">una </w:t>
      </w:r>
      <w:r w:rsidR="006C719C" w:rsidRPr="00483AEE">
        <w:rPr>
          <w:szCs w:val="24"/>
        </w:rPr>
        <w:t>función</w:t>
      </w:r>
      <w:r w:rsidR="001C4EC3" w:rsidRPr="00483AEE">
        <w:rPr>
          <w:szCs w:val="24"/>
        </w:rPr>
        <w:t xml:space="preserve"> entre crecimiento económico y </w:t>
      </w:r>
      <w:r w:rsidR="003831AB" w:rsidRPr="00483AEE">
        <w:rPr>
          <w:szCs w:val="24"/>
        </w:rPr>
        <w:t xml:space="preserve">la </w:t>
      </w:r>
      <w:r w:rsidR="001C4EC3" w:rsidRPr="00483AEE">
        <w:rPr>
          <w:szCs w:val="24"/>
        </w:rPr>
        <w:t xml:space="preserve">distribución del ingreso, </w:t>
      </w:r>
      <w:r w:rsidR="00AA4442" w:rsidRPr="00483AEE">
        <w:rPr>
          <w:szCs w:val="24"/>
        </w:rPr>
        <w:t>ni tampoco es</w:t>
      </w:r>
      <w:r w:rsidR="006C719C" w:rsidRPr="00483AEE">
        <w:rPr>
          <w:szCs w:val="24"/>
        </w:rPr>
        <w:t>tá predeterminado el</w:t>
      </w:r>
      <w:r w:rsidR="00AA4442" w:rsidRPr="00483AEE">
        <w:rPr>
          <w:szCs w:val="24"/>
        </w:rPr>
        <w:t xml:space="preserve"> sentido causal que podría tener esta relación</w:t>
      </w:r>
      <w:r w:rsidR="006C719C" w:rsidRPr="00483AEE">
        <w:rPr>
          <w:szCs w:val="24"/>
        </w:rPr>
        <w:t xml:space="preserve"> (</w:t>
      </w:r>
      <w:r w:rsidR="00C739DC" w:rsidRPr="00483AEE">
        <w:rPr>
          <w:szCs w:val="24"/>
        </w:rPr>
        <w:t xml:space="preserve">tal como se expuso en el </w:t>
      </w:r>
      <w:r w:rsidR="00C739DC" w:rsidRPr="00483AEE">
        <w:rPr>
          <w:szCs w:val="24"/>
          <w:highlight w:val="yellow"/>
        </w:rPr>
        <w:t>capítulo 1</w:t>
      </w:r>
      <w:r w:rsidR="00C739DC" w:rsidRPr="00483AEE">
        <w:rPr>
          <w:szCs w:val="24"/>
        </w:rPr>
        <w:t xml:space="preserve"> de este volumen</w:t>
      </w:r>
      <w:r w:rsidR="006C719C" w:rsidRPr="00483AEE">
        <w:rPr>
          <w:szCs w:val="24"/>
        </w:rPr>
        <w:t>)</w:t>
      </w:r>
      <w:r w:rsidR="00AA4442" w:rsidRPr="00483AEE">
        <w:rPr>
          <w:szCs w:val="24"/>
        </w:rPr>
        <w:t xml:space="preserve">, </w:t>
      </w:r>
      <w:r w:rsidR="006C719C" w:rsidRPr="00483AEE">
        <w:rPr>
          <w:szCs w:val="24"/>
        </w:rPr>
        <w:t xml:space="preserve">no sólo resulta recomendable, sino que se hace necesario </w:t>
      </w:r>
      <w:r w:rsidR="00A47020" w:rsidRPr="00483AEE">
        <w:rPr>
          <w:szCs w:val="24"/>
        </w:rPr>
        <w:t xml:space="preserve">evaluar para cada situación histórica </w:t>
      </w:r>
      <w:r w:rsidR="006C719C" w:rsidRPr="00483AEE">
        <w:rPr>
          <w:szCs w:val="24"/>
        </w:rPr>
        <w:t xml:space="preserve">el tipo </w:t>
      </w:r>
      <w:r w:rsidR="00A47020" w:rsidRPr="00483AEE">
        <w:rPr>
          <w:szCs w:val="24"/>
        </w:rPr>
        <w:t xml:space="preserve">de </w:t>
      </w:r>
      <w:r w:rsidR="006C719C" w:rsidRPr="00483AEE">
        <w:rPr>
          <w:szCs w:val="24"/>
        </w:rPr>
        <w:t xml:space="preserve">vínculo que establecieron ambas dimensiones, los mecanismos </w:t>
      </w:r>
      <w:r w:rsidR="00924547" w:rsidRPr="00483AEE">
        <w:rPr>
          <w:szCs w:val="24"/>
        </w:rPr>
        <w:t xml:space="preserve">político-económicos </w:t>
      </w:r>
      <w:r w:rsidR="006C719C" w:rsidRPr="00483AEE">
        <w:rPr>
          <w:szCs w:val="24"/>
        </w:rPr>
        <w:t xml:space="preserve">intervinientes y sus efectos sobre la estratificación y las condiciones generales de reproducción social.   </w:t>
      </w:r>
    </w:p>
    <w:p w:rsidR="001C4EC3" w:rsidRPr="00483AEE" w:rsidRDefault="006C719C" w:rsidP="00483AEE">
      <w:pPr>
        <w:spacing w:after="120" w:line="360" w:lineRule="auto"/>
        <w:jc w:val="both"/>
        <w:rPr>
          <w:szCs w:val="24"/>
        </w:rPr>
      </w:pPr>
      <w:r w:rsidRPr="00483AEE">
        <w:rPr>
          <w:szCs w:val="24"/>
        </w:rPr>
        <w:lastRenderedPageBreak/>
        <w:t>Si bien en un análisis</w:t>
      </w:r>
      <w:r w:rsidR="001C4EC3" w:rsidRPr="00483AEE">
        <w:rPr>
          <w:szCs w:val="24"/>
        </w:rPr>
        <w:t xml:space="preserve"> </w:t>
      </w:r>
      <w:r w:rsidR="00A606B8" w:rsidRPr="00483AEE">
        <w:rPr>
          <w:szCs w:val="24"/>
        </w:rPr>
        <w:t xml:space="preserve">posterior </w:t>
      </w:r>
      <w:r w:rsidRPr="00483AEE">
        <w:rPr>
          <w:szCs w:val="24"/>
        </w:rPr>
        <w:t xml:space="preserve">se </w:t>
      </w:r>
      <w:r w:rsidR="003831AB" w:rsidRPr="00483AEE">
        <w:rPr>
          <w:szCs w:val="24"/>
        </w:rPr>
        <w:t>examina con mayor detalle</w:t>
      </w:r>
      <w:r w:rsidRPr="00483AEE">
        <w:rPr>
          <w:szCs w:val="24"/>
        </w:rPr>
        <w:t xml:space="preserve"> </w:t>
      </w:r>
      <w:r w:rsidR="00A47020" w:rsidRPr="00483AEE">
        <w:rPr>
          <w:szCs w:val="24"/>
        </w:rPr>
        <w:t xml:space="preserve">los hechos político-económicos que </w:t>
      </w:r>
      <w:r w:rsidR="00E0502F" w:rsidRPr="00483AEE">
        <w:rPr>
          <w:szCs w:val="24"/>
        </w:rPr>
        <w:t>fueron</w:t>
      </w:r>
      <w:r w:rsidR="00A47020" w:rsidRPr="00483AEE">
        <w:rPr>
          <w:szCs w:val="24"/>
        </w:rPr>
        <w:t xml:space="preserve"> perfilando el proceso histórico</w:t>
      </w:r>
      <w:r w:rsidRPr="00483AEE">
        <w:rPr>
          <w:szCs w:val="24"/>
        </w:rPr>
        <w:t xml:space="preserve">, </w:t>
      </w:r>
      <w:r w:rsidR="00E0502F" w:rsidRPr="00483AEE">
        <w:rPr>
          <w:szCs w:val="24"/>
        </w:rPr>
        <w:t>en clave sobre todo al modo en que tales hechos intervinieron en el desenvolvimiento de la distribución del ingreso</w:t>
      </w:r>
      <w:r w:rsidR="00924547" w:rsidRPr="00483AEE">
        <w:rPr>
          <w:szCs w:val="24"/>
        </w:rPr>
        <w:t xml:space="preserve"> de los hogares</w:t>
      </w:r>
      <w:r w:rsidRPr="00483AEE">
        <w:rPr>
          <w:szCs w:val="24"/>
        </w:rPr>
        <w:t xml:space="preserve">, </w:t>
      </w:r>
      <w:r w:rsidR="003831AB" w:rsidRPr="00483AEE">
        <w:rPr>
          <w:szCs w:val="24"/>
        </w:rPr>
        <w:t xml:space="preserve">cabe </w:t>
      </w:r>
      <w:r w:rsidR="00A47020" w:rsidRPr="00483AEE">
        <w:rPr>
          <w:szCs w:val="24"/>
        </w:rPr>
        <w:t xml:space="preserve">aquí </w:t>
      </w:r>
      <w:r w:rsidR="00E0502F" w:rsidRPr="00483AEE">
        <w:rPr>
          <w:szCs w:val="24"/>
        </w:rPr>
        <w:t>esbozar</w:t>
      </w:r>
      <w:r w:rsidR="00924547" w:rsidRPr="00483AEE">
        <w:rPr>
          <w:szCs w:val="24"/>
        </w:rPr>
        <w:t xml:space="preserve"> de manera estilizada</w:t>
      </w:r>
      <w:r w:rsidR="00E0502F" w:rsidRPr="00483AEE">
        <w:rPr>
          <w:szCs w:val="24"/>
        </w:rPr>
        <w:t xml:space="preserve"> -a partir de la información hasta ahora presentada-</w:t>
      </w:r>
      <w:r w:rsidR="00A47020" w:rsidRPr="00483AEE">
        <w:rPr>
          <w:szCs w:val="24"/>
        </w:rPr>
        <w:t xml:space="preserve"> el tipo de relación que establecieron </w:t>
      </w:r>
      <w:r w:rsidR="00924547" w:rsidRPr="00483AEE">
        <w:rPr>
          <w:szCs w:val="24"/>
        </w:rPr>
        <w:t>los modelos de</w:t>
      </w:r>
      <w:r w:rsidR="00E0502F" w:rsidRPr="00483AEE">
        <w:rPr>
          <w:szCs w:val="24"/>
        </w:rPr>
        <w:t xml:space="preserve"> políticas públicas, el ciclo económico y la desigualdad distributiva </w:t>
      </w:r>
      <w:r w:rsidRPr="00483AEE">
        <w:rPr>
          <w:szCs w:val="24"/>
        </w:rPr>
        <w:t>en cada una de las etapas examinadas:</w:t>
      </w:r>
    </w:p>
    <w:p w:rsidR="001C4EC3" w:rsidRPr="00483AEE" w:rsidRDefault="003831AB" w:rsidP="00483AEE">
      <w:pPr>
        <w:spacing w:after="120" w:line="360" w:lineRule="auto"/>
        <w:jc w:val="both"/>
        <w:rPr>
          <w:szCs w:val="24"/>
        </w:rPr>
      </w:pPr>
      <w:r w:rsidRPr="00483AEE">
        <w:rPr>
          <w:szCs w:val="24"/>
        </w:rPr>
        <w:t>i</w:t>
      </w:r>
      <w:r w:rsidR="001C4EC3" w:rsidRPr="00483AEE">
        <w:rPr>
          <w:szCs w:val="24"/>
        </w:rPr>
        <w:t xml:space="preserve">. Durante la etapa final del modelo de industrialización por sustitución de importaciones (ISI), la introducción de políticas anti-industrialistas, los desequilibrios en el sector externo y macroeconómicos, la hiperinflación, junto con las medidas de ajuste empleadas para su eventual corrección, </w:t>
      </w:r>
      <w:r w:rsidR="00A47020" w:rsidRPr="00483AEE">
        <w:rPr>
          <w:szCs w:val="24"/>
        </w:rPr>
        <w:t xml:space="preserve">son el contexto en que tiene lugar un aumento </w:t>
      </w:r>
      <w:r w:rsidR="00E0502F" w:rsidRPr="00483AEE">
        <w:rPr>
          <w:szCs w:val="24"/>
        </w:rPr>
        <w:t xml:space="preserve">casi </w:t>
      </w:r>
      <w:r w:rsidR="00A47020" w:rsidRPr="00483AEE">
        <w:rPr>
          <w:szCs w:val="24"/>
        </w:rPr>
        <w:t>sostenido de</w:t>
      </w:r>
      <w:r w:rsidR="001C4EC3" w:rsidRPr="00483AEE">
        <w:rPr>
          <w:szCs w:val="24"/>
        </w:rPr>
        <w:t xml:space="preserve"> la desigualdad </w:t>
      </w:r>
      <w:r w:rsidR="00255B52" w:rsidRPr="00483AEE">
        <w:rPr>
          <w:szCs w:val="24"/>
        </w:rPr>
        <w:t xml:space="preserve">en la </w:t>
      </w:r>
      <w:r w:rsidR="001C4EC3" w:rsidRPr="00483AEE">
        <w:rPr>
          <w:szCs w:val="24"/>
        </w:rPr>
        <w:t xml:space="preserve">distributiva </w:t>
      </w:r>
      <w:r w:rsidR="00255B52" w:rsidRPr="00483AEE">
        <w:rPr>
          <w:szCs w:val="24"/>
        </w:rPr>
        <w:t>de</w:t>
      </w:r>
      <w:r w:rsidR="00A47020" w:rsidRPr="00483AEE">
        <w:rPr>
          <w:szCs w:val="24"/>
        </w:rPr>
        <w:t>l</w:t>
      </w:r>
      <w:r w:rsidR="001C4EC3" w:rsidRPr="00483AEE">
        <w:rPr>
          <w:szCs w:val="24"/>
        </w:rPr>
        <w:t xml:space="preserve"> ingreso</w:t>
      </w:r>
      <w:r w:rsidR="00E0502F" w:rsidRPr="00483AEE">
        <w:rPr>
          <w:szCs w:val="24"/>
        </w:rPr>
        <w:t xml:space="preserve">. </w:t>
      </w:r>
      <w:r w:rsidR="00924547" w:rsidRPr="00483AEE">
        <w:rPr>
          <w:szCs w:val="24"/>
        </w:rPr>
        <w:t xml:space="preserve">En este </w:t>
      </w:r>
      <w:r w:rsidR="00A8356C" w:rsidRPr="00483AEE">
        <w:rPr>
          <w:szCs w:val="24"/>
        </w:rPr>
        <w:t>marco</w:t>
      </w:r>
      <w:r w:rsidR="00924547" w:rsidRPr="00483AEE">
        <w:rPr>
          <w:szCs w:val="24"/>
        </w:rPr>
        <w:t xml:space="preserve">, la desigualdad económica medida por el coeficiente de Gini de los diferentes indicadores analizados, se mueve elevándose </w:t>
      </w:r>
      <w:r w:rsidR="001C4EC3" w:rsidRPr="00483AEE">
        <w:rPr>
          <w:szCs w:val="24"/>
        </w:rPr>
        <w:t xml:space="preserve">en las fases de reactivación y </w:t>
      </w:r>
      <w:r w:rsidR="00924547" w:rsidRPr="00483AEE">
        <w:rPr>
          <w:szCs w:val="24"/>
        </w:rPr>
        <w:t xml:space="preserve">estabilizándose </w:t>
      </w:r>
      <w:r w:rsidR="001C4EC3" w:rsidRPr="00483AEE">
        <w:rPr>
          <w:szCs w:val="24"/>
        </w:rPr>
        <w:t xml:space="preserve">en las fases recesivas. </w:t>
      </w:r>
      <w:r w:rsidR="00255B52" w:rsidRPr="00483AEE">
        <w:rPr>
          <w:szCs w:val="24"/>
        </w:rPr>
        <w:t xml:space="preserve">Este proceso habría sido más agresivo durante la dictadura militar, pero incluso continuó con el gobierno democrático. Durante </w:t>
      </w:r>
      <w:r w:rsidR="00AF1F7B" w:rsidRPr="00483AEE">
        <w:rPr>
          <w:szCs w:val="24"/>
        </w:rPr>
        <w:t>todo este</w:t>
      </w:r>
      <w:r w:rsidR="00255B52" w:rsidRPr="00483AEE">
        <w:rPr>
          <w:szCs w:val="24"/>
        </w:rPr>
        <w:t xml:space="preserve"> período, e</w:t>
      </w:r>
      <w:r w:rsidR="001C4EC3" w:rsidRPr="00483AEE">
        <w:rPr>
          <w:szCs w:val="24"/>
        </w:rPr>
        <w:t>l coeficiente de Gini del ingreso per cápita familiar pasó, entre 1974 y 1980, de 0,356 a 0,427, para volver a escalar a 0,444 en 1988.</w:t>
      </w:r>
    </w:p>
    <w:p w:rsidR="001C4EC3" w:rsidRPr="00483AEE" w:rsidRDefault="003831AB" w:rsidP="00483AEE">
      <w:pPr>
        <w:spacing w:after="120" w:line="360" w:lineRule="auto"/>
        <w:jc w:val="both"/>
        <w:rPr>
          <w:szCs w:val="24"/>
        </w:rPr>
      </w:pPr>
      <w:r w:rsidRPr="00483AEE">
        <w:rPr>
          <w:szCs w:val="24"/>
        </w:rPr>
        <w:t>ii</w:t>
      </w:r>
      <w:r w:rsidR="001C4EC3" w:rsidRPr="00483AEE">
        <w:rPr>
          <w:szCs w:val="24"/>
        </w:rPr>
        <w:t xml:space="preserve">. </w:t>
      </w:r>
      <w:r w:rsidR="00255B52" w:rsidRPr="00483AEE">
        <w:rPr>
          <w:szCs w:val="24"/>
        </w:rPr>
        <w:t>En la fase</w:t>
      </w:r>
      <w:r w:rsidR="001C4EC3" w:rsidRPr="00483AEE">
        <w:rPr>
          <w:szCs w:val="24"/>
        </w:rPr>
        <w:t xml:space="preserve"> de reformas estructurales inspiradas en el Consenso de Washington </w:t>
      </w:r>
      <w:r w:rsidR="00412724" w:rsidRPr="00483AEE">
        <w:rPr>
          <w:szCs w:val="24"/>
        </w:rPr>
        <w:t xml:space="preserve">(1988-2003) </w:t>
      </w:r>
      <w:r w:rsidR="00255B52" w:rsidRPr="00483AEE">
        <w:rPr>
          <w:szCs w:val="24"/>
        </w:rPr>
        <w:t>tuvo</w:t>
      </w:r>
      <w:r w:rsidR="001C4EC3" w:rsidRPr="00483AEE">
        <w:rPr>
          <w:szCs w:val="24"/>
        </w:rPr>
        <w:t xml:space="preserve"> lugar a una intensificación de la tendencia precedente en materia de desigualdad. </w:t>
      </w:r>
      <w:r w:rsidR="00B51592" w:rsidRPr="00483AEE">
        <w:rPr>
          <w:szCs w:val="24"/>
        </w:rPr>
        <w:t>Al respecto, r</w:t>
      </w:r>
      <w:r w:rsidR="00412724" w:rsidRPr="00483AEE">
        <w:rPr>
          <w:szCs w:val="24"/>
        </w:rPr>
        <w:t>ecordemos que este</w:t>
      </w:r>
      <w:r w:rsidR="00412724" w:rsidRPr="00483AEE">
        <w:rPr>
          <w:rFonts w:eastAsia="Times New Roman"/>
          <w:bCs/>
          <w:szCs w:val="24"/>
          <w:lang w:val="es-ES" w:eastAsia="es-ES"/>
        </w:rPr>
        <w:t xml:space="preserve"> </w:t>
      </w:r>
      <w:r w:rsidR="00255B52" w:rsidRPr="00483AEE">
        <w:rPr>
          <w:rFonts w:eastAsia="Times New Roman"/>
          <w:bCs/>
          <w:szCs w:val="24"/>
          <w:lang w:val="es-ES" w:eastAsia="es-ES"/>
        </w:rPr>
        <w:t>período tuvo como característica haber llevado adelante una</w:t>
      </w:r>
      <w:r w:rsidR="00412724" w:rsidRPr="00483AEE">
        <w:rPr>
          <w:rFonts w:eastAsia="Times New Roman"/>
          <w:bCs/>
          <w:szCs w:val="24"/>
          <w:lang w:val="es-ES" w:eastAsia="es-ES"/>
        </w:rPr>
        <w:t xml:space="preserve"> agresiva política </w:t>
      </w:r>
      <w:r w:rsidR="00C12FEC" w:rsidRPr="00483AEE">
        <w:rPr>
          <w:rFonts w:eastAsia="Times New Roman"/>
          <w:bCs/>
          <w:szCs w:val="24"/>
          <w:lang w:val="es-ES" w:eastAsia="es-ES"/>
        </w:rPr>
        <w:t>de estabilización</w:t>
      </w:r>
      <w:r w:rsidR="00255B52" w:rsidRPr="00483AEE">
        <w:rPr>
          <w:rFonts w:eastAsia="Times New Roman"/>
          <w:bCs/>
          <w:szCs w:val="24"/>
          <w:lang w:val="es-ES" w:eastAsia="es-ES"/>
        </w:rPr>
        <w:t xml:space="preserve"> bajo un régimen de convertibilidad cambiaria (tipo de cambio fijo en paridad con el dólar), junto a un programa </w:t>
      </w:r>
      <w:r w:rsidR="00C12FEC" w:rsidRPr="00483AEE">
        <w:rPr>
          <w:rFonts w:eastAsia="Times New Roman"/>
          <w:bCs/>
          <w:szCs w:val="24"/>
          <w:lang w:val="es-ES" w:eastAsia="es-ES"/>
        </w:rPr>
        <w:t>radicalizado</w:t>
      </w:r>
      <w:r w:rsidR="00255B52" w:rsidRPr="00483AEE">
        <w:rPr>
          <w:rFonts w:eastAsia="Times New Roman"/>
          <w:bCs/>
          <w:szCs w:val="24"/>
          <w:lang w:val="es-ES" w:eastAsia="es-ES"/>
        </w:rPr>
        <w:t xml:space="preserve"> de liberalización económica</w:t>
      </w:r>
      <w:r w:rsidR="00412724" w:rsidRPr="00483AEE">
        <w:rPr>
          <w:rFonts w:eastAsia="Times New Roman"/>
          <w:bCs/>
          <w:szCs w:val="24"/>
          <w:lang w:val="es-ES" w:eastAsia="es-ES"/>
        </w:rPr>
        <w:t xml:space="preserve">. </w:t>
      </w:r>
      <w:r w:rsidR="00D56D16" w:rsidRPr="00483AEE">
        <w:rPr>
          <w:rFonts w:eastAsia="Times New Roman"/>
          <w:bCs/>
          <w:szCs w:val="24"/>
          <w:lang w:val="es-ES" w:eastAsia="es-ES"/>
        </w:rPr>
        <w:t>En el arranque de este proceso</w:t>
      </w:r>
      <w:r w:rsidR="00412724" w:rsidRPr="00483AEE">
        <w:rPr>
          <w:rFonts w:eastAsia="Times New Roman"/>
          <w:bCs/>
          <w:szCs w:val="24"/>
          <w:lang w:val="es-ES" w:eastAsia="es-ES"/>
        </w:rPr>
        <w:t xml:space="preserve">, </w:t>
      </w:r>
      <w:r w:rsidR="00412724" w:rsidRPr="00483AEE">
        <w:rPr>
          <w:szCs w:val="24"/>
        </w:rPr>
        <w:t>en</w:t>
      </w:r>
      <w:r w:rsidR="00D56D16" w:rsidRPr="00483AEE">
        <w:rPr>
          <w:szCs w:val="24"/>
        </w:rPr>
        <w:t>tre 1988-</w:t>
      </w:r>
      <w:r w:rsidR="00412724" w:rsidRPr="00483AEE">
        <w:rPr>
          <w:szCs w:val="24"/>
        </w:rPr>
        <w:t>1992</w:t>
      </w:r>
      <w:r w:rsidR="00D56D16" w:rsidRPr="00483AEE">
        <w:rPr>
          <w:szCs w:val="24"/>
        </w:rPr>
        <w:t xml:space="preserve">, en un contexto de crisis, ajuste y rápida reactivación en un contexto de estabilidad de precios, </w:t>
      </w:r>
      <w:r w:rsidR="00412724" w:rsidRPr="00483AEE">
        <w:rPr>
          <w:szCs w:val="24"/>
        </w:rPr>
        <w:t xml:space="preserve">la desigualdad </w:t>
      </w:r>
      <w:r w:rsidR="00924547" w:rsidRPr="00483AEE">
        <w:rPr>
          <w:szCs w:val="24"/>
        </w:rPr>
        <w:t xml:space="preserve">económica </w:t>
      </w:r>
      <w:r w:rsidR="00D56D16" w:rsidRPr="00483AEE">
        <w:rPr>
          <w:szCs w:val="24"/>
        </w:rPr>
        <w:t>-medido por cualquiera de los indicadores considerados- tendió a estabilizarse</w:t>
      </w:r>
      <w:r w:rsidR="00255B52" w:rsidRPr="00483AEE">
        <w:rPr>
          <w:szCs w:val="24"/>
        </w:rPr>
        <w:t xml:space="preserve">, luego de lo cual </w:t>
      </w:r>
      <w:r w:rsidR="00AF1F7B" w:rsidRPr="00483AEE">
        <w:rPr>
          <w:szCs w:val="24"/>
        </w:rPr>
        <w:t>siguió</w:t>
      </w:r>
      <w:r w:rsidR="00B51592" w:rsidRPr="00483AEE">
        <w:rPr>
          <w:szCs w:val="24"/>
        </w:rPr>
        <w:t xml:space="preserve"> creci</w:t>
      </w:r>
      <w:r w:rsidR="00AF1F7B" w:rsidRPr="00483AEE">
        <w:rPr>
          <w:szCs w:val="24"/>
        </w:rPr>
        <w:t>en</w:t>
      </w:r>
      <w:r w:rsidR="00B51592" w:rsidRPr="00483AEE">
        <w:rPr>
          <w:szCs w:val="24"/>
        </w:rPr>
        <w:t>do, acompañando</w:t>
      </w:r>
      <w:r w:rsidR="00255B52" w:rsidRPr="00483AEE">
        <w:rPr>
          <w:szCs w:val="24"/>
        </w:rPr>
        <w:t xml:space="preserve"> </w:t>
      </w:r>
      <w:r w:rsidR="00D56D16" w:rsidRPr="00483AEE">
        <w:rPr>
          <w:szCs w:val="24"/>
        </w:rPr>
        <w:t>cada una de los ciclos de</w:t>
      </w:r>
      <w:r w:rsidR="00255B52" w:rsidRPr="00483AEE">
        <w:rPr>
          <w:szCs w:val="24"/>
        </w:rPr>
        <w:t xml:space="preserve"> crecimiento</w:t>
      </w:r>
      <w:r w:rsidR="00D56D16" w:rsidRPr="00483AEE">
        <w:rPr>
          <w:szCs w:val="24"/>
        </w:rPr>
        <w:t>;</w:t>
      </w:r>
      <w:r w:rsidR="00AF1F7B" w:rsidRPr="00483AEE">
        <w:rPr>
          <w:szCs w:val="24"/>
        </w:rPr>
        <w:t xml:space="preserve"> sólo encontrando freno en </w:t>
      </w:r>
      <w:r w:rsidR="00483E6D" w:rsidRPr="00483AEE">
        <w:rPr>
          <w:szCs w:val="24"/>
        </w:rPr>
        <w:t>el c</w:t>
      </w:r>
      <w:r w:rsidR="00AF1F7B" w:rsidRPr="00483AEE">
        <w:rPr>
          <w:szCs w:val="24"/>
        </w:rPr>
        <w:t xml:space="preserve">ontexto de </w:t>
      </w:r>
      <w:r w:rsidR="00D56D16" w:rsidRPr="00483AEE">
        <w:rPr>
          <w:szCs w:val="24"/>
        </w:rPr>
        <w:t xml:space="preserve">la </w:t>
      </w:r>
      <w:r w:rsidR="00AF1F7B" w:rsidRPr="00483AEE">
        <w:rPr>
          <w:szCs w:val="24"/>
        </w:rPr>
        <w:t>crisis</w:t>
      </w:r>
      <w:r w:rsidR="00924547" w:rsidRPr="00483AEE">
        <w:rPr>
          <w:szCs w:val="24"/>
        </w:rPr>
        <w:t xml:space="preserve"> </w:t>
      </w:r>
      <w:r w:rsidR="00483E6D" w:rsidRPr="00483AEE">
        <w:rPr>
          <w:szCs w:val="24"/>
        </w:rPr>
        <w:t>financiera de 2001-2002</w:t>
      </w:r>
      <w:r w:rsidR="00AF1F7B" w:rsidRPr="00483AEE">
        <w:rPr>
          <w:szCs w:val="24"/>
        </w:rPr>
        <w:t>.</w:t>
      </w:r>
      <w:r w:rsidR="00255B52" w:rsidRPr="00483AEE">
        <w:rPr>
          <w:szCs w:val="24"/>
        </w:rPr>
        <w:t xml:space="preserve"> </w:t>
      </w:r>
      <w:r w:rsidR="00483E6D" w:rsidRPr="00483AEE">
        <w:rPr>
          <w:szCs w:val="24"/>
        </w:rPr>
        <w:t>Según la evidencia presentada, e</w:t>
      </w:r>
      <w:r w:rsidR="00924547" w:rsidRPr="00483AEE">
        <w:rPr>
          <w:szCs w:val="24"/>
        </w:rPr>
        <w:t>ntre</w:t>
      </w:r>
      <w:r w:rsidR="00412724" w:rsidRPr="00483AEE">
        <w:rPr>
          <w:szCs w:val="24"/>
        </w:rPr>
        <w:t xml:space="preserve"> 1</w:t>
      </w:r>
      <w:r w:rsidR="001C4EC3" w:rsidRPr="00483AEE">
        <w:rPr>
          <w:szCs w:val="24"/>
        </w:rPr>
        <w:t xml:space="preserve">988 y 1998, el coeficiente de </w:t>
      </w:r>
      <w:r w:rsidR="00B51592" w:rsidRPr="00483AEE">
        <w:rPr>
          <w:szCs w:val="24"/>
        </w:rPr>
        <w:t xml:space="preserve">Gini </w:t>
      </w:r>
      <w:r w:rsidR="00BA135F" w:rsidRPr="00483AEE">
        <w:rPr>
          <w:szCs w:val="24"/>
        </w:rPr>
        <w:t xml:space="preserve">del ingreso per cápita familiar </w:t>
      </w:r>
      <w:r w:rsidR="00AF1F7B" w:rsidRPr="00483AEE">
        <w:rPr>
          <w:szCs w:val="24"/>
        </w:rPr>
        <w:t xml:space="preserve">aumentó </w:t>
      </w:r>
      <w:r w:rsidR="00B51592" w:rsidRPr="00483AEE">
        <w:rPr>
          <w:szCs w:val="24"/>
        </w:rPr>
        <w:t xml:space="preserve">de 0,443 a 0,504; mientras que, </w:t>
      </w:r>
      <w:r w:rsidR="001C4EC3" w:rsidRPr="00483AEE">
        <w:rPr>
          <w:szCs w:val="24"/>
        </w:rPr>
        <w:t>entre 1998 y 200</w:t>
      </w:r>
      <w:r w:rsidR="00AF1F7B" w:rsidRPr="00483AEE">
        <w:rPr>
          <w:szCs w:val="24"/>
        </w:rPr>
        <w:t>1</w:t>
      </w:r>
      <w:r w:rsidR="001C4EC3" w:rsidRPr="00483AEE">
        <w:rPr>
          <w:szCs w:val="24"/>
        </w:rPr>
        <w:t xml:space="preserve">, </w:t>
      </w:r>
      <w:r w:rsidR="00483E6D" w:rsidRPr="00483AEE">
        <w:rPr>
          <w:szCs w:val="24"/>
        </w:rPr>
        <w:t>en fase de</w:t>
      </w:r>
      <w:r w:rsidR="00BA135F" w:rsidRPr="00483AEE">
        <w:rPr>
          <w:szCs w:val="24"/>
        </w:rPr>
        <w:t xml:space="preserve"> estancamiento, </w:t>
      </w:r>
      <w:r w:rsidR="00AF1F7B" w:rsidRPr="00483AEE">
        <w:rPr>
          <w:szCs w:val="24"/>
        </w:rPr>
        <w:t xml:space="preserve">siguió aumentando </w:t>
      </w:r>
      <w:r w:rsidR="00BA135F" w:rsidRPr="00483AEE">
        <w:rPr>
          <w:szCs w:val="24"/>
        </w:rPr>
        <w:t>hasta a un máximo histórico de 0,527</w:t>
      </w:r>
      <w:r w:rsidR="00483E6D" w:rsidRPr="00483AEE">
        <w:rPr>
          <w:szCs w:val="24"/>
        </w:rPr>
        <w:t>; f</w:t>
      </w:r>
      <w:r w:rsidR="00BA135F" w:rsidRPr="00483AEE">
        <w:rPr>
          <w:szCs w:val="24"/>
        </w:rPr>
        <w:t xml:space="preserve">inalmente, </w:t>
      </w:r>
      <w:r w:rsidR="00D56D16" w:rsidRPr="00483AEE">
        <w:rPr>
          <w:szCs w:val="24"/>
        </w:rPr>
        <w:t>en</w:t>
      </w:r>
      <w:r w:rsidR="00483E6D" w:rsidRPr="00483AEE">
        <w:rPr>
          <w:szCs w:val="24"/>
        </w:rPr>
        <w:t>tre</w:t>
      </w:r>
      <w:r w:rsidR="00D56D16" w:rsidRPr="00483AEE">
        <w:rPr>
          <w:szCs w:val="24"/>
        </w:rPr>
        <w:t xml:space="preserve"> </w:t>
      </w:r>
      <w:r w:rsidR="00483E6D" w:rsidRPr="00483AEE">
        <w:rPr>
          <w:szCs w:val="24"/>
        </w:rPr>
        <w:t xml:space="preserve">2002 y </w:t>
      </w:r>
      <w:r w:rsidR="00D56D16" w:rsidRPr="00483AEE">
        <w:rPr>
          <w:szCs w:val="24"/>
        </w:rPr>
        <w:t>2003, en el momento de inflexión de la crisis</w:t>
      </w:r>
      <w:r w:rsidR="00483E6D" w:rsidRPr="00483AEE">
        <w:rPr>
          <w:szCs w:val="24"/>
        </w:rPr>
        <w:t xml:space="preserve"> del modelo económico</w:t>
      </w:r>
      <w:r w:rsidR="00D56D16" w:rsidRPr="00483AEE">
        <w:rPr>
          <w:szCs w:val="24"/>
        </w:rPr>
        <w:t xml:space="preserve">, el coeficiente cayó a </w:t>
      </w:r>
      <w:r w:rsidR="001C4EC3" w:rsidRPr="00483AEE">
        <w:rPr>
          <w:szCs w:val="24"/>
        </w:rPr>
        <w:t>0,514.</w:t>
      </w:r>
    </w:p>
    <w:p w:rsidR="001C4EC3" w:rsidRPr="00483AEE" w:rsidRDefault="003831AB" w:rsidP="00483AEE">
      <w:pPr>
        <w:spacing w:after="120" w:line="360" w:lineRule="auto"/>
        <w:jc w:val="both"/>
        <w:rPr>
          <w:szCs w:val="24"/>
        </w:rPr>
      </w:pPr>
      <w:r w:rsidRPr="00483AEE">
        <w:rPr>
          <w:szCs w:val="24"/>
        </w:rPr>
        <w:lastRenderedPageBreak/>
        <w:t>iii</w:t>
      </w:r>
      <w:r w:rsidR="001C4EC3" w:rsidRPr="00483AEE">
        <w:rPr>
          <w:szCs w:val="24"/>
        </w:rPr>
        <w:t>. Luego de</w:t>
      </w:r>
      <w:r w:rsidR="00BA135F" w:rsidRPr="00483AEE">
        <w:rPr>
          <w:szCs w:val="24"/>
        </w:rPr>
        <w:t xml:space="preserve">l derrumbe </w:t>
      </w:r>
      <w:r w:rsidR="001C4EC3" w:rsidRPr="00483AEE">
        <w:rPr>
          <w:szCs w:val="24"/>
        </w:rPr>
        <w:t xml:space="preserve">del </w:t>
      </w:r>
      <w:r w:rsidR="00483E6D" w:rsidRPr="00483AEE">
        <w:rPr>
          <w:szCs w:val="24"/>
        </w:rPr>
        <w:t>régimen</w:t>
      </w:r>
      <w:r w:rsidR="001C4EC3" w:rsidRPr="00483AEE">
        <w:rPr>
          <w:szCs w:val="24"/>
        </w:rPr>
        <w:t xml:space="preserve"> de </w:t>
      </w:r>
      <w:r w:rsidR="00924547" w:rsidRPr="00483AEE">
        <w:rPr>
          <w:szCs w:val="24"/>
        </w:rPr>
        <w:t>convertibilidad</w:t>
      </w:r>
      <w:r w:rsidR="00483E6D" w:rsidRPr="00483AEE">
        <w:rPr>
          <w:szCs w:val="24"/>
        </w:rPr>
        <w:t>, y junto con él d</w:t>
      </w:r>
      <w:r w:rsidR="00BA135F" w:rsidRPr="00483AEE">
        <w:rPr>
          <w:szCs w:val="24"/>
        </w:rPr>
        <w:t>e</w:t>
      </w:r>
      <w:r w:rsidR="00B51592" w:rsidRPr="00483AEE">
        <w:rPr>
          <w:szCs w:val="24"/>
        </w:rPr>
        <w:t xml:space="preserve">l programa </w:t>
      </w:r>
      <w:r w:rsidR="00924547" w:rsidRPr="00483AEE">
        <w:rPr>
          <w:szCs w:val="24"/>
        </w:rPr>
        <w:t xml:space="preserve">de reformas </w:t>
      </w:r>
      <w:r w:rsidR="00B51592" w:rsidRPr="00483AEE">
        <w:rPr>
          <w:szCs w:val="24"/>
        </w:rPr>
        <w:t xml:space="preserve">neoliberal, </w:t>
      </w:r>
      <w:r w:rsidR="001C4EC3" w:rsidRPr="00483AEE">
        <w:rPr>
          <w:szCs w:val="24"/>
        </w:rPr>
        <w:t xml:space="preserve">el nuevo ciclo de crecimiento </w:t>
      </w:r>
      <w:r w:rsidR="00483E6D" w:rsidRPr="00483AEE">
        <w:rPr>
          <w:szCs w:val="24"/>
        </w:rPr>
        <w:t>apoyado en</w:t>
      </w:r>
      <w:r w:rsidR="001C4EC3" w:rsidRPr="00483AEE">
        <w:rPr>
          <w:szCs w:val="24"/>
        </w:rPr>
        <w:t xml:space="preserve"> políticas heterodoxas </w:t>
      </w:r>
      <w:r w:rsidR="00483E6D" w:rsidRPr="00483AEE">
        <w:rPr>
          <w:szCs w:val="24"/>
        </w:rPr>
        <w:t>orientadas a</w:t>
      </w:r>
      <w:r w:rsidR="00924547" w:rsidRPr="00483AEE">
        <w:rPr>
          <w:szCs w:val="24"/>
        </w:rPr>
        <w:t xml:space="preserve"> pro</w:t>
      </w:r>
      <w:r w:rsidR="00483E6D" w:rsidRPr="00483AEE">
        <w:rPr>
          <w:szCs w:val="24"/>
        </w:rPr>
        <w:t>mover e</w:t>
      </w:r>
      <w:r w:rsidR="00924547" w:rsidRPr="00483AEE">
        <w:rPr>
          <w:szCs w:val="24"/>
        </w:rPr>
        <w:t>l</w:t>
      </w:r>
      <w:r w:rsidR="00BA135F" w:rsidRPr="00483AEE">
        <w:rPr>
          <w:szCs w:val="24"/>
        </w:rPr>
        <w:t xml:space="preserve"> consumo </w:t>
      </w:r>
      <w:r w:rsidR="00483E6D" w:rsidRPr="00483AEE">
        <w:rPr>
          <w:szCs w:val="24"/>
        </w:rPr>
        <w:t xml:space="preserve">protegiendo </w:t>
      </w:r>
      <w:r w:rsidR="00924547" w:rsidRPr="00483AEE">
        <w:rPr>
          <w:szCs w:val="24"/>
        </w:rPr>
        <w:t>el</w:t>
      </w:r>
      <w:r w:rsidR="001C4EC3" w:rsidRPr="00483AEE">
        <w:rPr>
          <w:szCs w:val="24"/>
        </w:rPr>
        <w:t xml:space="preserve"> mercado interno,</w:t>
      </w:r>
      <w:r w:rsidR="00950C2F" w:rsidRPr="00483AEE">
        <w:rPr>
          <w:szCs w:val="24"/>
        </w:rPr>
        <w:t xml:space="preserve"> </w:t>
      </w:r>
      <w:r w:rsidR="00483E6D" w:rsidRPr="00483AEE">
        <w:rPr>
          <w:szCs w:val="24"/>
        </w:rPr>
        <w:t xml:space="preserve">muestra </w:t>
      </w:r>
      <w:r w:rsidR="001C4EC3" w:rsidRPr="00483AEE">
        <w:rPr>
          <w:szCs w:val="24"/>
        </w:rPr>
        <w:t xml:space="preserve">una reversión en la tendencia seguida por la desigualdad durante </w:t>
      </w:r>
      <w:r w:rsidR="00BA135F" w:rsidRPr="00483AEE">
        <w:rPr>
          <w:szCs w:val="24"/>
        </w:rPr>
        <w:t>los períodos anteriores</w:t>
      </w:r>
      <w:r w:rsidR="00483E6D" w:rsidRPr="00483AEE">
        <w:rPr>
          <w:szCs w:val="24"/>
        </w:rPr>
        <w:t>; aunque este proceso habría sido virtuoso mientras se sostuvo el crecimiento</w:t>
      </w:r>
      <w:r w:rsidR="001C4EC3" w:rsidRPr="00483AEE">
        <w:rPr>
          <w:szCs w:val="24"/>
        </w:rPr>
        <w:t>.</w:t>
      </w:r>
      <w:r w:rsidR="00483E6D" w:rsidRPr="00483AEE">
        <w:rPr>
          <w:szCs w:val="24"/>
        </w:rPr>
        <w:t xml:space="preserve"> </w:t>
      </w:r>
      <w:r w:rsidR="001C4EC3" w:rsidRPr="00483AEE">
        <w:rPr>
          <w:szCs w:val="24"/>
        </w:rPr>
        <w:t xml:space="preserve">Entre 2003 y 2007, el coeficiente de Gini del ingreso per cápita familiar tuvo un </w:t>
      </w:r>
      <w:r w:rsidR="008870FF" w:rsidRPr="00483AEE">
        <w:rPr>
          <w:szCs w:val="24"/>
        </w:rPr>
        <w:t xml:space="preserve">fuerte </w:t>
      </w:r>
      <w:r w:rsidR="001C4EC3" w:rsidRPr="00483AEE">
        <w:rPr>
          <w:szCs w:val="24"/>
        </w:rPr>
        <w:t xml:space="preserve">comportamiento decreciente, pasando de 0,512 a 0,466. </w:t>
      </w:r>
      <w:r w:rsidR="008870FF" w:rsidRPr="00483AEE">
        <w:rPr>
          <w:szCs w:val="24"/>
        </w:rPr>
        <w:t>E</w:t>
      </w:r>
      <w:r w:rsidR="00B51592" w:rsidRPr="00483AEE">
        <w:rPr>
          <w:szCs w:val="24"/>
        </w:rPr>
        <w:t>ntre 2007 y 201</w:t>
      </w:r>
      <w:r w:rsidR="00950C2F" w:rsidRPr="00483AEE">
        <w:rPr>
          <w:szCs w:val="24"/>
        </w:rPr>
        <w:t>2</w:t>
      </w:r>
      <w:r w:rsidR="00B51592" w:rsidRPr="00483AEE">
        <w:rPr>
          <w:szCs w:val="24"/>
        </w:rPr>
        <w:t xml:space="preserve">, </w:t>
      </w:r>
      <w:r w:rsidR="00CB76EF" w:rsidRPr="00483AEE">
        <w:rPr>
          <w:szCs w:val="24"/>
        </w:rPr>
        <w:t xml:space="preserve">con una economía que siguió creciendo </w:t>
      </w:r>
      <w:r w:rsidR="00950C2F" w:rsidRPr="00483AEE">
        <w:rPr>
          <w:szCs w:val="24"/>
        </w:rPr>
        <w:t>a pesar de la</w:t>
      </w:r>
      <w:r w:rsidR="00B51592" w:rsidRPr="00483AEE">
        <w:rPr>
          <w:szCs w:val="24"/>
        </w:rPr>
        <w:t xml:space="preserve"> crisis </w:t>
      </w:r>
      <w:r w:rsidR="00950C2F" w:rsidRPr="00483AEE">
        <w:rPr>
          <w:szCs w:val="24"/>
        </w:rPr>
        <w:t xml:space="preserve">internacional </w:t>
      </w:r>
      <w:r w:rsidR="00B51592" w:rsidRPr="00483AEE">
        <w:rPr>
          <w:szCs w:val="24"/>
        </w:rPr>
        <w:t>de 2009</w:t>
      </w:r>
      <w:r w:rsidR="00950C2F" w:rsidRPr="00483AEE">
        <w:rPr>
          <w:szCs w:val="24"/>
        </w:rPr>
        <w:t xml:space="preserve"> y </w:t>
      </w:r>
      <w:r w:rsidR="00CB76EF" w:rsidRPr="00483AEE">
        <w:rPr>
          <w:szCs w:val="24"/>
        </w:rPr>
        <w:t xml:space="preserve">de </w:t>
      </w:r>
      <w:r w:rsidR="00BA135F" w:rsidRPr="00483AEE">
        <w:rPr>
          <w:szCs w:val="24"/>
        </w:rPr>
        <w:t>una situación interna</w:t>
      </w:r>
      <w:r w:rsidR="00950C2F" w:rsidRPr="00483AEE">
        <w:rPr>
          <w:szCs w:val="24"/>
        </w:rPr>
        <w:t xml:space="preserve"> </w:t>
      </w:r>
      <w:r w:rsidR="001C4EC3" w:rsidRPr="00483AEE">
        <w:rPr>
          <w:szCs w:val="24"/>
        </w:rPr>
        <w:t>más inestable</w:t>
      </w:r>
      <w:r w:rsidR="00CB76EF" w:rsidRPr="00483AEE">
        <w:rPr>
          <w:szCs w:val="24"/>
        </w:rPr>
        <w:t xml:space="preserve">, </w:t>
      </w:r>
      <w:r w:rsidR="001C4EC3" w:rsidRPr="00483AEE">
        <w:rPr>
          <w:szCs w:val="24"/>
        </w:rPr>
        <w:t xml:space="preserve">la desigualdad </w:t>
      </w:r>
      <w:r w:rsidR="00F1051F" w:rsidRPr="00483AEE">
        <w:rPr>
          <w:szCs w:val="24"/>
        </w:rPr>
        <w:t>volvió a caer</w:t>
      </w:r>
      <w:r w:rsidR="001C4EC3" w:rsidRPr="00483AEE">
        <w:rPr>
          <w:szCs w:val="24"/>
        </w:rPr>
        <w:t>: el coeficiente pasó de 0,466 a 0,4</w:t>
      </w:r>
      <w:r w:rsidR="00CB76EF" w:rsidRPr="00483AEE">
        <w:rPr>
          <w:szCs w:val="24"/>
        </w:rPr>
        <w:t>0</w:t>
      </w:r>
      <w:r w:rsidR="001C4EC3" w:rsidRPr="00483AEE">
        <w:rPr>
          <w:szCs w:val="24"/>
        </w:rPr>
        <w:t>5.</w:t>
      </w:r>
      <w:r w:rsidR="00CB76EF" w:rsidRPr="00483AEE">
        <w:rPr>
          <w:szCs w:val="24"/>
        </w:rPr>
        <w:t xml:space="preserve"> Sólo a partir de </w:t>
      </w:r>
      <w:r w:rsidR="00BA135F" w:rsidRPr="00483AEE">
        <w:rPr>
          <w:szCs w:val="24"/>
        </w:rPr>
        <w:t>un contexto</w:t>
      </w:r>
      <w:r w:rsidR="00CB76EF" w:rsidRPr="00483AEE">
        <w:rPr>
          <w:szCs w:val="24"/>
        </w:rPr>
        <w:t xml:space="preserve"> </w:t>
      </w:r>
      <w:r w:rsidR="008870FF" w:rsidRPr="00483AEE">
        <w:rPr>
          <w:szCs w:val="24"/>
        </w:rPr>
        <w:t xml:space="preserve">cargado </w:t>
      </w:r>
      <w:r w:rsidR="00F1051F" w:rsidRPr="00483AEE">
        <w:rPr>
          <w:szCs w:val="24"/>
        </w:rPr>
        <w:t>de mayor</w:t>
      </w:r>
      <w:r w:rsidR="00BA135F" w:rsidRPr="00483AEE">
        <w:rPr>
          <w:szCs w:val="24"/>
        </w:rPr>
        <w:t>es</w:t>
      </w:r>
      <w:r w:rsidR="00F1051F" w:rsidRPr="00483AEE">
        <w:rPr>
          <w:szCs w:val="24"/>
        </w:rPr>
        <w:t xml:space="preserve"> </w:t>
      </w:r>
      <w:r w:rsidR="00BA135F" w:rsidRPr="00483AEE">
        <w:rPr>
          <w:szCs w:val="24"/>
        </w:rPr>
        <w:t>desequilibrio</w:t>
      </w:r>
      <w:r w:rsidR="00A8356C" w:rsidRPr="00483AEE">
        <w:rPr>
          <w:szCs w:val="24"/>
        </w:rPr>
        <w:t>s</w:t>
      </w:r>
      <w:r w:rsidR="00F1051F" w:rsidRPr="00483AEE">
        <w:rPr>
          <w:szCs w:val="24"/>
        </w:rPr>
        <w:t xml:space="preserve"> </w:t>
      </w:r>
      <w:r w:rsidR="00BA135F" w:rsidRPr="00483AEE">
        <w:rPr>
          <w:szCs w:val="24"/>
        </w:rPr>
        <w:t>y retracción</w:t>
      </w:r>
      <w:r w:rsidR="00CB76EF" w:rsidRPr="00483AEE">
        <w:rPr>
          <w:szCs w:val="24"/>
        </w:rPr>
        <w:t xml:space="preserve"> económica, entre 2012 y 2014,</w:t>
      </w:r>
      <w:r w:rsidR="00F632BB" w:rsidRPr="00483AEE">
        <w:rPr>
          <w:szCs w:val="24"/>
        </w:rPr>
        <w:t xml:space="preserve"> el coeficiente de Gini </w:t>
      </w:r>
      <w:r w:rsidR="008870FF" w:rsidRPr="00483AEE">
        <w:rPr>
          <w:szCs w:val="24"/>
        </w:rPr>
        <w:t>habría al menos ascendido a</w:t>
      </w:r>
      <w:r w:rsidR="00CB76EF" w:rsidRPr="00483AEE">
        <w:rPr>
          <w:szCs w:val="24"/>
        </w:rPr>
        <w:t xml:space="preserve"> 0,415.   </w:t>
      </w:r>
      <w:r w:rsidR="001C4EC3" w:rsidRPr="00483AEE">
        <w:rPr>
          <w:szCs w:val="24"/>
        </w:rPr>
        <w:t xml:space="preserve"> </w:t>
      </w:r>
    </w:p>
    <w:p w:rsidR="0032214D" w:rsidRPr="00483AEE" w:rsidRDefault="0016643C" w:rsidP="00483AEE">
      <w:pPr>
        <w:spacing w:after="120" w:line="360" w:lineRule="auto"/>
        <w:jc w:val="both"/>
        <w:rPr>
          <w:rFonts w:eastAsia="Times New Roman"/>
          <w:bCs/>
          <w:szCs w:val="24"/>
          <w:lang w:val="es-ES" w:eastAsia="es-ES"/>
        </w:rPr>
      </w:pPr>
      <w:r w:rsidRPr="00483AEE">
        <w:rPr>
          <w:szCs w:val="24"/>
        </w:rPr>
        <w:t xml:space="preserve">Los </w:t>
      </w:r>
      <w:r w:rsidR="00CB5117" w:rsidRPr="00483AEE">
        <w:rPr>
          <w:szCs w:val="24"/>
        </w:rPr>
        <w:t>apartados</w:t>
      </w:r>
      <w:r w:rsidRPr="00483AEE">
        <w:rPr>
          <w:szCs w:val="24"/>
        </w:rPr>
        <w:t xml:space="preserve"> </w:t>
      </w:r>
      <w:r w:rsidR="008870FF" w:rsidRPr="00483AEE">
        <w:rPr>
          <w:szCs w:val="24"/>
        </w:rPr>
        <w:t>que siguen</w:t>
      </w:r>
      <w:r w:rsidRPr="00483AEE">
        <w:rPr>
          <w:szCs w:val="24"/>
        </w:rPr>
        <w:t xml:space="preserve"> buscan </w:t>
      </w:r>
      <w:r w:rsidR="008870FF" w:rsidRPr="00483AEE">
        <w:rPr>
          <w:szCs w:val="24"/>
        </w:rPr>
        <w:t>tejer</w:t>
      </w:r>
      <w:r w:rsidRPr="00483AEE">
        <w:rPr>
          <w:szCs w:val="24"/>
        </w:rPr>
        <w:t xml:space="preserve"> los diferentes mecanismos </w:t>
      </w:r>
      <w:r w:rsidR="0064610E" w:rsidRPr="00483AEE">
        <w:rPr>
          <w:szCs w:val="24"/>
        </w:rPr>
        <w:t>político-económicos</w:t>
      </w:r>
      <w:r w:rsidRPr="00483AEE">
        <w:rPr>
          <w:szCs w:val="24"/>
        </w:rPr>
        <w:t xml:space="preserve"> que dieron lugar a</w:t>
      </w:r>
      <w:r w:rsidR="00FE2086" w:rsidRPr="00483AEE">
        <w:rPr>
          <w:szCs w:val="24"/>
        </w:rPr>
        <w:t xml:space="preserve"> estos cambios de ten</w:t>
      </w:r>
      <w:r w:rsidR="00A8356C" w:rsidRPr="00483AEE">
        <w:rPr>
          <w:szCs w:val="24"/>
        </w:rPr>
        <w:t>d</w:t>
      </w:r>
      <w:r w:rsidR="00FE2086" w:rsidRPr="00483AEE">
        <w:rPr>
          <w:szCs w:val="24"/>
        </w:rPr>
        <w:t>encia en la</w:t>
      </w:r>
      <w:r w:rsidRPr="00483AEE">
        <w:rPr>
          <w:szCs w:val="24"/>
        </w:rPr>
        <w:t xml:space="preserve"> pauta distributiva. </w:t>
      </w:r>
      <w:r w:rsidR="00AA57B7" w:rsidRPr="00483AEE">
        <w:rPr>
          <w:rFonts w:eastAsia="Times New Roman"/>
          <w:bCs/>
          <w:szCs w:val="24"/>
          <w:lang w:val="es-ES" w:eastAsia="es-ES"/>
        </w:rPr>
        <w:t xml:space="preserve">La </w:t>
      </w:r>
      <w:r w:rsidR="00F7397C" w:rsidRPr="00483AEE">
        <w:rPr>
          <w:rFonts w:eastAsia="Times New Roman"/>
          <w:bCs/>
          <w:szCs w:val="24"/>
          <w:lang w:val="es-ES" w:eastAsia="es-ES"/>
        </w:rPr>
        <w:t>siguiente</w:t>
      </w:r>
      <w:r w:rsidR="00AA57B7" w:rsidRPr="00483AEE">
        <w:rPr>
          <w:rFonts w:eastAsia="Times New Roman"/>
          <w:bCs/>
          <w:szCs w:val="24"/>
          <w:lang w:val="es-ES" w:eastAsia="es-ES"/>
        </w:rPr>
        <w:t xml:space="preserve"> sección </w:t>
      </w:r>
      <w:r w:rsidR="008870FF" w:rsidRPr="00483AEE">
        <w:rPr>
          <w:rFonts w:eastAsia="Times New Roman"/>
          <w:bCs/>
          <w:szCs w:val="24"/>
          <w:lang w:val="es-ES" w:eastAsia="es-ES"/>
        </w:rPr>
        <w:t>aborda</w:t>
      </w:r>
      <w:r w:rsidR="00AA57B7" w:rsidRPr="00483AEE">
        <w:rPr>
          <w:rFonts w:eastAsia="Times New Roman"/>
          <w:bCs/>
          <w:szCs w:val="24"/>
          <w:lang w:val="es-ES" w:eastAsia="es-ES"/>
        </w:rPr>
        <w:t xml:space="preserve"> las principales tendencias económicas </w:t>
      </w:r>
      <w:r w:rsidR="008870FF" w:rsidRPr="00483AEE">
        <w:rPr>
          <w:rFonts w:eastAsia="Times New Roman"/>
          <w:bCs/>
          <w:szCs w:val="24"/>
          <w:lang w:val="es-ES" w:eastAsia="es-ES"/>
        </w:rPr>
        <w:t xml:space="preserve">registradas durante el período y su relación con </w:t>
      </w:r>
      <w:r w:rsidR="00AA57B7" w:rsidRPr="00483AEE">
        <w:rPr>
          <w:rFonts w:eastAsia="Times New Roman"/>
          <w:bCs/>
          <w:szCs w:val="24"/>
          <w:lang w:val="es-ES" w:eastAsia="es-ES"/>
        </w:rPr>
        <w:t xml:space="preserve">las </w:t>
      </w:r>
      <w:r w:rsidR="00F7397C" w:rsidRPr="00483AEE">
        <w:rPr>
          <w:rFonts w:eastAsia="Times New Roman"/>
          <w:bCs/>
          <w:szCs w:val="24"/>
          <w:lang w:val="es-ES" w:eastAsia="es-ES"/>
        </w:rPr>
        <w:t xml:space="preserve">principales </w:t>
      </w:r>
      <w:r w:rsidR="00AA57B7" w:rsidRPr="00483AEE">
        <w:rPr>
          <w:rFonts w:eastAsia="Times New Roman"/>
          <w:bCs/>
          <w:szCs w:val="24"/>
          <w:lang w:val="es-ES" w:eastAsia="es-ES"/>
        </w:rPr>
        <w:t xml:space="preserve">medidas </w:t>
      </w:r>
      <w:r w:rsidR="008870FF" w:rsidRPr="00483AEE">
        <w:rPr>
          <w:rFonts w:eastAsia="Times New Roman"/>
          <w:bCs/>
          <w:szCs w:val="24"/>
          <w:lang w:val="es-ES" w:eastAsia="es-ES"/>
        </w:rPr>
        <w:t xml:space="preserve">de política </w:t>
      </w:r>
      <w:r w:rsidR="00AA57B7" w:rsidRPr="00483AEE">
        <w:rPr>
          <w:rFonts w:eastAsia="Times New Roman"/>
          <w:bCs/>
          <w:szCs w:val="24"/>
          <w:lang w:val="es-ES" w:eastAsia="es-ES"/>
        </w:rPr>
        <w:t>econ</w:t>
      </w:r>
      <w:r w:rsidR="00F7397C" w:rsidRPr="00483AEE">
        <w:rPr>
          <w:rFonts w:eastAsia="Times New Roman"/>
          <w:bCs/>
          <w:szCs w:val="24"/>
          <w:lang w:val="es-ES" w:eastAsia="es-ES"/>
        </w:rPr>
        <w:t>ómica</w:t>
      </w:r>
      <w:r w:rsidR="008870FF" w:rsidRPr="00483AEE">
        <w:rPr>
          <w:rFonts w:eastAsia="Times New Roman"/>
          <w:bCs/>
          <w:szCs w:val="24"/>
          <w:lang w:val="es-ES" w:eastAsia="es-ES"/>
        </w:rPr>
        <w:t>, social y laboral</w:t>
      </w:r>
      <w:r w:rsidR="00F7397C" w:rsidRPr="00483AEE">
        <w:rPr>
          <w:rFonts w:eastAsia="Times New Roman"/>
          <w:bCs/>
          <w:szCs w:val="24"/>
          <w:lang w:val="es-ES" w:eastAsia="es-ES"/>
        </w:rPr>
        <w:t xml:space="preserve"> </w:t>
      </w:r>
      <w:r w:rsidR="0064610E" w:rsidRPr="00483AEE">
        <w:rPr>
          <w:rFonts w:eastAsia="Times New Roman"/>
          <w:bCs/>
          <w:szCs w:val="24"/>
          <w:lang w:val="es-ES" w:eastAsia="es-ES"/>
        </w:rPr>
        <w:t>emprendidas en</w:t>
      </w:r>
      <w:r w:rsidR="008870FF" w:rsidRPr="00483AEE">
        <w:rPr>
          <w:rFonts w:eastAsia="Times New Roman"/>
          <w:bCs/>
          <w:szCs w:val="24"/>
          <w:lang w:val="es-ES" w:eastAsia="es-ES"/>
        </w:rPr>
        <w:t xml:space="preserve"> cada etapa</w:t>
      </w:r>
      <w:r w:rsidR="00AA57B7" w:rsidRPr="00483AEE">
        <w:rPr>
          <w:rFonts w:eastAsia="Times New Roman"/>
          <w:bCs/>
          <w:szCs w:val="24"/>
          <w:lang w:val="es-ES" w:eastAsia="es-ES"/>
        </w:rPr>
        <w:t xml:space="preserve">. </w:t>
      </w:r>
      <w:r w:rsidR="008870FF" w:rsidRPr="00483AEE">
        <w:rPr>
          <w:rFonts w:eastAsia="Times New Roman"/>
          <w:bCs/>
          <w:szCs w:val="24"/>
          <w:lang w:val="es-ES" w:eastAsia="es-ES"/>
        </w:rPr>
        <w:t>Teniendo este marco, l</w:t>
      </w:r>
      <w:r w:rsidR="0032214D" w:rsidRPr="00483AEE">
        <w:rPr>
          <w:rFonts w:eastAsia="Times New Roman"/>
          <w:bCs/>
          <w:szCs w:val="24"/>
          <w:lang w:val="es-ES" w:eastAsia="es-ES"/>
        </w:rPr>
        <w:t xml:space="preserve">as secciones </w:t>
      </w:r>
      <w:r w:rsidR="00AA57B7" w:rsidRPr="00483AEE">
        <w:rPr>
          <w:rFonts w:eastAsia="Times New Roman"/>
          <w:bCs/>
          <w:szCs w:val="24"/>
          <w:lang w:val="es-ES" w:eastAsia="es-ES"/>
        </w:rPr>
        <w:t>tercera</w:t>
      </w:r>
      <w:r w:rsidR="0032214D" w:rsidRPr="00483AEE">
        <w:rPr>
          <w:rFonts w:eastAsia="Times New Roman"/>
          <w:bCs/>
          <w:szCs w:val="24"/>
          <w:lang w:val="es-ES" w:eastAsia="es-ES"/>
        </w:rPr>
        <w:t xml:space="preserve"> y </w:t>
      </w:r>
      <w:r w:rsidR="00AA57B7" w:rsidRPr="00483AEE">
        <w:rPr>
          <w:rFonts w:eastAsia="Times New Roman"/>
          <w:bCs/>
          <w:szCs w:val="24"/>
          <w:lang w:val="es-ES" w:eastAsia="es-ES"/>
        </w:rPr>
        <w:t>cuarta</w:t>
      </w:r>
      <w:r w:rsidR="0032214D" w:rsidRPr="00483AEE">
        <w:rPr>
          <w:rFonts w:eastAsia="Times New Roman"/>
          <w:bCs/>
          <w:szCs w:val="24"/>
          <w:lang w:val="es-ES" w:eastAsia="es-ES"/>
        </w:rPr>
        <w:t xml:space="preserve"> </w:t>
      </w:r>
      <w:r w:rsidR="008870FF" w:rsidRPr="00483AEE">
        <w:rPr>
          <w:rFonts w:eastAsia="Times New Roman"/>
          <w:bCs/>
          <w:szCs w:val="24"/>
          <w:lang w:val="es-ES" w:eastAsia="es-ES"/>
        </w:rPr>
        <w:t xml:space="preserve">describen con mayor </w:t>
      </w:r>
      <w:r w:rsidR="0032214D" w:rsidRPr="00483AEE">
        <w:rPr>
          <w:rFonts w:eastAsia="Times New Roman"/>
          <w:bCs/>
          <w:szCs w:val="24"/>
          <w:lang w:val="es-ES" w:eastAsia="es-ES"/>
        </w:rPr>
        <w:t xml:space="preserve">detalle los cambios </w:t>
      </w:r>
      <w:r w:rsidR="008870FF" w:rsidRPr="00483AEE">
        <w:rPr>
          <w:rFonts w:eastAsia="Times New Roman"/>
          <w:bCs/>
          <w:szCs w:val="24"/>
          <w:lang w:val="es-ES" w:eastAsia="es-ES"/>
        </w:rPr>
        <w:t>experimentados por</w:t>
      </w:r>
      <w:r w:rsidR="0032214D" w:rsidRPr="00483AEE">
        <w:rPr>
          <w:rFonts w:eastAsia="Times New Roman"/>
          <w:bCs/>
          <w:szCs w:val="24"/>
          <w:lang w:val="es-ES" w:eastAsia="es-ES"/>
        </w:rPr>
        <w:t xml:space="preserve"> el mercado de trabajo y </w:t>
      </w:r>
      <w:r w:rsidR="008870FF" w:rsidRPr="00483AEE">
        <w:rPr>
          <w:rFonts w:eastAsia="Times New Roman"/>
          <w:bCs/>
          <w:szCs w:val="24"/>
          <w:lang w:val="es-ES" w:eastAsia="es-ES"/>
        </w:rPr>
        <w:t xml:space="preserve">los alcances que tuvieron </w:t>
      </w:r>
      <w:r w:rsidR="0032214D" w:rsidRPr="00483AEE">
        <w:rPr>
          <w:rFonts w:eastAsia="Times New Roman"/>
          <w:bCs/>
          <w:szCs w:val="24"/>
          <w:lang w:val="es-ES" w:eastAsia="es-ES"/>
        </w:rPr>
        <w:t xml:space="preserve">las políticas sociales, </w:t>
      </w:r>
      <w:r w:rsidR="00400632" w:rsidRPr="00483AEE">
        <w:rPr>
          <w:rFonts w:eastAsia="Times New Roman"/>
          <w:bCs/>
          <w:szCs w:val="24"/>
          <w:lang w:val="es-ES" w:eastAsia="es-ES"/>
        </w:rPr>
        <w:t>asumiendo</w:t>
      </w:r>
      <w:r w:rsidR="0032214D" w:rsidRPr="00483AEE">
        <w:rPr>
          <w:rFonts w:eastAsia="Times New Roman"/>
          <w:bCs/>
          <w:szCs w:val="24"/>
          <w:lang w:val="es-ES" w:eastAsia="es-ES"/>
        </w:rPr>
        <w:t xml:space="preserve"> el papel decisivo </w:t>
      </w:r>
      <w:r w:rsidR="008870FF" w:rsidRPr="00483AEE">
        <w:rPr>
          <w:rFonts w:eastAsia="Times New Roman"/>
          <w:bCs/>
          <w:szCs w:val="24"/>
          <w:lang w:val="es-ES" w:eastAsia="es-ES"/>
        </w:rPr>
        <w:t>que tuvieron estas</w:t>
      </w:r>
      <w:r w:rsidR="0032214D" w:rsidRPr="00483AEE">
        <w:rPr>
          <w:rFonts w:eastAsia="Times New Roman"/>
          <w:bCs/>
          <w:szCs w:val="24"/>
          <w:lang w:val="es-ES" w:eastAsia="es-ES"/>
        </w:rPr>
        <w:t xml:space="preserve"> instancias en l</w:t>
      </w:r>
      <w:r w:rsidR="00400632" w:rsidRPr="00483AEE">
        <w:rPr>
          <w:rFonts w:eastAsia="Times New Roman"/>
          <w:bCs/>
          <w:szCs w:val="24"/>
          <w:lang w:val="es-ES" w:eastAsia="es-ES"/>
        </w:rPr>
        <w:t>os cambios que fueron registrando los</w:t>
      </w:r>
      <w:r w:rsidR="0032214D" w:rsidRPr="00483AEE">
        <w:rPr>
          <w:rFonts w:eastAsia="Times New Roman"/>
          <w:bCs/>
          <w:szCs w:val="24"/>
          <w:lang w:val="es-ES" w:eastAsia="es-ES"/>
        </w:rPr>
        <w:t xml:space="preserve"> patr</w:t>
      </w:r>
      <w:r w:rsidR="00400632" w:rsidRPr="00483AEE">
        <w:rPr>
          <w:rFonts w:eastAsia="Times New Roman"/>
          <w:bCs/>
          <w:szCs w:val="24"/>
          <w:lang w:val="es-ES" w:eastAsia="es-ES"/>
        </w:rPr>
        <w:t>ones</w:t>
      </w:r>
      <w:r w:rsidR="0032214D" w:rsidRPr="00483AEE">
        <w:rPr>
          <w:rFonts w:eastAsia="Times New Roman"/>
          <w:bCs/>
          <w:szCs w:val="24"/>
          <w:lang w:val="es-ES" w:eastAsia="es-ES"/>
        </w:rPr>
        <w:t xml:space="preserve"> distributivo</w:t>
      </w:r>
      <w:r w:rsidR="00400632" w:rsidRPr="00483AEE">
        <w:rPr>
          <w:rFonts w:eastAsia="Times New Roman"/>
          <w:bCs/>
          <w:szCs w:val="24"/>
          <w:lang w:val="es-ES" w:eastAsia="es-ES"/>
        </w:rPr>
        <w:t>s</w:t>
      </w:r>
      <w:r w:rsidR="0032214D" w:rsidRPr="00483AEE">
        <w:rPr>
          <w:rFonts w:eastAsia="Times New Roman"/>
          <w:bCs/>
          <w:szCs w:val="24"/>
          <w:lang w:val="es-ES" w:eastAsia="es-ES"/>
        </w:rPr>
        <w:t>. El capítulo se cierra con un conjunto de reflexiones finales.</w:t>
      </w:r>
    </w:p>
    <w:p w:rsidR="000C702F" w:rsidRPr="00483AEE" w:rsidRDefault="00AA57B7" w:rsidP="00153819">
      <w:pPr>
        <w:spacing w:before="360" w:after="120" w:line="360" w:lineRule="auto"/>
        <w:jc w:val="center"/>
        <w:rPr>
          <w:b/>
          <w:szCs w:val="24"/>
        </w:rPr>
      </w:pPr>
      <w:r w:rsidRPr="00483AEE">
        <w:rPr>
          <w:b/>
          <w:szCs w:val="24"/>
        </w:rPr>
        <w:t>2</w:t>
      </w:r>
      <w:r w:rsidR="000C702F" w:rsidRPr="00483AEE">
        <w:rPr>
          <w:b/>
          <w:szCs w:val="24"/>
        </w:rPr>
        <w:t xml:space="preserve">.- </w:t>
      </w:r>
      <w:r w:rsidR="0043714A" w:rsidRPr="00483AEE">
        <w:rPr>
          <w:b/>
          <w:szCs w:val="24"/>
        </w:rPr>
        <w:t>Etapas</w:t>
      </w:r>
      <w:r w:rsidR="000C702F" w:rsidRPr="00483AEE">
        <w:rPr>
          <w:b/>
          <w:szCs w:val="24"/>
        </w:rPr>
        <w:t xml:space="preserve"> político-económicas en la historia argentina reciente</w:t>
      </w:r>
    </w:p>
    <w:p w:rsidR="00B02521" w:rsidRPr="00483AEE" w:rsidRDefault="0064610E" w:rsidP="00483AEE">
      <w:pPr>
        <w:tabs>
          <w:tab w:val="left" w:pos="-1560"/>
        </w:tabs>
        <w:spacing w:after="120" w:line="360" w:lineRule="auto"/>
        <w:jc w:val="both"/>
        <w:rPr>
          <w:szCs w:val="24"/>
        </w:rPr>
      </w:pPr>
      <w:r w:rsidRPr="00483AEE">
        <w:rPr>
          <w:kern w:val="22"/>
          <w:szCs w:val="24"/>
        </w:rPr>
        <w:t xml:space="preserve">Tal como pudo apreciarse en la </w:t>
      </w:r>
      <w:r w:rsidR="00BE7D8D" w:rsidRPr="00483AEE">
        <w:rPr>
          <w:kern w:val="22"/>
          <w:szCs w:val="24"/>
        </w:rPr>
        <w:t>Gráfica</w:t>
      </w:r>
      <w:r w:rsidRPr="00483AEE">
        <w:rPr>
          <w:kern w:val="22"/>
          <w:szCs w:val="24"/>
        </w:rPr>
        <w:t xml:space="preserve"> </w:t>
      </w:r>
      <w:r w:rsidR="00BE7D8D" w:rsidRPr="00483AEE">
        <w:rPr>
          <w:kern w:val="22"/>
          <w:szCs w:val="24"/>
        </w:rPr>
        <w:t>2.</w:t>
      </w:r>
      <w:r w:rsidRPr="00483AEE">
        <w:rPr>
          <w:kern w:val="22"/>
          <w:szCs w:val="24"/>
        </w:rPr>
        <w:t xml:space="preserve">1, el crecimiento de la economía argentina durante el período 1974-2014 distó mucho de ser regular y constante. Al respecto, el </w:t>
      </w:r>
      <w:r w:rsidR="00BE7D8D" w:rsidRPr="00483AEE">
        <w:rPr>
          <w:kern w:val="22"/>
          <w:szCs w:val="24"/>
        </w:rPr>
        <w:t>Cuadro</w:t>
      </w:r>
      <w:r w:rsidRPr="00483AEE">
        <w:rPr>
          <w:kern w:val="22"/>
          <w:szCs w:val="24"/>
        </w:rPr>
        <w:t xml:space="preserve"> </w:t>
      </w:r>
      <w:r w:rsidR="00BE7D8D" w:rsidRPr="00483AEE">
        <w:rPr>
          <w:kern w:val="22"/>
          <w:szCs w:val="24"/>
        </w:rPr>
        <w:t>2.</w:t>
      </w:r>
      <w:r w:rsidRPr="00483AEE">
        <w:rPr>
          <w:kern w:val="22"/>
          <w:szCs w:val="24"/>
        </w:rPr>
        <w:t xml:space="preserve">1 </w:t>
      </w:r>
      <w:r w:rsidR="00B02521" w:rsidRPr="00483AEE">
        <w:rPr>
          <w:kern w:val="22"/>
          <w:szCs w:val="24"/>
        </w:rPr>
        <w:t>ofrece evidencias que amplían el análisis y aportan mayores detalles a</w:t>
      </w:r>
      <w:r w:rsidRPr="00483AEE">
        <w:rPr>
          <w:kern w:val="22"/>
          <w:szCs w:val="24"/>
        </w:rPr>
        <w:t xml:space="preserve"> este proceso para cada una de las fases político-económicas consideradas en este estudio. </w:t>
      </w:r>
      <w:r w:rsidR="00B02521" w:rsidRPr="00483AEE">
        <w:rPr>
          <w:szCs w:val="24"/>
        </w:rPr>
        <w:t>De acuerdo con esta información:</w:t>
      </w:r>
    </w:p>
    <w:p w:rsidR="00B02521" w:rsidRPr="00483AEE" w:rsidRDefault="00B02521" w:rsidP="00483AEE">
      <w:pPr>
        <w:pStyle w:val="Prrafodelista"/>
        <w:numPr>
          <w:ilvl w:val="0"/>
          <w:numId w:val="8"/>
        </w:numPr>
        <w:tabs>
          <w:tab w:val="left" w:pos="-1560"/>
        </w:tabs>
        <w:spacing w:after="120" w:line="360" w:lineRule="auto"/>
        <w:jc w:val="both"/>
        <w:rPr>
          <w:szCs w:val="24"/>
        </w:rPr>
      </w:pPr>
      <w:r w:rsidRPr="00483AEE">
        <w:rPr>
          <w:szCs w:val="24"/>
        </w:rPr>
        <w:t xml:space="preserve">Aunque con distinto ritmo y con diferente intensidad, la economía argentina logró promedios </w:t>
      </w:r>
      <w:r w:rsidR="00D700D5" w:rsidRPr="00483AEE">
        <w:rPr>
          <w:szCs w:val="24"/>
        </w:rPr>
        <w:t xml:space="preserve">anuales </w:t>
      </w:r>
      <w:r w:rsidRPr="00483AEE">
        <w:rPr>
          <w:szCs w:val="24"/>
        </w:rPr>
        <w:t>de crecimientos positivos en los tres períodos; incluso cuando se controla el crecimiento demográfico (PI</w:t>
      </w:r>
      <w:r w:rsidR="00A8356C" w:rsidRPr="00483AEE">
        <w:rPr>
          <w:szCs w:val="24"/>
        </w:rPr>
        <w:t>B</w:t>
      </w:r>
      <w:r w:rsidRPr="00483AEE">
        <w:rPr>
          <w:szCs w:val="24"/>
        </w:rPr>
        <w:t xml:space="preserve"> per cápita)</w:t>
      </w:r>
      <w:r w:rsidR="00D700D5" w:rsidRPr="00483AEE">
        <w:rPr>
          <w:szCs w:val="24"/>
        </w:rPr>
        <w:t>: 0,9% en 1974-1988, 1,8% en 1988-2003 y 4,9% en 2003-2014</w:t>
      </w:r>
      <w:r w:rsidRPr="00483AEE">
        <w:rPr>
          <w:szCs w:val="24"/>
        </w:rPr>
        <w:t xml:space="preserve">. </w:t>
      </w:r>
    </w:p>
    <w:p w:rsidR="00B02521" w:rsidRPr="00483AEE" w:rsidRDefault="00B02521" w:rsidP="00483AEE">
      <w:pPr>
        <w:pStyle w:val="Prrafodelista"/>
        <w:numPr>
          <w:ilvl w:val="0"/>
          <w:numId w:val="8"/>
        </w:numPr>
        <w:tabs>
          <w:tab w:val="left" w:pos="-1560"/>
        </w:tabs>
        <w:spacing w:after="120" w:line="360" w:lineRule="auto"/>
        <w:jc w:val="both"/>
        <w:rPr>
          <w:szCs w:val="24"/>
        </w:rPr>
      </w:pPr>
      <w:r w:rsidRPr="00483AEE">
        <w:rPr>
          <w:szCs w:val="24"/>
        </w:rPr>
        <w:lastRenderedPageBreak/>
        <w:t>Las fases de mayor crecimiento (1988-2003</w:t>
      </w:r>
      <w:r w:rsidR="00A8356C" w:rsidRPr="00483AEE">
        <w:rPr>
          <w:szCs w:val="24"/>
        </w:rPr>
        <w:t xml:space="preserve"> y </w:t>
      </w:r>
      <w:r w:rsidRPr="00483AEE">
        <w:rPr>
          <w:szCs w:val="24"/>
        </w:rPr>
        <w:t xml:space="preserve">2003-2014) </w:t>
      </w:r>
      <w:r w:rsidR="00FD5B5C" w:rsidRPr="00483AEE">
        <w:rPr>
          <w:szCs w:val="24"/>
        </w:rPr>
        <w:t>correlacionan</w:t>
      </w:r>
      <w:r w:rsidRPr="00483AEE">
        <w:rPr>
          <w:szCs w:val="24"/>
        </w:rPr>
        <w:t xml:space="preserve"> </w:t>
      </w:r>
      <w:r w:rsidR="00FD5B5C" w:rsidRPr="00483AEE">
        <w:rPr>
          <w:szCs w:val="24"/>
        </w:rPr>
        <w:t xml:space="preserve">con </w:t>
      </w:r>
      <w:r w:rsidRPr="00483AEE">
        <w:rPr>
          <w:szCs w:val="24"/>
        </w:rPr>
        <w:t>menor</w:t>
      </w:r>
      <w:r w:rsidR="00FD5B5C" w:rsidRPr="00483AEE">
        <w:rPr>
          <w:szCs w:val="24"/>
        </w:rPr>
        <w:t>es</w:t>
      </w:r>
      <w:r w:rsidRPr="00483AEE">
        <w:rPr>
          <w:szCs w:val="24"/>
        </w:rPr>
        <w:t xml:space="preserve"> tasa</w:t>
      </w:r>
      <w:r w:rsidR="00FD5B5C" w:rsidRPr="00483AEE">
        <w:rPr>
          <w:szCs w:val="24"/>
        </w:rPr>
        <w:t>s</w:t>
      </w:r>
      <w:r w:rsidRPr="00483AEE">
        <w:rPr>
          <w:szCs w:val="24"/>
        </w:rPr>
        <w:t xml:space="preserve"> de inflación</w:t>
      </w:r>
      <w:r w:rsidR="00FD5B5C" w:rsidRPr="00483AEE">
        <w:rPr>
          <w:szCs w:val="24"/>
        </w:rPr>
        <w:t xml:space="preserve">, menor déficit público, </w:t>
      </w:r>
      <w:r w:rsidR="00D700D5" w:rsidRPr="00483AEE">
        <w:rPr>
          <w:szCs w:val="24"/>
        </w:rPr>
        <w:t xml:space="preserve">fuerte crecimiento de las exportaciones, </w:t>
      </w:r>
      <w:r w:rsidR="00FD5B5C" w:rsidRPr="00483AEE">
        <w:rPr>
          <w:szCs w:val="24"/>
        </w:rPr>
        <w:t>saldos positivos en la balanza comercial</w:t>
      </w:r>
      <w:r w:rsidR="00D700D5" w:rsidRPr="00483AEE">
        <w:rPr>
          <w:szCs w:val="24"/>
        </w:rPr>
        <w:t>, sin que influya de manera significativa en</w:t>
      </w:r>
      <w:r w:rsidR="00A8356C" w:rsidRPr="00483AEE">
        <w:rPr>
          <w:szCs w:val="24"/>
        </w:rPr>
        <w:t xml:space="preserve"> el</w:t>
      </w:r>
      <w:r w:rsidR="00D700D5" w:rsidRPr="00483AEE">
        <w:rPr>
          <w:szCs w:val="24"/>
        </w:rPr>
        <w:t xml:space="preserve"> nivel de inversión bruta</w:t>
      </w:r>
      <w:r w:rsidRPr="00483AEE">
        <w:rPr>
          <w:szCs w:val="24"/>
        </w:rPr>
        <w:t xml:space="preserve">. </w:t>
      </w:r>
    </w:p>
    <w:p w:rsidR="00B02521" w:rsidRPr="00483AEE" w:rsidRDefault="00D700D5" w:rsidP="00483AEE">
      <w:pPr>
        <w:pStyle w:val="Prrafodelista"/>
        <w:numPr>
          <w:ilvl w:val="0"/>
          <w:numId w:val="8"/>
        </w:numPr>
        <w:tabs>
          <w:tab w:val="left" w:pos="-1560"/>
        </w:tabs>
        <w:spacing w:after="120" w:line="360" w:lineRule="auto"/>
        <w:jc w:val="both"/>
        <w:rPr>
          <w:szCs w:val="24"/>
        </w:rPr>
      </w:pPr>
      <w:r w:rsidRPr="00483AEE">
        <w:rPr>
          <w:szCs w:val="24"/>
        </w:rPr>
        <w:t xml:space="preserve">Estas tendencias también correlacionan con una caída sistemática de la participación del sector industrial en el total de la economía y un incremento del peso del sector servicios y de la producción primaria, junto a un aumento creciente de la deuda externa. </w:t>
      </w:r>
      <w:r w:rsidR="00B02521" w:rsidRPr="00483AEE">
        <w:rPr>
          <w:szCs w:val="24"/>
        </w:rPr>
        <w:t xml:space="preserve"> </w:t>
      </w:r>
    </w:p>
    <w:p w:rsidR="00984C95" w:rsidRPr="00483AEE" w:rsidRDefault="0064610E" w:rsidP="00483AEE">
      <w:pPr>
        <w:tabs>
          <w:tab w:val="left" w:pos="-1560"/>
        </w:tabs>
        <w:spacing w:after="120" w:line="360" w:lineRule="auto"/>
        <w:jc w:val="both"/>
        <w:rPr>
          <w:kern w:val="22"/>
          <w:szCs w:val="24"/>
        </w:rPr>
      </w:pPr>
      <w:r w:rsidRPr="00483AEE">
        <w:rPr>
          <w:kern w:val="22"/>
          <w:szCs w:val="24"/>
        </w:rPr>
        <w:t>Ahora bien, l</w:t>
      </w:r>
      <w:r w:rsidR="00984C95" w:rsidRPr="00483AEE">
        <w:rPr>
          <w:kern w:val="22"/>
          <w:szCs w:val="24"/>
        </w:rPr>
        <w:t xml:space="preserve">a </w:t>
      </w:r>
      <w:r w:rsidR="008B1AEC" w:rsidRPr="00483AEE">
        <w:rPr>
          <w:kern w:val="22"/>
          <w:szCs w:val="24"/>
        </w:rPr>
        <w:t>tradición</w:t>
      </w:r>
      <w:r w:rsidR="00984C95" w:rsidRPr="00483AEE">
        <w:rPr>
          <w:kern w:val="22"/>
          <w:szCs w:val="24"/>
        </w:rPr>
        <w:t xml:space="preserve"> estructuralista latinoamericana </w:t>
      </w:r>
      <w:r w:rsidR="00D700D5" w:rsidRPr="00483AEE">
        <w:rPr>
          <w:kern w:val="22"/>
          <w:szCs w:val="24"/>
        </w:rPr>
        <w:t>logra hacer inteligibles estos comportamientos económic</w:t>
      </w:r>
      <w:r w:rsidR="008B1AEC" w:rsidRPr="00483AEE">
        <w:rPr>
          <w:kern w:val="22"/>
          <w:szCs w:val="24"/>
        </w:rPr>
        <w:t>os sólo a partir de un</w:t>
      </w:r>
      <w:r w:rsidR="00984C95" w:rsidRPr="00483AEE">
        <w:rPr>
          <w:kern w:val="22"/>
          <w:szCs w:val="24"/>
        </w:rPr>
        <w:t xml:space="preserve"> modelo </w:t>
      </w:r>
      <w:r w:rsidR="008B1AEC" w:rsidRPr="00483AEE">
        <w:rPr>
          <w:kern w:val="22"/>
          <w:szCs w:val="24"/>
        </w:rPr>
        <w:t>interpretativo</w:t>
      </w:r>
      <w:r w:rsidR="00984C95" w:rsidRPr="00483AEE">
        <w:rPr>
          <w:kern w:val="22"/>
          <w:szCs w:val="24"/>
        </w:rPr>
        <w:t xml:space="preserve"> fundado en los cambios que suceden a los patrones dominantes de acumulación, siendo estos el resultado de una articulación entre </w:t>
      </w:r>
      <w:r w:rsidR="008B1AEC" w:rsidRPr="00483AEE">
        <w:rPr>
          <w:kern w:val="22"/>
          <w:szCs w:val="24"/>
        </w:rPr>
        <w:t>las particulares condiciones políticas, económicas y sociales intervienen en la reproducción de cada formación social y del modo en que el país</w:t>
      </w:r>
      <w:r w:rsidR="00984C95" w:rsidRPr="00483AEE">
        <w:rPr>
          <w:kern w:val="22"/>
          <w:szCs w:val="24"/>
        </w:rPr>
        <w:t xml:space="preserve"> se </w:t>
      </w:r>
      <w:r w:rsidR="008B1AEC" w:rsidRPr="00483AEE">
        <w:rPr>
          <w:kern w:val="22"/>
          <w:szCs w:val="24"/>
        </w:rPr>
        <w:t>relaciona y se ve afectado por los cambios en las condiciones internacionales</w:t>
      </w:r>
      <w:r w:rsidR="00984C95" w:rsidRPr="00483AEE">
        <w:rPr>
          <w:kern w:val="22"/>
          <w:szCs w:val="24"/>
        </w:rPr>
        <w:t xml:space="preserve"> (</w:t>
      </w:r>
      <w:proofErr w:type="spellStart"/>
      <w:r w:rsidR="00984C95" w:rsidRPr="00483AEE">
        <w:rPr>
          <w:kern w:val="22"/>
          <w:szCs w:val="24"/>
        </w:rPr>
        <w:t>Bielchowsky</w:t>
      </w:r>
      <w:proofErr w:type="spellEnd"/>
      <w:r w:rsidR="00984C95" w:rsidRPr="00483AEE">
        <w:rPr>
          <w:kern w:val="22"/>
          <w:szCs w:val="24"/>
        </w:rPr>
        <w:t xml:space="preserve">, 2016; Graciarena, 1976). </w:t>
      </w:r>
    </w:p>
    <w:p w:rsidR="00984C95" w:rsidRDefault="00984C95" w:rsidP="00483AEE">
      <w:pPr>
        <w:tabs>
          <w:tab w:val="left" w:pos="-1560"/>
        </w:tabs>
        <w:spacing w:after="120" w:line="360" w:lineRule="auto"/>
        <w:jc w:val="both"/>
        <w:rPr>
          <w:rFonts w:eastAsia="Times New Roman"/>
          <w:bCs/>
          <w:szCs w:val="24"/>
          <w:lang w:val="es-ES" w:eastAsia="es-ES"/>
        </w:rPr>
      </w:pPr>
      <w:r w:rsidRPr="00483AEE">
        <w:rPr>
          <w:kern w:val="22"/>
          <w:szCs w:val="24"/>
        </w:rPr>
        <w:t xml:space="preserve">Siguiendo esta perspectiva, </w:t>
      </w:r>
      <w:r w:rsidRPr="00483AEE">
        <w:rPr>
          <w:rFonts w:eastAsia="Times New Roman"/>
          <w:bCs/>
          <w:szCs w:val="24"/>
          <w:lang w:val="es-ES" w:eastAsia="es-ES"/>
        </w:rPr>
        <w:t xml:space="preserve">existe consenso </w:t>
      </w:r>
      <w:r w:rsidR="008B1AEC" w:rsidRPr="00483AEE">
        <w:rPr>
          <w:rFonts w:eastAsia="Times New Roman"/>
          <w:bCs/>
          <w:szCs w:val="24"/>
          <w:lang w:val="es-ES" w:eastAsia="es-ES"/>
        </w:rPr>
        <w:t>acerca de</w:t>
      </w:r>
      <w:r w:rsidRPr="00483AEE">
        <w:rPr>
          <w:rFonts w:eastAsia="Times New Roman"/>
          <w:bCs/>
          <w:szCs w:val="24"/>
          <w:lang w:val="es-ES" w:eastAsia="es-ES"/>
        </w:rPr>
        <w:t xml:space="preserve"> que el modelo de industrialización por sustitución de importaciones </w:t>
      </w:r>
      <w:r w:rsidR="008B1AEC" w:rsidRPr="00483AEE">
        <w:rPr>
          <w:rFonts w:eastAsia="Times New Roman"/>
          <w:bCs/>
          <w:szCs w:val="24"/>
          <w:lang w:val="es-ES" w:eastAsia="es-ES"/>
        </w:rPr>
        <w:t xml:space="preserve">(ISI) </w:t>
      </w:r>
      <w:r w:rsidR="00CC437B" w:rsidRPr="00483AEE">
        <w:rPr>
          <w:rFonts w:eastAsia="Times New Roman"/>
          <w:bCs/>
          <w:szCs w:val="24"/>
          <w:lang w:val="es-ES" w:eastAsia="es-ES"/>
        </w:rPr>
        <w:t>argentino</w:t>
      </w:r>
      <w:r w:rsidR="008B1AEC" w:rsidRPr="00483AEE">
        <w:rPr>
          <w:rFonts w:eastAsia="Times New Roman"/>
          <w:bCs/>
          <w:szCs w:val="24"/>
          <w:lang w:val="es-ES" w:eastAsia="es-ES"/>
        </w:rPr>
        <w:t xml:space="preserve">, </w:t>
      </w:r>
      <w:r w:rsidRPr="00483AEE">
        <w:rPr>
          <w:rFonts w:eastAsia="Times New Roman"/>
          <w:bCs/>
          <w:szCs w:val="24"/>
          <w:lang w:val="es-ES" w:eastAsia="es-ES"/>
        </w:rPr>
        <w:t xml:space="preserve">habría logrado una </w:t>
      </w:r>
      <w:r w:rsidR="00CC437B" w:rsidRPr="00483AEE">
        <w:rPr>
          <w:rFonts w:eastAsia="Times New Roman"/>
          <w:bCs/>
          <w:szCs w:val="24"/>
          <w:lang w:val="es-ES" w:eastAsia="es-ES"/>
        </w:rPr>
        <w:t>especial</w:t>
      </w:r>
      <w:r w:rsidRPr="00483AEE">
        <w:rPr>
          <w:rFonts w:eastAsia="Times New Roman"/>
          <w:bCs/>
          <w:szCs w:val="24"/>
          <w:lang w:val="es-ES" w:eastAsia="es-ES"/>
        </w:rPr>
        <w:t xml:space="preserve"> </w:t>
      </w:r>
      <w:r w:rsidR="008B1AEC" w:rsidRPr="00483AEE">
        <w:rPr>
          <w:rFonts w:eastAsia="Times New Roman"/>
          <w:bCs/>
          <w:szCs w:val="24"/>
          <w:lang w:val="es-ES" w:eastAsia="es-ES"/>
        </w:rPr>
        <w:t>expansión y consolidación</w:t>
      </w:r>
      <w:r w:rsidRPr="00483AEE">
        <w:rPr>
          <w:rFonts w:eastAsia="Times New Roman"/>
          <w:bCs/>
          <w:szCs w:val="24"/>
          <w:lang w:val="es-ES" w:eastAsia="es-ES"/>
        </w:rPr>
        <w:t xml:space="preserve"> </w:t>
      </w:r>
      <w:r w:rsidR="00CC437B" w:rsidRPr="00483AEE">
        <w:rPr>
          <w:rFonts w:eastAsia="Times New Roman"/>
          <w:bCs/>
          <w:szCs w:val="24"/>
          <w:lang w:val="es-ES" w:eastAsia="es-ES"/>
        </w:rPr>
        <w:t xml:space="preserve">-en comparación </w:t>
      </w:r>
      <w:r w:rsidR="00A8356C" w:rsidRPr="00483AEE">
        <w:rPr>
          <w:rFonts w:eastAsia="Times New Roman"/>
          <w:bCs/>
          <w:szCs w:val="24"/>
          <w:lang w:val="es-ES" w:eastAsia="es-ES"/>
        </w:rPr>
        <w:t>con</w:t>
      </w:r>
      <w:r w:rsidR="00CC437B" w:rsidRPr="00483AEE">
        <w:rPr>
          <w:rFonts w:eastAsia="Times New Roman"/>
          <w:bCs/>
          <w:szCs w:val="24"/>
          <w:lang w:val="es-ES" w:eastAsia="es-ES"/>
        </w:rPr>
        <w:t xml:space="preserve"> </w:t>
      </w:r>
      <w:r w:rsidR="00A8356C" w:rsidRPr="00483AEE">
        <w:rPr>
          <w:rFonts w:eastAsia="Times New Roman"/>
          <w:bCs/>
          <w:szCs w:val="24"/>
          <w:lang w:val="es-ES" w:eastAsia="es-ES"/>
        </w:rPr>
        <w:t>otras</w:t>
      </w:r>
      <w:r w:rsidR="00CC437B" w:rsidRPr="00483AEE">
        <w:rPr>
          <w:rFonts w:eastAsia="Times New Roman"/>
          <w:bCs/>
          <w:szCs w:val="24"/>
          <w:lang w:val="es-ES" w:eastAsia="es-ES"/>
        </w:rPr>
        <w:t xml:space="preserve"> experiencias latinoamericanas- </w:t>
      </w:r>
      <w:r w:rsidRPr="00483AEE">
        <w:rPr>
          <w:rFonts w:eastAsia="Times New Roman"/>
          <w:bCs/>
          <w:szCs w:val="24"/>
          <w:lang w:val="es-ES" w:eastAsia="es-ES"/>
        </w:rPr>
        <w:t xml:space="preserve">debido en </w:t>
      </w:r>
      <w:r w:rsidR="008B1AEC" w:rsidRPr="00483AEE">
        <w:rPr>
          <w:rFonts w:eastAsia="Times New Roman"/>
          <w:bCs/>
          <w:szCs w:val="24"/>
          <w:lang w:val="es-ES" w:eastAsia="es-ES"/>
        </w:rPr>
        <w:t>buena medida</w:t>
      </w:r>
      <w:r w:rsidRPr="00483AEE">
        <w:rPr>
          <w:rFonts w:eastAsia="Times New Roman"/>
          <w:bCs/>
          <w:szCs w:val="24"/>
          <w:lang w:val="es-ES" w:eastAsia="es-ES"/>
        </w:rPr>
        <w:t xml:space="preserve"> a la </w:t>
      </w:r>
      <w:r w:rsidR="008B1AEC" w:rsidRPr="00483AEE">
        <w:rPr>
          <w:rFonts w:eastAsia="Times New Roman"/>
          <w:bCs/>
          <w:szCs w:val="24"/>
          <w:lang w:val="es-ES" w:eastAsia="es-ES"/>
        </w:rPr>
        <w:t xml:space="preserve">capacidad del sistema </w:t>
      </w:r>
      <w:r w:rsidR="00CC437B" w:rsidRPr="00483AEE">
        <w:rPr>
          <w:rFonts w:eastAsia="Times New Roman"/>
          <w:bCs/>
          <w:szCs w:val="24"/>
          <w:lang w:val="es-ES" w:eastAsia="es-ES"/>
        </w:rPr>
        <w:t xml:space="preserve">político-económico </w:t>
      </w:r>
      <w:r w:rsidR="008B1AEC" w:rsidRPr="00483AEE">
        <w:rPr>
          <w:rFonts w:eastAsia="Times New Roman"/>
          <w:bCs/>
          <w:szCs w:val="24"/>
          <w:lang w:val="es-ES" w:eastAsia="es-ES"/>
        </w:rPr>
        <w:t>de redistribuir de manera cíclica</w:t>
      </w:r>
      <w:r w:rsidRPr="00483AEE">
        <w:rPr>
          <w:rFonts w:eastAsia="Times New Roman"/>
          <w:bCs/>
          <w:szCs w:val="24"/>
          <w:lang w:val="es-ES" w:eastAsia="es-ES"/>
        </w:rPr>
        <w:t xml:space="preserve"> </w:t>
      </w:r>
      <w:r w:rsidR="00CC437B" w:rsidRPr="00483AEE">
        <w:rPr>
          <w:rFonts w:eastAsia="Times New Roman"/>
          <w:bCs/>
          <w:szCs w:val="24"/>
          <w:lang w:val="es-ES" w:eastAsia="es-ES"/>
        </w:rPr>
        <w:t xml:space="preserve">hacia el mercado interno parte importante de </w:t>
      </w:r>
      <w:r w:rsidRPr="00483AEE">
        <w:rPr>
          <w:rFonts w:eastAsia="Times New Roman"/>
          <w:bCs/>
          <w:szCs w:val="24"/>
          <w:lang w:val="es-ES" w:eastAsia="es-ES"/>
        </w:rPr>
        <w:t>los excedentes generados por la renta agropecuaria (</w:t>
      </w:r>
      <w:proofErr w:type="spellStart"/>
      <w:r w:rsidRPr="00483AEE">
        <w:rPr>
          <w:rFonts w:eastAsia="Times New Roman"/>
          <w:bCs/>
          <w:szCs w:val="24"/>
          <w:lang w:val="es-ES" w:eastAsia="es-ES"/>
        </w:rPr>
        <w:t>Canitrot</w:t>
      </w:r>
      <w:proofErr w:type="spellEnd"/>
      <w:r w:rsidRPr="00483AEE">
        <w:rPr>
          <w:rFonts w:eastAsia="Times New Roman"/>
          <w:bCs/>
          <w:szCs w:val="24"/>
          <w:lang w:val="es-ES" w:eastAsia="es-ES"/>
        </w:rPr>
        <w:t xml:space="preserve">, 1981; </w:t>
      </w:r>
      <w:proofErr w:type="spellStart"/>
      <w:r w:rsidRPr="00483AEE">
        <w:rPr>
          <w:rFonts w:eastAsia="Times New Roman"/>
          <w:bCs/>
          <w:szCs w:val="24"/>
          <w:lang w:val="es-ES" w:eastAsia="es-ES"/>
        </w:rPr>
        <w:t>Gerchunoff</w:t>
      </w:r>
      <w:proofErr w:type="spellEnd"/>
      <w:r w:rsidRPr="00483AEE">
        <w:rPr>
          <w:rFonts w:eastAsia="Times New Roman"/>
          <w:bCs/>
          <w:szCs w:val="24"/>
          <w:lang w:val="es-ES" w:eastAsia="es-ES"/>
        </w:rPr>
        <w:t xml:space="preserve"> y Llach, 2008; Iñigo Carrera, 2007). Este modelo dio lugar a la formación de un mercado de trabajo relativamente homogéneo, con bajos niveles de desempleo y oportunidades de movilidad social ascendente (Torrado, 1992, 2010). En este período se consolidó también un régimen de bienestar caracterizado por una extendida seguridad social (si bien no universal) basada en un empleo asalariado o autónomo integrados al modelo de crecimiento. La evidencia disponible para el período señala que los niveles de desigualdad económica de la sociedad argentina fueron declinantes durante esta etapa, y relativamente bajos en comparación con el contexto </w:t>
      </w:r>
      <w:r w:rsidR="00CC437B" w:rsidRPr="00483AEE">
        <w:rPr>
          <w:rFonts w:eastAsia="Times New Roman"/>
          <w:bCs/>
          <w:szCs w:val="24"/>
          <w:lang w:val="es-ES" w:eastAsia="es-ES"/>
        </w:rPr>
        <w:t>regional</w:t>
      </w:r>
      <w:r w:rsidRPr="00483AEE">
        <w:rPr>
          <w:rFonts w:eastAsia="Times New Roman"/>
          <w:bCs/>
          <w:szCs w:val="24"/>
          <w:lang w:val="es-ES" w:eastAsia="es-ES"/>
        </w:rPr>
        <w:t xml:space="preserve"> (</w:t>
      </w:r>
      <w:proofErr w:type="spellStart"/>
      <w:r w:rsidRPr="00483AEE">
        <w:rPr>
          <w:rFonts w:eastAsia="Times New Roman"/>
          <w:bCs/>
          <w:szCs w:val="24"/>
          <w:lang w:val="es-ES" w:eastAsia="es-ES"/>
        </w:rPr>
        <w:t>Altimir</w:t>
      </w:r>
      <w:proofErr w:type="spellEnd"/>
      <w:r w:rsidRPr="00483AEE">
        <w:rPr>
          <w:rFonts w:eastAsia="Times New Roman"/>
          <w:bCs/>
          <w:szCs w:val="24"/>
          <w:lang w:val="es-ES" w:eastAsia="es-ES"/>
        </w:rPr>
        <w:t xml:space="preserve">, 1986). </w:t>
      </w:r>
    </w:p>
    <w:p w:rsidR="00153819" w:rsidRPr="00483AEE" w:rsidRDefault="00153819" w:rsidP="00153819">
      <w:pPr>
        <w:keepNext/>
        <w:spacing w:before="360" w:after="120" w:line="240" w:lineRule="auto"/>
        <w:jc w:val="both"/>
        <w:rPr>
          <w:b/>
          <w:szCs w:val="24"/>
        </w:rPr>
      </w:pPr>
      <w:r w:rsidRPr="00483AEE">
        <w:rPr>
          <w:b/>
          <w:szCs w:val="24"/>
        </w:rPr>
        <w:lastRenderedPageBreak/>
        <w:t>Cuadro 2.1. Evolución de las principales variables macroeconómicas. Argentina, 1974-2014.</w:t>
      </w:r>
    </w:p>
    <w:tbl>
      <w:tblPr>
        <w:tblW w:w="5000" w:type="pct"/>
        <w:jc w:val="center"/>
        <w:tblCellMar>
          <w:left w:w="70" w:type="dxa"/>
          <w:right w:w="70" w:type="dxa"/>
        </w:tblCellMar>
        <w:tblLook w:val="04A0" w:firstRow="1" w:lastRow="0" w:firstColumn="1" w:lastColumn="0" w:noHBand="0" w:noVBand="1"/>
      </w:tblPr>
      <w:tblGrid>
        <w:gridCol w:w="3402"/>
        <w:gridCol w:w="724"/>
        <w:gridCol w:w="724"/>
        <w:gridCol w:w="721"/>
        <w:gridCol w:w="909"/>
        <w:gridCol w:w="721"/>
        <w:gridCol w:w="721"/>
        <w:gridCol w:w="723"/>
      </w:tblGrid>
      <w:tr w:rsidR="00153819" w:rsidRPr="00153819" w:rsidTr="00F245CD">
        <w:trPr>
          <w:trHeight w:val="309"/>
          <w:jc w:val="center"/>
        </w:trPr>
        <w:tc>
          <w:tcPr>
            <w:tcW w:w="196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53819" w:rsidRPr="00153819" w:rsidRDefault="00153819" w:rsidP="00153819">
            <w:pPr>
              <w:keepNext/>
              <w:spacing w:after="0" w:line="240" w:lineRule="auto"/>
              <w:rPr>
                <w:rFonts w:eastAsia="Times New Roman"/>
                <w:color w:val="000000"/>
                <w:sz w:val="18"/>
                <w:szCs w:val="18"/>
                <w:lang w:eastAsia="es-AR"/>
              </w:rPr>
            </w:pPr>
          </w:p>
        </w:tc>
        <w:tc>
          <w:tcPr>
            <w:tcW w:w="83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53819" w:rsidRPr="00153819" w:rsidRDefault="00153819" w:rsidP="00153819">
            <w:pPr>
              <w:keepNext/>
              <w:spacing w:after="0" w:line="240" w:lineRule="auto"/>
              <w:jc w:val="center"/>
              <w:rPr>
                <w:rFonts w:eastAsia="Times New Roman"/>
                <w:b/>
                <w:bCs/>
                <w:color w:val="000000"/>
                <w:sz w:val="18"/>
                <w:szCs w:val="18"/>
                <w:lang w:eastAsia="es-AR"/>
              </w:rPr>
            </w:pPr>
            <w:r w:rsidRPr="00153819">
              <w:rPr>
                <w:rFonts w:eastAsia="Times New Roman"/>
                <w:b/>
                <w:bCs/>
                <w:color w:val="000000"/>
                <w:sz w:val="18"/>
                <w:szCs w:val="18"/>
                <w:lang w:eastAsia="es-AR"/>
              </w:rPr>
              <w:t xml:space="preserve">Final ISI e inicio del ajuste  </w:t>
            </w:r>
          </w:p>
        </w:tc>
        <w:tc>
          <w:tcPr>
            <w:tcW w:w="1360"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53819" w:rsidRPr="00153819" w:rsidRDefault="00153819" w:rsidP="00153819">
            <w:pPr>
              <w:keepNext/>
              <w:spacing w:after="0" w:line="240" w:lineRule="auto"/>
              <w:jc w:val="center"/>
              <w:rPr>
                <w:rFonts w:eastAsia="Times New Roman"/>
                <w:b/>
                <w:bCs/>
                <w:color w:val="000000"/>
                <w:sz w:val="18"/>
                <w:szCs w:val="18"/>
                <w:lang w:eastAsia="es-AR"/>
              </w:rPr>
            </w:pPr>
            <w:r w:rsidRPr="00153819">
              <w:rPr>
                <w:rFonts w:eastAsia="Times New Roman"/>
                <w:b/>
                <w:bCs/>
                <w:color w:val="000000"/>
                <w:sz w:val="18"/>
                <w:szCs w:val="18"/>
                <w:lang w:eastAsia="es-AR"/>
              </w:rPr>
              <w:t xml:space="preserve">Reformas estructurales        </w:t>
            </w:r>
          </w:p>
        </w:tc>
        <w:tc>
          <w:tcPr>
            <w:tcW w:w="83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53819" w:rsidRPr="00153819" w:rsidRDefault="00153819" w:rsidP="00153819">
            <w:pPr>
              <w:keepNext/>
              <w:spacing w:after="0" w:line="240" w:lineRule="auto"/>
              <w:jc w:val="center"/>
              <w:rPr>
                <w:rFonts w:eastAsia="Times New Roman"/>
                <w:b/>
                <w:bCs/>
                <w:color w:val="000000"/>
                <w:sz w:val="18"/>
                <w:szCs w:val="18"/>
                <w:lang w:eastAsia="es-AR"/>
              </w:rPr>
            </w:pPr>
            <w:r w:rsidRPr="00153819">
              <w:rPr>
                <w:rFonts w:eastAsia="Times New Roman"/>
                <w:b/>
                <w:bCs/>
                <w:color w:val="000000"/>
                <w:sz w:val="18"/>
                <w:szCs w:val="18"/>
                <w:lang w:eastAsia="es-AR"/>
              </w:rPr>
              <w:t>Políticas heterodoxas</w:t>
            </w:r>
          </w:p>
        </w:tc>
      </w:tr>
      <w:tr w:rsidR="00153819" w:rsidRPr="00153819" w:rsidTr="00F245CD">
        <w:trPr>
          <w:trHeight w:val="309"/>
          <w:jc w:val="center"/>
        </w:trPr>
        <w:tc>
          <w:tcPr>
            <w:tcW w:w="19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819" w:rsidRPr="00153819" w:rsidRDefault="00153819" w:rsidP="00153819">
            <w:pPr>
              <w:keepNext/>
              <w:spacing w:after="0" w:line="240" w:lineRule="auto"/>
              <w:rPr>
                <w:rFonts w:eastAsia="Times New Roman"/>
                <w:color w:val="000000"/>
                <w:sz w:val="18"/>
                <w:szCs w:val="18"/>
                <w:lang w:eastAsia="es-AR"/>
              </w:rPr>
            </w:pPr>
            <w:r w:rsidRPr="00153819">
              <w:rPr>
                <w:rFonts w:eastAsia="Times New Roman"/>
                <w:color w:val="000000"/>
                <w:sz w:val="18"/>
                <w:szCs w:val="18"/>
                <w:lang w:eastAsia="es-AR"/>
              </w:rPr>
              <w:t> </w:t>
            </w:r>
          </w:p>
        </w:tc>
        <w:tc>
          <w:tcPr>
            <w:tcW w:w="41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819" w:rsidRPr="00153819" w:rsidRDefault="00153819" w:rsidP="00153819">
            <w:pPr>
              <w:keepNext/>
              <w:spacing w:after="0" w:line="240" w:lineRule="auto"/>
              <w:jc w:val="center"/>
              <w:rPr>
                <w:rFonts w:eastAsia="Times New Roman"/>
                <w:b/>
                <w:bCs/>
                <w:color w:val="000000"/>
                <w:sz w:val="18"/>
                <w:szCs w:val="18"/>
                <w:lang w:eastAsia="es-AR"/>
              </w:rPr>
            </w:pPr>
            <w:r w:rsidRPr="00153819">
              <w:rPr>
                <w:rFonts w:eastAsia="Times New Roman"/>
                <w:b/>
                <w:bCs/>
                <w:color w:val="000000"/>
                <w:sz w:val="18"/>
                <w:szCs w:val="18"/>
                <w:lang w:eastAsia="es-AR"/>
              </w:rPr>
              <w:t>1974</w:t>
            </w:r>
          </w:p>
        </w:tc>
        <w:tc>
          <w:tcPr>
            <w:tcW w:w="41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819" w:rsidRPr="00153819" w:rsidRDefault="00153819" w:rsidP="00153819">
            <w:pPr>
              <w:keepNext/>
              <w:spacing w:after="0" w:line="240" w:lineRule="auto"/>
              <w:jc w:val="center"/>
              <w:rPr>
                <w:rFonts w:eastAsia="Times New Roman"/>
                <w:b/>
                <w:bCs/>
                <w:color w:val="000000"/>
                <w:sz w:val="18"/>
                <w:szCs w:val="18"/>
                <w:lang w:eastAsia="es-AR"/>
              </w:rPr>
            </w:pPr>
            <w:r w:rsidRPr="00153819">
              <w:rPr>
                <w:rFonts w:eastAsia="Times New Roman"/>
                <w:b/>
                <w:bCs/>
                <w:color w:val="000000"/>
                <w:sz w:val="18"/>
                <w:szCs w:val="18"/>
                <w:lang w:eastAsia="es-AR"/>
              </w:rPr>
              <w:t>1980</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819" w:rsidRPr="00153819" w:rsidRDefault="00153819" w:rsidP="00153819">
            <w:pPr>
              <w:keepNext/>
              <w:spacing w:after="0" w:line="240" w:lineRule="auto"/>
              <w:jc w:val="center"/>
              <w:rPr>
                <w:rFonts w:eastAsia="Times New Roman"/>
                <w:b/>
                <w:bCs/>
                <w:color w:val="000000"/>
                <w:sz w:val="18"/>
                <w:szCs w:val="18"/>
                <w:lang w:eastAsia="es-AR"/>
              </w:rPr>
            </w:pPr>
            <w:r w:rsidRPr="00153819">
              <w:rPr>
                <w:rFonts w:eastAsia="Times New Roman"/>
                <w:b/>
                <w:bCs/>
                <w:color w:val="000000"/>
                <w:sz w:val="18"/>
                <w:szCs w:val="18"/>
                <w:lang w:eastAsia="es-AR"/>
              </w:rPr>
              <w:t>1988</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819" w:rsidRPr="00153819" w:rsidRDefault="00153819" w:rsidP="00153819">
            <w:pPr>
              <w:keepNext/>
              <w:spacing w:after="0" w:line="240" w:lineRule="auto"/>
              <w:jc w:val="center"/>
              <w:rPr>
                <w:rFonts w:eastAsia="Times New Roman"/>
                <w:b/>
                <w:bCs/>
                <w:color w:val="000000"/>
                <w:sz w:val="18"/>
                <w:szCs w:val="18"/>
                <w:lang w:eastAsia="es-AR"/>
              </w:rPr>
            </w:pPr>
            <w:r w:rsidRPr="00153819">
              <w:rPr>
                <w:rFonts w:eastAsia="Times New Roman"/>
                <w:b/>
                <w:bCs/>
                <w:color w:val="000000"/>
                <w:sz w:val="18"/>
                <w:szCs w:val="18"/>
                <w:lang w:eastAsia="es-AR"/>
              </w:rPr>
              <w:t>1998</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819" w:rsidRPr="00153819" w:rsidRDefault="00153819" w:rsidP="00153819">
            <w:pPr>
              <w:keepNext/>
              <w:spacing w:after="0" w:line="240" w:lineRule="auto"/>
              <w:jc w:val="center"/>
              <w:rPr>
                <w:rFonts w:eastAsia="Times New Roman"/>
                <w:b/>
                <w:bCs/>
                <w:color w:val="000000"/>
                <w:sz w:val="18"/>
                <w:szCs w:val="18"/>
                <w:lang w:eastAsia="es-AR"/>
              </w:rPr>
            </w:pPr>
            <w:r w:rsidRPr="00153819">
              <w:rPr>
                <w:rFonts w:eastAsia="Times New Roman"/>
                <w:b/>
                <w:bCs/>
                <w:color w:val="000000"/>
                <w:sz w:val="18"/>
                <w:szCs w:val="18"/>
                <w:lang w:eastAsia="es-AR"/>
              </w:rPr>
              <w:t>2003</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819" w:rsidRPr="00153819" w:rsidRDefault="00153819" w:rsidP="00153819">
            <w:pPr>
              <w:keepNext/>
              <w:spacing w:after="0" w:line="240" w:lineRule="auto"/>
              <w:jc w:val="center"/>
              <w:rPr>
                <w:rFonts w:eastAsia="Times New Roman"/>
                <w:b/>
                <w:bCs/>
                <w:color w:val="000000"/>
                <w:sz w:val="18"/>
                <w:szCs w:val="18"/>
                <w:lang w:eastAsia="es-AR"/>
              </w:rPr>
            </w:pPr>
            <w:r w:rsidRPr="00153819">
              <w:rPr>
                <w:rFonts w:eastAsia="Times New Roman"/>
                <w:b/>
                <w:bCs/>
                <w:color w:val="000000"/>
                <w:sz w:val="18"/>
                <w:szCs w:val="18"/>
                <w:lang w:eastAsia="es-AR"/>
              </w:rPr>
              <w:t>2007</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819" w:rsidRPr="00153819" w:rsidRDefault="00153819" w:rsidP="00153819">
            <w:pPr>
              <w:keepNext/>
              <w:spacing w:after="0" w:line="240" w:lineRule="auto"/>
              <w:jc w:val="center"/>
              <w:rPr>
                <w:rFonts w:eastAsia="Times New Roman"/>
                <w:b/>
                <w:bCs/>
                <w:color w:val="000000"/>
                <w:sz w:val="18"/>
                <w:szCs w:val="18"/>
                <w:lang w:eastAsia="es-AR"/>
              </w:rPr>
            </w:pPr>
            <w:r w:rsidRPr="00153819">
              <w:rPr>
                <w:rFonts w:eastAsia="Times New Roman"/>
                <w:b/>
                <w:bCs/>
                <w:color w:val="000000"/>
                <w:sz w:val="18"/>
                <w:szCs w:val="18"/>
                <w:lang w:eastAsia="es-AR"/>
              </w:rPr>
              <w:t>2014</w:t>
            </w:r>
          </w:p>
        </w:tc>
      </w:tr>
      <w:tr w:rsidR="00153819" w:rsidRPr="00153819" w:rsidTr="00F245CD">
        <w:trPr>
          <w:trHeight w:val="247"/>
          <w:jc w:val="center"/>
        </w:trPr>
        <w:tc>
          <w:tcPr>
            <w:tcW w:w="1967" w:type="pct"/>
            <w:tcBorders>
              <w:top w:val="nil"/>
              <w:left w:val="single" w:sz="4" w:space="0" w:color="auto"/>
              <w:bottom w:val="nil"/>
              <w:right w:val="nil"/>
            </w:tcBorders>
            <w:shd w:val="clear" w:color="000000" w:fill="FFFFFF"/>
            <w:noWrap/>
            <w:vAlign w:val="center"/>
            <w:hideMark/>
          </w:tcPr>
          <w:p w:rsidR="00153819" w:rsidRPr="00153819" w:rsidRDefault="00153819" w:rsidP="00153819">
            <w:pPr>
              <w:keepNext/>
              <w:spacing w:after="0" w:line="240" w:lineRule="auto"/>
              <w:rPr>
                <w:rFonts w:eastAsia="Times New Roman"/>
                <w:b/>
                <w:bCs/>
                <w:color w:val="000000"/>
                <w:sz w:val="18"/>
                <w:szCs w:val="18"/>
                <w:lang w:eastAsia="es-AR"/>
              </w:rPr>
            </w:pPr>
            <w:r w:rsidRPr="00153819">
              <w:rPr>
                <w:rFonts w:eastAsia="Times New Roman"/>
                <w:b/>
                <w:bCs/>
                <w:color w:val="000000"/>
                <w:sz w:val="18"/>
                <w:szCs w:val="18"/>
                <w:lang w:eastAsia="es-AR"/>
              </w:rPr>
              <w:t xml:space="preserve">Var % </w:t>
            </w:r>
            <w:proofErr w:type="spellStart"/>
            <w:r w:rsidRPr="00153819">
              <w:rPr>
                <w:rFonts w:eastAsia="Times New Roman"/>
                <w:b/>
                <w:bCs/>
                <w:color w:val="000000"/>
                <w:sz w:val="18"/>
                <w:szCs w:val="18"/>
                <w:lang w:eastAsia="es-AR"/>
              </w:rPr>
              <w:t>PIB</w:t>
            </w:r>
            <w:r w:rsidRPr="00153819">
              <w:rPr>
                <w:rFonts w:eastAsia="Times New Roman"/>
                <w:b/>
                <w:bCs/>
                <w:color w:val="000000"/>
                <w:sz w:val="18"/>
                <w:szCs w:val="18"/>
                <w:vertAlign w:val="superscript"/>
                <w:lang w:eastAsia="es-AR"/>
              </w:rPr>
              <w:t>a</w:t>
            </w:r>
            <w:proofErr w:type="spellEnd"/>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6,7</w:t>
            </w:r>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1,7</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-1,9</w:t>
            </w:r>
          </w:p>
        </w:tc>
        <w:tc>
          <w:tcPr>
            <w:tcW w:w="526"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3,9</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8,8</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9,0</w:t>
            </w:r>
          </w:p>
        </w:tc>
        <w:tc>
          <w:tcPr>
            <w:tcW w:w="418" w:type="pct"/>
            <w:tcBorders>
              <w:top w:val="nil"/>
              <w:left w:val="nil"/>
              <w:bottom w:val="nil"/>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-2,6</w:t>
            </w:r>
          </w:p>
        </w:tc>
      </w:tr>
      <w:tr w:rsidR="00153819" w:rsidRPr="00153819" w:rsidTr="00F245CD">
        <w:trPr>
          <w:trHeight w:val="247"/>
          <w:jc w:val="center"/>
        </w:trPr>
        <w:tc>
          <w:tcPr>
            <w:tcW w:w="1967" w:type="pct"/>
            <w:tcBorders>
              <w:top w:val="nil"/>
              <w:left w:val="single" w:sz="4" w:space="0" w:color="auto"/>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ind w:firstLineChars="100" w:firstLine="180"/>
              <w:rPr>
                <w:rFonts w:eastAsia="Times New Roman"/>
                <w:color w:val="000000"/>
                <w:sz w:val="18"/>
                <w:szCs w:val="18"/>
                <w:lang w:val="pt-BR" w:eastAsia="es-AR"/>
              </w:rPr>
            </w:pPr>
            <w:r w:rsidRPr="00153819">
              <w:rPr>
                <w:rFonts w:eastAsia="Times New Roman"/>
                <w:color w:val="000000"/>
                <w:sz w:val="18"/>
                <w:szCs w:val="18"/>
                <w:lang w:val="pt-BR" w:eastAsia="es-AR"/>
              </w:rPr>
              <w:t xml:space="preserve">Var % PIB anual </w:t>
            </w:r>
            <w:proofErr w:type="spellStart"/>
            <w:r w:rsidRPr="00153819">
              <w:rPr>
                <w:rFonts w:eastAsia="Times New Roman"/>
                <w:color w:val="000000"/>
                <w:sz w:val="18"/>
                <w:szCs w:val="18"/>
                <w:lang w:val="pt-BR" w:eastAsia="es-AR"/>
              </w:rPr>
              <w:t>promedio</w:t>
            </w:r>
            <w:proofErr w:type="spellEnd"/>
            <w:r w:rsidRPr="00153819">
              <w:rPr>
                <w:rFonts w:eastAsia="Times New Roman"/>
                <w:color w:val="000000"/>
                <w:sz w:val="18"/>
                <w:szCs w:val="18"/>
                <w:lang w:val="pt-BR" w:eastAsia="es-AR"/>
              </w:rPr>
              <w:t xml:space="preserve"> período </w:t>
            </w:r>
            <w:r w:rsidRPr="00153819">
              <w:rPr>
                <w:rFonts w:eastAsia="Times New Roman"/>
                <w:color w:val="000000"/>
                <w:sz w:val="18"/>
                <w:szCs w:val="18"/>
                <w:vertAlign w:val="superscript"/>
                <w:lang w:val="pt-BR" w:eastAsia="es-AR"/>
              </w:rPr>
              <w:t>(*)</w:t>
            </w:r>
          </w:p>
        </w:tc>
        <w:tc>
          <w:tcPr>
            <w:tcW w:w="1255" w:type="pct"/>
            <w:gridSpan w:val="3"/>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0,9</w:t>
            </w:r>
          </w:p>
        </w:tc>
        <w:tc>
          <w:tcPr>
            <w:tcW w:w="526" w:type="pct"/>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1,8</w:t>
            </w:r>
          </w:p>
        </w:tc>
        <w:tc>
          <w:tcPr>
            <w:tcW w:w="1252" w:type="pct"/>
            <w:gridSpan w:val="3"/>
            <w:tcBorders>
              <w:top w:val="nil"/>
              <w:left w:val="nil"/>
              <w:bottom w:val="single" w:sz="4" w:space="0" w:color="auto"/>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4,9</w:t>
            </w:r>
          </w:p>
        </w:tc>
      </w:tr>
      <w:tr w:rsidR="00153819" w:rsidRPr="00153819" w:rsidTr="00F245CD">
        <w:trPr>
          <w:trHeight w:val="247"/>
          <w:jc w:val="center"/>
        </w:trPr>
        <w:tc>
          <w:tcPr>
            <w:tcW w:w="1967" w:type="pct"/>
            <w:tcBorders>
              <w:top w:val="nil"/>
              <w:left w:val="single" w:sz="4" w:space="0" w:color="auto"/>
              <w:bottom w:val="nil"/>
              <w:right w:val="nil"/>
            </w:tcBorders>
            <w:shd w:val="clear" w:color="000000" w:fill="FFFFFF"/>
            <w:noWrap/>
            <w:vAlign w:val="center"/>
            <w:hideMark/>
          </w:tcPr>
          <w:p w:rsidR="00153819" w:rsidRPr="00153819" w:rsidRDefault="00153819" w:rsidP="00153819">
            <w:pPr>
              <w:keepNext/>
              <w:spacing w:after="0" w:line="240" w:lineRule="auto"/>
              <w:rPr>
                <w:rFonts w:eastAsia="Times New Roman"/>
                <w:b/>
                <w:bCs/>
                <w:color w:val="000000"/>
                <w:sz w:val="18"/>
                <w:szCs w:val="18"/>
                <w:lang w:eastAsia="es-AR"/>
              </w:rPr>
            </w:pPr>
            <w:r w:rsidRPr="00153819">
              <w:rPr>
                <w:rFonts w:eastAsia="Times New Roman"/>
                <w:b/>
                <w:bCs/>
                <w:color w:val="000000"/>
                <w:sz w:val="18"/>
                <w:szCs w:val="18"/>
                <w:lang w:eastAsia="es-AR"/>
              </w:rPr>
              <w:t>PIB per cápita (pesos de 2004)</w:t>
            </w:r>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12.040</w:t>
            </w:r>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12.762</w:t>
            </w:r>
          </w:p>
        </w:tc>
        <w:tc>
          <w:tcPr>
            <w:tcW w:w="417" w:type="pct"/>
            <w:tcBorders>
              <w:top w:val="nil"/>
              <w:left w:val="nil"/>
              <w:bottom w:val="nil"/>
              <w:right w:val="nil"/>
            </w:tcBorders>
            <w:shd w:val="clear" w:color="000000" w:fill="FFFFFF"/>
            <w:noWrap/>
            <w:vAlign w:val="bottom"/>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11.007</w:t>
            </w:r>
          </w:p>
        </w:tc>
        <w:tc>
          <w:tcPr>
            <w:tcW w:w="526"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13.868</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11.718</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15.830</w:t>
            </w:r>
          </w:p>
        </w:tc>
        <w:tc>
          <w:tcPr>
            <w:tcW w:w="418" w:type="pct"/>
            <w:tcBorders>
              <w:top w:val="nil"/>
              <w:left w:val="nil"/>
              <w:bottom w:val="nil"/>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16.851</w:t>
            </w:r>
          </w:p>
        </w:tc>
      </w:tr>
      <w:tr w:rsidR="00153819" w:rsidRPr="00153819" w:rsidTr="00F245CD">
        <w:trPr>
          <w:trHeight w:val="247"/>
          <w:jc w:val="center"/>
        </w:trPr>
        <w:tc>
          <w:tcPr>
            <w:tcW w:w="1967" w:type="pct"/>
            <w:tcBorders>
              <w:top w:val="nil"/>
              <w:left w:val="single" w:sz="4" w:space="0" w:color="auto"/>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ind w:firstLineChars="100" w:firstLine="180"/>
              <w:rPr>
                <w:rFonts w:eastAsia="Times New Roman"/>
                <w:color w:val="000000"/>
                <w:sz w:val="18"/>
                <w:szCs w:val="18"/>
                <w:lang w:val="pt-BR" w:eastAsia="es-AR"/>
              </w:rPr>
            </w:pPr>
            <w:r w:rsidRPr="00153819">
              <w:rPr>
                <w:rFonts w:eastAsia="Times New Roman"/>
                <w:color w:val="000000"/>
                <w:sz w:val="18"/>
                <w:szCs w:val="18"/>
                <w:lang w:val="pt-BR" w:eastAsia="es-AR"/>
              </w:rPr>
              <w:t xml:space="preserve">PIB per </w:t>
            </w:r>
            <w:proofErr w:type="spellStart"/>
            <w:r w:rsidRPr="00153819">
              <w:rPr>
                <w:rFonts w:eastAsia="Times New Roman"/>
                <w:color w:val="000000"/>
                <w:sz w:val="18"/>
                <w:szCs w:val="18"/>
                <w:lang w:val="pt-BR" w:eastAsia="es-AR"/>
              </w:rPr>
              <w:t>cápita</w:t>
            </w:r>
            <w:proofErr w:type="spellEnd"/>
            <w:r w:rsidRPr="00153819">
              <w:rPr>
                <w:rFonts w:eastAsia="Times New Roman"/>
                <w:color w:val="000000"/>
                <w:sz w:val="18"/>
                <w:szCs w:val="18"/>
                <w:lang w:val="pt-BR" w:eastAsia="es-AR"/>
              </w:rPr>
              <w:t xml:space="preserve"> </w:t>
            </w:r>
            <w:proofErr w:type="spellStart"/>
            <w:r w:rsidRPr="00153819">
              <w:rPr>
                <w:rFonts w:eastAsia="Times New Roman"/>
                <w:color w:val="000000"/>
                <w:sz w:val="18"/>
                <w:szCs w:val="18"/>
                <w:lang w:val="pt-BR" w:eastAsia="es-AR"/>
              </w:rPr>
              <w:t>promedio</w:t>
            </w:r>
            <w:proofErr w:type="spellEnd"/>
            <w:r w:rsidRPr="00153819">
              <w:rPr>
                <w:rFonts w:eastAsia="Times New Roman"/>
                <w:color w:val="000000"/>
                <w:sz w:val="18"/>
                <w:szCs w:val="18"/>
                <w:lang w:val="pt-BR" w:eastAsia="es-AR"/>
              </w:rPr>
              <w:t xml:space="preserve"> período</w:t>
            </w:r>
          </w:p>
        </w:tc>
        <w:tc>
          <w:tcPr>
            <w:tcW w:w="1255" w:type="pct"/>
            <w:gridSpan w:val="3"/>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11.752</w:t>
            </w:r>
          </w:p>
        </w:tc>
        <w:tc>
          <w:tcPr>
            <w:tcW w:w="526" w:type="pct"/>
            <w:tcBorders>
              <w:top w:val="nil"/>
              <w:left w:val="nil"/>
              <w:bottom w:val="single" w:sz="4" w:space="0" w:color="auto"/>
              <w:right w:val="nil"/>
            </w:tcBorders>
            <w:shd w:val="clear" w:color="000000" w:fill="FFFFFF"/>
            <w:noWrap/>
            <w:vAlign w:val="bottom"/>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11.976</w:t>
            </w:r>
          </w:p>
        </w:tc>
        <w:tc>
          <w:tcPr>
            <w:tcW w:w="1252" w:type="pct"/>
            <w:gridSpan w:val="3"/>
            <w:tcBorders>
              <w:top w:val="nil"/>
              <w:left w:val="nil"/>
              <w:bottom w:val="single" w:sz="4" w:space="0" w:color="auto"/>
              <w:right w:val="single" w:sz="4" w:space="0" w:color="auto"/>
            </w:tcBorders>
            <w:shd w:val="clear" w:color="000000" w:fill="FFFFFF"/>
            <w:noWrap/>
            <w:vAlign w:val="bottom"/>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15.479</w:t>
            </w:r>
          </w:p>
        </w:tc>
      </w:tr>
      <w:tr w:rsidR="00153819" w:rsidRPr="00153819" w:rsidTr="00F245CD">
        <w:trPr>
          <w:trHeight w:val="247"/>
          <w:jc w:val="center"/>
        </w:trPr>
        <w:tc>
          <w:tcPr>
            <w:tcW w:w="1967" w:type="pct"/>
            <w:tcBorders>
              <w:top w:val="nil"/>
              <w:left w:val="single" w:sz="4" w:space="0" w:color="auto"/>
              <w:bottom w:val="nil"/>
              <w:right w:val="nil"/>
            </w:tcBorders>
            <w:shd w:val="clear" w:color="000000" w:fill="FFFFFF"/>
            <w:noWrap/>
            <w:vAlign w:val="center"/>
            <w:hideMark/>
          </w:tcPr>
          <w:p w:rsidR="00153819" w:rsidRPr="00153819" w:rsidRDefault="00153819" w:rsidP="00153819">
            <w:pPr>
              <w:keepNext/>
              <w:spacing w:after="0" w:line="240" w:lineRule="auto"/>
              <w:rPr>
                <w:rFonts w:eastAsia="Times New Roman"/>
                <w:b/>
                <w:bCs/>
                <w:color w:val="000000"/>
                <w:sz w:val="18"/>
                <w:szCs w:val="18"/>
                <w:lang w:eastAsia="es-AR"/>
              </w:rPr>
            </w:pPr>
            <w:r w:rsidRPr="00153819">
              <w:rPr>
                <w:rFonts w:eastAsia="Times New Roman"/>
                <w:b/>
                <w:bCs/>
                <w:color w:val="000000"/>
                <w:sz w:val="18"/>
                <w:szCs w:val="18"/>
                <w:lang w:eastAsia="es-AR"/>
              </w:rPr>
              <w:t xml:space="preserve">Inflación (Var % anual </w:t>
            </w:r>
            <w:proofErr w:type="gramStart"/>
            <w:r w:rsidRPr="00153819">
              <w:rPr>
                <w:rFonts w:eastAsia="Times New Roman"/>
                <w:b/>
                <w:bCs/>
                <w:color w:val="000000"/>
                <w:sz w:val="18"/>
                <w:szCs w:val="18"/>
                <w:lang w:eastAsia="es-AR"/>
              </w:rPr>
              <w:t>IPC)</w:t>
            </w:r>
            <w:r w:rsidRPr="00153819">
              <w:rPr>
                <w:rFonts w:eastAsia="Times New Roman"/>
                <w:b/>
                <w:bCs/>
                <w:color w:val="000000"/>
                <w:sz w:val="18"/>
                <w:szCs w:val="18"/>
                <w:vertAlign w:val="superscript"/>
                <w:lang w:eastAsia="es-AR"/>
              </w:rPr>
              <w:t>c</w:t>
            </w:r>
            <w:proofErr w:type="gramEnd"/>
          </w:p>
        </w:tc>
        <w:tc>
          <w:tcPr>
            <w:tcW w:w="419" w:type="pct"/>
            <w:tcBorders>
              <w:top w:val="nil"/>
              <w:left w:val="nil"/>
              <w:bottom w:val="nil"/>
              <w:right w:val="nil"/>
            </w:tcBorders>
            <w:shd w:val="clear" w:color="000000" w:fill="FFFFFF"/>
            <w:noWrap/>
            <w:vAlign w:val="bottom"/>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24,4</w:t>
            </w:r>
          </w:p>
        </w:tc>
        <w:tc>
          <w:tcPr>
            <w:tcW w:w="419" w:type="pct"/>
            <w:tcBorders>
              <w:top w:val="nil"/>
              <w:left w:val="nil"/>
              <w:bottom w:val="nil"/>
              <w:right w:val="nil"/>
            </w:tcBorders>
            <w:shd w:val="clear" w:color="000000" w:fill="FFFFFF"/>
            <w:noWrap/>
            <w:vAlign w:val="bottom"/>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100,8</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343,0</w:t>
            </w:r>
          </w:p>
        </w:tc>
        <w:tc>
          <w:tcPr>
            <w:tcW w:w="526"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0,9</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13,4</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17,1</w:t>
            </w:r>
          </w:p>
        </w:tc>
        <w:tc>
          <w:tcPr>
            <w:tcW w:w="418" w:type="pct"/>
            <w:tcBorders>
              <w:top w:val="nil"/>
              <w:left w:val="nil"/>
              <w:bottom w:val="nil"/>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38,0</w:t>
            </w:r>
          </w:p>
        </w:tc>
      </w:tr>
      <w:tr w:rsidR="00153819" w:rsidRPr="00153819" w:rsidTr="00F245CD">
        <w:trPr>
          <w:trHeight w:val="247"/>
          <w:jc w:val="center"/>
        </w:trPr>
        <w:tc>
          <w:tcPr>
            <w:tcW w:w="1967" w:type="pct"/>
            <w:tcBorders>
              <w:top w:val="nil"/>
              <w:left w:val="single" w:sz="4" w:space="0" w:color="auto"/>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ind w:firstLineChars="100" w:firstLine="180"/>
              <w:rPr>
                <w:rFonts w:eastAsia="Times New Roman"/>
                <w:color w:val="000000"/>
                <w:sz w:val="18"/>
                <w:szCs w:val="18"/>
                <w:lang w:eastAsia="es-AR"/>
              </w:rPr>
            </w:pPr>
            <w:r w:rsidRPr="00153819">
              <w:rPr>
                <w:rFonts w:eastAsia="Times New Roman"/>
                <w:color w:val="000000"/>
                <w:sz w:val="18"/>
                <w:szCs w:val="18"/>
                <w:lang w:eastAsia="es-AR"/>
              </w:rPr>
              <w:t>Inflación promedio período</w:t>
            </w:r>
          </w:p>
        </w:tc>
        <w:tc>
          <w:tcPr>
            <w:tcW w:w="1255" w:type="pct"/>
            <w:gridSpan w:val="3"/>
            <w:tcBorders>
              <w:top w:val="nil"/>
              <w:left w:val="nil"/>
              <w:bottom w:val="single" w:sz="4" w:space="0" w:color="auto"/>
              <w:right w:val="nil"/>
            </w:tcBorders>
            <w:shd w:val="clear" w:color="000000" w:fill="FFFFFF"/>
            <w:noWrap/>
            <w:vAlign w:val="bottom"/>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249,2</w:t>
            </w:r>
          </w:p>
        </w:tc>
        <w:tc>
          <w:tcPr>
            <w:tcW w:w="526" w:type="pct"/>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6"/>
                <w:szCs w:val="18"/>
                <w:lang w:eastAsia="es-AR"/>
              </w:rPr>
            </w:pPr>
            <w:r w:rsidRPr="00153819">
              <w:rPr>
                <w:rFonts w:eastAsia="Times New Roman"/>
                <w:color w:val="000000"/>
                <w:sz w:val="16"/>
                <w:szCs w:val="18"/>
                <w:lang w:eastAsia="es-AR"/>
              </w:rPr>
              <w:t>374,3 / 6,7</w:t>
            </w:r>
            <w:r w:rsidRPr="00153819">
              <w:rPr>
                <w:rFonts w:eastAsia="Times New Roman"/>
                <w:color w:val="000000"/>
                <w:sz w:val="16"/>
                <w:szCs w:val="18"/>
                <w:vertAlign w:val="superscript"/>
                <w:lang w:eastAsia="es-AR"/>
              </w:rPr>
              <w:t>d</w:t>
            </w:r>
          </w:p>
        </w:tc>
        <w:tc>
          <w:tcPr>
            <w:tcW w:w="1252" w:type="pct"/>
            <w:gridSpan w:val="3"/>
            <w:tcBorders>
              <w:top w:val="nil"/>
              <w:left w:val="nil"/>
              <w:bottom w:val="single" w:sz="4" w:space="0" w:color="auto"/>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19,4</w:t>
            </w:r>
          </w:p>
        </w:tc>
      </w:tr>
      <w:tr w:rsidR="00153819" w:rsidRPr="00153819" w:rsidTr="00F245CD">
        <w:trPr>
          <w:trHeight w:val="247"/>
          <w:jc w:val="center"/>
        </w:trPr>
        <w:tc>
          <w:tcPr>
            <w:tcW w:w="1967" w:type="pct"/>
            <w:tcBorders>
              <w:top w:val="nil"/>
              <w:left w:val="single" w:sz="4" w:space="0" w:color="auto"/>
              <w:bottom w:val="nil"/>
              <w:right w:val="nil"/>
            </w:tcBorders>
            <w:shd w:val="clear" w:color="000000" w:fill="FFFFFF"/>
            <w:noWrap/>
            <w:vAlign w:val="center"/>
            <w:hideMark/>
          </w:tcPr>
          <w:p w:rsidR="00153819" w:rsidRPr="00153819" w:rsidRDefault="00153819" w:rsidP="00153819">
            <w:pPr>
              <w:keepNext/>
              <w:spacing w:after="0" w:line="240" w:lineRule="auto"/>
              <w:rPr>
                <w:rFonts w:eastAsia="Times New Roman"/>
                <w:b/>
                <w:bCs/>
                <w:color w:val="000000"/>
                <w:sz w:val="18"/>
                <w:szCs w:val="18"/>
                <w:lang w:eastAsia="es-AR"/>
              </w:rPr>
            </w:pPr>
            <w:r w:rsidRPr="00153819">
              <w:rPr>
                <w:rFonts w:eastAsia="Times New Roman"/>
                <w:b/>
                <w:bCs/>
                <w:color w:val="000000"/>
                <w:sz w:val="18"/>
                <w:szCs w:val="18"/>
                <w:lang w:eastAsia="es-AR"/>
              </w:rPr>
              <w:t xml:space="preserve">Inversión (% del </w:t>
            </w:r>
            <w:proofErr w:type="gramStart"/>
            <w:r w:rsidRPr="00153819">
              <w:rPr>
                <w:rFonts w:eastAsia="Times New Roman"/>
                <w:b/>
                <w:bCs/>
                <w:color w:val="000000"/>
                <w:sz w:val="18"/>
                <w:szCs w:val="18"/>
                <w:lang w:eastAsia="es-AR"/>
              </w:rPr>
              <w:t>PIB)</w:t>
            </w:r>
            <w:r w:rsidRPr="00153819">
              <w:rPr>
                <w:rFonts w:eastAsia="Times New Roman"/>
                <w:b/>
                <w:bCs/>
                <w:color w:val="000000"/>
                <w:sz w:val="18"/>
                <w:szCs w:val="18"/>
                <w:vertAlign w:val="superscript"/>
                <w:lang w:eastAsia="es-AR"/>
              </w:rPr>
              <w:t>e</w:t>
            </w:r>
            <w:proofErr w:type="gramEnd"/>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18,9</w:t>
            </w:r>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24,0</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17,6</w:t>
            </w:r>
          </w:p>
        </w:tc>
        <w:tc>
          <w:tcPr>
            <w:tcW w:w="526"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21,1</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14,3</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21,3</w:t>
            </w:r>
          </w:p>
        </w:tc>
        <w:tc>
          <w:tcPr>
            <w:tcW w:w="418" w:type="pct"/>
            <w:tcBorders>
              <w:top w:val="nil"/>
              <w:left w:val="nil"/>
              <w:bottom w:val="nil"/>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18,7</w:t>
            </w:r>
          </w:p>
        </w:tc>
      </w:tr>
      <w:tr w:rsidR="00153819" w:rsidRPr="00153819" w:rsidTr="00F245CD">
        <w:trPr>
          <w:trHeight w:val="247"/>
          <w:jc w:val="center"/>
        </w:trPr>
        <w:tc>
          <w:tcPr>
            <w:tcW w:w="1967" w:type="pct"/>
            <w:tcBorders>
              <w:top w:val="nil"/>
              <w:left w:val="single" w:sz="4" w:space="0" w:color="auto"/>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ind w:firstLineChars="100" w:firstLine="180"/>
              <w:rPr>
                <w:rFonts w:eastAsia="Times New Roman"/>
                <w:color w:val="000000"/>
                <w:sz w:val="18"/>
                <w:szCs w:val="18"/>
                <w:lang w:eastAsia="es-AR"/>
              </w:rPr>
            </w:pPr>
            <w:r w:rsidRPr="00153819">
              <w:rPr>
                <w:rFonts w:eastAsia="Times New Roman"/>
                <w:color w:val="000000"/>
                <w:sz w:val="18"/>
                <w:szCs w:val="18"/>
                <w:lang w:eastAsia="es-AR"/>
              </w:rPr>
              <w:t>Inversión promedio período</w:t>
            </w:r>
          </w:p>
        </w:tc>
        <w:tc>
          <w:tcPr>
            <w:tcW w:w="1255" w:type="pct"/>
            <w:gridSpan w:val="3"/>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19,4</w:t>
            </w:r>
          </w:p>
        </w:tc>
        <w:tc>
          <w:tcPr>
            <w:tcW w:w="526" w:type="pct"/>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17,1</w:t>
            </w:r>
          </w:p>
        </w:tc>
        <w:tc>
          <w:tcPr>
            <w:tcW w:w="1252" w:type="pct"/>
            <w:gridSpan w:val="3"/>
            <w:tcBorders>
              <w:top w:val="nil"/>
              <w:left w:val="nil"/>
              <w:bottom w:val="single" w:sz="4" w:space="0" w:color="auto"/>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19,5</w:t>
            </w:r>
          </w:p>
        </w:tc>
      </w:tr>
      <w:tr w:rsidR="00153819" w:rsidRPr="00153819" w:rsidTr="00F245CD">
        <w:trPr>
          <w:trHeight w:val="247"/>
          <w:jc w:val="center"/>
        </w:trPr>
        <w:tc>
          <w:tcPr>
            <w:tcW w:w="1967" w:type="pct"/>
            <w:tcBorders>
              <w:top w:val="nil"/>
              <w:left w:val="single" w:sz="4" w:space="0" w:color="auto"/>
              <w:bottom w:val="nil"/>
              <w:right w:val="nil"/>
            </w:tcBorders>
            <w:shd w:val="clear" w:color="000000" w:fill="FFFFFF"/>
            <w:noWrap/>
            <w:vAlign w:val="center"/>
            <w:hideMark/>
          </w:tcPr>
          <w:p w:rsidR="00153819" w:rsidRPr="00153819" w:rsidRDefault="00153819" w:rsidP="00153819">
            <w:pPr>
              <w:keepNext/>
              <w:spacing w:after="0" w:line="240" w:lineRule="auto"/>
              <w:rPr>
                <w:rFonts w:eastAsia="Times New Roman"/>
                <w:b/>
                <w:bCs/>
                <w:color w:val="000000"/>
                <w:sz w:val="18"/>
                <w:szCs w:val="18"/>
                <w:lang w:eastAsia="es-AR"/>
              </w:rPr>
            </w:pPr>
            <w:r w:rsidRPr="00153819">
              <w:rPr>
                <w:rFonts w:eastAsia="Times New Roman"/>
                <w:b/>
                <w:bCs/>
                <w:color w:val="000000"/>
                <w:sz w:val="18"/>
                <w:szCs w:val="18"/>
                <w:lang w:eastAsia="es-AR"/>
              </w:rPr>
              <w:t>Deuda Externa (1972=</w:t>
            </w:r>
            <w:proofErr w:type="gramStart"/>
            <w:r w:rsidRPr="00153819">
              <w:rPr>
                <w:rFonts w:eastAsia="Times New Roman"/>
                <w:b/>
                <w:bCs/>
                <w:color w:val="000000"/>
                <w:sz w:val="18"/>
                <w:szCs w:val="18"/>
                <w:lang w:eastAsia="es-AR"/>
              </w:rPr>
              <w:t>100)</w:t>
            </w:r>
            <w:r w:rsidRPr="00153819">
              <w:rPr>
                <w:rFonts w:eastAsia="Times New Roman"/>
                <w:b/>
                <w:bCs/>
                <w:color w:val="000000"/>
                <w:sz w:val="18"/>
                <w:szCs w:val="18"/>
                <w:vertAlign w:val="superscript"/>
                <w:lang w:eastAsia="es-AR"/>
              </w:rPr>
              <w:t>f</w:t>
            </w:r>
            <w:proofErr w:type="gramEnd"/>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113</w:t>
            </w:r>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396</w:t>
            </w:r>
          </w:p>
        </w:tc>
        <w:tc>
          <w:tcPr>
            <w:tcW w:w="417" w:type="pct"/>
            <w:tcBorders>
              <w:top w:val="nil"/>
              <w:left w:val="nil"/>
              <w:bottom w:val="nil"/>
              <w:right w:val="nil"/>
            </w:tcBorders>
            <w:shd w:val="clear" w:color="000000" w:fill="FFFFFF"/>
            <w:noWrap/>
            <w:vAlign w:val="bottom"/>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857</w:t>
            </w:r>
          </w:p>
        </w:tc>
        <w:tc>
          <w:tcPr>
            <w:tcW w:w="526"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2.142</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2.388</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1.807</w:t>
            </w:r>
          </w:p>
        </w:tc>
        <w:tc>
          <w:tcPr>
            <w:tcW w:w="418" w:type="pct"/>
            <w:tcBorders>
              <w:top w:val="nil"/>
              <w:left w:val="nil"/>
              <w:bottom w:val="nil"/>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2.090</w:t>
            </w:r>
          </w:p>
        </w:tc>
      </w:tr>
      <w:tr w:rsidR="00153819" w:rsidRPr="00153819" w:rsidTr="00F245CD">
        <w:trPr>
          <w:trHeight w:val="247"/>
          <w:jc w:val="center"/>
        </w:trPr>
        <w:tc>
          <w:tcPr>
            <w:tcW w:w="1967" w:type="pct"/>
            <w:tcBorders>
              <w:top w:val="nil"/>
              <w:left w:val="single" w:sz="4" w:space="0" w:color="auto"/>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ind w:firstLineChars="100" w:firstLine="180"/>
              <w:rPr>
                <w:rFonts w:eastAsia="Times New Roman"/>
                <w:color w:val="000000"/>
                <w:sz w:val="18"/>
                <w:szCs w:val="18"/>
                <w:lang w:eastAsia="es-AR"/>
              </w:rPr>
            </w:pPr>
            <w:r w:rsidRPr="00153819">
              <w:rPr>
                <w:rFonts w:eastAsia="Times New Roman"/>
                <w:color w:val="000000"/>
                <w:sz w:val="18"/>
                <w:szCs w:val="18"/>
                <w:lang w:eastAsia="es-AR"/>
              </w:rPr>
              <w:t>Deuda Externa promedio período</w:t>
            </w:r>
          </w:p>
        </w:tc>
        <w:tc>
          <w:tcPr>
            <w:tcW w:w="1255" w:type="pct"/>
            <w:gridSpan w:val="3"/>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479</w:t>
            </w:r>
          </w:p>
        </w:tc>
        <w:tc>
          <w:tcPr>
            <w:tcW w:w="526" w:type="pct"/>
            <w:tcBorders>
              <w:top w:val="nil"/>
              <w:left w:val="nil"/>
              <w:bottom w:val="single" w:sz="4" w:space="0" w:color="auto"/>
              <w:right w:val="nil"/>
            </w:tcBorders>
            <w:shd w:val="clear" w:color="000000" w:fill="FFFFFF"/>
            <w:noWrap/>
            <w:vAlign w:val="bottom"/>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1.602</w:t>
            </w:r>
          </w:p>
        </w:tc>
        <w:tc>
          <w:tcPr>
            <w:tcW w:w="1252" w:type="pct"/>
            <w:gridSpan w:val="3"/>
            <w:tcBorders>
              <w:top w:val="nil"/>
              <w:left w:val="nil"/>
              <w:bottom w:val="single" w:sz="4" w:space="0" w:color="auto"/>
              <w:right w:val="single" w:sz="4" w:space="0" w:color="auto"/>
            </w:tcBorders>
            <w:shd w:val="clear" w:color="000000" w:fill="FFFFFF"/>
            <w:noWrap/>
            <w:vAlign w:val="bottom"/>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1.960</w:t>
            </w:r>
          </w:p>
        </w:tc>
      </w:tr>
      <w:tr w:rsidR="00153819" w:rsidRPr="00153819" w:rsidTr="00F245CD">
        <w:trPr>
          <w:trHeight w:val="247"/>
          <w:jc w:val="center"/>
        </w:trPr>
        <w:tc>
          <w:tcPr>
            <w:tcW w:w="1967" w:type="pct"/>
            <w:tcBorders>
              <w:top w:val="nil"/>
              <w:left w:val="single" w:sz="4" w:space="0" w:color="auto"/>
              <w:bottom w:val="nil"/>
              <w:right w:val="nil"/>
            </w:tcBorders>
            <w:shd w:val="clear" w:color="000000" w:fill="FFFFFF"/>
            <w:noWrap/>
            <w:vAlign w:val="center"/>
            <w:hideMark/>
          </w:tcPr>
          <w:p w:rsidR="00153819" w:rsidRPr="00153819" w:rsidRDefault="00153819" w:rsidP="00153819">
            <w:pPr>
              <w:keepNext/>
              <w:spacing w:after="0" w:line="240" w:lineRule="auto"/>
              <w:rPr>
                <w:rFonts w:eastAsia="Times New Roman"/>
                <w:b/>
                <w:bCs/>
                <w:color w:val="000000"/>
                <w:sz w:val="18"/>
                <w:szCs w:val="18"/>
                <w:lang w:eastAsia="es-AR"/>
              </w:rPr>
            </w:pPr>
            <w:r w:rsidRPr="00153819">
              <w:rPr>
                <w:rFonts w:eastAsia="Times New Roman"/>
                <w:b/>
                <w:bCs/>
                <w:color w:val="000000"/>
                <w:sz w:val="18"/>
                <w:szCs w:val="18"/>
                <w:lang w:eastAsia="es-AR"/>
              </w:rPr>
              <w:t xml:space="preserve">Res. Financiero Sector Público (% </w:t>
            </w:r>
            <w:proofErr w:type="gramStart"/>
            <w:r w:rsidRPr="00153819">
              <w:rPr>
                <w:rFonts w:eastAsia="Times New Roman"/>
                <w:b/>
                <w:bCs/>
                <w:color w:val="000000"/>
                <w:sz w:val="18"/>
                <w:szCs w:val="18"/>
                <w:lang w:eastAsia="es-AR"/>
              </w:rPr>
              <w:t>PIB)</w:t>
            </w:r>
            <w:r w:rsidRPr="00153819">
              <w:rPr>
                <w:rFonts w:eastAsia="Times New Roman"/>
                <w:b/>
                <w:bCs/>
                <w:color w:val="000000"/>
                <w:sz w:val="18"/>
                <w:szCs w:val="18"/>
                <w:vertAlign w:val="superscript"/>
                <w:lang w:eastAsia="es-AR"/>
              </w:rPr>
              <w:t>g</w:t>
            </w:r>
            <w:proofErr w:type="gramEnd"/>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-3,7</w:t>
            </w:r>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-4,8</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-5,2</w:t>
            </w:r>
          </w:p>
        </w:tc>
        <w:tc>
          <w:tcPr>
            <w:tcW w:w="526"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-0,2</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2,9</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0,8</w:t>
            </w:r>
          </w:p>
        </w:tc>
        <w:tc>
          <w:tcPr>
            <w:tcW w:w="418" w:type="pct"/>
            <w:tcBorders>
              <w:top w:val="nil"/>
              <w:left w:val="nil"/>
              <w:bottom w:val="nil"/>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-3,8</w:t>
            </w:r>
          </w:p>
        </w:tc>
      </w:tr>
      <w:tr w:rsidR="00153819" w:rsidRPr="00153819" w:rsidTr="00F245CD">
        <w:trPr>
          <w:trHeight w:val="247"/>
          <w:jc w:val="center"/>
        </w:trPr>
        <w:tc>
          <w:tcPr>
            <w:tcW w:w="1967" w:type="pct"/>
            <w:tcBorders>
              <w:top w:val="nil"/>
              <w:left w:val="single" w:sz="4" w:space="0" w:color="auto"/>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ind w:firstLineChars="100" w:firstLine="180"/>
              <w:rPr>
                <w:rFonts w:eastAsia="Times New Roman"/>
                <w:color w:val="000000"/>
                <w:sz w:val="18"/>
                <w:szCs w:val="18"/>
                <w:lang w:eastAsia="es-AR"/>
              </w:rPr>
            </w:pPr>
            <w:r w:rsidRPr="00153819">
              <w:rPr>
                <w:rFonts w:eastAsia="Times New Roman"/>
                <w:color w:val="000000"/>
                <w:sz w:val="18"/>
                <w:szCs w:val="18"/>
                <w:lang w:eastAsia="es-AR"/>
              </w:rPr>
              <w:t>Res. Financiero promedio período</w:t>
            </w:r>
          </w:p>
        </w:tc>
        <w:tc>
          <w:tcPr>
            <w:tcW w:w="1255" w:type="pct"/>
            <w:gridSpan w:val="3"/>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-4,5</w:t>
            </w:r>
          </w:p>
        </w:tc>
        <w:tc>
          <w:tcPr>
            <w:tcW w:w="526" w:type="pct"/>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-0,6</w:t>
            </w:r>
          </w:p>
        </w:tc>
        <w:tc>
          <w:tcPr>
            <w:tcW w:w="1252" w:type="pct"/>
            <w:gridSpan w:val="3"/>
            <w:tcBorders>
              <w:top w:val="nil"/>
              <w:left w:val="nil"/>
              <w:bottom w:val="single" w:sz="4" w:space="0" w:color="auto"/>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-0,4</w:t>
            </w:r>
          </w:p>
        </w:tc>
      </w:tr>
      <w:tr w:rsidR="00153819" w:rsidRPr="00153819" w:rsidTr="00F245CD">
        <w:trPr>
          <w:trHeight w:val="247"/>
          <w:jc w:val="center"/>
        </w:trPr>
        <w:tc>
          <w:tcPr>
            <w:tcW w:w="1967" w:type="pct"/>
            <w:tcBorders>
              <w:top w:val="nil"/>
              <w:left w:val="single" w:sz="4" w:space="0" w:color="auto"/>
              <w:bottom w:val="nil"/>
              <w:right w:val="nil"/>
            </w:tcBorders>
            <w:shd w:val="clear" w:color="000000" w:fill="FFFFFF"/>
            <w:noWrap/>
            <w:vAlign w:val="center"/>
            <w:hideMark/>
          </w:tcPr>
          <w:p w:rsidR="00153819" w:rsidRPr="00153819" w:rsidRDefault="00153819" w:rsidP="00153819">
            <w:pPr>
              <w:keepNext/>
              <w:spacing w:after="0" w:line="240" w:lineRule="auto"/>
              <w:rPr>
                <w:rFonts w:eastAsia="Times New Roman"/>
                <w:b/>
                <w:bCs/>
                <w:color w:val="000000"/>
                <w:sz w:val="18"/>
                <w:szCs w:val="18"/>
                <w:lang w:eastAsia="es-AR"/>
              </w:rPr>
            </w:pPr>
            <w:r w:rsidRPr="00153819">
              <w:rPr>
                <w:rFonts w:eastAsia="Times New Roman"/>
                <w:b/>
                <w:bCs/>
                <w:color w:val="000000"/>
                <w:sz w:val="18"/>
                <w:szCs w:val="18"/>
                <w:lang w:eastAsia="es-AR"/>
              </w:rPr>
              <w:t xml:space="preserve">Balance del Sector Público (% </w:t>
            </w:r>
            <w:proofErr w:type="gramStart"/>
            <w:r w:rsidRPr="00153819">
              <w:rPr>
                <w:rFonts w:eastAsia="Times New Roman"/>
                <w:b/>
                <w:bCs/>
                <w:color w:val="000000"/>
                <w:sz w:val="18"/>
                <w:szCs w:val="18"/>
                <w:lang w:eastAsia="es-AR"/>
              </w:rPr>
              <w:t>PIB)</w:t>
            </w:r>
            <w:r w:rsidRPr="00153819">
              <w:rPr>
                <w:rFonts w:eastAsia="Times New Roman"/>
                <w:b/>
                <w:bCs/>
                <w:color w:val="000000"/>
                <w:sz w:val="18"/>
                <w:szCs w:val="18"/>
                <w:vertAlign w:val="superscript"/>
                <w:lang w:eastAsia="es-AR"/>
              </w:rPr>
              <w:t>g</w:t>
            </w:r>
            <w:proofErr w:type="gramEnd"/>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-2,7</w:t>
            </w:r>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-2,2</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-2,7</w:t>
            </w:r>
          </w:p>
        </w:tc>
        <w:tc>
          <w:tcPr>
            <w:tcW w:w="526"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2,1</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4,8</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3,2</w:t>
            </w:r>
          </w:p>
        </w:tc>
        <w:tc>
          <w:tcPr>
            <w:tcW w:w="418" w:type="pct"/>
            <w:tcBorders>
              <w:top w:val="nil"/>
              <w:left w:val="nil"/>
              <w:bottom w:val="nil"/>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-1,5</w:t>
            </w:r>
          </w:p>
        </w:tc>
      </w:tr>
      <w:tr w:rsidR="00153819" w:rsidRPr="00153819" w:rsidTr="00F245CD">
        <w:trPr>
          <w:trHeight w:val="247"/>
          <w:jc w:val="center"/>
        </w:trPr>
        <w:tc>
          <w:tcPr>
            <w:tcW w:w="1967" w:type="pct"/>
            <w:tcBorders>
              <w:top w:val="nil"/>
              <w:left w:val="single" w:sz="4" w:space="0" w:color="auto"/>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ind w:firstLineChars="100" w:firstLine="180"/>
              <w:rPr>
                <w:rFonts w:eastAsia="Times New Roman"/>
                <w:color w:val="000000"/>
                <w:sz w:val="18"/>
                <w:szCs w:val="18"/>
                <w:lang w:val="pt-BR" w:eastAsia="es-AR"/>
              </w:rPr>
            </w:pPr>
            <w:r w:rsidRPr="00153819">
              <w:rPr>
                <w:rFonts w:eastAsia="Times New Roman"/>
                <w:color w:val="000000"/>
                <w:sz w:val="18"/>
                <w:szCs w:val="18"/>
                <w:lang w:val="pt-BR" w:eastAsia="es-AR"/>
              </w:rPr>
              <w:t xml:space="preserve">Balance Sector Público </w:t>
            </w:r>
            <w:proofErr w:type="spellStart"/>
            <w:r w:rsidRPr="00153819">
              <w:rPr>
                <w:rFonts w:eastAsia="Times New Roman"/>
                <w:color w:val="000000"/>
                <w:sz w:val="18"/>
                <w:szCs w:val="18"/>
                <w:lang w:val="pt-BR" w:eastAsia="es-AR"/>
              </w:rPr>
              <w:t>promedio</w:t>
            </w:r>
            <w:proofErr w:type="spellEnd"/>
            <w:r w:rsidRPr="00153819">
              <w:rPr>
                <w:rFonts w:eastAsia="Times New Roman"/>
                <w:color w:val="000000"/>
                <w:sz w:val="18"/>
                <w:szCs w:val="18"/>
                <w:lang w:val="pt-BR" w:eastAsia="es-AR"/>
              </w:rPr>
              <w:t xml:space="preserve"> período</w:t>
            </w:r>
          </w:p>
        </w:tc>
        <w:tc>
          <w:tcPr>
            <w:tcW w:w="1255" w:type="pct"/>
            <w:gridSpan w:val="3"/>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-1,4</w:t>
            </w:r>
          </w:p>
        </w:tc>
        <w:tc>
          <w:tcPr>
            <w:tcW w:w="526" w:type="pct"/>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1,6</w:t>
            </w:r>
          </w:p>
        </w:tc>
        <w:tc>
          <w:tcPr>
            <w:tcW w:w="1252" w:type="pct"/>
            <w:gridSpan w:val="3"/>
            <w:tcBorders>
              <w:top w:val="nil"/>
              <w:left w:val="nil"/>
              <w:bottom w:val="single" w:sz="4" w:space="0" w:color="auto"/>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1,8</w:t>
            </w:r>
          </w:p>
        </w:tc>
      </w:tr>
      <w:tr w:rsidR="00153819" w:rsidRPr="00153819" w:rsidTr="00F245CD">
        <w:trPr>
          <w:trHeight w:val="247"/>
          <w:jc w:val="center"/>
        </w:trPr>
        <w:tc>
          <w:tcPr>
            <w:tcW w:w="1967" w:type="pct"/>
            <w:tcBorders>
              <w:top w:val="nil"/>
              <w:left w:val="single" w:sz="4" w:space="0" w:color="auto"/>
              <w:bottom w:val="nil"/>
              <w:right w:val="nil"/>
            </w:tcBorders>
            <w:shd w:val="clear" w:color="000000" w:fill="FFFFFF"/>
            <w:noWrap/>
            <w:vAlign w:val="center"/>
            <w:hideMark/>
          </w:tcPr>
          <w:p w:rsidR="00153819" w:rsidRPr="00153819" w:rsidRDefault="00153819" w:rsidP="00153819">
            <w:pPr>
              <w:keepNext/>
              <w:spacing w:after="0" w:line="240" w:lineRule="auto"/>
              <w:rPr>
                <w:rFonts w:eastAsia="Times New Roman"/>
                <w:b/>
                <w:bCs/>
                <w:color w:val="000000"/>
                <w:sz w:val="18"/>
                <w:szCs w:val="18"/>
                <w:lang w:eastAsia="es-AR"/>
              </w:rPr>
            </w:pPr>
            <w:r w:rsidRPr="00153819">
              <w:rPr>
                <w:rFonts w:eastAsia="Times New Roman"/>
                <w:b/>
                <w:bCs/>
                <w:color w:val="000000"/>
                <w:sz w:val="18"/>
                <w:szCs w:val="18"/>
                <w:lang w:eastAsia="es-AR"/>
              </w:rPr>
              <w:t xml:space="preserve">Balance comercial (% </w:t>
            </w:r>
            <w:proofErr w:type="gramStart"/>
            <w:r w:rsidRPr="00153819">
              <w:rPr>
                <w:rFonts w:eastAsia="Times New Roman"/>
                <w:b/>
                <w:bCs/>
                <w:color w:val="000000"/>
                <w:sz w:val="18"/>
                <w:szCs w:val="18"/>
                <w:lang w:eastAsia="es-AR"/>
              </w:rPr>
              <w:t>PIB)</w:t>
            </w:r>
            <w:r w:rsidRPr="00153819">
              <w:rPr>
                <w:rFonts w:eastAsia="Times New Roman"/>
                <w:b/>
                <w:bCs/>
                <w:color w:val="000000"/>
                <w:sz w:val="18"/>
                <w:szCs w:val="18"/>
                <w:vertAlign w:val="superscript"/>
                <w:lang w:eastAsia="es-AR"/>
              </w:rPr>
              <w:t>h</w:t>
            </w:r>
            <w:proofErr w:type="gramEnd"/>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-0,3</w:t>
            </w:r>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-2,9</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3,3</w:t>
            </w:r>
          </w:p>
        </w:tc>
        <w:tc>
          <w:tcPr>
            <w:tcW w:w="526"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-2,3</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10,4</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4,4</w:t>
            </w:r>
          </w:p>
        </w:tc>
        <w:tc>
          <w:tcPr>
            <w:tcW w:w="418" w:type="pct"/>
            <w:tcBorders>
              <w:top w:val="nil"/>
              <w:left w:val="nil"/>
              <w:bottom w:val="nil"/>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0,4</w:t>
            </w:r>
          </w:p>
        </w:tc>
      </w:tr>
      <w:tr w:rsidR="00153819" w:rsidRPr="00153819" w:rsidTr="00F245CD">
        <w:trPr>
          <w:trHeight w:val="247"/>
          <w:jc w:val="center"/>
        </w:trPr>
        <w:tc>
          <w:tcPr>
            <w:tcW w:w="1967" w:type="pct"/>
            <w:tcBorders>
              <w:top w:val="nil"/>
              <w:left w:val="single" w:sz="4" w:space="0" w:color="auto"/>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ind w:firstLineChars="100" w:firstLine="180"/>
              <w:rPr>
                <w:rFonts w:eastAsia="Times New Roman"/>
                <w:color w:val="000000"/>
                <w:sz w:val="18"/>
                <w:szCs w:val="18"/>
                <w:lang w:eastAsia="es-AR"/>
              </w:rPr>
            </w:pPr>
            <w:r w:rsidRPr="00153819">
              <w:rPr>
                <w:rFonts w:eastAsia="Times New Roman"/>
                <w:color w:val="000000"/>
                <w:sz w:val="18"/>
                <w:szCs w:val="18"/>
                <w:lang w:eastAsia="es-AR"/>
              </w:rPr>
              <w:t>Balance comercial promedio período</w:t>
            </w:r>
          </w:p>
        </w:tc>
        <w:tc>
          <w:tcPr>
            <w:tcW w:w="1255" w:type="pct"/>
            <w:gridSpan w:val="3"/>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1,3</w:t>
            </w:r>
          </w:p>
        </w:tc>
        <w:tc>
          <w:tcPr>
            <w:tcW w:w="526" w:type="pct"/>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1,8</w:t>
            </w:r>
          </w:p>
        </w:tc>
        <w:tc>
          <w:tcPr>
            <w:tcW w:w="1252" w:type="pct"/>
            <w:gridSpan w:val="3"/>
            <w:tcBorders>
              <w:top w:val="nil"/>
              <w:left w:val="nil"/>
              <w:bottom w:val="single" w:sz="4" w:space="0" w:color="auto"/>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4,1</w:t>
            </w:r>
          </w:p>
        </w:tc>
      </w:tr>
      <w:tr w:rsidR="00153819" w:rsidRPr="00153819" w:rsidTr="00F245CD">
        <w:trPr>
          <w:trHeight w:val="247"/>
          <w:jc w:val="center"/>
        </w:trPr>
        <w:tc>
          <w:tcPr>
            <w:tcW w:w="1967" w:type="pct"/>
            <w:tcBorders>
              <w:top w:val="nil"/>
              <w:left w:val="single" w:sz="4" w:space="0" w:color="auto"/>
              <w:bottom w:val="nil"/>
              <w:right w:val="nil"/>
            </w:tcBorders>
            <w:shd w:val="clear" w:color="000000" w:fill="FFFFFF"/>
            <w:noWrap/>
            <w:vAlign w:val="center"/>
            <w:hideMark/>
          </w:tcPr>
          <w:p w:rsidR="00153819" w:rsidRPr="00153819" w:rsidRDefault="00153819" w:rsidP="00153819">
            <w:pPr>
              <w:keepNext/>
              <w:spacing w:after="0" w:line="240" w:lineRule="auto"/>
              <w:rPr>
                <w:rFonts w:eastAsia="Times New Roman"/>
                <w:b/>
                <w:bCs/>
                <w:color w:val="000000"/>
                <w:sz w:val="18"/>
                <w:szCs w:val="18"/>
                <w:lang w:eastAsia="es-AR"/>
              </w:rPr>
            </w:pPr>
            <w:r w:rsidRPr="00153819">
              <w:rPr>
                <w:rFonts w:eastAsia="Times New Roman"/>
                <w:b/>
                <w:bCs/>
                <w:color w:val="000000"/>
                <w:sz w:val="18"/>
                <w:szCs w:val="18"/>
                <w:lang w:eastAsia="es-AR"/>
              </w:rPr>
              <w:t xml:space="preserve">Balance de cuenta corriente (% </w:t>
            </w:r>
            <w:proofErr w:type="gramStart"/>
            <w:r w:rsidRPr="00153819">
              <w:rPr>
                <w:rFonts w:eastAsia="Times New Roman"/>
                <w:b/>
                <w:bCs/>
                <w:color w:val="000000"/>
                <w:sz w:val="18"/>
                <w:szCs w:val="18"/>
                <w:lang w:eastAsia="es-AR"/>
              </w:rPr>
              <w:t>PIB)</w:t>
            </w:r>
            <w:r w:rsidRPr="00153819">
              <w:rPr>
                <w:rFonts w:eastAsia="Times New Roman"/>
                <w:b/>
                <w:bCs/>
                <w:color w:val="000000"/>
                <w:sz w:val="18"/>
                <w:szCs w:val="18"/>
                <w:vertAlign w:val="superscript"/>
                <w:lang w:eastAsia="es-AR"/>
              </w:rPr>
              <w:t>i</w:t>
            </w:r>
            <w:proofErr w:type="gramEnd"/>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1,3</w:t>
            </w:r>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-6,2</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-1,2</w:t>
            </w:r>
          </w:p>
        </w:tc>
        <w:tc>
          <w:tcPr>
            <w:tcW w:w="526"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-4,8</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6,4</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2,2</w:t>
            </w:r>
          </w:p>
        </w:tc>
        <w:tc>
          <w:tcPr>
            <w:tcW w:w="418" w:type="pct"/>
            <w:tcBorders>
              <w:top w:val="nil"/>
              <w:left w:val="nil"/>
              <w:bottom w:val="nil"/>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-1,5</w:t>
            </w:r>
          </w:p>
        </w:tc>
      </w:tr>
      <w:tr w:rsidR="00153819" w:rsidRPr="00153819" w:rsidTr="00F245CD">
        <w:trPr>
          <w:trHeight w:val="247"/>
          <w:jc w:val="center"/>
        </w:trPr>
        <w:tc>
          <w:tcPr>
            <w:tcW w:w="1967" w:type="pct"/>
            <w:tcBorders>
              <w:top w:val="nil"/>
              <w:left w:val="single" w:sz="4" w:space="0" w:color="auto"/>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ind w:firstLineChars="100" w:firstLine="180"/>
              <w:rPr>
                <w:rFonts w:eastAsia="Times New Roman"/>
                <w:color w:val="000000"/>
                <w:sz w:val="18"/>
                <w:szCs w:val="18"/>
                <w:lang w:val="pt-BR" w:eastAsia="es-AR"/>
              </w:rPr>
            </w:pPr>
            <w:r w:rsidRPr="00153819">
              <w:rPr>
                <w:rFonts w:eastAsia="Times New Roman"/>
                <w:color w:val="000000"/>
                <w:sz w:val="18"/>
                <w:szCs w:val="18"/>
                <w:lang w:val="pt-BR" w:eastAsia="es-AR"/>
              </w:rPr>
              <w:t xml:space="preserve">Balance de </w:t>
            </w:r>
            <w:proofErr w:type="spellStart"/>
            <w:r w:rsidRPr="00153819">
              <w:rPr>
                <w:rFonts w:eastAsia="Times New Roman"/>
                <w:color w:val="000000"/>
                <w:sz w:val="18"/>
                <w:szCs w:val="18"/>
                <w:lang w:val="pt-BR" w:eastAsia="es-AR"/>
              </w:rPr>
              <w:t>cta</w:t>
            </w:r>
            <w:proofErr w:type="spellEnd"/>
            <w:r w:rsidRPr="00153819">
              <w:rPr>
                <w:rFonts w:eastAsia="Times New Roman"/>
                <w:color w:val="000000"/>
                <w:sz w:val="18"/>
                <w:szCs w:val="18"/>
                <w:lang w:val="pt-BR" w:eastAsia="es-AR"/>
              </w:rPr>
              <w:t xml:space="preserve">. </w:t>
            </w:r>
            <w:proofErr w:type="spellStart"/>
            <w:r w:rsidRPr="00153819">
              <w:rPr>
                <w:rFonts w:eastAsia="Times New Roman"/>
                <w:color w:val="000000"/>
                <w:sz w:val="18"/>
                <w:szCs w:val="18"/>
                <w:lang w:val="pt-BR" w:eastAsia="es-AR"/>
              </w:rPr>
              <w:t>cte</w:t>
            </w:r>
            <w:proofErr w:type="spellEnd"/>
            <w:r w:rsidRPr="00153819">
              <w:rPr>
                <w:rFonts w:eastAsia="Times New Roman"/>
                <w:color w:val="000000"/>
                <w:sz w:val="18"/>
                <w:szCs w:val="18"/>
                <w:lang w:val="pt-BR" w:eastAsia="es-AR"/>
              </w:rPr>
              <w:t xml:space="preserve">. </w:t>
            </w:r>
            <w:proofErr w:type="spellStart"/>
            <w:r w:rsidRPr="00153819">
              <w:rPr>
                <w:rFonts w:eastAsia="Times New Roman"/>
                <w:color w:val="000000"/>
                <w:sz w:val="18"/>
                <w:szCs w:val="18"/>
                <w:lang w:val="pt-BR" w:eastAsia="es-AR"/>
              </w:rPr>
              <w:t>promedio</w:t>
            </w:r>
            <w:proofErr w:type="spellEnd"/>
            <w:r w:rsidRPr="00153819">
              <w:rPr>
                <w:rFonts w:eastAsia="Times New Roman"/>
                <w:color w:val="000000"/>
                <w:sz w:val="18"/>
                <w:szCs w:val="18"/>
                <w:lang w:val="pt-BR" w:eastAsia="es-AR"/>
              </w:rPr>
              <w:t xml:space="preserve"> período</w:t>
            </w:r>
          </w:p>
        </w:tc>
        <w:tc>
          <w:tcPr>
            <w:tcW w:w="1255" w:type="pct"/>
            <w:gridSpan w:val="3"/>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-1,6</w:t>
            </w:r>
          </w:p>
        </w:tc>
        <w:tc>
          <w:tcPr>
            <w:tcW w:w="526" w:type="pct"/>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-1,1</w:t>
            </w:r>
          </w:p>
        </w:tc>
        <w:tc>
          <w:tcPr>
            <w:tcW w:w="1252" w:type="pct"/>
            <w:gridSpan w:val="3"/>
            <w:tcBorders>
              <w:top w:val="nil"/>
              <w:left w:val="nil"/>
              <w:bottom w:val="single" w:sz="4" w:space="0" w:color="auto"/>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1,2</w:t>
            </w:r>
          </w:p>
        </w:tc>
      </w:tr>
      <w:tr w:rsidR="00153819" w:rsidRPr="00153819" w:rsidTr="00F245CD">
        <w:trPr>
          <w:trHeight w:val="247"/>
          <w:jc w:val="center"/>
        </w:trPr>
        <w:tc>
          <w:tcPr>
            <w:tcW w:w="1967" w:type="pct"/>
            <w:tcBorders>
              <w:top w:val="nil"/>
              <w:left w:val="single" w:sz="4" w:space="0" w:color="auto"/>
              <w:bottom w:val="nil"/>
              <w:right w:val="nil"/>
            </w:tcBorders>
            <w:shd w:val="clear" w:color="000000" w:fill="FFFFFF"/>
            <w:noWrap/>
            <w:vAlign w:val="center"/>
            <w:hideMark/>
          </w:tcPr>
          <w:p w:rsidR="00153819" w:rsidRPr="00153819" w:rsidRDefault="00153819" w:rsidP="00153819">
            <w:pPr>
              <w:keepNext/>
              <w:spacing w:after="0" w:line="240" w:lineRule="auto"/>
              <w:rPr>
                <w:rFonts w:eastAsia="Times New Roman"/>
                <w:b/>
                <w:bCs/>
                <w:color w:val="000000"/>
                <w:sz w:val="18"/>
                <w:szCs w:val="18"/>
                <w:lang w:eastAsia="es-AR"/>
              </w:rPr>
            </w:pPr>
            <w:r w:rsidRPr="00153819">
              <w:rPr>
                <w:rFonts w:eastAsia="Times New Roman"/>
                <w:b/>
                <w:bCs/>
                <w:color w:val="000000"/>
                <w:sz w:val="18"/>
                <w:szCs w:val="18"/>
                <w:lang w:eastAsia="es-AR"/>
              </w:rPr>
              <w:t xml:space="preserve">Sector industrial (% </w:t>
            </w:r>
            <w:proofErr w:type="gramStart"/>
            <w:r w:rsidRPr="00153819">
              <w:rPr>
                <w:rFonts w:eastAsia="Times New Roman"/>
                <w:b/>
                <w:bCs/>
                <w:color w:val="000000"/>
                <w:sz w:val="18"/>
                <w:szCs w:val="18"/>
                <w:lang w:eastAsia="es-AR"/>
              </w:rPr>
              <w:t>PIB)</w:t>
            </w:r>
            <w:r w:rsidRPr="00153819">
              <w:rPr>
                <w:rFonts w:eastAsia="Times New Roman"/>
                <w:b/>
                <w:bCs/>
                <w:color w:val="000000"/>
                <w:sz w:val="18"/>
                <w:szCs w:val="18"/>
                <w:vertAlign w:val="superscript"/>
                <w:lang w:eastAsia="es-AR"/>
              </w:rPr>
              <w:t>j</w:t>
            </w:r>
            <w:proofErr w:type="gramEnd"/>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22,9</w:t>
            </w:r>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19,9</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18,6</w:t>
            </w:r>
          </w:p>
        </w:tc>
        <w:tc>
          <w:tcPr>
            <w:tcW w:w="526"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17,2</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16,4</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16,5</w:t>
            </w:r>
          </w:p>
        </w:tc>
        <w:tc>
          <w:tcPr>
            <w:tcW w:w="418" w:type="pct"/>
            <w:tcBorders>
              <w:top w:val="nil"/>
              <w:left w:val="nil"/>
              <w:bottom w:val="nil"/>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15,9</w:t>
            </w:r>
          </w:p>
        </w:tc>
      </w:tr>
      <w:tr w:rsidR="00153819" w:rsidRPr="00153819" w:rsidTr="00F245CD">
        <w:trPr>
          <w:trHeight w:val="247"/>
          <w:jc w:val="center"/>
        </w:trPr>
        <w:tc>
          <w:tcPr>
            <w:tcW w:w="1967" w:type="pct"/>
            <w:tcBorders>
              <w:top w:val="nil"/>
              <w:left w:val="single" w:sz="4" w:space="0" w:color="auto"/>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ind w:firstLineChars="100" w:firstLine="180"/>
              <w:rPr>
                <w:rFonts w:eastAsia="Times New Roman"/>
                <w:color w:val="000000"/>
                <w:sz w:val="18"/>
                <w:szCs w:val="18"/>
                <w:lang w:eastAsia="es-AR"/>
              </w:rPr>
            </w:pPr>
            <w:r w:rsidRPr="00153819">
              <w:rPr>
                <w:rFonts w:eastAsia="Times New Roman"/>
                <w:color w:val="000000"/>
                <w:sz w:val="18"/>
                <w:szCs w:val="18"/>
                <w:lang w:eastAsia="es-AR"/>
              </w:rPr>
              <w:t>Sector industrial promedio período</w:t>
            </w:r>
          </w:p>
        </w:tc>
        <w:tc>
          <w:tcPr>
            <w:tcW w:w="1255" w:type="pct"/>
            <w:gridSpan w:val="3"/>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20,2</w:t>
            </w:r>
          </w:p>
        </w:tc>
        <w:tc>
          <w:tcPr>
            <w:tcW w:w="526" w:type="pct"/>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17,3</w:t>
            </w:r>
          </w:p>
        </w:tc>
        <w:tc>
          <w:tcPr>
            <w:tcW w:w="1252" w:type="pct"/>
            <w:gridSpan w:val="3"/>
            <w:tcBorders>
              <w:top w:val="nil"/>
              <w:left w:val="nil"/>
              <w:bottom w:val="single" w:sz="4" w:space="0" w:color="auto"/>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16,3</w:t>
            </w:r>
          </w:p>
        </w:tc>
      </w:tr>
      <w:tr w:rsidR="00153819" w:rsidRPr="00153819" w:rsidTr="00F245CD">
        <w:trPr>
          <w:trHeight w:val="247"/>
          <w:jc w:val="center"/>
        </w:trPr>
        <w:tc>
          <w:tcPr>
            <w:tcW w:w="1967" w:type="pct"/>
            <w:tcBorders>
              <w:top w:val="nil"/>
              <w:left w:val="single" w:sz="4" w:space="0" w:color="auto"/>
              <w:bottom w:val="nil"/>
              <w:right w:val="nil"/>
            </w:tcBorders>
            <w:shd w:val="clear" w:color="000000" w:fill="FFFFFF"/>
            <w:noWrap/>
            <w:vAlign w:val="center"/>
            <w:hideMark/>
          </w:tcPr>
          <w:p w:rsidR="00153819" w:rsidRPr="00153819" w:rsidRDefault="00153819" w:rsidP="00153819">
            <w:pPr>
              <w:keepNext/>
              <w:spacing w:after="0" w:line="240" w:lineRule="auto"/>
              <w:rPr>
                <w:rFonts w:eastAsia="Times New Roman"/>
                <w:b/>
                <w:bCs/>
                <w:color w:val="000000"/>
                <w:sz w:val="18"/>
                <w:szCs w:val="18"/>
                <w:lang w:eastAsia="es-AR"/>
              </w:rPr>
            </w:pPr>
            <w:r w:rsidRPr="00153819">
              <w:rPr>
                <w:rFonts w:eastAsia="Times New Roman"/>
                <w:b/>
                <w:bCs/>
                <w:color w:val="000000"/>
                <w:sz w:val="18"/>
                <w:szCs w:val="18"/>
                <w:lang w:eastAsia="es-AR"/>
              </w:rPr>
              <w:t xml:space="preserve">Exportaciones (% </w:t>
            </w:r>
            <w:proofErr w:type="gramStart"/>
            <w:r w:rsidRPr="00153819">
              <w:rPr>
                <w:rFonts w:eastAsia="Times New Roman"/>
                <w:b/>
                <w:bCs/>
                <w:color w:val="000000"/>
                <w:sz w:val="18"/>
                <w:szCs w:val="18"/>
                <w:lang w:eastAsia="es-AR"/>
              </w:rPr>
              <w:t>PIB)</w:t>
            </w:r>
            <w:r w:rsidRPr="00153819">
              <w:rPr>
                <w:rFonts w:eastAsia="Times New Roman"/>
                <w:b/>
                <w:bCs/>
                <w:color w:val="000000"/>
                <w:sz w:val="18"/>
                <w:szCs w:val="18"/>
                <w:vertAlign w:val="superscript"/>
                <w:lang w:eastAsia="es-AR"/>
              </w:rPr>
              <w:t>h</w:t>
            </w:r>
            <w:proofErr w:type="gramEnd"/>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7,4</w:t>
            </w:r>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5,4</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9,9</w:t>
            </w:r>
          </w:p>
        </w:tc>
        <w:tc>
          <w:tcPr>
            <w:tcW w:w="526"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9,7</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24,1</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22,6</w:t>
            </w:r>
          </w:p>
        </w:tc>
        <w:tc>
          <w:tcPr>
            <w:tcW w:w="418" w:type="pct"/>
            <w:tcBorders>
              <w:top w:val="nil"/>
              <w:left w:val="nil"/>
              <w:bottom w:val="nil"/>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14,3</w:t>
            </w:r>
          </w:p>
        </w:tc>
      </w:tr>
      <w:tr w:rsidR="00153819" w:rsidRPr="00153819" w:rsidTr="00F245CD">
        <w:trPr>
          <w:trHeight w:val="247"/>
          <w:jc w:val="center"/>
        </w:trPr>
        <w:tc>
          <w:tcPr>
            <w:tcW w:w="1967" w:type="pct"/>
            <w:tcBorders>
              <w:top w:val="nil"/>
              <w:left w:val="single" w:sz="4" w:space="0" w:color="auto"/>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ind w:firstLineChars="100" w:firstLine="180"/>
              <w:rPr>
                <w:rFonts w:eastAsia="Times New Roman"/>
                <w:color w:val="000000"/>
                <w:sz w:val="18"/>
                <w:szCs w:val="18"/>
                <w:lang w:eastAsia="es-AR"/>
              </w:rPr>
            </w:pPr>
            <w:r w:rsidRPr="00153819">
              <w:rPr>
                <w:rFonts w:eastAsia="Times New Roman"/>
                <w:color w:val="000000"/>
                <w:sz w:val="18"/>
                <w:szCs w:val="18"/>
                <w:lang w:eastAsia="es-AR"/>
              </w:rPr>
              <w:t>Exportaciones promedio período</w:t>
            </w:r>
          </w:p>
        </w:tc>
        <w:tc>
          <w:tcPr>
            <w:tcW w:w="1255" w:type="pct"/>
            <w:gridSpan w:val="3"/>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8,5</w:t>
            </w:r>
          </w:p>
        </w:tc>
        <w:tc>
          <w:tcPr>
            <w:tcW w:w="526" w:type="pct"/>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11,6</w:t>
            </w:r>
          </w:p>
        </w:tc>
        <w:tc>
          <w:tcPr>
            <w:tcW w:w="1252" w:type="pct"/>
            <w:gridSpan w:val="3"/>
            <w:tcBorders>
              <w:top w:val="nil"/>
              <w:left w:val="nil"/>
              <w:bottom w:val="single" w:sz="4" w:space="0" w:color="auto"/>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20,0</w:t>
            </w:r>
          </w:p>
        </w:tc>
      </w:tr>
      <w:tr w:rsidR="00153819" w:rsidRPr="00153819" w:rsidTr="00F245CD">
        <w:trPr>
          <w:trHeight w:val="247"/>
          <w:jc w:val="center"/>
        </w:trPr>
        <w:tc>
          <w:tcPr>
            <w:tcW w:w="1967" w:type="pct"/>
            <w:tcBorders>
              <w:top w:val="nil"/>
              <w:left w:val="single" w:sz="4" w:space="0" w:color="auto"/>
              <w:bottom w:val="nil"/>
              <w:right w:val="nil"/>
            </w:tcBorders>
            <w:shd w:val="clear" w:color="000000" w:fill="FFFFFF"/>
            <w:noWrap/>
            <w:vAlign w:val="center"/>
            <w:hideMark/>
          </w:tcPr>
          <w:p w:rsidR="00153819" w:rsidRPr="00153819" w:rsidRDefault="00153819" w:rsidP="00153819">
            <w:pPr>
              <w:keepNext/>
              <w:spacing w:after="0" w:line="240" w:lineRule="auto"/>
              <w:rPr>
                <w:rFonts w:eastAsia="Times New Roman"/>
                <w:b/>
                <w:bCs/>
                <w:color w:val="000000"/>
                <w:sz w:val="18"/>
                <w:szCs w:val="18"/>
                <w:lang w:eastAsia="es-AR"/>
              </w:rPr>
            </w:pPr>
            <w:r w:rsidRPr="00153819">
              <w:rPr>
                <w:rFonts w:eastAsia="Times New Roman"/>
                <w:b/>
                <w:bCs/>
                <w:color w:val="000000"/>
                <w:sz w:val="18"/>
                <w:szCs w:val="18"/>
                <w:lang w:eastAsia="es-AR"/>
              </w:rPr>
              <w:t>Exportaciones (Var. Promedio anual)</w:t>
            </w:r>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-1,6</w:t>
            </w:r>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-20,9</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18,8</w:t>
            </w:r>
          </w:p>
        </w:tc>
        <w:tc>
          <w:tcPr>
            <w:tcW w:w="526"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2,4</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-0,6</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7,3</w:t>
            </w:r>
          </w:p>
        </w:tc>
        <w:tc>
          <w:tcPr>
            <w:tcW w:w="418" w:type="pct"/>
            <w:tcBorders>
              <w:top w:val="nil"/>
              <w:left w:val="nil"/>
              <w:bottom w:val="nil"/>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-4,2</w:t>
            </w:r>
          </w:p>
        </w:tc>
      </w:tr>
      <w:tr w:rsidR="00153819" w:rsidRPr="00153819" w:rsidTr="00F245CD">
        <w:trPr>
          <w:trHeight w:val="247"/>
          <w:jc w:val="center"/>
        </w:trPr>
        <w:tc>
          <w:tcPr>
            <w:tcW w:w="1967" w:type="pct"/>
            <w:tcBorders>
              <w:top w:val="nil"/>
              <w:left w:val="single" w:sz="4" w:space="0" w:color="auto"/>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ind w:firstLineChars="100" w:firstLine="180"/>
              <w:rPr>
                <w:rFonts w:eastAsia="Times New Roman"/>
                <w:color w:val="000000"/>
                <w:sz w:val="18"/>
                <w:szCs w:val="18"/>
                <w:lang w:eastAsia="es-AR"/>
              </w:rPr>
            </w:pPr>
            <w:r w:rsidRPr="00153819">
              <w:rPr>
                <w:rFonts w:eastAsia="Times New Roman"/>
                <w:color w:val="000000"/>
                <w:sz w:val="18"/>
                <w:szCs w:val="18"/>
                <w:lang w:eastAsia="es-AR"/>
              </w:rPr>
              <w:t>Exportaciones (Var. Promedio)</w:t>
            </w:r>
          </w:p>
        </w:tc>
        <w:tc>
          <w:tcPr>
            <w:tcW w:w="1255" w:type="pct"/>
            <w:gridSpan w:val="3"/>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5,3</w:t>
            </w:r>
          </w:p>
        </w:tc>
        <w:tc>
          <w:tcPr>
            <w:tcW w:w="526" w:type="pct"/>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11,6</w:t>
            </w:r>
          </w:p>
        </w:tc>
        <w:tc>
          <w:tcPr>
            <w:tcW w:w="1252" w:type="pct"/>
            <w:gridSpan w:val="3"/>
            <w:tcBorders>
              <w:top w:val="nil"/>
              <w:left w:val="nil"/>
              <w:bottom w:val="single" w:sz="4" w:space="0" w:color="auto"/>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-0,2</w:t>
            </w:r>
          </w:p>
        </w:tc>
      </w:tr>
      <w:tr w:rsidR="00153819" w:rsidRPr="00153819" w:rsidTr="00F245CD">
        <w:trPr>
          <w:trHeight w:val="247"/>
          <w:jc w:val="center"/>
        </w:trPr>
        <w:tc>
          <w:tcPr>
            <w:tcW w:w="1967" w:type="pct"/>
            <w:tcBorders>
              <w:top w:val="nil"/>
              <w:left w:val="single" w:sz="4" w:space="0" w:color="auto"/>
              <w:bottom w:val="nil"/>
              <w:right w:val="nil"/>
            </w:tcBorders>
            <w:shd w:val="clear" w:color="000000" w:fill="FFFFFF"/>
            <w:noWrap/>
            <w:vAlign w:val="center"/>
            <w:hideMark/>
          </w:tcPr>
          <w:p w:rsidR="00153819" w:rsidRPr="00153819" w:rsidRDefault="00153819" w:rsidP="00153819">
            <w:pPr>
              <w:keepNext/>
              <w:spacing w:after="0" w:line="240" w:lineRule="auto"/>
              <w:rPr>
                <w:rFonts w:eastAsia="Times New Roman"/>
                <w:b/>
                <w:bCs/>
                <w:color w:val="000000"/>
                <w:sz w:val="18"/>
                <w:szCs w:val="18"/>
                <w:lang w:eastAsia="es-AR"/>
              </w:rPr>
            </w:pPr>
            <w:r w:rsidRPr="00153819">
              <w:rPr>
                <w:rFonts w:eastAsia="Times New Roman"/>
                <w:b/>
                <w:bCs/>
                <w:color w:val="000000"/>
                <w:sz w:val="18"/>
                <w:szCs w:val="18"/>
                <w:lang w:eastAsia="es-AR"/>
              </w:rPr>
              <w:t xml:space="preserve">Importaciones (% </w:t>
            </w:r>
            <w:proofErr w:type="gramStart"/>
            <w:r w:rsidRPr="00153819">
              <w:rPr>
                <w:rFonts w:eastAsia="Times New Roman"/>
                <w:b/>
                <w:bCs/>
                <w:color w:val="000000"/>
                <w:sz w:val="18"/>
                <w:szCs w:val="18"/>
                <w:lang w:eastAsia="es-AR"/>
              </w:rPr>
              <w:t>PIB)</w:t>
            </w:r>
            <w:r w:rsidRPr="00153819">
              <w:rPr>
                <w:rFonts w:eastAsia="Times New Roman"/>
                <w:b/>
                <w:bCs/>
                <w:color w:val="000000"/>
                <w:sz w:val="18"/>
                <w:szCs w:val="18"/>
                <w:vertAlign w:val="superscript"/>
                <w:lang w:eastAsia="es-AR"/>
              </w:rPr>
              <w:t>h</w:t>
            </w:r>
            <w:proofErr w:type="gramEnd"/>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7,7</w:t>
            </w:r>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8,3</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6,5</w:t>
            </w:r>
          </w:p>
        </w:tc>
        <w:tc>
          <w:tcPr>
            <w:tcW w:w="526"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12,0</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13,6</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18,2</w:t>
            </w:r>
          </w:p>
        </w:tc>
        <w:tc>
          <w:tcPr>
            <w:tcW w:w="418" w:type="pct"/>
            <w:tcBorders>
              <w:top w:val="nil"/>
              <w:left w:val="nil"/>
              <w:bottom w:val="nil"/>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13,9</w:t>
            </w:r>
          </w:p>
        </w:tc>
      </w:tr>
      <w:tr w:rsidR="00153819" w:rsidRPr="00153819" w:rsidTr="00F245CD">
        <w:trPr>
          <w:trHeight w:val="247"/>
          <w:jc w:val="center"/>
        </w:trPr>
        <w:tc>
          <w:tcPr>
            <w:tcW w:w="1967" w:type="pct"/>
            <w:tcBorders>
              <w:top w:val="nil"/>
              <w:left w:val="single" w:sz="4" w:space="0" w:color="auto"/>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ind w:firstLineChars="100" w:firstLine="180"/>
              <w:rPr>
                <w:rFonts w:eastAsia="Times New Roman"/>
                <w:color w:val="000000"/>
                <w:sz w:val="18"/>
                <w:szCs w:val="18"/>
                <w:lang w:eastAsia="es-AR"/>
              </w:rPr>
            </w:pPr>
            <w:r w:rsidRPr="00153819">
              <w:rPr>
                <w:rFonts w:eastAsia="Times New Roman"/>
                <w:color w:val="000000"/>
                <w:sz w:val="18"/>
                <w:szCs w:val="18"/>
                <w:lang w:eastAsia="es-AR"/>
              </w:rPr>
              <w:t>Importaciones promedio período</w:t>
            </w:r>
          </w:p>
        </w:tc>
        <w:tc>
          <w:tcPr>
            <w:tcW w:w="1255" w:type="pct"/>
            <w:gridSpan w:val="3"/>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7,3</w:t>
            </w:r>
          </w:p>
        </w:tc>
        <w:tc>
          <w:tcPr>
            <w:tcW w:w="526" w:type="pct"/>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9,5</w:t>
            </w:r>
          </w:p>
        </w:tc>
        <w:tc>
          <w:tcPr>
            <w:tcW w:w="1252" w:type="pct"/>
            <w:gridSpan w:val="3"/>
            <w:tcBorders>
              <w:top w:val="nil"/>
              <w:left w:val="nil"/>
              <w:bottom w:val="single" w:sz="4" w:space="0" w:color="auto"/>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15,9</w:t>
            </w:r>
          </w:p>
        </w:tc>
      </w:tr>
      <w:tr w:rsidR="00153819" w:rsidRPr="00153819" w:rsidTr="00F245CD">
        <w:trPr>
          <w:trHeight w:val="247"/>
          <w:jc w:val="center"/>
        </w:trPr>
        <w:tc>
          <w:tcPr>
            <w:tcW w:w="1967" w:type="pct"/>
            <w:tcBorders>
              <w:top w:val="nil"/>
              <w:left w:val="single" w:sz="4" w:space="0" w:color="auto"/>
              <w:bottom w:val="nil"/>
              <w:right w:val="nil"/>
            </w:tcBorders>
            <w:shd w:val="clear" w:color="000000" w:fill="FFFFFF"/>
            <w:noWrap/>
            <w:vAlign w:val="center"/>
            <w:hideMark/>
          </w:tcPr>
          <w:p w:rsidR="00153819" w:rsidRPr="00153819" w:rsidRDefault="00153819" w:rsidP="00153819">
            <w:pPr>
              <w:keepNext/>
              <w:spacing w:after="0" w:line="240" w:lineRule="auto"/>
              <w:rPr>
                <w:rFonts w:eastAsia="Times New Roman"/>
                <w:b/>
                <w:bCs/>
                <w:color w:val="000000"/>
                <w:sz w:val="18"/>
                <w:szCs w:val="18"/>
                <w:lang w:eastAsia="es-AR"/>
              </w:rPr>
            </w:pPr>
            <w:r w:rsidRPr="00153819">
              <w:rPr>
                <w:rFonts w:eastAsia="Times New Roman"/>
                <w:b/>
                <w:bCs/>
                <w:color w:val="000000"/>
                <w:sz w:val="18"/>
                <w:szCs w:val="18"/>
                <w:lang w:eastAsia="es-AR"/>
              </w:rPr>
              <w:t>Importaciones (Var. Promedio anual)</w:t>
            </w:r>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19,7</w:t>
            </w:r>
          </w:p>
        </w:tc>
        <w:tc>
          <w:tcPr>
            <w:tcW w:w="419"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7,1</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-19,5</w:t>
            </w:r>
          </w:p>
        </w:tc>
        <w:tc>
          <w:tcPr>
            <w:tcW w:w="526"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5,1</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19,8</w:t>
            </w:r>
          </w:p>
        </w:tc>
        <w:tc>
          <w:tcPr>
            <w:tcW w:w="417" w:type="pct"/>
            <w:tcBorders>
              <w:top w:val="nil"/>
              <w:left w:val="nil"/>
              <w:bottom w:val="nil"/>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14,5</w:t>
            </w:r>
          </w:p>
        </w:tc>
        <w:tc>
          <w:tcPr>
            <w:tcW w:w="418" w:type="pct"/>
            <w:tcBorders>
              <w:top w:val="nil"/>
              <w:left w:val="nil"/>
              <w:bottom w:val="nil"/>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-7,5</w:t>
            </w:r>
          </w:p>
        </w:tc>
      </w:tr>
      <w:tr w:rsidR="00153819" w:rsidRPr="00153819" w:rsidTr="00F245CD">
        <w:trPr>
          <w:trHeight w:val="247"/>
          <w:jc w:val="center"/>
        </w:trPr>
        <w:tc>
          <w:tcPr>
            <w:tcW w:w="1967" w:type="pct"/>
            <w:tcBorders>
              <w:top w:val="nil"/>
              <w:left w:val="single" w:sz="4" w:space="0" w:color="auto"/>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ind w:firstLineChars="100" w:firstLine="180"/>
              <w:rPr>
                <w:rFonts w:eastAsia="Times New Roman"/>
                <w:color w:val="000000"/>
                <w:sz w:val="18"/>
                <w:szCs w:val="18"/>
                <w:lang w:eastAsia="es-AR"/>
              </w:rPr>
            </w:pPr>
            <w:r w:rsidRPr="00153819">
              <w:rPr>
                <w:rFonts w:eastAsia="Times New Roman"/>
                <w:color w:val="000000"/>
                <w:sz w:val="18"/>
                <w:szCs w:val="18"/>
                <w:lang w:eastAsia="es-AR"/>
              </w:rPr>
              <w:t>Importaciones (Var. Promedio)</w:t>
            </w:r>
          </w:p>
        </w:tc>
        <w:tc>
          <w:tcPr>
            <w:tcW w:w="1255" w:type="pct"/>
            <w:gridSpan w:val="3"/>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2,5</w:t>
            </w:r>
          </w:p>
        </w:tc>
        <w:tc>
          <w:tcPr>
            <w:tcW w:w="526" w:type="pct"/>
            <w:tcBorders>
              <w:top w:val="nil"/>
              <w:left w:val="nil"/>
              <w:bottom w:val="single" w:sz="4" w:space="0" w:color="auto"/>
              <w:right w:val="nil"/>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7,0</w:t>
            </w:r>
          </w:p>
        </w:tc>
        <w:tc>
          <w:tcPr>
            <w:tcW w:w="1252" w:type="pct"/>
            <w:gridSpan w:val="3"/>
            <w:tcBorders>
              <w:top w:val="nil"/>
              <w:left w:val="nil"/>
              <w:bottom w:val="single" w:sz="4" w:space="0" w:color="auto"/>
              <w:right w:val="single" w:sz="4" w:space="0" w:color="auto"/>
            </w:tcBorders>
            <w:shd w:val="clear" w:color="000000" w:fill="FFFFFF"/>
            <w:noWrap/>
            <w:vAlign w:val="center"/>
            <w:hideMark/>
          </w:tcPr>
          <w:p w:rsidR="00153819" w:rsidRPr="00153819" w:rsidRDefault="00153819" w:rsidP="00153819">
            <w:pPr>
              <w:keepNext/>
              <w:spacing w:after="0" w:line="240" w:lineRule="auto"/>
              <w:jc w:val="center"/>
              <w:rPr>
                <w:rFonts w:eastAsia="Times New Roman"/>
                <w:color w:val="000000"/>
                <w:sz w:val="18"/>
                <w:szCs w:val="18"/>
                <w:lang w:eastAsia="es-AR"/>
              </w:rPr>
            </w:pPr>
            <w:r w:rsidRPr="00153819">
              <w:rPr>
                <w:rFonts w:eastAsia="Times New Roman"/>
                <w:color w:val="000000"/>
                <w:sz w:val="18"/>
                <w:szCs w:val="18"/>
                <w:lang w:eastAsia="es-AR"/>
              </w:rPr>
              <w:t>6,9</w:t>
            </w:r>
          </w:p>
        </w:tc>
      </w:tr>
    </w:tbl>
    <w:p w:rsidR="00153819" w:rsidRPr="00153819" w:rsidRDefault="00153819" w:rsidP="00153819">
      <w:pPr>
        <w:keepNext/>
        <w:tabs>
          <w:tab w:val="left" w:pos="-1560"/>
        </w:tabs>
        <w:spacing w:after="0" w:line="240" w:lineRule="auto"/>
        <w:jc w:val="both"/>
        <w:rPr>
          <w:kern w:val="22"/>
          <w:sz w:val="18"/>
          <w:szCs w:val="18"/>
        </w:rPr>
      </w:pPr>
      <w:r w:rsidRPr="00153819">
        <w:rPr>
          <w:kern w:val="22"/>
          <w:sz w:val="18"/>
          <w:szCs w:val="18"/>
        </w:rPr>
        <w:t>Notas:</w:t>
      </w:r>
    </w:p>
    <w:p w:rsidR="00153819" w:rsidRPr="00153819" w:rsidRDefault="00153819" w:rsidP="00153819">
      <w:pPr>
        <w:keepNext/>
        <w:tabs>
          <w:tab w:val="left" w:pos="-1560"/>
        </w:tabs>
        <w:spacing w:after="0" w:line="240" w:lineRule="auto"/>
        <w:jc w:val="both"/>
        <w:rPr>
          <w:kern w:val="22"/>
          <w:sz w:val="18"/>
          <w:szCs w:val="18"/>
        </w:rPr>
      </w:pPr>
      <w:r w:rsidRPr="00153819">
        <w:rPr>
          <w:kern w:val="22"/>
          <w:sz w:val="18"/>
          <w:szCs w:val="18"/>
        </w:rPr>
        <w:t>(*) Para la construcción de los períodos se utilizó información anual de los años 1974-1988, 1988-2003 y 2003-2014.</w:t>
      </w:r>
    </w:p>
    <w:p w:rsidR="00153819" w:rsidRPr="00153819" w:rsidRDefault="00153819" w:rsidP="00153819">
      <w:pPr>
        <w:keepNext/>
        <w:tabs>
          <w:tab w:val="left" w:pos="-1560"/>
        </w:tabs>
        <w:spacing w:after="0" w:line="240" w:lineRule="auto"/>
        <w:jc w:val="both"/>
        <w:rPr>
          <w:kern w:val="22"/>
          <w:sz w:val="18"/>
          <w:szCs w:val="18"/>
        </w:rPr>
      </w:pPr>
      <w:r w:rsidRPr="00153819">
        <w:rPr>
          <w:kern w:val="22"/>
          <w:sz w:val="18"/>
          <w:szCs w:val="18"/>
        </w:rPr>
        <w:t>Fuentes:</w:t>
      </w:r>
    </w:p>
    <w:p w:rsidR="00153819" w:rsidRPr="00153819" w:rsidRDefault="00153819" w:rsidP="00153819">
      <w:pPr>
        <w:keepNext/>
        <w:tabs>
          <w:tab w:val="left" w:pos="-1560"/>
        </w:tabs>
        <w:spacing w:after="0" w:line="240" w:lineRule="auto"/>
        <w:jc w:val="both"/>
        <w:rPr>
          <w:kern w:val="22"/>
          <w:sz w:val="18"/>
          <w:szCs w:val="18"/>
        </w:rPr>
      </w:pPr>
      <w:r w:rsidRPr="00153819">
        <w:rPr>
          <w:kern w:val="22"/>
          <w:sz w:val="18"/>
          <w:szCs w:val="18"/>
        </w:rPr>
        <w:t>(a) Fuente: elaboración propia a partir de INDEC-MECON (año base 2004 y revisión 2016).</w:t>
      </w:r>
    </w:p>
    <w:p w:rsidR="00153819" w:rsidRPr="00153819" w:rsidRDefault="00153819" w:rsidP="00153819">
      <w:pPr>
        <w:keepNext/>
        <w:tabs>
          <w:tab w:val="left" w:pos="-1560"/>
        </w:tabs>
        <w:spacing w:after="0" w:line="240" w:lineRule="auto"/>
        <w:jc w:val="both"/>
        <w:rPr>
          <w:kern w:val="22"/>
          <w:sz w:val="18"/>
          <w:szCs w:val="18"/>
        </w:rPr>
      </w:pPr>
      <w:r w:rsidRPr="00153819">
        <w:rPr>
          <w:kern w:val="22"/>
          <w:sz w:val="18"/>
          <w:szCs w:val="18"/>
        </w:rPr>
        <w:t>(b) Fuente: INDEC-MECON y CELADE-CEPAL.</w:t>
      </w:r>
    </w:p>
    <w:p w:rsidR="00153819" w:rsidRPr="00153819" w:rsidRDefault="00153819" w:rsidP="00153819">
      <w:pPr>
        <w:keepNext/>
        <w:tabs>
          <w:tab w:val="left" w:pos="-1560"/>
        </w:tabs>
        <w:spacing w:after="0" w:line="240" w:lineRule="auto"/>
        <w:jc w:val="both"/>
        <w:rPr>
          <w:kern w:val="22"/>
          <w:sz w:val="18"/>
          <w:szCs w:val="18"/>
        </w:rPr>
      </w:pPr>
      <w:r w:rsidRPr="00153819">
        <w:rPr>
          <w:kern w:val="22"/>
          <w:sz w:val="18"/>
          <w:szCs w:val="18"/>
        </w:rPr>
        <w:t>(c) Fuente: 1974-2006 INDEC-MECON / 2006-2014: IPC-GB.</w:t>
      </w:r>
    </w:p>
    <w:p w:rsidR="00153819" w:rsidRPr="00153819" w:rsidRDefault="00153819" w:rsidP="00153819">
      <w:pPr>
        <w:keepNext/>
        <w:tabs>
          <w:tab w:val="left" w:pos="-1560"/>
        </w:tabs>
        <w:spacing w:after="0" w:line="240" w:lineRule="auto"/>
        <w:jc w:val="both"/>
        <w:rPr>
          <w:kern w:val="22"/>
          <w:sz w:val="18"/>
          <w:szCs w:val="18"/>
        </w:rPr>
      </w:pPr>
      <w:r w:rsidRPr="00153819">
        <w:rPr>
          <w:kern w:val="22"/>
          <w:sz w:val="18"/>
          <w:szCs w:val="18"/>
        </w:rPr>
        <w:t>(d) El primer valor incluye el período de hiperinflación (1989-1990), mientras que el segundo, lo excluye.</w:t>
      </w:r>
    </w:p>
    <w:p w:rsidR="00153819" w:rsidRPr="00153819" w:rsidRDefault="00153819" w:rsidP="00153819">
      <w:pPr>
        <w:keepNext/>
        <w:tabs>
          <w:tab w:val="left" w:pos="-1560"/>
        </w:tabs>
        <w:spacing w:after="0" w:line="240" w:lineRule="auto"/>
        <w:jc w:val="both"/>
        <w:rPr>
          <w:kern w:val="22"/>
          <w:sz w:val="18"/>
          <w:szCs w:val="18"/>
        </w:rPr>
      </w:pPr>
      <w:r w:rsidRPr="00153819">
        <w:rPr>
          <w:kern w:val="22"/>
          <w:sz w:val="18"/>
          <w:szCs w:val="18"/>
        </w:rPr>
        <w:t>(e) Fuente: INDEC-MECON</w:t>
      </w:r>
    </w:p>
    <w:p w:rsidR="00153819" w:rsidRPr="00153819" w:rsidRDefault="00153819" w:rsidP="00153819">
      <w:pPr>
        <w:keepNext/>
        <w:tabs>
          <w:tab w:val="left" w:pos="-1560"/>
        </w:tabs>
        <w:spacing w:after="0" w:line="240" w:lineRule="auto"/>
        <w:jc w:val="both"/>
        <w:rPr>
          <w:kern w:val="22"/>
          <w:sz w:val="18"/>
          <w:szCs w:val="18"/>
        </w:rPr>
      </w:pPr>
      <w:r w:rsidRPr="00153819">
        <w:rPr>
          <w:kern w:val="22"/>
          <w:sz w:val="18"/>
          <w:szCs w:val="18"/>
        </w:rPr>
        <w:t>(f) Fuente: INDEC-MECON.</w:t>
      </w:r>
    </w:p>
    <w:p w:rsidR="00153819" w:rsidRPr="00153819" w:rsidRDefault="00153819" w:rsidP="00153819">
      <w:pPr>
        <w:keepNext/>
        <w:tabs>
          <w:tab w:val="left" w:pos="-1560"/>
        </w:tabs>
        <w:spacing w:after="0" w:line="240" w:lineRule="auto"/>
        <w:jc w:val="both"/>
        <w:rPr>
          <w:kern w:val="22"/>
          <w:sz w:val="18"/>
          <w:szCs w:val="18"/>
        </w:rPr>
      </w:pPr>
      <w:r w:rsidRPr="00153819">
        <w:rPr>
          <w:kern w:val="22"/>
          <w:sz w:val="18"/>
          <w:szCs w:val="18"/>
        </w:rPr>
        <w:t xml:space="preserve">(g) Fuente: 1970-2004 </w:t>
      </w:r>
      <w:proofErr w:type="spellStart"/>
      <w:r w:rsidRPr="00153819">
        <w:rPr>
          <w:kern w:val="22"/>
          <w:sz w:val="18"/>
          <w:szCs w:val="18"/>
        </w:rPr>
        <w:t>Ferreres</w:t>
      </w:r>
      <w:proofErr w:type="spellEnd"/>
      <w:r w:rsidRPr="00153819">
        <w:rPr>
          <w:kern w:val="22"/>
          <w:sz w:val="18"/>
          <w:szCs w:val="18"/>
        </w:rPr>
        <w:t xml:space="preserve"> (2004); 2004-2014: Cuenta Ahorro Inversión Financiamiento (Oficina Nacional de Presupuesto-MECON).</w:t>
      </w:r>
    </w:p>
    <w:p w:rsidR="00153819" w:rsidRPr="00153819" w:rsidRDefault="00153819" w:rsidP="00153819">
      <w:pPr>
        <w:keepNext/>
        <w:tabs>
          <w:tab w:val="left" w:pos="-1560"/>
        </w:tabs>
        <w:spacing w:after="0" w:line="240" w:lineRule="auto"/>
        <w:jc w:val="both"/>
        <w:rPr>
          <w:kern w:val="22"/>
          <w:sz w:val="18"/>
          <w:szCs w:val="18"/>
        </w:rPr>
      </w:pPr>
      <w:r w:rsidRPr="00153819">
        <w:rPr>
          <w:kern w:val="22"/>
          <w:sz w:val="18"/>
          <w:szCs w:val="18"/>
        </w:rPr>
        <w:t>(h) Fuente: exportaciones e importaciones: en % del PIB, surge de la serie de CEPALSTAT, empalmando los porcentajes del PIB con base 1970, 1986, 1993 y 2004.</w:t>
      </w:r>
    </w:p>
    <w:p w:rsidR="00153819" w:rsidRPr="00153819" w:rsidRDefault="00153819" w:rsidP="00153819">
      <w:pPr>
        <w:keepNext/>
        <w:tabs>
          <w:tab w:val="left" w:pos="-1560"/>
        </w:tabs>
        <w:spacing w:after="0" w:line="240" w:lineRule="auto"/>
        <w:jc w:val="both"/>
        <w:rPr>
          <w:kern w:val="22"/>
          <w:sz w:val="18"/>
          <w:szCs w:val="18"/>
        </w:rPr>
      </w:pPr>
      <w:r w:rsidRPr="00153819">
        <w:rPr>
          <w:kern w:val="22"/>
          <w:sz w:val="18"/>
          <w:szCs w:val="18"/>
        </w:rPr>
        <w:t>(i) Fuente: Banco Mundial (http://datos.bancomundial.org)</w:t>
      </w:r>
    </w:p>
    <w:p w:rsidR="00153819" w:rsidRPr="00153819" w:rsidRDefault="00153819" w:rsidP="00153819">
      <w:pPr>
        <w:tabs>
          <w:tab w:val="left" w:pos="-1560"/>
        </w:tabs>
        <w:spacing w:after="360" w:line="240" w:lineRule="auto"/>
        <w:jc w:val="both"/>
        <w:rPr>
          <w:kern w:val="22"/>
          <w:sz w:val="18"/>
          <w:szCs w:val="18"/>
        </w:rPr>
      </w:pPr>
      <w:r w:rsidRPr="00153819">
        <w:rPr>
          <w:kern w:val="22"/>
          <w:sz w:val="18"/>
          <w:szCs w:val="18"/>
        </w:rPr>
        <w:t>(j) Fuente: INDEC-MECON.</w:t>
      </w:r>
    </w:p>
    <w:p w:rsidR="00984C95" w:rsidRPr="00483AEE" w:rsidRDefault="00CC437B" w:rsidP="00483AEE">
      <w:pPr>
        <w:tabs>
          <w:tab w:val="left" w:pos="-1560"/>
        </w:tabs>
        <w:spacing w:after="120" w:line="360" w:lineRule="auto"/>
        <w:jc w:val="both"/>
        <w:rPr>
          <w:kern w:val="22"/>
          <w:szCs w:val="24"/>
        </w:rPr>
      </w:pPr>
      <w:r w:rsidRPr="00483AEE">
        <w:rPr>
          <w:kern w:val="22"/>
          <w:szCs w:val="24"/>
        </w:rPr>
        <w:t xml:space="preserve">La reproducción de este modelo </w:t>
      </w:r>
      <w:r w:rsidR="00984C95" w:rsidRPr="00483AEE">
        <w:rPr>
          <w:kern w:val="22"/>
          <w:szCs w:val="24"/>
        </w:rPr>
        <w:t xml:space="preserve">se </w:t>
      </w:r>
      <w:r w:rsidRPr="00483AEE">
        <w:rPr>
          <w:kern w:val="22"/>
          <w:szCs w:val="24"/>
        </w:rPr>
        <w:t xml:space="preserve">interrumpió </w:t>
      </w:r>
      <w:r w:rsidR="00984C95" w:rsidRPr="00483AEE">
        <w:rPr>
          <w:kern w:val="22"/>
          <w:szCs w:val="24"/>
        </w:rPr>
        <w:t>en los años 70</w:t>
      </w:r>
      <w:r w:rsidR="005A1AB1" w:rsidRPr="00483AEE">
        <w:rPr>
          <w:kern w:val="22"/>
          <w:szCs w:val="24"/>
        </w:rPr>
        <w:t>s</w:t>
      </w:r>
      <w:r w:rsidR="001B7498" w:rsidRPr="00483AEE">
        <w:rPr>
          <w:kern w:val="22"/>
          <w:szCs w:val="24"/>
        </w:rPr>
        <w:t xml:space="preserve"> </w:t>
      </w:r>
      <w:r w:rsidR="00984C95" w:rsidRPr="00483AEE">
        <w:rPr>
          <w:kern w:val="22"/>
          <w:szCs w:val="24"/>
        </w:rPr>
        <w:t xml:space="preserve">en el contexto de </w:t>
      </w:r>
      <w:r w:rsidRPr="00483AEE">
        <w:rPr>
          <w:kern w:val="22"/>
          <w:szCs w:val="24"/>
        </w:rPr>
        <w:t>la</w:t>
      </w:r>
      <w:r w:rsidR="00984C95" w:rsidRPr="00483AEE">
        <w:rPr>
          <w:kern w:val="22"/>
          <w:szCs w:val="24"/>
        </w:rPr>
        <w:t xml:space="preserve"> crisis capitalista mundial</w:t>
      </w:r>
      <w:r w:rsidR="001B7498" w:rsidRPr="00483AEE">
        <w:rPr>
          <w:kern w:val="22"/>
          <w:szCs w:val="24"/>
        </w:rPr>
        <w:t xml:space="preserve">. </w:t>
      </w:r>
      <w:r w:rsidRPr="00483AEE">
        <w:rPr>
          <w:kern w:val="22"/>
          <w:szCs w:val="24"/>
        </w:rPr>
        <w:t>D</w:t>
      </w:r>
      <w:r w:rsidR="001B7498" w:rsidRPr="00483AEE">
        <w:rPr>
          <w:kern w:val="22"/>
          <w:szCs w:val="24"/>
        </w:rPr>
        <w:t>etrás de este cambio de ten</w:t>
      </w:r>
      <w:r w:rsidR="0026357E" w:rsidRPr="00483AEE">
        <w:rPr>
          <w:kern w:val="22"/>
          <w:szCs w:val="24"/>
        </w:rPr>
        <w:t>d</w:t>
      </w:r>
      <w:r w:rsidR="001B7498" w:rsidRPr="00483AEE">
        <w:rPr>
          <w:kern w:val="22"/>
          <w:szCs w:val="24"/>
        </w:rPr>
        <w:t>encia no sólo cabe identificar un</w:t>
      </w:r>
      <w:r w:rsidR="0026357E" w:rsidRPr="00483AEE">
        <w:rPr>
          <w:kern w:val="22"/>
          <w:szCs w:val="24"/>
        </w:rPr>
        <w:t>a alteración en el</w:t>
      </w:r>
      <w:r w:rsidR="001B7498" w:rsidRPr="00483AEE">
        <w:rPr>
          <w:kern w:val="22"/>
          <w:szCs w:val="24"/>
        </w:rPr>
        <w:t xml:space="preserve"> escenario internacional, a</w:t>
      </w:r>
      <w:r w:rsidRPr="00483AEE">
        <w:rPr>
          <w:kern w:val="22"/>
          <w:szCs w:val="24"/>
        </w:rPr>
        <w:t xml:space="preserve"> </w:t>
      </w:r>
      <w:r w:rsidR="001B7498" w:rsidRPr="00483AEE">
        <w:rPr>
          <w:kern w:val="22"/>
          <w:szCs w:val="24"/>
        </w:rPr>
        <w:t>l</w:t>
      </w:r>
      <w:r w:rsidRPr="00483AEE">
        <w:rPr>
          <w:kern w:val="22"/>
          <w:szCs w:val="24"/>
        </w:rPr>
        <w:t>a</w:t>
      </w:r>
      <w:r w:rsidR="001B7498" w:rsidRPr="00483AEE">
        <w:rPr>
          <w:kern w:val="22"/>
          <w:szCs w:val="24"/>
        </w:rPr>
        <w:t xml:space="preserve"> vez que más recesivo, sino también el </w:t>
      </w:r>
      <w:r w:rsidR="00984C95" w:rsidRPr="00483AEE">
        <w:rPr>
          <w:kern w:val="22"/>
          <w:szCs w:val="24"/>
        </w:rPr>
        <w:t xml:space="preserve">propio agotamiento interno </w:t>
      </w:r>
      <w:r w:rsidR="001B7498" w:rsidRPr="00483AEE">
        <w:rPr>
          <w:kern w:val="22"/>
          <w:szCs w:val="24"/>
        </w:rPr>
        <w:t>d</w:t>
      </w:r>
      <w:r w:rsidR="00984C95" w:rsidRPr="00483AEE">
        <w:rPr>
          <w:kern w:val="22"/>
          <w:szCs w:val="24"/>
        </w:rPr>
        <w:t xml:space="preserve">el modelo de industrialización nacional, la </w:t>
      </w:r>
      <w:r w:rsidR="001B7498" w:rsidRPr="00483AEE">
        <w:rPr>
          <w:kern w:val="22"/>
          <w:szCs w:val="24"/>
        </w:rPr>
        <w:t>negativa</w:t>
      </w:r>
      <w:r w:rsidR="00984C95" w:rsidRPr="00483AEE">
        <w:rPr>
          <w:kern w:val="22"/>
          <w:szCs w:val="24"/>
        </w:rPr>
        <w:t xml:space="preserve"> </w:t>
      </w:r>
      <w:r w:rsidR="001B7498" w:rsidRPr="00483AEE">
        <w:rPr>
          <w:kern w:val="22"/>
          <w:szCs w:val="24"/>
        </w:rPr>
        <w:t>del sector primario</w:t>
      </w:r>
      <w:r w:rsidR="00984C95" w:rsidRPr="00483AEE">
        <w:rPr>
          <w:kern w:val="22"/>
          <w:szCs w:val="24"/>
        </w:rPr>
        <w:t xml:space="preserve"> para </w:t>
      </w:r>
      <w:r w:rsidR="001B7498" w:rsidRPr="00483AEE">
        <w:rPr>
          <w:kern w:val="22"/>
          <w:szCs w:val="24"/>
        </w:rPr>
        <w:t>continuar subsidiando el desarrollo industrial</w:t>
      </w:r>
      <w:r w:rsidR="00984C95" w:rsidRPr="00483AEE">
        <w:rPr>
          <w:kern w:val="22"/>
          <w:szCs w:val="24"/>
        </w:rPr>
        <w:t xml:space="preserve"> y la conflictividad </w:t>
      </w:r>
      <w:r w:rsidR="00984C95" w:rsidRPr="00483AEE">
        <w:rPr>
          <w:kern w:val="22"/>
          <w:szCs w:val="24"/>
        </w:rPr>
        <w:lastRenderedPageBreak/>
        <w:t xml:space="preserve">creciente al interior de las clases que </w:t>
      </w:r>
      <w:r w:rsidR="001B7498" w:rsidRPr="00483AEE">
        <w:rPr>
          <w:kern w:val="22"/>
          <w:szCs w:val="24"/>
        </w:rPr>
        <w:t>participaban de</w:t>
      </w:r>
      <w:r w:rsidR="00984C95" w:rsidRPr="00483AEE">
        <w:rPr>
          <w:kern w:val="22"/>
          <w:szCs w:val="24"/>
        </w:rPr>
        <w:t xml:space="preserve"> este modelo de crecimiento (</w:t>
      </w:r>
      <w:r w:rsidR="00984C95" w:rsidRPr="00483AEE">
        <w:rPr>
          <w:rFonts w:eastAsia="Times New Roman"/>
          <w:bCs/>
          <w:szCs w:val="24"/>
          <w:lang w:val="es-ES" w:eastAsia="es-ES"/>
        </w:rPr>
        <w:t>Basualdo, 2010; O’Donnell, 1976; Portantiero, 1977</w:t>
      </w:r>
      <w:r w:rsidR="00984C95" w:rsidRPr="00483AEE">
        <w:rPr>
          <w:kern w:val="22"/>
          <w:szCs w:val="24"/>
        </w:rPr>
        <w:t xml:space="preserve">). A partir de </w:t>
      </w:r>
      <w:r w:rsidRPr="00483AEE">
        <w:rPr>
          <w:kern w:val="22"/>
          <w:szCs w:val="24"/>
        </w:rPr>
        <w:t>ese momento</w:t>
      </w:r>
      <w:r w:rsidR="00984C95" w:rsidRPr="00483AEE">
        <w:rPr>
          <w:kern w:val="22"/>
          <w:szCs w:val="24"/>
        </w:rPr>
        <w:t xml:space="preserve">, los ciclos económicos habrían sido más inestables, a la vez que sus efectos sociales habrían sido cada vez más regresivos, tal como las </w:t>
      </w:r>
      <w:r w:rsidR="00BE7D8D" w:rsidRPr="00483AEE">
        <w:rPr>
          <w:kern w:val="22"/>
          <w:szCs w:val="24"/>
        </w:rPr>
        <w:t>Gráfica</w:t>
      </w:r>
      <w:r w:rsidR="00984C95" w:rsidRPr="00483AEE">
        <w:rPr>
          <w:kern w:val="22"/>
          <w:szCs w:val="24"/>
        </w:rPr>
        <w:t xml:space="preserve">s </w:t>
      </w:r>
      <w:r w:rsidR="00BE7D8D" w:rsidRPr="00483AEE">
        <w:rPr>
          <w:kern w:val="22"/>
          <w:szCs w:val="24"/>
        </w:rPr>
        <w:t>2.</w:t>
      </w:r>
      <w:r w:rsidR="00984C95" w:rsidRPr="00483AEE">
        <w:rPr>
          <w:kern w:val="22"/>
          <w:szCs w:val="24"/>
        </w:rPr>
        <w:t>1 y 2</w:t>
      </w:r>
      <w:r w:rsidR="00BE7D8D" w:rsidRPr="00483AEE">
        <w:rPr>
          <w:kern w:val="22"/>
          <w:szCs w:val="24"/>
        </w:rPr>
        <w:t>.2</w:t>
      </w:r>
      <w:r w:rsidR="00984C95" w:rsidRPr="00483AEE">
        <w:rPr>
          <w:kern w:val="22"/>
          <w:szCs w:val="24"/>
        </w:rPr>
        <w:t xml:space="preserve"> muestran en materia de crecimiento y desigualdad distributiva. </w:t>
      </w:r>
    </w:p>
    <w:p w:rsidR="008B082A" w:rsidRPr="00483AEE" w:rsidRDefault="009F6307" w:rsidP="00153819">
      <w:pPr>
        <w:spacing w:before="360" w:after="120" w:line="360" w:lineRule="auto"/>
        <w:ind w:left="357"/>
        <w:jc w:val="center"/>
        <w:rPr>
          <w:szCs w:val="24"/>
          <w:u w:val="single"/>
        </w:rPr>
      </w:pPr>
      <w:r w:rsidRPr="00483AEE">
        <w:rPr>
          <w:szCs w:val="24"/>
          <w:u w:val="single"/>
        </w:rPr>
        <w:t xml:space="preserve">Agotamiento </w:t>
      </w:r>
      <w:r w:rsidR="008B7100" w:rsidRPr="00483AEE">
        <w:rPr>
          <w:szCs w:val="24"/>
          <w:u w:val="single"/>
        </w:rPr>
        <w:t xml:space="preserve">del Modelo </w:t>
      </w:r>
      <w:r w:rsidR="008B082A" w:rsidRPr="00483AEE">
        <w:rPr>
          <w:szCs w:val="24"/>
          <w:u w:val="single"/>
        </w:rPr>
        <w:t xml:space="preserve">Industrial Sustitutivo </w:t>
      </w:r>
    </w:p>
    <w:p w:rsidR="00914D1F" w:rsidRPr="00483AEE" w:rsidRDefault="00914D1F" w:rsidP="00483AEE">
      <w:pPr>
        <w:tabs>
          <w:tab w:val="left" w:pos="-1560"/>
        </w:tabs>
        <w:spacing w:after="120" w:line="360" w:lineRule="auto"/>
        <w:jc w:val="both"/>
        <w:rPr>
          <w:kern w:val="22"/>
          <w:szCs w:val="24"/>
        </w:rPr>
      </w:pPr>
      <w:r w:rsidRPr="00483AEE">
        <w:rPr>
          <w:kern w:val="22"/>
          <w:szCs w:val="24"/>
        </w:rPr>
        <w:t xml:space="preserve">A fin de comprender mejor </w:t>
      </w:r>
      <w:r w:rsidR="008B7100" w:rsidRPr="00483AEE">
        <w:rPr>
          <w:kern w:val="22"/>
          <w:szCs w:val="24"/>
        </w:rPr>
        <w:t>la magnitud de los cambios ocurridos en el país a partir de esta etapa</w:t>
      </w:r>
      <w:r w:rsidRPr="00483AEE">
        <w:rPr>
          <w:kern w:val="22"/>
          <w:szCs w:val="24"/>
        </w:rPr>
        <w:t xml:space="preserve">, conviene </w:t>
      </w:r>
      <w:r w:rsidR="008B7100" w:rsidRPr="00483AEE">
        <w:rPr>
          <w:kern w:val="22"/>
          <w:szCs w:val="24"/>
        </w:rPr>
        <w:t>destacar</w:t>
      </w:r>
      <w:r w:rsidRPr="00483AEE">
        <w:rPr>
          <w:kern w:val="22"/>
          <w:szCs w:val="24"/>
        </w:rPr>
        <w:t xml:space="preserve"> que, entre los años treinta y mediados de los setenta,</w:t>
      </w:r>
      <w:r w:rsidR="008B7100" w:rsidRPr="00483AEE">
        <w:rPr>
          <w:kern w:val="22"/>
          <w:szCs w:val="24"/>
        </w:rPr>
        <w:t xml:space="preserve"> el modelo de industrialización sustitutiva</w:t>
      </w:r>
      <w:r w:rsidRPr="00483AEE">
        <w:rPr>
          <w:kern w:val="22"/>
          <w:szCs w:val="24"/>
        </w:rPr>
        <w:t xml:space="preserve"> había sido capaz de generar: (a) una situación de pleno empleo</w:t>
      </w:r>
      <w:r w:rsidR="008B7100" w:rsidRPr="00483AEE">
        <w:rPr>
          <w:kern w:val="22"/>
          <w:szCs w:val="24"/>
        </w:rPr>
        <w:t xml:space="preserve"> urbano</w:t>
      </w:r>
      <w:r w:rsidRPr="00483AEE">
        <w:rPr>
          <w:kern w:val="22"/>
          <w:szCs w:val="24"/>
        </w:rPr>
        <w:t>; (b) baja dispersión de las remuneraciones entre los trabajadores; (c) participación incremental de los asalariados en la distribución funcional del ingreso (Kennedy, 2012); y (d) una heterogeneidad estructural “moderada” en relación con el resto de los países latinoamericanos (Di Filippo y Jadue, 1976; Pinto, 197</w:t>
      </w:r>
      <w:r w:rsidR="00FC127B" w:rsidRPr="00483AEE">
        <w:rPr>
          <w:kern w:val="22"/>
          <w:szCs w:val="24"/>
        </w:rPr>
        <w:t>6</w:t>
      </w:r>
      <w:r w:rsidRPr="00483AEE">
        <w:rPr>
          <w:kern w:val="22"/>
          <w:szCs w:val="24"/>
        </w:rPr>
        <w:t xml:space="preserve">). </w:t>
      </w:r>
    </w:p>
    <w:p w:rsidR="009B274D" w:rsidRPr="00483AEE" w:rsidRDefault="00914D1F" w:rsidP="00483AEE">
      <w:pPr>
        <w:tabs>
          <w:tab w:val="left" w:pos="-1560"/>
        </w:tabs>
        <w:spacing w:after="120" w:line="360" w:lineRule="auto"/>
        <w:jc w:val="both"/>
        <w:rPr>
          <w:kern w:val="22"/>
          <w:szCs w:val="24"/>
        </w:rPr>
      </w:pPr>
      <w:r w:rsidRPr="00483AEE">
        <w:rPr>
          <w:kern w:val="22"/>
          <w:szCs w:val="24"/>
        </w:rPr>
        <w:t>En este contexto, l</w:t>
      </w:r>
      <w:r w:rsidR="007655BE" w:rsidRPr="00483AEE">
        <w:rPr>
          <w:kern w:val="22"/>
          <w:szCs w:val="24"/>
        </w:rPr>
        <w:t>a “segunda fase” de la ISI estuvo marcada por</w:t>
      </w:r>
      <w:r w:rsidR="000C702F" w:rsidRPr="00483AEE">
        <w:rPr>
          <w:kern w:val="22"/>
          <w:szCs w:val="24"/>
        </w:rPr>
        <w:t xml:space="preserve"> la apertura al capital extranjero</w:t>
      </w:r>
      <w:r w:rsidR="007655BE" w:rsidRPr="00483AEE">
        <w:rPr>
          <w:kern w:val="22"/>
          <w:szCs w:val="24"/>
        </w:rPr>
        <w:t xml:space="preserve">, </w:t>
      </w:r>
      <w:r w:rsidR="00356249" w:rsidRPr="00483AEE">
        <w:rPr>
          <w:kern w:val="22"/>
          <w:szCs w:val="24"/>
        </w:rPr>
        <w:t>con lo cual el programa desarrollista esperaba</w:t>
      </w:r>
      <w:r w:rsidR="000C702F" w:rsidRPr="00483AEE">
        <w:rPr>
          <w:kern w:val="22"/>
          <w:szCs w:val="24"/>
        </w:rPr>
        <w:t xml:space="preserve"> supera</w:t>
      </w:r>
      <w:r w:rsidR="00346E9C" w:rsidRPr="00483AEE">
        <w:rPr>
          <w:kern w:val="22"/>
          <w:szCs w:val="24"/>
        </w:rPr>
        <w:t>r</w:t>
      </w:r>
      <w:r w:rsidR="000C702F" w:rsidRPr="00483AEE">
        <w:rPr>
          <w:kern w:val="22"/>
          <w:szCs w:val="24"/>
        </w:rPr>
        <w:t xml:space="preserve"> </w:t>
      </w:r>
      <w:r w:rsidR="008B7100" w:rsidRPr="00483AEE">
        <w:rPr>
          <w:kern w:val="22"/>
          <w:szCs w:val="24"/>
        </w:rPr>
        <w:t>los ciclos</w:t>
      </w:r>
      <w:r w:rsidR="008B7100" w:rsidRPr="00483AEE">
        <w:rPr>
          <w:i/>
          <w:kern w:val="22"/>
          <w:szCs w:val="24"/>
        </w:rPr>
        <w:t xml:space="preserve"> stop and </w:t>
      </w:r>
      <w:proofErr w:type="spellStart"/>
      <w:r w:rsidR="008B7100" w:rsidRPr="00483AEE">
        <w:rPr>
          <w:i/>
          <w:kern w:val="22"/>
          <w:szCs w:val="24"/>
        </w:rPr>
        <w:t>go</w:t>
      </w:r>
      <w:proofErr w:type="spellEnd"/>
      <w:r w:rsidR="008B7100" w:rsidRPr="00483AEE">
        <w:rPr>
          <w:kern w:val="22"/>
          <w:szCs w:val="24"/>
        </w:rPr>
        <w:t xml:space="preserve"> de la economía generados por </w:t>
      </w:r>
      <w:r w:rsidR="000C702F" w:rsidRPr="00483AEE">
        <w:rPr>
          <w:kern w:val="22"/>
          <w:szCs w:val="24"/>
        </w:rPr>
        <w:t>la restricción externa</w:t>
      </w:r>
      <w:r w:rsidR="00356249" w:rsidRPr="00483AEE">
        <w:rPr>
          <w:rStyle w:val="Refdenotaalpie"/>
          <w:kern w:val="22"/>
          <w:szCs w:val="24"/>
        </w:rPr>
        <w:footnoteReference w:id="4"/>
      </w:r>
      <w:r w:rsidR="00356249" w:rsidRPr="00483AEE">
        <w:rPr>
          <w:kern w:val="22"/>
          <w:szCs w:val="24"/>
        </w:rPr>
        <w:t>, la cual se veía agravada por el</w:t>
      </w:r>
      <w:r w:rsidR="009B274D" w:rsidRPr="00483AEE">
        <w:rPr>
          <w:kern w:val="22"/>
          <w:szCs w:val="24"/>
        </w:rPr>
        <w:t xml:space="preserve"> conflicto distributivo entre el sector agropecuario, el sector </w:t>
      </w:r>
      <w:r w:rsidR="00346E9C" w:rsidRPr="00483AEE">
        <w:rPr>
          <w:kern w:val="22"/>
          <w:szCs w:val="24"/>
        </w:rPr>
        <w:t>industrial</w:t>
      </w:r>
      <w:r w:rsidR="009B274D" w:rsidRPr="00483AEE">
        <w:rPr>
          <w:kern w:val="22"/>
          <w:szCs w:val="24"/>
        </w:rPr>
        <w:t xml:space="preserve"> y </w:t>
      </w:r>
      <w:r w:rsidR="00346E9C" w:rsidRPr="00483AEE">
        <w:rPr>
          <w:kern w:val="22"/>
          <w:szCs w:val="24"/>
        </w:rPr>
        <w:t>las demandas de los</w:t>
      </w:r>
      <w:r w:rsidR="009B274D" w:rsidRPr="00483AEE">
        <w:rPr>
          <w:kern w:val="22"/>
          <w:szCs w:val="24"/>
        </w:rPr>
        <w:t xml:space="preserve"> </w:t>
      </w:r>
      <w:r w:rsidR="00346E9C" w:rsidRPr="00483AEE">
        <w:rPr>
          <w:kern w:val="22"/>
          <w:szCs w:val="24"/>
        </w:rPr>
        <w:t>sindicatos obreros</w:t>
      </w:r>
      <w:r w:rsidR="000C702F" w:rsidRPr="00483AEE">
        <w:rPr>
          <w:kern w:val="22"/>
          <w:szCs w:val="24"/>
        </w:rPr>
        <w:t xml:space="preserve">. </w:t>
      </w:r>
      <w:r w:rsidR="00356249" w:rsidRPr="00483AEE">
        <w:rPr>
          <w:kern w:val="22"/>
          <w:szCs w:val="24"/>
        </w:rPr>
        <w:t>Era de esperar que</w:t>
      </w:r>
      <w:r w:rsidR="008B7100" w:rsidRPr="00483AEE">
        <w:rPr>
          <w:kern w:val="22"/>
          <w:szCs w:val="24"/>
        </w:rPr>
        <w:t xml:space="preserve"> </w:t>
      </w:r>
      <w:r w:rsidR="000C702F" w:rsidRPr="00483AEE">
        <w:rPr>
          <w:kern w:val="22"/>
          <w:szCs w:val="24"/>
        </w:rPr>
        <w:t xml:space="preserve">un </w:t>
      </w:r>
      <w:r w:rsidR="007655BE" w:rsidRPr="00483AEE">
        <w:rPr>
          <w:kern w:val="22"/>
          <w:szCs w:val="24"/>
        </w:rPr>
        <w:t>“</w:t>
      </w:r>
      <w:r w:rsidR="000C702F" w:rsidRPr="00483AEE">
        <w:rPr>
          <w:kern w:val="22"/>
          <w:szCs w:val="24"/>
        </w:rPr>
        <w:t>shock</w:t>
      </w:r>
      <w:r w:rsidR="007655BE" w:rsidRPr="00483AEE">
        <w:rPr>
          <w:kern w:val="22"/>
          <w:szCs w:val="24"/>
        </w:rPr>
        <w:t>”</w:t>
      </w:r>
      <w:r w:rsidR="000C702F" w:rsidRPr="00483AEE">
        <w:rPr>
          <w:kern w:val="22"/>
          <w:szCs w:val="24"/>
        </w:rPr>
        <w:t xml:space="preserve"> de capital </w:t>
      </w:r>
      <w:r w:rsidR="00356249" w:rsidRPr="00483AEE">
        <w:rPr>
          <w:kern w:val="22"/>
          <w:szCs w:val="24"/>
        </w:rPr>
        <w:t xml:space="preserve">externo </w:t>
      </w:r>
      <w:r w:rsidR="00A34F72" w:rsidRPr="00483AEE">
        <w:rPr>
          <w:kern w:val="22"/>
          <w:szCs w:val="24"/>
        </w:rPr>
        <w:t>fomentara</w:t>
      </w:r>
      <w:r w:rsidR="00356249" w:rsidRPr="00483AEE">
        <w:rPr>
          <w:kern w:val="22"/>
          <w:szCs w:val="24"/>
        </w:rPr>
        <w:t xml:space="preserve"> la industria básica y generara un </w:t>
      </w:r>
      <w:r w:rsidR="000C702F" w:rsidRPr="00483AEE">
        <w:rPr>
          <w:kern w:val="22"/>
          <w:szCs w:val="24"/>
        </w:rPr>
        <w:t xml:space="preserve">salto </w:t>
      </w:r>
      <w:r w:rsidR="00356249" w:rsidRPr="00483AEE">
        <w:rPr>
          <w:kern w:val="22"/>
          <w:szCs w:val="24"/>
        </w:rPr>
        <w:t xml:space="preserve">general </w:t>
      </w:r>
      <w:r w:rsidR="000C702F" w:rsidRPr="00483AEE">
        <w:rPr>
          <w:kern w:val="22"/>
          <w:szCs w:val="24"/>
        </w:rPr>
        <w:t>de productividad</w:t>
      </w:r>
      <w:r w:rsidR="00356249" w:rsidRPr="00483AEE">
        <w:rPr>
          <w:kern w:val="22"/>
          <w:szCs w:val="24"/>
        </w:rPr>
        <w:t xml:space="preserve">, lo cual </w:t>
      </w:r>
      <w:r w:rsidR="00A34F72" w:rsidRPr="00483AEE">
        <w:rPr>
          <w:kern w:val="22"/>
          <w:szCs w:val="24"/>
        </w:rPr>
        <w:t xml:space="preserve">permitiría -en el marco del modelo sustitutivo- regular los desequilibrios macroeconómicos cíclicos </w:t>
      </w:r>
      <w:r w:rsidR="000C702F" w:rsidRPr="00483AEE">
        <w:rPr>
          <w:szCs w:val="24"/>
        </w:rPr>
        <w:t>(</w:t>
      </w:r>
      <w:proofErr w:type="spellStart"/>
      <w:r w:rsidR="000C702F" w:rsidRPr="00483AEE">
        <w:rPr>
          <w:szCs w:val="24"/>
        </w:rPr>
        <w:t>Mallon</w:t>
      </w:r>
      <w:proofErr w:type="spellEnd"/>
      <w:r w:rsidR="000C702F" w:rsidRPr="00483AEE">
        <w:rPr>
          <w:szCs w:val="24"/>
        </w:rPr>
        <w:t xml:space="preserve"> y Sourrouille, 1973: 30)</w:t>
      </w:r>
      <w:r w:rsidR="000C702F" w:rsidRPr="00483AEE">
        <w:rPr>
          <w:kern w:val="22"/>
          <w:szCs w:val="24"/>
        </w:rPr>
        <w:t xml:space="preserve">. </w:t>
      </w:r>
    </w:p>
    <w:p w:rsidR="00A34F72" w:rsidRPr="00483AEE" w:rsidRDefault="00356249" w:rsidP="00483AEE">
      <w:pPr>
        <w:tabs>
          <w:tab w:val="left" w:pos="-1560"/>
        </w:tabs>
        <w:spacing w:after="120" w:line="360" w:lineRule="auto"/>
        <w:jc w:val="both"/>
        <w:rPr>
          <w:kern w:val="22"/>
          <w:szCs w:val="24"/>
        </w:rPr>
      </w:pPr>
      <w:r w:rsidRPr="00483AEE">
        <w:rPr>
          <w:kern w:val="22"/>
          <w:szCs w:val="24"/>
        </w:rPr>
        <w:t>Si bien e</w:t>
      </w:r>
      <w:r w:rsidR="000C702F" w:rsidRPr="00483AEE">
        <w:rPr>
          <w:kern w:val="22"/>
          <w:szCs w:val="24"/>
        </w:rPr>
        <w:t xml:space="preserve">l carácter capital-intensivo de esta segunda industrialización se tradujo en una menor demanda relativa de fuerza de trabajo </w:t>
      </w:r>
      <w:r w:rsidR="00346E9C" w:rsidRPr="00483AEE">
        <w:rPr>
          <w:kern w:val="22"/>
          <w:szCs w:val="24"/>
        </w:rPr>
        <w:t>en</w:t>
      </w:r>
      <w:r w:rsidR="00A34F72" w:rsidRPr="00483AEE">
        <w:rPr>
          <w:kern w:val="22"/>
          <w:szCs w:val="24"/>
        </w:rPr>
        <w:t xml:space="preserve"> el</w:t>
      </w:r>
      <w:r w:rsidR="00346E9C" w:rsidRPr="00483AEE">
        <w:rPr>
          <w:kern w:val="22"/>
          <w:szCs w:val="24"/>
        </w:rPr>
        <w:t xml:space="preserve"> </w:t>
      </w:r>
      <w:r w:rsidR="000C702F" w:rsidRPr="00483AEE">
        <w:rPr>
          <w:kern w:val="22"/>
          <w:szCs w:val="24"/>
        </w:rPr>
        <w:t>sector manufacturero</w:t>
      </w:r>
      <w:r w:rsidRPr="00483AEE">
        <w:rPr>
          <w:kern w:val="22"/>
          <w:szCs w:val="24"/>
        </w:rPr>
        <w:t>,</w:t>
      </w:r>
      <w:r w:rsidR="00346E9C" w:rsidRPr="00483AEE">
        <w:rPr>
          <w:kern w:val="22"/>
          <w:szCs w:val="24"/>
        </w:rPr>
        <w:t xml:space="preserve"> esta tendencia fue </w:t>
      </w:r>
      <w:r w:rsidRPr="00483AEE">
        <w:rPr>
          <w:kern w:val="22"/>
          <w:szCs w:val="24"/>
        </w:rPr>
        <w:t xml:space="preserve">rápidamente </w:t>
      </w:r>
      <w:r w:rsidR="000C702F" w:rsidRPr="00483AEE">
        <w:rPr>
          <w:kern w:val="22"/>
          <w:szCs w:val="24"/>
        </w:rPr>
        <w:t xml:space="preserve">compensada por una expansión del sector terciario moderno en los años sesenta (Llach, 1978). </w:t>
      </w:r>
      <w:r w:rsidR="00A34F72" w:rsidRPr="00483AEE">
        <w:rPr>
          <w:kern w:val="22"/>
          <w:szCs w:val="24"/>
        </w:rPr>
        <w:t>Esto hizo</w:t>
      </w:r>
      <w:r w:rsidR="00346E9C" w:rsidRPr="00483AEE">
        <w:rPr>
          <w:kern w:val="22"/>
          <w:szCs w:val="24"/>
        </w:rPr>
        <w:t xml:space="preserve"> posible </w:t>
      </w:r>
      <w:r w:rsidR="00A34F72" w:rsidRPr="00483AEE">
        <w:rPr>
          <w:kern w:val="22"/>
          <w:szCs w:val="24"/>
        </w:rPr>
        <w:t>que la economía siguiera funcionando bajo una situación de</w:t>
      </w:r>
      <w:r w:rsidR="00346E9C" w:rsidRPr="00483AEE">
        <w:rPr>
          <w:kern w:val="22"/>
          <w:szCs w:val="24"/>
        </w:rPr>
        <w:t xml:space="preserve"> pleno empleo y </w:t>
      </w:r>
      <w:r w:rsidR="00A34F72" w:rsidRPr="00483AEE">
        <w:rPr>
          <w:kern w:val="22"/>
          <w:szCs w:val="24"/>
        </w:rPr>
        <w:t>con una activa</w:t>
      </w:r>
      <w:r w:rsidR="00914D1F" w:rsidRPr="00483AEE">
        <w:rPr>
          <w:kern w:val="22"/>
          <w:szCs w:val="24"/>
        </w:rPr>
        <w:t xml:space="preserve"> movilidad social.</w:t>
      </w:r>
      <w:r w:rsidR="00346E9C" w:rsidRPr="00483AEE">
        <w:rPr>
          <w:kern w:val="22"/>
          <w:szCs w:val="24"/>
        </w:rPr>
        <w:t xml:space="preserve"> </w:t>
      </w:r>
      <w:r w:rsidR="00A34F72" w:rsidRPr="00483AEE">
        <w:rPr>
          <w:kern w:val="22"/>
          <w:szCs w:val="24"/>
        </w:rPr>
        <w:t>En este marco, tras</w:t>
      </w:r>
      <w:r w:rsidR="000C702F" w:rsidRPr="00483AEE">
        <w:rPr>
          <w:kern w:val="22"/>
          <w:szCs w:val="24"/>
        </w:rPr>
        <w:t xml:space="preserve"> superar </w:t>
      </w:r>
      <w:r w:rsidR="00A34F72" w:rsidRPr="00483AEE">
        <w:rPr>
          <w:kern w:val="22"/>
          <w:szCs w:val="24"/>
        </w:rPr>
        <w:t xml:space="preserve">la </w:t>
      </w:r>
      <w:r w:rsidR="000C702F" w:rsidRPr="00483AEE">
        <w:rPr>
          <w:kern w:val="22"/>
          <w:szCs w:val="24"/>
        </w:rPr>
        <w:t>crisis</w:t>
      </w:r>
      <w:r w:rsidR="00346E9C" w:rsidRPr="00483AEE">
        <w:rPr>
          <w:kern w:val="22"/>
          <w:szCs w:val="24"/>
        </w:rPr>
        <w:t xml:space="preserve"> cíclica</w:t>
      </w:r>
      <w:r w:rsidR="000C702F" w:rsidRPr="00483AEE">
        <w:rPr>
          <w:kern w:val="22"/>
          <w:szCs w:val="24"/>
        </w:rPr>
        <w:t xml:space="preserve"> de inicios de los sesenta, la economía argentina ingresó en una etapa de </w:t>
      </w:r>
      <w:r w:rsidR="000C702F" w:rsidRPr="00483AEE">
        <w:rPr>
          <w:kern w:val="22"/>
          <w:szCs w:val="24"/>
        </w:rPr>
        <w:lastRenderedPageBreak/>
        <w:t xml:space="preserve">crecimiento que permitió </w:t>
      </w:r>
      <w:r w:rsidR="00DB66E8" w:rsidRPr="00483AEE">
        <w:rPr>
          <w:kern w:val="22"/>
          <w:szCs w:val="24"/>
        </w:rPr>
        <w:t xml:space="preserve">inicialmente </w:t>
      </w:r>
      <w:r w:rsidR="000C702F" w:rsidRPr="00483AEE">
        <w:rPr>
          <w:kern w:val="22"/>
          <w:szCs w:val="24"/>
        </w:rPr>
        <w:t>una “moderación” del ciclo</w:t>
      </w:r>
      <w:r w:rsidR="00DB66E8" w:rsidRPr="00483AEE">
        <w:rPr>
          <w:i/>
          <w:kern w:val="22"/>
          <w:szCs w:val="24"/>
        </w:rPr>
        <w:t xml:space="preserve"> </w:t>
      </w:r>
      <w:r w:rsidR="00A34F72" w:rsidRPr="00483AEE">
        <w:rPr>
          <w:kern w:val="22"/>
          <w:szCs w:val="24"/>
        </w:rPr>
        <w:t>económico</w:t>
      </w:r>
      <w:r w:rsidR="00DB66E8" w:rsidRPr="00483AEE">
        <w:rPr>
          <w:kern w:val="22"/>
          <w:szCs w:val="24"/>
        </w:rPr>
        <w:t xml:space="preserve"> que imponía la restricción externa.</w:t>
      </w:r>
      <w:r w:rsidR="000C702F" w:rsidRPr="00483AEE">
        <w:rPr>
          <w:kern w:val="22"/>
          <w:szCs w:val="24"/>
        </w:rPr>
        <w:t xml:space="preserve"> Esto se debió tanto a una mayor capacidad exportadora </w:t>
      </w:r>
      <w:r w:rsidR="0026357E" w:rsidRPr="00483AEE">
        <w:rPr>
          <w:kern w:val="22"/>
          <w:szCs w:val="24"/>
        </w:rPr>
        <w:t>-</w:t>
      </w:r>
      <w:r w:rsidR="000C702F" w:rsidRPr="00483AEE">
        <w:rPr>
          <w:kern w:val="22"/>
          <w:szCs w:val="24"/>
        </w:rPr>
        <w:t xml:space="preserve">industrial y agropecuaria- </w:t>
      </w:r>
      <w:r w:rsidR="007655BE" w:rsidRPr="00483AEE">
        <w:rPr>
          <w:kern w:val="22"/>
          <w:szCs w:val="24"/>
        </w:rPr>
        <w:t>como</w:t>
      </w:r>
      <w:r w:rsidR="000C702F" w:rsidRPr="00483AEE">
        <w:rPr>
          <w:kern w:val="22"/>
          <w:szCs w:val="24"/>
        </w:rPr>
        <w:t xml:space="preserve"> a un</w:t>
      </w:r>
      <w:r w:rsidR="007655BE" w:rsidRPr="00483AEE">
        <w:rPr>
          <w:kern w:val="22"/>
          <w:szCs w:val="24"/>
        </w:rPr>
        <w:t xml:space="preserve"> creciente endeudamiento externo</w:t>
      </w:r>
      <w:r w:rsidR="000C702F" w:rsidRPr="00483AEE">
        <w:rPr>
          <w:kern w:val="22"/>
          <w:szCs w:val="24"/>
        </w:rPr>
        <w:t xml:space="preserve"> (Basualdo, 2010). </w:t>
      </w:r>
    </w:p>
    <w:p w:rsidR="000C702F" w:rsidRPr="00483AEE" w:rsidRDefault="000C702F" w:rsidP="00483AEE">
      <w:pPr>
        <w:tabs>
          <w:tab w:val="left" w:pos="-1560"/>
        </w:tabs>
        <w:spacing w:after="120" w:line="360" w:lineRule="auto"/>
        <w:jc w:val="both"/>
        <w:rPr>
          <w:kern w:val="22"/>
          <w:szCs w:val="24"/>
        </w:rPr>
      </w:pPr>
      <w:r w:rsidRPr="00483AEE">
        <w:rPr>
          <w:kern w:val="22"/>
          <w:szCs w:val="24"/>
        </w:rPr>
        <w:t>Sin embargo, la crisis</w:t>
      </w:r>
      <w:r w:rsidR="00152101" w:rsidRPr="00483AEE">
        <w:rPr>
          <w:kern w:val="22"/>
          <w:szCs w:val="24"/>
        </w:rPr>
        <w:t xml:space="preserve"> capitalista</w:t>
      </w:r>
      <w:r w:rsidRPr="00483AEE">
        <w:rPr>
          <w:kern w:val="22"/>
          <w:szCs w:val="24"/>
        </w:rPr>
        <w:t xml:space="preserve"> de los años </w:t>
      </w:r>
      <w:r w:rsidR="00EB3817" w:rsidRPr="00483AEE">
        <w:rPr>
          <w:kern w:val="22"/>
          <w:szCs w:val="24"/>
        </w:rPr>
        <w:t>70s</w:t>
      </w:r>
      <w:r w:rsidRPr="00483AEE">
        <w:rPr>
          <w:kern w:val="22"/>
          <w:szCs w:val="24"/>
        </w:rPr>
        <w:t xml:space="preserve"> </w:t>
      </w:r>
      <w:r w:rsidR="00EB3817" w:rsidRPr="00483AEE">
        <w:rPr>
          <w:kern w:val="22"/>
          <w:szCs w:val="24"/>
        </w:rPr>
        <w:t>truncó</w:t>
      </w:r>
      <w:r w:rsidRPr="00483AEE">
        <w:rPr>
          <w:kern w:val="22"/>
          <w:szCs w:val="24"/>
        </w:rPr>
        <w:t xml:space="preserve"> </w:t>
      </w:r>
      <w:r w:rsidR="00346E9C" w:rsidRPr="00483AEE">
        <w:rPr>
          <w:kern w:val="22"/>
          <w:szCs w:val="24"/>
        </w:rPr>
        <w:t>este</w:t>
      </w:r>
      <w:r w:rsidRPr="00483AEE">
        <w:rPr>
          <w:kern w:val="22"/>
          <w:szCs w:val="24"/>
        </w:rPr>
        <w:t xml:space="preserve"> </w:t>
      </w:r>
      <w:r w:rsidR="00A34F72" w:rsidRPr="00483AEE">
        <w:rPr>
          <w:kern w:val="22"/>
          <w:szCs w:val="24"/>
        </w:rPr>
        <w:t>programa de desarrollo</w:t>
      </w:r>
      <w:r w:rsidRPr="00483AEE">
        <w:rPr>
          <w:kern w:val="22"/>
          <w:szCs w:val="24"/>
        </w:rPr>
        <w:t xml:space="preserve">. </w:t>
      </w:r>
      <w:r w:rsidR="00A34F72" w:rsidRPr="00483AEE">
        <w:rPr>
          <w:kern w:val="22"/>
          <w:szCs w:val="24"/>
        </w:rPr>
        <w:t>El nuevo contexto internacional n</w:t>
      </w:r>
      <w:r w:rsidRPr="00483AEE">
        <w:rPr>
          <w:kern w:val="22"/>
          <w:szCs w:val="24"/>
        </w:rPr>
        <w:t xml:space="preserve">o sólo </w:t>
      </w:r>
      <w:r w:rsidR="00A34F72" w:rsidRPr="00483AEE">
        <w:rPr>
          <w:kern w:val="22"/>
          <w:szCs w:val="24"/>
        </w:rPr>
        <w:t>generó un aumento en</w:t>
      </w:r>
      <w:r w:rsidRPr="00483AEE">
        <w:rPr>
          <w:kern w:val="22"/>
          <w:szCs w:val="24"/>
        </w:rPr>
        <w:t xml:space="preserve"> los precios del petróleo y de los insumos derivados, sino que cayeron los precios de los productos primarios exportados por la Argentina (Iñigo Carrera, 2007), todo lo cual condujo a la aplicación de diversos “planes de estabilización”. </w:t>
      </w:r>
      <w:r w:rsidR="007A784B" w:rsidRPr="00483AEE">
        <w:rPr>
          <w:kern w:val="22"/>
          <w:szCs w:val="24"/>
        </w:rPr>
        <w:t xml:space="preserve">El </w:t>
      </w:r>
      <w:r w:rsidR="00EB3817" w:rsidRPr="00483AEE">
        <w:rPr>
          <w:kern w:val="22"/>
          <w:szCs w:val="24"/>
        </w:rPr>
        <w:t>plan</w:t>
      </w:r>
      <w:r w:rsidR="008B7100" w:rsidRPr="00483AEE">
        <w:rPr>
          <w:kern w:val="22"/>
          <w:szCs w:val="24"/>
        </w:rPr>
        <w:t xml:space="preserve"> económico</w:t>
      </w:r>
      <w:r w:rsidR="00914D1F" w:rsidRPr="00483AEE">
        <w:rPr>
          <w:kern w:val="22"/>
          <w:szCs w:val="24"/>
        </w:rPr>
        <w:t xml:space="preserve"> </w:t>
      </w:r>
      <w:r w:rsidR="008B7100" w:rsidRPr="00483AEE">
        <w:rPr>
          <w:kern w:val="22"/>
          <w:szCs w:val="24"/>
        </w:rPr>
        <w:t>conocido como</w:t>
      </w:r>
      <w:r w:rsidR="007A784B" w:rsidRPr="00483AEE">
        <w:rPr>
          <w:kern w:val="22"/>
          <w:szCs w:val="24"/>
        </w:rPr>
        <w:t xml:space="preserve"> “</w:t>
      </w:r>
      <w:proofErr w:type="spellStart"/>
      <w:r w:rsidR="007A784B" w:rsidRPr="00483AEE">
        <w:rPr>
          <w:kern w:val="22"/>
          <w:szCs w:val="24"/>
        </w:rPr>
        <w:t>Rodrigazo</w:t>
      </w:r>
      <w:proofErr w:type="spellEnd"/>
      <w:r w:rsidR="007A784B" w:rsidRPr="00483AEE">
        <w:rPr>
          <w:kern w:val="22"/>
          <w:szCs w:val="24"/>
        </w:rPr>
        <w:t xml:space="preserve">”, en medio de la crisis </w:t>
      </w:r>
      <w:r w:rsidR="00CB77C9" w:rsidRPr="00483AEE">
        <w:rPr>
          <w:kern w:val="22"/>
          <w:szCs w:val="24"/>
        </w:rPr>
        <w:t xml:space="preserve">económica y política </w:t>
      </w:r>
      <w:r w:rsidR="007A784B" w:rsidRPr="00483AEE">
        <w:rPr>
          <w:kern w:val="22"/>
          <w:szCs w:val="24"/>
        </w:rPr>
        <w:t>que afectaba al gobierno justicialista de Isabel Martínez de Perón</w:t>
      </w:r>
      <w:r w:rsidR="00616920" w:rsidRPr="00483AEE">
        <w:rPr>
          <w:kern w:val="22"/>
          <w:szCs w:val="24"/>
        </w:rPr>
        <w:t xml:space="preserve"> (1974-1976)</w:t>
      </w:r>
      <w:r w:rsidR="007A784B" w:rsidRPr="00483AEE">
        <w:rPr>
          <w:kern w:val="22"/>
          <w:szCs w:val="24"/>
        </w:rPr>
        <w:t xml:space="preserve">, </w:t>
      </w:r>
      <w:r w:rsidR="00A34F72" w:rsidRPr="00483AEE">
        <w:rPr>
          <w:kern w:val="22"/>
          <w:szCs w:val="24"/>
        </w:rPr>
        <w:t>resultó en</w:t>
      </w:r>
      <w:r w:rsidR="007A784B" w:rsidRPr="00483AEE">
        <w:rPr>
          <w:kern w:val="22"/>
          <w:szCs w:val="24"/>
        </w:rPr>
        <w:t xml:space="preserve"> </w:t>
      </w:r>
      <w:r w:rsidR="00A34F72" w:rsidRPr="00483AEE">
        <w:rPr>
          <w:kern w:val="22"/>
          <w:szCs w:val="24"/>
        </w:rPr>
        <w:t>un intento fallido</w:t>
      </w:r>
      <w:r w:rsidR="008B7100" w:rsidRPr="00483AEE">
        <w:rPr>
          <w:kern w:val="22"/>
          <w:szCs w:val="24"/>
        </w:rPr>
        <w:t xml:space="preserve"> </w:t>
      </w:r>
      <w:r w:rsidR="00A34F72" w:rsidRPr="00483AEE">
        <w:rPr>
          <w:kern w:val="22"/>
          <w:szCs w:val="24"/>
        </w:rPr>
        <w:t>por la resistencia impuesta por los sindicatos</w:t>
      </w:r>
      <w:r w:rsidR="007A784B" w:rsidRPr="00483AEE">
        <w:rPr>
          <w:kern w:val="22"/>
          <w:szCs w:val="24"/>
        </w:rPr>
        <w:t>.</w:t>
      </w:r>
      <w:r w:rsidR="006064E4" w:rsidRPr="00483AEE">
        <w:rPr>
          <w:kern w:val="22"/>
          <w:szCs w:val="24"/>
        </w:rPr>
        <w:t xml:space="preserve"> Unos meses después llegaría el golpe militar de 1976.</w:t>
      </w:r>
      <w:r w:rsidR="007A784B" w:rsidRPr="00483AEE">
        <w:rPr>
          <w:rStyle w:val="Refdenotaalpie"/>
          <w:szCs w:val="24"/>
        </w:rPr>
        <w:t xml:space="preserve"> </w:t>
      </w:r>
      <w:r w:rsidR="007A784B" w:rsidRPr="00483AEE">
        <w:rPr>
          <w:rStyle w:val="Refdenotaalpie"/>
          <w:szCs w:val="24"/>
        </w:rPr>
        <w:footnoteReference w:id="5"/>
      </w:r>
    </w:p>
    <w:p w:rsidR="008B7100" w:rsidRPr="00483AEE" w:rsidRDefault="006064E4" w:rsidP="00483AEE">
      <w:pPr>
        <w:tabs>
          <w:tab w:val="left" w:pos="-1560"/>
        </w:tabs>
        <w:spacing w:after="120" w:line="360" w:lineRule="auto"/>
        <w:jc w:val="both"/>
        <w:rPr>
          <w:szCs w:val="24"/>
        </w:rPr>
      </w:pPr>
      <w:r w:rsidRPr="00483AEE">
        <w:rPr>
          <w:szCs w:val="24"/>
        </w:rPr>
        <w:t>El programa del</w:t>
      </w:r>
      <w:r w:rsidR="000C702F" w:rsidRPr="00483AEE">
        <w:rPr>
          <w:szCs w:val="24"/>
        </w:rPr>
        <w:t xml:space="preserve"> gobierno</w:t>
      </w:r>
      <w:r w:rsidR="009F6307" w:rsidRPr="00483AEE">
        <w:rPr>
          <w:szCs w:val="24"/>
        </w:rPr>
        <w:t xml:space="preserve"> </w:t>
      </w:r>
      <w:r w:rsidR="000C702F" w:rsidRPr="00483AEE">
        <w:rPr>
          <w:szCs w:val="24"/>
        </w:rPr>
        <w:t>militar</w:t>
      </w:r>
      <w:r w:rsidR="009F6307" w:rsidRPr="00483AEE">
        <w:rPr>
          <w:szCs w:val="24"/>
        </w:rPr>
        <w:t xml:space="preserve"> (1976-</w:t>
      </w:r>
      <w:r w:rsidR="009829E9" w:rsidRPr="00483AEE">
        <w:rPr>
          <w:szCs w:val="24"/>
        </w:rPr>
        <w:t>1983</w:t>
      </w:r>
      <w:r w:rsidR="009F6307" w:rsidRPr="00483AEE">
        <w:rPr>
          <w:szCs w:val="24"/>
        </w:rPr>
        <w:t>)</w:t>
      </w:r>
      <w:r w:rsidR="007218E3" w:rsidRPr="00483AEE">
        <w:rPr>
          <w:szCs w:val="24"/>
        </w:rPr>
        <w:t xml:space="preserve"> </w:t>
      </w:r>
      <w:r w:rsidRPr="00483AEE">
        <w:rPr>
          <w:szCs w:val="24"/>
        </w:rPr>
        <w:t>apuntó</w:t>
      </w:r>
      <w:r w:rsidR="007218E3" w:rsidRPr="00483AEE">
        <w:rPr>
          <w:szCs w:val="24"/>
        </w:rPr>
        <w:t xml:space="preserve"> tanto a </w:t>
      </w:r>
      <w:r w:rsidR="000060FA" w:rsidRPr="00483AEE">
        <w:rPr>
          <w:szCs w:val="24"/>
        </w:rPr>
        <w:t>la</w:t>
      </w:r>
      <w:r w:rsidR="007218E3" w:rsidRPr="00483AEE">
        <w:rPr>
          <w:szCs w:val="24"/>
        </w:rPr>
        <w:t xml:space="preserve"> rápida estabilización</w:t>
      </w:r>
      <w:r w:rsidR="000060FA" w:rsidRPr="00483AEE">
        <w:rPr>
          <w:szCs w:val="24"/>
        </w:rPr>
        <w:t xml:space="preserve"> de la situación económica, así como también a una redefinición de</w:t>
      </w:r>
      <w:r w:rsidR="000C702F" w:rsidRPr="00483AEE">
        <w:rPr>
          <w:szCs w:val="24"/>
        </w:rPr>
        <w:t xml:space="preserve">l </w:t>
      </w:r>
      <w:r w:rsidR="007218E3" w:rsidRPr="00483AEE">
        <w:rPr>
          <w:szCs w:val="24"/>
        </w:rPr>
        <w:t>régimen</w:t>
      </w:r>
      <w:r w:rsidR="000C702F" w:rsidRPr="00483AEE">
        <w:rPr>
          <w:szCs w:val="24"/>
        </w:rPr>
        <w:t xml:space="preserve"> de acumulación</w:t>
      </w:r>
      <w:r w:rsidR="007218E3" w:rsidRPr="00483AEE">
        <w:rPr>
          <w:szCs w:val="24"/>
        </w:rPr>
        <w:t xml:space="preserve"> fundado </w:t>
      </w:r>
      <w:r w:rsidR="000060FA" w:rsidRPr="00483AEE">
        <w:rPr>
          <w:szCs w:val="24"/>
        </w:rPr>
        <w:t>en la sustitución de importaciones</w:t>
      </w:r>
      <w:r w:rsidR="000C702F" w:rsidRPr="00483AEE">
        <w:rPr>
          <w:szCs w:val="24"/>
        </w:rPr>
        <w:t xml:space="preserve"> (</w:t>
      </w:r>
      <w:proofErr w:type="spellStart"/>
      <w:r w:rsidR="000C702F" w:rsidRPr="00483AEE">
        <w:rPr>
          <w:szCs w:val="24"/>
        </w:rPr>
        <w:t>Canitrot</w:t>
      </w:r>
      <w:proofErr w:type="spellEnd"/>
      <w:r w:rsidR="000C702F" w:rsidRPr="00483AEE">
        <w:rPr>
          <w:szCs w:val="24"/>
        </w:rPr>
        <w:t>, 1981</w:t>
      </w:r>
      <w:r w:rsidR="00603313" w:rsidRPr="00483AEE">
        <w:rPr>
          <w:szCs w:val="24"/>
        </w:rPr>
        <w:t>; Salvia, 198</w:t>
      </w:r>
      <w:r w:rsidR="00251B0A" w:rsidRPr="00483AEE">
        <w:rPr>
          <w:szCs w:val="24"/>
        </w:rPr>
        <w:t>3</w:t>
      </w:r>
      <w:r w:rsidR="000C702F" w:rsidRPr="00483AEE">
        <w:rPr>
          <w:szCs w:val="24"/>
        </w:rPr>
        <w:t xml:space="preserve">). En primer lugar, el congelamiento salarial </w:t>
      </w:r>
      <w:r w:rsidR="008B7100" w:rsidRPr="00483AEE">
        <w:rPr>
          <w:szCs w:val="24"/>
        </w:rPr>
        <w:t>y la</w:t>
      </w:r>
      <w:r w:rsidR="000C702F" w:rsidRPr="00483AEE">
        <w:rPr>
          <w:szCs w:val="24"/>
        </w:rPr>
        <w:t xml:space="preserve"> liberación de precios produj</w:t>
      </w:r>
      <w:r w:rsidR="008B7100" w:rsidRPr="00483AEE">
        <w:rPr>
          <w:szCs w:val="24"/>
        </w:rPr>
        <w:t>eron</w:t>
      </w:r>
      <w:r w:rsidR="000C702F" w:rsidRPr="00483AEE">
        <w:rPr>
          <w:szCs w:val="24"/>
        </w:rPr>
        <w:t xml:space="preserve"> una fuerte traslación de ingresos desde los trabajadores </w:t>
      </w:r>
      <w:r w:rsidR="00596852" w:rsidRPr="00483AEE">
        <w:rPr>
          <w:szCs w:val="24"/>
        </w:rPr>
        <w:t>hacia las empresas</w:t>
      </w:r>
      <w:r w:rsidR="000C702F" w:rsidRPr="00483AEE">
        <w:rPr>
          <w:szCs w:val="24"/>
        </w:rPr>
        <w:t xml:space="preserve">. En segundo lugar, el cambio en las regulaciones y los subsidios vinculados al comercio exterior, implicaron la reducción de la protección a las importaciones y el progresivo pasaje a una economía “abierta” (Azpiazu, Basualdo y </w:t>
      </w:r>
      <w:proofErr w:type="spellStart"/>
      <w:r w:rsidR="000C702F" w:rsidRPr="00483AEE">
        <w:rPr>
          <w:szCs w:val="24"/>
        </w:rPr>
        <w:t>Khavisse</w:t>
      </w:r>
      <w:proofErr w:type="spellEnd"/>
      <w:r w:rsidR="000C702F" w:rsidRPr="00483AEE">
        <w:rPr>
          <w:szCs w:val="24"/>
        </w:rPr>
        <w:t>, 2004). En tercer lugar, la “reforma financiera” de mediados de 1977 interrumpió el ciclo de financiamiento industrial a partir de la tasa de interés real negativa que había primado en la Posguerra (</w:t>
      </w:r>
      <w:proofErr w:type="spellStart"/>
      <w:r w:rsidR="000C702F" w:rsidRPr="00483AEE">
        <w:rPr>
          <w:szCs w:val="24"/>
        </w:rPr>
        <w:t>Canitrot</w:t>
      </w:r>
      <w:proofErr w:type="spellEnd"/>
      <w:r w:rsidR="000C702F" w:rsidRPr="00483AEE">
        <w:rPr>
          <w:szCs w:val="24"/>
        </w:rPr>
        <w:t>, 1981; Iñigo Carrera, 2007). Este programa se complementó, a su vez, con la apertura comercial, a partir de 1978, con el propósito de hacer converger los precios internos con la inflación internacional (mediante la aplicación del “enfoque monetario del balance de pagos”)</w:t>
      </w:r>
      <w:r w:rsidR="00152101" w:rsidRPr="00483AEE">
        <w:rPr>
          <w:szCs w:val="24"/>
        </w:rPr>
        <w:t>.</w:t>
      </w:r>
      <w:r w:rsidR="000C702F" w:rsidRPr="00483AEE">
        <w:rPr>
          <w:rStyle w:val="Refdenotaalpie"/>
          <w:szCs w:val="24"/>
        </w:rPr>
        <w:footnoteReference w:id="6"/>
      </w:r>
      <w:r w:rsidR="000C702F" w:rsidRPr="00483AEE">
        <w:rPr>
          <w:szCs w:val="24"/>
        </w:rPr>
        <w:t xml:space="preserve"> </w:t>
      </w:r>
    </w:p>
    <w:p w:rsidR="000060FA" w:rsidRPr="00483AEE" w:rsidRDefault="008B7100" w:rsidP="00483AEE">
      <w:pPr>
        <w:tabs>
          <w:tab w:val="left" w:pos="-1560"/>
        </w:tabs>
        <w:spacing w:after="120" w:line="360" w:lineRule="auto"/>
        <w:jc w:val="both"/>
        <w:rPr>
          <w:szCs w:val="24"/>
        </w:rPr>
      </w:pPr>
      <w:r w:rsidRPr="00483AEE">
        <w:rPr>
          <w:szCs w:val="24"/>
        </w:rPr>
        <w:lastRenderedPageBreak/>
        <w:t>E</w:t>
      </w:r>
      <w:r w:rsidR="000C702F" w:rsidRPr="00483AEE">
        <w:rPr>
          <w:szCs w:val="24"/>
        </w:rPr>
        <w:t xml:space="preserve">ste conjunto de reformas </w:t>
      </w:r>
      <w:r w:rsidR="006064E4" w:rsidRPr="00483AEE">
        <w:rPr>
          <w:szCs w:val="24"/>
        </w:rPr>
        <w:t>generó un proceso</w:t>
      </w:r>
      <w:r w:rsidR="000C702F" w:rsidRPr="00483AEE">
        <w:rPr>
          <w:szCs w:val="24"/>
        </w:rPr>
        <w:t xml:space="preserve"> </w:t>
      </w:r>
      <w:r w:rsidR="0026357E" w:rsidRPr="00483AEE">
        <w:rPr>
          <w:szCs w:val="24"/>
        </w:rPr>
        <w:t xml:space="preserve">de </w:t>
      </w:r>
      <w:r w:rsidR="006064E4" w:rsidRPr="00483AEE">
        <w:rPr>
          <w:szCs w:val="24"/>
        </w:rPr>
        <w:t xml:space="preserve">reconversión a nivel de la industria, así como </w:t>
      </w:r>
      <w:r w:rsidR="002A0256" w:rsidRPr="00483AEE">
        <w:rPr>
          <w:szCs w:val="24"/>
        </w:rPr>
        <w:t>un aumento en el</w:t>
      </w:r>
      <w:r w:rsidR="000C702F" w:rsidRPr="00483AEE">
        <w:rPr>
          <w:szCs w:val="24"/>
        </w:rPr>
        <w:t xml:space="preserve"> endeudamiento </w:t>
      </w:r>
      <w:r w:rsidR="002A0256" w:rsidRPr="00483AEE">
        <w:rPr>
          <w:szCs w:val="24"/>
        </w:rPr>
        <w:t>externo, lo cual</w:t>
      </w:r>
      <w:r w:rsidR="000C702F" w:rsidRPr="00483AEE">
        <w:rPr>
          <w:szCs w:val="24"/>
        </w:rPr>
        <w:t xml:space="preserve"> condujo a un nuevo tipo de restricción: la falta de divisas para afrontar los compromisos </w:t>
      </w:r>
      <w:r w:rsidR="002A0256" w:rsidRPr="00483AEE">
        <w:rPr>
          <w:szCs w:val="24"/>
        </w:rPr>
        <w:t>contraídos.</w:t>
      </w:r>
      <w:r w:rsidR="00AC3E69" w:rsidRPr="00483AEE">
        <w:rPr>
          <w:rStyle w:val="Refdenotaalpie"/>
          <w:szCs w:val="24"/>
        </w:rPr>
        <w:footnoteReference w:id="7"/>
      </w:r>
      <w:r w:rsidR="009829E9" w:rsidRPr="00483AEE">
        <w:rPr>
          <w:szCs w:val="24"/>
        </w:rPr>
        <w:t xml:space="preserve"> </w:t>
      </w:r>
      <w:r w:rsidR="005600EA" w:rsidRPr="00483AEE">
        <w:rPr>
          <w:szCs w:val="24"/>
        </w:rPr>
        <w:t>En 1982, el anuncio por parte del gobierno mexicano sobre una inminente cesación de pagos dio lugar a la “crisis de la deuda” en la región, lo que se tradujo en la imposibilidad de seguir financiando con nuevo endeudamiento el pago de los préstamos contraídos (</w:t>
      </w:r>
      <w:proofErr w:type="spellStart"/>
      <w:r w:rsidR="005600EA" w:rsidRPr="00483AEE">
        <w:rPr>
          <w:szCs w:val="24"/>
        </w:rPr>
        <w:t>Gerchunoff</w:t>
      </w:r>
      <w:proofErr w:type="spellEnd"/>
      <w:r w:rsidR="005600EA" w:rsidRPr="00483AEE">
        <w:rPr>
          <w:szCs w:val="24"/>
        </w:rPr>
        <w:t xml:space="preserve"> y Llach, 2008). En </w:t>
      </w:r>
      <w:r w:rsidR="00AC3E69" w:rsidRPr="00483AEE">
        <w:rPr>
          <w:szCs w:val="24"/>
        </w:rPr>
        <w:t xml:space="preserve">ese marco, el </w:t>
      </w:r>
      <w:r w:rsidR="005600EA" w:rsidRPr="00483AEE">
        <w:rPr>
          <w:szCs w:val="24"/>
        </w:rPr>
        <w:t xml:space="preserve">gobierno militar </w:t>
      </w:r>
      <w:r w:rsidR="00AC3E69" w:rsidRPr="00483AEE">
        <w:rPr>
          <w:szCs w:val="24"/>
        </w:rPr>
        <w:t>dispuso que empresas privadas y bancos pagaran sus obligaciones a una tasa de interés por debajo de la inflación esperada, lo que redundó en la licuación de sus pasivos y en una estatización de hecho de la deuda privada</w:t>
      </w:r>
      <w:r w:rsidR="005600EA" w:rsidRPr="00483AEE">
        <w:rPr>
          <w:szCs w:val="24"/>
        </w:rPr>
        <w:t>.</w:t>
      </w:r>
      <w:r w:rsidR="000C702F" w:rsidRPr="00483AEE">
        <w:rPr>
          <w:szCs w:val="24"/>
        </w:rPr>
        <w:t xml:space="preserve"> </w:t>
      </w:r>
    </w:p>
    <w:p w:rsidR="000C702F" w:rsidRPr="00483AEE" w:rsidRDefault="00AC3E69" w:rsidP="00483AEE">
      <w:pPr>
        <w:tabs>
          <w:tab w:val="left" w:pos="-1560"/>
        </w:tabs>
        <w:spacing w:after="120" w:line="360" w:lineRule="auto"/>
        <w:jc w:val="both"/>
        <w:rPr>
          <w:szCs w:val="24"/>
        </w:rPr>
      </w:pPr>
      <w:r w:rsidRPr="00483AEE">
        <w:rPr>
          <w:szCs w:val="24"/>
        </w:rPr>
        <w:t xml:space="preserve">De esta manera, </w:t>
      </w:r>
      <w:r w:rsidR="009F6307" w:rsidRPr="00483AEE">
        <w:rPr>
          <w:szCs w:val="24"/>
        </w:rPr>
        <w:t>durante los</w:t>
      </w:r>
      <w:r w:rsidR="000C702F" w:rsidRPr="00483AEE">
        <w:rPr>
          <w:szCs w:val="24"/>
        </w:rPr>
        <w:t xml:space="preserve"> años </w:t>
      </w:r>
      <w:r w:rsidR="00152101" w:rsidRPr="00483AEE">
        <w:rPr>
          <w:szCs w:val="24"/>
        </w:rPr>
        <w:t>80</w:t>
      </w:r>
      <w:r w:rsidR="00A45340" w:rsidRPr="00483AEE">
        <w:rPr>
          <w:szCs w:val="24"/>
        </w:rPr>
        <w:t>s</w:t>
      </w:r>
      <w:r w:rsidR="00531F07" w:rsidRPr="00483AEE">
        <w:rPr>
          <w:szCs w:val="24"/>
        </w:rPr>
        <w:t xml:space="preserve">, </w:t>
      </w:r>
      <w:r w:rsidR="009F6307" w:rsidRPr="00483AEE">
        <w:rPr>
          <w:szCs w:val="24"/>
        </w:rPr>
        <w:t>tanto durante la fase final de la dictadura como</w:t>
      </w:r>
      <w:r w:rsidR="00531F07" w:rsidRPr="00483AEE">
        <w:rPr>
          <w:szCs w:val="24"/>
        </w:rPr>
        <w:t xml:space="preserve"> bajo el gobierno </w:t>
      </w:r>
      <w:r w:rsidR="000060FA" w:rsidRPr="00483AEE">
        <w:rPr>
          <w:szCs w:val="24"/>
        </w:rPr>
        <w:t>democrático</w:t>
      </w:r>
      <w:r w:rsidR="00531F07" w:rsidRPr="00483AEE">
        <w:rPr>
          <w:szCs w:val="24"/>
        </w:rPr>
        <w:t xml:space="preserve"> de Raúl Alfonsín (1983-1989),</w:t>
      </w:r>
      <w:r w:rsidRPr="00483AEE">
        <w:rPr>
          <w:szCs w:val="24"/>
        </w:rPr>
        <w:t xml:space="preserve"> el fuerte endeudamiento externo en manos del Estado, la persistente alta inflación y el déficit fiscal condicionaron la política económica y fueron objeto</w:t>
      </w:r>
      <w:r w:rsidR="000C702F" w:rsidRPr="00483AEE">
        <w:rPr>
          <w:szCs w:val="24"/>
        </w:rPr>
        <w:t xml:space="preserve"> </w:t>
      </w:r>
      <w:r w:rsidRPr="00483AEE">
        <w:rPr>
          <w:szCs w:val="24"/>
        </w:rPr>
        <w:t>de sucesivos programas de estabilización</w:t>
      </w:r>
      <w:r w:rsidR="000C702F" w:rsidRPr="00483AEE">
        <w:rPr>
          <w:szCs w:val="24"/>
        </w:rPr>
        <w:t>.</w:t>
      </w:r>
      <w:r w:rsidR="00596852" w:rsidRPr="00483AEE">
        <w:rPr>
          <w:szCs w:val="24"/>
        </w:rPr>
        <w:t xml:space="preserve"> E</w:t>
      </w:r>
      <w:r w:rsidR="000C702F" w:rsidRPr="00483AEE">
        <w:rPr>
          <w:szCs w:val="24"/>
        </w:rPr>
        <w:t>n 1985 se llevó adelante un plan de estabilización de gran alcance, conocido como Plan Austral. Este esquema</w:t>
      </w:r>
      <w:r w:rsidR="009F6307" w:rsidRPr="00483AEE">
        <w:rPr>
          <w:szCs w:val="24"/>
        </w:rPr>
        <w:t>, si bien</w:t>
      </w:r>
      <w:r w:rsidR="000C702F" w:rsidRPr="00483AEE">
        <w:rPr>
          <w:szCs w:val="24"/>
        </w:rPr>
        <w:t xml:space="preserve"> tuvo </w:t>
      </w:r>
      <w:r w:rsidR="009F6307" w:rsidRPr="00483AEE">
        <w:rPr>
          <w:szCs w:val="24"/>
        </w:rPr>
        <w:t xml:space="preserve">cierto </w:t>
      </w:r>
      <w:r w:rsidR="000C702F" w:rsidRPr="00483AEE">
        <w:rPr>
          <w:szCs w:val="24"/>
        </w:rPr>
        <w:t>éxito inicial</w:t>
      </w:r>
      <w:r w:rsidR="009F6307" w:rsidRPr="00483AEE">
        <w:rPr>
          <w:szCs w:val="24"/>
        </w:rPr>
        <w:t xml:space="preserve">, no pudo sostenerse debido a que no logró resolver la creciente dependencia </w:t>
      </w:r>
      <w:r w:rsidR="000C702F" w:rsidRPr="00483AEE">
        <w:rPr>
          <w:szCs w:val="24"/>
        </w:rPr>
        <w:t xml:space="preserve">estructural </w:t>
      </w:r>
      <w:r w:rsidR="009F6307" w:rsidRPr="00483AEE">
        <w:rPr>
          <w:szCs w:val="24"/>
        </w:rPr>
        <w:t>del modelo económico hacia e</w:t>
      </w:r>
      <w:r w:rsidR="000C702F" w:rsidRPr="00483AEE">
        <w:rPr>
          <w:szCs w:val="24"/>
        </w:rPr>
        <w:t>l gasto público</w:t>
      </w:r>
      <w:r w:rsidR="009F6307" w:rsidRPr="00483AEE">
        <w:rPr>
          <w:szCs w:val="24"/>
        </w:rPr>
        <w:t>.</w:t>
      </w:r>
      <w:r w:rsidR="000C702F" w:rsidRPr="00483AEE">
        <w:rPr>
          <w:rStyle w:val="Refdenotaalpie"/>
          <w:szCs w:val="24"/>
        </w:rPr>
        <w:footnoteReference w:id="8"/>
      </w:r>
      <w:r w:rsidR="000C702F" w:rsidRPr="00483AEE">
        <w:rPr>
          <w:szCs w:val="24"/>
        </w:rPr>
        <w:t xml:space="preserve"> En este marco, durante los últimos años de la década del </w:t>
      </w:r>
      <w:r w:rsidR="00531F07" w:rsidRPr="00483AEE">
        <w:rPr>
          <w:szCs w:val="24"/>
        </w:rPr>
        <w:t>80’</w:t>
      </w:r>
      <w:r w:rsidR="000C702F" w:rsidRPr="00483AEE">
        <w:rPr>
          <w:szCs w:val="24"/>
        </w:rPr>
        <w:t>, se avanzó progresivamente hacia una crisis hiperinflacionaria mientras se ensayaban los primeros intentos de reformas estructurales</w:t>
      </w:r>
      <w:r w:rsidR="00531F07" w:rsidRPr="00483AEE">
        <w:rPr>
          <w:szCs w:val="24"/>
        </w:rPr>
        <w:t>.</w:t>
      </w:r>
      <w:r w:rsidR="000C702F" w:rsidRPr="00483AEE">
        <w:rPr>
          <w:rStyle w:val="Refdenotaalpie"/>
          <w:szCs w:val="24"/>
        </w:rPr>
        <w:footnoteReference w:id="9"/>
      </w:r>
    </w:p>
    <w:p w:rsidR="005D7473" w:rsidRPr="00483AEE" w:rsidRDefault="005D7473" w:rsidP="00483AEE">
      <w:pPr>
        <w:spacing w:after="120" w:line="360" w:lineRule="auto"/>
        <w:jc w:val="both"/>
        <w:rPr>
          <w:szCs w:val="24"/>
        </w:rPr>
      </w:pPr>
      <w:r w:rsidRPr="00483AEE">
        <w:rPr>
          <w:szCs w:val="24"/>
        </w:rPr>
        <w:t>En esta línea</w:t>
      </w:r>
      <w:r w:rsidR="00227CE6" w:rsidRPr="00483AEE">
        <w:rPr>
          <w:szCs w:val="24"/>
        </w:rPr>
        <w:t xml:space="preserve">, </w:t>
      </w:r>
      <w:r w:rsidRPr="00483AEE">
        <w:rPr>
          <w:szCs w:val="24"/>
        </w:rPr>
        <w:t xml:space="preserve">entre mediados de los </w:t>
      </w:r>
      <w:r w:rsidR="00A45340" w:rsidRPr="00483AEE">
        <w:rPr>
          <w:szCs w:val="24"/>
        </w:rPr>
        <w:t xml:space="preserve">años </w:t>
      </w:r>
      <w:r w:rsidR="008B7100" w:rsidRPr="00483AEE">
        <w:rPr>
          <w:szCs w:val="24"/>
        </w:rPr>
        <w:t>70</w:t>
      </w:r>
      <w:r w:rsidR="00A45340" w:rsidRPr="00483AEE">
        <w:rPr>
          <w:szCs w:val="24"/>
        </w:rPr>
        <w:t>s</w:t>
      </w:r>
      <w:r w:rsidRPr="00483AEE">
        <w:rPr>
          <w:szCs w:val="24"/>
        </w:rPr>
        <w:t xml:space="preserve"> y fines de los </w:t>
      </w:r>
      <w:r w:rsidR="008B7100" w:rsidRPr="00483AEE">
        <w:rPr>
          <w:szCs w:val="24"/>
        </w:rPr>
        <w:t>80</w:t>
      </w:r>
      <w:r w:rsidR="00A45340" w:rsidRPr="00483AEE">
        <w:rPr>
          <w:szCs w:val="24"/>
        </w:rPr>
        <w:t>s</w:t>
      </w:r>
      <w:r w:rsidRPr="00483AEE">
        <w:rPr>
          <w:szCs w:val="24"/>
        </w:rPr>
        <w:t>, e</w:t>
      </w:r>
      <w:r w:rsidR="00227CE6" w:rsidRPr="00483AEE">
        <w:rPr>
          <w:szCs w:val="24"/>
        </w:rPr>
        <w:t>l carácter errático del crecimiento del PIB que había prevalecido en la Argentina desde la Posguerra, se volvió declinante</w:t>
      </w:r>
      <w:r w:rsidRPr="00483AEE">
        <w:rPr>
          <w:szCs w:val="24"/>
        </w:rPr>
        <w:t xml:space="preserve"> a pesar del ensayo de distintas políticas económicas.</w:t>
      </w:r>
      <w:r w:rsidR="0017132C" w:rsidRPr="00483AEE">
        <w:rPr>
          <w:szCs w:val="24"/>
        </w:rPr>
        <w:t xml:space="preserve"> </w:t>
      </w:r>
      <w:r w:rsidRPr="00483AEE">
        <w:rPr>
          <w:szCs w:val="24"/>
        </w:rPr>
        <w:t xml:space="preserve">Con la excepción de </w:t>
      </w:r>
      <w:r w:rsidR="00227CE6" w:rsidRPr="00483AEE">
        <w:rPr>
          <w:szCs w:val="24"/>
        </w:rPr>
        <w:t xml:space="preserve">algunos años aislados, </w:t>
      </w:r>
      <w:r w:rsidRPr="00483AEE">
        <w:rPr>
          <w:szCs w:val="24"/>
        </w:rPr>
        <w:t xml:space="preserve">primaron </w:t>
      </w:r>
      <w:r w:rsidR="00227CE6" w:rsidRPr="00483AEE">
        <w:rPr>
          <w:szCs w:val="24"/>
        </w:rPr>
        <w:t>las tendencias al estancamiento</w:t>
      </w:r>
      <w:r w:rsidRPr="00483AEE">
        <w:rPr>
          <w:szCs w:val="24"/>
        </w:rPr>
        <w:t xml:space="preserve">. No se logró el control de la inflación ni del déficit fiscal –examinado en un permanente desbalance del sector </w:t>
      </w:r>
      <w:r w:rsidRPr="00483AEE">
        <w:rPr>
          <w:szCs w:val="24"/>
        </w:rPr>
        <w:lastRenderedPageBreak/>
        <w:t xml:space="preserve">público–, ni hubo una transformación sustantiva de la capacidad exportadora de la economía que fuera rotando el eje de la economía argentina. </w:t>
      </w:r>
    </w:p>
    <w:p w:rsidR="00976E6F" w:rsidRPr="00483AEE" w:rsidRDefault="00976E6F" w:rsidP="00153819">
      <w:pPr>
        <w:spacing w:before="360" w:after="120" w:line="360" w:lineRule="auto"/>
        <w:ind w:left="357"/>
        <w:jc w:val="center"/>
        <w:rPr>
          <w:szCs w:val="24"/>
          <w:u w:val="single"/>
        </w:rPr>
      </w:pPr>
      <w:r w:rsidRPr="00483AEE">
        <w:rPr>
          <w:szCs w:val="24"/>
          <w:u w:val="single"/>
        </w:rPr>
        <w:t xml:space="preserve">Reformas Estructurales de inspiración </w:t>
      </w:r>
      <w:r w:rsidR="00153819">
        <w:rPr>
          <w:szCs w:val="24"/>
          <w:u w:val="single"/>
        </w:rPr>
        <w:t>n</w:t>
      </w:r>
      <w:r w:rsidRPr="00483AEE">
        <w:rPr>
          <w:szCs w:val="24"/>
          <w:u w:val="single"/>
        </w:rPr>
        <w:t>eoliberal</w:t>
      </w:r>
    </w:p>
    <w:p w:rsidR="005031EF" w:rsidRPr="00483AEE" w:rsidRDefault="0017132C" w:rsidP="00483AEE">
      <w:pPr>
        <w:spacing w:after="120" w:line="360" w:lineRule="auto"/>
        <w:jc w:val="both"/>
        <w:rPr>
          <w:szCs w:val="24"/>
        </w:rPr>
      </w:pPr>
      <w:r w:rsidRPr="00483AEE">
        <w:rPr>
          <w:szCs w:val="24"/>
        </w:rPr>
        <w:t>En una economía mundial cada vez más globalizada al ritmo de la expansión del capital financiero y de los modelos de integración regional, la Argentina de finales de los años 80</w:t>
      </w:r>
      <w:r w:rsidR="0026357E" w:rsidRPr="00483AEE">
        <w:rPr>
          <w:szCs w:val="24"/>
        </w:rPr>
        <w:t>s</w:t>
      </w:r>
      <w:r w:rsidRPr="00483AEE">
        <w:rPr>
          <w:szCs w:val="24"/>
        </w:rPr>
        <w:t xml:space="preserve"> sufría todavía las contradicciones de un modelo de acumulación industrial sustitutivo no competitivo, fuertemente debilitado y </w:t>
      </w:r>
      <w:r w:rsidR="00AC3E69" w:rsidRPr="00483AEE">
        <w:rPr>
          <w:szCs w:val="24"/>
        </w:rPr>
        <w:t xml:space="preserve">no </w:t>
      </w:r>
      <w:r w:rsidRPr="00483AEE">
        <w:rPr>
          <w:szCs w:val="24"/>
        </w:rPr>
        <w:t xml:space="preserve">lograba </w:t>
      </w:r>
      <w:r w:rsidR="000909DC" w:rsidRPr="00483AEE">
        <w:rPr>
          <w:szCs w:val="24"/>
        </w:rPr>
        <w:t>financiar su reconversión (</w:t>
      </w:r>
      <w:r w:rsidR="00AC3E69" w:rsidRPr="00483AEE">
        <w:rPr>
          <w:szCs w:val="24"/>
        </w:rPr>
        <w:t>Neffa, 1998</w:t>
      </w:r>
      <w:r w:rsidR="000909DC" w:rsidRPr="00483AEE">
        <w:rPr>
          <w:szCs w:val="24"/>
        </w:rPr>
        <w:t>). En ese contexto, l</w:t>
      </w:r>
      <w:r w:rsidR="005031EF" w:rsidRPr="00483AEE">
        <w:rPr>
          <w:szCs w:val="24"/>
        </w:rPr>
        <w:t xml:space="preserve">a dificultad de pagar los compromisos internacionales contraídos, la imposibilidad de financiar el </w:t>
      </w:r>
      <w:r w:rsidR="000909DC" w:rsidRPr="00483AEE">
        <w:rPr>
          <w:szCs w:val="24"/>
        </w:rPr>
        <w:t xml:space="preserve">creciente déficit </w:t>
      </w:r>
      <w:r w:rsidR="005031EF" w:rsidRPr="00483AEE">
        <w:rPr>
          <w:szCs w:val="24"/>
        </w:rPr>
        <w:t xml:space="preserve">público a través de </w:t>
      </w:r>
      <w:r w:rsidR="00F85CBC" w:rsidRPr="00483AEE">
        <w:rPr>
          <w:szCs w:val="24"/>
        </w:rPr>
        <w:t>ingresos</w:t>
      </w:r>
      <w:r w:rsidR="005031EF" w:rsidRPr="00483AEE">
        <w:rPr>
          <w:szCs w:val="24"/>
        </w:rPr>
        <w:t xml:space="preserve"> </w:t>
      </w:r>
      <w:r w:rsidR="00486808" w:rsidRPr="00483AEE">
        <w:rPr>
          <w:szCs w:val="24"/>
        </w:rPr>
        <w:t>primari</w:t>
      </w:r>
      <w:r w:rsidR="00F85CBC" w:rsidRPr="00483AEE">
        <w:rPr>
          <w:szCs w:val="24"/>
        </w:rPr>
        <w:t>o</w:t>
      </w:r>
      <w:r w:rsidR="00486808" w:rsidRPr="00483AEE">
        <w:rPr>
          <w:szCs w:val="24"/>
        </w:rPr>
        <w:t>s</w:t>
      </w:r>
      <w:r w:rsidR="005031EF" w:rsidRPr="00483AEE">
        <w:rPr>
          <w:szCs w:val="24"/>
        </w:rPr>
        <w:t xml:space="preserve"> o </w:t>
      </w:r>
      <w:r w:rsidRPr="00483AEE">
        <w:rPr>
          <w:szCs w:val="24"/>
        </w:rPr>
        <w:t xml:space="preserve">nuevos créditos </w:t>
      </w:r>
      <w:r w:rsidR="005031EF" w:rsidRPr="00483AEE">
        <w:rPr>
          <w:szCs w:val="24"/>
        </w:rPr>
        <w:t xml:space="preserve">y la fuerte crisis hiperinflacionaria que </w:t>
      </w:r>
      <w:r w:rsidR="00486808" w:rsidRPr="00483AEE">
        <w:rPr>
          <w:szCs w:val="24"/>
        </w:rPr>
        <w:t xml:space="preserve">se </w:t>
      </w:r>
      <w:r w:rsidR="005031EF" w:rsidRPr="00483AEE">
        <w:rPr>
          <w:szCs w:val="24"/>
        </w:rPr>
        <w:t xml:space="preserve">generó </w:t>
      </w:r>
      <w:r w:rsidR="000909DC" w:rsidRPr="00483AEE">
        <w:rPr>
          <w:szCs w:val="24"/>
        </w:rPr>
        <w:t>en</w:t>
      </w:r>
      <w:r w:rsidR="00486808" w:rsidRPr="00483AEE">
        <w:rPr>
          <w:szCs w:val="24"/>
        </w:rPr>
        <w:t xml:space="preserve"> </w:t>
      </w:r>
      <w:r w:rsidR="005031EF" w:rsidRPr="00483AEE">
        <w:rPr>
          <w:szCs w:val="24"/>
        </w:rPr>
        <w:t>es</w:t>
      </w:r>
      <w:r w:rsidRPr="00483AEE">
        <w:rPr>
          <w:szCs w:val="24"/>
        </w:rPr>
        <w:t>e</w:t>
      </w:r>
      <w:r w:rsidR="005031EF" w:rsidRPr="00483AEE">
        <w:rPr>
          <w:szCs w:val="24"/>
        </w:rPr>
        <w:t xml:space="preserve"> contexto</w:t>
      </w:r>
      <w:r w:rsidRPr="00483AEE">
        <w:rPr>
          <w:szCs w:val="24"/>
        </w:rPr>
        <w:t>,</w:t>
      </w:r>
      <w:r w:rsidR="005031EF" w:rsidRPr="00483AEE">
        <w:rPr>
          <w:szCs w:val="24"/>
        </w:rPr>
        <w:t xml:space="preserve"> abri</w:t>
      </w:r>
      <w:r w:rsidRPr="00483AEE">
        <w:rPr>
          <w:szCs w:val="24"/>
        </w:rPr>
        <w:t>eron</w:t>
      </w:r>
      <w:r w:rsidR="005031EF" w:rsidRPr="00483AEE">
        <w:rPr>
          <w:szCs w:val="24"/>
        </w:rPr>
        <w:t xml:space="preserve"> la puerta </w:t>
      </w:r>
      <w:r w:rsidR="000909DC" w:rsidRPr="00483AEE">
        <w:rPr>
          <w:szCs w:val="24"/>
        </w:rPr>
        <w:t xml:space="preserve">-entre fines de los </w:t>
      </w:r>
      <w:r w:rsidR="00A74ECE" w:rsidRPr="00483AEE">
        <w:rPr>
          <w:szCs w:val="24"/>
        </w:rPr>
        <w:t xml:space="preserve">años </w:t>
      </w:r>
      <w:r w:rsidR="000909DC" w:rsidRPr="00483AEE">
        <w:rPr>
          <w:szCs w:val="24"/>
        </w:rPr>
        <w:t>80</w:t>
      </w:r>
      <w:r w:rsidR="00A74ECE" w:rsidRPr="00483AEE">
        <w:rPr>
          <w:szCs w:val="24"/>
        </w:rPr>
        <w:t>s</w:t>
      </w:r>
      <w:r w:rsidR="000909DC" w:rsidRPr="00483AEE">
        <w:rPr>
          <w:szCs w:val="24"/>
        </w:rPr>
        <w:t xml:space="preserve"> y comienzo de los 90</w:t>
      </w:r>
      <w:r w:rsidR="00A74ECE" w:rsidRPr="00483AEE">
        <w:rPr>
          <w:szCs w:val="24"/>
        </w:rPr>
        <w:t>s</w:t>
      </w:r>
      <w:r w:rsidR="000909DC" w:rsidRPr="00483AEE">
        <w:rPr>
          <w:szCs w:val="24"/>
        </w:rPr>
        <w:t xml:space="preserve">- </w:t>
      </w:r>
      <w:r w:rsidR="005031EF" w:rsidRPr="00483AEE">
        <w:rPr>
          <w:szCs w:val="24"/>
        </w:rPr>
        <w:t>a</w:t>
      </w:r>
      <w:r w:rsidR="00EF4F1D" w:rsidRPr="00483AEE">
        <w:rPr>
          <w:szCs w:val="24"/>
        </w:rPr>
        <w:t xml:space="preserve"> una reestructuración del modelo de acumulación (</w:t>
      </w:r>
      <w:proofErr w:type="spellStart"/>
      <w:r w:rsidR="00EF4F1D" w:rsidRPr="00483AEE">
        <w:rPr>
          <w:szCs w:val="24"/>
        </w:rPr>
        <w:t>Piva</w:t>
      </w:r>
      <w:proofErr w:type="spellEnd"/>
      <w:r w:rsidR="00EF4F1D" w:rsidRPr="00483AEE">
        <w:rPr>
          <w:szCs w:val="24"/>
        </w:rPr>
        <w:t xml:space="preserve">, 2015). </w:t>
      </w:r>
    </w:p>
    <w:p w:rsidR="00486808" w:rsidRPr="00483AEE" w:rsidRDefault="00486808" w:rsidP="00483AEE">
      <w:pPr>
        <w:spacing w:after="120" w:line="360" w:lineRule="auto"/>
        <w:jc w:val="both"/>
        <w:rPr>
          <w:szCs w:val="24"/>
        </w:rPr>
      </w:pPr>
      <w:r w:rsidRPr="00483AEE">
        <w:rPr>
          <w:szCs w:val="24"/>
        </w:rPr>
        <w:t>El gobierno de Raúl Alfonsín, enfrentado al sector agropecuario exportador</w:t>
      </w:r>
      <w:r w:rsidR="00AC3E69" w:rsidRPr="00483AEE">
        <w:rPr>
          <w:szCs w:val="24"/>
        </w:rPr>
        <w:t>,</w:t>
      </w:r>
      <w:r w:rsidRPr="00483AEE">
        <w:rPr>
          <w:szCs w:val="24"/>
        </w:rPr>
        <w:t xml:space="preserve"> </w:t>
      </w:r>
      <w:r w:rsidR="00AC3E69" w:rsidRPr="00483AEE">
        <w:rPr>
          <w:szCs w:val="24"/>
        </w:rPr>
        <w:t xml:space="preserve">sin el apoyo del movimiento obrero, </w:t>
      </w:r>
      <w:r w:rsidRPr="00483AEE">
        <w:rPr>
          <w:szCs w:val="24"/>
        </w:rPr>
        <w:t>y con el s</w:t>
      </w:r>
      <w:r w:rsidR="00AC3E69" w:rsidRPr="00483AEE">
        <w:rPr>
          <w:szCs w:val="24"/>
        </w:rPr>
        <w:t>o</w:t>
      </w:r>
      <w:r w:rsidRPr="00483AEE">
        <w:rPr>
          <w:szCs w:val="24"/>
        </w:rPr>
        <w:t xml:space="preserve">lo respaldo del sector empresarial </w:t>
      </w:r>
      <w:r w:rsidR="00AC3E69" w:rsidRPr="00483AEE">
        <w:rPr>
          <w:szCs w:val="24"/>
        </w:rPr>
        <w:t>directamente ligado al Estado a través de la obra pública o los subsidios (</w:t>
      </w:r>
      <w:proofErr w:type="spellStart"/>
      <w:r w:rsidR="00AC3E69" w:rsidRPr="00483AEE">
        <w:rPr>
          <w:szCs w:val="24"/>
        </w:rPr>
        <w:t>Ortíz</w:t>
      </w:r>
      <w:proofErr w:type="spellEnd"/>
      <w:r w:rsidR="00AC3E69" w:rsidRPr="00483AEE">
        <w:rPr>
          <w:szCs w:val="24"/>
        </w:rPr>
        <w:t xml:space="preserve">, y </w:t>
      </w:r>
      <w:proofErr w:type="spellStart"/>
      <w:r w:rsidR="00AC3E69" w:rsidRPr="00483AEE">
        <w:rPr>
          <w:szCs w:val="24"/>
        </w:rPr>
        <w:t>Schorr</w:t>
      </w:r>
      <w:proofErr w:type="spellEnd"/>
      <w:r w:rsidR="00AC3E69" w:rsidRPr="00483AEE">
        <w:rPr>
          <w:szCs w:val="24"/>
        </w:rPr>
        <w:t>, 2006)</w:t>
      </w:r>
      <w:r w:rsidRPr="00483AEE">
        <w:rPr>
          <w:szCs w:val="24"/>
        </w:rPr>
        <w:t xml:space="preserve">, se vio obligado a negociar </w:t>
      </w:r>
      <w:r w:rsidR="000909DC" w:rsidRPr="00483AEE">
        <w:rPr>
          <w:szCs w:val="24"/>
        </w:rPr>
        <w:t>ayudas financieras externas condicionadas a la realización de</w:t>
      </w:r>
      <w:r w:rsidRPr="00483AEE">
        <w:rPr>
          <w:szCs w:val="24"/>
        </w:rPr>
        <w:t xml:space="preserve"> reformas estructurales</w:t>
      </w:r>
      <w:r w:rsidR="000909DC" w:rsidRPr="00483AEE">
        <w:rPr>
          <w:szCs w:val="24"/>
        </w:rPr>
        <w:t>, sobre todo en el sector público,</w:t>
      </w:r>
      <w:r w:rsidRPr="00483AEE">
        <w:rPr>
          <w:szCs w:val="24"/>
        </w:rPr>
        <w:t xml:space="preserve"> </w:t>
      </w:r>
      <w:r w:rsidR="000909DC" w:rsidRPr="00483AEE">
        <w:rPr>
          <w:szCs w:val="24"/>
        </w:rPr>
        <w:t xml:space="preserve">en línea con lo que </w:t>
      </w:r>
      <w:r w:rsidR="00531F07" w:rsidRPr="00483AEE">
        <w:rPr>
          <w:szCs w:val="24"/>
        </w:rPr>
        <w:t>en 1990</w:t>
      </w:r>
      <w:r w:rsidR="000909DC" w:rsidRPr="00483AEE">
        <w:rPr>
          <w:szCs w:val="24"/>
        </w:rPr>
        <w:t xml:space="preserve"> serían las</w:t>
      </w:r>
      <w:r w:rsidRPr="00483AEE">
        <w:rPr>
          <w:szCs w:val="24"/>
        </w:rPr>
        <w:t xml:space="preserve"> recomendaciones del </w:t>
      </w:r>
      <w:r w:rsidR="000C702F" w:rsidRPr="00483AEE">
        <w:rPr>
          <w:szCs w:val="24"/>
        </w:rPr>
        <w:t>Consenso de Washington</w:t>
      </w:r>
      <w:r w:rsidR="00174333" w:rsidRPr="00483AEE">
        <w:rPr>
          <w:szCs w:val="24"/>
        </w:rPr>
        <w:t>.</w:t>
      </w:r>
      <w:r w:rsidR="003421A6" w:rsidRPr="00483AEE">
        <w:rPr>
          <w:rStyle w:val="Refdenotaalpie"/>
          <w:szCs w:val="24"/>
        </w:rPr>
        <w:footnoteReference w:id="10"/>
      </w:r>
    </w:p>
    <w:p w:rsidR="00B34600" w:rsidRPr="00483AEE" w:rsidRDefault="00531F07" w:rsidP="00483AEE">
      <w:pPr>
        <w:spacing w:after="120" w:line="360" w:lineRule="auto"/>
        <w:jc w:val="both"/>
        <w:rPr>
          <w:szCs w:val="24"/>
        </w:rPr>
      </w:pPr>
      <w:r w:rsidRPr="00483AEE">
        <w:rPr>
          <w:szCs w:val="24"/>
        </w:rPr>
        <w:t>La</w:t>
      </w:r>
      <w:r w:rsidR="0028717F" w:rsidRPr="00483AEE">
        <w:rPr>
          <w:szCs w:val="24"/>
        </w:rPr>
        <w:t xml:space="preserve"> crisis económica</w:t>
      </w:r>
      <w:r w:rsidRPr="00483AEE">
        <w:rPr>
          <w:szCs w:val="24"/>
        </w:rPr>
        <w:t xml:space="preserve"> de 1989 </w:t>
      </w:r>
      <w:r w:rsidR="00616920" w:rsidRPr="00483AEE">
        <w:rPr>
          <w:szCs w:val="24"/>
        </w:rPr>
        <w:t xml:space="preserve">desencadenó </w:t>
      </w:r>
      <w:r w:rsidRPr="00483AEE">
        <w:rPr>
          <w:szCs w:val="24"/>
        </w:rPr>
        <w:t>la salida</w:t>
      </w:r>
      <w:r w:rsidR="00616920" w:rsidRPr="00483AEE">
        <w:rPr>
          <w:szCs w:val="24"/>
        </w:rPr>
        <w:t xml:space="preserve"> </w:t>
      </w:r>
      <w:r w:rsidRPr="00483AEE">
        <w:rPr>
          <w:szCs w:val="24"/>
        </w:rPr>
        <w:t>del gobierno de Alfons</w:t>
      </w:r>
      <w:r w:rsidR="00616920" w:rsidRPr="00483AEE">
        <w:rPr>
          <w:szCs w:val="24"/>
        </w:rPr>
        <w:t>ín</w:t>
      </w:r>
      <w:r w:rsidRPr="00483AEE">
        <w:rPr>
          <w:szCs w:val="24"/>
        </w:rPr>
        <w:t xml:space="preserve"> </w:t>
      </w:r>
      <w:r w:rsidR="00616920" w:rsidRPr="00483AEE">
        <w:rPr>
          <w:szCs w:val="24"/>
        </w:rPr>
        <w:t>y la asunción</w:t>
      </w:r>
      <w:r w:rsidRPr="00483AEE">
        <w:rPr>
          <w:szCs w:val="24"/>
        </w:rPr>
        <w:t xml:space="preserve"> de Carlos Menem </w:t>
      </w:r>
      <w:r w:rsidR="00616920" w:rsidRPr="00483AEE">
        <w:rPr>
          <w:szCs w:val="24"/>
        </w:rPr>
        <w:t>(1989-199</w:t>
      </w:r>
      <w:r w:rsidR="00B34600" w:rsidRPr="00483AEE">
        <w:rPr>
          <w:szCs w:val="24"/>
        </w:rPr>
        <w:t>9</w:t>
      </w:r>
      <w:r w:rsidR="00616920" w:rsidRPr="00483AEE">
        <w:rPr>
          <w:szCs w:val="24"/>
        </w:rPr>
        <w:t>), presidente electo por el partido justicialista, quien sería reelecto en 199</w:t>
      </w:r>
      <w:r w:rsidR="00B34600" w:rsidRPr="00483AEE">
        <w:rPr>
          <w:szCs w:val="24"/>
        </w:rPr>
        <w:t>5</w:t>
      </w:r>
      <w:r w:rsidR="00616920" w:rsidRPr="00483AEE">
        <w:rPr>
          <w:szCs w:val="24"/>
        </w:rPr>
        <w:t xml:space="preserve">. </w:t>
      </w:r>
      <w:r w:rsidR="00B34600" w:rsidRPr="00483AEE">
        <w:rPr>
          <w:szCs w:val="24"/>
        </w:rPr>
        <w:t xml:space="preserve"> Este gobierno </w:t>
      </w:r>
      <w:r w:rsidR="000C702F" w:rsidRPr="00483AEE">
        <w:rPr>
          <w:szCs w:val="24"/>
        </w:rPr>
        <w:t xml:space="preserve">llevó adelante un ambicioso programa de reformas </w:t>
      </w:r>
      <w:r w:rsidR="00B34600" w:rsidRPr="00483AEE">
        <w:rPr>
          <w:szCs w:val="24"/>
        </w:rPr>
        <w:t xml:space="preserve">estructurales acorde con las orientaciones neoliberales </w:t>
      </w:r>
      <w:r w:rsidR="007804A4" w:rsidRPr="00483AEE">
        <w:rPr>
          <w:szCs w:val="24"/>
        </w:rPr>
        <w:t>dominantes</w:t>
      </w:r>
      <w:r w:rsidR="000C702F" w:rsidRPr="00483AEE">
        <w:rPr>
          <w:szCs w:val="24"/>
        </w:rPr>
        <w:t xml:space="preserve">. </w:t>
      </w:r>
      <w:r w:rsidR="00B34600" w:rsidRPr="00483AEE">
        <w:rPr>
          <w:szCs w:val="24"/>
        </w:rPr>
        <w:t xml:space="preserve">Para ello contó con el apoyo del capital financiero internacional y los sectores empresariales locales más concentrados. </w:t>
      </w:r>
      <w:r w:rsidR="00124D02" w:rsidRPr="00483AEE">
        <w:rPr>
          <w:szCs w:val="24"/>
        </w:rPr>
        <w:t>E</w:t>
      </w:r>
      <w:r w:rsidR="000C702F" w:rsidRPr="00483AEE">
        <w:rPr>
          <w:szCs w:val="24"/>
        </w:rPr>
        <w:t xml:space="preserve">n primer lugar, se iniciaron las privatizaciones de empresas públicas, lo que abrió una plataforma para las inversiones </w:t>
      </w:r>
      <w:r w:rsidR="00FA60B6" w:rsidRPr="00483AEE">
        <w:rPr>
          <w:szCs w:val="24"/>
        </w:rPr>
        <w:t xml:space="preserve">extranjeras y las empresas más concentradas de nivel </w:t>
      </w:r>
      <w:r w:rsidR="000C702F" w:rsidRPr="00483AEE">
        <w:rPr>
          <w:szCs w:val="24"/>
        </w:rPr>
        <w:t xml:space="preserve">local. En segundo lugar, se redujeron los regímenes de promoción industrial, se terminaron las preferencias en las compras estatales hacia las </w:t>
      </w:r>
      <w:r w:rsidR="000C702F" w:rsidRPr="00483AEE">
        <w:rPr>
          <w:szCs w:val="24"/>
        </w:rPr>
        <w:lastRenderedPageBreak/>
        <w:t>empresas locales, y se avanzó en una reducción del empleo público (</w:t>
      </w:r>
      <w:proofErr w:type="spellStart"/>
      <w:r w:rsidR="000C702F" w:rsidRPr="00483AEE">
        <w:rPr>
          <w:szCs w:val="24"/>
        </w:rPr>
        <w:t>Cantamutto</w:t>
      </w:r>
      <w:proofErr w:type="spellEnd"/>
      <w:r w:rsidR="000C702F" w:rsidRPr="00483AEE">
        <w:rPr>
          <w:szCs w:val="24"/>
        </w:rPr>
        <w:t xml:space="preserve"> y </w:t>
      </w:r>
      <w:proofErr w:type="spellStart"/>
      <w:r w:rsidR="000C702F" w:rsidRPr="00483AEE">
        <w:rPr>
          <w:szCs w:val="24"/>
        </w:rPr>
        <w:t>Wainer</w:t>
      </w:r>
      <w:proofErr w:type="spellEnd"/>
      <w:r w:rsidR="000C702F" w:rsidRPr="00483AEE">
        <w:rPr>
          <w:szCs w:val="24"/>
        </w:rPr>
        <w:t>, 2013: 29-30). Ambos componentes del programa de reformas implicaron un cambio drástico con lo que aún quedaba del modelo de sustitución de importaciones</w:t>
      </w:r>
      <w:r w:rsidR="0028717F" w:rsidRPr="00483AEE">
        <w:rPr>
          <w:szCs w:val="24"/>
        </w:rPr>
        <w:t>.</w:t>
      </w:r>
      <w:r w:rsidR="000C702F" w:rsidRPr="00483AEE">
        <w:rPr>
          <w:rStyle w:val="Refdenotaalpie"/>
          <w:szCs w:val="24"/>
        </w:rPr>
        <w:footnoteReference w:id="11"/>
      </w:r>
      <w:r w:rsidR="000C702F" w:rsidRPr="00483AEE">
        <w:rPr>
          <w:szCs w:val="24"/>
        </w:rPr>
        <w:t xml:space="preserve"> </w:t>
      </w:r>
    </w:p>
    <w:p w:rsidR="00124D02" w:rsidRPr="00483AEE" w:rsidRDefault="000C702F" w:rsidP="00483AEE">
      <w:pPr>
        <w:spacing w:after="120" w:line="360" w:lineRule="auto"/>
        <w:jc w:val="both"/>
        <w:rPr>
          <w:szCs w:val="24"/>
        </w:rPr>
      </w:pPr>
      <w:r w:rsidRPr="00483AEE">
        <w:rPr>
          <w:szCs w:val="24"/>
        </w:rPr>
        <w:t xml:space="preserve">Sin embargo, tales medidas, si bien permitieron controlar parcialmente el déficit público, no lograron </w:t>
      </w:r>
      <w:r w:rsidR="0028717F" w:rsidRPr="00483AEE">
        <w:rPr>
          <w:szCs w:val="24"/>
        </w:rPr>
        <w:t>abrir un</w:t>
      </w:r>
      <w:r w:rsidRPr="00483AEE">
        <w:rPr>
          <w:szCs w:val="24"/>
        </w:rPr>
        <w:t xml:space="preserve"> ciclo de crecimiento ni doblegar la inflación. Fue entonces que se llevó adelante una medida más drástica: se estableció un régimen de paridad cambiaria fija con el dólar y un esquema de caja de conversión –conocido como </w:t>
      </w:r>
      <w:r w:rsidR="00FA60B6" w:rsidRPr="00483AEE">
        <w:rPr>
          <w:szCs w:val="24"/>
        </w:rPr>
        <w:t>“</w:t>
      </w:r>
      <w:r w:rsidRPr="00483AEE">
        <w:rPr>
          <w:szCs w:val="24"/>
        </w:rPr>
        <w:t>plan de convertibilidad</w:t>
      </w:r>
      <w:r w:rsidR="00FA60B6" w:rsidRPr="00483AEE">
        <w:rPr>
          <w:szCs w:val="24"/>
        </w:rPr>
        <w:t>”</w:t>
      </w:r>
      <w:r w:rsidR="0051297D" w:rsidRPr="00483AEE">
        <w:rPr>
          <w:szCs w:val="24"/>
        </w:rPr>
        <w:t>–</w:t>
      </w:r>
      <w:r w:rsidRPr="00483AEE">
        <w:rPr>
          <w:szCs w:val="24"/>
        </w:rPr>
        <w:t>,</w:t>
      </w:r>
      <w:r w:rsidRPr="00483AEE">
        <w:rPr>
          <w:i/>
          <w:szCs w:val="24"/>
        </w:rPr>
        <w:t xml:space="preserve"> </w:t>
      </w:r>
      <w:r w:rsidRPr="00483AEE">
        <w:rPr>
          <w:szCs w:val="24"/>
        </w:rPr>
        <w:t>por medio del cual el Estado estaba impedido de ampliar la base monetaria sin respaldo en reservas internacionales, lo que en la práctica implicaba que el Banco Central renunciaba a su rol de prestamista de última instancia del sector financiero y del Tesoro (</w:t>
      </w:r>
      <w:proofErr w:type="spellStart"/>
      <w:r w:rsidRPr="00483AEE">
        <w:rPr>
          <w:szCs w:val="24"/>
        </w:rPr>
        <w:t>Cantamutto</w:t>
      </w:r>
      <w:proofErr w:type="spellEnd"/>
      <w:r w:rsidRPr="00483AEE">
        <w:rPr>
          <w:szCs w:val="24"/>
        </w:rPr>
        <w:t xml:space="preserve"> y </w:t>
      </w:r>
      <w:proofErr w:type="spellStart"/>
      <w:r w:rsidRPr="00483AEE">
        <w:rPr>
          <w:szCs w:val="24"/>
        </w:rPr>
        <w:t>Wainer</w:t>
      </w:r>
      <w:proofErr w:type="spellEnd"/>
      <w:r w:rsidRPr="00483AEE">
        <w:rPr>
          <w:szCs w:val="24"/>
        </w:rPr>
        <w:t xml:space="preserve">, 2013; </w:t>
      </w:r>
      <w:proofErr w:type="spellStart"/>
      <w:r w:rsidRPr="00483AEE">
        <w:rPr>
          <w:szCs w:val="24"/>
        </w:rPr>
        <w:t>Gerchunoff</w:t>
      </w:r>
      <w:proofErr w:type="spellEnd"/>
      <w:r w:rsidRPr="00483AEE">
        <w:rPr>
          <w:szCs w:val="24"/>
        </w:rPr>
        <w:t xml:space="preserve"> y Llach, 2008).</w:t>
      </w:r>
      <w:r w:rsidR="005F6739" w:rsidRPr="00483AEE">
        <w:rPr>
          <w:szCs w:val="24"/>
        </w:rPr>
        <w:t xml:space="preserve"> </w:t>
      </w:r>
      <w:r w:rsidR="00B34600" w:rsidRPr="00483AEE">
        <w:rPr>
          <w:szCs w:val="24"/>
        </w:rPr>
        <w:t xml:space="preserve"> </w:t>
      </w:r>
      <w:r w:rsidR="00124D02" w:rsidRPr="00483AEE">
        <w:rPr>
          <w:szCs w:val="24"/>
        </w:rPr>
        <w:t>Este modelo fue acompañado de una radical apertura comercial bajo un contexto de fuerte apreciación del tipo de cambio, una desregulación de los mercados de capital y del trabajo, junto con una profundización de los procesos de privatización de empresas públicas y del sistema de seguridad social, entre otras medidas.</w:t>
      </w:r>
    </w:p>
    <w:p w:rsidR="007A784B" w:rsidRPr="00483AEE" w:rsidRDefault="00124D02" w:rsidP="00483AEE">
      <w:pPr>
        <w:spacing w:after="120" w:line="360" w:lineRule="auto"/>
        <w:jc w:val="both"/>
        <w:rPr>
          <w:szCs w:val="24"/>
        </w:rPr>
      </w:pPr>
      <w:r w:rsidRPr="00483AEE">
        <w:rPr>
          <w:szCs w:val="24"/>
        </w:rPr>
        <w:t>La</w:t>
      </w:r>
      <w:r w:rsidR="000C702F" w:rsidRPr="00483AEE">
        <w:rPr>
          <w:szCs w:val="24"/>
        </w:rPr>
        <w:t xml:space="preserve"> apertura comercial, la apreciación cambiaria y el tipo de cambio fijo debían permitir el “disciplinamiento” de los precios internos, al hacerlos converger con la inflación </w:t>
      </w:r>
      <w:r w:rsidR="005F6739" w:rsidRPr="00483AEE">
        <w:rPr>
          <w:szCs w:val="24"/>
        </w:rPr>
        <w:t>de EEUU</w:t>
      </w:r>
      <w:r w:rsidR="000C702F" w:rsidRPr="00483AEE">
        <w:rPr>
          <w:szCs w:val="24"/>
        </w:rPr>
        <w:t xml:space="preserve">. </w:t>
      </w:r>
      <w:r w:rsidR="005F6739" w:rsidRPr="00483AEE">
        <w:rPr>
          <w:szCs w:val="24"/>
        </w:rPr>
        <w:t>En este marco, e</w:t>
      </w:r>
      <w:r w:rsidR="000C702F" w:rsidRPr="00483AEE">
        <w:rPr>
          <w:szCs w:val="24"/>
        </w:rPr>
        <w:t xml:space="preserve">l </w:t>
      </w:r>
      <w:r w:rsidR="0028717F" w:rsidRPr="00483AEE">
        <w:rPr>
          <w:szCs w:val="24"/>
        </w:rPr>
        <w:t xml:space="preserve">nuevo </w:t>
      </w:r>
      <w:r w:rsidR="000C702F" w:rsidRPr="00483AEE">
        <w:rPr>
          <w:szCs w:val="24"/>
        </w:rPr>
        <w:t xml:space="preserve">régimen </w:t>
      </w:r>
      <w:r w:rsidR="0028717F" w:rsidRPr="00483AEE">
        <w:rPr>
          <w:szCs w:val="24"/>
        </w:rPr>
        <w:t>monetario</w:t>
      </w:r>
      <w:r w:rsidR="000C702F" w:rsidRPr="00483AEE">
        <w:rPr>
          <w:szCs w:val="24"/>
        </w:rPr>
        <w:t xml:space="preserve"> fue exitoso en sus metas de corto plazo: logró inducir un </w:t>
      </w:r>
      <w:r w:rsidR="00FA60B6" w:rsidRPr="00483AEE">
        <w:rPr>
          <w:szCs w:val="24"/>
        </w:rPr>
        <w:t xml:space="preserve">nuevo </w:t>
      </w:r>
      <w:r w:rsidR="000C702F" w:rsidRPr="00483AEE">
        <w:rPr>
          <w:szCs w:val="24"/>
        </w:rPr>
        <w:t>ciclo de crecimiento del PIB</w:t>
      </w:r>
      <w:r w:rsidR="00FA60B6" w:rsidRPr="00483AEE">
        <w:rPr>
          <w:szCs w:val="24"/>
        </w:rPr>
        <w:t xml:space="preserve"> y del PIB per cápita</w:t>
      </w:r>
      <w:r w:rsidR="000C702F" w:rsidRPr="00483AEE">
        <w:rPr>
          <w:szCs w:val="24"/>
        </w:rPr>
        <w:t xml:space="preserve">, un aumento de la inversión y un cambio técnico que “modernizó” parcialmente al </w:t>
      </w:r>
      <w:r w:rsidR="00EC27E7" w:rsidRPr="00483AEE">
        <w:rPr>
          <w:szCs w:val="24"/>
        </w:rPr>
        <w:t>sistema económico</w:t>
      </w:r>
      <w:r w:rsidR="000C702F" w:rsidRPr="00483AEE">
        <w:rPr>
          <w:szCs w:val="24"/>
        </w:rPr>
        <w:t xml:space="preserve"> (</w:t>
      </w:r>
      <w:proofErr w:type="spellStart"/>
      <w:r w:rsidR="000C702F" w:rsidRPr="00483AEE">
        <w:rPr>
          <w:szCs w:val="24"/>
        </w:rPr>
        <w:t>Piva</w:t>
      </w:r>
      <w:proofErr w:type="spellEnd"/>
      <w:r w:rsidR="000C702F" w:rsidRPr="00483AEE">
        <w:rPr>
          <w:szCs w:val="24"/>
        </w:rPr>
        <w:t xml:space="preserve">, 2015). </w:t>
      </w:r>
      <w:r w:rsidR="005F6739" w:rsidRPr="00483AEE">
        <w:rPr>
          <w:szCs w:val="24"/>
        </w:rPr>
        <w:t>Por otra parte</w:t>
      </w:r>
      <w:r w:rsidR="000C702F" w:rsidRPr="00483AEE">
        <w:rPr>
          <w:szCs w:val="24"/>
        </w:rPr>
        <w:t xml:space="preserve">, el esquema tuvo dos consecuencias </w:t>
      </w:r>
      <w:r w:rsidR="005F6739" w:rsidRPr="00483AEE">
        <w:rPr>
          <w:szCs w:val="24"/>
        </w:rPr>
        <w:t>relevantes funcionales al nuevo patrón de acumulación global</w:t>
      </w:r>
      <w:r w:rsidR="000C702F" w:rsidRPr="00483AEE">
        <w:rPr>
          <w:szCs w:val="24"/>
        </w:rPr>
        <w:t>. En primer término, si bien una parte de las empresas pud</w:t>
      </w:r>
      <w:r w:rsidR="005F6739" w:rsidRPr="00483AEE">
        <w:rPr>
          <w:szCs w:val="24"/>
        </w:rPr>
        <w:t>ieron</w:t>
      </w:r>
      <w:r w:rsidR="000C702F" w:rsidRPr="00483AEE">
        <w:rPr>
          <w:szCs w:val="24"/>
        </w:rPr>
        <w:t xml:space="preserve"> adaptarse “ofensiva</w:t>
      </w:r>
      <w:r w:rsidR="00FA60B6" w:rsidRPr="00483AEE">
        <w:rPr>
          <w:szCs w:val="24"/>
        </w:rPr>
        <w:t xml:space="preserve">mente” a las nuevas condiciones </w:t>
      </w:r>
      <w:r w:rsidR="000C702F" w:rsidRPr="00483AEE">
        <w:rPr>
          <w:szCs w:val="24"/>
        </w:rPr>
        <w:t>–llevando adelante planes de inversión, aumentos de productividad y flexibilización en el uso de la fuerza de trabajo</w:t>
      </w:r>
      <w:r w:rsidR="00FA60B6" w:rsidRPr="00483AEE">
        <w:rPr>
          <w:szCs w:val="24"/>
        </w:rPr>
        <w:t>–</w:t>
      </w:r>
      <w:r w:rsidR="000C702F" w:rsidRPr="00483AEE">
        <w:rPr>
          <w:szCs w:val="24"/>
        </w:rPr>
        <w:t xml:space="preserve"> otras no pudieron enfrentar el patrón de economía abierta</w:t>
      </w:r>
      <w:r w:rsidR="00EC27E7" w:rsidRPr="00483AEE">
        <w:rPr>
          <w:szCs w:val="24"/>
        </w:rPr>
        <w:t xml:space="preserve">. Esto </w:t>
      </w:r>
      <w:r w:rsidR="000C702F" w:rsidRPr="00483AEE">
        <w:rPr>
          <w:szCs w:val="24"/>
        </w:rPr>
        <w:t>implicó quiebras y, por tanto, un proceso de centralización</w:t>
      </w:r>
      <w:r w:rsidR="00FA60B6" w:rsidRPr="00483AEE">
        <w:rPr>
          <w:szCs w:val="24"/>
        </w:rPr>
        <w:t xml:space="preserve"> de capitales</w:t>
      </w:r>
      <w:r w:rsidR="000C702F" w:rsidRPr="00483AEE">
        <w:rPr>
          <w:szCs w:val="24"/>
        </w:rPr>
        <w:t xml:space="preserve">. La política económica generó un sesgo contra los sectores productores de bienes y a favor de la expansión de los servicios (Fernández </w:t>
      </w:r>
      <w:proofErr w:type="spellStart"/>
      <w:r w:rsidR="000C702F" w:rsidRPr="00483AEE">
        <w:rPr>
          <w:szCs w:val="24"/>
        </w:rPr>
        <w:t>Bugna</w:t>
      </w:r>
      <w:proofErr w:type="spellEnd"/>
      <w:r w:rsidR="000C702F" w:rsidRPr="00483AEE">
        <w:rPr>
          <w:szCs w:val="24"/>
        </w:rPr>
        <w:t xml:space="preserve"> y Porta, 2008).</w:t>
      </w:r>
      <w:r w:rsidR="00FA60B6" w:rsidRPr="00483AEE">
        <w:rPr>
          <w:szCs w:val="24"/>
        </w:rPr>
        <w:t xml:space="preserve"> </w:t>
      </w:r>
      <w:r w:rsidR="0028717F" w:rsidRPr="00483AEE">
        <w:rPr>
          <w:szCs w:val="24"/>
        </w:rPr>
        <w:t>De este modo, d</w:t>
      </w:r>
      <w:r w:rsidR="0051297D" w:rsidRPr="00483AEE">
        <w:rPr>
          <w:szCs w:val="24"/>
        </w:rPr>
        <w:t xml:space="preserve">urante los años </w:t>
      </w:r>
      <w:r w:rsidR="00B34600" w:rsidRPr="00483AEE">
        <w:rPr>
          <w:szCs w:val="24"/>
        </w:rPr>
        <w:t>90</w:t>
      </w:r>
      <w:r w:rsidRPr="00483AEE">
        <w:rPr>
          <w:szCs w:val="24"/>
        </w:rPr>
        <w:t>s</w:t>
      </w:r>
      <w:r w:rsidR="0051297D" w:rsidRPr="00483AEE">
        <w:rPr>
          <w:szCs w:val="24"/>
        </w:rPr>
        <w:t xml:space="preserve"> tuvo lugar el inicio de una economía cada vez más orientada </w:t>
      </w:r>
      <w:r w:rsidR="00FA60B6" w:rsidRPr="00483AEE">
        <w:rPr>
          <w:szCs w:val="24"/>
        </w:rPr>
        <w:t>al mercado externo</w:t>
      </w:r>
      <w:r w:rsidR="0028717F" w:rsidRPr="00483AEE">
        <w:rPr>
          <w:szCs w:val="24"/>
        </w:rPr>
        <w:t>, a la vez que se continuaba con</w:t>
      </w:r>
      <w:r w:rsidR="00FA60B6" w:rsidRPr="00483AEE">
        <w:rPr>
          <w:szCs w:val="24"/>
        </w:rPr>
        <w:t xml:space="preserve"> el proceso de </w:t>
      </w:r>
      <w:r w:rsidR="00862E24" w:rsidRPr="00483AEE">
        <w:rPr>
          <w:szCs w:val="24"/>
        </w:rPr>
        <w:t>deterioro de los sectores productivos intermedios</w:t>
      </w:r>
      <w:r w:rsidR="00FA60B6" w:rsidRPr="00483AEE">
        <w:rPr>
          <w:szCs w:val="24"/>
        </w:rPr>
        <w:t xml:space="preserve">. </w:t>
      </w:r>
      <w:r w:rsidR="0051297D" w:rsidRPr="00483AEE">
        <w:rPr>
          <w:szCs w:val="24"/>
        </w:rPr>
        <w:t xml:space="preserve">El resultado fue </w:t>
      </w:r>
      <w:r w:rsidR="000C702F" w:rsidRPr="00483AEE">
        <w:rPr>
          <w:szCs w:val="24"/>
        </w:rPr>
        <w:t xml:space="preserve">la consolidación de un perfil de </w:t>
      </w:r>
      <w:r w:rsidR="000C702F" w:rsidRPr="00483AEE">
        <w:rPr>
          <w:szCs w:val="24"/>
        </w:rPr>
        <w:lastRenderedPageBreak/>
        <w:t xml:space="preserve">especialización productiva basado en la exportación de recursos naturales y de bienes </w:t>
      </w:r>
      <w:r w:rsidR="004E3ED7" w:rsidRPr="00483AEE">
        <w:rPr>
          <w:szCs w:val="24"/>
        </w:rPr>
        <w:t>primarios de</w:t>
      </w:r>
      <w:r w:rsidR="000C702F" w:rsidRPr="00483AEE">
        <w:rPr>
          <w:szCs w:val="24"/>
        </w:rPr>
        <w:t xml:space="preserve"> bajo valor agregado (</w:t>
      </w:r>
      <w:proofErr w:type="spellStart"/>
      <w:r w:rsidR="000C702F" w:rsidRPr="00483AEE">
        <w:rPr>
          <w:szCs w:val="24"/>
        </w:rPr>
        <w:t>Gaggero</w:t>
      </w:r>
      <w:proofErr w:type="spellEnd"/>
      <w:r w:rsidR="000C702F" w:rsidRPr="00483AEE">
        <w:rPr>
          <w:szCs w:val="24"/>
        </w:rPr>
        <w:t xml:space="preserve">, </w:t>
      </w:r>
      <w:proofErr w:type="spellStart"/>
      <w:r w:rsidR="000C702F" w:rsidRPr="00483AEE">
        <w:rPr>
          <w:szCs w:val="24"/>
        </w:rPr>
        <w:t>Schorr</w:t>
      </w:r>
      <w:proofErr w:type="spellEnd"/>
      <w:r w:rsidR="000C702F" w:rsidRPr="00483AEE">
        <w:rPr>
          <w:szCs w:val="24"/>
        </w:rPr>
        <w:t xml:space="preserve"> y </w:t>
      </w:r>
      <w:proofErr w:type="spellStart"/>
      <w:r w:rsidR="000C702F" w:rsidRPr="00483AEE">
        <w:rPr>
          <w:szCs w:val="24"/>
        </w:rPr>
        <w:t>Wainer</w:t>
      </w:r>
      <w:proofErr w:type="spellEnd"/>
      <w:r w:rsidR="000C702F" w:rsidRPr="00483AEE">
        <w:rPr>
          <w:szCs w:val="24"/>
        </w:rPr>
        <w:t>, 2014).</w:t>
      </w:r>
      <w:r w:rsidR="0051297D" w:rsidRPr="00483AEE">
        <w:rPr>
          <w:szCs w:val="24"/>
        </w:rPr>
        <w:t xml:space="preserve"> </w:t>
      </w:r>
    </w:p>
    <w:p w:rsidR="00CF4362" w:rsidRPr="00483AEE" w:rsidRDefault="004E3ED7" w:rsidP="00483AEE">
      <w:pPr>
        <w:spacing w:after="120" w:line="360" w:lineRule="auto"/>
        <w:jc w:val="both"/>
        <w:rPr>
          <w:szCs w:val="24"/>
        </w:rPr>
      </w:pPr>
      <w:r w:rsidRPr="00483AEE">
        <w:rPr>
          <w:szCs w:val="24"/>
        </w:rPr>
        <w:t>Ahora bien, un</w:t>
      </w:r>
      <w:r w:rsidR="000C702F" w:rsidRPr="00483AEE">
        <w:rPr>
          <w:szCs w:val="24"/>
        </w:rPr>
        <w:t xml:space="preserve"> </w:t>
      </w:r>
      <w:r w:rsidR="005F6739" w:rsidRPr="00483AEE">
        <w:rPr>
          <w:szCs w:val="24"/>
        </w:rPr>
        <w:t>aspecto estructural del nuevo</w:t>
      </w:r>
      <w:r w:rsidR="000C702F" w:rsidRPr="00483AEE">
        <w:rPr>
          <w:szCs w:val="24"/>
        </w:rPr>
        <w:t xml:space="preserve"> régimen macroeconómico </w:t>
      </w:r>
      <w:r w:rsidRPr="00483AEE">
        <w:rPr>
          <w:szCs w:val="24"/>
        </w:rPr>
        <w:t>era su</w:t>
      </w:r>
      <w:r w:rsidR="000C702F" w:rsidRPr="00483AEE">
        <w:rPr>
          <w:szCs w:val="24"/>
        </w:rPr>
        <w:t xml:space="preserve"> </w:t>
      </w:r>
      <w:r w:rsidR="005F6739" w:rsidRPr="00483AEE">
        <w:rPr>
          <w:szCs w:val="24"/>
        </w:rPr>
        <w:t>fuerte dependencia e</w:t>
      </w:r>
      <w:r w:rsidR="000C702F" w:rsidRPr="00483AEE">
        <w:rPr>
          <w:szCs w:val="24"/>
        </w:rPr>
        <w:t>xterna. En la medida que la apertura</w:t>
      </w:r>
      <w:r w:rsidR="005F6739" w:rsidRPr="00483AEE">
        <w:rPr>
          <w:szCs w:val="24"/>
        </w:rPr>
        <w:t xml:space="preserve"> comercial no </w:t>
      </w:r>
      <w:r w:rsidR="00174333" w:rsidRPr="00483AEE">
        <w:rPr>
          <w:szCs w:val="24"/>
        </w:rPr>
        <w:t>introdujera</w:t>
      </w:r>
      <w:r w:rsidR="005F6739" w:rsidRPr="00483AEE">
        <w:rPr>
          <w:szCs w:val="24"/>
        </w:rPr>
        <w:t xml:space="preserve"> mejoras sustantivas en</w:t>
      </w:r>
      <w:r w:rsidR="000C702F" w:rsidRPr="00483AEE">
        <w:rPr>
          <w:szCs w:val="24"/>
        </w:rPr>
        <w:t xml:space="preserve"> la productividad</w:t>
      </w:r>
      <w:r w:rsidR="005F6739" w:rsidRPr="00483AEE">
        <w:rPr>
          <w:szCs w:val="24"/>
        </w:rPr>
        <w:t xml:space="preserve"> global de la economía</w:t>
      </w:r>
      <w:r w:rsidR="000C702F" w:rsidRPr="00483AEE">
        <w:rPr>
          <w:szCs w:val="24"/>
        </w:rPr>
        <w:t>, el modelo dependía de la entrada de capitales externos que compensaran el déficit de cuenta corriente generado por la apreciación cambiaria</w:t>
      </w:r>
      <w:r w:rsidR="0028717F" w:rsidRPr="00483AEE">
        <w:rPr>
          <w:szCs w:val="24"/>
        </w:rPr>
        <w:t>.</w:t>
      </w:r>
      <w:r w:rsidR="000C702F" w:rsidRPr="00483AEE">
        <w:rPr>
          <w:szCs w:val="24"/>
        </w:rPr>
        <w:t xml:space="preserve"> </w:t>
      </w:r>
      <w:r w:rsidR="00174333" w:rsidRPr="00483AEE">
        <w:rPr>
          <w:szCs w:val="24"/>
        </w:rPr>
        <w:t>Pero d</w:t>
      </w:r>
      <w:r w:rsidR="000C702F" w:rsidRPr="00483AEE">
        <w:rPr>
          <w:szCs w:val="24"/>
        </w:rPr>
        <w:t xml:space="preserve">ado que el nuevo régimen no </w:t>
      </w:r>
      <w:r w:rsidR="00174333" w:rsidRPr="00483AEE">
        <w:rPr>
          <w:szCs w:val="24"/>
        </w:rPr>
        <w:t>generó</w:t>
      </w:r>
      <w:r w:rsidR="000C702F" w:rsidRPr="00483AEE">
        <w:rPr>
          <w:szCs w:val="24"/>
        </w:rPr>
        <w:t xml:space="preserve"> un salto significativo de productividad más allá del que tuvo lugar en los primeros años del mismo, en el contexto de una economía inserta en el mercado mundial, el proceso de acumulación tendió a descansar cada vez más en el aumento de la jornada laboral, la intensificación del trabajo y la caí</w:t>
      </w:r>
      <w:r w:rsidR="00FA60B6" w:rsidRPr="00483AEE">
        <w:rPr>
          <w:szCs w:val="24"/>
        </w:rPr>
        <w:t>da de los salarios (</w:t>
      </w:r>
      <w:proofErr w:type="spellStart"/>
      <w:r w:rsidR="00FA60B6" w:rsidRPr="00483AEE">
        <w:rPr>
          <w:szCs w:val="24"/>
        </w:rPr>
        <w:t>Piva</w:t>
      </w:r>
      <w:proofErr w:type="spellEnd"/>
      <w:r w:rsidR="00FA60B6" w:rsidRPr="00483AEE">
        <w:rPr>
          <w:szCs w:val="24"/>
        </w:rPr>
        <w:t>, 2015)</w:t>
      </w:r>
      <w:r w:rsidRPr="00483AEE">
        <w:rPr>
          <w:szCs w:val="24"/>
        </w:rPr>
        <w:t>, junto a un</w:t>
      </w:r>
      <w:r w:rsidR="00FA60B6" w:rsidRPr="00483AEE">
        <w:rPr>
          <w:szCs w:val="24"/>
        </w:rPr>
        <w:t xml:space="preserve"> creciente endeudamiento externo</w:t>
      </w:r>
      <w:r w:rsidR="0028717F" w:rsidRPr="00483AEE">
        <w:rPr>
          <w:szCs w:val="24"/>
        </w:rPr>
        <w:t xml:space="preserve">. </w:t>
      </w:r>
      <w:r w:rsidR="00FA60B6" w:rsidRPr="00483AEE">
        <w:rPr>
          <w:szCs w:val="24"/>
        </w:rPr>
        <w:t>E</w:t>
      </w:r>
      <w:r w:rsidR="000C702F" w:rsidRPr="00483AEE">
        <w:rPr>
          <w:szCs w:val="24"/>
        </w:rPr>
        <w:t xml:space="preserve">n 1995, luego de la crisis mexicana, la economía argentina </w:t>
      </w:r>
      <w:r w:rsidR="00CF4362" w:rsidRPr="00483AEE">
        <w:rPr>
          <w:szCs w:val="24"/>
        </w:rPr>
        <w:t xml:space="preserve">sufrió </w:t>
      </w:r>
      <w:r w:rsidR="00623A7C" w:rsidRPr="00483AEE">
        <w:rPr>
          <w:szCs w:val="24"/>
        </w:rPr>
        <w:t>también la retracción económica internacional, pe</w:t>
      </w:r>
      <w:r w:rsidR="00CF4362" w:rsidRPr="00483AEE">
        <w:rPr>
          <w:szCs w:val="24"/>
        </w:rPr>
        <w:t xml:space="preserve">ro logró salir rápidamente de esta situación </w:t>
      </w:r>
      <w:r w:rsidR="000C702F" w:rsidRPr="00483AEE">
        <w:rPr>
          <w:szCs w:val="24"/>
        </w:rPr>
        <w:t>gracias a</w:t>
      </w:r>
      <w:r w:rsidRPr="00483AEE">
        <w:rPr>
          <w:szCs w:val="24"/>
        </w:rPr>
        <w:t xml:space="preserve"> un mayor</w:t>
      </w:r>
      <w:r w:rsidR="000C702F" w:rsidRPr="00483AEE">
        <w:rPr>
          <w:szCs w:val="24"/>
        </w:rPr>
        <w:t xml:space="preserve"> financiamiento externo</w:t>
      </w:r>
      <w:r w:rsidR="00CF4362" w:rsidRPr="00483AEE">
        <w:rPr>
          <w:szCs w:val="24"/>
        </w:rPr>
        <w:t xml:space="preserve">. </w:t>
      </w:r>
      <w:r w:rsidR="00623A7C" w:rsidRPr="00483AEE">
        <w:rPr>
          <w:szCs w:val="24"/>
        </w:rPr>
        <w:t>Un reactivo clima de inversiones y de negocios generó un nuevo ciclo de crecimiento.</w:t>
      </w:r>
    </w:p>
    <w:p w:rsidR="00CF4362" w:rsidRPr="00483AEE" w:rsidRDefault="00A77CA1" w:rsidP="00483AEE">
      <w:pPr>
        <w:spacing w:after="120" w:line="360" w:lineRule="auto"/>
        <w:jc w:val="both"/>
        <w:rPr>
          <w:szCs w:val="24"/>
        </w:rPr>
      </w:pPr>
      <w:r w:rsidRPr="00483AEE">
        <w:rPr>
          <w:szCs w:val="24"/>
        </w:rPr>
        <w:t>Hasta ese momento</w:t>
      </w:r>
      <w:r w:rsidR="00CF4362" w:rsidRPr="00483AEE">
        <w:rPr>
          <w:szCs w:val="24"/>
        </w:rPr>
        <w:t xml:space="preserve"> se consideraba que la Argentina era una de las economías emergentes más prósperas y esa imagen favorable de los inversionistas permitió que el país colocara un volumen importante de bonos en los mercados </w:t>
      </w:r>
      <w:r w:rsidRPr="00483AEE">
        <w:rPr>
          <w:szCs w:val="24"/>
        </w:rPr>
        <w:t>financieros mundiales.</w:t>
      </w:r>
      <w:r w:rsidR="00CF4362" w:rsidRPr="00483AEE">
        <w:rPr>
          <w:rStyle w:val="Refdenotaalpie"/>
          <w:szCs w:val="24"/>
        </w:rPr>
        <w:footnoteReference w:id="12"/>
      </w:r>
      <w:r w:rsidR="00CF4362" w:rsidRPr="00483AEE">
        <w:rPr>
          <w:szCs w:val="24"/>
        </w:rPr>
        <w:t xml:space="preserve"> Sin embargo, </w:t>
      </w:r>
      <w:r w:rsidRPr="00483AEE">
        <w:rPr>
          <w:szCs w:val="24"/>
        </w:rPr>
        <w:t xml:space="preserve">la </w:t>
      </w:r>
      <w:r w:rsidR="00CF4362" w:rsidRPr="00483AEE">
        <w:rPr>
          <w:szCs w:val="24"/>
        </w:rPr>
        <w:t xml:space="preserve">segunda ola de crisis </w:t>
      </w:r>
      <w:r w:rsidRPr="00483AEE">
        <w:rPr>
          <w:szCs w:val="24"/>
        </w:rPr>
        <w:t xml:space="preserve">que comenzó a afectar a los </w:t>
      </w:r>
      <w:r w:rsidR="00CF4362" w:rsidRPr="00483AEE">
        <w:rPr>
          <w:szCs w:val="24"/>
        </w:rPr>
        <w:t>países “emergentes”</w:t>
      </w:r>
      <w:r w:rsidRPr="00483AEE">
        <w:rPr>
          <w:szCs w:val="24"/>
        </w:rPr>
        <w:t xml:space="preserve"> en 1998</w:t>
      </w:r>
      <w:r w:rsidR="00CF4362" w:rsidRPr="00483AEE">
        <w:rPr>
          <w:szCs w:val="24"/>
        </w:rPr>
        <w:t xml:space="preserve"> </w:t>
      </w:r>
      <w:r w:rsidRPr="00483AEE">
        <w:rPr>
          <w:szCs w:val="24"/>
        </w:rPr>
        <w:t xml:space="preserve">retrajo el crédito y </w:t>
      </w:r>
      <w:r w:rsidR="00CF4362" w:rsidRPr="00483AEE">
        <w:rPr>
          <w:szCs w:val="24"/>
        </w:rPr>
        <w:t>elevó las tasas de interés</w:t>
      </w:r>
      <w:r w:rsidRPr="00483AEE">
        <w:rPr>
          <w:szCs w:val="24"/>
        </w:rPr>
        <w:t>, introduciendo</w:t>
      </w:r>
      <w:r w:rsidR="00CF4362" w:rsidRPr="00483AEE">
        <w:rPr>
          <w:szCs w:val="24"/>
        </w:rPr>
        <w:t xml:space="preserve"> un período de inestabilidad y </w:t>
      </w:r>
      <w:r w:rsidR="00623A7C" w:rsidRPr="00483AEE">
        <w:rPr>
          <w:szCs w:val="24"/>
        </w:rPr>
        <w:t>depresión</w:t>
      </w:r>
      <w:r w:rsidR="00CF4362" w:rsidRPr="00483AEE">
        <w:rPr>
          <w:szCs w:val="24"/>
        </w:rPr>
        <w:t xml:space="preserve"> a partir de </w:t>
      </w:r>
      <w:r w:rsidRPr="00483AEE">
        <w:rPr>
          <w:szCs w:val="24"/>
        </w:rPr>
        <w:t>ese momento</w:t>
      </w:r>
      <w:r w:rsidR="00CF4362" w:rsidRPr="00483AEE">
        <w:rPr>
          <w:szCs w:val="24"/>
        </w:rPr>
        <w:t>.</w:t>
      </w:r>
      <w:r w:rsidR="00623A7C" w:rsidRPr="00483AEE">
        <w:rPr>
          <w:szCs w:val="24"/>
        </w:rPr>
        <w:t xml:space="preserve"> </w:t>
      </w:r>
      <w:r w:rsidRPr="00483AEE">
        <w:rPr>
          <w:szCs w:val="24"/>
        </w:rPr>
        <w:t>En ese mismo momento también estaba teniendo lugar, dada la apreciación del dólar y la devaluación del real en Brasil, una fuerte pérdida de competitividad externa; así como un agravamiento del déficit fiscal en un contexto político electoral.</w:t>
      </w:r>
    </w:p>
    <w:p w:rsidR="00981158" w:rsidRPr="00483AEE" w:rsidRDefault="008B57D0" w:rsidP="00483AEE">
      <w:pPr>
        <w:spacing w:after="120" w:line="360" w:lineRule="auto"/>
        <w:jc w:val="both"/>
        <w:rPr>
          <w:szCs w:val="24"/>
        </w:rPr>
      </w:pPr>
      <w:r w:rsidRPr="00483AEE">
        <w:rPr>
          <w:szCs w:val="24"/>
        </w:rPr>
        <w:t xml:space="preserve">En ese contexto, bajo el gobierno de Fernando </w:t>
      </w:r>
      <w:r w:rsidR="00EF1C3E" w:rsidRPr="00483AEE">
        <w:rPr>
          <w:szCs w:val="24"/>
        </w:rPr>
        <w:t>D</w:t>
      </w:r>
      <w:r w:rsidRPr="00483AEE">
        <w:rPr>
          <w:szCs w:val="24"/>
        </w:rPr>
        <w:t xml:space="preserve">e la </w:t>
      </w:r>
      <w:r w:rsidR="00EF1C3E" w:rsidRPr="00483AEE">
        <w:rPr>
          <w:szCs w:val="24"/>
        </w:rPr>
        <w:t>Rúa</w:t>
      </w:r>
      <w:r w:rsidRPr="00483AEE">
        <w:rPr>
          <w:szCs w:val="24"/>
        </w:rPr>
        <w:t xml:space="preserve"> (1999-2001), </w:t>
      </w:r>
      <w:r w:rsidR="00EF1C3E" w:rsidRPr="00483AEE">
        <w:rPr>
          <w:szCs w:val="24"/>
        </w:rPr>
        <w:t xml:space="preserve">se </w:t>
      </w:r>
      <w:r w:rsidR="00981158" w:rsidRPr="00483AEE">
        <w:rPr>
          <w:szCs w:val="24"/>
        </w:rPr>
        <w:t>intentó</w:t>
      </w:r>
      <w:r w:rsidR="00EF1C3E" w:rsidRPr="00483AEE">
        <w:rPr>
          <w:szCs w:val="24"/>
        </w:rPr>
        <w:t xml:space="preserve"> de manera fallida </w:t>
      </w:r>
      <w:r w:rsidRPr="00483AEE">
        <w:rPr>
          <w:szCs w:val="24"/>
        </w:rPr>
        <w:t xml:space="preserve">introducir medidas de ajuste </w:t>
      </w:r>
      <w:r w:rsidR="00A77CA1" w:rsidRPr="00483AEE">
        <w:rPr>
          <w:szCs w:val="24"/>
        </w:rPr>
        <w:t xml:space="preserve">del gasto público </w:t>
      </w:r>
      <w:r w:rsidRPr="00483AEE">
        <w:rPr>
          <w:szCs w:val="24"/>
        </w:rPr>
        <w:t xml:space="preserve">con el fin de </w:t>
      </w:r>
      <w:r w:rsidR="002211B0" w:rsidRPr="00483AEE">
        <w:rPr>
          <w:szCs w:val="24"/>
        </w:rPr>
        <w:t>reducir</w:t>
      </w:r>
      <w:r w:rsidRPr="00483AEE">
        <w:rPr>
          <w:szCs w:val="24"/>
        </w:rPr>
        <w:t xml:space="preserve"> la</w:t>
      </w:r>
      <w:r w:rsidR="00F95784" w:rsidRPr="00483AEE">
        <w:rPr>
          <w:szCs w:val="24"/>
        </w:rPr>
        <w:t>s</w:t>
      </w:r>
      <w:r w:rsidRPr="00483AEE">
        <w:rPr>
          <w:szCs w:val="24"/>
        </w:rPr>
        <w:t xml:space="preserve"> necesidad</w:t>
      </w:r>
      <w:r w:rsidR="00F95784" w:rsidRPr="00483AEE">
        <w:rPr>
          <w:szCs w:val="24"/>
        </w:rPr>
        <w:t>es</w:t>
      </w:r>
      <w:r w:rsidRPr="00483AEE">
        <w:rPr>
          <w:szCs w:val="24"/>
        </w:rPr>
        <w:t xml:space="preserve"> de </w:t>
      </w:r>
      <w:r w:rsidR="00F95784" w:rsidRPr="00483AEE">
        <w:rPr>
          <w:szCs w:val="24"/>
        </w:rPr>
        <w:t xml:space="preserve">crédito y renegociar la deuda; la </w:t>
      </w:r>
      <w:r w:rsidR="00862E24" w:rsidRPr="00483AEE">
        <w:rPr>
          <w:szCs w:val="24"/>
        </w:rPr>
        <w:t xml:space="preserve">cual </w:t>
      </w:r>
      <w:r w:rsidR="00F95784" w:rsidRPr="00483AEE">
        <w:rPr>
          <w:szCs w:val="24"/>
        </w:rPr>
        <w:t xml:space="preserve">seguía </w:t>
      </w:r>
      <w:r w:rsidRPr="00483AEE">
        <w:rPr>
          <w:szCs w:val="24"/>
        </w:rPr>
        <w:t>creci</w:t>
      </w:r>
      <w:r w:rsidR="00F95784" w:rsidRPr="00483AEE">
        <w:rPr>
          <w:szCs w:val="24"/>
        </w:rPr>
        <w:t xml:space="preserve">endo </w:t>
      </w:r>
      <w:r w:rsidR="00EF1C3E" w:rsidRPr="00483AEE">
        <w:rPr>
          <w:szCs w:val="24"/>
        </w:rPr>
        <w:t xml:space="preserve">a tasas </w:t>
      </w:r>
      <w:r w:rsidR="00862E24" w:rsidRPr="00483AEE">
        <w:rPr>
          <w:szCs w:val="24"/>
        </w:rPr>
        <w:t>difíciles</w:t>
      </w:r>
      <w:r w:rsidR="002211B0" w:rsidRPr="00483AEE">
        <w:rPr>
          <w:szCs w:val="24"/>
        </w:rPr>
        <w:t xml:space="preserve"> de afrontar por las finanzas públicas</w:t>
      </w:r>
      <w:r w:rsidRPr="00483AEE">
        <w:rPr>
          <w:szCs w:val="24"/>
        </w:rPr>
        <w:t xml:space="preserve">. </w:t>
      </w:r>
      <w:r w:rsidR="00981158" w:rsidRPr="00483AEE">
        <w:rPr>
          <w:szCs w:val="24"/>
        </w:rPr>
        <w:t xml:space="preserve">El creciente déficit fiscal y la deuda acumulada </w:t>
      </w:r>
      <w:r w:rsidR="00F95784" w:rsidRPr="00483AEE">
        <w:rPr>
          <w:szCs w:val="24"/>
        </w:rPr>
        <w:t>constituían</w:t>
      </w:r>
      <w:r w:rsidR="00981158" w:rsidRPr="00483AEE">
        <w:rPr>
          <w:szCs w:val="24"/>
        </w:rPr>
        <w:t xml:space="preserve"> una seria restricción al crecimiento. Asimismo, la permanencia del régimen de convertibilidad hacía imposible</w:t>
      </w:r>
      <w:r w:rsidR="00F95784" w:rsidRPr="00483AEE">
        <w:rPr>
          <w:szCs w:val="24"/>
        </w:rPr>
        <w:t xml:space="preserve"> utilizar</w:t>
      </w:r>
      <w:r w:rsidR="00981158" w:rsidRPr="00483AEE">
        <w:rPr>
          <w:szCs w:val="24"/>
        </w:rPr>
        <w:t xml:space="preserve"> </w:t>
      </w:r>
      <w:r w:rsidR="00F95784" w:rsidRPr="00483AEE">
        <w:rPr>
          <w:szCs w:val="24"/>
        </w:rPr>
        <w:t xml:space="preserve">políticas monetarias expansivas con el fin de </w:t>
      </w:r>
      <w:r w:rsidR="00981158" w:rsidRPr="00483AEE">
        <w:rPr>
          <w:szCs w:val="24"/>
        </w:rPr>
        <w:t xml:space="preserve">reactivar </w:t>
      </w:r>
      <w:r w:rsidR="00F95784" w:rsidRPr="00483AEE">
        <w:rPr>
          <w:szCs w:val="24"/>
        </w:rPr>
        <w:t>la economía a través del</w:t>
      </w:r>
      <w:r w:rsidR="00981158" w:rsidRPr="00483AEE">
        <w:rPr>
          <w:szCs w:val="24"/>
        </w:rPr>
        <w:t xml:space="preserve"> consumo interno (</w:t>
      </w:r>
      <w:proofErr w:type="spellStart"/>
      <w:r w:rsidR="00981158" w:rsidRPr="00483AEE">
        <w:rPr>
          <w:szCs w:val="24"/>
        </w:rPr>
        <w:t>Gerchunoff</w:t>
      </w:r>
      <w:proofErr w:type="spellEnd"/>
      <w:r w:rsidR="00981158" w:rsidRPr="00483AEE">
        <w:rPr>
          <w:szCs w:val="24"/>
        </w:rPr>
        <w:t xml:space="preserve"> y Llach, 2008).</w:t>
      </w:r>
      <w:r w:rsidR="00F95784" w:rsidRPr="00483AEE">
        <w:rPr>
          <w:szCs w:val="24"/>
        </w:rPr>
        <w:t xml:space="preserve"> La </w:t>
      </w:r>
      <w:r w:rsidR="00F95784" w:rsidRPr="00483AEE">
        <w:rPr>
          <w:szCs w:val="24"/>
        </w:rPr>
        <w:lastRenderedPageBreak/>
        <w:t>inflexibilidad del modelo de estabilización de precios para adecuar los niveles de competitividad, sumado a la caída de los precios de los bienes primarios de exportación, potenciaron la crisis.</w:t>
      </w:r>
      <w:r w:rsidR="00F95784" w:rsidRPr="00483AEE">
        <w:rPr>
          <w:szCs w:val="24"/>
          <w:vertAlign w:val="superscript"/>
        </w:rPr>
        <w:footnoteReference w:id="13"/>
      </w:r>
    </w:p>
    <w:p w:rsidR="008B57D0" w:rsidRPr="00483AEE" w:rsidRDefault="00F95784" w:rsidP="00483AEE">
      <w:pPr>
        <w:spacing w:after="120" w:line="360" w:lineRule="auto"/>
        <w:jc w:val="both"/>
        <w:rPr>
          <w:szCs w:val="24"/>
        </w:rPr>
      </w:pPr>
      <w:r w:rsidRPr="00483AEE">
        <w:rPr>
          <w:szCs w:val="24"/>
        </w:rPr>
        <w:t>Con una economía deprimida</w:t>
      </w:r>
      <w:r w:rsidR="00E4797F" w:rsidRPr="00483AEE">
        <w:rPr>
          <w:szCs w:val="24"/>
        </w:rPr>
        <w:t>, l</w:t>
      </w:r>
      <w:r w:rsidR="000C702F" w:rsidRPr="00483AEE">
        <w:rPr>
          <w:szCs w:val="24"/>
        </w:rPr>
        <w:t xml:space="preserve">a negativa de los organismos internacionales a seguir financiando </w:t>
      </w:r>
      <w:r w:rsidR="004E406A" w:rsidRPr="00483AEE">
        <w:rPr>
          <w:szCs w:val="24"/>
        </w:rPr>
        <w:t>el déficit fiscal</w:t>
      </w:r>
      <w:r w:rsidR="000C702F" w:rsidRPr="00483AEE">
        <w:rPr>
          <w:szCs w:val="24"/>
        </w:rPr>
        <w:t xml:space="preserve"> </w:t>
      </w:r>
      <w:r w:rsidR="00E149C5" w:rsidRPr="00483AEE">
        <w:rPr>
          <w:szCs w:val="24"/>
        </w:rPr>
        <w:t>argentino</w:t>
      </w:r>
      <w:r w:rsidRPr="00483AEE">
        <w:rPr>
          <w:szCs w:val="24"/>
        </w:rPr>
        <w:t xml:space="preserve"> y </w:t>
      </w:r>
      <w:r w:rsidR="00E149C5" w:rsidRPr="00483AEE">
        <w:rPr>
          <w:szCs w:val="24"/>
        </w:rPr>
        <w:t xml:space="preserve">la </w:t>
      </w:r>
      <w:r w:rsidR="002C2E8D" w:rsidRPr="00483AEE">
        <w:rPr>
          <w:szCs w:val="24"/>
        </w:rPr>
        <w:t>retirada</w:t>
      </w:r>
      <w:r w:rsidR="00E149C5" w:rsidRPr="00483AEE">
        <w:rPr>
          <w:szCs w:val="24"/>
        </w:rPr>
        <w:t xml:space="preserve"> de apoyo</w:t>
      </w:r>
      <w:r w:rsidR="0053260B" w:rsidRPr="00483AEE">
        <w:rPr>
          <w:szCs w:val="24"/>
        </w:rPr>
        <w:t xml:space="preserve"> </w:t>
      </w:r>
      <w:r w:rsidRPr="00483AEE">
        <w:rPr>
          <w:szCs w:val="24"/>
        </w:rPr>
        <w:t>por parte de</w:t>
      </w:r>
      <w:r w:rsidR="0053260B" w:rsidRPr="00483AEE">
        <w:rPr>
          <w:szCs w:val="24"/>
        </w:rPr>
        <w:t xml:space="preserve"> los </w:t>
      </w:r>
      <w:r w:rsidRPr="00483AEE">
        <w:rPr>
          <w:szCs w:val="24"/>
        </w:rPr>
        <w:t xml:space="preserve">principales </w:t>
      </w:r>
      <w:r w:rsidR="0053260B" w:rsidRPr="00483AEE">
        <w:rPr>
          <w:szCs w:val="24"/>
        </w:rPr>
        <w:t xml:space="preserve">agentes económicos </w:t>
      </w:r>
      <w:r w:rsidR="00E149C5" w:rsidRPr="00483AEE">
        <w:rPr>
          <w:szCs w:val="24"/>
        </w:rPr>
        <w:t xml:space="preserve">internos, </w:t>
      </w:r>
      <w:r w:rsidR="002C2E8D" w:rsidRPr="00483AEE">
        <w:rPr>
          <w:szCs w:val="24"/>
        </w:rPr>
        <w:t xml:space="preserve">desataron una fuerte corrida financiera y </w:t>
      </w:r>
      <w:r w:rsidRPr="00483AEE">
        <w:rPr>
          <w:szCs w:val="24"/>
        </w:rPr>
        <w:t>pusieron en evidencia la</w:t>
      </w:r>
      <w:r w:rsidR="004E406A" w:rsidRPr="00483AEE">
        <w:rPr>
          <w:szCs w:val="24"/>
        </w:rPr>
        <w:t xml:space="preserve"> “banca rota”</w:t>
      </w:r>
      <w:r w:rsidR="00EB60C4" w:rsidRPr="00483AEE">
        <w:rPr>
          <w:szCs w:val="24"/>
        </w:rPr>
        <w:t xml:space="preserve"> del Estado</w:t>
      </w:r>
      <w:r w:rsidRPr="00483AEE">
        <w:rPr>
          <w:szCs w:val="24"/>
        </w:rPr>
        <w:t xml:space="preserve">. </w:t>
      </w:r>
      <w:r w:rsidR="002C2E8D" w:rsidRPr="00483AEE">
        <w:rPr>
          <w:szCs w:val="24"/>
        </w:rPr>
        <w:t>El estado general de ingobernabilidad, en el marco de un agitado caos p</w:t>
      </w:r>
      <w:r w:rsidRPr="00483AEE">
        <w:rPr>
          <w:szCs w:val="24"/>
        </w:rPr>
        <w:t xml:space="preserve">olítico y social, </w:t>
      </w:r>
      <w:r w:rsidR="00862E24" w:rsidRPr="00483AEE">
        <w:rPr>
          <w:szCs w:val="24"/>
        </w:rPr>
        <w:t>forzó</w:t>
      </w:r>
      <w:r w:rsidR="004E406A" w:rsidRPr="00483AEE">
        <w:rPr>
          <w:szCs w:val="24"/>
        </w:rPr>
        <w:t xml:space="preserve"> </w:t>
      </w:r>
      <w:r w:rsidR="00FB579E" w:rsidRPr="00483AEE">
        <w:rPr>
          <w:szCs w:val="24"/>
        </w:rPr>
        <w:t xml:space="preserve">la </w:t>
      </w:r>
      <w:r w:rsidR="004E406A" w:rsidRPr="00483AEE">
        <w:rPr>
          <w:szCs w:val="24"/>
        </w:rPr>
        <w:t xml:space="preserve">renuncia </w:t>
      </w:r>
      <w:r w:rsidR="00EF1C3E" w:rsidRPr="00483AEE">
        <w:rPr>
          <w:szCs w:val="24"/>
        </w:rPr>
        <w:t xml:space="preserve">del </w:t>
      </w:r>
      <w:r w:rsidR="002C2E8D" w:rsidRPr="00483AEE">
        <w:rPr>
          <w:szCs w:val="24"/>
        </w:rPr>
        <w:t>gobierno</w:t>
      </w:r>
      <w:r w:rsidR="00CF4362" w:rsidRPr="00483AEE">
        <w:rPr>
          <w:szCs w:val="24"/>
        </w:rPr>
        <w:t xml:space="preserve"> de </w:t>
      </w:r>
      <w:proofErr w:type="spellStart"/>
      <w:r w:rsidR="00EF1C3E" w:rsidRPr="00483AEE">
        <w:rPr>
          <w:szCs w:val="24"/>
        </w:rPr>
        <w:t>De</w:t>
      </w:r>
      <w:proofErr w:type="spellEnd"/>
      <w:r w:rsidR="00EF1C3E" w:rsidRPr="00483AEE">
        <w:rPr>
          <w:szCs w:val="24"/>
        </w:rPr>
        <w:t xml:space="preserve"> la Rúa</w:t>
      </w:r>
      <w:r w:rsidR="008B57D0" w:rsidRPr="00483AEE">
        <w:rPr>
          <w:szCs w:val="24"/>
        </w:rPr>
        <w:t xml:space="preserve">. </w:t>
      </w:r>
    </w:p>
    <w:p w:rsidR="00907FF3" w:rsidRPr="00483AEE" w:rsidRDefault="008B57D0" w:rsidP="00153819">
      <w:pPr>
        <w:spacing w:before="360" w:after="120" w:line="360" w:lineRule="auto"/>
        <w:ind w:left="357"/>
        <w:jc w:val="center"/>
        <w:rPr>
          <w:szCs w:val="24"/>
          <w:u w:val="single"/>
        </w:rPr>
      </w:pPr>
      <w:r w:rsidRPr="00483AEE">
        <w:rPr>
          <w:szCs w:val="24"/>
          <w:u w:val="single"/>
        </w:rPr>
        <w:t>Un giro</w:t>
      </w:r>
      <w:r w:rsidR="00907FF3" w:rsidRPr="00483AEE">
        <w:rPr>
          <w:szCs w:val="24"/>
          <w:u w:val="single"/>
        </w:rPr>
        <w:t xml:space="preserve"> hacia </w:t>
      </w:r>
      <w:r w:rsidR="002211B0" w:rsidRPr="00483AEE">
        <w:rPr>
          <w:szCs w:val="24"/>
          <w:u w:val="single"/>
        </w:rPr>
        <w:t xml:space="preserve">las </w:t>
      </w:r>
      <w:r w:rsidR="00907FF3" w:rsidRPr="00483AEE">
        <w:rPr>
          <w:szCs w:val="24"/>
          <w:u w:val="single"/>
        </w:rPr>
        <w:t>Políticas Heterodoxas</w:t>
      </w:r>
    </w:p>
    <w:p w:rsidR="003B7463" w:rsidRPr="00483AEE" w:rsidRDefault="002C2E8D" w:rsidP="00483AEE">
      <w:pPr>
        <w:spacing w:after="120" w:line="360" w:lineRule="auto"/>
        <w:jc w:val="both"/>
        <w:rPr>
          <w:szCs w:val="24"/>
        </w:rPr>
      </w:pPr>
      <w:r w:rsidRPr="00483AEE">
        <w:rPr>
          <w:szCs w:val="24"/>
        </w:rPr>
        <w:t>La crisis</w:t>
      </w:r>
      <w:r w:rsidR="00E149C5" w:rsidRPr="00483AEE">
        <w:rPr>
          <w:szCs w:val="24"/>
        </w:rPr>
        <w:t xml:space="preserve"> condujo </w:t>
      </w:r>
      <w:r w:rsidRPr="00483AEE">
        <w:rPr>
          <w:szCs w:val="24"/>
        </w:rPr>
        <w:t xml:space="preserve">a principios del año 2002 a declarar el </w:t>
      </w:r>
      <w:r w:rsidRPr="00483AEE">
        <w:rPr>
          <w:i/>
          <w:szCs w:val="24"/>
        </w:rPr>
        <w:t>default</w:t>
      </w:r>
      <w:r w:rsidRPr="00483AEE">
        <w:rPr>
          <w:szCs w:val="24"/>
        </w:rPr>
        <w:t xml:space="preserve"> de la deuda externa y a </w:t>
      </w:r>
      <w:r w:rsidR="006F5FE0" w:rsidRPr="00483AEE">
        <w:rPr>
          <w:szCs w:val="24"/>
        </w:rPr>
        <w:t>salir</w:t>
      </w:r>
      <w:r w:rsidR="00E149C5" w:rsidRPr="00483AEE">
        <w:rPr>
          <w:szCs w:val="24"/>
        </w:rPr>
        <w:t xml:space="preserve"> del régimen de convertibilidad</w:t>
      </w:r>
      <w:r w:rsidR="00833F18" w:rsidRPr="00483AEE">
        <w:rPr>
          <w:szCs w:val="24"/>
        </w:rPr>
        <w:t xml:space="preserve"> a través de una</w:t>
      </w:r>
      <w:r w:rsidR="00CC437B" w:rsidRPr="00483AEE">
        <w:rPr>
          <w:szCs w:val="24"/>
        </w:rPr>
        <w:t xml:space="preserve"> fuerte</w:t>
      </w:r>
      <w:r w:rsidR="00E149C5" w:rsidRPr="00483AEE">
        <w:rPr>
          <w:szCs w:val="24"/>
        </w:rPr>
        <w:t xml:space="preserve"> </w:t>
      </w:r>
      <w:r w:rsidRPr="00483AEE">
        <w:rPr>
          <w:szCs w:val="24"/>
        </w:rPr>
        <w:t>devalua</w:t>
      </w:r>
      <w:r w:rsidR="00833F18" w:rsidRPr="00483AEE">
        <w:rPr>
          <w:szCs w:val="24"/>
        </w:rPr>
        <w:t>ción d</w:t>
      </w:r>
      <w:r w:rsidR="00E149C5" w:rsidRPr="00483AEE">
        <w:rPr>
          <w:szCs w:val="24"/>
        </w:rPr>
        <w:t>el tipo de cambio</w:t>
      </w:r>
      <w:r w:rsidR="00833F18" w:rsidRPr="00483AEE">
        <w:rPr>
          <w:szCs w:val="24"/>
        </w:rPr>
        <w:t>.</w:t>
      </w:r>
      <w:r w:rsidR="003B7463" w:rsidRPr="00483AEE">
        <w:rPr>
          <w:rStyle w:val="Refdenotaalpie"/>
          <w:szCs w:val="24"/>
        </w:rPr>
        <w:t xml:space="preserve"> </w:t>
      </w:r>
      <w:r w:rsidR="003B7463" w:rsidRPr="00483AEE">
        <w:rPr>
          <w:rStyle w:val="Refdenotaalpie"/>
          <w:szCs w:val="24"/>
        </w:rPr>
        <w:footnoteReference w:id="14"/>
      </w:r>
      <w:r w:rsidR="00833F18" w:rsidRPr="00483AEE">
        <w:rPr>
          <w:szCs w:val="24"/>
        </w:rPr>
        <w:t xml:space="preserve"> La situación generó en lo inmediato </w:t>
      </w:r>
      <w:r w:rsidR="00E149C5" w:rsidRPr="00483AEE">
        <w:rPr>
          <w:szCs w:val="24"/>
        </w:rPr>
        <w:t>un colapso económico</w:t>
      </w:r>
      <w:r w:rsidRPr="00483AEE">
        <w:rPr>
          <w:szCs w:val="24"/>
        </w:rPr>
        <w:t xml:space="preserve"> </w:t>
      </w:r>
      <w:r w:rsidR="00833F18" w:rsidRPr="00483AEE">
        <w:rPr>
          <w:szCs w:val="24"/>
        </w:rPr>
        <w:t>con una fuerte pérdida de empleos</w:t>
      </w:r>
      <w:r w:rsidR="003B7463" w:rsidRPr="00483AEE">
        <w:rPr>
          <w:szCs w:val="24"/>
        </w:rPr>
        <w:t>, salarios reales e</w:t>
      </w:r>
      <w:r w:rsidRPr="00483AEE">
        <w:rPr>
          <w:szCs w:val="24"/>
        </w:rPr>
        <w:t xml:space="preserve"> ingresos</w:t>
      </w:r>
      <w:r w:rsidR="00833F18" w:rsidRPr="00483AEE">
        <w:rPr>
          <w:szCs w:val="24"/>
        </w:rPr>
        <w:t xml:space="preserve">. Sin embargo, a finales de 2002, los efectos </w:t>
      </w:r>
      <w:r w:rsidR="00D354FA" w:rsidRPr="00483AEE">
        <w:rPr>
          <w:szCs w:val="24"/>
        </w:rPr>
        <w:t>más críticos</w:t>
      </w:r>
      <w:r w:rsidR="00833F18" w:rsidRPr="00483AEE">
        <w:rPr>
          <w:szCs w:val="24"/>
        </w:rPr>
        <w:t xml:space="preserve"> de esta crisis </w:t>
      </w:r>
      <w:r w:rsidR="003B7463" w:rsidRPr="00483AEE">
        <w:rPr>
          <w:szCs w:val="24"/>
        </w:rPr>
        <w:t xml:space="preserve">habían </w:t>
      </w:r>
      <w:r w:rsidR="00833F18" w:rsidRPr="00483AEE">
        <w:rPr>
          <w:szCs w:val="24"/>
        </w:rPr>
        <w:t>comenza</w:t>
      </w:r>
      <w:r w:rsidR="003B7463" w:rsidRPr="00483AEE">
        <w:rPr>
          <w:szCs w:val="24"/>
        </w:rPr>
        <w:t>do</w:t>
      </w:r>
      <w:r w:rsidR="00833F18" w:rsidRPr="00483AEE">
        <w:rPr>
          <w:szCs w:val="24"/>
        </w:rPr>
        <w:t xml:space="preserve"> a diluirse.</w:t>
      </w:r>
      <w:r w:rsidR="00833F18" w:rsidRPr="00483AEE">
        <w:rPr>
          <w:rStyle w:val="Refdenotaalpie"/>
          <w:szCs w:val="24"/>
        </w:rPr>
        <w:t xml:space="preserve"> </w:t>
      </w:r>
      <w:r w:rsidR="00D354FA" w:rsidRPr="00483AEE">
        <w:rPr>
          <w:szCs w:val="24"/>
        </w:rPr>
        <w:t xml:space="preserve"> </w:t>
      </w:r>
      <w:r w:rsidR="003B7463" w:rsidRPr="00483AEE">
        <w:rPr>
          <w:szCs w:val="24"/>
        </w:rPr>
        <w:t>Luego</w:t>
      </w:r>
      <w:r w:rsidR="00833F18" w:rsidRPr="00483AEE">
        <w:rPr>
          <w:szCs w:val="24"/>
        </w:rPr>
        <w:t xml:space="preserve"> de</w:t>
      </w:r>
      <w:r w:rsidR="003B7463" w:rsidRPr="00483AEE">
        <w:rPr>
          <w:szCs w:val="24"/>
        </w:rPr>
        <w:t>l</w:t>
      </w:r>
      <w:r w:rsidR="00833F18" w:rsidRPr="00483AEE">
        <w:rPr>
          <w:szCs w:val="24"/>
        </w:rPr>
        <w:t xml:space="preserve"> gobierno de transición a cargo de Eduardo Duhalde (2002-2003), asumió como presidente </w:t>
      </w:r>
      <w:r w:rsidR="003B7463" w:rsidRPr="00483AEE">
        <w:rPr>
          <w:szCs w:val="24"/>
        </w:rPr>
        <w:t xml:space="preserve">electo </w:t>
      </w:r>
      <w:r w:rsidR="00833F18" w:rsidRPr="00483AEE">
        <w:rPr>
          <w:szCs w:val="24"/>
        </w:rPr>
        <w:t>Néstor Kirchner (2003-2007)</w:t>
      </w:r>
      <w:r w:rsidR="003B7463" w:rsidRPr="00483AEE">
        <w:rPr>
          <w:szCs w:val="24"/>
        </w:rPr>
        <w:t xml:space="preserve">. </w:t>
      </w:r>
    </w:p>
    <w:p w:rsidR="005D0CE3" w:rsidRPr="00483AEE" w:rsidRDefault="005D0CE3" w:rsidP="00483AEE">
      <w:pPr>
        <w:spacing w:after="120" w:line="360" w:lineRule="auto"/>
        <w:jc w:val="both"/>
        <w:rPr>
          <w:szCs w:val="24"/>
        </w:rPr>
      </w:pPr>
      <w:r w:rsidRPr="00483AEE">
        <w:rPr>
          <w:szCs w:val="24"/>
        </w:rPr>
        <w:t xml:space="preserve">La gran devaluación del peso en 2002 generó una nueva estructura de precios relativos que propició la recuperación económica. La caída en los salarios reales aumentó la competitividad de los productos comerciables y desalentó las importaciones. Los nuevos impuestos, junto al cese de pago de las obligaciones de deuda del gobierno, permitieron un superávit fiscal que ayudó a estabilizar la economía. El gobierno peronista 2002-2003 fue capaz de contener el descontento social y la inestabilidad política con la ayuda de programas de transferencias monetarias que alcanzaron una cobertura sin precedentes. </w:t>
      </w:r>
    </w:p>
    <w:p w:rsidR="00816646" w:rsidRPr="00483AEE" w:rsidRDefault="005D0CE3" w:rsidP="00483AEE">
      <w:pPr>
        <w:spacing w:after="120" w:line="360" w:lineRule="auto"/>
        <w:jc w:val="both"/>
        <w:rPr>
          <w:szCs w:val="24"/>
        </w:rPr>
      </w:pPr>
      <w:r w:rsidRPr="00483AEE">
        <w:rPr>
          <w:szCs w:val="24"/>
        </w:rPr>
        <w:lastRenderedPageBreak/>
        <w:t>En efecto, l</w:t>
      </w:r>
      <w:r w:rsidR="00D354FA" w:rsidRPr="00483AEE">
        <w:rPr>
          <w:szCs w:val="24"/>
        </w:rPr>
        <w:t xml:space="preserve">a medida devaluatoria </w:t>
      </w:r>
      <w:r w:rsidR="00CC437B" w:rsidRPr="00483AEE">
        <w:rPr>
          <w:szCs w:val="24"/>
        </w:rPr>
        <w:t>mejoró sustantivamente el</w:t>
      </w:r>
      <w:r w:rsidR="00D354FA" w:rsidRPr="00483AEE">
        <w:rPr>
          <w:szCs w:val="24"/>
        </w:rPr>
        <w:t xml:space="preserve"> tipo de cambio</w:t>
      </w:r>
      <w:r w:rsidR="00CC437B" w:rsidRPr="00483AEE">
        <w:rPr>
          <w:szCs w:val="24"/>
        </w:rPr>
        <w:t>, lo cual generó</w:t>
      </w:r>
      <w:r w:rsidR="00D354FA" w:rsidRPr="00483AEE">
        <w:rPr>
          <w:szCs w:val="24"/>
        </w:rPr>
        <w:t xml:space="preserve"> tanto una rápid</w:t>
      </w:r>
      <w:r w:rsidR="00F55957" w:rsidRPr="00483AEE">
        <w:rPr>
          <w:szCs w:val="24"/>
        </w:rPr>
        <w:t xml:space="preserve">a reacción exportadora </w:t>
      </w:r>
      <w:r w:rsidR="00CC437B" w:rsidRPr="00483AEE">
        <w:rPr>
          <w:szCs w:val="24"/>
        </w:rPr>
        <w:t xml:space="preserve">como un efecto </w:t>
      </w:r>
      <w:r w:rsidR="00F55957" w:rsidRPr="00483AEE">
        <w:rPr>
          <w:szCs w:val="24"/>
        </w:rPr>
        <w:t>de sustitución de</w:t>
      </w:r>
      <w:r w:rsidR="00D354FA" w:rsidRPr="00483AEE">
        <w:rPr>
          <w:szCs w:val="24"/>
        </w:rPr>
        <w:t xml:space="preserve"> importaciones</w:t>
      </w:r>
      <w:r w:rsidR="00CC437B" w:rsidRPr="00483AEE">
        <w:rPr>
          <w:szCs w:val="24"/>
        </w:rPr>
        <w:t xml:space="preserve"> de bienes de consumo</w:t>
      </w:r>
      <w:r w:rsidR="00D354FA" w:rsidRPr="00483AEE">
        <w:rPr>
          <w:szCs w:val="24"/>
        </w:rPr>
        <w:t xml:space="preserve">. </w:t>
      </w:r>
      <w:r w:rsidR="00F55957" w:rsidRPr="00483AEE">
        <w:rPr>
          <w:szCs w:val="24"/>
        </w:rPr>
        <w:t xml:space="preserve">Por otra parte, el aumento de las exportaciones </w:t>
      </w:r>
      <w:r w:rsidR="00862E24" w:rsidRPr="00483AEE">
        <w:rPr>
          <w:szCs w:val="24"/>
        </w:rPr>
        <w:t xml:space="preserve">que </w:t>
      </w:r>
      <w:r w:rsidR="00F55957" w:rsidRPr="00483AEE">
        <w:rPr>
          <w:szCs w:val="24"/>
        </w:rPr>
        <w:t>tuvo como principal protagonista al sector prim</w:t>
      </w:r>
      <w:r w:rsidR="00862E24" w:rsidRPr="00483AEE">
        <w:rPr>
          <w:szCs w:val="24"/>
        </w:rPr>
        <w:t>a</w:t>
      </w:r>
      <w:r w:rsidR="00F55957" w:rsidRPr="00483AEE">
        <w:rPr>
          <w:szCs w:val="24"/>
        </w:rPr>
        <w:t>rio minero-agropecuario, f</w:t>
      </w:r>
      <w:r w:rsidR="00D354FA" w:rsidRPr="00483AEE">
        <w:rPr>
          <w:szCs w:val="24"/>
        </w:rPr>
        <w:t xml:space="preserve">ue favorecido por el incremento que experimentaron los precios de los </w:t>
      </w:r>
      <w:r w:rsidR="003B79B7" w:rsidRPr="00483AEE">
        <w:rPr>
          <w:i/>
          <w:szCs w:val="24"/>
        </w:rPr>
        <w:t>commodities</w:t>
      </w:r>
      <w:r w:rsidR="003B79B7" w:rsidRPr="00483AEE">
        <w:rPr>
          <w:szCs w:val="24"/>
        </w:rPr>
        <w:t xml:space="preserve"> </w:t>
      </w:r>
      <w:r w:rsidR="00D354FA" w:rsidRPr="00483AEE">
        <w:rPr>
          <w:szCs w:val="24"/>
        </w:rPr>
        <w:t xml:space="preserve">en el mercado mundial. </w:t>
      </w:r>
      <w:r w:rsidR="00F55957" w:rsidRPr="00483AEE">
        <w:rPr>
          <w:szCs w:val="24"/>
        </w:rPr>
        <w:t>En este contexto, l</w:t>
      </w:r>
      <w:r w:rsidR="00393DE7" w:rsidRPr="00483AEE">
        <w:rPr>
          <w:szCs w:val="24"/>
        </w:rPr>
        <w:t xml:space="preserve">a deprimida </w:t>
      </w:r>
      <w:r w:rsidR="00F55957" w:rsidRPr="00483AEE">
        <w:rPr>
          <w:szCs w:val="24"/>
        </w:rPr>
        <w:t xml:space="preserve">situación </w:t>
      </w:r>
      <w:r w:rsidR="00393DE7" w:rsidRPr="00483AEE">
        <w:rPr>
          <w:szCs w:val="24"/>
        </w:rPr>
        <w:t xml:space="preserve">en que se encontraban los salarios </w:t>
      </w:r>
      <w:r w:rsidR="00F55957" w:rsidRPr="00483AEE">
        <w:rPr>
          <w:szCs w:val="24"/>
        </w:rPr>
        <w:t xml:space="preserve">y </w:t>
      </w:r>
      <w:r w:rsidR="00862E24" w:rsidRPr="00483AEE">
        <w:rPr>
          <w:szCs w:val="24"/>
        </w:rPr>
        <w:t xml:space="preserve">la </w:t>
      </w:r>
      <w:r w:rsidR="00F55957" w:rsidRPr="00483AEE">
        <w:rPr>
          <w:szCs w:val="24"/>
        </w:rPr>
        <w:t xml:space="preserve">amplia capacidad instalada creada durante el período de reformas estructurales, favorecieron una rápida reactivación sin mayores </w:t>
      </w:r>
      <w:r w:rsidRPr="00483AEE">
        <w:rPr>
          <w:szCs w:val="24"/>
        </w:rPr>
        <w:t>necesidades</w:t>
      </w:r>
      <w:r w:rsidR="00F55957" w:rsidRPr="00483AEE">
        <w:rPr>
          <w:szCs w:val="24"/>
        </w:rPr>
        <w:t xml:space="preserve"> de financiamiento. Este proceso generó </w:t>
      </w:r>
      <w:r w:rsidR="00D354FA" w:rsidRPr="00483AEE">
        <w:rPr>
          <w:szCs w:val="24"/>
        </w:rPr>
        <w:t xml:space="preserve">una </w:t>
      </w:r>
      <w:r w:rsidR="003B79B7" w:rsidRPr="00483AEE">
        <w:rPr>
          <w:szCs w:val="24"/>
        </w:rPr>
        <w:t xml:space="preserve">rápida </w:t>
      </w:r>
      <w:r w:rsidR="00D354FA" w:rsidRPr="00483AEE">
        <w:rPr>
          <w:szCs w:val="24"/>
        </w:rPr>
        <w:t>recuperación del nivel de actividad y del empleo, así como efecto</w:t>
      </w:r>
      <w:r w:rsidR="003B79B7" w:rsidRPr="00483AEE">
        <w:rPr>
          <w:szCs w:val="24"/>
        </w:rPr>
        <w:t>s</w:t>
      </w:r>
      <w:r w:rsidR="00D354FA" w:rsidRPr="00483AEE">
        <w:rPr>
          <w:szCs w:val="24"/>
        </w:rPr>
        <w:t xml:space="preserve"> positivo</w:t>
      </w:r>
      <w:r w:rsidR="003B79B7" w:rsidRPr="00483AEE">
        <w:rPr>
          <w:szCs w:val="24"/>
        </w:rPr>
        <w:t>s</w:t>
      </w:r>
      <w:r w:rsidR="00D354FA" w:rsidRPr="00483AEE">
        <w:rPr>
          <w:szCs w:val="24"/>
        </w:rPr>
        <w:t xml:space="preserve"> sobre la balanza comercial. </w:t>
      </w:r>
      <w:r w:rsidR="00393DE7" w:rsidRPr="00483AEE">
        <w:rPr>
          <w:szCs w:val="24"/>
        </w:rPr>
        <w:t>A su vez, la</w:t>
      </w:r>
      <w:r w:rsidR="00393DE7" w:rsidRPr="00483AEE">
        <w:rPr>
          <w:i/>
          <w:szCs w:val="24"/>
        </w:rPr>
        <w:t xml:space="preserve"> </w:t>
      </w:r>
      <w:r w:rsidR="00393DE7" w:rsidRPr="00483AEE">
        <w:rPr>
          <w:szCs w:val="24"/>
        </w:rPr>
        <w:t>implementación de retenciones impositivas a las exportaciones amplió la dotación de recursos fiscales</w:t>
      </w:r>
      <w:r w:rsidR="000D1331" w:rsidRPr="00483AEE">
        <w:rPr>
          <w:szCs w:val="24"/>
        </w:rPr>
        <w:t xml:space="preserve">, </w:t>
      </w:r>
      <w:r w:rsidRPr="00483AEE">
        <w:rPr>
          <w:szCs w:val="24"/>
        </w:rPr>
        <w:t>lo que a su vez moderaba</w:t>
      </w:r>
      <w:r w:rsidR="00393DE7" w:rsidRPr="00483AEE">
        <w:rPr>
          <w:szCs w:val="24"/>
        </w:rPr>
        <w:t xml:space="preserve"> </w:t>
      </w:r>
      <w:r w:rsidR="000D1331" w:rsidRPr="00483AEE">
        <w:rPr>
          <w:szCs w:val="24"/>
        </w:rPr>
        <w:t>los</w:t>
      </w:r>
      <w:r w:rsidR="00393DE7" w:rsidRPr="00483AEE">
        <w:rPr>
          <w:szCs w:val="24"/>
        </w:rPr>
        <w:t xml:space="preserve"> efecto</w:t>
      </w:r>
      <w:r w:rsidR="000D1331" w:rsidRPr="00483AEE">
        <w:rPr>
          <w:szCs w:val="24"/>
        </w:rPr>
        <w:t>s</w:t>
      </w:r>
      <w:r w:rsidR="00393DE7" w:rsidRPr="00483AEE">
        <w:rPr>
          <w:szCs w:val="24"/>
        </w:rPr>
        <w:t xml:space="preserve"> inflacionario</w:t>
      </w:r>
      <w:r w:rsidR="000D1331" w:rsidRPr="00483AEE">
        <w:rPr>
          <w:szCs w:val="24"/>
        </w:rPr>
        <w:t>s</w:t>
      </w:r>
      <w:r w:rsidR="00393DE7" w:rsidRPr="00483AEE">
        <w:rPr>
          <w:szCs w:val="24"/>
        </w:rPr>
        <w:t xml:space="preserve"> de la devaluación</w:t>
      </w:r>
      <w:r w:rsidR="00C04716" w:rsidRPr="00483AEE">
        <w:rPr>
          <w:szCs w:val="24"/>
        </w:rPr>
        <w:t xml:space="preserve">. A partir de esta recuperación económica con saldos positivos tanto en cuenta corriente como en la balanza de pagos, fue posible </w:t>
      </w:r>
      <w:r w:rsidR="00862E24" w:rsidRPr="00483AEE">
        <w:rPr>
          <w:szCs w:val="24"/>
        </w:rPr>
        <w:t xml:space="preserve">para </w:t>
      </w:r>
      <w:r w:rsidR="00C04716" w:rsidRPr="00483AEE">
        <w:rPr>
          <w:szCs w:val="24"/>
        </w:rPr>
        <w:t xml:space="preserve">el gobierno encarar la reestructuración de la deuda externa en </w:t>
      </w:r>
      <w:r w:rsidR="00C04716" w:rsidRPr="00483AEE">
        <w:rPr>
          <w:i/>
          <w:szCs w:val="24"/>
        </w:rPr>
        <w:t>default</w:t>
      </w:r>
      <w:r w:rsidR="00C04716" w:rsidRPr="00483AEE">
        <w:rPr>
          <w:szCs w:val="24"/>
        </w:rPr>
        <w:t xml:space="preserve"> </w:t>
      </w:r>
      <w:r w:rsidR="000D1331" w:rsidRPr="00483AEE">
        <w:rPr>
          <w:szCs w:val="24"/>
        </w:rPr>
        <w:t>(</w:t>
      </w:r>
      <w:proofErr w:type="spellStart"/>
      <w:r w:rsidR="000D1331" w:rsidRPr="00483AEE">
        <w:rPr>
          <w:szCs w:val="24"/>
        </w:rPr>
        <w:t>Damill</w:t>
      </w:r>
      <w:proofErr w:type="spellEnd"/>
      <w:r w:rsidR="000D1331" w:rsidRPr="00483AEE">
        <w:rPr>
          <w:szCs w:val="24"/>
        </w:rPr>
        <w:t xml:space="preserve">, </w:t>
      </w:r>
      <w:proofErr w:type="spellStart"/>
      <w:r w:rsidR="000D1331" w:rsidRPr="00483AEE">
        <w:rPr>
          <w:szCs w:val="24"/>
        </w:rPr>
        <w:t>Frenkel</w:t>
      </w:r>
      <w:proofErr w:type="spellEnd"/>
      <w:r w:rsidR="000D1331" w:rsidRPr="00483AEE">
        <w:rPr>
          <w:szCs w:val="24"/>
        </w:rPr>
        <w:t xml:space="preserve"> y Rapetti, 2014)</w:t>
      </w:r>
      <w:r w:rsidR="00393DE7" w:rsidRPr="00483AEE">
        <w:rPr>
          <w:szCs w:val="24"/>
        </w:rPr>
        <w:t xml:space="preserve">. </w:t>
      </w:r>
    </w:p>
    <w:p w:rsidR="00D354FA" w:rsidRPr="00483AEE" w:rsidRDefault="00C04716" w:rsidP="00483AEE">
      <w:pPr>
        <w:spacing w:after="120" w:line="360" w:lineRule="auto"/>
        <w:jc w:val="both"/>
        <w:rPr>
          <w:szCs w:val="24"/>
        </w:rPr>
      </w:pPr>
      <w:r w:rsidRPr="00483AEE">
        <w:rPr>
          <w:szCs w:val="24"/>
        </w:rPr>
        <w:t xml:space="preserve">En este contexto, fue posible estabilizar la economía, bajar la inflación y reactivar el consumo. </w:t>
      </w:r>
      <w:r w:rsidR="00D354FA" w:rsidRPr="00483AEE">
        <w:rPr>
          <w:szCs w:val="24"/>
        </w:rPr>
        <w:t>En igual sentido operaron las políticas activas en materia de inversión pública, salario mínimo, negociaciones colectivas y jubilaciones, así como también la extensión de los programas sociales de transferencia de ingresos para familias sin empleo. Estas condiciones hicieron posible una relativa recuperación de los ingresos reales de los hogares, una caída de la pobreza y revertir la tendencia regresiva que venía registrando la distribución del ingreso.</w:t>
      </w:r>
      <w:r w:rsidR="00816646" w:rsidRPr="00483AEE">
        <w:rPr>
          <w:szCs w:val="24"/>
        </w:rPr>
        <w:t xml:space="preserve"> </w:t>
      </w:r>
      <w:r w:rsidR="00D354FA" w:rsidRPr="00483AEE">
        <w:rPr>
          <w:szCs w:val="24"/>
        </w:rPr>
        <w:t xml:space="preserve">De esta manera, en un contexto internacional favorable, </w:t>
      </w:r>
      <w:r w:rsidR="00816646" w:rsidRPr="00483AEE">
        <w:rPr>
          <w:szCs w:val="24"/>
        </w:rPr>
        <w:t>una serie de</w:t>
      </w:r>
      <w:r w:rsidR="00D354FA" w:rsidRPr="00483AEE">
        <w:rPr>
          <w:szCs w:val="24"/>
        </w:rPr>
        <w:t xml:space="preserve"> políticas heterodoxas </w:t>
      </w:r>
      <w:r w:rsidR="00816646" w:rsidRPr="00483AEE">
        <w:rPr>
          <w:szCs w:val="24"/>
        </w:rPr>
        <w:t>pasaron a ser protagonistas de</w:t>
      </w:r>
      <w:r w:rsidR="00D354FA" w:rsidRPr="00483AEE">
        <w:rPr>
          <w:szCs w:val="24"/>
        </w:rPr>
        <w:t xml:space="preserve"> un nuevo ciclo de sostenido crecimiento. </w:t>
      </w:r>
    </w:p>
    <w:p w:rsidR="00DB77C2" w:rsidRPr="00483AEE" w:rsidRDefault="00DB77C2" w:rsidP="00483AEE">
      <w:pPr>
        <w:spacing w:after="120" w:line="360" w:lineRule="auto"/>
        <w:jc w:val="both"/>
        <w:rPr>
          <w:szCs w:val="24"/>
        </w:rPr>
      </w:pPr>
      <w:r w:rsidRPr="00483AEE">
        <w:rPr>
          <w:szCs w:val="24"/>
        </w:rPr>
        <w:t>A diferencia de lo ocurrido en los años 90</w:t>
      </w:r>
      <w:r w:rsidR="00A74ECE" w:rsidRPr="00483AEE">
        <w:rPr>
          <w:szCs w:val="24"/>
        </w:rPr>
        <w:t>s</w:t>
      </w:r>
      <w:r w:rsidRPr="00483AEE">
        <w:rPr>
          <w:szCs w:val="24"/>
        </w:rPr>
        <w:t>, el abaratamiento relativo de la fuerza de trabajo, fruto de la devaluación, indujo un proceso de absorción de mano de obra que coexistió con un aumento de la tasa de ganancia empresaria (CENDA, 2010). También en contraste con los años previos, la nueva estructura de precios relativos favoreció a los sectores productores de bienes en detrimento de los proveedores de servicios (</w:t>
      </w:r>
      <w:proofErr w:type="spellStart"/>
      <w:r w:rsidRPr="00483AEE">
        <w:rPr>
          <w:szCs w:val="24"/>
        </w:rPr>
        <w:t>Schorr</w:t>
      </w:r>
      <w:proofErr w:type="spellEnd"/>
      <w:r w:rsidRPr="00483AEE">
        <w:rPr>
          <w:szCs w:val="24"/>
        </w:rPr>
        <w:t xml:space="preserve">, 2012). </w:t>
      </w:r>
      <w:r w:rsidR="00C04716" w:rsidRPr="00483AEE">
        <w:rPr>
          <w:szCs w:val="24"/>
        </w:rPr>
        <w:t>De esta manera, la</w:t>
      </w:r>
      <w:r w:rsidRPr="00483AEE">
        <w:rPr>
          <w:szCs w:val="24"/>
        </w:rPr>
        <w:t xml:space="preserve"> industria manufacturera fue una de las actividades que lideró el crecimiento posterior a la crisis, en especial, los textiles, la metalmecánica, alimentos y bebidas y automotores (Fernández </w:t>
      </w:r>
      <w:proofErr w:type="spellStart"/>
      <w:r w:rsidRPr="00483AEE">
        <w:rPr>
          <w:szCs w:val="24"/>
        </w:rPr>
        <w:t>Bugna</w:t>
      </w:r>
      <w:proofErr w:type="spellEnd"/>
      <w:r w:rsidRPr="00483AEE">
        <w:rPr>
          <w:szCs w:val="24"/>
        </w:rPr>
        <w:t xml:space="preserve"> y Porta, 2008). Sin embargo, </w:t>
      </w:r>
      <w:r w:rsidR="00C04716" w:rsidRPr="00483AEE">
        <w:rPr>
          <w:szCs w:val="24"/>
        </w:rPr>
        <w:t xml:space="preserve">a pesar de </w:t>
      </w:r>
      <w:r w:rsidR="006C66B4" w:rsidRPr="00483AEE">
        <w:rPr>
          <w:szCs w:val="24"/>
        </w:rPr>
        <w:t>esta recuperación</w:t>
      </w:r>
      <w:r w:rsidR="00C04716" w:rsidRPr="00483AEE">
        <w:rPr>
          <w:szCs w:val="24"/>
        </w:rPr>
        <w:t xml:space="preserve">, el sector industrial no dejó de perder peso relativo en la estructura </w:t>
      </w:r>
      <w:r w:rsidR="006C66B4" w:rsidRPr="00483AEE">
        <w:rPr>
          <w:szCs w:val="24"/>
        </w:rPr>
        <w:lastRenderedPageBreak/>
        <w:t>productiva, ni pudo tampoco</w:t>
      </w:r>
      <w:r w:rsidR="00C04716" w:rsidRPr="00483AEE">
        <w:rPr>
          <w:szCs w:val="24"/>
        </w:rPr>
        <w:t xml:space="preserve"> revertir el proceso de</w:t>
      </w:r>
      <w:r w:rsidRPr="00483AEE">
        <w:rPr>
          <w:szCs w:val="24"/>
        </w:rPr>
        <w:t xml:space="preserve"> desindustrialización </w:t>
      </w:r>
      <w:r w:rsidR="00C04716" w:rsidRPr="00483AEE">
        <w:rPr>
          <w:szCs w:val="24"/>
        </w:rPr>
        <w:t xml:space="preserve">acumulado </w:t>
      </w:r>
      <w:r w:rsidRPr="00483AEE">
        <w:rPr>
          <w:szCs w:val="24"/>
        </w:rPr>
        <w:t>en las décadas previas.</w:t>
      </w:r>
      <w:r w:rsidR="006C66B4" w:rsidRPr="00483AEE">
        <w:rPr>
          <w:szCs w:val="24"/>
        </w:rPr>
        <w:t xml:space="preserve">   </w:t>
      </w:r>
      <w:r w:rsidR="00BA1E8F" w:rsidRPr="00483AEE">
        <w:rPr>
          <w:szCs w:val="24"/>
          <w:highlight w:val="yellow"/>
          <w:vertAlign w:val="superscript"/>
        </w:rPr>
        <w:t xml:space="preserve"> </w:t>
      </w:r>
    </w:p>
    <w:p w:rsidR="00983D14" w:rsidRPr="00483AEE" w:rsidRDefault="006C66B4" w:rsidP="00483AEE">
      <w:pPr>
        <w:spacing w:after="120" w:line="360" w:lineRule="auto"/>
        <w:jc w:val="both"/>
        <w:rPr>
          <w:szCs w:val="24"/>
        </w:rPr>
      </w:pPr>
      <w:r w:rsidRPr="00483AEE">
        <w:rPr>
          <w:szCs w:val="24"/>
        </w:rPr>
        <w:t xml:space="preserve">En este contexto, </w:t>
      </w:r>
      <w:r w:rsidR="00983D14" w:rsidRPr="00483AEE">
        <w:rPr>
          <w:szCs w:val="24"/>
        </w:rPr>
        <w:t xml:space="preserve">a partir de 2006-2007, </w:t>
      </w:r>
      <w:r w:rsidRPr="00483AEE">
        <w:rPr>
          <w:szCs w:val="24"/>
        </w:rPr>
        <w:t xml:space="preserve">con </w:t>
      </w:r>
      <w:r w:rsidR="00983D14" w:rsidRPr="00483AEE">
        <w:rPr>
          <w:szCs w:val="24"/>
        </w:rPr>
        <w:t>el</w:t>
      </w:r>
      <w:r w:rsidRPr="00483AEE">
        <w:rPr>
          <w:szCs w:val="24"/>
        </w:rPr>
        <w:t xml:space="preserve"> consumo interno </w:t>
      </w:r>
      <w:r w:rsidR="00DA3FFB" w:rsidRPr="00483AEE">
        <w:rPr>
          <w:szCs w:val="24"/>
        </w:rPr>
        <w:t xml:space="preserve">y </w:t>
      </w:r>
      <w:r w:rsidR="00983D14" w:rsidRPr="00483AEE">
        <w:rPr>
          <w:szCs w:val="24"/>
        </w:rPr>
        <w:t>el</w:t>
      </w:r>
      <w:r w:rsidR="00DA3FFB" w:rsidRPr="00483AEE">
        <w:rPr>
          <w:szCs w:val="24"/>
        </w:rPr>
        <w:t xml:space="preserve"> gasto público </w:t>
      </w:r>
      <w:r w:rsidRPr="00483AEE">
        <w:rPr>
          <w:szCs w:val="24"/>
        </w:rPr>
        <w:t xml:space="preserve">en </w:t>
      </w:r>
      <w:r w:rsidR="00DA3FFB" w:rsidRPr="00483AEE">
        <w:rPr>
          <w:szCs w:val="24"/>
        </w:rPr>
        <w:t xml:space="preserve">ascenso, </w:t>
      </w:r>
      <w:r w:rsidRPr="00483AEE">
        <w:rPr>
          <w:szCs w:val="24"/>
        </w:rPr>
        <w:t xml:space="preserve">sin </w:t>
      </w:r>
      <w:r w:rsidR="00DA3FFB" w:rsidRPr="00483AEE">
        <w:rPr>
          <w:szCs w:val="24"/>
        </w:rPr>
        <w:t>un salto en</w:t>
      </w:r>
      <w:r w:rsidRPr="00483AEE">
        <w:rPr>
          <w:szCs w:val="24"/>
        </w:rPr>
        <w:t xml:space="preserve"> </w:t>
      </w:r>
      <w:r w:rsidR="00DA3FFB" w:rsidRPr="00483AEE">
        <w:rPr>
          <w:szCs w:val="24"/>
        </w:rPr>
        <w:t>la tasa de inversi</w:t>
      </w:r>
      <w:r w:rsidR="00983D14" w:rsidRPr="00483AEE">
        <w:rPr>
          <w:szCs w:val="24"/>
        </w:rPr>
        <w:t>ón</w:t>
      </w:r>
      <w:r w:rsidR="00DA3FFB" w:rsidRPr="00483AEE">
        <w:rPr>
          <w:szCs w:val="24"/>
        </w:rPr>
        <w:t>, la economía comenzó a experimentar un alza en la inflación doméstica</w:t>
      </w:r>
      <w:r w:rsidR="00983D14" w:rsidRPr="00483AEE">
        <w:rPr>
          <w:szCs w:val="24"/>
        </w:rPr>
        <w:t xml:space="preserve"> y a deteriorar</w:t>
      </w:r>
      <w:r w:rsidRPr="00483AEE">
        <w:rPr>
          <w:szCs w:val="24"/>
        </w:rPr>
        <w:t xml:space="preserve"> el tipo de cambio real. Al mismo tiempo, el aumento de los niveles de empleo y la revitalización de las negociaciones paritarias permitieron un incremento de los salarios reales, a partir de lo cual el régimen macroeconómico comenzó a mostrar tasas de crecimiento más bajas</w:t>
      </w:r>
      <w:r w:rsidR="00983D14" w:rsidRPr="00483AEE">
        <w:rPr>
          <w:szCs w:val="24"/>
        </w:rPr>
        <w:t xml:space="preserve"> y mayor déficit fiscal corriente</w:t>
      </w:r>
      <w:r w:rsidRPr="00483AEE">
        <w:rPr>
          <w:szCs w:val="24"/>
        </w:rPr>
        <w:t>.</w:t>
      </w:r>
      <w:r w:rsidR="00983D14" w:rsidRPr="00483AEE">
        <w:rPr>
          <w:szCs w:val="24"/>
        </w:rPr>
        <w:t xml:space="preserve"> De alguna manera, el modelo político-económico parecía encontrar un límite estructural para reproducir las capacidades productivas y </w:t>
      </w:r>
      <w:r w:rsidR="0000479D" w:rsidRPr="00483AEE">
        <w:rPr>
          <w:szCs w:val="24"/>
        </w:rPr>
        <w:t>apuntalar</w:t>
      </w:r>
      <w:r w:rsidR="00983D14" w:rsidRPr="00483AEE">
        <w:rPr>
          <w:szCs w:val="24"/>
        </w:rPr>
        <w:t xml:space="preserve"> el crecimiento del mercado interno sin aumentar el déficit fiscal</w:t>
      </w:r>
      <w:r w:rsidR="0000479D" w:rsidRPr="00483AEE">
        <w:rPr>
          <w:szCs w:val="24"/>
        </w:rPr>
        <w:t xml:space="preserve"> y sin utilizar a la inflación como mecanismo de financiamiento</w:t>
      </w:r>
      <w:r w:rsidR="00983D14" w:rsidRPr="00483AEE">
        <w:rPr>
          <w:szCs w:val="24"/>
        </w:rPr>
        <w:t>.</w:t>
      </w:r>
    </w:p>
    <w:p w:rsidR="002E2864" w:rsidRPr="00483AEE" w:rsidRDefault="00983D14" w:rsidP="00483AEE">
      <w:pPr>
        <w:spacing w:after="120" w:line="360" w:lineRule="auto"/>
        <w:jc w:val="both"/>
        <w:rPr>
          <w:szCs w:val="24"/>
        </w:rPr>
      </w:pPr>
      <w:r w:rsidRPr="00483AEE">
        <w:rPr>
          <w:szCs w:val="24"/>
        </w:rPr>
        <w:t xml:space="preserve">La situación </w:t>
      </w:r>
      <w:r w:rsidR="0000479D" w:rsidRPr="00483AEE">
        <w:rPr>
          <w:szCs w:val="24"/>
        </w:rPr>
        <w:t xml:space="preserve">obliga a considerar los factores estructurales que se hacían presentes en este punto de inflexión por el que debió transitar el régimen de políticas heterodoxas. </w:t>
      </w:r>
      <w:r w:rsidR="00DB77C2" w:rsidRPr="00483AEE">
        <w:rPr>
          <w:szCs w:val="24"/>
        </w:rPr>
        <w:t xml:space="preserve"> </w:t>
      </w:r>
      <w:r w:rsidR="0000479D" w:rsidRPr="00483AEE">
        <w:rPr>
          <w:szCs w:val="24"/>
        </w:rPr>
        <w:t xml:space="preserve">Al respecto, </w:t>
      </w:r>
      <w:r w:rsidR="00816646" w:rsidRPr="00483AEE">
        <w:rPr>
          <w:szCs w:val="24"/>
        </w:rPr>
        <w:t xml:space="preserve">era evidente </w:t>
      </w:r>
      <w:r w:rsidR="0000479D" w:rsidRPr="00483AEE">
        <w:rPr>
          <w:szCs w:val="24"/>
        </w:rPr>
        <w:t xml:space="preserve">ya al inicio del nuevo siglo </w:t>
      </w:r>
      <w:r w:rsidR="00DB77C2" w:rsidRPr="00483AEE">
        <w:rPr>
          <w:szCs w:val="24"/>
        </w:rPr>
        <w:t>que,</w:t>
      </w:r>
      <w:r w:rsidR="00816646" w:rsidRPr="00483AEE">
        <w:rPr>
          <w:szCs w:val="24"/>
        </w:rPr>
        <w:t xml:space="preserve"> como r</w:t>
      </w:r>
      <w:r w:rsidR="002E2864" w:rsidRPr="00483AEE">
        <w:rPr>
          <w:szCs w:val="24"/>
        </w:rPr>
        <w:t xml:space="preserve">esultado de las reformas estructurales, las sucesivas crisis y las transformaciones ocurridas en la economía mundial, el patrón de acumulación y la estructura </w:t>
      </w:r>
      <w:r w:rsidR="00816646" w:rsidRPr="00483AEE">
        <w:rPr>
          <w:szCs w:val="24"/>
        </w:rPr>
        <w:t>social</w:t>
      </w:r>
      <w:r w:rsidR="002E2864" w:rsidRPr="00483AEE">
        <w:rPr>
          <w:szCs w:val="24"/>
        </w:rPr>
        <w:t xml:space="preserve"> </w:t>
      </w:r>
      <w:r w:rsidR="00BA1E8F" w:rsidRPr="00483AEE">
        <w:rPr>
          <w:szCs w:val="24"/>
        </w:rPr>
        <w:t>argentina</w:t>
      </w:r>
      <w:r w:rsidR="002E2864" w:rsidRPr="00483AEE">
        <w:rPr>
          <w:szCs w:val="24"/>
        </w:rPr>
        <w:t xml:space="preserve"> </w:t>
      </w:r>
      <w:r w:rsidR="00DB77C2" w:rsidRPr="00483AEE">
        <w:rPr>
          <w:szCs w:val="24"/>
        </w:rPr>
        <w:t>no era</w:t>
      </w:r>
      <w:r w:rsidR="00BA1E8F" w:rsidRPr="00483AEE">
        <w:rPr>
          <w:szCs w:val="24"/>
        </w:rPr>
        <w:t>n</w:t>
      </w:r>
      <w:r w:rsidR="00DB77C2" w:rsidRPr="00483AEE">
        <w:rPr>
          <w:szCs w:val="24"/>
        </w:rPr>
        <w:t xml:space="preserve"> aquella</w:t>
      </w:r>
      <w:r w:rsidR="00BA1E8F" w:rsidRPr="00483AEE">
        <w:rPr>
          <w:szCs w:val="24"/>
        </w:rPr>
        <w:t>s</w:t>
      </w:r>
      <w:r w:rsidR="002E2864" w:rsidRPr="00483AEE">
        <w:rPr>
          <w:szCs w:val="24"/>
        </w:rPr>
        <w:t xml:space="preserve"> que </w:t>
      </w:r>
      <w:r w:rsidR="001E05DD" w:rsidRPr="00483AEE">
        <w:rPr>
          <w:szCs w:val="24"/>
        </w:rPr>
        <w:t>sobresalían</w:t>
      </w:r>
      <w:r w:rsidR="0097474D" w:rsidRPr="00483AEE">
        <w:rPr>
          <w:szCs w:val="24"/>
        </w:rPr>
        <w:t xml:space="preserve"> a</w:t>
      </w:r>
      <w:r w:rsidR="00BA1E8F" w:rsidRPr="00483AEE">
        <w:rPr>
          <w:szCs w:val="24"/>
        </w:rPr>
        <w:t xml:space="preserve"> mediados del </w:t>
      </w:r>
      <w:r w:rsidR="00816646" w:rsidRPr="00483AEE">
        <w:rPr>
          <w:szCs w:val="24"/>
        </w:rPr>
        <w:t>siglo XX</w:t>
      </w:r>
      <w:r w:rsidR="001E05DD" w:rsidRPr="00483AEE">
        <w:rPr>
          <w:szCs w:val="24"/>
        </w:rPr>
        <w:t xml:space="preserve">. </w:t>
      </w:r>
      <w:r w:rsidR="00862E24" w:rsidRPr="00483AEE">
        <w:rPr>
          <w:szCs w:val="24"/>
        </w:rPr>
        <w:t>S</w:t>
      </w:r>
      <w:r w:rsidR="001E05DD" w:rsidRPr="00483AEE">
        <w:rPr>
          <w:szCs w:val="24"/>
        </w:rPr>
        <w:t xml:space="preserve">in </w:t>
      </w:r>
      <w:r w:rsidR="00862E24" w:rsidRPr="00483AEE">
        <w:rPr>
          <w:szCs w:val="24"/>
        </w:rPr>
        <w:t>que tuvieran lugar</w:t>
      </w:r>
      <w:r w:rsidR="001E05DD" w:rsidRPr="00483AEE">
        <w:rPr>
          <w:szCs w:val="24"/>
        </w:rPr>
        <w:t xml:space="preserve"> cambios </w:t>
      </w:r>
      <w:r w:rsidR="00862E24" w:rsidRPr="00483AEE">
        <w:rPr>
          <w:szCs w:val="24"/>
        </w:rPr>
        <w:t xml:space="preserve">significativos </w:t>
      </w:r>
      <w:r w:rsidR="001E05DD" w:rsidRPr="00483AEE">
        <w:rPr>
          <w:szCs w:val="24"/>
        </w:rPr>
        <w:t>en la estructura productiva</w:t>
      </w:r>
      <w:r w:rsidR="00862E24" w:rsidRPr="00483AEE">
        <w:rPr>
          <w:szCs w:val="24"/>
        </w:rPr>
        <w:t>, en el patrón de especialización e incluso en el régimen tributario</w:t>
      </w:r>
      <w:r w:rsidR="001E05DD" w:rsidRPr="00483AEE">
        <w:rPr>
          <w:szCs w:val="24"/>
        </w:rPr>
        <w:t xml:space="preserve">, el desafío de </w:t>
      </w:r>
      <w:r w:rsidR="0000479D" w:rsidRPr="00483AEE">
        <w:rPr>
          <w:szCs w:val="24"/>
        </w:rPr>
        <w:t>re</w:t>
      </w:r>
      <w:r w:rsidR="00862E24" w:rsidRPr="00483AEE">
        <w:rPr>
          <w:szCs w:val="24"/>
        </w:rPr>
        <w:t>e</w:t>
      </w:r>
      <w:r w:rsidR="0000479D" w:rsidRPr="00483AEE">
        <w:rPr>
          <w:szCs w:val="24"/>
        </w:rPr>
        <w:t>ditar el régimen de bienestar</w:t>
      </w:r>
      <w:r w:rsidR="00432C22" w:rsidRPr="00483AEE">
        <w:rPr>
          <w:szCs w:val="24"/>
        </w:rPr>
        <w:t xml:space="preserve"> </w:t>
      </w:r>
      <w:r w:rsidR="00293349" w:rsidRPr="00483AEE">
        <w:rPr>
          <w:szCs w:val="24"/>
        </w:rPr>
        <w:t>de</w:t>
      </w:r>
      <w:r w:rsidR="0000479D" w:rsidRPr="00483AEE">
        <w:rPr>
          <w:szCs w:val="24"/>
        </w:rPr>
        <w:t xml:space="preserve"> </w:t>
      </w:r>
      <w:r w:rsidR="001E05DD" w:rsidRPr="00483AEE">
        <w:rPr>
          <w:szCs w:val="24"/>
        </w:rPr>
        <w:t>aquel</w:t>
      </w:r>
      <w:r w:rsidR="0000479D" w:rsidRPr="00483AEE">
        <w:rPr>
          <w:szCs w:val="24"/>
        </w:rPr>
        <w:t xml:space="preserve"> período </w:t>
      </w:r>
      <w:r w:rsidR="00432C22" w:rsidRPr="00483AEE">
        <w:rPr>
          <w:szCs w:val="24"/>
        </w:rPr>
        <w:t>sólo podía realizarse de manera transitoria a costa de un creciente desequilibrio macroeconómico. Detrás de esta contradicción subyace un</w:t>
      </w:r>
      <w:r w:rsidR="001E05DD" w:rsidRPr="00483AEE">
        <w:rPr>
          <w:szCs w:val="24"/>
        </w:rPr>
        <w:t xml:space="preserve"> nuevo esquema de acumulación </w:t>
      </w:r>
      <w:r w:rsidR="00432C22" w:rsidRPr="00483AEE">
        <w:rPr>
          <w:szCs w:val="24"/>
        </w:rPr>
        <w:t>que fue configurándose, bajo el contexto de una economía mundial cada vez más globalizada, a partir de</w:t>
      </w:r>
      <w:r w:rsidR="00BA1E8F" w:rsidRPr="00483AEE">
        <w:rPr>
          <w:szCs w:val="24"/>
        </w:rPr>
        <w:t xml:space="preserve">l agotamiento </w:t>
      </w:r>
      <w:r w:rsidR="007B06FA" w:rsidRPr="00483AEE">
        <w:rPr>
          <w:szCs w:val="24"/>
        </w:rPr>
        <w:t>del modelo sustitutivo</w:t>
      </w:r>
      <w:r w:rsidR="00BA1E8F" w:rsidRPr="00483AEE">
        <w:rPr>
          <w:szCs w:val="24"/>
        </w:rPr>
        <w:t xml:space="preserve">, </w:t>
      </w:r>
      <w:r w:rsidR="009802CF" w:rsidRPr="00483AEE">
        <w:rPr>
          <w:szCs w:val="24"/>
        </w:rPr>
        <w:t>las políticas de desindustrialización y las medidas de liberalización económica introducidas por las</w:t>
      </w:r>
      <w:r w:rsidR="002E2864" w:rsidRPr="00483AEE">
        <w:rPr>
          <w:szCs w:val="24"/>
        </w:rPr>
        <w:t xml:space="preserve"> reformas estructurales</w:t>
      </w:r>
      <w:r w:rsidR="00432C22" w:rsidRPr="00483AEE">
        <w:rPr>
          <w:szCs w:val="24"/>
        </w:rPr>
        <w:t>. Destaquemos algunos rasgos sobresalientes</w:t>
      </w:r>
      <w:r w:rsidR="007B06FA" w:rsidRPr="00483AEE">
        <w:rPr>
          <w:szCs w:val="24"/>
        </w:rPr>
        <w:t>:</w:t>
      </w:r>
      <w:r w:rsidR="002E2864" w:rsidRPr="00483AEE">
        <w:rPr>
          <w:szCs w:val="24"/>
        </w:rPr>
        <w:t xml:space="preserve"> </w:t>
      </w:r>
    </w:p>
    <w:p w:rsidR="00CC7164" w:rsidRPr="00483AEE" w:rsidRDefault="00CC7164" w:rsidP="00483AEE">
      <w:pPr>
        <w:spacing w:after="120" w:line="360" w:lineRule="auto"/>
        <w:jc w:val="both"/>
        <w:rPr>
          <w:szCs w:val="24"/>
        </w:rPr>
      </w:pPr>
      <w:r w:rsidRPr="00483AEE">
        <w:rPr>
          <w:szCs w:val="24"/>
        </w:rPr>
        <w:t xml:space="preserve">i) La irrupción de </w:t>
      </w:r>
      <w:r w:rsidR="00A23288" w:rsidRPr="00483AEE">
        <w:rPr>
          <w:szCs w:val="24"/>
        </w:rPr>
        <w:t xml:space="preserve">una </w:t>
      </w:r>
      <w:r w:rsidRPr="00483AEE">
        <w:rPr>
          <w:szCs w:val="24"/>
        </w:rPr>
        <w:t>efectiva y extendida “revolución productiva” en el sector agropecuario a partir de los años noventa (incorporación de nuevas tecnologías y modelos de gestión y producción) que no sólo cambiaron la fisonomía y composición socioeconómica del sector rural, sino que también volvió a dotar al mismo de un papel clave en los procesos de acumulación interna, incluyendo la formación de una importante clase media-empresarial agropecuaria</w:t>
      </w:r>
      <w:r w:rsidR="00DF2B77" w:rsidRPr="00483AEE">
        <w:rPr>
          <w:szCs w:val="24"/>
        </w:rPr>
        <w:t xml:space="preserve"> con relativa capacidad para </w:t>
      </w:r>
      <w:r w:rsidR="00DF2B77" w:rsidRPr="00483AEE">
        <w:rPr>
          <w:szCs w:val="24"/>
        </w:rPr>
        <w:lastRenderedPageBreak/>
        <w:t>acumulación interna, pero fuertemente dependiente de la demanda y los precios internacionales</w:t>
      </w:r>
      <w:r w:rsidR="00A23288" w:rsidRPr="00483AEE">
        <w:rPr>
          <w:szCs w:val="24"/>
        </w:rPr>
        <w:t xml:space="preserve"> (</w:t>
      </w:r>
      <w:proofErr w:type="spellStart"/>
      <w:r w:rsidR="00A23288" w:rsidRPr="00483AEE">
        <w:rPr>
          <w:szCs w:val="24"/>
        </w:rPr>
        <w:t>Kulfas</w:t>
      </w:r>
      <w:proofErr w:type="spellEnd"/>
      <w:r w:rsidR="00A23288" w:rsidRPr="00483AEE">
        <w:rPr>
          <w:szCs w:val="24"/>
        </w:rPr>
        <w:t>, 2016)</w:t>
      </w:r>
      <w:r w:rsidRPr="00483AEE">
        <w:rPr>
          <w:szCs w:val="24"/>
        </w:rPr>
        <w:t>.</w:t>
      </w:r>
      <w:r w:rsidR="00DF2B77" w:rsidRPr="00483AEE">
        <w:rPr>
          <w:szCs w:val="24"/>
        </w:rPr>
        <w:t xml:space="preserve"> </w:t>
      </w:r>
    </w:p>
    <w:p w:rsidR="00CC7164" w:rsidRPr="00483AEE" w:rsidRDefault="00CC7164" w:rsidP="00483AEE">
      <w:pPr>
        <w:spacing w:after="120" w:line="360" w:lineRule="auto"/>
        <w:jc w:val="both"/>
        <w:rPr>
          <w:szCs w:val="24"/>
        </w:rPr>
      </w:pPr>
      <w:r w:rsidRPr="00483AEE">
        <w:rPr>
          <w:szCs w:val="24"/>
        </w:rPr>
        <w:t>ii) El deterioro estructural y la pérdida de importancia relativa -productiva, social y política- del sector económico formado por grandes, medianas y pequeñas industrias nacionales</w:t>
      </w:r>
      <w:r w:rsidR="00A23288" w:rsidRPr="00483AEE">
        <w:rPr>
          <w:szCs w:val="24"/>
        </w:rPr>
        <w:t xml:space="preserve"> (Basualdo, 2010)</w:t>
      </w:r>
      <w:r w:rsidRPr="00483AEE">
        <w:rPr>
          <w:szCs w:val="24"/>
        </w:rPr>
        <w:t xml:space="preserve">, así como de los tradicionales actores del movimiento obrero vinculados a estos segmentos empresariales, cuya supervivencia y crecimiento dependen cada vez más de la expansión del sector externo (con mayores o menores subsidios, promociones o protecciones) y cada vez menos de la ampliación del mercado interno por vía del empleo y los salarios. </w:t>
      </w:r>
    </w:p>
    <w:p w:rsidR="00B47BFB" w:rsidRPr="00483AEE" w:rsidRDefault="00816646" w:rsidP="00483AEE">
      <w:pPr>
        <w:spacing w:after="120" w:line="360" w:lineRule="auto"/>
        <w:jc w:val="both"/>
        <w:rPr>
          <w:szCs w:val="24"/>
        </w:rPr>
      </w:pPr>
      <w:r w:rsidRPr="00483AEE">
        <w:rPr>
          <w:szCs w:val="24"/>
        </w:rPr>
        <w:t>i</w:t>
      </w:r>
      <w:r w:rsidR="00CC7164" w:rsidRPr="00483AEE">
        <w:rPr>
          <w:szCs w:val="24"/>
        </w:rPr>
        <w:t>ii</w:t>
      </w:r>
      <w:r w:rsidRPr="00483AEE">
        <w:rPr>
          <w:szCs w:val="24"/>
        </w:rPr>
        <w:t xml:space="preserve">) </w:t>
      </w:r>
      <w:r w:rsidR="00CC7164" w:rsidRPr="00483AEE">
        <w:rPr>
          <w:szCs w:val="24"/>
        </w:rPr>
        <w:t>La estructuración de u</w:t>
      </w:r>
      <w:r w:rsidR="00432C22" w:rsidRPr="00483AEE">
        <w:rPr>
          <w:szCs w:val="24"/>
        </w:rPr>
        <w:t xml:space="preserve">n sistema económico </w:t>
      </w:r>
      <w:r w:rsidR="00CC7164" w:rsidRPr="00483AEE">
        <w:rPr>
          <w:szCs w:val="24"/>
        </w:rPr>
        <w:t xml:space="preserve">cada vez más </w:t>
      </w:r>
      <w:r w:rsidR="00432C22" w:rsidRPr="00483AEE">
        <w:rPr>
          <w:szCs w:val="24"/>
        </w:rPr>
        <w:t xml:space="preserve">dependiente de </w:t>
      </w:r>
      <w:r w:rsidR="007B06FA" w:rsidRPr="00483AEE">
        <w:rPr>
          <w:szCs w:val="24"/>
        </w:rPr>
        <w:t>un</w:t>
      </w:r>
      <w:r w:rsidR="002E2864" w:rsidRPr="00483AEE">
        <w:rPr>
          <w:szCs w:val="24"/>
        </w:rPr>
        <w:t xml:space="preserve"> patrón </w:t>
      </w:r>
      <w:r w:rsidR="007B06FA" w:rsidRPr="00483AEE">
        <w:rPr>
          <w:szCs w:val="24"/>
        </w:rPr>
        <w:t xml:space="preserve">concentrado de acumulación </w:t>
      </w:r>
      <w:r w:rsidR="00CC7164" w:rsidRPr="00483AEE">
        <w:rPr>
          <w:szCs w:val="24"/>
        </w:rPr>
        <w:t>especializado</w:t>
      </w:r>
      <w:r w:rsidR="002E2864" w:rsidRPr="00483AEE">
        <w:rPr>
          <w:szCs w:val="24"/>
        </w:rPr>
        <w:t xml:space="preserve"> en la </w:t>
      </w:r>
      <w:r w:rsidR="00CC7164" w:rsidRPr="00483AEE">
        <w:rPr>
          <w:szCs w:val="24"/>
        </w:rPr>
        <w:t xml:space="preserve">producción y </w:t>
      </w:r>
      <w:r w:rsidR="002E2864" w:rsidRPr="00483AEE">
        <w:rPr>
          <w:szCs w:val="24"/>
        </w:rPr>
        <w:t xml:space="preserve">exportación de </w:t>
      </w:r>
      <w:r w:rsidR="002E2864" w:rsidRPr="00483AEE">
        <w:rPr>
          <w:i/>
          <w:szCs w:val="24"/>
        </w:rPr>
        <w:t>commodities</w:t>
      </w:r>
      <w:r w:rsidR="002E2864" w:rsidRPr="00483AEE">
        <w:rPr>
          <w:szCs w:val="24"/>
        </w:rPr>
        <w:t xml:space="preserve"> agroindustriales y </w:t>
      </w:r>
      <w:r w:rsidR="00CC7164" w:rsidRPr="00483AEE">
        <w:rPr>
          <w:szCs w:val="24"/>
        </w:rPr>
        <w:t>mineros</w:t>
      </w:r>
      <w:r w:rsidR="002E2864" w:rsidRPr="00483AEE">
        <w:rPr>
          <w:szCs w:val="24"/>
        </w:rPr>
        <w:t xml:space="preserve"> (</w:t>
      </w:r>
      <w:proofErr w:type="spellStart"/>
      <w:r w:rsidR="00A24C4F" w:rsidRPr="00483AEE">
        <w:rPr>
          <w:szCs w:val="24"/>
        </w:rPr>
        <w:t>Gaggero</w:t>
      </w:r>
      <w:proofErr w:type="spellEnd"/>
      <w:r w:rsidR="00A24C4F" w:rsidRPr="00483AEE">
        <w:rPr>
          <w:szCs w:val="24"/>
        </w:rPr>
        <w:t xml:space="preserve">, </w:t>
      </w:r>
      <w:proofErr w:type="spellStart"/>
      <w:r w:rsidR="00A24C4F" w:rsidRPr="00483AEE">
        <w:rPr>
          <w:szCs w:val="24"/>
        </w:rPr>
        <w:t>Schorr</w:t>
      </w:r>
      <w:proofErr w:type="spellEnd"/>
      <w:r w:rsidR="00A24C4F" w:rsidRPr="00483AEE">
        <w:rPr>
          <w:szCs w:val="24"/>
        </w:rPr>
        <w:t xml:space="preserve"> y </w:t>
      </w:r>
      <w:proofErr w:type="spellStart"/>
      <w:r w:rsidR="00A24C4F" w:rsidRPr="00483AEE">
        <w:rPr>
          <w:szCs w:val="24"/>
        </w:rPr>
        <w:t>Wainer</w:t>
      </w:r>
      <w:proofErr w:type="spellEnd"/>
      <w:r w:rsidR="00A24C4F" w:rsidRPr="00483AEE">
        <w:rPr>
          <w:szCs w:val="24"/>
        </w:rPr>
        <w:t xml:space="preserve">, 2014), siendo sus agentes más dinámicos un conjunto reducido de </w:t>
      </w:r>
      <w:r w:rsidR="005D266A" w:rsidRPr="00483AEE">
        <w:rPr>
          <w:szCs w:val="24"/>
        </w:rPr>
        <w:t>grupos económicos</w:t>
      </w:r>
      <w:r w:rsidR="00A24C4F" w:rsidRPr="00483AEE">
        <w:rPr>
          <w:szCs w:val="24"/>
        </w:rPr>
        <w:t xml:space="preserve"> locales e internacionales</w:t>
      </w:r>
      <w:r w:rsidR="004F3409" w:rsidRPr="00483AEE">
        <w:rPr>
          <w:szCs w:val="24"/>
        </w:rPr>
        <w:t xml:space="preserve"> globalizados y con estrechas vinculaciones</w:t>
      </w:r>
      <w:r w:rsidR="00DB77C2" w:rsidRPr="00483AEE">
        <w:rPr>
          <w:szCs w:val="24"/>
        </w:rPr>
        <w:t xml:space="preserve"> entre sí</w:t>
      </w:r>
      <w:r w:rsidR="00CC7164" w:rsidRPr="00483AEE">
        <w:rPr>
          <w:szCs w:val="24"/>
        </w:rPr>
        <w:t>, en cuya estrategia global el país constituye una fuente valiosa de recursos primarios y naturales</w:t>
      </w:r>
      <w:r w:rsidR="002E2864" w:rsidRPr="00483AEE">
        <w:rPr>
          <w:szCs w:val="24"/>
        </w:rPr>
        <w:t>.</w:t>
      </w:r>
      <w:r w:rsidR="002E2864" w:rsidRPr="00483AEE">
        <w:rPr>
          <w:szCs w:val="24"/>
          <w:vertAlign w:val="superscript"/>
        </w:rPr>
        <w:footnoteReference w:id="15"/>
      </w:r>
      <w:r w:rsidR="002E2864" w:rsidRPr="00483AEE">
        <w:rPr>
          <w:szCs w:val="24"/>
        </w:rPr>
        <w:t xml:space="preserve"> </w:t>
      </w:r>
    </w:p>
    <w:p w:rsidR="00CC7164" w:rsidRPr="00483AEE" w:rsidRDefault="00CC7164" w:rsidP="00483AEE">
      <w:pPr>
        <w:spacing w:after="120" w:line="360" w:lineRule="auto"/>
        <w:jc w:val="both"/>
        <w:rPr>
          <w:szCs w:val="24"/>
        </w:rPr>
      </w:pPr>
      <w:r w:rsidRPr="00483AEE">
        <w:rPr>
          <w:szCs w:val="24"/>
        </w:rPr>
        <w:t xml:space="preserve">iv) La conformación de un núcleo duro de población </w:t>
      </w:r>
      <w:r w:rsidR="00ED3827" w:rsidRPr="00483AEE">
        <w:rPr>
          <w:szCs w:val="24"/>
        </w:rPr>
        <w:t>rural-</w:t>
      </w:r>
      <w:r w:rsidRPr="00483AEE">
        <w:rPr>
          <w:szCs w:val="24"/>
        </w:rPr>
        <w:t>urbana e</w:t>
      </w:r>
      <w:r w:rsidR="00ED3827" w:rsidRPr="00483AEE">
        <w:rPr>
          <w:szCs w:val="24"/>
        </w:rPr>
        <w:t>xcedente asociada a</w:t>
      </w:r>
      <w:r w:rsidRPr="00483AEE">
        <w:rPr>
          <w:szCs w:val="24"/>
        </w:rPr>
        <w:t xml:space="preserve"> una economía </w:t>
      </w:r>
      <w:r w:rsidR="00ED3827" w:rsidRPr="00483AEE">
        <w:rPr>
          <w:szCs w:val="24"/>
        </w:rPr>
        <w:t xml:space="preserve">informal/social de producción, comercialización y </w:t>
      </w:r>
      <w:r w:rsidRPr="00483AEE">
        <w:rPr>
          <w:szCs w:val="24"/>
        </w:rPr>
        <w:t>consumo de muy baja productividad</w:t>
      </w:r>
      <w:r w:rsidR="00ED3827" w:rsidRPr="00483AEE">
        <w:rPr>
          <w:szCs w:val="24"/>
        </w:rPr>
        <w:t xml:space="preserve"> dirigida a sectores populares. Se trata de población que </w:t>
      </w:r>
      <w:r w:rsidR="00A23288" w:rsidRPr="00483AEE">
        <w:rPr>
          <w:szCs w:val="24"/>
        </w:rPr>
        <w:t>conforma</w:t>
      </w:r>
      <w:r w:rsidR="00ED3827" w:rsidRPr="00483AEE">
        <w:rPr>
          <w:szCs w:val="24"/>
        </w:rPr>
        <w:t xml:space="preserve"> un segmento socio-laboral marginal a los procesos económicos formales, la cual </w:t>
      </w:r>
      <w:r w:rsidR="00DF2B77" w:rsidRPr="00483AEE">
        <w:rPr>
          <w:szCs w:val="24"/>
        </w:rPr>
        <w:t>demanda</w:t>
      </w:r>
      <w:r w:rsidR="00ED3827" w:rsidRPr="00483AEE">
        <w:rPr>
          <w:szCs w:val="24"/>
        </w:rPr>
        <w:t xml:space="preserve"> </w:t>
      </w:r>
      <w:r w:rsidR="00DF2B77" w:rsidRPr="00483AEE">
        <w:rPr>
          <w:szCs w:val="24"/>
        </w:rPr>
        <w:t>una</w:t>
      </w:r>
      <w:r w:rsidR="00ED3827" w:rsidRPr="00483AEE">
        <w:rPr>
          <w:szCs w:val="24"/>
        </w:rPr>
        <w:t xml:space="preserve"> asistencia </w:t>
      </w:r>
      <w:r w:rsidR="00DF2B77" w:rsidRPr="00483AEE">
        <w:rPr>
          <w:szCs w:val="24"/>
        </w:rPr>
        <w:t>permanente por parte de los</w:t>
      </w:r>
      <w:r w:rsidR="00ED3827" w:rsidRPr="00483AEE">
        <w:rPr>
          <w:szCs w:val="24"/>
        </w:rPr>
        <w:t xml:space="preserve"> programas de transferencia de ingresos. </w:t>
      </w:r>
    </w:p>
    <w:p w:rsidR="0096766E" w:rsidRPr="00483AEE" w:rsidRDefault="00DF2B77" w:rsidP="00483AEE">
      <w:pPr>
        <w:spacing w:after="120" w:line="360" w:lineRule="auto"/>
        <w:jc w:val="both"/>
        <w:rPr>
          <w:szCs w:val="24"/>
          <w:highlight w:val="yellow"/>
        </w:rPr>
      </w:pPr>
      <w:r w:rsidRPr="00483AEE">
        <w:rPr>
          <w:szCs w:val="24"/>
        </w:rPr>
        <w:t>En el contexto descrito, a</w:t>
      </w:r>
      <w:r w:rsidR="002211B0" w:rsidRPr="00483AEE">
        <w:rPr>
          <w:szCs w:val="24"/>
        </w:rPr>
        <w:t xml:space="preserve"> diferencia del gobierno de Néstor Kirchner, los dos períodos de gobierno </w:t>
      </w:r>
      <w:r w:rsidR="0069631C" w:rsidRPr="00483AEE">
        <w:rPr>
          <w:szCs w:val="24"/>
        </w:rPr>
        <w:t>de</w:t>
      </w:r>
      <w:r w:rsidR="002211B0" w:rsidRPr="00483AEE">
        <w:rPr>
          <w:szCs w:val="24"/>
        </w:rPr>
        <w:t xml:space="preserve"> </w:t>
      </w:r>
      <w:r w:rsidR="0069631C" w:rsidRPr="00483AEE">
        <w:rPr>
          <w:szCs w:val="24"/>
        </w:rPr>
        <w:t xml:space="preserve">Cristina Fernández (2007-2015) </w:t>
      </w:r>
      <w:r w:rsidR="002211B0" w:rsidRPr="00483AEE">
        <w:rPr>
          <w:szCs w:val="24"/>
        </w:rPr>
        <w:t>se caracterizaron por un crecimiento económico</w:t>
      </w:r>
      <w:r w:rsidR="0069631C" w:rsidRPr="00483AEE">
        <w:rPr>
          <w:szCs w:val="24"/>
        </w:rPr>
        <w:t xml:space="preserve"> más errático. En 2008, </w:t>
      </w:r>
      <w:r w:rsidRPr="00483AEE">
        <w:rPr>
          <w:szCs w:val="24"/>
        </w:rPr>
        <w:t xml:space="preserve">en medio de la crisis internacional, </w:t>
      </w:r>
      <w:r w:rsidR="0069631C" w:rsidRPr="00483AEE">
        <w:rPr>
          <w:szCs w:val="24"/>
        </w:rPr>
        <w:t xml:space="preserve">el intento </w:t>
      </w:r>
      <w:r w:rsidR="001E184A" w:rsidRPr="00483AEE">
        <w:rPr>
          <w:szCs w:val="24"/>
        </w:rPr>
        <w:t xml:space="preserve">del gobierno </w:t>
      </w:r>
      <w:r w:rsidR="0069631C" w:rsidRPr="00483AEE">
        <w:rPr>
          <w:szCs w:val="24"/>
        </w:rPr>
        <w:t>de implementar retenciones impositivas móviles</w:t>
      </w:r>
      <w:r w:rsidR="002211B0" w:rsidRPr="00483AEE">
        <w:rPr>
          <w:szCs w:val="24"/>
        </w:rPr>
        <w:t xml:space="preserve"> a las exportaciones primarias</w:t>
      </w:r>
      <w:r w:rsidR="0069631C" w:rsidRPr="00483AEE">
        <w:rPr>
          <w:szCs w:val="24"/>
        </w:rPr>
        <w:t xml:space="preserve"> </w:t>
      </w:r>
      <w:r w:rsidR="00084CAC" w:rsidRPr="00483AEE">
        <w:rPr>
          <w:szCs w:val="24"/>
        </w:rPr>
        <w:t xml:space="preserve">con el fin de financiar el gasto público, </w:t>
      </w:r>
      <w:r w:rsidR="001E184A" w:rsidRPr="00483AEE">
        <w:rPr>
          <w:szCs w:val="24"/>
        </w:rPr>
        <w:t xml:space="preserve">lo </w:t>
      </w:r>
      <w:r w:rsidR="002211B0" w:rsidRPr="00483AEE">
        <w:rPr>
          <w:szCs w:val="24"/>
        </w:rPr>
        <w:t>enfrentó</w:t>
      </w:r>
      <w:r w:rsidR="0069631C" w:rsidRPr="00483AEE">
        <w:rPr>
          <w:szCs w:val="24"/>
        </w:rPr>
        <w:t xml:space="preserve"> </w:t>
      </w:r>
      <w:r w:rsidR="001E184A" w:rsidRPr="00483AEE">
        <w:rPr>
          <w:szCs w:val="24"/>
        </w:rPr>
        <w:t xml:space="preserve">sin éxito </w:t>
      </w:r>
      <w:r w:rsidRPr="00483AEE">
        <w:rPr>
          <w:szCs w:val="24"/>
        </w:rPr>
        <w:t>a</w:t>
      </w:r>
      <w:r w:rsidR="0069631C" w:rsidRPr="00483AEE">
        <w:rPr>
          <w:szCs w:val="24"/>
        </w:rPr>
        <w:t xml:space="preserve"> los </w:t>
      </w:r>
      <w:r w:rsidR="00084CAC" w:rsidRPr="00483AEE">
        <w:rPr>
          <w:szCs w:val="24"/>
        </w:rPr>
        <w:t>sectores</w:t>
      </w:r>
      <w:r w:rsidR="0069631C" w:rsidRPr="00483AEE">
        <w:rPr>
          <w:szCs w:val="24"/>
        </w:rPr>
        <w:t xml:space="preserve"> agroexportadores</w:t>
      </w:r>
      <w:r w:rsidR="00084CAC" w:rsidRPr="00483AEE">
        <w:rPr>
          <w:szCs w:val="24"/>
        </w:rPr>
        <w:t xml:space="preserve"> </w:t>
      </w:r>
      <w:r w:rsidR="0069631C" w:rsidRPr="00483AEE">
        <w:rPr>
          <w:szCs w:val="24"/>
        </w:rPr>
        <w:t>(</w:t>
      </w:r>
      <w:proofErr w:type="spellStart"/>
      <w:r w:rsidR="0069631C" w:rsidRPr="00483AEE">
        <w:rPr>
          <w:szCs w:val="24"/>
        </w:rPr>
        <w:t>Kulfas</w:t>
      </w:r>
      <w:proofErr w:type="spellEnd"/>
      <w:r w:rsidR="0069631C" w:rsidRPr="00483AEE">
        <w:rPr>
          <w:szCs w:val="24"/>
        </w:rPr>
        <w:t>, 2016). Est</w:t>
      </w:r>
      <w:r w:rsidR="00084CAC" w:rsidRPr="00483AEE">
        <w:rPr>
          <w:szCs w:val="24"/>
        </w:rPr>
        <w:t>a situación</w:t>
      </w:r>
      <w:r w:rsidR="0044425E" w:rsidRPr="00483AEE">
        <w:rPr>
          <w:szCs w:val="24"/>
        </w:rPr>
        <w:t>, junto a un aumento creciente del gasto público,</w:t>
      </w:r>
      <w:r w:rsidR="00084CAC" w:rsidRPr="00483AEE">
        <w:rPr>
          <w:szCs w:val="24"/>
        </w:rPr>
        <w:t xml:space="preserve"> </w:t>
      </w:r>
      <w:r w:rsidR="0069631C" w:rsidRPr="00483AEE">
        <w:rPr>
          <w:szCs w:val="24"/>
        </w:rPr>
        <w:t>condujo a una aceleración de la inflación, sólo moderada en 2009</w:t>
      </w:r>
      <w:r w:rsidR="0044425E" w:rsidRPr="00483AEE">
        <w:rPr>
          <w:szCs w:val="24"/>
        </w:rPr>
        <w:t xml:space="preserve"> gracias a la</w:t>
      </w:r>
      <w:r w:rsidRPr="00483AEE">
        <w:rPr>
          <w:szCs w:val="24"/>
        </w:rPr>
        <w:t xml:space="preserve"> situación recesiva generada por </w:t>
      </w:r>
      <w:r w:rsidR="0069631C" w:rsidRPr="00483AEE">
        <w:rPr>
          <w:szCs w:val="24"/>
        </w:rPr>
        <w:t xml:space="preserve">la crisis internacional. </w:t>
      </w:r>
      <w:r w:rsidR="0096766E" w:rsidRPr="00483AEE">
        <w:rPr>
          <w:szCs w:val="24"/>
          <w:vertAlign w:val="superscript"/>
        </w:rPr>
        <w:footnoteReference w:id="16"/>
      </w:r>
    </w:p>
    <w:p w:rsidR="0044425E" w:rsidRPr="00483AEE" w:rsidRDefault="0069631C" w:rsidP="00483AEE">
      <w:pPr>
        <w:spacing w:after="120" w:line="360" w:lineRule="auto"/>
        <w:jc w:val="both"/>
        <w:rPr>
          <w:szCs w:val="24"/>
        </w:rPr>
      </w:pPr>
      <w:r w:rsidRPr="00483AEE">
        <w:rPr>
          <w:szCs w:val="24"/>
        </w:rPr>
        <w:lastRenderedPageBreak/>
        <w:t>La estrategia implementada para enfrentar la crisis consistió en la aplicación de una política monetaria expansiva para sostener los niveles de consumo interno</w:t>
      </w:r>
      <w:r w:rsidR="00FC6BB0" w:rsidRPr="00483AEE">
        <w:rPr>
          <w:szCs w:val="24"/>
        </w:rPr>
        <w:t xml:space="preserve">. Dicha política pudo ser sostenida en base a dos expedientes fundamentales: en primer lugar, </w:t>
      </w:r>
      <w:r w:rsidR="0044425E" w:rsidRPr="00483AEE">
        <w:rPr>
          <w:szCs w:val="24"/>
        </w:rPr>
        <w:t>la nacionalización</w:t>
      </w:r>
      <w:r w:rsidR="00FC6BB0" w:rsidRPr="00483AEE">
        <w:rPr>
          <w:szCs w:val="24"/>
        </w:rPr>
        <w:t xml:space="preserve"> </w:t>
      </w:r>
      <w:r w:rsidR="0044425E" w:rsidRPr="00483AEE">
        <w:rPr>
          <w:szCs w:val="24"/>
        </w:rPr>
        <w:t>d</w:t>
      </w:r>
      <w:r w:rsidR="00FC6BB0" w:rsidRPr="00483AEE">
        <w:rPr>
          <w:szCs w:val="24"/>
        </w:rPr>
        <w:t xml:space="preserve">el sistema </w:t>
      </w:r>
      <w:r w:rsidR="00084CAC" w:rsidRPr="00483AEE">
        <w:rPr>
          <w:szCs w:val="24"/>
        </w:rPr>
        <w:t xml:space="preserve">privado </w:t>
      </w:r>
      <w:r w:rsidR="00FC6BB0" w:rsidRPr="00483AEE">
        <w:rPr>
          <w:szCs w:val="24"/>
        </w:rPr>
        <w:t xml:space="preserve">de jubilaciones y pensiones a partir de 2008, lo que implicó un ingreso de fondos para el Estado y la adquisición de los bonos que el sistema de capitalización tenía en su poder. </w:t>
      </w:r>
      <w:r w:rsidR="00CA445C" w:rsidRPr="00483AEE">
        <w:rPr>
          <w:szCs w:val="24"/>
        </w:rPr>
        <w:t>En segundo lugar, e</w:t>
      </w:r>
      <w:r w:rsidR="00FC6BB0" w:rsidRPr="00483AEE">
        <w:rPr>
          <w:szCs w:val="24"/>
        </w:rPr>
        <w:t>n 2012</w:t>
      </w:r>
      <w:r w:rsidR="00CA445C" w:rsidRPr="00483AEE">
        <w:rPr>
          <w:szCs w:val="24"/>
        </w:rPr>
        <w:t xml:space="preserve"> </w:t>
      </w:r>
      <w:r w:rsidR="00FC6BB0" w:rsidRPr="00483AEE">
        <w:rPr>
          <w:szCs w:val="24"/>
        </w:rPr>
        <w:t xml:space="preserve">se modificó la Carta Orgánica del Banco Central, habilitando la emisión monetaria </w:t>
      </w:r>
      <w:r w:rsidR="001E184A" w:rsidRPr="00483AEE">
        <w:rPr>
          <w:szCs w:val="24"/>
        </w:rPr>
        <w:t xml:space="preserve">también </w:t>
      </w:r>
      <w:r w:rsidR="00FC6BB0" w:rsidRPr="00483AEE">
        <w:rPr>
          <w:szCs w:val="24"/>
        </w:rPr>
        <w:t xml:space="preserve">para </w:t>
      </w:r>
      <w:r w:rsidR="001E184A" w:rsidRPr="00483AEE">
        <w:rPr>
          <w:szCs w:val="24"/>
        </w:rPr>
        <w:t xml:space="preserve">poder </w:t>
      </w:r>
      <w:r w:rsidR="00FC6BB0" w:rsidRPr="00483AEE">
        <w:rPr>
          <w:szCs w:val="24"/>
        </w:rPr>
        <w:t>financiar el déficit (</w:t>
      </w:r>
      <w:proofErr w:type="spellStart"/>
      <w:r w:rsidR="00FC6BB0" w:rsidRPr="00483AEE">
        <w:rPr>
          <w:szCs w:val="24"/>
        </w:rPr>
        <w:t>Gerchunoff</w:t>
      </w:r>
      <w:proofErr w:type="spellEnd"/>
      <w:r w:rsidR="00FC6BB0" w:rsidRPr="00483AEE">
        <w:rPr>
          <w:szCs w:val="24"/>
        </w:rPr>
        <w:t>, 2013).</w:t>
      </w:r>
      <w:r w:rsidR="00FC6BB0" w:rsidRPr="00483AEE">
        <w:rPr>
          <w:rStyle w:val="Refdenotaalpie"/>
          <w:szCs w:val="24"/>
        </w:rPr>
        <w:footnoteReference w:id="17"/>
      </w:r>
      <w:r w:rsidR="00A45340" w:rsidRPr="00483AEE">
        <w:rPr>
          <w:szCs w:val="24"/>
        </w:rPr>
        <w:t xml:space="preserve"> </w:t>
      </w:r>
      <w:r w:rsidR="00C67999" w:rsidRPr="00483AEE">
        <w:rPr>
          <w:szCs w:val="24"/>
        </w:rPr>
        <w:t>A través de esta estrategia</w:t>
      </w:r>
      <w:r w:rsidR="0044255F" w:rsidRPr="00483AEE">
        <w:rPr>
          <w:szCs w:val="24"/>
        </w:rPr>
        <w:t xml:space="preserve"> fue posible para el gobierno transitar la crisis </w:t>
      </w:r>
      <w:r w:rsidR="00C67999" w:rsidRPr="00483AEE">
        <w:rPr>
          <w:szCs w:val="24"/>
        </w:rPr>
        <w:t xml:space="preserve">internacional de 2008-2009 con </w:t>
      </w:r>
      <w:r w:rsidR="00B56FA0" w:rsidRPr="00483AEE">
        <w:rPr>
          <w:szCs w:val="24"/>
        </w:rPr>
        <w:t xml:space="preserve">políticas </w:t>
      </w:r>
      <w:r w:rsidR="00C67999" w:rsidRPr="00483AEE">
        <w:rPr>
          <w:szCs w:val="24"/>
        </w:rPr>
        <w:t>contra</w:t>
      </w:r>
      <w:r w:rsidR="00A23288" w:rsidRPr="00483AEE">
        <w:rPr>
          <w:szCs w:val="24"/>
        </w:rPr>
        <w:t>-</w:t>
      </w:r>
      <w:r w:rsidR="00C67999" w:rsidRPr="00483AEE">
        <w:rPr>
          <w:szCs w:val="24"/>
        </w:rPr>
        <w:t>cíclicas</w:t>
      </w:r>
      <w:r w:rsidR="00DB37E0" w:rsidRPr="00483AEE">
        <w:rPr>
          <w:szCs w:val="24"/>
        </w:rPr>
        <w:t xml:space="preserve"> orientadas a incrementar el consumo</w:t>
      </w:r>
      <w:r w:rsidR="00C67999" w:rsidRPr="00483AEE">
        <w:rPr>
          <w:szCs w:val="24"/>
        </w:rPr>
        <w:t xml:space="preserve">, minimizando </w:t>
      </w:r>
      <w:r w:rsidR="00DB37E0" w:rsidRPr="00483AEE">
        <w:rPr>
          <w:szCs w:val="24"/>
        </w:rPr>
        <w:t xml:space="preserve">así </w:t>
      </w:r>
      <w:r w:rsidR="00C67999" w:rsidRPr="00483AEE">
        <w:rPr>
          <w:szCs w:val="24"/>
        </w:rPr>
        <w:t>el impacto endógeno de la misma y fomentando una rápida salida del impacto recesivo. En ese marco, en 2010-2011</w:t>
      </w:r>
      <w:r w:rsidR="00DB37E0" w:rsidRPr="00483AEE">
        <w:rPr>
          <w:szCs w:val="24"/>
        </w:rPr>
        <w:t>, en medio de un proceso electoral,</w:t>
      </w:r>
      <w:r w:rsidR="00C67999" w:rsidRPr="00483AEE">
        <w:rPr>
          <w:szCs w:val="24"/>
        </w:rPr>
        <w:t xml:space="preserve"> tuvo lugar un</w:t>
      </w:r>
      <w:r w:rsidR="0044425E" w:rsidRPr="00483AEE">
        <w:rPr>
          <w:szCs w:val="24"/>
        </w:rPr>
        <w:t xml:space="preserve"> </w:t>
      </w:r>
      <w:r w:rsidR="00DB37E0" w:rsidRPr="00483AEE">
        <w:rPr>
          <w:szCs w:val="24"/>
        </w:rPr>
        <w:t>nuevo</w:t>
      </w:r>
      <w:r w:rsidR="0044425E" w:rsidRPr="00483AEE">
        <w:rPr>
          <w:szCs w:val="24"/>
        </w:rPr>
        <w:t xml:space="preserve"> </w:t>
      </w:r>
      <w:r w:rsidR="00DB37E0" w:rsidRPr="00483AEE">
        <w:rPr>
          <w:szCs w:val="24"/>
        </w:rPr>
        <w:t xml:space="preserve">boom de </w:t>
      </w:r>
      <w:r w:rsidR="0044425E" w:rsidRPr="00483AEE">
        <w:rPr>
          <w:szCs w:val="24"/>
        </w:rPr>
        <w:t>crecimiento</w:t>
      </w:r>
      <w:r w:rsidR="00C67999" w:rsidRPr="00483AEE">
        <w:rPr>
          <w:szCs w:val="24"/>
        </w:rPr>
        <w:t xml:space="preserve"> económico</w:t>
      </w:r>
      <w:r w:rsidR="0044425E" w:rsidRPr="00483AEE">
        <w:rPr>
          <w:szCs w:val="24"/>
        </w:rPr>
        <w:t xml:space="preserve"> (10,4% y 6,1%</w:t>
      </w:r>
      <w:r w:rsidR="00A23288" w:rsidRPr="00483AEE">
        <w:rPr>
          <w:szCs w:val="24"/>
        </w:rPr>
        <w:t xml:space="preserve"> de aumento del PIB</w:t>
      </w:r>
      <w:r w:rsidR="0044425E" w:rsidRPr="00483AEE">
        <w:rPr>
          <w:szCs w:val="24"/>
        </w:rPr>
        <w:t>, respectivamente)</w:t>
      </w:r>
      <w:r w:rsidR="00DB37E0" w:rsidRPr="00483AEE">
        <w:rPr>
          <w:szCs w:val="24"/>
        </w:rPr>
        <w:t xml:space="preserve"> pero con c</w:t>
      </w:r>
      <w:r w:rsidR="00C67999" w:rsidRPr="00483AEE">
        <w:rPr>
          <w:szCs w:val="24"/>
        </w:rPr>
        <w:t xml:space="preserve">aracterísticas muy distintas </w:t>
      </w:r>
      <w:r w:rsidR="00DB37E0" w:rsidRPr="00483AEE">
        <w:rPr>
          <w:szCs w:val="24"/>
        </w:rPr>
        <w:t>a las del</w:t>
      </w:r>
      <w:r w:rsidR="0044425E" w:rsidRPr="00483AEE">
        <w:rPr>
          <w:szCs w:val="24"/>
        </w:rPr>
        <w:t xml:space="preserve"> primer período: </w:t>
      </w:r>
      <w:r w:rsidR="00DB37E0" w:rsidRPr="00483AEE">
        <w:rPr>
          <w:szCs w:val="24"/>
        </w:rPr>
        <w:t xml:space="preserve">débil nivel de inversión, bajo crecimiento </w:t>
      </w:r>
      <w:r w:rsidR="00C67999" w:rsidRPr="00483AEE">
        <w:rPr>
          <w:szCs w:val="24"/>
        </w:rPr>
        <w:t>industrial</w:t>
      </w:r>
      <w:r w:rsidR="00DB37E0" w:rsidRPr="00483AEE">
        <w:rPr>
          <w:szCs w:val="24"/>
        </w:rPr>
        <w:t xml:space="preserve"> y</w:t>
      </w:r>
      <w:r w:rsidR="00C67999" w:rsidRPr="00483AEE">
        <w:rPr>
          <w:szCs w:val="24"/>
        </w:rPr>
        <w:t xml:space="preserve"> </w:t>
      </w:r>
      <w:r w:rsidR="00DB37E0" w:rsidRPr="00483AEE">
        <w:rPr>
          <w:szCs w:val="24"/>
        </w:rPr>
        <w:t>leve impacto sobre la demanda de</w:t>
      </w:r>
      <w:r w:rsidR="00C67999" w:rsidRPr="00483AEE">
        <w:rPr>
          <w:szCs w:val="24"/>
        </w:rPr>
        <w:t xml:space="preserve"> </w:t>
      </w:r>
      <w:r w:rsidR="0044425E" w:rsidRPr="00483AEE">
        <w:rPr>
          <w:szCs w:val="24"/>
        </w:rPr>
        <w:t>empleo</w:t>
      </w:r>
      <w:r w:rsidR="00C67999" w:rsidRPr="00483AEE">
        <w:rPr>
          <w:szCs w:val="24"/>
        </w:rPr>
        <w:t xml:space="preserve"> </w:t>
      </w:r>
      <w:r w:rsidR="00A23288" w:rsidRPr="00483AEE">
        <w:rPr>
          <w:szCs w:val="24"/>
        </w:rPr>
        <w:t xml:space="preserve">privado </w:t>
      </w:r>
      <w:r w:rsidR="00DB37E0" w:rsidRPr="00483AEE">
        <w:rPr>
          <w:szCs w:val="24"/>
        </w:rPr>
        <w:t>registrado. Pero todo ello acosta de un mayor endeudamiento interno y desequilibrio fiscal</w:t>
      </w:r>
      <w:r w:rsidR="0044425E" w:rsidRPr="00483AEE">
        <w:rPr>
          <w:szCs w:val="24"/>
        </w:rPr>
        <w:t xml:space="preserve"> (</w:t>
      </w:r>
      <w:proofErr w:type="spellStart"/>
      <w:r w:rsidR="0044425E" w:rsidRPr="00483AEE">
        <w:rPr>
          <w:szCs w:val="24"/>
        </w:rPr>
        <w:t>Kulfas</w:t>
      </w:r>
      <w:proofErr w:type="spellEnd"/>
      <w:r w:rsidR="0044425E" w:rsidRPr="00483AEE">
        <w:rPr>
          <w:szCs w:val="24"/>
        </w:rPr>
        <w:t>, 2016</w:t>
      </w:r>
      <w:r w:rsidR="00DB37E0" w:rsidRPr="00483AEE">
        <w:rPr>
          <w:szCs w:val="24"/>
        </w:rPr>
        <w:t xml:space="preserve">; </w:t>
      </w:r>
      <w:proofErr w:type="spellStart"/>
      <w:r w:rsidR="0044425E" w:rsidRPr="00483AEE">
        <w:rPr>
          <w:szCs w:val="24"/>
        </w:rPr>
        <w:t>Schorr</w:t>
      </w:r>
      <w:proofErr w:type="spellEnd"/>
      <w:r w:rsidR="0044425E" w:rsidRPr="00483AEE">
        <w:rPr>
          <w:szCs w:val="24"/>
        </w:rPr>
        <w:t>, 2012).</w:t>
      </w:r>
    </w:p>
    <w:p w:rsidR="00F037A8" w:rsidRPr="00483AEE" w:rsidRDefault="00DB37E0" w:rsidP="00483AEE">
      <w:pPr>
        <w:spacing w:after="120" w:line="360" w:lineRule="auto"/>
        <w:jc w:val="both"/>
        <w:rPr>
          <w:szCs w:val="24"/>
        </w:rPr>
      </w:pPr>
      <w:r w:rsidRPr="00483AEE">
        <w:rPr>
          <w:szCs w:val="24"/>
        </w:rPr>
        <w:t>En este contexto, l</w:t>
      </w:r>
      <w:r w:rsidR="00B56FA0" w:rsidRPr="00483AEE">
        <w:rPr>
          <w:szCs w:val="24"/>
        </w:rPr>
        <w:t>a segunda presidencia de Cristina Fernández (2011-2015) debió enfrentar restricciones macroeconómicas</w:t>
      </w:r>
      <w:r w:rsidR="00C86A1A" w:rsidRPr="00483AEE">
        <w:rPr>
          <w:szCs w:val="24"/>
        </w:rPr>
        <w:t xml:space="preserve"> acrecentadas</w:t>
      </w:r>
      <w:r w:rsidR="00B56FA0" w:rsidRPr="00483AEE">
        <w:rPr>
          <w:szCs w:val="24"/>
        </w:rPr>
        <w:t>. La insuficiente corrección de la brecha productiva externa (que hubiera implicado un significativo incremento de la productividad) y el aumento de la inflación doméstica con orígenes tanto estructurales como monetarios, propiciaron la vuelta de la “restricción externa”. Ello se tradujo en una menor disponibilidad de divisas para enfrentar las necesidades importadoras del ciclo económico orientado al mercado interno (</w:t>
      </w:r>
      <w:proofErr w:type="spellStart"/>
      <w:r w:rsidR="00B56FA0" w:rsidRPr="00483AEE">
        <w:rPr>
          <w:szCs w:val="24"/>
        </w:rPr>
        <w:t>Bekerman</w:t>
      </w:r>
      <w:proofErr w:type="spellEnd"/>
      <w:r w:rsidR="005E7EA6" w:rsidRPr="00483AEE">
        <w:rPr>
          <w:szCs w:val="24"/>
        </w:rPr>
        <w:t xml:space="preserve"> et al.</w:t>
      </w:r>
      <w:r w:rsidR="00B56FA0" w:rsidRPr="00483AEE">
        <w:rPr>
          <w:szCs w:val="24"/>
        </w:rPr>
        <w:t xml:space="preserve">, 2014; </w:t>
      </w:r>
      <w:proofErr w:type="spellStart"/>
      <w:r w:rsidR="00B56FA0" w:rsidRPr="00483AEE">
        <w:rPr>
          <w:szCs w:val="24"/>
        </w:rPr>
        <w:t>Gaggero</w:t>
      </w:r>
      <w:proofErr w:type="spellEnd"/>
      <w:r w:rsidR="00B56FA0" w:rsidRPr="00483AEE">
        <w:rPr>
          <w:szCs w:val="24"/>
        </w:rPr>
        <w:t xml:space="preserve">, </w:t>
      </w:r>
      <w:proofErr w:type="spellStart"/>
      <w:r w:rsidR="00B56FA0" w:rsidRPr="00483AEE">
        <w:rPr>
          <w:szCs w:val="24"/>
        </w:rPr>
        <w:t>Schorr</w:t>
      </w:r>
      <w:proofErr w:type="spellEnd"/>
      <w:r w:rsidR="00B56FA0" w:rsidRPr="00483AEE">
        <w:rPr>
          <w:szCs w:val="24"/>
        </w:rPr>
        <w:t xml:space="preserve"> y </w:t>
      </w:r>
      <w:proofErr w:type="spellStart"/>
      <w:r w:rsidR="00B56FA0" w:rsidRPr="00483AEE">
        <w:rPr>
          <w:szCs w:val="24"/>
        </w:rPr>
        <w:t>Wainer</w:t>
      </w:r>
      <w:proofErr w:type="spellEnd"/>
      <w:r w:rsidR="00B56FA0" w:rsidRPr="00483AEE">
        <w:rPr>
          <w:szCs w:val="24"/>
        </w:rPr>
        <w:t xml:space="preserve">, 2014). Sobre ello incidió una acentuada fuga de capitales, que derivó en un freno del ciclo de acumulación en el sector productivo, comercial o de servicios demandante de bienes importados y, por derivación, en el conjunto de esas actividades. </w:t>
      </w:r>
    </w:p>
    <w:p w:rsidR="00350F5F" w:rsidRPr="00483AEE" w:rsidRDefault="00235F9B" w:rsidP="00483AEE">
      <w:pPr>
        <w:spacing w:after="120" w:line="360" w:lineRule="auto"/>
        <w:jc w:val="both"/>
        <w:rPr>
          <w:szCs w:val="24"/>
        </w:rPr>
      </w:pPr>
      <w:r w:rsidRPr="00483AEE">
        <w:rPr>
          <w:szCs w:val="24"/>
        </w:rPr>
        <w:lastRenderedPageBreak/>
        <w:t>Agravada la fuga de capitales y sin posibilidades de</w:t>
      </w:r>
      <w:r w:rsidR="003E1F74" w:rsidRPr="00483AEE">
        <w:rPr>
          <w:szCs w:val="24"/>
        </w:rPr>
        <w:t xml:space="preserve"> recurrir al</w:t>
      </w:r>
      <w:r w:rsidR="00C86A1A" w:rsidRPr="00483AEE">
        <w:rPr>
          <w:szCs w:val="24"/>
        </w:rPr>
        <w:t xml:space="preserve"> financiamiento</w:t>
      </w:r>
      <w:r w:rsidR="0096766E" w:rsidRPr="00483AEE">
        <w:rPr>
          <w:szCs w:val="24"/>
        </w:rPr>
        <w:t xml:space="preserve"> internacional</w:t>
      </w:r>
      <w:r w:rsidR="003E1F74" w:rsidRPr="00483AEE">
        <w:rPr>
          <w:szCs w:val="24"/>
        </w:rPr>
        <w:t xml:space="preserve"> por las deudas externas pendientes de pago</w:t>
      </w:r>
      <w:r w:rsidR="0096766E" w:rsidRPr="00483AEE">
        <w:rPr>
          <w:szCs w:val="24"/>
        </w:rPr>
        <w:t xml:space="preserve">, </w:t>
      </w:r>
      <w:r w:rsidRPr="00483AEE">
        <w:rPr>
          <w:szCs w:val="24"/>
        </w:rPr>
        <w:t>en 2012 el nuevo</w:t>
      </w:r>
      <w:r w:rsidR="00C86A1A" w:rsidRPr="00483AEE">
        <w:rPr>
          <w:szCs w:val="24"/>
        </w:rPr>
        <w:t xml:space="preserve"> gobierno amplió </w:t>
      </w:r>
      <w:r w:rsidRPr="00483AEE">
        <w:rPr>
          <w:szCs w:val="24"/>
        </w:rPr>
        <w:t>su</w:t>
      </w:r>
      <w:r w:rsidR="00C86A1A" w:rsidRPr="00483AEE">
        <w:rPr>
          <w:szCs w:val="24"/>
        </w:rPr>
        <w:t xml:space="preserve"> apuesta </w:t>
      </w:r>
      <w:r w:rsidRPr="00483AEE">
        <w:rPr>
          <w:szCs w:val="24"/>
        </w:rPr>
        <w:t xml:space="preserve">“proteccionista” </w:t>
      </w:r>
      <w:r w:rsidR="00F037A8" w:rsidRPr="00483AEE">
        <w:rPr>
          <w:szCs w:val="24"/>
        </w:rPr>
        <w:t xml:space="preserve">a través </w:t>
      </w:r>
      <w:r w:rsidRPr="00483AEE">
        <w:rPr>
          <w:szCs w:val="24"/>
        </w:rPr>
        <w:t xml:space="preserve">de imponer mayores </w:t>
      </w:r>
      <w:r w:rsidR="00C86A1A" w:rsidRPr="00483AEE">
        <w:rPr>
          <w:szCs w:val="24"/>
        </w:rPr>
        <w:t xml:space="preserve">restricciones </w:t>
      </w:r>
      <w:r w:rsidR="0096766E" w:rsidRPr="00483AEE">
        <w:rPr>
          <w:szCs w:val="24"/>
        </w:rPr>
        <w:t>a las importaciones</w:t>
      </w:r>
      <w:r w:rsidRPr="00483AEE">
        <w:rPr>
          <w:szCs w:val="24"/>
        </w:rPr>
        <w:t>,</w:t>
      </w:r>
      <w:r w:rsidR="00C86A1A" w:rsidRPr="00483AEE">
        <w:rPr>
          <w:szCs w:val="24"/>
        </w:rPr>
        <w:t xml:space="preserve"> </w:t>
      </w:r>
      <w:r w:rsidRPr="00483AEE">
        <w:rPr>
          <w:szCs w:val="24"/>
        </w:rPr>
        <w:t>limitar el mercado de</w:t>
      </w:r>
      <w:r w:rsidR="00C86A1A" w:rsidRPr="00483AEE">
        <w:rPr>
          <w:szCs w:val="24"/>
        </w:rPr>
        <w:t xml:space="preserve"> divisas</w:t>
      </w:r>
      <w:r w:rsidRPr="00483AEE">
        <w:rPr>
          <w:szCs w:val="24"/>
        </w:rPr>
        <w:t xml:space="preserve">, </w:t>
      </w:r>
      <w:r w:rsidR="00A23288" w:rsidRPr="00483AEE">
        <w:rPr>
          <w:szCs w:val="24"/>
        </w:rPr>
        <w:t>sin dejar</w:t>
      </w:r>
      <w:r w:rsidRPr="00483AEE">
        <w:rPr>
          <w:szCs w:val="24"/>
        </w:rPr>
        <w:t xml:space="preserve"> de expandir la base monetaria con el fin de mantener el nivel de actividad</w:t>
      </w:r>
      <w:r w:rsidR="0096766E" w:rsidRPr="00483AEE">
        <w:rPr>
          <w:szCs w:val="24"/>
        </w:rPr>
        <w:t>.</w:t>
      </w:r>
      <w:r w:rsidR="00F037A8" w:rsidRPr="00483AEE">
        <w:rPr>
          <w:szCs w:val="24"/>
        </w:rPr>
        <w:t xml:space="preserve"> </w:t>
      </w:r>
      <w:r w:rsidRPr="00483AEE">
        <w:rPr>
          <w:szCs w:val="24"/>
        </w:rPr>
        <w:t>Pero l</w:t>
      </w:r>
      <w:r w:rsidR="00B56FA0" w:rsidRPr="00483AEE">
        <w:rPr>
          <w:szCs w:val="24"/>
        </w:rPr>
        <w:t>a implementación de</w:t>
      </w:r>
      <w:r w:rsidRPr="00483AEE">
        <w:rPr>
          <w:szCs w:val="24"/>
        </w:rPr>
        <w:t>l</w:t>
      </w:r>
      <w:r w:rsidR="00B56FA0" w:rsidRPr="00483AEE">
        <w:rPr>
          <w:szCs w:val="24"/>
        </w:rPr>
        <w:t xml:space="preserve"> sistema de “control de cambios” alentó la brecha cambiaria, </w:t>
      </w:r>
      <w:r w:rsidRPr="00483AEE">
        <w:rPr>
          <w:szCs w:val="24"/>
        </w:rPr>
        <w:t xml:space="preserve">incrementó </w:t>
      </w:r>
      <w:r w:rsidR="00B56FA0" w:rsidRPr="00483AEE">
        <w:rPr>
          <w:szCs w:val="24"/>
        </w:rPr>
        <w:t>la especulación financiera y retrajo la inversión privada, sobre todo en sectores de la economía que operaban con bienes cuyos precios estaban regidos por el valor de las divisas (</w:t>
      </w:r>
      <w:proofErr w:type="spellStart"/>
      <w:r w:rsidR="00B56FA0" w:rsidRPr="00483AEE">
        <w:rPr>
          <w:szCs w:val="24"/>
        </w:rPr>
        <w:t>Kulfas</w:t>
      </w:r>
      <w:proofErr w:type="spellEnd"/>
      <w:r w:rsidR="00B56FA0" w:rsidRPr="00483AEE">
        <w:rPr>
          <w:szCs w:val="24"/>
        </w:rPr>
        <w:t xml:space="preserve">, 2016). </w:t>
      </w:r>
      <w:r w:rsidRPr="00483AEE">
        <w:rPr>
          <w:szCs w:val="24"/>
        </w:rPr>
        <w:t>Asimismo</w:t>
      </w:r>
      <w:r w:rsidR="00A107E8" w:rsidRPr="00483AEE">
        <w:rPr>
          <w:szCs w:val="24"/>
        </w:rPr>
        <w:t>, la pérdida del autoabastecimiento energético</w:t>
      </w:r>
      <w:r w:rsidR="008B636F" w:rsidRPr="00483AEE">
        <w:rPr>
          <w:szCs w:val="24"/>
        </w:rPr>
        <w:t>, con su</w:t>
      </w:r>
      <w:r w:rsidR="00A107E8" w:rsidRPr="00483AEE">
        <w:rPr>
          <w:szCs w:val="24"/>
        </w:rPr>
        <w:t xml:space="preserve"> fue</w:t>
      </w:r>
      <w:r w:rsidR="00A23288" w:rsidRPr="00483AEE">
        <w:rPr>
          <w:szCs w:val="24"/>
        </w:rPr>
        <w:t>r</w:t>
      </w:r>
      <w:r w:rsidR="00A107E8" w:rsidRPr="00483AEE">
        <w:rPr>
          <w:szCs w:val="24"/>
        </w:rPr>
        <w:t>te impacto en las cuen</w:t>
      </w:r>
      <w:r w:rsidR="00A23288" w:rsidRPr="00483AEE">
        <w:rPr>
          <w:szCs w:val="24"/>
        </w:rPr>
        <w:t>t</w:t>
      </w:r>
      <w:r w:rsidR="00A107E8" w:rsidRPr="00483AEE">
        <w:rPr>
          <w:szCs w:val="24"/>
        </w:rPr>
        <w:t>as públicas</w:t>
      </w:r>
      <w:r w:rsidR="008B636F" w:rsidRPr="00483AEE">
        <w:rPr>
          <w:szCs w:val="24"/>
        </w:rPr>
        <w:t>,</w:t>
      </w:r>
      <w:r w:rsidR="00A107E8" w:rsidRPr="00483AEE">
        <w:rPr>
          <w:szCs w:val="24"/>
        </w:rPr>
        <w:t xml:space="preserve"> </w:t>
      </w:r>
      <w:r w:rsidR="008B636F" w:rsidRPr="00483AEE">
        <w:rPr>
          <w:szCs w:val="24"/>
        </w:rPr>
        <w:t xml:space="preserve">daba cuenta de </w:t>
      </w:r>
      <w:r w:rsidR="00A23288" w:rsidRPr="00483AEE">
        <w:rPr>
          <w:szCs w:val="24"/>
        </w:rPr>
        <w:t>algunos de los principales límites</w:t>
      </w:r>
      <w:r w:rsidR="00A107E8" w:rsidRPr="00483AEE">
        <w:rPr>
          <w:szCs w:val="24"/>
        </w:rPr>
        <w:t xml:space="preserve"> </w:t>
      </w:r>
      <w:r w:rsidR="00D974E4" w:rsidRPr="00483AEE">
        <w:rPr>
          <w:szCs w:val="24"/>
        </w:rPr>
        <w:t>estructural</w:t>
      </w:r>
      <w:r w:rsidR="00A23288" w:rsidRPr="00483AEE">
        <w:rPr>
          <w:szCs w:val="24"/>
        </w:rPr>
        <w:t>es</w:t>
      </w:r>
      <w:r w:rsidR="00D974E4" w:rsidRPr="00483AEE">
        <w:rPr>
          <w:szCs w:val="24"/>
        </w:rPr>
        <w:t xml:space="preserve"> </w:t>
      </w:r>
      <w:r w:rsidR="00A107E8" w:rsidRPr="00483AEE">
        <w:rPr>
          <w:szCs w:val="24"/>
        </w:rPr>
        <w:t xml:space="preserve">del modelo para garantizar </w:t>
      </w:r>
      <w:r w:rsidR="00E6650D" w:rsidRPr="00483AEE">
        <w:rPr>
          <w:szCs w:val="24"/>
        </w:rPr>
        <w:t>un nuevo ciclo de crecimiento</w:t>
      </w:r>
      <w:r w:rsidR="00A107E8" w:rsidRPr="00483AEE">
        <w:rPr>
          <w:szCs w:val="24"/>
        </w:rPr>
        <w:t xml:space="preserve">. </w:t>
      </w:r>
      <w:r w:rsidR="00E6650D" w:rsidRPr="00483AEE">
        <w:rPr>
          <w:szCs w:val="24"/>
        </w:rPr>
        <w:t>En ese marco, a</w:t>
      </w:r>
      <w:r w:rsidR="00F037A8" w:rsidRPr="00483AEE">
        <w:rPr>
          <w:szCs w:val="24"/>
        </w:rPr>
        <w:t xml:space="preserve"> principios de 2014 </w:t>
      </w:r>
      <w:r w:rsidR="00D974E4" w:rsidRPr="00483AEE">
        <w:rPr>
          <w:szCs w:val="24"/>
        </w:rPr>
        <w:t>el gobierno debió aplicar una</w:t>
      </w:r>
      <w:r w:rsidR="008B636F" w:rsidRPr="00483AEE">
        <w:rPr>
          <w:szCs w:val="24"/>
        </w:rPr>
        <w:t xml:space="preserve"> </w:t>
      </w:r>
      <w:r w:rsidR="00E6650D" w:rsidRPr="00483AEE">
        <w:rPr>
          <w:szCs w:val="24"/>
        </w:rPr>
        <w:t xml:space="preserve">nueva </w:t>
      </w:r>
      <w:r w:rsidR="00F037A8" w:rsidRPr="00483AEE">
        <w:rPr>
          <w:szCs w:val="24"/>
        </w:rPr>
        <w:t>devaluación</w:t>
      </w:r>
      <w:r w:rsidR="00D974E4" w:rsidRPr="00483AEE">
        <w:rPr>
          <w:szCs w:val="24"/>
        </w:rPr>
        <w:t xml:space="preserve"> </w:t>
      </w:r>
      <w:r w:rsidR="00E6650D" w:rsidRPr="00483AEE">
        <w:rPr>
          <w:szCs w:val="24"/>
        </w:rPr>
        <w:t>al</w:t>
      </w:r>
      <w:r w:rsidR="00D974E4" w:rsidRPr="00483AEE">
        <w:rPr>
          <w:szCs w:val="24"/>
        </w:rPr>
        <w:t xml:space="preserve"> tipo de cambio que, aunque </w:t>
      </w:r>
      <w:r w:rsidR="00794E3D" w:rsidRPr="00483AEE">
        <w:rPr>
          <w:szCs w:val="24"/>
        </w:rPr>
        <w:t>reactivó</w:t>
      </w:r>
      <w:r w:rsidR="00D974E4" w:rsidRPr="00483AEE">
        <w:rPr>
          <w:szCs w:val="24"/>
        </w:rPr>
        <w:t xml:space="preserve"> inicialmente al sector exportador</w:t>
      </w:r>
      <w:r w:rsidR="00E6650D" w:rsidRPr="00483AEE">
        <w:rPr>
          <w:szCs w:val="24"/>
        </w:rPr>
        <w:t xml:space="preserve">, introdujo </w:t>
      </w:r>
      <w:r w:rsidR="00D974E4" w:rsidRPr="00483AEE">
        <w:rPr>
          <w:szCs w:val="24"/>
        </w:rPr>
        <w:t xml:space="preserve">un </w:t>
      </w:r>
      <w:r w:rsidR="0096766E" w:rsidRPr="00483AEE">
        <w:rPr>
          <w:szCs w:val="24"/>
        </w:rPr>
        <w:t xml:space="preserve">fuerte </w:t>
      </w:r>
      <w:r w:rsidR="00E6650D" w:rsidRPr="00483AEE">
        <w:rPr>
          <w:szCs w:val="24"/>
        </w:rPr>
        <w:t>impacto</w:t>
      </w:r>
      <w:r w:rsidR="0096766E" w:rsidRPr="00483AEE">
        <w:rPr>
          <w:szCs w:val="24"/>
        </w:rPr>
        <w:t xml:space="preserve"> </w:t>
      </w:r>
      <w:r w:rsidR="000F7909" w:rsidRPr="00483AEE">
        <w:rPr>
          <w:szCs w:val="24"/>
        </w:rPr>
        <w:t>recesivo</w:t>
      </w:r>
      <w:r w:rsidR="00E6650D" w:rsidRPr="00483AEE">
        <w:rPr>
          <w:szCs w:val="24"/>
        </w:rPr>
        <w:t xml:space="preserve"> sin </w:t>
      </w:r>
      <w:r w:rsidR="00F037A8" w:rsidRPr="00483AEE">
        <w:rPr>
          <w:szCs w:val="24"/>
        </w:rPr>
        <w:t>corre</w:t>
      </w:r>
      <w:r w:rsidR="00E6650D" w:rsidRPr="00483AEE">
        <w:rPr>
          <w:szCs w:val="24"/>
        </w:rPr>
        <w:t>gir</w:t>
      </w:r>
      <w:r w:rsidR="00F037A8" w:rsidRPr="00483AEE">
        <w:rPr>
          <w:szCs w:val="24"/>
        </w:rPr>
        <w:t xml:space="preserve"> los desequilibrios macroeconómicos</w:t>
      </w:r>
      <w:r w:rsidR="008B636F" w:rsidRPr="00483AEE">
        <w:rPr>
          <w:szCs w:val="24"/>
        </w:rPr>
        <w:t xml:space="preserve"> acumulados. En este momento</w:t>
      </w:r>
      <w:r w:rsidR="00B56FA0" w:rsidRPr="00483AEE">
        <w:rPr>
          <w:szCs w:val="24"/>
        </w:rPr>
        <w:t xml:space="preserve">, </w:t>
      </w:r>
      <w:r w:rsidR="008B636F" w:rsidRPr="00483AEE">
        <w:rPr>
          <w:szCs w:val="24"/>
        </w:rPr>
        <w:t xml:space="preserve">era evidente que </w:t>
      </w:r>
      <w:r w:rsidR="00E6650D" w:rsidRPr="00483AEE">
        <w:rPr>
          <w:szCs w:val="24"/>
        </w:rPr>
        <w:t xml:space="preserve">las </w:t>
      </w:r>
      <w:r w:rsidR="008B636F" w:rsidRPr="00483AEE">
        <w:rPr>
          <w:szCs w:val="24"/>
        </w:rPr>
        <w:t xml:space="preserve">políticas </w:t>
      </w:r>
      <w:r w:rsidR="00B56FA0" w:rsidRPr="00483AEE">
        <w:rPr>
          <w:szCs w:val="24"/>
        </w:rPr>
        <w:t>heterodox</w:t>
      </w:r>
      <w:r w:rsidR="008B636F" w:rsidRPr="00483AEE">
        <w:rPr>
          <w:szCs w:val="24"/>
        </w:rPr>
        <w:t>as</w:t>
      </w:r>
      <w:r w:rsidR="00E6650D" w:rsidRPr="00483AEE">
        <w:rPr>
          <w:szCs w:val="24"/>
        </w:rPr>
        <w:t xml:space="preserve"> </w:t>
      </w:r>
      <w:r w:rsidR="00A23288" w:rsidRPr="00483AEE">
        <w:rPr>
          <w:szCs w:val="24"/>
        </w:rPr>
        <w:t>implementadas no conseguían dinamizar un nuevo ciclo duradero de crecimiento</w:t>
      </w:r>
      <w:r w:rsidR="00E6650D" w:rsidRPr="00483AEE">
        <w:rPr>
          <w:szCs w:val="24"/>
        </w:rPr>
        <w:t xml:space="preserve"> </w:t>
      </w:r>
      <w:r w:rsidR="008B636F" w:rsidRPr="00483AEE">
        <w:rPr>
          <w:szCs w:val="24"/>
        </w:rPr>
        <w:t>(</w:t>
      </w:r>
      <w:proofErr w:type="spellStart"/>
      <w:r w:rsidR="008B636F" w:rsidRPr="00483AEE">
        <w:rPr>
          <w:szCs w:val="24"/>
        </w:rPr>
        <w:t>Damill</w:t>
      </w:r>
      <w:proofErr w:type="spellEnd"/>
      <w:r w:rsidR="008B636F" w:rsidRPr="00483AEE">
        <w:rPr>
          <w:szCs w:val="24"/>
        </w:rPr>
        <w:t xml:space="preserve">, </w:t>
      </w:r>
      <w:proofErr w:type="spellStart"/>
      <w:r w:rsidR="008B636F" w:rsidRPr="00483AEE">
        <w:rPr>
          <w:szCs w:val="24"/>
        </w:rPr>
        <w:t>Frenkel</w:t>
      </w:r>
      <w:proofErr w:type="spellEnd"/>
      <w:r w:rsidR="008B636F" w:rsidRPr="00483AEE">
        <w:rPr>
          <w:szCs w:val="24"/>
        </w:rPr>
        <w:t xml:space="preserve"> y Rapetti, 2014)</w:t>
      </w:r>
      <w:r w:rsidR="00A107E8" w:rsidRPr="00483AEE">
        <w:rPr>
          <w:szCs w:val="24"/>
        </w:rPr>
        <w:t>.</w:t>
      </w:r>
      <w:r w:rsidR="00350F5F" w:rsidRPr="00483AEE">
        <w:rPr>
          <w:szCs w:val="24"/>
        </w:rPr>
        <w:t xml:space="preserve"> </w:t>
      </w:r>
    </w:p>
    <w:p w:rsidR="00590A16" w:rsidRPr="00483AEE" w:rsidRDefault="00A23288" w:rsidP="00483AEE">
      <w:pPr>
        <w:spacing w:after="120" w:line="360" w:lineRule="auto"/>
        <w:jc w:val="both"/>
        <w:rPr>
          <w:szCs w:val="24"/>
        </w:rPr>
      </w:pPr>
      <w:r w:rsidRPr="00483AEE">
        <w:rPr>
          <w:szCs w:val="24"/>
        </w:rPr>
        <w:t xml:space="preserve">Las alternativas de política económica parecían girar en torno a la implementación de </w:t>
      </w:r>
      <w:r w:rsidR="00D96FF2" w:rsidRPr="00483AEE">
        <w:rPr>
          <w:szCs w:val="24"/>
        </w:rPr>
        <w:t>medi</w:t>
      </w:r>
      <w:r w:rsidR="00794E3D" w:rsidRPr="00483AEE">
        <w:rPr>
          <w:szCs w:val="24"/>
        </w:rPr>
        <w:t>d</w:t>
      </w:r>
      <w:r w:rsidR="00D96FF2" w:rsidRPr="00483AEE">
        <w:rPr>
          <w:szCs w:val="24"/>
        </w:rPr>
        <w:t xml:space="preserve">as de ajuste </w:t>
      </w:r>
      <w:r w:rsidR="00794E3D" w:rsidRPr="00483AEE">
        <w:rPr>
          <w:szCs w:val="24"/>
        </w:rPr>
        <w:t>más drásticas</w:t>
      </w:r>
      <w:r w:rsidRPr="00483AEE">
        <w:rPr>
          <w:szCs w:val="24"/>
        </w:rPr>
        <w:t xml:space="preserve">, la salida del control de cambios y el </w:t>
      </w:r>
      <w:r w:rsidR="00794E3D" w:rsidRPr="00483AEE">
        <w:rPr>
          <w:szCs w:val="24"/>
        </w:rPr>
        <w:t xml:space="preserve">acceso </w:t>
      </w:r>
      <w:r w:rsidR="00D96FF2" w:rsidRPr="00483AEE">
        <w:rPr>
          <w:szCs w:val="24"/>
        </w:rPr>
        <w:t>a líneas de financiamiento internacional</w:t>
      </w:r>
      <w:r w:rsidR="00794E3D" w:rsidRPr="00483AEE">
        <w:rPr>
          <w:szCs w:val="24"/>
        </w:rPr>
        <w:t>. P</w:t>
      </w:r>
      <w:r w:rsidR="00D96FF2" w:rsidRPr="00483AEE">
        <w:rPr>
          <w:szCs w:val="24"/>
        </w:rPr>
        <w:t xml:space="preserve">ero </w:t>
      </w:r>
      <w:r w:rsidRPr="00483AEE">
        <w:rPr>
          <w:szCs w:val="24"/>
        </w:rPr>
        <w:t>estas</w:t>
      </w:r>
      <w:r w:rsidR="00D96FF2" w:rsidRPr="00483AEE">
        <w:rPr>
          <w:szCs w:val="24"/>
        </w:rPr>
        <w:t xml:space="preserve"> estrategias estaban vedadas para el gobierno</w:t>
      </w:r>
      <w:r w:rsidRPr="00483AEE">
        <w:rPr>
          <w:szCs w:val="24"/>
        </w:rPr>
        <w:t>;</w:t>
      </w:r>
      <w:r w:rsidR="00794E3D" w:rsidRPr="00483AEE">
        <w:rPr>
          <w:szCs w:val="24"/>
        </w:rPr>
        <w:t xml:space="preserve"> l</w:t>
      </w:r>
      <w:r w:rsidR="00D96FF2" w:rsidRPr="00483AEE">
        <w:rPr>
          <w:szCs w:val="24"/>
        </w:rPr>
        <w:t>a primera, por razones de legitimidad política frente al propio electorado</w:t>
      </w:r>
      <w:r w:rsidR="00D930C3" w:rsidRPr="00483AEE">
        <w:rPr>
          <w:szCs w:val="24"/>
        </w:rPr>
        <w:t xml:space="preserve"> en un momento preelectoral</w:t>
      </w:r>
      <w:r w:rsidRPr="00483AEE">
        <w:rPr>
          <w:szCs w:val="24"/>
        </w:rPr>
        <w:t>, y</w:t>
      </w:r>
      <w:r w:rsidR="00E620E5" w:rsidRPr="00483AEE">
        <w:rPr>
          <w:szCs w:val="24"/>
        </w:rPr>
        <w:t xml:space="preserve"> la segund</w:t>
      </w:r>
      <w:r w:rsidRPr="00483AEE">
        <w:rPr>
          <w:szCs w:val="24"/>
        </w:rPr>
        <w:t>a</w:t>
      </w:r>
      <w:r w:rsidR="00E620E5" w:rsidRPr="00483AEE">
        <w:rPr>
          <w:szCs w:val="24"/>
        </w:rPr>
        <w:t xml:space="preserve"> por </w:t>
      </w:r>
      <w:r w:rsidR="00794E3D" w:rsidRPr="00483AEE">
        <w:rPr>
          <w:szCs w:val="24"/>
        </w:rPr>
        <w:t xml:space="preserve">falta de resolución que mantenía </w:t>
      </w:r>
      <w:r w:rsidR="00D930C3" w:rsidRPr="00483AEE">
        <w:rPr>
          <w:szCs w:val="24"/>
        </w:rPr>
        <w:t xml:space="preserve">el </w:t>
      </w:r>
      <w:r w:rsidR="00D930C3" w:rsidRPr="00483AEE">
        <w:rPr>
          <w:i/>
          <w:szCs w:val="24"/>
        </w:rPr>
        <w:t>default</w:t>
      </w:r>
      <w:r w:rsidR="00D930C3" w:rsidRPr="00483AEE">
        <w:rPr>
          <w:szCs w:val="24"/>
        </w:rPr>
        <w:t xml:space="preserve"> d</w:t>
      </w:r>
      <w:r w:rsidR="00794E3D" w:rsidRPr="00483AEE">
        <w:rPr>
          <w:szCs w:val="24"/>
        </w:rPr>
        <w:t>eclarado en</w:t>
      </w:r>
      <w:r w:rsidR="00D930C3" w:rsidRPr="00483AEE">
        <w:rPr>
          <w:szCs w:val="24"/>
        </w:rPr>
        <w:t xml:space="preserve"> 2002</w:t>
      </w:r>
      <w:r w:rsidR="00794E3D" w:rsidRPr="00483AEE">
        <w:rPr>
          <w:szCs w:val="24"/>
        </w:rPr>
        <w:t>,</w:t>
      </w:r>
      <w:r w:rsidR="00E620E5" w:rsidRPr="00483AEE">
        <w:rPr>
          <w:szCs w:val="24"/>
        </w:rPr>
        <w:t xml:space="preserve"> </w:t>
      </w:r>
      <w:r w:rsidR="00D930C3" w:rsidRPr="00483AEE">
        <w:rPr>
          <w:szCs w:val="24"/>
        </w:rPr>
        <w:t>agravad</w:t>
      </w:r>
      <w:r w:rsidR="007379CB" w:rsidRPr="00483AEE">
        <w:rPr>
          <w:szCs w:val="24"/>
        </w:rPr>
        <w:t xml:space="preserve">o por un </w:t>
      </w:r>
      <w:r w:rsidR="00E620E5" w:rsidRPr="00483AEE">
        <w:rPr>
          <w:szCs w:val="24"/>
        </w:rPr>
        <w:t>fallo</w:t>
      </w:r>
      <w:r w:rsidR="00B0787C" w:rsidRPr="00483AEE">
        <w:rPr>
          <w:szCs w:val="24"/>
        </w:rPr>
        <w:t xml:space="preserve"> judicial</w:t>
      </w:r>
      <w:r w:rsidR="007379CB" w:rsidRPr="00483AEE">
        <w:rPr>
          <w:szCs w:val="24"/>
        </w:rPr>
        <w:t xml:space="preserve"> internacional favorable a</w:t>
      </w:r>
      <w:r w:rsidR="00E620E5" w:rsidRPr="00483AEE">
        <w:rPr>
          <w:szCs w:val="24"/>
        </w:rPr>
        <w:t xml:space="preserve"> lo</w:t>
      </w:r>
      <w:r w:rsidR="00B0787C" w:rsidRPr="00483AEE">
        <w:rPr>
          <w:szCs w:val="24"/>
        </w:rPr>
        <w:t>s</w:t>
      </w:r>
      <w:r w:rsidR="00D930C3" w:rsidRPr="00483AEE">
        <w:rPr>
          <w:szCs w:val="24"/>
        </w:rPr>
        <w:t xml:space="preserve"> </w:t>
      </w:r>
      <w:r w:rsidR="00E67012" w:rsidRPr="00483AEE">
        <w:rPr>
          <w:szCs w:val="24"/>
        </w:rPr>
        <w:t>acreedores que no habían participado del canje de deuda en 2005</w:t>
      </w:r>
      <w:r w:rsidR="00DE0D5E" w:rsidRPr="00483AEE">
        <w:rPr>
          <w:szCs w:val="24"/>
        </w:rPr>
        <w:t>.</w:t>
      </w:r>
      <w:r w:rsidR="00242974" w:rsidRPr="00483AEE">
        <w:rPr>
          <w:rStyle w:val="Refdenotaalpie"/>
          <w:szCs w:val="24"/>
        </w:rPr>
        <w:footnoteReference w:id="18"/>
      </w:r>
      <w:r w:rsidR="003E1F74" w:rsidRPr="00483AEE">
        <w:rPr>
          <w:szCs w:val="24"/>
        </w:rPr>
        <w:t xml:space="preserve"> </w:t>
      </w:r>
      <w:r w:rsidR="008B636F" w:rsidRPr="00483AEE">
        <w:rPr>
          <w:szCs w:val="24"/>
        </w:rPr>
        <w:t xml:space="preserve"> </w:t>
      </w:r>
      <w:r w:rsidR="005B3458" w:rsidRPr="00483AEE">
        <w:rPr>
          <w:szCs w:val="24"/>
        </w:rPr>
        <w:t xml:space="preserve">En este contexto, durante los últimos años se registra una clara desaceleración en las mejoras sociales distributivas. La caída de los precios de las materias primas y las turbulencias internacionales agravaron aún más este proceso, sin perspectiva de cambio. </w:t>
      </w:r>
      <w:r w:rsidR="00E67012" w:rsidRPr="00483AEE">
        <w:rPr>
          <w:szCs w:val="24"/>
        </w:rPr>
        <w:t>Tras</w:t>
      </w:r>
      <w:r w:rsidR="00E620E5" w:rsidRPr="00483AEE">
        <w:rPr>
          <w:szCs w:val="24"/>
        </w:rPr>
        <w:t xml:space="preserve"> la derrota electoral </w:t>
      </w:r>
      <w:r w:rsidR="00590A16" w:rsidRPr="00483AEE">
        <w:rPr>
          <w:szCs w:val="24"/>
        </w:rPr>
        <w:t>que experiment</w:t>
      </w:r>
      <w:r w:rsidR="00E67012" w:rsidRPr="00483AEE">
        <w:rPr>
          <w:szCs w:val="24"/>
        </w:rPr>
        <w:t>ó</w:t>
      </w:r>
      <w:r w:rsidR="00590A16" w:rsidRPr="00483AEE">
        <w:rPr>
          <w:szCs w:val="24"/>
        </w:rPr>
        <w:t xml:space="preserve"> el</w:t>
      </w:r>
      <w:r w:rsidR="00E620E5" w:rsidRPr="00483AEE">
        <w:rPr>
          <w:szCs w:val="24"/>
        </w:rPr>
        <w:t xml:space="preserve"> oficialismo</w:t>
      </w:r>
      <w:r w:rsidR="00590A16" w:rsidRPr="00483AEE">
        <w:rPr>
          <w:szCs w:val="24"/>
        </w:rPr>
        <w:t xml:space="preserve">, un </w:t>
      </w:r>
      <w:r w:rsidR="00E67012" w:rsidRPr="00483AEE">
        <w:rPr>
          <w:szCs w:val="24"/>
        </w:rPr>
        <w:t xml:space="preserve">nuevo </w:t>
      </w:r>
      <w:r w:rsidR="00590A16" w:rsidRPr="00483AEE">
        <w:rPr>
          <w:szCs w:val="24"/>
        </w:rPr>
        <w:t>gobierno formado por una</w:t>
      </w:r>
      <w:r w:rsidR="007379CB" w:rsidRPr="00483AEE">
        <w:rPr>
          <w:szCs w:val="24"/>
        </w:rPr>
        <w:t xml:space="preserve"> coalición de centro</w:t>
      </w:r>
      <w:r w:rsidR="00E67012" w:rsidRPr="00483AEE">
        <w:rPr>
          <w:szCs w:val="24"/>
        </w:rPr>
        <w:t>-</w:t>
      </w:r>
      <w:r w:rsidR="007379CB" w:rsidRPr="00483AEE">
        <w:rPr>
          <w:szCs w:val="24"/>
        </w:rPr>
        <w:t>derecha</w:t>
      </w:r>
      <w:r w:rsidR="00590A16" w:rsidRPr="00483AEE">
        <w:rPr>
          <w:szCs w:val="24"/>
        </w:rPr>
        <w:t xml:space="preserve"> </w:t>
      </w:r>
      <w:r w:rsidR="00E67012" w:rsidRPr="00483AEE">
        <w:rPr>
          <w:szCs w:val="24"/>
        </w:rPr>
        <w:t>resolv</w:t>
      </w:r>
      <w:r w:rsidR="00FE408F" w:rsidRPr="00483AEE">
        <w:rPr>
          <w:szCs w:val="24"/>
        </w:rPr>
        <w:t>ió</w:t>
      </w:r>
      <w:r w:rsidR="00E67012" w:rsidRPr="00483AEE">
        <w:rPr>
          <w:szCs w:val="24"/>
        </w:rPr>
        <w:t xml:space="preserve"> el conflicto con los acreedores, implement</w:t>
      </w:r>
      <w:r w:rsidR="00FE408F" w:rsidRPr="00483AEE">
        <w:rPr>
          <w:szCs w:val="24"/>
        </w:rPr>
        <w:t xml:space="preserve">ó </w:t>
      </w:r>
      <w:r w:rsidR="00E67012" w:rsidRPr="00483AEE">
        <w:rPr>
          <w:szCs w:val="24"/>
        </w:rPr>
        <w:t>una devaluación e introdu</w:t>
      </w:r>
      <w:r w:rsidR="00FE408F" w:rsidRPr="00483AEE">
        <w:rPr>
          <w:szCs w:val="24"/>
        </w:rPr>
        <w:t>jo</w:t>
      </w:r>
      <w:r w:rsidR="00E67012" w:rsidRPr="00483AEE">
        <w:rPr>
          <w:szCs w:val="24"/>
        </w:rPr>
        <w:t xml:space="preserve"> un mayor endeudamiento externo como modo de enfrentar la situación económica preexistente. </w:t>
      </w:r>
    </w:p>
    <w:p w:rsidR="0043714A" w:rsidRPr="00153819" w:rsidRDefault="002644F1" w:rsidP="00153819">
      <w:pPr>
        <w:keepNext/>
        <w:spacing w:before="360" w:after="120" w:line="360" w:lineRule="auto"/>
        <w:jc w:val="center"/>
        <w:rPr>
          <w:rFonts w:eastAsia="Times New Roman"/>
          <w:b/>
          <w:bCs/>
          <w:szCs w:val="24"/>
          <w:lang w:val="es-ES" w:eastAsia="es-ES"/>
        </w:rPr>
      </w:pPr>
      <w:r w:rsidRPr="00153819">
        <w:rPr>
          <w:rFonts w:eastAsia="Times New Roman"/>
          <w:b/>
          <w:bCs/>
          <w:szCs w:val="24"/>
          <w:lang w:val="es-ES" w:eastAsia="es-ES"/>
        </w:rPr>
        <w:lastRenderedPageBreak/>
        <w:t>3</w:t>
      </w:r>
      <w:r w:rsidR="00E469A2" w:rsidRPr="00153819">
        <w:rPr>
          <w:rFonts w:eastAsia="Times New Roman"/>
          <w:b/>
          <w:bCs/>
          <w:szCs w:val="24"/>
          <w:lang w:val="es-ES" w:eastAsia="es-ES"/>
        </w:rPr>
        <w:t xml:space="preserve">. </w:t>
      </w:r>
      <w:r w:rsidR="0043714A" w:rsidRPr="00153819">
        <w:rPr>
          <w:rFonts w:eastAsia="Times New Roman"/>
          <w:b/>
          <w:bCs/>
          <w:szCs w:val="24"/>
          <w:lang w:val="es-ES" w:eastAsia="es-ES"/>
        </w:rPr>
        <w:t>El mercado de trabajo bajo distintas fases macroeconómicas</w:t>
      </w:r>
    </w:p>
    <w:p w:rsidR="00B23471" w:rsidRPr="00483AEE" w:rsidRDefault="00E67012" w:rsidP="00483AEE">
      <w:pPr>
        <w:spacing w:after="120" w:line="360" w:lineRule="auto"/>
        <w:jc w:val="both"/>
        <w:rPr>
          <w:szCs w:val="24"/>
        </w:rPr>
      </w:pPr>
      <w:r w:rsidRPr="00483AEE">
        <w:rPr>
          <w:szCs w:val="24"/>
        </w:rPr>
        <w:t>Una</w:t>
      </w:r>
      <w:r w:rsidR="00B23471" w:rsidRPr="00483AEE">
        <w:rPr>
          <w:szCs w:val="24"/>
        </w:rPr>
        <w:t xml:space="preserve"> de</w:t>
      </w:r>
      <w:r w:rsidR="00332865" w:rsidRPr="00483AEE">
        <w:rPr>
          <w:szCs w:val="24"/>
        </w:rPr>
        <w:t xml:space="preserve"> las virtudes </w:t>
      </w:r>
      <w:r w:rsidR="00B23471" w:rsidRPr="00483AEE">
        <w:rPr>
          <w:szCs w:val="24"/>
        </w:rPr>
        <w:t xml:space="preserve">conseguidas por </w:t>
      </w:r>
      <w:r w:rsidR="00332865" w:rsidRPr="00483AEE">
        <w:rPr>
          <w:szCs w:val="24"/>
        </w:rPr>
        <w:t>el modelo ISI argentino hab</w:t>
      </w:r>
      <w:r w:rsidR="00B23471" w:rsidRPr="00483AEE">
        <w:rPr>
          <w:szCs w:val="24"/>
        </w:rPr>
        <w:t>ría</w:t>
      </w:r>
      <w:r w:rsidR="00332865" w:rsidRPr="00483AEE">
        <w:rPr>
          <w:szCs w:val="24"/>
        </w:rPr>
        <w:t xml:space="preserve"> sido lograr un relativo pleno empleo</w:t>
      </w:r>
      <w:r w:rsidR="00B23471" w:rsidRPr="00483AEE">
        <w:rPr>
          <w:szCs w:val="24"/>
        </w:rPr>
        <w:t xml:space="preserve"> de la población económicamente activa</w:t>
      </w:r>
      <w:r w:rsidR="00332865" w:rsidRPr="00483AEE">
        <w:rPr>
          <w:szCs w:val="24"/>
        </w:rPr>
        <w:t xml:space="preserve">, junto a una </w:t>
      </w:r>
      <w:r w:rsidR="00B23471" w:rsidRPr="00483AEE">
        <w:rPr>
          <w:szCs w:val="24"/>
        </w:rPr>
        <w:t xml:space="preserve">amplia </w:t>
      </w:r>
      <w:r w:rsidR="00332865" w:rsidRPr="00483AEE">
        <w:rPr>
          <w:szCs w:val="24"/>
        </w:rPr>
        <w:t>afiliaci</w:t>
      </w:r>
      <w:r w:rsidR="00B23471" w:rsidRPr="00483AEE">
        <w:rPr>
          <w:szCs w:val="24"/>
        </w:rPr>
        <w:t>ón a la seguridad social. Ocurriendo esto, incluso, con relativa independencia de los ciclos económicos</w:t>
      </w:r>
      <w:r w:rsidR="00F41CCF" w:rsidRPr="00483AEE">
        <w:rPr>
          <w:szCs w:val="24"/>
        </w:rPr>
        <w:t xml:space="preserve"> dependiendo el grado de protección estatal del mercado interno.</w:t>
      </w:r>
      <w:r w:rsidR="00332865" w:rsidRPr="00483AEE">
        <w:rPr>
          <w:rStyle w:val="Refdenotaalpie"/>
          <w:szCs w:val="24"/>
        </w:rPr>
        <w:footnoteReference w:id="19"/>
      </w:r>
      <w:r w:rsidR="00332865" w:rsidRPr="00483AEE">
        <w:rPr>
          <w:szCs w:val="24"/>
        </w:rPr>
        <w:t xml:space="preserve"> </w:t>
      </w:r>
      <w:r w:rsidR="00B23471" w:rsidRPr="00483AEE">
        <w:rPr>
          <w:szCs w:val="24"/>
        </w:rPr>
        <w:t>Pero a partir de su etapa crítica de mediados de los años 70s, los diferentes modelos</w:t>
      </w:r>
      <w:r w:rsidR="00820562" w:rsidRPr="00483AEE">
        <w:rPr>
          <w:szCs w:val="24"/>
        </w:rPr>
        <w:t xml:space="preserve"> político-económicos</w:t>
      </w:r>
      <w:r w:rsidR="0002459D" w:rsidRPr="00483AEE">
        <w:rPr>
          <w:szCs w:val="24"/>
        </w:rPr>
        <w:t xml:space="preserve"> </w:t>
      </w:r>
      <w:r w:rsidR="00B23471" w:rsidRPr="00483AEE">
        <w:rPr>
          <w:szCs w:val="24"/>
        </w:rPr>
        <w:t>fueron alterando la estructura productiva</w:t>
      </w:r>
      <w:r w:rsidR="00620EA8" w:rsidRPr="00483AEE">
        <w:rPr>
          <w:szCs w:val="24"/>
        </w:rPr>
        <w:t xml:space="preserve"> y las normas de regulación económica, </w:t>
      </w:r>
      <w:r w:rsidR="00B23471" w:rsidRPr="00483AEE">
        <w:rPr>
          <w:szCs w:val="24"/>
        </w:rPr>
        <w:t xml:space="preserve">y </w:t>
      </w:r>
      <w:r w:rsidR="00BC6704" w:rsidRPr="00483AEE">
        <w:rPr>
          <w:szCs w:val="24"/>
        </w:rPr>
        <w:t xml:space="preserve">por </w:t>
      </w:r>
      <w:r w:rsidR="00B23471" w:rsidRPr="00483AEE">
        <w:rPr>
          <w:szCs w:val="24"/>
        </w:rPr>
        <w:t>su intermedio</w:t>
      </w:r>
      <w:r w:rsidR="00D76B24" w:rsidRPr="00483AEE">
        <w:rPr>
          <w:szCs w:val="24"/>
        </w:rPr>
        <w:t xml:space="preserve">, </w:t>
      </w:r>
      <w:r w:rsidR="00335CC7" w:rsidRPr="00483AEE">
        <w:rPr>
          <w:szCs w:val="24"/>
        </w:rPr>
        <w:t xml:space="preserve">afectaron también </w:t>
      </w:r>
      <w:r w:rsidR="00B23471" w:rsidRPr="00483AEE">
        <w:rPr>
          <w:szCs w:val="24"/>
        </w:rPr>
        <w:t xml:space="preserve">el funcionamiento del mercado laboral y </w:t>
      </w:r>
      <w:r w:rsidR="00335CC7" w:rsidRPr="00483AEE">
        <w:rPr>
          <w:szCs w:val="24"/>
        </w:rPr>
        <w:t>transformaron la</w:t>
      </w:r>
      <w:r w:rsidR="00620EA8" w:rsidRPr="00483AEE">
        <w:rPr>
          <w:szCs w:val="24"/>
        </w:rPr>
        <w:t xml:space="preserve"> </w:t>
      </w:r>
      <w:r w:rsidR="00820562" w:rsidRPr="00483AEE">
        <w:rPr>
          <w:szCs w:val="24"/>
        </w:rPr>
        <w:t>estructura social del trabajo</w:t>
      </w:r>
      <w:r w:rsidR="00D76B24" w:rsidRPr="00483AEE">
        <w:rPr>
          <w:szCs w:val="24"/>
        </w:rPr>
        <w:t xml:space="preserve">. </w:t>
      </w:r>
    </w:p>
    <w:p w:rsidR="00684B16" w:rsidRPr="00483AEE" w:rsidRDefault="00684B16" w:rsidP="00483AEE">
      <w:pPr>
        <w:spacing w:after="120" w:line="360" w:lineRule="auto"/>
        <w:jc w:val="both"/>
        <w:rPr>
          <w:szCs w:val="24"/>
        </w:rPr>
      </w:pPr>
      <w:r w:rsidRPr="00483AEE">
        <w:rPr>
          <w:szCs w:val="24"/>
        </w:rPr>
        <w:t>Esta sección aborda est</w:t>
      </w:r>
      <w:r w:rsidR="00620EA8" w:rsidRPr="00483AEE">
        <w:rPr>
          <w:szCs w:val="24"/>
        </w:rPr>
        <w:t>e proceso</w:t>
      </w:r>
      <w:r w:rsidR="000F2E69" w:rsidRPr="00483AEE">
        <w:rPr>
          <w:szCs w:val="24"/>
        </w:rPr>
        <w:t xml:space="preserve"> a par</w:t>
      </w:r>
      <w:r w:rsidR="00BC6704" w:rsidRPr="00483AEE">
        <w:rPr>
          <w:szCs w:val="24"/>
        </w:rPr>
        <w:t>t</w:t>
      </w:r>
      <w:r w:rsidR="000F2E69" w:rsidRPr="00483AEE">
        <w:rPr>
          <w:szCs w:val="24"/>
        </w:rPr>
        <w:t xml:space="preserve">ir </w:t>
      </w:r>
      <w:r w:rsidR="00BC6704" w:rsidRPr="00483AEE">
        <w:rPr>
          <w:szCs w:val="24"/>
        </w:rPr>
        <w:t xml:space="preserve">de </w:t>
      </w:r>
      <w:r w:rsidR="000F2E69" w:rsidRPr="00483AEE">
        <w:rPr>
          <w:szCs w:val="24"/>
        </w:rPr>
        <w:t>un conjunto de evidencias</w:t>
      </w:r>
      <w:r w:rsidR="00620EA8" w:rsidRPr="00483AEE">
        <w:rPr>
          <w:szCs w:val="24"/>
        </w:rPr>
        <w:t xml:space="preserve"> sobre lo</w:t>
      </w:r>
      <w:r w:rsidR="00335CC7" w:rsidRPr="00483AEE">
        <w:rPr>
          <w:szCs w:val="24"/>
        </w:rPr>
        <w:t xml:space="preserve">s cambios experimentados por </w:t>
      </w:r>
      <w:r w:rsidR="00620EA8" w:rsidRPr="00483AEE">
        <w:rPr>
          <w:szCs w:val="24"/>
        </w:rPr>
        <w:t>la estructura ocupacional</w:t>
      </w:r>
      <w:r w:rsidR="00335CC7" w:rsidRPr="00483AEE">
        <w:rPr>
          <w:szCs w:val="24"/>
        </w:rPr>
        <w:t xml:space="preserve"> y el mercado laboral</w:t>
      </w:r>
      <w:r w:rsidR="000F2E69" w:rsidRPr="00483AEE">
        <w:rPr>
          <w:szCs w:val="24"/>
        </w:rPr>
        <w:t>, l</w:t>
      </w:r>
      <w:r w:rsidR="00335CC7" w:rsidRPr="00483AEE">
        <w:rPr>
          <w:szCs w:val="24"/>
        </w:rPr>
        <w:t>a</w:t>
      </w:r>
      <w:r w:rsidR="000F2E69" w:rsidRPr="00483AEE">
        <w:rPr>
          <w:szCs w:val="24"/>
        </w:rPr>
        <w:t xml:space="preserve">s cuales se presentan en el </w:t>
      </w:r>
      <w:r w:rsidR="00BE7D8D" w:rsidRPr="00483AEE">
        <w:rPr>
          <w:szCs w:val="24"/>
        </w:rPr>
        <w:t>Cuadro</w:t>
      </w:r>
      <w:r w:rsidR="000F2E69" w:rsidRPr="00483AEE">
        <w:rPr>
          <w:szCs w:val="24"/>
        </w:rPr>
        <w:t xml:space="preserve"> </w:t>
      </w:r>
      <w:r w:rsidR="00BE7D8D" w:rsidRPr="00483AEE">
        <w:rPr>
          <w:szCs w:val="24"/>
        </w:rPr>
        <w:t>2.</w:t>
      </w:r>
      <w:r w:rsidR="000F2E69" w:rsidRPr="00483AEE">
        <w:rPr>
          <w:szCs w:val="24"/>
        </w:rPr>
        <w:t xml:space="preserve">2 y las </w:t>
      </w:r>
      <w:r w:rsidR="00BE7D8D" w:rsidRPr="00483AEE">
        <w:rPr>
          <w:szCs w:val="24"/>
        </w:rPr>
        <w:t>Gráfica</w:t>
      </w:r>
      <w:r w:rsidR="000F2E69" w:rsidRPr="00483AEE">
        <w:rPr>
          <w:szCs w:val="24"/>
        </w:rPr>
        <w:t xml:space="preserve">s </w:t>
      </w:r>
      <w:r w:rsidR="00BE7D8D" w:rsidRPr="00483AEE">
        <w:rPr>
          <w:szCs w:val="24"/>
        </w:rPr>
        <w:t>2.</w:t>
      </w:r>
      <w:r w:rsidR="000F2E69" w:rsidRPr="00483AEE">
        <w:rPr>
          <w:szCs w:val="24"/>
        </w:rPr>
        <w:t xml:space="preserve">3 a </w:t>
      </w:r>
      <w:r w:rsidR="00BE7D8D" w:rsidRPr="00483AEE">
        <w:rPr>
          <w:szCs w:val="24"/>
        </w:rPr>
        <w:t>2.</w:t>
      </w:r>
      <w:r w:rsidR="000F2E69" w:rsidRPr="00483AEE">
        <w:rPr>
          <w:szCs w:val="24"/>
        </w:rPr>
        <w:t>7</w:t>
      </w:r>
      <w:r w:rsidRPr="00483AEE">
        <w:rPr>
          <w:szCs w:val="24"/>
        </w:rPr>
        <w:t xml:space="preserve">. </w:t>
      </w:r>
      <w:r w:rsidR="00620EA8" w:rsidRPr="00483AEE">
        <w:rPr>
          <w:szCs w:val="24"/>
        </w:rPr>
        <w:t xml:space="preserve"> Justamente, el </w:t>
      </w:r>
      <w:r w:rsidR="00BE7D8D" w:rsidRPr="00483AEE">
        <w:rPr>
          <w:szCs w:val="24"/>
        </w:rPr>
        <w:t>Cuadro</w:t>
      </w:r>
      <w:r w:rsidR="00620EA8" w:rsidRPr="00483AEE">
        <w:rPr>
          <w:szCs w:val="24"/>
        </w:rPr>
        <w:t xml:space="preserve"> </w:t>
      </w:r>
      <w:r w:rsidR="00BE7D8D" w:rsidRPr="00483AEE">
        <w:rPr>
          <w:szCs w:val="24"/>
        </w:rPr>
        <w:t>2.</w:t>
      </w:r>
      <w:r w:rsidR="00620EA8" w:rsidRPr="00483AEE">
        <w:rPr>
          <w:szCs w:val="24"/>
        </w:rPr>
        <w:t xml:space="preserve">2 da cuenta </w:t>
      </w:r>
      <w:r w:rsidR="00335CC7" w:rsidRPr="00483AEE">
        <w:rPr>
          <w:szCs w:val="24"/>
        </w:rPr>
        <w:t xml:space="preserve">de </w:t>
      </w:r>
      <w:r w:rsidR="00620EA8" w:rsidRPr="00483AEE">
        <w:rPr>
          <w:szCs w:val="24"/>
        </w:rPr>
        <w:t>algunos procesos seculares</w:t>
      </w:r>
      <w:r w:rsidR="00335CC7" w:rsidRPr="00483AEE">
        <w:rPr>
          <w:szCs w:val="24"/>
        </w:rPr>
        <w:t xml:space="preserve"> que atraviesan el período</w:t>
      </w:r>
      <w:r w:rsidR="00620EA8" w:rsidRPr="00483AEE">
        <w:rPr>
          <w:szCs w:val="24"/>
        </w:rPr>
        <w:t xml:space="preserve">: </w:t>
      </w:r>
      <w:r w:rsidR="005073C3" w:rsidRPr="00483AEE">
        <w:rPr>
          <w:szCs w:val="24"/>
        </w:rPr>
        <w:t xml:space="preserve"> </w:t>
      </w:r>
      <w:r w:rsidR="00620EA8" w:rsidRPr="00483AEE">
        <w:rPr>
          <w:szCs w:val="24"/>
        </w:rPr>
        <w:t xml:space="preserve">a) </w:t>
      </w:r>
      <w:r w:rsidR="000962E8" w:rsidRPr="00483AEE">
        <w:rPr>
          <w:szCs w:val="24"/>
        </w:rPr>
        <w:t>A</w:t>
      </w:r>
      <w:r w:rsidR="00620EA8" w:rsidRPr="00483AEE">
        <w:rPr>
          <w:szCs w:val="24"/>
        </w:rPr>
        <w:t xml:space="preserve">umento sistemático de la tasa de actividad </w:t>
      </w:r>
      <w:r w:rsidR="000962E8" w:rsidRPr="00483AEE">
        <w:rPr>
          <w:szCs w:val="24"/>
        </w:rPr>
        <w:t>como resultado de</w:t>
      </w:r>
      <w:r w:rsidR="00335CC7" w:rsidRPr="00483AEE">
        <w:rPr>
          <w:szCs w:val="24"/>
        </w:rPr>
        <w:t xml:space="preserve"> </w:t>
      </w:r>
      <w:r w:rsidR="000962E8" w:rsidRPr="00483AEE">
        <w:rPr>
          <w:szCs w:val="24"/>
        </w:rPr>
        <w:t>una ampliación</w:t>
      </w:r>
      <w:r w:rsidR="00335CC7" w:rsidRPr="00483AEE">
        <w:rPr>
          <w:szCs w:val="24"/>
        </w:rPr>
        <w:t xml:space="preserve"> de la oferta laboral</w:t>
      </w:r>
      <w:r w:rsidR="000962E8" w:rsidRPr="00483AEE">
        <w:rPr>
          <w:szCs w:val="24"/>
        </w:rPr>
        <w:t xml:space="preserve"> (por razones demo</w:t>
      </w:r>
      <w:r w:rsidR="00BE7D8D" w:rsidRPr="00483AEE">
        <w:rPr>
          <w:szCs w:val="24"/>
        </w:rPr>
        <w:t>gráfica</w:t>
      </w:r>
      <w:r w:rsidR="000962E8" w:rsidRPr="00483AEE">
        <w:rPr>
          <w:szCs w:val="24"/>
        </w:rPr>
        <w:t xml:space="preserve">s, sociales y culturales), junto a un crecimiento de los empleos a una tasa menor al crecimiento de dicha oferta; </w:t>
      </w:r>
      <w:r w:rsidR="00335CC7" w:rsidRPr="00483AEE">
        <w:rPr>
          <w:szCs w:val="24"/>
        </w:rPr>
        <w:t xml:space="preserve">b) </w:t>
      </w:r>
      <w:r w:rsidR="000962E8" w:rsidRPr="00483AEE">
        <w:rPr>
          <w:szCs w:val="24"/>
        </w:rPr>
        <w:t>Por lo mismo, aumento de</w:t>
      </w:r>
      <w:r w:rsidR="00335CC7" w:rsidRPr="00483AEE">
        <w:rPr>
          <w:szCs w:val="24"/>
        </w:rPr>
        <w:t xml:space="preserve"> la tasa de </w:t>
      </w:r>
      <w:r w:rsidR="00EB3817" w:rsidRPr="00483AEE">
        <w:rPr>
          <w:szCs w:val="24"/>
        </w:rPr>
        <w:t>desocupación</w:t>
      </w:r>
      <w:r w:rsidR="005073C3" w:rsidRPr="00483AEE">
        <w:rPr>
          <w:szCs w:val="24"/>
        </w:rPr>
        <w:t xml:space="preserve">, así como también del subempleo horario, </w:t>
      </w:r>
      <w:r w:rsidR="00945D94" w:rsidRPr="00483AEE">
        <w:rPr>
          <w:szCs w:val="24"/>
        </w:rPr>
        <w:t xml:space="preserve">dando cuenta de un deterioro creciente de los </w:t>
      </w:r>
      <w:r w:rsidR="005073C3" w:rsidRPr="00483AEE">
        <w:rPr>
          <w:szCs w:val="24"/>
        </w:rPr>
        <w:t xml:space="preserve">nuevos </w:t>
      </w:r>
      <w:r w:rsidR="00945D94" w:rsidRPr="00483AEE">
        <w:rPr>
          <w:szCs w:val="24"/>
        </w:rPr>
        <w:t xml:space="preserve">puestos de trabajo </w:t>
      </w:r>
      <w:r w:rsidR="005073C3" w:rsidRPr="00483AEE">
        <w:rPr>
          <w:szCs w:val="24"/>
        </w:rPr>
        <w:t>generados en cada ciclo económico</w:t>
      </w:r>
      <w:r w:rsidR="00945D94" w:rsidRPr="00483AEE">
        <w:rPr>
          <w:szCs w:val="24"/>
        </w:rPr>
        <w:t xml:space="preserve">; </w:t>
      </w:r>
      <w:r w:rsidR="005073C3" w:rsidRPr="00483AEE">
        <w:rPr>
          <w:szCs w:val="24"/>
        </w:rPr>
        <w:t xml:space="preserve">y </w:t>
      </w:r>
      <w:r w:rsidR="00945D94" w:rsidRPr="00483AEE">
        <w:rPr>
          <w:szCs w:val="24"/>
        </w:rPr>
        <w:t xml:space="preserve">c) </w:t>
      </w:r>
      <w:r w:rsidR="005073C3" w:rsidRPr="00483AEE">
        <w:rPr>
          <w:szCs w:val="24"/>
        </w:rPr>
        <w:t>E</w:t>
      </w:r>
      <w:r w:rsidR="00945D94" w:rsidRPr="00483AEE">
        <w:rPr>
          <w:szCs w:val="24"/>
        </w:rPr>
        <w:t xml:space="preserve">stancamiento </w:t>
      </w:r>
      <w:r w:rsidR="000A79AA" w:rsidRPr="00483AEE">
        <w:rPr>
          <w:szCs w:val="24"/>
        </w:rPr>
        <w:t xml:space="preserve">del peso </w:t>
      </w:r>
      <w:r w:rsidR="005073C3" w:rsidRPr="00483AEE">
        <w:rPr>
          <w:szCs w:val="24"/>
        </w:rPr>
        <w:t xml:space="preserve">relativo </w:t>
      </w:r>
      <w:r w:rsidR="00945D94" w:rsidRPr="00483AEE">
        <w:rPr>
          <w:szCs w:val="24"/>
        </w:rPr>
        <w:t xml:space="preserve">del trabajo asalariado </w:t>
      </w:r>
      <w:r w:rsidR="00EB3817" w:rsidRPr="00483AEE">
        <w:rPr>
          <w:szCs w:val="24"/>
        </w:rPr>
        <w:t>y</w:t>
      </w:r>
      <w:r w:rsidR="00CF2FBC" w:rsidRPr="00483AEE">
        <w:rPr>
          <w:szCs w:val="24"/>
        </w:rPr>
        <w:t xml:space="preserve"> </w:t>
      </w:r>
      <w:r w:rsidR="00945D94" w:rsidRPr="00483AEE">
        <w:rPr>
          <w:szCs w:val="24"/>
        </w:rPr>
        <w:t>aumento</w:t>
      </w:r>
      <w:r w:rsidR="005073C3" w:rsidRPr="00483AEE">
        <w:rPr>
          <w:szCs w:val="24"/>
        </w:rPr>
        <w:t>, aunque</w:t>
      </w:r>
      <w:r w:rsidR="00945D94" w:rsidRPr="00483AEE">
        <w:rPr>
          <w:szCs w:val="24"/>
        </w:rPr>
        <w:t xml:space="preserve"> </w:t>
      </w:r>
      <w:r w:rsidR="005073C3" w:rsidRPr="00483AEE">
        <w:rPr>
          <w:szCs w:val="24"/>
        </w:rPr>
        <w:t>con</w:t>
      </w:r>
      <w:r w:rsidR="000A79AA" w:rsidRPr="00483AEE">
        <w:rPr>
          <w:szCs w:val="24"/>
        </w:rPr>
        <w:t xml:space="preserve"> posterior retracción parcial</w:t>
      </w:r>
      <w:r w:rsidR="005073C3" w:rsidRPr="00483AEE">
        <w:rPr>
          <w:szCs w:val="24"/>
        </w:rPr>
        <w:t>, por parte</w:t>
      </w:r>
      <w:r w:rsidR="000A79AA" w:rsidRPr="00483AEE">
        <w:rPr>
          <w:szCs w:val="24"/>
        </w:rPr>
        <w:t xml:space="preserve"> </w:t>
      </w:r>
      <w:r w:rsidR="00945D94" w:rsidRPr="00483AEE">
        <w:rPr>
          <w:szCs w:val="24"/>
        </w:rPr>
        <w:t xml:space="preserve">del empleo </w:t>
      </w:r>
      <w:r w:rsidR="00CF2FBC" w:rsidRPr="00483AEE">
        <w:rPr>
          <w:szCs w:val="24"/>
        </w:rPr>
        <w:t xml:space="preserve">no registrado y de los puestos de trabajo </w:t>
      </w:r>
      <w:r w:rsidR="005073C3" w:rsidRPr="00483AEE">
        <w:rPr>
          <w:szCs w:val="24"/>
        </w:rPr>
        <w:t>en el sector</w:t>
      </w:r>
      <w:r w:rsidR="00945D94" w:rsidRPr="00483AEE">
        <w:rPr>
          <w:szCs w:val="24"/>
        </w:rPr>
        <w:t xml:space="preserve"> informal, </w:t>
      </w:r>
      <w:r w:rsidR="000A79AA" w:rsidRPr="00483AEE">
        <w:rPr>
          <w:szCs w:val="24"/>
        </w:rPr>
        <w:t xml:space="preserve">dando cuenta de un techo estructural en la creación de empleos </w:t>
      </w:r>
      <w:r w:rsidR="00CF2FBC" w:rsidRPr="00483AEE">
        <w:rPr>
          <w:szCs w:val="24"/>
        </w:rPr>
        <w:t>de calidad en unidades económicas más productivas</w:t>
      </w:r>
      <w:r w:rsidR="000A79AA" w:rsidRPr="00483AEE">
        <w:rPr>
          <w:szCs w:val="24"/>
        </w:rPr>
        <w:t xml:space="preserve">. </w:t>
      </w:r>
      <w:r w:rsidR="00620EA8" w:rsidRPr="00483AEE">
        <w:rPr>
          <w:szCs w:val="24"/>
        </w:rPr>
        <w:t xml:space="preserve">  </w:t>
      </w:r>
    </w:p>
    <w:p w:rsidR="000A79AA" w:rsidRPr="00483AEE" w:rsidRDefault="000A79AA" w:rsidP="00483AEE">
      <w:pPr>
        <w:spacing w:after="0" w:line="360" w:lineRule="auto"/>
        <w:jc w:val="both"/>
        <w:rPr>
          <w:szCs w:val="24"/>
        </w:rPr>
      </w:pPr>
      <w:r w:rsidRPr="00483AEE">
        <w:rPr>
          <w:szCs w:val="24"/>
        </w:rPr>
        <w:t xml:space="preserve">El análisis de las </w:t>
      </w:r>
      <w:r w:rsidR="00BE7D8D" w:rsidRPr="00483AEE">
        <w:rPr>
          <w:szCs w:val="24"/>
        </w:rPr>
        <w:t>Gráfica</w:t>
      </w:r>
      <w:r w:rsidRPr="00483AEE">
        <w:rPr>
          <w:szCs w:val="24"/>
        </w:rPr>
        <w:t xml:space="preserve">s </w:t>
      </w:r>
      <w:r w:rsidR="00BE7D8D" w:rsidRPr="00483AEE">
        <w:rPr>
          <w:szCs w:val="24"/>
        </w:rPr>
        <w:t>2.</w:t>
      </w:r>
      <w:r w:rsidRPr="00483AEE">
        <w:rPr>
          <w:szCs w:val="24"/>
        </w:rPr>
        <w:t xml:space="preserve">3 a </w:t>
      </w:r>
      <w:r w:rsidR="00BE7D8D" w:rsidRPr="00483AEE">
        <w:rPr>
          <w:szCs w:val="24"/>
        </w:rPr>
        <w:t>2.</w:t>
      </w:r>
      <w:r w:rsidRPr="00483AEE">
        <w:rPr>
          <w:szCs w:val="24"/>
        </w:rPr>
        <w:t>7 permite un análisis más detallado de estas tendencias a la luz de los modelos político-económicos aplicados en materia de crecimiento, empleo y regulaciones laborales.</w:t>
      </w:r>
    </w:p>
    <w:p w:rsidR="00A45340" w:rsidRDefault="00A45340" w:rsidP="00692255">
      <w:pPr>
        <w:spacing w:after="0" w:line="240" w:lineRule="auto"/>
        <w:jc w:val="both"/>
        <w:rPr>
          <w:rFonts w:ascii="Calibri" w:hAnsi="Calibri"/>
          <w:szCs w:val="24"/>
        </w:rPr>
      </w:pPr>
    </w:p>
    <w:p w:rsidR="0002459D" w:rsidRPr="00483AEE" w:rsidRDefault="00BE7D8D" w:rsidP="00153819">
      <w:pPr>
        <w:keepNext/>
        <w:spacing w:before="360" w:after="120" w:line="240" w:lineRule="auto"/>
        <w:jc w:val="both"/>
        <w:rPr>
          <w:b/>
          <w:szCs w:val="24"/>
        </w:rPr>
      </w:pPr>
      <w:r w:rsidRPr="00483AEE">
        <w:rPr>
          <w:b/>
          <w:szCs w:val="24"/>
        </w:rPr>
        <w:lastRenderedPageBreak/>
        <w:t>Cuadro</w:t>
      </w:r>
      <w:r w:rsidR="00FB48AD" w:rsidRPr="00483AEE">
        <w:rPr>
          <w:b/>
          <w:szCs w:val="24"/>
        </w:rPr>
        <w:t xml:space="preserve"> </w:t>
      </w:r>
      <w:r w:rsidRPr="00483AEE">
        <w:rPr>
          <w:b/>
          <w:szCs w:val="24"/>
        </w:rPr>
        <w:t>2.</w:t>
      </w:r>
      <w:r w:rsidR="00FB48AD" w:rsidRPr="00483AEE">
        <w:rPr>
          <w:b/>
          <w:szCs w:val="24"/>
        </w:rPr>
        <w:t>2. Evolución de los indicadores del mercado laboral. Argentina, 1974-2014.</w:t>
      </w:r>
    </w:p>
    <w:tbl>
      <w:tblPr>
        <w:tblW w:w="4916" w:type="pct"/>
        <w:jc w:val="center"/>
        <w:tblCellMar>
          <w:left w:w="70" w:type="dxa"/>
          <w:right w:w="70" w:type="dxa"/>
        </w:tblCellMar>
        <w:tblLook w:val="04A0" w:firstRow="1" w:lastRow="0" w:firstColumn="1" w:lastColumn="0" w:noHBand="0" w:noVBand="1"/>
      </w:tblPr>
      <w:tblGrid>
        <w:gridCol w:w="2355"/>
        <w:gridCol w:w="1247"/>
        <w:gridCol w:w="829"/>
        <w:gridCol w:w="829"/>
        <w:gridCol w:w="824"/>
        <w:gridCol w:w="824"/>
        <w:gridCol w:w="824"/>
        <w:gridCol w:w="823"/>
      </w:tblGrid>
      <w:tr w:rsidR="00A77B8C" w:rsidRPr="00153819" w:rsidTr="001E19F3">
        <w:trPr>
          <w:trHeight w:val="402"/>
          <w:jc w:val="center"/>
        </w:trPr>
        <w:tc>
          <w:tcPr>
            <w:tcW w:w="1456" w:type="pct"/>
            <w:tcBorders>
              <w:top w:val="single" w:sz="4" w:space="0" w:color="auto"/>
              <w:left w:val="nil"/>
              <w:bottom w:val="single" w:sz="4" w:space="0" w:color="auto"/>
              <w:right w:val="nil"/>
            </w:tcBorders>
            <w:shd w:val="clear" w:color="000000" w:fill="FFFFFF"/>
            <w:noWrap/>
            <w:vAlign w:val="center"/>
            <w:hideMark/>
          </w:tcPr>
          <w:p w:rsidR="00A77B8C" w:rsidRPr="00153819" w:rsidRDefault="00A77B8C" w:rsidP="00153819">
            <w:pPr>
              <w:keepNext/>
              <w:spacing w:after="0" w:line="240" w:lineRule="auto"/>
              <w:rPr>
                <w:rFonts w:eastAsia="Times New Roman"/>
                <w:color w:val="000000"/>
                <w:sz w:val="18"/>
                <w:szCs w:val="18"/>
                <w:lang w:eastAsia="es-AR"/>
              </w:rPr>
            </w:pPr>
            <w:r w:rsidRPr="00153819">
              <w:rPr>
                <w:rFonts w:eastAsia="Times New Roman"/>
                <w:color w:val="000000"/>
                <w:sz w:val="18"/>
                <w:szCs w:val="18"/>
                <w:lang w:eastAsia="es-AR"/>
              </w:rPr>
              <w:t> </w:t>
            </w:r>
          </w:p>
        </w:tc>
        <w:tc>
          <w:tcPr>
            <w:tcW w:w="3544" w:type="pct"/>
            <w:gridSpan w:val="7"/>
            <w:tcBorders>
              <w:top w:val="single" w:sz="4" w:space="0" w:color="auto"/>
              <w:left w:val="nil"/>
              <w:bottom w:val="single" w:sz="4" w:space="0" w:color="auto"/>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b/>
                <w:bCs/>
                <w:color w:val="000000"/>
                <w:sz w:val="18"/>
                <w:szCs w:val="18"/>
                <w:lang w:eastAsia="es-AR"/>
              </w:rPr>
            </w:pPr>
            <w:r w:rsidRPr="00153819">
              <w:rPr>
                <w:rFonts w:eastAsia="Times New Roman"/>
                <w:b/>
                <w:bCs/>
                <w:color w:val="000000"/>
                <w:sz w:val="18"/>
                <w:szCs w:val="18"/>
                <w:lang w:eastAsia="es-AR"/>
              </w:rPr>
              <w:t xml:space="preserve">Final ISI e inicio del ajuste   </w:t>
            </w:r>
            <w:r w:rsidR="002A6ED2" w:rsidRPr="00153819">
              <w:rPr>
                <w:rFonts w:eastAsia="Times New Roman"/>
                <w:b/>
                <w:bCs/>
                <w:color w:val="000000"/>
                <w:sz w:val="18"/>
                <w:szCs w:val="18"/>
                <w:lang w:eastAsia="es-AR"/>
              </w:rPr>
              <w:t xml:space="preserve">  </w:t>
            </w:r>
            <w:r w:rsidRPr="00153819">
              <w:rPr>
                <w:rFonts w:eastAsia="Times New Roman"/>
                <w:b/>
                <w:bCs/>
                <w:color w:val="000000"/>
                <w:sz w:val="18"/>
                <w:szCs w:val="18"/>
                <w:lang w:eastAsia="es-AR"/>
              </w:rPr>
              <w:t xml:space="preserve">Reformas estructurales  </w:t>
            </w:r>
            <w:r w:rsidR="002A6ED2" w:rsidRPr="00153819">
              <w:rPr>
                <w:rFonts w:eastAsia="Times New Roman"/>
                <w:b/>
                <w:bCs/>
                <w:color w:val="000000"/>
                <w:sz w:val="18"/>
                <w:szCs w:val="18"/>
                <w:lang w:eastAsia="es-AR"/>
              </w:rPr>
              <w:t xml:space="preserve">      P</w:t>
            </w:r>
            <w:r w:rsidRPr="00153819">
              <w:rPr>
                <w:rFonts w:eastAsia="Times New Roman"/>
                <w:b/>
                <w:bCs/>
                <w:color w:val="000000"/>
                <w:sz w:val="18"/>
                <w:szCs w:val="18"/>
                <w:lang w:eastAsia="es-AR"/>
              </w:rPr>
              <w:t>olíticas heterodoxas</w:t>
            </w:r>
          </w:p>
        </w:tc>
      </w:tr>
      <w:tr w:rsidR="00CF2FBC" w:rsidRPr="00153819" w:rsidTr="001E19F3">
        <w:trPr>
          <w:trHeight w:val="240"/>
          <w:jc w:val="center"/>
        </w:trPr>
        <w:tc>
          <w:tcPr>
            <w:tcW w:w="1456" w:type="pct"/>
            <w:tcBorders>
              <w:top w:val="nil"/>
              <w:left w:val="nil"/>
              <w:bottom w:val="single" w:sz="4" w:space="0" w:color="auto"/>
              <w:right w:val="nil"/>
            </w:tcBorders>
            <w:shd w:val="clear" w:color="000000" w:fill="FFFFFF"/>
            <w:noWrap/>
            <w:vAlign w:val="center"/>
            <w:hideMark/>
          </w:tcPr>
          <w:p w:rsidR="00A77B8C" w:rsidRPr="00153819" w:rsidRDefault="00A77B8C" w:rsidP="00153819">
            <w:pPr>
              <w:keepNext/>
              <w:spacing w:after="0" w:line="240" w:lineRule="auto"/>
              <w:rPr>
                <w:rFonts w:eastAsia="Times New Roman"/>
                <w:color w:val="000000"/>
                <w:sz w:val="18"/>
                <w:szCs w:val="18"/>
                <w:lang w:eastAsia="es-AR"/>
              </w:rPr>
            </w:pPr>
            <w:r w:rsidRPr="00153819">
              <w:rPr>
                <w:rFonts w:eastAsia="Times New Roman"/>
                <w:color w:val="000000"/>
                <w:sz w:val="18"/>
                <w:szCs w:val="18"/>
                <w:lang w:eastAsia="es-AR"/>
              </w:rPr>
              <w:t> </w:t>
            </w:r>
          </w:p>
        </w:tc>
        <w:tc>
          <w:tcPr>
            <w:tcW w:w="713" w:type="pct"/>
            <w:tcBorders>
              <w:top w:val="nil"/>
              <w:left w:val="nil"/>
              <w:bottom w:val="single" w:sz="4" w:space="0" w:color="auto"/>
              <w:right w:val="nil"/>
            </w:tcBorders>
            <w:shd w:val="clear" w:color="000000" w:fill="FFFFFF"/>
            <w:vAlign w:val="center"/>
            <w:hideMark/>
          </w:tcPr>
          <w:p w:rsidR="00A77B8C" w:rsidRPr="00153819" w:rsidRDefault="00A77B8C" w:rsidP="00153819">
            <w:pPr>
              <w:keepNext/>
              <w:spacing w:after="0" w:line="240" w:lineRule="auto"/>
              <w:jc w:val="center"/>
              <w:rPr>
                <w:rFonts w:eastAsia="Times New Roman"/>
                <w:b/>
                <w:bCs/>
                <w:color w:val="000000"/>
                <w:sz w:val="18"/>
                <w:szCs w:val="18"/>
                <w:lang w:eastAsia="es-AR"/>
              </w:rPr>
            </w:pPr>
            <w:r w:rsidRPr="00153819">
              <w:rPr>
                <w:rFonts w:eastAsia="Times New Roman"/>
                <w:b/>
                <w:bCs/>
                <w:color w:val="000000"/>
                <w:sz w:val="18"/>
                <w:szCs w:val="18"/>
                <w:lang w:eastAsia="es-AR"/>
              </w:rPr>
              <w:t>1974</w:t>
            </w:r>
          </w:p>
        </w:tc>
        <w:tc>
          <w:tcPr>
            <w:tcW w:w="474" w:type="pct"/>
            <w:tcBorders>
              <w:top w:val="nil"/>
              <w:left w:val="nil"/>
              <w:bottom w:val="single" w:sz="4" w:space="0" w:color="auto"/>
              <w:right w:val="nil"/>
            </w:tcBorders>
            <w:shd w:val="clear" w:color="000000" w:fill="FFFFFF"/>
            <w:vAlign w:val="center"/>
            <w:hideMark/>
          </w:tcPr>
          <w:p w:rsidR="00A77B8C" w:rsidRPr="00153819" w:rsidRDefault="00A77B8C" w:rsidP="00153819">
            <w:pPr>
              <w:keepNext/>
              <w:spacing w:after="0" w:line="240" w:lineRule="auto"/>
              <w:jc w:val="center"/>
              <w:rPr>
                <w:rFonts w:eastAsia="Times New Roman"/>
                <w:b/>
                <w:bCs/>
                <w:color w:val="000000"/>
                <w:sz w:val="18"/>
                <w:szCs w:val="18"/>
                <w:lang w:eastAsia="es-AR"/>
              </w:rPr>
            </w:pPr>
            <w:r w:rsidRPr="00153819">
              <w:rPr>
                <w:rFonts w:eastAsia="Times New Roman"/>
                <w:b/>
                <w:bCs/>
                <w:color w:val="000000"/>
                <w:sz w:val="18"/>
                <w:szCs w:val="18"/>
                <w:lang w:eastAsia="es-AR"/>
              </w:rPr>
              <w:t>1980</w:t>
            </w:r>
          </w:p>
        </w:tc>
        <w:tc>
          <w:tcPr>
            <w:tcW w:w="474" w:type="pct"/>
            <w:tcBorders>
              <w:top w:val="nil"/>
              <w:left w:val="nil"/>
              <w:bottom w:val="single" w:sz="4" w:space="0" w:color="auto"/>
              <w:right w:val="nil"/>
            </w:tcBorders>
            <w:shd w:val="clear" w:color="000000" w:fill="FFFFFF"/>
            <w:vAlign w:val="center"/>
            <w:hideMark/>
          </w:tcPr>
          <w:p w:rsidR="00A77B8C" w:rsidRPr="00153819" w:rsidRDefault="00A77B8C" w:rsidP="00153819">
            <w:pPr>
              <w:keepNext/>
              <w:spacing w:after="0" w:line="240" w:lineRule="auto"/>
              <w:jc w:val="center"/>
              <w:rPr>
                <w:rFonts w:eastAsia="Times New Roman"/>
                <w:b/>
                <w:bCs/>
                <w:color w:val="000000"/>
                <w:sz w:val="18"/>
                <w:szCs w:val="18"/>
                <w:lang w:eastAsia="es-AR"/>
              </w:rPr>
            </w:pPr>
            <w:r w:rsidRPr="00153819">
              <w:rPr>
                <w:rFonts w:eastAsia="Times New Roman"/>
                <w:b/>
                <w:bCs/>
                <w:color w:val="000000"/>
                <w:sz w:val="18"/>
                <w:szCs w:val="18"/>
                <w:lang w:eastAsia="es-AR"/>
              </w:rPr>
              <w:t>1988</w:t>
            </w:r>
          </w:p>
        </w:tc>
        <w:tc>
          <w:tcPr>
            <w:tcW w:w="471" w:type="pct"/>
            <w:tcBorders>
              <w:top w:val="nil"/>
              <w:left w:val="nil"/>
              <w:bottom w:val="single" w:sz="4" w:space="0" w:color="auto"/>
              <w:right w:val="nil"/>
            </w:tcBorders>
            <w:shd w:val="clear" w:color="000000" w:fill="FFFFFF"/>
            <w:vAlign w:val="center"/>
            <w:hideMark/>
          </w:tcPr>
          <w:p w:rsidR="00A77B8C" w:rsidRPr="00153819" w:rsidRDefault="00A77B8C" w:rsidP="00153819">
            <w:pPr>
              <w:keepNext/>
              <w:spacing w:after="0" w:line="240" w:lineRule="auto"/>
              <w:jc w:val="center"/>
              <w:rPr>
                <w:rFonts w:eastAsia="Times New Roman"/>
                <w:b/>
                <w:bCs/>
                <w:color w:val="000000"/>
                <w:sz w:val="18"/>
                <w:szCs w:val="18"/>
                <w:lang w:eastAsia="es-AR"/>
              </w:rPr>
            </w:pPr>
            <w:r w:rsidRPr="00153819">
              <w:rPr>
                <w:rFonts w:eastAsia="Times New Roman"/>
                <w:b/>
                <w:bCs/>
                <w:color w:val="000000"/>
                <w:sz w:val="18"/>
                <w:szCs w:val="18"/>
                <w:lang w:eastAsia="es-AR"/>
              </w:rPr>
              <w:t>1998</w:t>
            </w:r>
          </w:p>
        </w:tc>
        <w:tc>
          <w:tcPr>
            <w:tcW w:w="471" w:type="pct"/>
            <w:tcBorders>
              <w:top w:val="nil"/>
              <w:left w:val="nil"/>
              <w:bottom w:val="single" w:sz="4" w:space="0" w:color="auto"/>
              <w:right w:val="nil"/>
            </w:tcBorders>
            <w:shd w:val="clear" w:color="000000" w:fill="FFFFFF"/>
            <w:vAlign w:val="center"/>
            <w:hideMark/>
          </w:tcPr>
          <w:p w:rsidR="00A77B8C" w:rsidRPr="00153819" w:rsidRDefault="00A77B8C" w:rsidP="00153819">
            <w:pPr>
              <w:keepNext/>
              <w:spacing w:after="0" w:line="240" w:lineRule="auto"/>
              <w:jc w:val="center"/>
              <w:rPr>
                <w:rFonts w:eastAsia="Times New Roman"/>
                <w:b/>
                <w:bCs/>
                <w:color w:val="000000"/>
                <w:sz w:val="18"/>
                <w:szCs w:val="18"/>
                <w:lang w:eastAsia="es-AR"/>
              </w:rPr>
            </w:pPr>
            <w:r w:rsidRPr="00153819">
              <w:rPr>
                <w:rFonts w:eastAsia="Times New Roman"/>
                <w:b/>
                <w:bCs/>
                <w:color w:val="000000"/>
                <w:sz w:val="18"/>
                <w:szCs w:val="18"/>
                <w:lang w:eastAsia="es-AR"/>
              </w:rPr>
              <w:t>2003</w:t>
            </w:r>
          </w:p>
        </w:tc>
        <w:tc>
          <w:tcPr>
            <w:tcW w:w="471" w:type="pct"/>
            <w:tcBorders>
              <w:top w:val="nil"/>
              <w:left w:val="nil"/>
              <w:bottom w:val="single" w:sz="4" w:space="0" w:color="auto"/>
              <w:right w:val="nil"/>
            </w:tcBorders>
            <w:shd w:val="clear" w:color="000000" w:fill="FFFFFF"/>
            <w:vAlign w:val="center"/>
            <w:hideMark/>
          </w:tcPr>
          <w:p w:rsidR="00A77B8C" w:rsidRPr="00153819" w:rsidRDefault="00A77B8C" w:rsidP="00153819">
            <w:pPr>
              <w:keepNext/>
              <w:spacing w:after="0" w:line="240" w:lineRule="auto"/>
              <w:jc w:val="center"/>
              <w:rPr>
                <w:rFonts w:eastAsia="Times New Roman"/>
                <w:b/>
                <w:bCs/>
                <w:color w:val="000000"/>
                <w:sz w:val="18"/>
                <w:szCs w:val="18"/>
                <w:lang w:eastAsia="es-AR"/>
              </w:rPr>
            </w:pPr>
            <w:r w:rsidRPr="00153819">
              <w:rPr>
                <w:rFonts w:eastAsia="Times New Roman"/>
                <w:b/>
                <w:bCs/>
                <w:color w:val="000000"/>
                <w:sz w:val="18"/>
                <w:szCs w:val="18"/>
                <w:lang w:eastAsia="es-AR"/>
              </w:rPr>
              <w:t>2007</w:t>
            </w:r>
          </w:p>
        </w:tc>
        <w:tc>
          <w:tcPr>
            <w:tcW w:w="471" w:type="pct"/>
            <w:tcBorders>
              <w:top w:val="nil"/>
              <w:left w:val="nil"/>
              <w:bottom w:val="single" w:sz="4" w:space="0" w:color="auto"/>
              <w:right w:val="nil"/>
            </w:tcBorders>
            <w:shd w:val="clear" w:color="000000" w:fill="FFFFFF"/>
            <w:vAlign w:val="center"/>
            <w:hideMark/>
          </w:tcPr>
          <w:p w:rsidR="00A77B8C" w:rsidRPr="00153819" w:rsidRDefault="00A77B8C" w:rsidP="00153819">
            <w:pPr>
              <w:keepNext/>
              <w:spacing w:after="0" w:line="240" w:lineRule="auto"/>
              <w:jc w:val="center"/>
              <w:rPr>
                <w:rFonts w:eastAsia="Times New Roman"/>
                <w:b/>
                <w:bCs/>
                <w:color w:val="000000"/>
                <w:sz w:val="18"/>
                <w:szCs w:val="18"/>
                <w:lang w:eastAsia="es-AR"/>
              </w:rPr>
            </w:pPr>
            <w:r w:rsidRPr="00153819">
              <w:rPr>
                <w:rFonts w:eastAsia="Times New Roman"/>
                <w:b/>
                <w:bCs/>
                <w:color w:val="000000"/>
                <w:sz w:val="18"/>
                <w:szCs w:val="18"/>
                <w:lang w:eastAsia="es-AR"/>
              </w:rPr>
              <w:t>2014</w:t>
            </w:r>
          </w:p>
        </w:tc>
      </w:tr>
      <w:tr w:rsidR="00CF2FBC" w:rsidRPr="00153819" w:rsidTr="001E19F3">
        <w:trPr>
          <w:trHeight w:val="240"/>
          <w:jc w:val="center"/>
        </w:trPr>
        <w:tc>
          <w:tcPr>
            <w:tcW w:w="1456" w:type="pct"/>
            <w:tcBorders>
              <w:top w:val="nil"/>
              <w:left w:val="nil"/>
              <w:bottom w:val="nil"/>
              <w:right w:val="nil"/>
            </w:tcBorders>
            <w:shd w:val="clear" w:color="000000" w:fill="FFFFFF"/>
            <w:noWrap/>
            <w:vAlign w:val="center"/>
            <w:hideMark/>
          </w:tcPr>
          <w:p w:rsidR="00A77B8C" w:rsidRPr="00153819" w:rsidRDefault="0002459D" w:rsidP="00153819">
            <w:pPr>
              <w:keepNext/>
              <w:spacing w:after="0" w:line="240" w:lineRule="auto"/>
              <w:rPr>
                <w:rFonts w:eastAsia="Times New Roman"/>
                <w:b/>
                <w:bCs/>
                <w:sz w:val="20"/>
                <w:lang w:eastAsia="es-AR"/>
              </w:rPr>
            </w:pPr>
            <w:r w:rsidRPr="00153819">
              <w:rPr>
                <w:rFonts w:eastAsia="Times New Roman"/>
                <w:b/>
                <w:bCs/>
                <w:sz w:val="20"/>
                <w:lang w:eastAsia="es-AR"/>
              </w:rPr>
              <w:t>P</w:t>
            </w:r>
            <w:r w:rsidR="00A77B8C" w:rsidRPr="00153819">
              <w:rPr>
                <w:rFonts w:eastAsia="Times New Roman"/>
                <w:b/>
                <w:bCs/>
                <w:sz w:val="20"/>
                <w:lang w:eastAsia="es-AR"/>
              </w:rPr>
              <w:t xml:space="preserve">articipación </w:t>
            </w:r>
            <w:proofErr w:type="spellStart"/>
            <w:r w:rsidR="00A77B8C" w:rsidRPr="00153819">
              <w:rPr>
                <w:rFonts w:eastAsia="Times New Roman"/>
                <w:b/>
                <w:bCs/>
                <w:sz w:val="20"/>
                <w:lang w:eastAsia="es-AR"/>
              </w:rPr>
              <w:t>laboral</w:t>
            </w:r>
            <w:r w:rsidR="00A77B8C" w:rsidRPr="00153819">
              <w:rPr>
                <w:rFonts w:eastAsia="Times New Roman"/>
                <w:b/>
                <w:bCs/>
                <w:sz w:val="20"/>
                <w:vertAlign w:val="superscript"/>
                <w:lang w:eastAsia="es-AR"/>
              </w:rPr>
              <w:t>a</w:t>
            </w:r>
            <w:proofErr w:type="spellEnd"/>
          </w:p>
        </w:tc>
        <w:tc>
          <w:tcPr>
            <w:tcW w:w="713" w:type="pct"/>
            <w:tcBorders>
              <w:top w:val="nil"/>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40,4</w:t>
            </w:r>
          </w:p>
        </w:tc>
        <w:tc>
          <w:tcPr>
            <w:tcW w:w="474" w:type="pct"/>
            <w:tcBorders>
              <w:top w:val="nil"/>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38,4</w:t>
            </w:r>
          </w:p>
        </w:tc>
        <w:tc>
          <w:tcPr>
            <w:tcW w:w="474" w:type="pct"/>
            <w:tcBorders>
              <w:top w:val="nil"/>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39,1</w:t>
            </w:r>
          </w:p>
        </w:tc>
        <w:tc>
          <w:tcPr>
            <w:tcW w:w="471" w:type="pct"/>
            <w:tcBorders>
              <w:top w:val="nil"/>
              <w:left w:val="nil"/>
              <w:bottom w:val="nil"/>
              <w:right w:val="nil"/>
            </w:tcBorders>
            <w:shd w:val="clear" w:color="000000" w:fill="FFFFFF"/>
            <w:noWrap/>
            <w:vAlign w:val="bottom"/>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42,2</w:t>
            </w:r>
          </w:p>
        </w:tc>
        <w:tc>
          <w:tcPr>
            <w:tcW w:w="471" w:type="pct"/>
            <w:tcBorders>
              <w:top w:val="nil"/>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45,1</w:t>
            </w:r>
          </w:p>
        </w:tc>
        <w:tc>
          <w:tcPr>
            <w:tcW w:w="471" w:type="pct"/>
            <w:tcBorders>
              <w:top w:val="nil"/>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46,1</w:t>
            </w:r>
          </w:p>
        </w:tc>
        <w:tc>
          <w:tcPr>
            <w:tcW w:w="471" w:type="pct"/>
            <w:tcBorders>
              <w:top w:val="nil"/>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45,0</w:t>
            </w:r>
          </w:p>
        </w:tc>
      </w:tr>
      <w:tr w:rsidR="00CF2FBC" w:rsidRPr="00153819" w:rsidTr="001E19F3">
        <w:trPr>
          <w:trHeight w:val="240"/>
          <w:jc w:val="center"/>
        </w:trPr>
        <w:tc>
          <w:tcPr>
            <w:tcW w:w="1456" w:type="pct"/>
            <w:tcBorders>
              <w:top w:val="nil"/>
              <w:left w:val="nil"/>
              <w:bottom w:val="single" w:sz="4" w:space="0" w:color="auto"/>
              <w:right w:val="nil"/>
            </w:tcBorders>
            <w:shd w:val="clear" w:color="000000" w:fill="FFFFFF"/>
            <w:noWrap/>
            <w:vAlign w:val="center"/>
            <w:hideMark/>
          </w:tcPr>
          <w:p w:rsidR="00A77B8C" w:rsidRPr="00153819" w:rsidRDefault="0002459D" w:rsidP="00153819">
            <w:pPr>
              <w:keepNext/>
              <w:spacing w:after="0" w:line="240" w:lineRule="auto"/>
              <w:jc w:val="center"/>
              <w:rPr>
                <w:rFonts w:eastAsia="Times New Roman"/>
                <w:sz w:val="20"/>
                <w:lang w:eastAsia="es-AR"/>
              </w:rPr>
            </w:pPr>
            <w:r w:rsidRPr="00153819">
              <w:rPr>
                <w:rFonts w:eastAsia="Times New Roman"/>
                <w:sz w:val="20"/>
                <w:lang w:eastAsia="es-AR"/>
              </w:rPr>
              <w:t>Tasa p</w:t>
            </w:r>
            <w:r w:rsidR="00684B16" w:rsidRPr="00153819">
              <w:rPr>
                <w:rFonts w:eastAsia="Times New Roman"/>
                <w:sz w:val="20"/>
                <w:lang w:eastAsia="es-AR"/>
              </w:rPr>
              <w:t>romedio del período</w:t>
            </w:r>
            <w:r w:rsidR="00A77B8C" w:rsidRPr="00153819">
              <w:rPr>
                <w:rFonts w:eastAsia="Times New Roman"/>
                <w:sz w:val="20"/>
                <w:vertAlign w:val="superscript"/>
                <w:lang w:eastAsia="es-AR"/>
              </w:rPr>
              <w:t>*</w:t>
            </w:r>
          </w:p>
        </w:tc>
        <w:tc>
          <w:tcPr>
            <w:tcW w:w="1660" w:type="pct"/>
            <w:gridSpan w:val="3"/>
            <w:tcBorders>
              <w:top w:val="nil"/>
              <w:left w:val="nil"/>
              <w:bottom w:val="single" w:sz="4" w:space="0" w:color="auto"/>
              <w:right w:val="nil"/>
            </w:tcBorders>
            <w:shd w:val="clear" w:color="000000" w:fill="FFFFFF"/>
            <w:noWrap/>
            <w:vAlign w:val="center"/>
            <w:hideMark/>
          </w:tcPr>
          <w:p w:rsidR="00A77B8C" w:rsidRPr="00153819" w:rsidRDefault="00CF2FBC" w:rsidP="00153819">
            <w:pPr>
              <w:keepNext/>
              <w:spacing w:after="0" w:line="240" w:lineRule="auto"/>
              <w:jc w:val="center"/>
              <w:rPr>
                <w:rFonts w:eastAsia="Times New Roman"/>
                <w:sz w:val="20"/>
                <w:lang w:eastAsia="es-AR"/>
              </w:rPr>
            </w:pPr>
            <w:r w:rsidRPr="00153819">
              <w:rPr>
                <w:rFonts w:eastAsia="Times New Roman"/>
                <w:sz w:val="20"/>
                <w:lang w:eastAsia="es-AR"/>
              </w:rPr>
              <w:t xml:space="preserve">        </w:t>
            </w:r>
            <w:r w:rsidR="00A77B8C" w:rsidRPr="00153819">
              <w:rPr>
                <w:rFonts w:eastAsia="Times New Roman"/>
                <w:sz w:val="20"/>
                <w:lang w:eastAsia="es-AR"/>
              </w:rPr>
              <w:t>38,7</w:t>
            </w:r>
          </w:p>
        </w:tc>
        <w:tc>
          <w:tcPr>
            <w:tcW w:w="471" w:type="pct"/>
            <w:tcBorders>
              <w:top w:val="nil"/>
              <w:left w:val="nil"/>
              <w:bottom w:val="single" w:sz="4" w:space="0" w:color="auto"/>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41,4</w:t>
            </w:r>
          </w:p>
        </w:tc>
        <w:tc>
          <w:tcPr>
            <w:tcW w:w="1413" w:type="pct"/>
            <w:gridSpan w:val="3"/>
            <w:tcBorders>
              <w:top w:val="nil"/>
              <w:left w:val="nil"/>
              <w:bottom w:val="single" w:sz="4" w:space="0" w:color="auto"/>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45,9</w:t>
            </w:r>
          </w:p>
        </w:tc>
      </w:tr>
      <w:tr w:rsidR="00CF2FBC" w:rsidRPr="00153819" w:rsidTr="001E19F3">
        <w:trPr>
          <w:trHeight w:val="240"/>
          <w:jc w:val="center"/>
        </w:trPr>
        <w:tc>
          <w:tcPr>
            <w:tcW w:w="1456" w:type="pct"/>
            <w:tcBorders>
              <w:top w:val="nil"/>
              <w:left w:val="nil"/>
              <w:bottom w:val="nil"/>
              <w:right w:val="nil"/>
            </w:tcBorders>
            <w:shd w:val="clear" w:color="000000" w:fill="FFFFFF"/>
            <w:noWrap/>
            <w:vAlign w:val="center"/>
            <w:hideMark/>
          </w:tcPr>
          <w:p w:rsidR="00A77B8C" w:rsidRPr="00153819" w:rsidRDefault="00620EA8" w:rsidP="00153819">
            <w:pPr>
              <w:keepNext/>
              <w:spacing w:after="0" w:line="240" w:lineRule="auto"/>
              <w:rPr>
                <w:rFonts w:eastAsia="Times New Roman"/>
                <w:b/>
                <w:bCs/>
                <w:sz w:val="20"/>
                <w:lang w:eastAsia="es-AR"/>
              </w:rPr>
            </w:pPr>
            <w:proofErr w:type="spellStart"/>
            <w:r w:rsidRPr="00153819">
              <w:rPr>
                <w:rFonts w:eastAsia="Times New Roman"/>
                <w:b/>
                <w:bCs/>
                <w:sz w:val="20"/>
                <w:lang w:eastAsia="es-AR"/>
              </w:rPr>
              <w:t>Empleo</w:t>
            </w:r>
            <w:r w:rsidR="00FA0183" w:rsidRPr="00153819">
              <w:rPr>
                <w:rFonts w:eastAsia="Times New Roman"/>
                <w:b/>
                <w:bCs/>
                <w:sz w:val="20"/>
                <w:vertAlign w:val="superscript"/>
                <w:lang w:eastAsia="es-AR"/>
              </w:rPr>
              <w:t>b</w:t>
            </w:r>
            <w:proofErr w:type="spellEnd"/>
          </w:p>
        </w:tc>
        <w:tc>
          <w:tcPr>
            <w:tcW w:w="713" w:type="pct"/>
            <w:tcBorders>
              <w:top w:val="nil"/>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39,2</w:t>
            </w:r>
          </w:p>
        </w:tc>
        <w:tc>
          <w:tcPr>
            <w:tcW w:w="474" w:type="pct"/>
            <w:tcBorders>
              <w:top w:val="nil"/>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37,4</w:t>
            </w:r>
          </w:p>
        </w:tc>
        <w:tc>
          <w:tcPr>
            <w:tcW w:w="474" w:type="pct"/>
            <w:tcBorders>
              <w:top w:val="nil"/>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36,6</w:t>
            </w:r>
          </w:p>
        </w:tc>
        <w:tc>
          <w:tcPr>
            <w:tcW w:w="471" w:type="pct"/>
            <w:tcBorders>
              <w:top w:val="nil"/>
              <w:left w:val="nil"/>
              <w:bottom w:val="nil"/>
              <w:right w:val="nil"/>
            </w:tcBorders>
            <w:shd w:val="clear" w:color="000000" w:fill="FFFFFF"/>
            <w:noWrap/>
            <w:vAlign w:val="bottom"/>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36,8</w:t>
            </w:r>
          </w:p>
        </w:tc>
        <w:tc>
          <w:tcPr>
            <w:tcW w:w="471" w:type="pct"/>
            <w:tcBorders>
              <w:top w:val="nil"/>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37,4</w:t>
            </w:r>
          </w:p>
        </w:tc>
        <w:tc>
          <w:tcPr>
            <w:tcW w:w="471" w:type="pct"/>
            <w:tcBorders>
              <w:top w:val="nil"/>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42,1</w:t>
            </w:r>
          </w:p>
        </w:tc>
        <w:tc>
          <w:tcPr>
            <w:tcW w:w="471" w:type="pct"/>
            <w:tcBorders>
              <w:top w:val="nil"/>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41,8</w:t>
            </w:r>
          </w:p>
        </w:tc>
      </w:tr>
      <w:tr w:rsidR="00CF2FBC" w:rsidRPr="00153819" w:rsidTr="001E19F3">
        <w:trPr>
          <w:trHeight w:val="240"/>
          <w:jc w:val="center"/>
        </w:trPr>
        <w:tc>
          <w:tcPr>
            <w:tcW w:w="1456" w:type="pct"/>
            <w:tcBorders>
              <w:top w:val="nil"/>
              <w:left w:val="nil"/>
              <w:bottom w:val="single" w:sz="4" w:space="0" w:color="auto"/>
              <w:right w:val="nil"/>
            </w:tcBorders>
            <w:shd w:val="clear" w:color="000000" w:fill="FFFFFF"/>
            <w:noWrap/>
            <w:vAlign w:val="center"/>
            <w:hideMark/>
          </w:tcPr>
          <w:p w:rsidR="00A77B8C" w:rsidRPr="00153819" w:rsidRDefault="0002459D" w:rsidP="00153819">
            <w:pPr>
              <w:keepNext/>
              <w:spacing w:after="0" w:line="240" w:lineRule="auto"/>
              <w:rPr>
                <w:rFonts w:eastAsia="Times New Roman"/>
                <w:sz w:val="20"/>
                <w:lang w:eastAsia="es-AR"/>
              </w:rPr>
            </w:pPr>
            <w:r w:rsidRPr="00153819">
              <w:rPr>
                <w:rFonts w:eastAsia="Times New Roman"/>
                <w:sz w:val="20"/>
                <w:lang w:eastAsia="es-AR"/>
              </w:rPr>
              <w:t>Tasa p</w:t>
            </w:r>
            <w:r w:rsidR="00684B16" w:rsidRPr="00153819">
              <w:rPr>
                <w:rFonts w:eastAsia="Times New Roman"/>
                <w:sz w:val="20"/>
                <w:lang w:eastAsia="es-AR"/>
              </w:rPr>
              <w:t xml:space="preserve">romedio del </w:t>
            </w:r>
            <w:r w:rsidR="00A77B8C" w:rsidRPr="00153819">
              <w:rPr>
                <w:rFonts w:eastAsia="Times New Roman"/>
                <w:sz w:val="20"/>
                <w:lang w:eastAsia="es-AR"/>
              </w:rPr>
              <w:t>período</w:t>
            </w:r>
          </w:p>
        </w:tc>
        <w:tc>
          <w:tcPr>
            <w:tcW w:w="1660" w:type="pct"/>
            <w:gridSpan w:val="3"/>
            <w:tcBorders>
              <w:top w:val="nil"/>
              <w:left w:val="nil"/>
              <w:bottom w:val="single" w:sz="4" w:space="0" w:color="auto"/>
              <w:right w:val="nil"/>
            </w:tcBorders>
            <w:shd w:val="clear" w:color="000000" w:fill="FFFFFF"/>
            <w:noWrap/>
            <w:vAlign w:val="center"/>
            <w:hideMark/>
          </w:tcPr>
          <w:p w:rsidR="00A77B8C" w:rsidRPr="00153819" w:rsidRDefault="00CF2FBC" w:rsidP="00153819">
            <w:pPr>
              <w:keepNext/>
              <w:spacing w:after="0" w:line="240" w:lineRule="auto"/>
              <w:jc w:val="center"/>
              <w:rPr>
                <w:rFonts w:eastAsia="Times New Roman"/>
                <w:sz w:val="20"/>
                <w:lang w:eastAsia="es-AR"/>
              </w:rPr>
            </w:pPr>
            <w:r w:rsidRPr="00153819">
              <w:rPr>
                <w:rFonts w:eastAsia="Times New Roman"/>
                <w:sz w:val="20"/>
                <w:lang w:eastAsia="es-AR"/>
              </w:rPr>
              <w:t xml:space="preserve">        </w:t>
            </w:r>
            <w:r w:rsidR="00A77B8C" w:rsidRPr="00153819">
              <w:rPr>
                <w:rFonts w:eastAsia="Times New Roman"/>
                <w:sz w:val="20"/>
                <w:lang w:eastAsia="es-AR"/>
              </w:rPr>
              <w:t>37,0</w:t>
            </w:r>
          </w:p>
        </w:tc>
        <w:tc>
          <w:tcPr>
            <w:tcW w:w="471" w:type="pct"/>
            <w:tcBorders>
              <w:top w:val="nil"/>
              <w:left w:val="nil"/>
              <w:bottom w:val="single" w:sz="4" w:space="0" w:color="auto"/>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36,1</w:t>
            </w:r>
          </w:p>
        </w:tc>
        <w:tc>
          <w:tcPr>
            <w:tcW w:w="1413" w:type="pct"/>
            <w:gridSpan w:val="3"/>
            <w:tcBorders>
              <w:top w:val="nil"/>
              <w:left w:val="nil"/>
              <w:bottom w:val="single" w:sz="4" w:space="0" w:color="auto"/>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41,5</w:t>
            </w:r>
          </w:p>
        </w:tc>
      </w:tr>
      <w:tr w:rsidR="00CF2FBC" w:rsidRPr="00153819" w:rsidTr="001E19F3">
        <w:trPr>
          <w:trHeight w:val="240"/>
          <w:jc w:val="center"/>
        </w:trPr>
        <w:tc>
          <w:tcPr>
            <w:tcW w:w="1456" w:type="pct"/>
            <w:tcBorders>
              <w:top w:val="nil"/>
              <w:left w:val="nil"/>
              <w:bottom w:val="nil"/>
              <w:right w:val="nil"/>
            </w:tcBorders>
            <w:shd w:val="clear" w:color="000000" w:fill="FFFFFF"/>
            <w:noWrap/>
            <w:vAlign w:val="center"/>
            <w:hideMark/>
          </w:tcPr>
          <w:p w:rsidR="00A77B8C" w:rsidRPr="00153819" w:rsidRDefault="0002459D" w:rsidP="00153819">
            <w:pPr>
              <w:keepNext/>
              <w:spacing w:after="0" w:line="240" w:lineRule="auto"/>
              <w:rPr>
                <w:rFonts w:eastAsia="Times New Roman"/>
                <w:b/>
                <w:bCs/>
                <w:sz w:val="20"/>
                <w:lang w:eastAsia="es-AR"/>
              </w:rPr>
            </w:pPr>
            <w:proofErr w:type="spellStart"/>
            <w:r w:rsidRPr="00153819">
              <w:rPr>
                <w:rFonts w:eastAsia="Times New Roman"/>
                <w:b/>
                <w:bCs/>
                <w:sz w:val="20"/>
                <w:lang w:eastAsia="es-AR"/>
              </w:rPr>
              <w:t>D</w:t>
            </w:r>
            <w:r w:rsidR="00A77B8C" w:rsidRPr="00153819">
              <w:rPr>
                <w:rFonts w:eastAsia="Times New Roman"/>
                <w:b/>
                <w:bCs/>
                <w:sz w:val="20"/>
                <w:lang w:eastAsia="es-AR"/>
              </w:rPr>
              <w:t>esocupación</w:t>
            </w:r>
            <w:r w:rsidR="00EF6F43" w:rsidRPr="00153819">
              <w:rPr>
                <w:rFonts w:eastAsia="Times New Roman"/>
                <w:b/>
                <w:bCs/>
                <w:sz w:val="20"/>
                <w:vertAlign w:val="superscript"/>
                <w:lang w:eastAsia="es-AR"/>
              </w:rPr>
              <w:t>c</w:t>
            </w:r>
            <w:proofErr w:type="spellEnd"/>
          </w:p>
        </w:tc>
        <w:tc>
          <w:tcPr>
            <w:tcW w:w="713" w:type="pct"/>
            <w:tcBorders>
              <w:top w:val="nil"/>
              <w:left w:val="nil"/>
              <w:bottom w:val="nil"/>
              <w:right w:val="nil"/>
            </w:tcBorders>
            <w:shd w:val="clear" w:color="000000" w:fill="FFFFFF"/>
            <w:noWrap/>
            <w:vAlign w:val="center"/>
            <w:hideMark/>
          </w:tcPr>
          <w:p w:rsidR="00A77B8C" w:rsidRPr="00153819" w:rsidRDefault="002D6DD7" w:rsidP="00153819">
            <w:pPr>
              <w:keepNext/>
              <w:spacing w:after="0" w:line="240" w:lineRule="auto"/>
              <w:jc w:val="center"/>
              <w:rPr>
                <w:rFonts w:eastAsia="Times New Roman"/>
                <w:sz w:val="20"/>
                <w:lang w:eastAsia="es-AR"/>
              </w:rPr>
            </w:pPr>
            <w:r w:rsidRPr="00153819">
              <w:rPr>
                <w:rFonts w:eastAsia="Times New Roman"/>
                <w:sz w:val="20"/>
                <w:lang w:eastAsia="es-AR"/>
              </w:rPr>
              <w:t>3,0</w:t>
            </w:r>
          </w:p>
        </w:tc>
        <w:tc>
          <w:tcPr>
            <w:tcW w:w="474" w:type="pct"/>
            <w:tcBorders>
              <w:top w:val="nil"/>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2,6</w:t>
            </w:r>
          </w:p>
        </w:tc>
        <w:tc>
          <w:tcPr>
            <w:tcW w:w="474" w:type="pct"/>
            <w:tcBorders>
              <w:top w:val="nil"/>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6,3</w:t>
            </w:r>
          </w:p>
        </w:tc>
        <w:tc>
          <w:tcPr>
            <w:tcW w:w="471" w:type="pct"/>
            <w:tcBorders>
              <w:top w:val="nil"/>
              <w:left w:val="nil"/>
              <w:bottom w:val="nil"/>
              <w:right w:val="nil"/>
            </w:tcBorders>
            <w:shd w:val="clear" w:color="000000" w:fill="FFFFFF"/>
            <w:noWrap/>
            <w:vAlign w:val="bottom"/>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12,9</w:t>
            </w:r>
          </w:p>
        </w:tc>
        <w:tc>
          <w:tcPr>
            <w:tcW w:w="471" w:type="pct"/>
            <w:tcBorders>
              <w:top w:val="nil"/>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16,9</w:t>
            </w:r>
          </w:p>
        </w:tc>
        <w:tc>
          <w:tcPr>
            <w:tcW w:w="471" w:type="pct"/>
            <w:tcBorders>
              <w:top w:val="nil"/>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8,5</w:t>
            </w:r>
          </w:p>
        </w:tc>
        <w:tc>
          <w:tcPr>
            <w:tcW w:w="471" w:type="pct"/>
            <w:tcBorders>
              <w:top w:val="nil"/>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7,1</w:t>
            </w:r>
          </w:p>
        </w:tc>
      </w:tr>
      <w:tr w:rsidR="00CF2FBC" w:rsidRPr="00153819" w:rsidTr="001E19F3">
        <w:trPr>
          <w:trHeight w:val="240"/>
          <w:jc w:val="center"/>
        </w:trPr>
        <w:tc>
          <w:tcPr>
            <w:tcW w:w="1456" w:type="pct"/>
            <w:tcBorders>
              <w:top w:val="nil"/>
              <w:left w:val="nil"/>
              <w:bottom w:val="single" w:sz="4" w:space="0" w:color="auto"/>
              <w:right w:val="nil"/>
            </w:tcBorders>
            <w:shd w:val="clear" w:color="000000" w:fill="FFFFFF"/>
            <w:noWrap/>
            <w:vAlign w:val="center"/>
            <w:hideMark/>
          </w:tcPr>
          <w:p w:rsidR="00A77B8C" w:rsidRPr="00153819" w:rsidRDefault="0002459D" w:rsidP="00153819">
            <w:pPr>
              <w:keepNext/>
              <w:spacing w:after="0" w:line="240" w:lineRule="auto"/>
              <w:rPr>
                <w:rFonts w:eastAsia="Times New Roman"/>
                <w:sz w:val="20"/>
                <w:lang w:eastAsia="es-AR"/>
              </w:rPr>
            </w:pPr>
            <w:r w:rsidRPr="00153819">
              <w:rPr>
                <w:rFonts w:eastAsia="Times New Roman"/>
                <w:sz w:val="20"/>
                <w:lang w:eastAsia="es-AR"/>
              </w:rPr>
              <w:t>Tasa p</w:t>
            </w:r>
            <w:r w:rsidR="00684B16" w:rsidRPr="00153819">
              <w:rPr>
                <w:rFonts w:eastAsia="Times New Roman"/>
                <w:sz w:val="20"/>
                <w:lang w:eastAsia="es-AR"/>
              </w:rPr>
              <w:t>romedio del período</w:t>
            </w:r>
          </w:p>
        </w:tc>
        <w:tc>
          <w:tcPr>
            <w:tcW w:w="1660" w:type="pct"/>
            <w:gridSpan w:val="3"/>
            <w:tcBorders>
              <w:top w:val="nil"/>
              <w:left w:val="nil"/>
              <w:bottom w:val="single" w:sz="4" w:space="0" w:color="auto"/>
              <w:right w:val="nil"/>
            </w:tcBorders>
            <w:shd w:val="clear" w:color="000000" w:fill="FFFFFF"/>
            <w:noWrap/>
            <w:vAlign w:val="center"/>
            <w:hideMark/>
          </w:tcPr>
          <w:p w:rsidR="00A77B8C" w:rsidRPr="00153819" w:rsidRDefault="00CF2FBC" w:rsidP="00153819">
            <w:pPr>
              <w:keepNext/>
              <w:spacing w:after="0" w:line="240" w:lineRule="auto"/>
              <w:jc w:val="center"/>
              <w:rPr>
                <w:rFonts w:eastAsia="Times New Roman"/>
                <w:sz w:val="20"/>
                <w:lang w:eastAsia="es-AR"/>
              </w:rPr>
            </w:pPr>
            <w:r w:rsidRPr="00153819">
              <w:rPr>
                <w:rFonts w:eastAsia="Times New Roman"/>
                <w:sz w:val="20"/>
                <w:lang w:eastAsia="es-AR"/>
              </w:rPr>
              <w:t xml:space="preserve">        </w:t>
            </w:r>
            <w:r w:rsidR="00A77B8C" w:rsidRPr="00153819">
              <w:rPr>
                <w:rFonts w:eastAsia="Times New Roman"/>
                <w:sz w:val="20"/>
                <w:lang w:eastAsia="es-AR"/>
              </w:rPr>
              <w:t>4,</w:t>
            </w:r>
            <w:r w:rsidR="002D6DD7" w:rsidRPr="00153819">
              <w:rPr>
                <w:rFonts w:eastAsia="Times New Roman"/>
                <w:sz w:val="20"/>
                <w:lang w:eastAsia="es-AR"/>
              </w:rPr>
              <w:t>4</w:t>
            </w:r>
          </w:p>
        </w:tc>
        <w:tc>
          <w:tcPr>
            <w:tcW w:w="471" w:type="pct"/>
            <w:tcBorders>
              <w:top w:val="nil"/>
              <w:left w:val="nil"/>
              <w:bottom w:val="single" w:sz="4" w:space="0" w:color="auto"/>
              <w:right w:val="nil"/>
            </w:tcBorders>
            <w:shd w:val="clear" w:color="000000" w:fill="FFFFFF"/>
            <w:noWrap/>
            <w:vAlign w:val="bottom"/>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12,6</w:t>
            </w:r>
          </w:p>
        </w:tc>
        <w:tc>
          <w:tcPr>
            <w:tcW w:w="1413" w:type="pct"/>
            <w:gridSpan w:val="3"/>
            <w:tcBorders>
              <w:top w:val="nil"/>
              <w:left w:val="nil"/>
              <w:bottom w:val="single" w:sz="4" w:space="0" w:color="auto"/>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9,5</w:t>
            </w:r>
          </w:p>
        </w:tc>
      </w:tr>
      <w:tr w:rsidR="00CF2FBC" w:rsidRPr="00153819" w:rsidTr="001E19F3">
        <w:trPr>
          <w:trHeight w:val="240"/>
          <w:jc w:val="center"/>
        </w:trPr>
        <w:tc>
          <w:tcPr>
            <w:tcW w:w="1456" w:type="pct"/>
            <w:tcBorders>
              <w:top w:val="nil"/>
              <w:left w:val="nil"/>
              <w:bottom w:val="nil"/>
              <w:right w:val="nil"/>
            </w:tcBorders>
            <w:shd w:val="clear" w:color="000000" w:fill="FFFFFF"/>
            <w:noWrap/>
            <w:vAlign w:val="center"/>
            <w:hideMark/>
          </w:tcPr>
          <w:p w:rsidR="00A77B8C" w:rsidRPr="00153819" w:rsidRDefault="0002459D" w:rsidP="00153819">
            <w:pPr>
              <w:keepNext/>
              <w:spacing w:after="0" w:line="240" w:lineRule="auto"/>
              <w:rPr>
                <w:rFonts w:eastAsia="Times New Roman"/>
                <w:b/>
                <w:bCs/>
                <w:sz w:val="20"/>
                <w:lang w:eastAsia="es-AR"/>
              </w:rPr>
            </w:pPr>
            <w:proofErr w:type="spellStart"/>
            <w:r w:rsidRPr="00153819">
              <w:rPr>
                <w:rFonts w:eastAsia="Times New Roman"/>
                <w:b/>
                <w:bCs/>
                <w:sz w:val="20"/>
                <w:lang w:eastAsia="es-AR"/>
              </w:rPr>
              <w:t>S</w:t>
            </w:r>
            <w:r w:rsidR="00A77B8C" w:rsidRPr="00153819">
              <w:rPr>
                <w:rFonts w:eastAsia="Times New Roman"/>
                <w:b/>
                <w:bCs/>
                <w:sz w:val="20"/>
                <w:lang w:eastAsia="es-AR"/>
              </w:rPr>
              <w:t>ubocupación</w:t>
            </w:r>
            <w:r w:rsidR="00EF6F43" w:rsidRPr="00153819">
              <w:rPr>
                <w:rFonts w:eastAsia="Times New Roman"/>
                <w:b/>
                <w:bCs/>
                <w:sz w:val="20"/>
                <w:vertAlign w:val="superscript"/>
                <w:lang w:eastAsia="es-AR"/>
              </w:rPr>
              <w:t>d</w:t>
            </w:r>
            <w:proofErr w:type="spellEnd"/>
          </w:p>
        </w:tc>
        <w:tc>
          <w:tcPr>
            <w:tcW w:w="713" w:type="pct"/>
            <w:tcBorders>
              <w:top w:val="nil"/>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5,0</w:t>
            </w:r>
          </w:p>
        </w:tc>
        <w:tc>
          <w:tcPr>
            <w:tcW w:w="474" w:type="pct"/>
            <w:tcBorders>
              <w:top w:val="nil"/>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5,2</w:t>
            </w:r>
          </w:p>
        </w:tc>
        <w:tc>
          <w:tcPr>
            <w:tcW w:w="474" w:type="pct"/>
            <w:tcBorders>
              <w:top w:val="nil"/>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7,9</w:t>
            </w:r>
          </w:p>
        </w:tc>
        <w:tc>
          <w:tcPr>
            <w:tcW w:w="471" w:type="pct"/>
            <w:tcBorders>
              <w:top w:val="nil"/>
              <w:left w:val="nil"/>
              <w:bottom w:val="nil"/>
              <w:right w:val="nil"/>
            </w:tcBorders>
            <w:shd w:val="clear" w:color="000000" w:fill="FFFFFF"/>
            <w:noWrap/>
            <w:vAlign w:val="bottom"/>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13,5</w:t>
            </w:r>
          </w:p>
        </w:tc>
        <w:tc>
          <w:tcPr>
            <w:tcW w:w="471" w:type="pct"/>
            <w:tcBorders>
              <w:top w:val="nil"/>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17,4</w:t>
            </w:r>
          </w:p>
        </w:tc>
        <w:tc>
          <w:tcPr>
            <w:tcW w:w="471" w:type="pct"/>
            <w:tcBorders>
              <w:top w:val="nil"/>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8,7</w:t>
            </w:r>
          </w:p>
        </w:tc>
        <w:tc>
          <w:tcPr>
            <w:tcW w:w="471" w:type="pct"/>
            <w:tcBorders>
              <w:top w:val="nil"/>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8,1</w:t>
            </w:r>
          </w:p>
        </w:tc>
      </w:tr>
      <w:tr w:rsidR="00CF2FBC" w:rsidRPr="00153819" w:rsidTr="001E19F3">
        <w:trPr>
          <w:trHeight w:val="240"/>
          <w:jc w:val="center"/>
        </w:trPr>
        <w:tc>
          <w:tcPr>
            <w:tcW w:w="1456" w:type="pct"/>
            <w:tcBorders>
              <w:top w:val="nil"/>
              <w:left w:val="nil"/>
              <w:bottom w:val="single" w:sz="4" w:space="0" w:color="auto"/>
              <w:right w:val="nil"/>
            </w:tcBorders>
            <w:shd w:val="clear" w:color="000000" w:fill="FFFFFF"/>
            <w:noWrap/>
            <w:vAlign w:val="center"/>
            <w:hideMark/>
          </w:tcPr>
          <w:p w:rsidR="00A77B8C" w:rsidRPr="00153819" w:rsidRDefault="0002459D" w:rsidP="00153819">
            <w:pPr>
              <w:keepNext/>
              <w:spacing w:after="0" w:line="240" w:lineRule="auto"/>
              <w:rPr>
                <w:rFonts w:eastAsia="Times New Roman"/>
                <w:sz w:val="20"/>
                <w:lang w:eastAsia="es-AR"/>
              </w:rPr>
            </w:pPr>
            <w:r w:rsidRPr="00153819">
              <w:rPr>
                <w:rFonts w:eastAsia="Times New Roman"/>
                <w:sz w:val="20"/>
                <w:lang w:eastAsia="es-AR"/>
              </w:rPr>
              <w:t>Tasa p</w:t>
            </w:r>
            <w:r w:rsidR="00684B16" w:rsidRPr="00153819">
              <w:rPr>
                <w:rFonts w:eastAsia="Times New Roman"/>
                <w:sz w:val="20"/>
                <w:lang w:eastAsia="es-AR"/>
              </w:rPr>
              <w:t>romedio del período</w:t>
            </w:r>
          </w:p>
        </w:tc>
        <w:tc>
          <w:tcPr>
            <w:tcW w:w="1660" w:type="pct"/>
            <w:gridSpan w:val="3"/>
            <w:tcBorders>
              <w:top w:val="nil"/>
              <w:left w:val="nil"/>
              <w:bottom w:val="single" w:sz="4" w:space="0" w:color="auto"/>
              <w:right w:val="nil"/>
            </w:tcBorders>
            <w:shd w:val="clear" w:color="000000" w:fill="FFFFFF"/>
            <w:noWrap/>
            <w:vAlign w:val="center"/>
            <w:hideMark/>
          </w:tcPr>
          <w:p w:rsidR="00A77B8C" w:rsidRPr="00153819" w:rsidRDefault="00A51230" w:rsidP="00153819">
            <w:pPr>
              <w:keepNext/>
              <w:spacing w:after="0" w:line="240" w:lineRule="auto"/>
              <w:jc w:val="center"/>
              <w:rPr>
                <w:rFonts w:eastAsia="Times New Roman"/>
                <w:sz w:val="20"/>
                <w:lang w:eastAsia="es-AR"/>
              </w:rPr>
            </w:pPr>
            <w:r w:rsidRPr="00153819">
              <w:rPr>
                <w:rFonts w:eastAsia="Times New Roman"/>
                <w:sz w:val="20"/>
                <w:lang w:eastAsia="es-AR"/>
              </w:rPr>
              <w:t xml:space="preserve">        </w:t>
            </w:r>
            <w:r w:rsidR="00A77B8C" w:rsidRPr="00153819">
              <w:rPr>
                <w:rFonts w:eastAsia="Times New Roman"/>
                <w:sz w:val="20"/>
                <w:lang w:eastAsia="es-AR"/>
              </w:rPr>
              <w:t>5,8</w:t>
            </w:r>
          </w:p>
        </w:tc>
        <w:tc>
          <w:tcPr>
            <w:tcW w:w="471" w:type="pct"/>
            <w:tcBorders>
              <w:top w:val="nil"/>
              <w:left w:val="nil"/>
              <w:bottom w:val="single" w:sz="4" w:space="0" w:color="auto"/>
              <w:right w:val="nil"/>
            </w:tcBorders>
            <w:shd w:val="clear" w:color="000000" w:fill="FFFFFF"/>
            <w:noWrap/>
            <w:vAlign w:val="bottom"/>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12,1</w:t>
            </w:r>
          </w:p>
        </w:tc>
        <w:tc>
          <w:tcPr>
            <w:tcW w:w="1413" w:type="pct"/>
            <w:gridSpan w:val="3"/>
            <w:tcBorders>
              <w:top w:val="nil"/>
              <w:left w:val="nil"/>
              <w:bottom w:val="single" w:sz="4" w:space="0" w:color="auto"/>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10,6</w:t>
            </w:r>
          </w:p>
        </w:tc>
      </w:tr>
      <w:tr w:rsidR="00CF2FBC" w:rsidRPr="00153819" w:rsidTr="001E19F3">
        <w:trPr>
          <w:trHeight w:val="240"/>
          <w:jc w:val="center"/>
        </w:trPr>
        <w:tc>
          <w:tcPr>
            <w:tcW w:w="1456" w:type="pct"/>
            <w:tcBorders>
              <w:top w:val="nil"/>
              <w:left w:val="nil"/>
              <w:bottom w:val="nil"/>
              <w:right w:val="nil"/>
            </w:tcBorders>
            <w:shd w:val="clear" w:color="000000" w:fill="FFFFFF"/>
            <w:noWrap/>
            <w:vAlign w:val="center"/>
            <w:hideMark/>
          </w:tcPr>
          <w:p w:rsidR="00FA0183" w:rsidRPr="00153819" w:rsidRDefault="00FA0183" w:rsidP="00153819">
            <w:pPr>
              <w:keepNext/>
              <w:spacing w:after="0" w:line="240" w:lineRule="auto"/>
              <w:rPr>
                <w:rFonts w:eastAsia="Times New Roman"/>
                <w:b/>
                <w:bCs/>
                <w:sz w:val="20"/>
                <w:lang w:eastAsia="es-AR"/>
              </w:rPr>
            </w:pPr>
            <w:r w:rsidRPr="00153819">
              <w:rPr>
                <w:rFonts w:eastAsia="Times New Roman"/>
                <w:b/>
                <w:bCs/>
                <w:sz w:val="20"/>
                <w:lang w:eastAsia="es-AR"/>
              </w:rPr>
              <w:t xml:space="preserve">Trabajo </w:t>
            </w:r>
            <w:proofErr w:type="spellStart"/>
            <w:r w:rsidRPr="00153819">
              <w:rPr>
                <w:rFonts w:eastAsia="Times New Roman"/>
                <w:b/>
                <w:bCs/>
                <w:sz w:val="20"/>
                <w:lang w:eastAsia="es-AR"/>
              </w:rPr>
              <w:t>asalariado</w:t>
            </w:r>
            <w:r w:rsidR="00EF6F43" w:rsidRPr="00153819">
              <w:rPr>
                <w:rFonts w:eastAsia="Times New Roman"/>
                <w:b/>
                <w:bCs/>
                <w:sz w:val="20"/>
                <w:vertAlign w:val="superscript"/>
                <w:lang w:eastAsia="es-AR"/>
              </w:rPr>
              <w:t>e</w:t>
            </w:r>
            <w:proofErr w:type="spellEnd"/>
          </w:p>
        </w:tc>
        <w:tc>
          <w:tcPr>
            <w:tcW w:w="713" w:type="pct"/>
            <w:tcBorders>
              <w:top w:val="nil"/>
              <w:left w:val="nil"/>
              <w:bottom w:val="nil"/>
              <w:right w:val="nil"/>
            </w:tcBorders>
            <w:shd w:val="clear" w:color="000000" w:fill="FFFFFF"/>
            <w:noWrap/>
            <w:vAlign w:val="center"/>
            <w:hideMark/>
          </w:tcPr>
          <w:p w:rsidR="00FA0183" w:rsidRPr="00153819" w:rsidRDefault="00FA0183" w:rsidP="00153819">
            <w:pPr>
              <w:keepNext/>
              <w:spacing w:after="0" w:line="240" w:lineRule="auto"/>
              <w:jc w:val="center"/>
              <w:rPr>
                <w:rFonts w:eastAsia="Times New Roman"/>
                <w:sz w:val="20"/>
                <w:lang w:eastAsia="es-AR"/>
              </w:rPr>
            </w:pPr>
            <w:r w:rsidRPr="00153819">
              <w:rPr>
                <w:rFonts w:eastAsia="Times New Roman"/>
                <w:sz w:val="20"/>
                <w:lang w:eastAsia="es-AR"/>
              </w:rPr>
              <w:t>71,2</w:t>
            </w:r>
          </w:p>
        </w:tc>
        <w:tc>
          <w:tcPr>
            <w:tcW w:w="474" w:type="pct"/>
            <w:tcBorders>
              <w:top w:val="nil"/>
              <w:left w:val="nil"/>
              <w:bottom w:val="nil"/>
              <w:right w:val="nil"/>
            </w:tcBorders>
            <w:shd w:val="clear" w:color="000000" w:fill="FFFFFF"/>
            <w:noWrap/>
            <w:vAlign w:val="center"/>
            <w:hideMark/>
          </w:tcPr>
          <w:p w:rsidR="00FA0183" w:rsidRPr="00153819" w:rsidRDefault="00FA0183" w:rsidP="00153819">
            <w:pPr>
              <w:keepNext/>
              <w:spacing w:after="0" w:line="240" w:lineRule="auto"/>
              <w:jc w:val="center"/>
              <w:rPr>
                <w:rFonts w:eastAsia="Times New Roman"/>
                <w:sz w:val="20"/>
                <w:lang w:eastAsia="es-AR"/>
              </w:rPr>
            </w:pPr>
            <w:r w:rsidRPr="00153819">
              <w:rPr>
                <w:rFonts w:eastAsia="Times New Roman"/>
                <w:sz w:val="20"/>
                <w:lang w:eastAsia="es-AR"/>
              </w:rPr>
              <w:t>68,0</w:t>
            </w:r>
          </w:p>
        </w:tc>
        <w:tc>
          <w:tcPr>
            <w:tcW w:w="474" w:type="pct"/>
            <w:tcBorders>
              <w:top w:val="nil"/>
              <w:left w:val="nil"/>
              <w:bottom w:val="nil"/>
              <w:right w:val="nil"/>
            </w:tcBorders>
            <w:shd w:val="clear" w:color="000000" w:fill="FFFFFF"/>
            <w:noWrap/>
            <w:vAlign w:val="center"/>
            <w:hideMark/>
          </w:tcPr>
          <w:p w:rsidR="00FA0183" w:rsidRPr="00153819" w:rsidRDefault="00FA0183" w:rsidP="00153819">
            <w:pPr>
              <w:keepNext/>
              <w:spacing w:after="0" w:line="240" w:lineRule="auto"/>
              <w:jc w:val="center"/>
              <w:rPr>
                <w:rFonts w:eastAsia="Times New Roman"/>
                <w:sz w:val="20"/>
                <w:lang w:eastAsia="es-AR"/>
              </w:rPr>
            </w:pPr>
            <w:r w:rsidRPr="00153819">
              <w:rPr>
                <w:rFonts w:eastAsia="Times New Roman"/>
                <w:sz w:val="20"/>
                <w:lang w:eastAsia="es-AR"/>
              </w:rPr>
              <w:t>66,5</w:t>
            </w:r>
          </w:p>
        </w:tc>
        <w:tc>
          <w:tcPr>
            <w:tcW w:w="471" w:type="pct"/>
            <w:tcBorders>
              <w:top w:val="nil"/>
              <w:left w:val="nil"/>
              <w:bottom w:val="nil"/>
              <w:right w:val="nil"/>
            </w:tcBorders>
            <w:shd w:val="clear" w:color="000000" w:fill="FFFFFF"/>
            <w:noWrap/>
            <w:vAlign w:val="bottom"/>
            <w:hideMark/>
          </w:tcPr>
          <w:p w:rsidR="00FA0183" w:rsidRPr="00153819" w:rsidRDefault="00FA0183" w:rsidP="00153819">
            <w:pPr>
              <w:keepNext/>
              <w:spacing w:after="0" w:line="240" w:lineRule="auto"/>
              <w:jc w:val="center"/>
              <w:rPr>
                <w:rFonts w:eastAsia="Times New Roman"/>
                <w:sz w:val="20"/>
                <w:lang w:eastAsia="es-AR"/>
              </w:rPr>
            </w:pPr>
            <w:r w:rsidRPr="00153819">
              <w:rPr>
                <w:rFonts w:eastAsia="Times New Roman"/>
                <w:sz w:val="20"/>
                <w:lang w:eastAsia="es-AR"/>
              </w:rPr>
              <w:t>70,2</w:t>
            </w:r>
          </w:p>
        </w:tc>
        <w:tc>
          <w:tcPr>
            <w:tcW w:w="471" w:type="pct"/>
            <w:tcBorders>
              <w:top w:val="nil"/>
              <w:left w:val="nil"/>
              <w:bottom w:val="nil"/>
              <w:right w:val="nil"/>
            </w:tcBorders>
            <w:shd w:val="clear" w:color="000000" w:fill="FFFFFF"/>
            <w:noWrap/>
            <w:vAlign w:val="center"/>
            <w:hideMark/>
          </w:tcPr>
          <w:p w:rsidR="00FA0183" w:rsidRPr="00153819" w:rsidRDefault="00FA0183" w:rsidP="00153819">
            <w:pPr>
              <w:keepNext/>
              <w:spacing w:after="0" w:line="240" w:lineRule="auto"/>
              <w:jc w:val="center"/>
              <w:rPr>
                <w:rFonts w:eastAsia="Times New Roman"/>
                <w:sz w:val="20"/>
                <w:lang w:eastAsia="es-AR"/>
              </w:rPr>
            </w:pPr>
            <w:r w:rsidRPr="00153819">
              <w:rPr>
                <w:rFonts w:eastAsia="Times New Roman"/>
                <w:sz w:val="20"/>
                <w:lang w:eastAsia="es-AR"/>
              </w:rPr>
              <w:t>64,0</w:t>
            </w:r>
          </w:p>
        </w:tc>
        <w:tc>
          <w:tcPr>
            <w:tcW w:w="471" w:type="pct"/>
            <w:tcBorders>
              <w:top w:val="nil"/>
              <w:left w:val="nil"/>
              <w:bottom w:val="nil"/>
              <w:right w:val="nil"/>
            </w:tcBorders>
            <w:shd w:val="clear" w:color="000000" w:fill="FFFFFF"/>
            <w:noWrap/>
            <w:vAlign w:val="center"/>
            <w:hideMark/>
          </w:tcPr>
          <w:p w:rsidR="00FA0183" w:rsidRPr="00153819" w:rsidRDefault="00FA0183" w:rsidP="00153819">
            <w:pPr>
              <w:keepNext/>
              <w:spacing w:after="0" w:line="240" w:lineRule="auto"/>
              <w:jc w:val="center"/>
              <w:rPr>
                <w:rFonts w:eastAsia="Times New Roman"/>
                <w:sz w:val="20"/>
                <w:lang w:eastAsia="es-AR"/>
              </w:rPr>
            </w:pPr>
            <w:r w:rsidRPr="00153819">
              <w:rPr>
                <w:rFonts w:eastAsia="Times New Roman"/>
                <w:sz w:val="20"/>
                <w:lang w:eastAsia="es-AR"/>
              </w:rPr>
              <w:t>70,5</w:t>
            </w:r>
          </w:p>
        </w:tc>
        <w:tc>
          <w:tcPr>
            <w:tcW w:w="471" w:type="pct"/>
            <w:tcBorders>
              <w:top w:val="nil"/>
              <w:left w:val="nil"/>
              <w:bottom w:val="nil"/>
              <w:right w:val="nil"/>
            </w:tcBorders>
            <w:shd w:val="clear" w:color="000000" w:fill="FFFFFF"/>
            <w:noWrap/>
            <w:vAlign w:val="center"/>
            <w:hideMark/>
          </w:tcPr>
          <w:p w:rsidR="00FA0183" w:rsidRPr="00153819" w:rsidRDefault="00FA0183" w:rsidP="00153819">
            <w:pPr>
              <w:keepNext/>
              <w:spacing w:after="0" w:line="240" w:lineRule="auto"/>
              <w:jc w:val="center"/>
              <w:rPr>
                <w:rFonts w:eastAsia="Times New Roman"/>
                <w:sz w:val="20"/>
                <w:lang w:eastAsia="es-AR"/>
              </w:rPr>
            </w:pPr>
            <w:r w:rsidRPr="00153819">
              <w:rPr>
                <w:rFonts w:eastAsia="Times New Roman"/>
                <w:sz w:val="20"/>
                <w:lang w:eastAsia="es-AR"/>
              </w:rPr>
              <w:t>70,4</w:t>
            </w:r>
          </w:p>
        </w:tc>
      </w:tr>
      <w:tr w:rsidR="00CF2FBC" w:rsidRPr="00153819" w:rsidTr="001E19F3">
        <w:trPr>
          <w:trHeight w:val="240"/>
          <w:jc w:val="center"/>
        </w:trPr>
        <w:tc>
          <w:tcPr>
            <w:tcW w:w="1456" w:type="pct"/>
            <w:tcBorders>
              <w:top w:val="nil"/>
              <w:left w:val="nil"/>
              <w:bottom w:val="single" w:sz="4" w:space="0" w:color="auto"/>
              <w:right w:val="nil"/>
            </w:tcBorders>
            <w:shd w:val="clear" w:color="000000" w:fill="FFFFFF"/>
            <w:noWrap/>
            <w:vAlign w:val="center"/>
            <w:hideMark/>
          </w:tcPr>
          <w:p w:rsidR="00FA0183" w:rsidRPr="00153819" w:rsidRDefault="00FA0183" w:rsidP="00153819">
            <w:pPr>
              <w:keepNext/>
              <w:spacing w:after="0" w:line="240" w:lineRule="auto"/>
              <w:rPr>
                <w:rFonts w:eastAsia="Times New Roman"/>
                <w:sz w:val="20"/>
                <w:lang w:eastAsia="es-AR"/>
              </w:rPr>
            </w:pPr>
            <w:r w:rsidRPr="00153819">
              <w:rPr>
                <w:rFonts w:eastAsia="Times New Roman"/>
                <w:sz w:val="20"/>
                <w:lang w:eastAsia="es-AR"/>
              </w:rPr>
              <w:t>Tasa promedio del período</w:t>
            </w:r>
          </w:p>
        </w:tc>
        <w:tc>
          <w:tcPr>
            <w:tcW w:w="1660" w:type="pct"/>
            <w:gridSpan w:val="3"/>
            <w:tcBorders>
              <w:top w:val="nil"/>
              <w:left w:val="nil"/>
              <w:bottom w:val="single" w:sz="4" w:space="0" w:color="auto"/>
              <w:right w:val="nil"/>
            </w:tcBorders>
            <w:shd w:val="clear" w:color="000000" w:fill="FFFFFF"/>
            <w:noWrap/>
            <w:vAlign w:val="center"/>
            <w:hideMark/>
          </w:tcPr>
          <w:p w:rsidR="00FA0183" w:rsidRPr="00153819" w:rsidRDefault="00CF2FBC" w:rsidP="00153819">
            <w:pPr>
              <w:keepNext/>
              <w:spacing w:after="0" w:line="240" w:lineRule="auto"/>
              <w:jc w:val="center"/>
              <w:rPr>
                <w:rFonts w:eastAsia="Times New Roman"/>
                <w:sz w:val="20"/>
                <w:lang w:eastAsia="es-AR"/>
              </w:rPr>
            </w:pPr>
            <w:r w:rsidRPr="00153819">
              <w:rPr>
                <w:rFonts w:eastAsia="Times New Roman"/>
                <w:sz w:val="20"/>
                <w:lang w:eastAsia="es-AR"/>
              </w:rPr>
              <w:t xml:space="preserve">         </w:t>
            </w:r>
            <w:r w:rsidR="00FA0183" w:rsidRPr="00153819">
              <w:rPr>
                <w:rFonts w:eastAsia="Times New Roman"/>
                <w:sz w:val="20"/>
                <w:lang w:eastAsia="es-AR"/>
              </w:rPr>
              <w:t>68,2</w:t>
            </w:r>
          </w:p>
        </w:tc>
        <w:tc>
          <w:tcPr>
            <w:tcW w:w="471" w:type="pct"/>
            <w:tcBorders>
              <w:top w:val="nil"/>
              <w:left w:val="nil"/>
              <w:bottom w:val="single" w:sz="4" w:space="0" w:color="auto"/>
              <w:right w:val="nil"/>
            </w:tcBorders>
            <w:shd w:val="clear" w:color="000000" w:fill="FFFFFF"/>
            <w:noWrap/>
            <w:vAlign w:val="center"/>
            <w:hideMark/>
          </w:tcPr>
          <w:p w:rsidR="00FA0183" w:rsidRPr="00153819" w:rsidRDefault="00FA0183" w:rsidP="00153819">
            <w:pPr>
              <w:keepNext/>
              <w:spacing w:after="0" w:line="240" w:lineRule="auto"/>
              <w:jc w:val="center"/>
              <w:rPr>
                <w:rFonts w:eastAsia="Times New Roman"/>
                <w:sz w:val="20"/>
                <w:lang w:eastAsia="es-AR"/>
              </w:rPr>
            </w:pPr>
            <w:r w:rsidRPr="00153819">
              <w:rPr>
                <w:rFonts w:eastAsia="Times New Roman"/>
                <w:sz w:val="20"/>
                <w:lang w:eastAsia="es-AR"/>
              </w:rPr>
              <w:t>67,0</w:t>
            </w:r>
          </w:p>
        </w:tc>
        <w:tc>
          <w:tcPr>
            <w:tcW w:w="1413" w:type="pct"/>
            <w:gridSpan w:val="3"/>
            <w:tcBorders>
              <w:top w:val="nil"/>
              <w:left w:val="nil"/>
              <w:bottom w:val="single" w:sz="4" w:space="0" w:color="auto"/>
              <w:right w:val="nil"/>
            </w:tcBorders>
            <w:shd w:val="clear" w:color="000000" w:fill="FFFFFF"/>
            <w:noWrap/>
            <w:vAlign w:val="center"/>
            <w:hideMark/>
          </w:tcPr>
          <w:p w:rsidR="00FA0183" w:rsidRPr="00153819" w:rsidRDefault="00FA0183" w:rsidP="00153819">
            <w:pPr>
              <w:keepNext/>
              <w:spacing w:after="0" w:line="240" w:lineRule="auto"/>
              <w:jc w:val="center"/>
              <w:rPr>
                <w:rFonts w:eastAsia="Times New Roman"/>
                <w:sz w:val="20"/>
                <w:lang w:eastAsia="es-AR"/>
              </w:rPr>
            </w:pPr>
            <w:r w:rsidRPr="00153819">
              <w:rPr>
                <w:rFonts w:eastAsia="Times New Roman"/>
                <w:sz w:val="20"/>
                <w:lang w:eastAsia="es-AR"/>
              </w:rPr>
              <w:t>69,5</w:t>
            </w:r>
          </w:p>
        </w:tc>
      </w:tr>
      <w:tr w:rsidR="00CF2FBC" w:rsidRPr="00153819" w:rsidTr="001E19F3">
        <w:trPr>
          <w:trHeight w:val="240"/>
          <w:jc w:val="center"/>
        </w:trPr>
        <w:tc>
          <w:tcPr>
            <w:tcW w:w="1456" w:type="pct"/>
            <w:tcBorders>
              <w:top w:val="nil"/>
              <w:left w:val="nil"/>
              <w:right w:val="nil"/>
            </w:tcBorders>
            <w:shd w:val="clear" w:color="000000" w:fill="FFFFFF"/>
            <w:noWrap/>
            <w:vAlign w:val="center"/>
          </w:tcPr>
          <w:p w:rsidR="00223F8D" w:rsidRPr="00153819" w:rsidRDefault="00CF2FBC" w:rsidP="00153819">
            <w:pPr>
              <w:keepNext/>
              <w:spacing w:after="0" w:line="240" w:lineRule="auto"/>
              <w:rPr>
                <w:rFonts w:eastAsia="Times New Roman"/>
                <w:b/>
                <w:bCs/>
                <w:sz w:val="20"/>
                <w:lang w:eastAsia="es-AR"/>
              </w:rPr>
            </w:pPr>
            <w:r w:rsidRPr="00153819">
              <w:rPr>
                <w:rFonts w:eastAsia="Times New Roman"/>
                <w:b/>
                <w:sz w:val="20"/>
                <w:lang w:eastAsia="es-AR"/>
              </w:rPr>
              <w:t>Empleo</w:t>
            </w:r>
            <w:r w:rsidR="00223F8D" w:rsidRPr="00153819">
              <w:rPr>
                <w:rFonts w:eastAsia="Times New Roman"/>
                <w:b/>
                <w:sz w:val="20"/>
                <w:lang w:eastAsia="es-AR"/>
              </w:rPr>
              <w:t xml:space="preserve"> </w:t>
            </w:r>
            <w:r w:rsidR="001F410F" w:rsidRPr="00153819">
              <w:rPr>
                <w:rFonts w:eastAsia="Times New Roman"/>
                <w:b/>
                <w:sz w:val="20"/>
                <w:lang w:eastAsia="es-AR"/>
              </w:rPr>
              <w:t xml:space="preserve">no </w:t>
            </w:r>
            <w:proofErr w:type="spellStart"/>
            <w:r w:rsidR="00223F8D" w:rsidRPr="00153819">
              <w:rPr>
                <w:rFonts w:eastAsia="Times New Roman"/>
                <w:b/>
                <w:sz w:val="20"/>
                <w:lang w:eastAsia="es-AR"/>
              </w:rPr>
              <w:t>registrado</w:t>
            </w:r>
            <w:r w:rsidR="00223F8D" w:rsidRPr="00153819">
              <w:rPr>
                <w:rFonts w:eastAsia="Times New Roman"/>
                <w:b/>
                <w:bCs/>
                <w:sz w:val="20"/>
                <w:vertAlign w:val="superscript"/>
                <w:lang w:eastAsia="es-AR"/>
              </w:rPr>
              <w:t>f</w:t>
            </w:r>
            <w:proofErr w:type="spellEnd"/>
          </w:p>
        </w:tc>
        <w:tc>
          <w:tcPr>
            <w:tcW w:w="713" w:type="pct"/>
            <w:tcBorders>
              <w:top w:val="nil"/>
              <w:left w:val="nil"/>
              <w:right w:val="nil"/>
            </w:tcBorders>
            <w:shd w:val="clear" w:color="000000" w:fill="FFFFFF"/>
            <w:noWrap/>
            <w:vAlign w:val="center"/>
          </w:tcPr>
          <w:p w:rsidR="00223F8D" w:rsidRPr="00153819" w:rsidRDefault="000B245A" w:rsidP="00153819">
            <w:pPr>
              <w:keepNext/>
              <w:spacing w:after="0" w:line="240" w:lineRule="auto"/>
              <w:jc w:val="center"/>
              <w:rPr>
                <w:rFonts w:eastAsia="Times New Roman"/>
                <w:sz w:val="20"/>
                <w:lang w:eastAsia="es-AR"/>
              </w:rPr>
            </w:pPr>
            <w:r w:rsidRPr="00153819">
              <w:rPr>
                <w:rFonts w:eastAsia="Times New Roman"/>
                <w:sz w:val="20"/>
                <w:lang w:eastAsia="es-AR"/>
              </w:rPr>
              <w:t>18,8</w:t>
            </w:r>
          </w:p>
        </w:tc>
        <w:tc>
          <w:tcPr>
            <w:tcW w:w="474" w:type="pct"/>
            <w:tcBorders>
              <w:top w:val="nil"/>
              <w:left w:val="nil"/>
              <w:right w:val="nil"/>
            </w:tcBorders>
            <w:shd w:val="clear" w:color="000000" w:fill="FFFFFF"/>
            <w:noWrap/>
            <w:vAlign w:val="center"/>
          </w:tcPr>
          <w:p w:rsidR="00223F8D" w:rsidRPr="00153819" w:rsidRDefault="000B245A" w:rsidP="00153819">
            <w:pPr>
              <w:keepNext/>
              <w:spacing w:after="0" w:line="240" w:lineRule="auto"/>
              <w:jc w:val="center"/>
              <w:rPr>
                <w:rFonts w:eastAsia="Times New Roman"/>
                <w:sz w:val="20"/>
                <w:lang w:eastAsia="es-AR"/>
              </w:rPr>
            </w:pPr>
            <w:r w:rsidRPr="00153819">
              <w:rPr>
                <w:rFonts w:eastAsia="Times New Roman"/>
                <w:sz w:val="20"/>
                <w:lang w:eastAsia="es-AR"/>
              </w:rPr>
              <w:t>18,7</w:t>
            </w:r>
          </w:p>
        </w:tc>
        <w:tc>
          <w:tcPr>
            <w:tcW w:w="474" w:type="pct"/>
            <w:tcBorders>
              <w:top w:val="nil"/>
              <w:left w:val="nil"/>
              <w:right w:val="nil"/>
            </w:tcBorders>
            <w:shd w:val="clear" w:color="000000" w:fill="FFFFFF"/>
            <w:noWrap/>
            <w:vAlign w:val="center"/>
          </w:tcPr>
          <w:p w:rsidR="00223F8D" w:rsidRPr="00153819" w:rsidRDefault="00223F8D" w:rsidP="00153819">
            <w:pPr>
              <w:keepNext/>
              <w:spacing w:after="0" w:line="240" w:lineRule="auto"/>
              <w:jc w:val="center"/>
              <w:rPr>
                <w:rFonts w:eastAsia="Times New Roman"/>
                <w:sz w:val="20"/>
                <w:lang w:eastAsia="es-AR"/>
              </w:rPr>
            </w:pPr>
            <w:r w:rsidRPr="00153819">
              <w:rPr>
                <w:rFonts w:eastAsia="Times New Roman"/>
                <w:sz w:val="20"/>
                <w:lang w:eastAsia="es-AR"/>
              </w:rPr>
              <w:t>26,9</w:t>
            </w:r>
          </w:p>
        </w:tc>
        <w:tc>
          <w:tcPr>
            <w:tcW w:w="471" w:type="pct"/>
            <w:tcBorders>
              <w:top w:val="nil"/>
              <w:left w:val="nil"/>
              <w:right w:val="nil"/>
            </w:tcBorders>
            <w:shd w:val="clear" w:color="000000" w:fill="FFFFFF"/>
            <w:noWrap/>
            <w:vAlign w:val="center"/>
          </w:tcPr>
          <w:p w:rsidR="00223F8D" w:rsidRPr="00153819" w:rsidRDefault="00223F8D" w:rsidP="00153819">
            <w:pPr>
              <w:keepNext/>
              <w:spacing w:after="0" w:line="240" w:lineRule="auto"/>
              <w:jc w:val="center"/>
              <w:rPr>
                <w:rFonts w:eastAsia="Times New Roman"/>
                <w:sz w:val="20"/>
                <w:lang w:eastAsia="es-AR"/>
              </w:rPr>
            </w:pPr>
            <w:r w:rsidRPr="00153819">
              <w:rPr>
                <w:rFonts w:eastAsia="Times New Roman"/>
                <w:sz w:val="20"/>
                <w:lang w:eastAsia="es-AR"/>
              </w:rPr>
              <w:t>34,7</w:t>
            </w:r>
          </w:p>
        </w:tc>
        <w:tc>
          <w:tcPr>
            <w:tcW w:w="471" w:type="pct"/>
            <w:tcBorders>
              <w:top w:val="nil"/>
              <w:left w:val="nil"/>
              <w:right w:val="nil"/>
            </w:tcBorders>
            <w:shd w:val="clear" w:color="000000" w:fill="FFFFFF"/>
            <w:noWrap/>
            <w:vAlign w:val="center"/>
          </w:tcPr>
          <w:p w:rsidR="00223F8D" w:rsidRPr="00153819" w:rsidRDefault="00223F8D" w:rsidP="00153819">
            <w:pPr>
              <w:keepNext/>
              <w:spacing w:after="0" w:line="240" w:lineRule="auto"/>
              <w:jc w:val="center"/>
              <w:rPr>
                <w:rFonts w:eastAsia="Times New Roman"/>
                <w:sz w:val="20"/>
                <w:lang w:eastAsia="es-AR"/>
              </w:rPr>
            </w:pPr>
            <w:r w:rsidRPr="00153819">
              <w:rPr>
                <w:rFonts w:eastAsia="Times New Roman"/>
                <w:sz w:val="20"/>
                <w:lang w:eastAsia="es-AR"/>
              </w:rPr>
              <w:t>40,3</w:t>
            </w:r>
          </w:p>
        </w:tc>
        <w:tc>
          <w:tcPr>
            <w:tcW w:w="471" w:type="pct"/>
            <w:tcBorders>
              <w:top w:val="nil"/>
              <w:left w:val="nil"/>
              <w:right w:val="nil"/>
            </w:tcBorders>
            <w:shd w:val="clear" w:color="000000" w:fill="FFFFFF"/>
            <w:noWrap/>
            <w:vAlign w:val="center"/>
          </w:tcPr>
          <w:p w:rsidR="00223F8D" w:rsidRPr="00153819" w:rsidRDefault="00223F8D" w:rsidP="00153819">
            <w:pPr>
              <w:keepNext/>
              <w:spacing w:after="0" w:line="240" w:lineRule="auto"/>
              <w:jc w:val="center"/>
              <w:rPr>
                <w:rFonts w:eastAsia="Times New Roman"/>
                <w:sz w:val="20"/>
                <w:lang w:eastAsia="es-AR"/>
              </w:rPr>
            </w:pPr>
            <w:r w:rsidRPr="00153819">
              <w:rPr>
                <w:rFonts w:eastAsia="Times New Roman"/>
                <w:sz w:val="20"/>
                <w:lang w:eastAsia="es-AR"/>
              </w:rPr>
              <w:t>34,3</w:t>
            </w:r>
          </w:p>
        </w:tc>
        <w:tc>
          <w:tcPr>
            <w:tcW w:w="471" w:type="pct"/>
            <w:tcBorders>
              <w:top w:val="nil"/>
              <w:left w:val="nil"/>
              <w:right w:val="nil"/>
            </w:tcBorders>
            <w:shd w:val="clear" w:color="000000" w:fill="FFFFFF"/>
            <w:noWrap/>
            <w:vAlign w:val="center"/>
          </w:tcPr>
          <w:p w:rsidR="00223F8D" w:rsidRPr="00153819" w:rsidRDefault="00223F8D" w:rsidP="00153819">
            <w:pPr>
              <w:keepNext/>
              <w:spacing w:after="0" w:line="240" w:lineRule="auto"/>
              <w:jc w:val="center"/>
              <w:rPr>
                <w:rFonts w:eastAsia="Times New Roman"/>
                <w:sz w:val="20"/>
                <w:lang w:eastAsia="es-AR"/>
              </w:rPr>
            </w:pPr>
            <w:r w:rsidRPr="00153819">
              <w:rPr>
                <w:rFonts w:eastAsia="Times New Roman"/>
                <w:sz w:val="20"/>
                <w:lang w:eastAsia="es-AR"/>
              </w:rPr>
              <w:t>29,6</w:t>
            </w:r>
          </w:p>
        </w:tc>
      </w:tr>
      <w:tr w:rsidR="001E19F3" w:rsidRPr="00153819" w:rsidTr="001E19F3">
        <w:trPr>
          <w:trHeight w:val="240"/>
          <w:jc w:val="center"/>
        </w:trPr>
        <w:tc>
          <w:tcPr>
            <w:tcW w:w="1456" w:type="pct"/>
            <w:tcBorders>
              <w:top w:val="nil"/>
              <w:left w:val="nil"/>
              <w:bottom w:val="single" w:sz="4" w:space="0" w:color="auto"/>
              <w:right w:val="nil"/>
            </w:tcBorders>
            <w:shd w:val="clear" w:color="000000" w:fill="FFFFFF"/>
            <w:noWrap/>
            <w:vAlign w:val="center"/>
          </w:tcPr>
          <w:p w:rsidR="001E19F3" w:rsidRPr="00153819" w:rsidRDefault="001E19F3" w:rsidP="00153819">
            <w:pPr>
              <w:keepNext/>
              <w:spacing w:after="0" w:line="240" w:lineRule="auto"/>
              <w:rPr>
                <w:rFonts w:eastAsia="Times New Roman"/>
                <w:b/>
                <w:sz w:val="20"/>
                <w:lang w:eastAsia="es-AR"/>
              </w:rPr>
            </w:pPr>
            <w:r w:rsidRPr="00153819">
              <w:rPr>
                <w:rFonts w:eastAsia="Times New Roman"/>
                <w:sz w:val="20"/>
                <w:lang w:eastAsia="es-AR"/>
              </w:rPr>
              <w:t>Tasa promedio del período</w:t>
            </w:r>
          </w:p>
        </w:tc>
        <w:tc>
          <w:tcPr>
            <w:tcW w:w="713" w:type="pct"/>
            <w:tcBorders>
              <w:top w:val="nil"/>
              <w:left w:val="nil"/>
              <w:bottom w:val="single" w:sz="4" w:space="0" w:color="auto"/>
              <w:right w:val="nil"/>
            </w:tcBorders>
            <w:shd w:val="clear" w:color="000000" w:fill="FFFFFF"/>
            <w:noWrap/>
            <w:vAlign w:val="center"/>
          </w:tcPr>
          <w:p w:rsidR="001E19F3" w:rsidRPr="00153819" w:rsidRDefault="001E19F3" w:rsidP="00153819">
            <w:pPr>
              <w:keepNext/>
              <w:spacing w:after="0" w:line="240" w:lineRule="auto"/>
              <w:jc w:val="center"/>
              <w:rPr>
                <w:rFonts w:eastAsia="Times New Roman"/>
                <w:sz w:val="20"/>
                <w:lang w:eastAsia="es-AR"/>
              </w:rPr>
            </w:pPr>
          </w:p>
        </w:tc>
        <w:tc>
          <w:tcPr>
            <w:tcW w:w="474" w:type="pct"/>
            <w:tcBorders>
              <w:top w:val="nil"/>
              <w:left w:val="nil"/>
              <w:bottom w:val="single" w:sz="4" w:space="0" w:color="auto"/>
              <w:right w:val="nil"/>
            </w:tcBorders>
            <w:shd w:val="clear" w:color="000000" w:fill="FFFFFF"/>
            <w:noWrap/>
            <w:vAlign w:val="center"/>
          </w:tcPr>
          <w:p w:rsidR="001E19F3" w:rsidRPr="00153819" w:rsidRDefault="001E19F3" w:rsidP="00153819">
            <w:pPr>
              <w:keepNext/>
              <w:spacing w:after="0" w:line="240" w:lineRule="auto"/>
              <w:jc w:val="center"/>
              <w:rPr>
                <w:rFonts w:eastAsia="Times New Roman"/>
                <w:sz w:val="20"/>
                <w:lang w:eastAsia="es-AR"/>
              </w:rPr>
            </w:pPr>
            <w:r w:rsidRPr="00153819">
              <w:rPr>
                <w:rFonts w:eastAsia="Times New Roman"/>
                <w:sz w:val="20"/>
                <w:lang w:eastAsia="es-AR"/>
              </w:rPr>
              <w:t>21,9</w:t>
            </w:r>
          </w:p>
        </w:tc>
        <w:tc>
          <w:tcPr>
            <w:tcW w:w="474" w:type="pct"/>
            <w:tcBorders>
              <w:top w:val="nil"/>
              <w:left w:val="nil"/>
              <w:bottom w:val="single" w:sz="4" w:space="0" w:color="auto"/>
              <w:right w:val="nil"/>
            </w:tcBorders>
            <w:shd w:val="clear" w:color="000000" w:fill="FFFFFF"/>
            <w:noWrap/>
            <w:vAlign w:val="center"/>
          </w:tcPr>
          <w:p w:rsidR="001E19F3" w:rsidRPr="00153819" w:rsidRDefault="001E19F3" w:rsidP="00153819">
            <w:pPr>
              <w:keepNext/>
              <w:spacing w:after="0" w:line="240" w:lineRule="auto"/>
              <w:jc w:val="center"/>
              <w:rPr>
                <w:rFonts w:eastAsia="Times New Roman"/>
                <w:sz w:val="20"/>
                <w:lang w:eastAsia="es-AR"/>
              </w:rPr>
            </w:pPr>
          </w:p>
        </w:tc>
        <w:tc>
          <w:tcPr>
            <w:tcW w:w="471" w:type="pct"/>
            <w:tcBorders>
              <w:top w:val="nil"/>
              <w:left w:val="nil"/>
              <w:bottom w:val="single" w:sz="4" w:space="0" w:color="auto"/>
              <w:right w:val="nil"/>
            </w:tcBorders>
            <w:shd w:val="clear" w:color="000000" w:fill="FFFFFF"/>
            <w:noWrap/>
            <w:vAlign w:val="center"/>
          </w:tcPr>
          <w:p w:rsidR="001E19F3" w:rsidRPr="00153819" w:rsidRDefault="001E19F3" w:rsidP="00153819">
            <w:pPr>
              <w:keepNext/>
              <w:spacing w:after="0" w:line="240" w:lineRule="auto"/>
              <w:jc w:val="center"/>
              <w:rPr>
                <w:rFonts w:eastAsia="Times New Roman"/>
                <w:sz w:val="20"/>
                <w:lang w:eastAsia="es-AR"/>
              </w:rPr>
            </w:pPr>
            <w:r w:rsidRPr="00153819">
              <w:rPr>
                <w:rFonts w:eastAsia="Times New Roman"/>
                <w:sz w:val="20"/>
                <w:lang w:eastAsia="es-AR"/>
              </w:rPr>
              <w:t>32,9</w:t>
            </w:r>
          </w:p>
        </w:tc>
        <w:tc>
          <w:tcPr>
            <w:tcW w:w="471" w:type="pct"/>
            <w:tcBorders>
              <w:top w:val="nil"/>
              <w:left w:val="nil"/>
              <w:bottom w:val="single" w:sz="4" w:space="0" w:color="auto"/>
              <w:right w:val="nil"/>
            </w:tcBorders>
            <w:shd w:val="clear" w:color="000000" w:fill="FFFFFF"/>
            <w:noWrap/>
            <w:vAlign w:val="center"/>
          </w:tcPr>
          <w:p w:rsidR="001E19F3" w:rsidRPr="00153819" w:rsidRDefault="001E19F3" w:rsidP="00153819">
            <w:pPr>
              <w:keepNext/>
              <w:spacing w:after="0" w:line="240" w:lineRule="auto"/>
              <w:jc w:val="center"/>
              <w:rPr>
                <w:rFonts w:eastAsia="Times New Roman"/>
                <w:sz w:val="20"/>
                <w:lang w:eastAsia="es-AR"/>
              </w:rPr>
            </w:pPr>
          </w:p>
        </w:tc>
        <w:tc>
          <w:tcPr>
            <w:tcW w:w="471" w:type="pct"/>
            <w:tcBorders>
              <w:top w:val="nil"/>
              <w:left w:val="nil"/>
              <w:bottom w:val="single" w:sz="4" w:space="0" w:color="auto"/>
              <w:right w:val="nil"/>
            </w:tcBorders>
            <w:shd w:val="clear" w:color="000000" w:fill="FFFFFF"/>
            <w:noWrap/>
            <w:vAlign w:val="center"/>
          </w:tcPr>
          <w:p w:rsidR="001E19F3" w:rsidRPr="00153819" w:rsidRDefault="001E19F3" w:rsidP="00153819">
            <w:pPr>
              <w:keepNext/>
              <w:spacing w:after="0" w:line="240" w:lineRule="auto"/>
              <w:jc w:val="center"/>
              <w:rPr>
                <w:rFonts w:eastAsia="Times New Roman"/>
                <w:sz w:val="20"/>
                <w:lang w:eastAsia="es-AR"/>
              </w:rPr>
            </w:pPr>
            <w:r w:rsidRPr="00153819">
              <w:rPr>
                <w:rFonts w:eastAsia="Times New Roman"/>
                <w:sz w:val="20"/>
                <w:lang w:eastAsia="es-AR"/>
              </w:rPr>
              <w:t>34,7</w:t>
            </w:r>
          </w:p>
        </w:tc>
        <w:tc>
          <w:tcPr>
            <w:tcW w:w="471" w:type="pct"/>
            <w:tcBorders>
              <w:top w:val="nil"/>
              <w:left w:val="nil"/>
              <w:bottom w:val="single" w:sz="4" w:space="0" w:color="auto"/>
              <w:right w:val="nil"/>
            </w:tcBorders>
            <w:shd w:val="clear" w:color="000000" w:fill="FFFFFF"/>
            <w:noWrap/>
            <w:vAlign w:val="center"/>
          </w:tcPr>
          <w:p w:rsidR="001E19F3" w:rsidRPr="00153819" w:rsidRDefault="001E19F3" w:rsidP="00153819">
            <w:pPr>
              <w:keepNext/>
              <w:spacing w:after="0" w:line="240" w:lineRule="auto"/>
              <w:jc w:val="center"/>
              <w:rPr>
                <w:rFonts w:eastAsia="Times New Roman"/>
                <w:sz w:val="20"/>
                <w:lang w:eastAsia="es-AR"/>
              </w:rPr>
            </w:pPr>
          </w:p>
        </w:tc>
      </w:tr>
      <w:tr w:rsidR="00CF2FBC" w:rsidRPr="00153819" w:rsidTr="001E19F3">
        <w:trPr>
          <w:trHeight w:val="240"/>
          <w:jc w:val="center"/>
        </w:trPr>
        <w:tc>
          <w:tcPr>
            <w:tcW w:w="1456" w:type="pct"/>
            <w:tcBorders>
              <w:top w:val="single" w:sz="4" w:space="0" w:color="auto"/>
              <w:left w:val="nil"/>
              <w:bottom w:val="nil"/>
              <w:right w:val="nil"/>
            </w:tcBorders>
            <w:shd w:val="clear" w:color="000000" w:fill="FFFFFF"/>
            <w:noWrap/>
            <w:vAlign w:val="center"/>
            <w:hideMark/>
          </w:tcPr>
          <w:p w:rsidR="00A77B8C" w:rsidRPr="00153819" w:rsidRDefault="0002459D" w:rsidP="00153819">
            <w:pPr>
              <w:keepNext/>
              <w:spacing w:after="0" w:line="240" w:lineRule="auto"/>
              <w:rPr>
                <w:rFonts w:eastAsia="Times New Roman"/>
                <w:b/>
                <w:bCs/>
                <w:sz w:val="20"/>
                <w:lang w:eastAsia="es-AR"/>
              </w:rPr>
            </w:pPr>
            <w:r w:rsidRPr="00153819">
              <w:rPr>
                <w:rFonts w:eastAsia="Times New Roman"/>
                <w:b/>
                <w:bCs/>
                <w:sz w:val="20"/>
                <w:lang w:eastAsia="es-AR"/>
              </w:rPr>
              <w:t>O</w:t>
            </w:r>
            <w:r w:rsidR="00A77B8C" w:rsidRPr="00153819">
              <w:rPr>
                <w:rFonts w:eastAsia="Times New Roman"/>
                <w:b/>
                <w:bCs/>
                <w:sz w:val="20"/>
                <w:lang w:eastAsia="es-AR"/>
              </w:rPr>
              <w:t xml:space="preserve">cupación </w:t>
            </w:r>
            <w:proofErr w:type="spellStart"/>
            <w:r w:rsidR="00684B16" w:rsidRPr="00153819">
              <w:rPr>
                <w:rFonts w:eastAsia="Times New Roman"/>
                <w:b/>
                <w:bCs/>
                <w:sz w:val="20"/>
                <w:lang w:eastAsia="es-AR"/>
              </w:rPr>
              <w:t>i</w:t>
            </w:r>
            <w:r w:rsidR="00A77B8C" w:rsidRPr="00153819">
              <w:rPr>
                <w:rFonts w:eastAsia="Times New Roman"/>
                <w:b/>
                <w:bCs/>
                <w:sz w:val="20"/>
                <w:lang w:eastAsia="es-AR"/>
              </w:rPr>
              <w:t>nformal</w:t>
            </w:r>
            <w:r w:rsidR="00223F8D" w:rsidRPr="00153819">
              <w:rPr>
                <w:rFonts w:eastAsia="Times New Roman"/>
                <w:b/>
                <w:bCs/>
                <w:sz w:val="20"/>
                <w:vertAlign w:val="superscript"/>
                <w:lang w:eastAsia="es-AR"/>
              </w:rPr>
              <w:t>g</w:t>
            </w:r>
            <w:proofErr w:type="spellEnd"/>
          </w:p>
        </w:tc>
        <w:tc>
          <w:tcPr>
            <w:tcW w:w="713" w:type="pct"/>
            <w:tcBorders>
              <w:top w:val="single" w:sz="4" w:space="0" w:color="auto"/>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37,6</w:t>
            </w:r>
          </w:p>
        </w:tc>
        <w:tc>
          <w:tcPr>
            <w:tcW w:w="474" w:type="pct"/>
            <w:tcBorders>
              <w:top w:val="single" w:sz="4" w:space="0" w:color="auto"/>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40,9</w:t>
            </w:r>
          </w:p>
        </w:tc>
        <w:tc>
          <w:tcPr>
            <w:tcW w:w="474" w:type="pct"/>
            <w:tcBorders>
              <w:top w:val="single" w:sz="4" w:space="0" w:color="auto"/>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43,5</w:t>
            </w:r>
          </w:p>
        </w:tc>
        <w:tc>
          <w:tcPr>
            <w:tcW w:w="471" w:type="pct"/>
            <w:tcBorders>
              <w:top w:val="single" w:sz="4" w:space="0" w:color="auto"/>
              <w:left w:val="nil"/>
              <w:bottom w:val="nil"/>
              <w:right w:val="nil"/>
            </w:tcBorders>
            <w:shd w:val="clear" w:color="000000" w:fill="FFFFFF"/>
            <w:noWrap/>
            <w:vAlign w:val="bottom"/>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42,4</w:t>
            </w:r>
          </w:p>
        </w:tc>
        <w:tc>
          <w:tcPr>
            <w:tcW w:w="471" w:type="pct"/>
            <w:tcBorders>
              <w:top w:val="single" w:sz="4" w:space="0" w:color="auto"/>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46,7</w:t>
            </w:r>
          </w:p>
        </w:tc>
        <w:tc>
          <w:tcPr>
            <w:tcW w:w="471" w:type="pct"/>
            <w:tcBorders>
              <w:top w:val="single" w:sz="4" w:space="0" w:color="auto"/>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45,0</w:t>
            </w:r>
          </w:p>
        </w:tc>
        <w:tc>
          <w:tcPr>
            <w:tcW w:w="471" w:type="pct"/>
            <w:tcBorders>
              <w:top w:val="single" w:sz="4" w:space="0" w:color="auto"/>
              <w:left w:val="nil"/>
              <w:bottom w:val="nil"/>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41,8</w:t>
            </w:r>
          </w:p>
        </w:tc>
      </w:tr>
      <w:tr w:rsidR="00CF2FBC" w:rsidRPr="00153819" w:rsidTr="001E19F3">
        <w:trPr>
          <w:trHeight w:val="240"/>
          <w:jc w:val="center"/>
        </w:trPr>
        <w:tc>
          <w:tcPr>
            <w:tcW w:w="1456" w:type="pct"/>
            <w:tcBorders>
              <w:top w:val="nil"/>
              <w:left w:val="nil"/>
              <w:bottom w:val="single" w:sz="4" w:space="0" w:color="auto"/>
              <w:right w:val="nil"/>
            </w:tcBorders>
            <w:shd w:val="clear" w:color="000000" w:fill="FFFFFF"/>
            <w:noWrap/>
            <w:vAlign w:val="center"/>
            <w:hideMark/>
          </w:tcPr>
          <w:p w:rsidR="00A77B8C" w:rsidRPr="00153819" w:rsidRDefault="0002459D" w:rsidP="00153819">
            <w:pPr>
              <w:keepNext/>
              <w:spacing w:after="0" w:line="240" w:lineRule="auto"/>
              <w:rPr>
                <w:rFonts w:eastAsia="Times New Roman"/>
                <w:sz w:val="20"/>
                <w:lang w:eastAsia="es-AR"/>
              </w:rPr>
            </w:pPr>
            <w:r w:rsidRPr="00153819">
              <w:rPr>
                <w:rFonts w:eastAsia="Times New Roman"/>
                <w:sz w:val="20"/>
                <w:lang w:eastAsia="es-AR"/>
              </w:rPr>
              <w:t>Tasa p</w:t>
            </w:r>
            <w:r w:rsidR="00684B16" w:rsidRPr="00153819">
              <w:rPr>
                <w:rFonts w:eastAsia="Times New Roman"/>
                <w:sz w:val="20"/>
                <w:lang w:eastAsia="es-AR"/>
              </w:rPr>
              <w:t>romedio del período</w:t>
            </w:r>
          </w:p>
        </w:tc>
        <w:tc>
          <w:tcPr>
            <w:tcW w:w="1660" w:type="pct"/>
            <w:gridSpan w:val="3"/>
            <w:tcBorders>
              <w:top w:val="nil"/>
              <w:left w:val="nil"/>
              <w:bottom w:val="single" w:sz="4" w:space="0" w:color="auto"/>
              <w:right w:val="nil"/>
            </w:tcBorders>
            <w:shd w:val="clear" w:color="000000" w:fill="FFFFFF"/>
            <w:noWrap/>
            <w:vAlign w:val="center"/>
            <w:hideMark/>
          </w:tcPr>
          <w:p w:rsidR="00A77B8C" w:rsidRPr="00153819" w:rsidRDefault="00CF2FBC" w:rsidP="00153819">
            <w:pPr>
              <w:keepNext/>
              <w:spacing w:after="0" w:line="240" w:lineRule="auto"/>
              <w:jc w:val="center"/>
              <w:rPr>
                <w:rFonts w:eastAsia="Times New Roman"/>
                <w:sz w:val="20"/>
                <w:lang w:eastAsia="es-AR"/>
              </w:rPr>
            </w:pPr>
            <w:r w:rsidRPr="00153819">
              <w:rPr>
                <w:rFonts w:eastAsia="Times New Roman"/>
                <w:sz w:val="20"/>
                <w:lang w:eastAsia="es-AR"/>
              </w:rPr>
              <w:t xml:space="preserve">        </w:t>
            </w:r>
            <w:r w:rsidR="00A77B8C" w:rsidRPr="00153819">
              <w:rPr>
                <w:rFonts w:eastAsia="Times New Roman"/>
                <w:sz w:val="20"/>
                <w:lang w:eastAsia="es-AR"/>
              </w:rPr>
              <w:t>41,0</w:t>
            </w:r>
          </w:p>
        </w:tc>
        <w:tc>
          <w:tcPr>
            <w:tcW w:w="471" w:type="pct"/>
            <w:tcBorders>
              <w:top w:val="nil"/>
              <w:left w:val="nil"/>
              <w:bottom w:val="single" w:sz="4" w:space="0" w:color="auto"/>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44,3</w:t>
            </w:r>
          </w:p>
        </w:tc>
        <w:tc>
          <w:tcPr>
            <w:tcW w:w="1413" w:type="pct"/>
            <w:gridSpan w:val="3"/>
            <w:tcBorders>
              <w:top w:val="nil"/>
              <w:left w:val="nil"/>
              <w:bottom w:val="single" w:sz="4" w:space="0" w:color="auto"/>
              <w:right w:val="nil"/>
            </w:tcBorders>
            <w:shd w:val="clear" w:color="000000" w:fill="FFFFFF"/>
            <w:noWrap/>
            <w:vAlign w:val="center"/>
            <w:hideMark/>
          </w:tcPr>
          <w:p w:rsidR="00A77B8C" w:rsidRPr="00153819" w:rsidRDefault="00A77B8C" w:rsidP="00153819">
            <w:pPr>
              <w:keepNext/>
              <w:spacing w:after="0" w:line="240" w:lineRule="auto"/>
              <w:jc w:val="center"/>
              <w:rPr>
                <w:rFonts w:eastAsia="Times New Roman"/>
                <w:sz w:val="20"/>
                <w:lang w:eastAsia="es-AR"/>
              </w:rPr>
            </w:pPr>
            <w:r w:rsidRPr="00153819">
              <w:rPr>
                <w:rFonts w:eastAsia="Times New Roman"/>
                <w:sz w:val="20"/>
                <w:lang w:eastAsia="es-AR"/>
              </w:rPr>
              <w:t>43,2</w:t>
            </w:r>
          </w:p>
        </w:tc>
      </w:tr>
    </w:tbl>
    <w:p w:rsidR="003973F4" w:rsidRPr="00153819" w:rsidRDefault="003973F4" w:rsidP="00153819">
      <w:pPr>
        <w:keepNext/>
        <w:spacing w:before="120" w:after="120" w:line="240" w:lineRule="auto"/>
        <w:jc w:val="both"/>
        <w:rPr>
          <w:sz w:val="18"/>
          <w:szCs w:val="18"/>
        </w:rPr>
      </w:pPr>
      <w:r w:rsidRPr="00153819">
        <w:rPr>
          <w:sz w:val="18"/>
          <w:szCs w:val="18"/>
        </w:rPr>
        <w:t>Notas: (*) Para la construcción de los períodos se utilizó información anual de los años 1974-1988, 1988-2003 y 2003-2014.</w:t>
      </w:r>
      <w:r w:rsidRPr="00153819">
        <w:rPr>
          <w:sz w:val="18"/>
          <w:szCs w:val="18"/>
        </w:rPr>
        <w:tab/>
      </w:r>
    </w:p>
    <w:p w:rsidR="003973F4" w:rsidRPr="00153819" w:rsidRDefault="003973F4" w:rsidP="00153819">
      <w:pPr>
        <w:keepNext/>
        <w:spacing w:after="0" w:line="240" w:lineRule="auto"/>
        <w:jc w:val="both"/>
        <w:rPr>
          <w:sz w:val="18"/>
          <w:szCs w:val="18"/>
        </w:rPr>
      </w:pPr>
      <w:r w:rsidRPr="00153819">
        <w:rPr>
          <w:sz w:val="18"/>
          <w:szCs w:val="18"/>
        </w:rPr>
        <w:t>Fuentes:</w:t>
      </w:r>
    </w:p>
    <w:p w:rsidR="003973F4" w:rsidRPr="00153819" w:rsidRDefault="003973F4" w:rsidP="00153819">
      <w:pPr>
        <w:keepNext/>
        <w:spacing w:after="0" w:line="240" w:lineRule="auto"/>
        <w:jc w:val="both"/>
        <w:rPr>
          <w:sz w:val="18"/>
          <w:szCs w:val="18"/>
        </w:rPr>
      </w:pPr>
      <w:r w:rsidRPr="00153819">
        <w:rPr>
          <w:sz w:val="18"/>
          <w:szCs w:val="18"/>
        </w:rPr>
        <w:t xml:space="preserve">(a) </w:t>
      </w:r>
      <w:r w:rsidR="00FA0183" w:rsidRPr="00153819">
        <w:rPr>
          <w:sz w:val="18"/>
          <w:szCs w:val="18"/>
        </w:rPr>
        <w:t xml:space="preserve">Población económicamente activa sobre el total de la población. </w:t>
      </w:r>
      <w:r w:rsidRPr="00153819">
        <w:rPr>
          <w:sz w:val="18"/>
          <w:szCs w:val="18"/>
        </w:rPr>
        <w:t xml:space="preserve">Fuente: </w:t>
      </w:r>
      <w:r w:rsidR="00153819">
        <w:rPr>
          <w:sz w:val="18"/>
          <w:szCs w:val="18"/>
        </w:rPr>
        <w:t>elaboración propia a partir de</w:t>
      </w:r>
      <w:r w:rsidRPr="00153819">
        <w:rPr>
          <w:sz w:val="18"/>
          <w:szCs w:val="18"/>
        </w:rPr>
        <w:t xml:space="preserve"> INDEC, Encuesta Permanente de Hogares, ondas disponibles, de los aglomerados urbanos relevados en cada período.</w:t>
      </w:r>
    </w:p>
    <w:p w:rsidR="00FA0183" w:rsidRPr="00153819" w:rsidRDefault="003973F4" w:rsidP="00153819">
      <w:pPr>
        <w:keepNext/>
        <w:spacing w:after="0" w:line="240" w:lineRule="auto"/>
        <w:jc w:val="both"/>
        <w:rPr>
          <w:sz w:val="18"/>
          <w:szCs w:val="18"/>
        </w:rPr>
      </w:pPr>
      <w:r w:rsidRPr="00153819">
        <w:rPr>
          <w:sz w:val="18"/>
          <w:szCs w:val="18"/>
        </w:rPr>
        <w:t xml:space="preserve">(b) </w:t>
      </w:r>
      <w:r w:rsidR="0029456D" w:rsidRPr="00153819">
        <w:rPr>
          <w:sz w:val="18"/>
          <w:szCs w:val="18"/>
        </w:rPr>
        <w:t>Población ocupada s</w:t>
      </w:r>
      <w:r w:rsidR="00FA0183" w:rsidRPr="00153819">
        <w:rPr>
          <w:sz w:val="18"/>
          <w:szCs w:val="18"/>
        </w:rPr>
        <w:t>obre el total de la poblaci</w:t>
      </w:r>
      <w:r w:rsidR="00620EA8" w:rsidRPr="00153819">
        <w:rPr>
          <w:sz w:val="18"/>
          <w:szCs w:val="18"/>
        </w:rPr>
        <w:t>ón</w:t>
      </w:r>
      <w:r w:rsidR="00FA0183" w:rsidRPr="00153819">
        <w:rPr>
          <w:sz w:val="18"/>
          <w:szCs w:val="18"/>
        </w:rPr>
        <w:t xml:space="preserve">. Fuente: </w:t>
      </w:r>
      <w:r w:rsidR="00153819">
        <w:rPr>
          <w:sz w:val="18"/>
          <w:szCs w:val="18"/>
        </w:rPr>
        <w:t>elaboración propia a partir de</w:t>
      </w:r>
      <w:r w:rsidR="00FA0183" w:rsidRPr="00153819">
        <w:rPr>
          <w:sz w:val="18"/>
          <w:szCs w:val="18"/>
        </w:rPr>
        <w:t xml:space="preserve"> INDEC, Encuesta Permanente de Hogares, ondas disponibles, de los aglomerados urbanos relevados en cada período</w:t>
      </w:r>
    </w:p>
    <w:p w:rsidR="00620EA8" w:rsidRPr="00153819" w:rsidRDefault="00620EA8" w:rsidP="00153819">
      <w:pPr>
        <w:keepNext/>
        <w:spacing w:after="0" w:line="240" w:lineRule="auto"/>
        <w:jc w:val="both"/>
        <w:rPr>
          <w:sz w:val="18"/>
          <w:szCs w:val="18"/>
        </w:rPr>
      </w:pPr>
      <w:r w:rsidRPr="00153819">
        <w:rPr>
          <w:sz w:val="18"/>
          <w:szCs w:val="18"/>
        </w:rPr>
        <w:t>(</w:t>
      </w:r>
      <w:r w:rsidR="00EF6F43" w:rsidRPr="00153819">
        <w:rPr>
          <w:sz w:val="18"/>
          <w:szCs w:val="18"/>
        </w:rPr>
        <w:t>c</w:t>
      </w:r>
      <w:r w:rsidRPr="00153819">
        <w:rPr>
          <w:sz w:val="18"/>
          <w:szCs w:val="18"/>
        </w:rPr>
        <w:t xml:space="preserve">) Población </w:t>
      </w:r>
      <w:r w:rsidR="00EF6F43" w:rsidRPr="00153819">
        <w:rPr>
          <w:sz w:val="18"/>
          <w:szCs w:val="18"/>
        </w:rPr>
        <w:t>desocupada</w:t>
      </w:r>
      <w:r w:rsidRPr="00153819">
        <w:rPr>
          <w:sz w:val="18"/>
          <w:szCs w:val="18"/>
        </w:rPr>
        <w:t xml:space="preserve"> sobre el total de la población</w:t>
      </w:r>
      <w:r w:rsidR="00EF6F43" w:rsidRPr="00153819">
        <w:rPr>
          <w:sz w:val="18"/>
          <w:szCs w:val="18"/>
        </w:rPr>
        <w:t xml:space="preserve"> económicamente activa</w:t>
      </w:r>
      <w:r w:rsidRPr="00153819">
        <w:rPr>
          <w:sz w:val="18"/>
          <w:szCs w:val="18"/>
        </w:rPr>
        <w:t xml:space="preserve">. Fuente: </w:t>
      </w:r>
      <w:r w:rsidR="00153819">
        <w:rPr>
          <w:sz w:val="18"/>
          <w:szCs w:val="18"/>
        </w:rPr>
        <w:t>elaboración propia a partir de</w:t>
      </w:r>
      <w:r w:rsidRPr="00153819">
        <w:rPr>
          <w:sz w:val="18"/>
          <w:szCs w:val="18"/>
        </w:rPr>
        <w:t xml:space="preserve"> INDEC, Encuesta Permanente de Hogares, ondas disponibles, de los aglomerados urbanos relevados en cada período</w:t>
      </w:r>
    </w:p>
    <w:p w:rsidR="00FA0183" w:rsidRPr="00153819" w:rsidRDefault="00FA0183" w:rsidP="00153819">
      <w:pPr>
        <w:keepNext/>
        <w:spacing w:after="0" w:line="240" w:lineRule="auto"/>
        <w:jc w:val="both"/>
        <w:rPr>
          <w:sz w:val="18"/>
          <w:szCs w:val="18"/>
        </w:rPr>
      </w:pPr>
      <w:r w:rsidRPr="00153819">
        <w:rPr>
          <w:sz w:val="18"/>
          <w:szCs w:val="18"/>
        </w:rPr>
        <w:t>(</w:t>
      </w:r>
      <w:r w:rsidR="00EF6F43" w:rsidRPr="00153819">
        <w:rPr>
          <w:sz w:val="18"/>
          <w:szCs w:val="18"/>
        </w:rPr>
        <w:t>d</w:t>
      </w:r>
      <w:r w:rsidRPr="00153819">
        <w:rPr>
          <w:sz w:val="18"/>
          <w:szCs w:val="18"/>
        </w:rPr>
        <w:t xml:space="preserve">) Subocupación horaria demandante y no demandante de empleo sobre el total de la población ocupada. Fuente: </w:t>
      </w:r>
      <w:r w:rsidR="00153819">
        <w:rPr>
          <w:sz w:val="18"/>
          <w:szCs w:val="18"/>
        </w:rPr>
        <w:t>elaboración propia a partir de</w:t>
      </w:r>
      <w:r w:rsidRPr="00153819">
        <w:rPr>
          <w:sz w:val="18"/>
          <w:szCs w:val="18"/>
        </w:rPr>
        <w:t xml:space="preserve"> INDEC, Encuesta Permanente de Hogares, ondas disponibles, de los aglomerados relevados en cada período. </w:t>
      </w:r>
    </w:p>
    <w:p w:rsidR="003973F4" w:rsidRPr="00153819" w:rsidRDefault="00FA0183" w:rsidP="00153819">
      <w:pPr>
        <w:keepNext/>
        <w:spacing w:after="0" w:line="240" w:lineRule="auto"/>
        <w:jc w:val="both"/>
        <w:rPr>
          <w:sz w:val="18"/>
          <w:szCs w:val="18"/>
        </w:rPr>
      </w:pPr>
      <w:r w:rsidRPr="00153819">
        <w:rPr>
          <w:sz w:val="18"/>
          <w:szCs w:val="18"/>
        </w:rPr>
        <w:t>(</w:t>
      </w:r>
      <w:r w:rsidR="00EF6F43" w:rsidRPr="00153819">
        <w:rPr>
          <w:sz w:val="18"/>
          <w:szCs w:val="18"/>
        </w:rPr>
        <w:t>e</w:t>
      </w:r>
      <w:r w:rsidRPr="00153819">
        <w:rPr>
          <w:sz w:val="18"/>
          <w:szCs w:val="18"/>
        </w:rPr>
        <w:t xml:space="preserve">) </w:t>
      </w:r>
      <w:r w:rsidR="0029456D" w:rsidRPr="00153819">
        <w:rPr>
          <w:sz w:val="18"/>
          <w:szCs w:val="18"/>
        </w:rPr>
        <w:t xml:space="preserve">Asalariados sobre la población ocupada. </w:t>
      </w:r>
      <w:r w:rsidR="003973F4" w:rsidRPr="00153819">
        <w:rPr>
          <w:sz w:val="18"/>
          <w:szCs w:val="18"/>
        </w:rPr>
        <w:t xml:space="preserve">Fuente: </w:t>
      </w:r>
      <w:r w:rsidR="00153819">
        <w:rPr>
          <w:sz w:val="18"/>
          <w:szCs w:val="18"/>
        </w:rPr>
        <w:t>elaboración propia a partir de</w:t>
      </w:r>
      <w:r w:rsidR="003973F4" w:rsidRPr="00153819">
        <w:rPr>
          <w:sz w:val="18"/>
          <w:szCs w:val="18"/>
        </w:rPr>
        <w:t xml:space="preserve"> microdatos de la Encuesta Permanente de Hogares, correspondiente a la onda octubre ("Puntual") y IV Trimestre ("Continua"), Gran Buenos Aires.</w:t>
      </w:r>
      <w:r w:rsidR="003973F4" w:rsidRPr="00153819">
        <w:rPr>
          <w:sz w:val="18"/>
          <w:szCs w:val="18"/>
        </w:rPr>
        <w:tab/>
      </w:r>
    </w:p>
    <w:p w:rsidR="00223F8D" w:rsidRPr="00153819" w:rsidRDefault="00223F8D" w:rsidP="00153819">
      <w:pPr>
        <w:keepNext/>
        <w:spacing w:after="0" w:line="240" w:lineRule="auto"/>
        <w:jc w:val="both"/>
        <w:rPr>
          <w:sz w:val="18"/>
          <w:szCs w:val="18"/>
        </w:rPr>
      </w:pPr>
      <w:r w:rsidRPr="00153819">
        <w:rPr>
          <w:sz w:val="18"/>
          <w:szCs w:val="18"/>
        </w:rPr>
        <w:t xml:space="preserve">(f) Asalariados sin aportes a la seguridad social sobre el total de asalariados. Fuente: </w:t>
      </w:r>
      <w:r w:rsidR="000B245A" w:rsidRPr="00153819">
        <w:rPr>
          <w:sz w:val="18"/>
          <w:szCs w:val="18"/>
        </w:rPr>
        <w:t xml:space="preserve">años 1974 y 1980, </w:t>
      </w:r>
      <w:proofErr w:type="spellStart"/>
      <w:r w:rsidR="000B245A" w:rsidRPr="00153819">
        <w:rPr>
          <w:sz w:val="18"/>
          <w:szCs w:val="18"/>
        </w:rPr>
        <w:t>Orsatti</w:t>
      </w:r>
      <w:proofErr w:type="spellEnd"/>
      <w:r w:rsidR="000553DE" w:rsidRPr="00153819">
        <w:rPr>
          <w:sz w:val="18"/>
          <w:szCs w:val="18"/>
        </w:rPr>
        <w:t xml:space="preserve"> y Beccaria</w:t>
      </w:r>
      <w:r w:rsidR="000B245A" w:rsidRPr="00153819">
        <w:rPr>
          <w:sz w:val="18"/>
          <w:szCs w:val="18"/>
        </w:rPr>
        <w:t xml:space="preserve"> (1988). 1988-2014: </w:t>
      </w:r>
      <w:r w:rsidR="00153819">
        <w:rPr>
          <w:sz w:val="18"/>
          <w:szCs w:val="18"/>
        </w:rPr>
        <w:t>elaboración propia a partir de</w:t>
      </w:r>
      <w:r w:rsidRPr="00153819">
        <w:rPr>
          <w:sz w:val="18"/>
          <w:szCs w:val="18"/>
        </w:rPr>
        <w:t xml:space="preserve"> microdatos de la Encuesta Permanente de Hogares, correspondiente a la onda octubre ("Puntual") y IV Trimestre ("Continua"), Gran Buenos Aires.</w:t>
      </w:r>
      <w:r w:rsidRPr="00153819">
        <w:rPr>
          <w:sz w:val="18"/>
          <w:szCs w:val="18"/>
        </w:rPr>
        <w:tab/>
      </w:r>
    </w:p>
    <w:p w:rsidR="00FB48AD" w:rsidRPr="00692255" w:rsidRDefault="003973F4" w:rsidP="00153819">
      <w:pPr>
        <w:spacing w:after="360" w:line="240" w:lineRule="auto"/>
        <w:jc w:val="both"/>
        <w:rPr>
          <w:rFonts w:ascii="Calibri" w:hAnsi="Calibri"/>
          <w:sz w:val="16"/>
          <w:szCs w:val="16"/>
        </w:rPr>
      </w:pPr>
      <w:r w:rsidRPr="00153819">
        <w:rPr>
          <w:sz w:val="18"/>
          <w:szCs w:val="18"/>
        </w:rPr>
        <w:t>(</w:t>
      </w:r>
      <w:r w:rsidR="00223F8D" w:rsidRPr="00153819">
        <w:rPr>
          <w:sz w:val="18"/>
          <w:szCs w:val="18"/>
        </w:rPr>
        <w:t>g</w:t>
      </w:r>
      <w:r w:rsidRPr="00153819">
        <w:rPr>
          <w:sz w:val="18"/>
          <w:szCs w:val="18"/>
        </w:rPr>
        <w:t xml:space="preserve">) </w:t>
      </w:r>
      <w:r w:rsidR="0029456D" w:rsidRPr="00153819">
        <w:rPr>
          <w:sz w:val="18"/>
          <w:szCs w:val="18"/>
        </w:rPr>
        <w:t xml:space="preserve">Trabajadores ocupados en sectores informales sobre el total de los ocupados. </w:t>
      </w:r>
      <w:r w:rsidRPr="00153819">
        <w:rPr>
          <w:sz w:val="18"/>
          <w:szCs w:val="18"/>
        </w:rPr>
        <w:t xml:space="preserve">Fuente: </w:t>
      </w:r>
      <w:r w:rsidR="00153819">
        <w:rPr>
          <w:sz w:val="18"/>
          <w:szCs w:val="18"/>
        </w:rPr>
        <w:t>elaboración propia a partir de</w:t>
      </w:r>
      <w:r w:rsidRPr="00153819">
        <w:rPr>
          <w:sz w:val="18"/>
          <w:szCs w:val="18"/>
        </w:rPr>
        <w:t xml:space="preserve"> microdatos de la Encuesta Permanente de Hogares, correspondiente a la onda octubre ("Puntual") y IV Trimestre ("Continua"), aglomerado Gran Buenos Aires.</w:t>
      </w:r>
      <w:r w:rsidRPr="00153819">
        <w:rPr>
          <w:sz w:val="18"/>
          <w:szCs w:val="18"/>
        </w:rPr>
        <w:tab/>
      </w:r>
      <w:r w:rsidRPr="00153819">
        <w:rPr>
          <w:sz w:val="18"/>
          <w:szCs w:val="18"/>
        </w:rPr>
        <w:tab/>
      </w:r>
      <w:r w:rsidRPr="003973F4">
        <w:rPr>
          <w:rFonts w:ascii="Calibri" w:hAnsi="Calibri"/>
          <w:szCs w:val="24"/>
        </w:rPr>
        <w:tab/>
      </w:r>
      <w:r w:rsidRPr="003973F4">
        <w:rPr>
          <w:rFonts w:ascii="Calibri" w:hAnsi="Calibri"/>
          <w:szCs w:val="24"/>
        </w:rPr>
        <w:tab/>
      </w:r>
      <w:r w:rsidRPr="003973F4">
        <w:rPr>
          <w:rFonts w:ascii="Calibri" w:hAnsi="Calibri"/>
          <w:szCs w:val="24"/>
        </w:rPr>
        <w:tab/>
      </w:r>
      <w:r w:rsidRPr="003973F4">
        <w:rPr>
          <w:rFonts w:ascii="Calibri" w:hAnsi="Calibri"/>
          <w:szCs w:val="24"/>
        </w:rPr>
        <w:tab/>
      </w:r>
      <w:r w:rsidRPr="003973F4">
        <w:rPr>
          <w:rFonts w:ascii="Calibri" w:hAnsi="Calibri"/>
          <w:szCs w:val="24"/>
        </w:rPr>
        <w:tab/>
      </w:r>
    </w:p>
    <w:p w:rsidR="003A3F09" w:rsidRDefault="004B4C06" w:rsidP="00483AEE">
      <w:pPr>
        <w:spacing w:after="120" w:line="360" w:lineRule="auto"/>
        <w:jc w:val="both"/>
        <w:rPr>
          <w:szCs w:val="24"/>
        </w:rPr>
      </w:pPr>
      <w:r w:rsidRPr="00483AEE">
        <w:rPr>
          <w:szCs w:val="24"/>
        </w:rPr>
        <w:t>Durante la fase final del modelo I</w:t>
      </w:r>
      <w:r w:rsidR="003A3F09" w:rsidRPr="00483AEE">
        <w:rPr>
          <w:szCs w:val="24"/>
        </w:rPr>
        <w:t>S</w:t>
      </w:r>
      <w:r w:rsidRPr="00483AEE">
        <w:rPr>
          <w:szCs w:val="24"/>
        </w:rPr>
        <w:t>I, si</w:t>
      </w:r>
      <w:r w:rsidR="003A3F09" w:rsidRPr="00483AEE">
        <w:rPr>
          <w:szCs w:val="24"/>
        </w:rPr>
        <w:t xml:space="preserve"> bien los diversos </w:t>
      </w:r>
      <w:r w:rsidR="000A79AA" w:rsidRPr="00483AEE">
        <w:rPr>
          <w:szCs w:val="24"/>
        </w:rPr>
        <w:t xml:space="preserve">ciclos </w:t>
      </w:r>
      <w:r w:rsidR="003A3F09" w:rsidRPr="00483AEE">
        <w:rPr>
          <w:szCs w:val="24"/>
        </w:rPr>
        <w:t xml:space="preserve">económicos y </w:t>
      </w:r>
      <w:r w:rsidRPr="00483AEE">
        <w:rPr>
          <w:szCs w:val="24"/>
        </w:rPr>
        <w:t>planes de ajuste asociados a cada crisis</w:t>
      </w:r>
      <w:r w:rsidR="003A3F09" w:rsidRPr="00483AEE">
        <w:rPr>
          <w:szCs w:val="24"/>
        </w:rPr>
        <w:t xml:space="preserve"> impactaron en la distribución del ingreso, esto no se expresó de forma inmediata en un aumento </w:t>
      </w:r>
      <w:r w:rsidR="002A0256" w:rsidRPr="00483AEE">
        <w:rPr>
          <w:szCs w:val="24"/>
        </w:rPr>
        <w:t>d</w:t>
      </w:r>
      <w:r w:rsidR="003A3F09" w:rsidRPr="00483AEE">
        <w:rPr>
          <w:szCs w:val="24"/>
        </w:rPr>
        <w:t>el desempleo abierto</w:t>
      </w:r>
      <w:r w:rsidRPr="00483AEE">
        <w:rPr>
          <w:szCs w:val="24"/>
        </w:rPr>
        <w:t xml:space="preserve"> ni </w:t>
      </w:r>
      <w:r w:rsidR="002A0256" w:rsidRPr="00483AEE">
        <w:rPr>
          <w:szCs w:val="24"/>
        </w:rPr>
        <w:t>de</w:t>
      </w:r>
      <w:r w:rsidRPr="00483AEE">
        <w:rPr>
          <w:szCs w:val="24"/>
        </w:rPr>
        <w:t xml:space="preserve"> la subocupación horaria, </w:t>
      </w:r>
      <w:r w:rsidR="00EB3817" w:rsidRPr="00483AEE">
        <w:rPr>
          <w:szCs w:val="24"/>
        </w:rPr>
        <w:t>pero</w:t>
      </w:r>
      <w:r w:rsidRPr="00483AEE">
        <w:rPr>
          <w:szCs w:val="24"/>
        </w:rPr>
        <w:t xml:space="preserve"> sí en </w:t>
      </w:r>
      <w:r w:rsidR="00C02282" w:rsidRPr="00483AEE">
        <w:rPr>
          <w:szCs w:val="24"/>
        </w:rPr>
        <w:t xml:space="preserve">un efecto “desaliento”, así como en </w:t>
      </w:r>
      <w:r w:rsidRPr="00483AEE">
        <w:rPr>
          <w:szCs w:val="24"/>
        </w:rPr>
        <w:t>un</w:t>
      </w:r>
      <w:r w:rsidR="00EB3817" w:rsidRPr="00483AEE">
        <w:rPr>
          <w:szCs w:val="24"/>
        </w:rPr>
        <w:t xml:space="preserve">a </w:t>
      </w:r>
      <w:r w:rsidRPr="00483AEE">
        <w:rPr>
          <w:szCs w:val="24"/>
        </w:rPr>
        <w:t xml:space="preserve">caída del </w:t>
      </w:r>
      <w:r w:rsidR="00EB3817" w:rsidRPr="00483AEE">
        <w:rPr>
          <w:szCs w:val="24"/>
        </w:rPr>
        <w:t>empleo</w:t>
      </w:r>
      <w:r w:rsidRPr="00483AEE">
        <w:rPr>
          <w:szCs w:val="24"/>
        </w:rPr>
        <w:t xml:space="preserve"> asalariado</w:t>
      </w:r>
      <w:r w:rsidR="00EB3817" w:rsidRPr="00483AEE">
        <w:rPr>
          <w:szCs w:val="24"/>
        </w:rPr>
        <w:t xml:space="preserve"> en las grandes empresas</w:t>
      </w:r>
      <w:r w:rsidR="008906E6" w:rsidRPr="00483AEE">
        <w:rPr>
          <w:szCs w:val="24"/>
        </w:rPr>
        <w:t xml:space="preserve">, </w:t>
      </w:r>
      <w:r w:rsidR="002A0256" w:rsidRPr="00483AEE">
        <w:rPr>
          <w:szCs w:val="24"/>
        </w:rPr>
        <w:t xml:space="preserve">junto con </w:t>
      </w:r>
      <w:r w:rsidR="008906E6" w:rsidRPr="00483AEE">
        <w:rPr>
          <w:szCs w:val="24"/>
        </w:rPr>
        <w:t>un</w:t>
      </w:r>
      <w:r w:rsidRPr="00483AEE">
        <w:rPr>
          <w:szCs w:val="24"/>
        </w:rPr>
        <w:t xml:space="preserve"> aumento </w:t>
      </w:r>
      <w:r w:rsidR="00EB3817" w:rsidRPr="00483AEE">
        <w:rPr>
          <w:szCs w:val="24"/>
        </w:rPr>
        <w:t xml:space="preserve">de las ocupaciones </w:t>
      </w:r>
      <w:r w:rsidR="00C02282" w:rsidRPr="00483AEE">
        <w:rPr>
          <w:szCs w:val="24"/>
        </w:rPr>
        <w:t xml:space="preserve">precarias </w:t>
      </w:r>
      <w:r w:rsidR="008906E6" w:rsidRPr="00483AEE">
        <w:rPr>
          <w:szCs w:val="24"/>
        </w:rPr>
        <w:t xml:space="preserve">en </w:t>
      </w:r>
      <w:r w:rsidR="00EB3817" w:rsidRPr="00483AEE">
        <w:rPr>
          <w:szCs w:val="24"/>
        </w:rPr>
        <w:t>micro</w:t>
      </w:r>
      <w:r w:rsidR="008906E6" w:rsidRPr="00483AEE">
        <w:rPr>
          <w:szCs w:val="24"/>
        </w:rPr>
        <w:t xml:space="preserve"> y medianas </w:t>
      </w:r>
      <w:r w:rsidR="00EB3817" w:rsidRPr="00483AEE">
        <w:rPr>
          <w:szCs w:val="24"/>
        </w:rPr>
        <w:t>empresas</w:t>
      </w:r>
      <w:r w:rsidR="00C02282" w:rsidRPr="00483AEE">
        <w:rPr>
          <w:szCs w:val="24"/>
        </w:rPr>
        <w:t xml:space="preserve"> </w:t>
      </w:r>
      <w:r w:rsidR="008906E6" w:rsidRPr="00483AEE">
        <w:rPr>
          <w:szCs w:val="24"/>
        </w:rPr>
        <w:t xml:space="preserve">(Beccaria y </w:t>
      </w:r>
      <w:proofErr w:type="spellStart"/>
      <w:r w:rsidR="008906E6" w:rsidRPr="00483AEE">
        <w:rPr>
          <w:szCs w:val="24"/>
        </w:rPr>
        <w:t>Orsatti</w:t>
      </w:r>
      <w:proofErr w:type="spellEnd"/>
      <w:r w:rsidR="008906E6" w:rsidRPr="00483AEE">
        <w:rPr>
          <w:szCs w:val="24"/>
        </w:rPr>
        <w:t>, 1985</w:t>
      </w:r>
      <w:r w:rsidR="00320C1B" w:rsidRPr="00483AEE">
        <w:rPr>
          <w:szCs w:val="24"/>
        </w:rPr>
        <w:t>; 1988</w:t>
      </w:r>
      <w:r w:rsidR="008906E6" w:rsidRPr="00483AEE">
        <w:rPr>
          <w:szCs w:val="24"/>
        </w:rPr>
        <w:t>).</w:t>
      </w:r>
      <w:r w:rsidR="003A3F09" w:rsidRPr="00483AEE">
        <w:rPr>
          <w:rStyle w:val="Refdenotaalpie"/>
          <w:szCs w:val="24"/>
        </w:rPr>
        <w:footnoteReference w:id="20"/>
      </w:r>
      <w:r w:rsidR="003A3F09" w:rsidRPr="00483AEE">
        <w:rPr>
          <w:szCs w:val="24"/>
        </w:rPr>
        <w:t xml:space="preserve"> </w:t>
      </w:r>
      <w:r w:rsidR="00C02282" w:rsidRPr="00483AEE">
        <w:rPr>
          <w:szCs w:val="24"/>
        </w:rPr>
        <w:t>No sería hasta m</w:t>
      </w:r>
      <w:r w:rsidR="003A3F09" w:rsidRPr="00483AEE">
        <w:rPr>
          <w:szCs w:val="24"/>
        </w:rPr>
        <w:t xml:space="preserve">ediados de los </w:t>
      </w:r>
      <w:r w:rsidR="003A3F09" w:rsidRPr="00483AEE">
        <w:rPr>
          <w:szCs w:val="24"/>
        </w:rPr>
        <w:lastRenderedPageBreak/>
        <w:t>años 80</w:t>
      </w:r>
      <w:r w:rsidR="00A74ECE" w:rsidRPr="00483AEE">
        <w:rPr>
          <w:szCs w:val="24"/>
        </w:rPr>
        <w:t>s</w:t>
      </w:r>
      <w:r w:rsidR="008906E6" w:rsidRPr="00483AEE">
        <w:rPr>
          <w:szCs w:val="24"/>
        </w:rPr>
        <w:t xml:space="preserve"> </w:t>
      </w:r>
      <w:r w:rsidR="00C02282" w:rsidRPr="00483AEE">
        <w:rPr>
          <w:szCs w:val="24"/>
        </w:rPr>
        <w:t xml:space="preserve">que tendría lugar </w:t>
      </w:r>
      <w:r w:rsidR="008906E6" w:rsidRPr="00483AEE">
        <w:rPr>
          <w:szCs w:val="24"/>
        </w:rPr>
        <w:t xml:space="preserve">un ascenso </w:t>
      </w:r>
      <w:r w:rsidR="00C02282" w:rsidRPr="00483AEE">
        <w:rPr>
          <w:szCs w:val="24"/>
        </w:rPr>
        <w:t>evidente en</w:t>
      </w:r>
      <w:r w:rsidR="003A3F09" w:rsidRPr="00483AEE">
        <w:rPr>
          <w:szCs w:val="24"/>
        </w:rPr>
        <w:t xml:space="preserve"> la desocupación </w:t>
      </w:r>
      <w:r w:rsidRPr="00483AEE">
        <w:rPr>
          <w:szCs w:val="24"/>
        </w:rPr>
        <w:t xml:space="preserve">y </w:t>
      </w:r>
      <w:r w:rsidR="00C02282" w:rsidRPr="00483AEE">
        <w:rPr>
          <w:szCs w:val="24"/>
        </w:rPr>
        <w:t>en</w:t>
      </w:r>
      <w:r w:rsidR="008906E6" w:rsidRPr="00483AEE">
        <w:rPr>
          <w:szCs w:val="24"/>
        </w:rPr>
        <w:t xml:space="preserve"> </w:t>
      </w:r>
      <w:r w:rsidRPr="00483AEE">
        <w:rPr>
          <w:szCs w:val="24"/>
        </w:rPr>
        <w:t xml:space="preserve">la subocupación </w:t>
      </w:r>
      <w:r w:rsidR="00C02282" w:rsidRPr="00483AEE">
        <w:rPr>
          <w:szCs w:val="24"/>
        </w:rPr>
        <w:t xml:space="preserve">horaria </w:t>
      </w:r>
      <w:r w:rsidR="003A3F09" w:rsidRPr="00483AEE">
        <w:rPr>
          <w:szCs w:val="24"/>
        </w:rPr>
        <w:t>como resultado del sostenido estancamiento económico.</w:t>
      </w:r>
      <w:r w:rsidRPr="00483AEE">
        <w:rPr>
          <w:szCs w:val="24"/>
        </w:rPr>
        <w:t xml:space="preserve"> </w:t>
      </w:r>
    </w:p>
    <w:p w:rsidR="00153819" w:rsidRPr="00483AEE" w:rsidRDefault="00153819" w:rsidP="00153819">
      <w:pPr>
        <w:keepNext/>
        <w:spacing w:before="360" w:after="120" w:line="240" w:lineRule="auto"/>
        <w:jc w:val="both"/>
        <w:rPr>
          <w:b/>
          <w:szCs w:val="24"/>
        </w:rPr>
      </w:pPr>
      <w:r w:rsidRPr="00483AEE">
        <w:rPr>
          <w:b/>
          <w:szCs w:val="24"/>
        </w:rPr>
        <w:t>Gráfica 2.3. Participación del sector formal/grandes empresas e informal/ microempresario en el total del empleo. Gran Buenos Aires, 1974-2014.</w:t>
      </w:r>
    </w:p>
    <w:p w:rsidR="00153819" w:rsidRPr="00153819" w:rsidRDefault="00153819" w:rsidP="00153819">
      <w:pPr>
        <w:keepNext/>
        <w:spacing w:after="120" w:line="240" w:lineRule="auto"/>
        <w:jc w:val="both"/>
        <w:rPr>
          <w:i/>
          <w:sz w:val="20"/>
          <w:szCs w:val="24"/>
        </w:rPr>
      </w:pPr>
      <w:r w:rsidRPr="00153819">
        <w:rPr>
          <w:i/>
          <w:sz w:val="20"/>
          <w:szCs w:val="24"/>
        </w:rPr>
        <w:t>En porcentaje sobre el total de ocupados, excluyendo planes de empleo.</w:t>
      </w:r>
      <w:r w:rsidRPr="00153819">
        <w:rPr>
          <w:i/>
          <w:sz w:val="20"/>
          <w:szCs w:val="24"/>
        </w:rPr>
        <w:tab/>
      </w:r>
    </w:p>
    <w:p w:rsidR="00153819" w:rsidRPr="000169FF" w:rsidRDefault="00153819" w:rsidP="00153819">
      <w:pPr>
        <w:keepNext/>
        <w:spacing w:after="120" w:line="240" w:lineRule="auto"/>
        <w:jc w:val="both"/>
        <w:rPr>
          <w:rFonts w:ascii="Calibri" w:hAnsi="Calibri"/>
          <w:szCs w:val="24"/>
        </w:rPr>
      </w:pPr>
      <w:r w:rsidRPr="00713BBE">
        <w:rPr>
          <w:rFonts w:ascii="Calibri" w:hAnsi="Calibri"/>
          <w:noProof/>
          <w:szCs w:val="24"/>
          <w:lang w:eastAsia="es-AR"/>
        </w:rPr>
        <w:drawing>
          <wp:inline distT="0" distB="0" distL="0" distR="0" wp14:anchorId="532DCDF8" wp14:editId="1F438F98">
            <wp:extent cx="5256530" cy="2515091"/>
            <wp:effectExtent l="19050" t="0" r="1270" b="0"/>
            <wp:docPr id="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58937" cy="2516243"/>
                    </a:xfrm>
                    <a:prstGeom prst="rect">
                      <a:avLst/>
                    </a:prstGeom>
                    <a:noFill/>
                    <a:ln>
                      <a:noFill/>
                    </a:ln>
                  </pic:spPr>
                </pic:pic>
              </a:graphicData>
            </a:graphic>
          </wp:inline>
        </w:drawing>
      </w:r>
    </w:p>
    <w:p w:rsidR="00153819" w:rsidRPr="00153819" w:rsidRDefault="00153819" w:rsidP="00153819">
      <w:pPr>
        <w:spacing w:after="360" w:line="240" w:lineRule="auto"/>
        <w:jc w:val="both"/>
        <w:rPr>
          <w:sz w:val="18"/>
          <w:szCs w:val="18"/>
        </w:rPr>
      </w:pPr>
      <w:r w:rsidRPr="00153819">
        <w:rPr>
          <w:sz w:val="18"/>
          <w:szCs w:val="18"/>
        </w:rPr>
        <w:t>Fuente: Elaboración propia a partir de microdatos de la EPH-INDEC para los períodos indicados. Disponibles en: &lt;www.indec.gov.ar&gt;</w:t>
      </w:r>
    </w:p>
    <w:p w:rsidR="003A3F09" w:rsidRDefault="003A3F09" w:rsidP="00483AEE">
      <w:pPr>
        <w:spacing w:after="120" w:line="360" w:lineRule="auto"/>
        <w:jc w:val="both"/>
        <w:rPr>
          <w:szCs w:val="24"/>
        </w:rPr>
      </w:pPr>
      <w:r w:rsidRPr="00483AEE">
        <w:rPr>
          <w:szCs w:val="24"/>
        </w:rPr>
        <w:t>La aplicación del programa de ajuste</w:t>
      </w:r>
      <w:r w:rsidR="005073C3" w:rsidRPr="00483AEE">
        <w:rPr>
          <w:szCs w:val="24"/>
        </w:rPr>
        <w:t>, apertura comercial</w:t>
      </w:r>
      <w:r w:rsidRPr="00483AEE">
        <w:rPr>
          <w:szCs w:val="24"/>
        </w:rPr>
        <w:t xml:space="preserve"> y</w:t>
      </w:r>
      <w:r w:rsidR="00332865" w:rsidRPr="00483AEE">
        <w:rPr>
          <w:szCs w:val="24"/>
        </w:rPr>
        <w:t xml:space="preserve"> liberal</w:t>
      </w:r>
      <w:r w:rsidRPr="00483AEE">
        <w:rPr>
          <w:szCs w:val="24"/>
        </w:rPr>
        <w:t xml:space="preserve">ización </w:t>
      </w:r>
      <w:r w:rsidR="005073C3" w:rsidRPr="00483AEE">
        <w:rPr>
          <w:szCs w:val="24"/>
        </w:rPr>
        <w:t>financiera que encaró</w:t>
      </w:r>
      <w:r w:rsidRPr="00483AEE">
        <w:rPr>
          <w:szCs w:val="24"/>
        </w:rPr>
        <w:t xml:space="preserve"> la dictadura </w:t>
      </w:r>
      <w:r w:rsidR="00332865" w:rsidRPr="00483AEE">
        <w:rPr>
          <w:szCs w:val="24"/>
        </w:rPr>
        <w:t>militar</w:t>
      </w:r>
      <w:r w:rsidRPr="00483AEE">
        <w:rPr>
          <w:szCs w:val="24"/>
        </w:rPr>
        <w:t xml:space="preserve"> introdujo efectos </w:t>
      </w:r>
      <w:r w:rsidR="000153D2" w:rsidRPr="00483AEE">
        <w:rPr>
          <w:szCs w:val="24"/>
        </w:rPr>
        <w:t>transformadores</w:t>
      </w:r>
      <w:r w:rsidRPr="00483AEE">
        <w:rPr>
          <w:szCs w:val="24"/>
        </w:rPr>
        <w:t xml:space="preserve"> sobre el </w:t>
      </w:r>
      <w:r w:rsidR="00332865" w:rsidRPr="00483AEE">
        <w:rPr>
          <w:szCs w:val="24"/>
        </w:rPr>
        <w:t xml:space="preserve">sector industrial, el </w:t>
      </w:r>
      <w:r w:rsidRPr="00483AEE">
        <w:rPr>
          <w:szCs w:val="24"/>
        </w:rPr>
        <w:t>mercado laboral y la estructura social (</w:t>
      </w:r>
      <w:proofErr w:type="spellStart"/>
      <w:r w:rsidRPr="00483AEE">
        <w:rPr>
          <w:szCs w:val="24"/>
        </w:rPr>
        <w:t>Canitrot</w:t>
      </w:r>
      <w:proofErr w:type="spellEnd"/>
      <w:r w:rsidRPr="00483AEE">
        <w:rPr>
          <w:szCs w:val="24"/>
        </w:rPr>
        <w:t>, 198</w:t>
      </w:r>
      <w:r w:rsidR="00390AB7" w:rsidRPr="00483AEE">
        <w:rPr>
          <w:szCs w:val="24"/>
        </w:rPr>
        <w:t>1</w:t>
      </w:r>
      <w:r w:rsidRPr="00483AEE">
        <w:rPr>
          <w:szCs w:val="24"/>
        </w:rPr>
        <w:t xml:space="preserve">; </w:t>
      </w:r>
      <w:proofErr w:type="spellStart"/>
      <w:r w:rsidRPr="00483AEE">
        <w:rPr>
          <w:szCs w:val="24"/>
        </w:rPr>
        <w:t>Schvarzer</w:t>
      </w:r>
      <w:proofErr w:type="spellEnd"/>
      <w:r w:rsidRPr="00483AEE">
        <w:rPr>
          <w:szCs w:val="24"/>
        </w:rPr>
        <w:t xml:space="preserve">, 1986; Salvia, 1983). </w:t>
      </w:r>
      <w:r w:rsidR="00332865" w:rsidRPr="00483AEE">
        <w:rPr>
          <w:szCs w:val="24"/>
        </w:rPr>
        <w:t xml:space="preserve">El impacto regresivo sobre la industria </w:t>
      </w:r>
      <w:r w:rsidR="000153D2" w:rsidRPr="00483AEE">
        <w:rPr>
          <w:szCs w:val="24"/>
        </w:rPr>
        <w:t>orientada al mercado interno</w:t>
      </w:r>
      <w:r w:rsidR="00332865" w:rsidRPr="00483AEE">
        <w:rPr>
          <w:szCs w:val="24"/>
        </w:rPr>
        <w:t xml:space="preserve"> </w:t>
      </w:r>
      <w:r w:rsidRPr="00483AEE">
        <w:rPr>
          <w:szCs w:val="24"/>
        </w:rPr>
        <w:t xml:space="preserve">redujo la participación de los asalariados industriales de medianas y grandes empresas, fundamentalmente en favor de ocupaciones en </w:t>
      </w:r>
      <w:r w:rsidR="000153D2" w:rsidRPr="00483AEE">
        <w:rPr>
          <w:szCs w:val="24"/>
        </w:rPr>
        <w:t>unidades</w:t>
      </w:r>
      <w:r w:rsidRPr="00483AEE">
        <w:rPr>
          <w:szCs w:val="24"/>
        </w:rPr>
        <w:t xml:space="preserve"> microempresari</w:t>
      </w:r>
      <w:r w:rsidR="000153D2" w:rsidRPr="00483AEE">
        <w:rPr>
          <w:szCs w:val="24"/>
        </w:rPr>
        <w:t>as “cuasi-informal</w:t>
      </w:r>
      <w:r w:rsidR="0036447E" w:rsidRPr="00483AEE">
        <w:rPr>
          <w:szCs w:val="24"/>
        </w:rPr>
        <w:t>es</w:t>
      </w:r>
      <w:r w:rsidR="000153D2" w:rsidRPr="00483AEE">
        <w:rPr>
          <w:szCs w:val="24"/>
        </w:rPr>
        <w:t>”, especialmente prolíferas en el sector servicios</w:t>
      </w:r>
      <w:r w:rsidRPr="00483AEE">
        <w:rPr>
          <w:szCs w:val="24"/>
        </w:rPr>
        <w:t>. Esta tendencia se profundizó a lo largo de</w:t>
      </w:r>
      <w:r w:rsidR="004B4C06" w:rsidRPr="00483AEE">
        <w:rPr>
          <w:szCs w:val="24"/>
        </w:rPr>
        <w:t xml:space="preserve"> la</w:t>
      </w:r>
      <w:r w:rsidRPr="00483AEE">
        <w:rPr>
          <w:szCs w:val="24"/>
        </w:rPr>
        <w:t xml:space="preserve"> década del </w:t>
      </w:r>
      <w:r w:rsidR="004B4C06" w:rsidRPr="00483AEE">
        <w:rPr>
          <w:szCs w:val="24"/>
        </w:rPr>
        <w:t>80</w:t>
      </w:r>
      <w:r w:rsidRPr="00483AEE">
        <w:rPr>
          <w:szCs w:val="24"/>
        </w:rPr>
        <w:t xml:space="preserve">, </w:t>
      </w:r>
      <w:r w:rsidR="0066780B" w:rsidRPr="00483AEE">
        <w:rPr>
          <w:szCs w:val="24"/>
        </w:rPr>
        <w:t>reformando</w:t>
      </w:r>
      <w:r w:rsidRPr="00483AEE">
        <w:rPr>
          <w:szCs w:val="24"/>
        </w:rPr>
        <w:t xml:space="preserve"> el papel “refugio” de las ocupaciones generadas por el sector </w:t>
      </w:r>
      <w:r w:rsidR="000153D2" w:rsidRPr="00483AEE">
        <w:rPr>
          <w:szCs w:val="24"/>
        </w:rPr>
        <w:t>informa</w:t>
      </w:r>
      <w:r w:rsidR="0036447E" w:rsidRPr="00483AEE">
        <w:rPr>
          <w:szCs w:val="24"/>
        </w:rPr>
        <w:t>l</w:t>
      </w:r>
      <w:r w:rsidRPr="00483AEE">
        <w:rPr>
          <w:szCs w:val="24"/>
        </w:rPr>
        <w:t xml:space="preserve"> (</w:t>
      </w:r>
      <w:r w:rsidR="00BE7D8D" w:rsidRPr="00483AEE">
        <w:rPr>
          <w:szCs w:val="24"/>
        </w:rPr>
        <w:t>Gráfica</w:t>
      </w:r>
      <w:r w:rsidRPr="00483AEE">
        <w:rPr>
          <w:szCs w:val="24"/>
        </w:rPr>
        <w:t xml:space="preserve"> </w:t>
      </w:r>
      <w:r w:rsidR="00BE7D8D" w:rsidRPr="00483AEE">
        <w:rPr>
          <w:szCs w:val="24"/>
        </w:rPr>
        <w:t>2.</w:t>
      </w:r>
      <w:r w:rsidRPr="00483AEE">
        <w:rPr>
          <w:szCs w:val="24"/>
        </w:rPr>
        <w:t xml:space="preserve">3). De esta manera, la política que apuntaba a la desarticulación del modelo industrial sustitutivo </w:t>
      </w:r>
      <w:r w:rsidR="0066780B" w:rsidRPr="00483AEE">
        <w:rPr>
          <w:szCs w:val="24"/>
        </w:rPr>
        <w:t xml:space="preserve">tenía como efecto aumentar </w:t>
      </w:r>
      <w:r w:rsidRPr="00483AEE">
        <w:rPr>
          <w:szCs w:val="24"/>
        </w:rPr>
        <w:t xml:space="preserve">los </w:t>
      </w:r>
      <w:r w:rsidR="0066780B" w:rsidRPr="00483AEE">
        <w:rPr>
          <w:szCs w:val="24"/>
        </w:rPr>
        <w:t xml:space="preserve">empleos </w:t>
      </w:r>
      <w:r w:rsidRPr="00483AEE">
        <w:rPr>
          <w:szCs w:val="24"/>
        </w:rPr>
        <w:t>de más baja productividad, generando con ello una mayor heterogeneidad al interior de la estructura ocupacional.</w:t>
      </w:r>
      <w:r w:rsidRPr="00483AEE">
        <w:rPr>
          <w:rStyle w:val="Refdenotaalpie"/>
          <w:szCs w:val="24"/>
        </w:rPr>
        <w:footnoteReference w:id="21"/>
      </w:r>
      <w:r w:rsidRPr="00483AEE">
        <w:rPr>
          <w:szCs w:val="24"/>
        </w:rPr>
        <w:t xml:space="preserve">  </w:t>
      </w:r>
      <w:r w:rsidR="00FA28CF" w:rsidRPr="00483AEE">
        <w:rPr>
          <w:szCs w:val="24"/>
        </w:rPr>
        <w:t xml:space="preserve">En este contexto, </w:t>
      </w:r>
      <w:r w:rsidRPr="00483AEE">
        <w:rPr>
          <w:szCs w:val="24"/>
        </w:rPr>
        <w:t xml:space="preserve">el </w:t>
      </w:r>
      <w:r w:rsidRPr="00483AEE">
        <w:rPr>
          <w:szCs w:val="24"/>
        </w:rPr>
        <w:lastRenderedPageBreak/>
        <w:t xml:space="preserve">progresivo aumento del desempleo en los años ochenta, así como el consecuente cambio sustancial de las relaciones de fuerza entre empresarios y trabajadores, condujeron a la expansión del empleo </w:t>
      </w:r>
      <w:r w:rsidR="00FA28CF" w:rsidRPr="00483AEE">
        <w:rPr>
          <w:szCs w:val="24"/>
        </w:rPr>
        <w:t xml:space="preserve">asalariado </w:t>
      </w:r>
      <w:r w:rsidRPr="00483AEE">
        <w:rPr>
          <w:szCs w:val="24"/>
        </w:rPr>
        <w:t>no protegido en el mercado de trabajo (</w:t>
      </w:r>
      <w:r w:rsidR="00BE7D8D" w:rsidRPr="00483AEE">
        <w:rPr>
          <w:szCs w:val="24"/>
        </w:rPr>
        <w:t>Gráfica</w:t>
      </w:r>
      <w:r w:rsidRPr="00483AEE">
        <w:rPr>
          <w:szCs w:val="24"/>
        </w:rPr>
        <w:t xml:space="preserve"> </w:t>
      </w:r>
      <w:r w:rsidR="00BE7D8D" w:rsidRPr="00483AEE">
        <w:rPr>
          <w:szCs w:val="24"/>
        </w:rPr>
        <w:t>2.</w:t>
      </w:r>
      <w:r w:rsidRPr="00483AEE">
        <w:rPr>
          <w:szCs w:val="24"/>
        </w:rPr>
        <w:t>4).</w:t>
      </w:r>
    </w:p>
    <w:p w:rsidR="00153819" w:rsidRPr="00483AEE" w:rsidRDefault="00153819" w:rsidP="00153819">
      <w:pPr>
        <w:keepNext/>
        <w:spacing w:before="360" w:after="120" w:line="240" w:lineRule="auto"/>
        <w:jc w:val="both"/>
        <w:rPr>
          <w:b/>
          <w:szCs w:val="24"/>
        </w:rPr>
      </w:pPr>
      <w:r w:rsidRPr="00483AEE">
        <w:rPr>
          <w:b/>
          <w:szCs w:val="24"/>
        </w:rPr>
        <w:t>Gráfica 2.4. Participación del empleo protegido y no protegido. Gran Buenos Aires, 1974-2014.</w:t>
      </w:r>
    </w:p>
    <w:p w:rsidR="00153819" w:rsidRPr="000169FF" w:rsidRDefault="00153819" w:rsidP="00153819">
      <w:pPr>
        <w:keepNext/>
        <w:spacing w:after="0" w:line="240" w:lineRule="auto"/>
        <w:jc w:val="both"/>
        <w:rPr>
          <w:rFonts w:ascii="Calibri" w:hAnsi="Calibri"/>
          <w:i/>
          <w:szCs w:val="24"/>
        </w:rPr>
      </w:pPr>
      <w:r w:rsidRPr="00BB0FCD">
        <w:rPr>
          <w:rFonts w:ascii="Calibri" w:hAnsi="Calibri"/>
          <w:i/>
          <w:sz w:val="20"/>
          <w:szCs w:val="24"/>
        </w:rPr>
        <w:t>En porcentaje sobre el total de empleo asalariado.</w:t>
      </w:r>
      <w:r w:rsidRPr="000169FF">
        <w:rPr>
          <w:rFonts w:ascii="Calibri" w:hAnsi="Calibri"/>
          <w:i/>
          <w:szCs w:val="24"/>
        </w:rPr>
        <w:tab/>
      </w:r>
    </w:p>
    <w:p w:rsidR="00153819" w:rsidRPr="000169FF" w:rsidRDefault="00153819" w:rsidP="00153819">
      <w:pPr>
        <w:keepNext/>
        <w:spacing w:after="120" w:line="240" w:lineRule="auto"/>
        <w:jc w:val="center"/>
        <w:rPr>
          <w:rFonts w:ascii="Calibri" w:hAnsi="Calibri"/>
          <w:szCs w:val="24"/>
        </w:rPr>
      </w:pPr>
      <w:r w:rsidRPr="00A25E2E">
        <w:rPr>
          <w:noProof/>
          <w:szCs w:val="24"/>
          <w:lang w:eastAsia="es-AR"/>
        </w:rPr>
        <w:drawing>
          <wp:inline distT="0" distB="0" distL="0" distR="0" wp14:anchorId="359A5D83" wp14:editId="7E0249BF">
            <wp:extent cx="5400675" cy="2502081"/>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400675" cy="2502081"/>
                    </a:xfrm>
                    <a:prstGeom prst="rect">
                      <a:avLst/>
                    </a:prstGeom>
                    <a:noFill/>
                    <a:ln w="9525">
                      <a:noFill/>
                      <a:miter lim="800000"/>
                      <a:headEnd/>
                      <a:tailEnd/>
                    </a:ln>
                  </pic:spPr>
                </pic:pic>
              </a:graphicData>
            </a:graphic>
          </wp:inline>
        </w:drawing>
      </w:r>
    </w:p>
    <w:p w:rsidR="00153819" w:rsidRPr="00153819" w:rsidRDefault="00153819" w:rsidP="00153819">
      <w:pPr>
        <w:spacing w:after="360" w:line="240" w:lineRule="auto"/>
        <w:jc w:val="both"/>
        <w:rPr>
          <w:sz w:val="18"/>
          <w:szCs w:val="18"/>
        </w:rPr>
      </w:pPr>
      <w:r w:rsidRPr="00153819">
        <w:rPr>
          <w:sz w:val="18"/>
          <w:szCs w:val="18"/>
        </w:rPr>
        <w:t>Fuente: Elaboración propia a partir de microdatos de la EPH-INDEC para los períodos indicados. Disponibles en: &lt;www.indec.gov.ar&gt;</w:t>
      </w:r>
    </w:p>
    <w:p w:rsidR="003A3F09" w:rsidRDefault="003A3F09" w:rsidP="00483AEE">
      <w:pPr>
        <w:spacing w:after="120" w:line="360" w:lineRule="auto"/>
        <w:jc w:val="both"/>
        <w:rPr>
          <w:szCs w:val="24"/>
        </w:rPr>
      </w:pPr>
      <w:r w:rsidRPr="00483AEE">
        <w:rPr>
          <w:szCs w:val="24"/>
        </w:rPr>
        <w:t xml:space="preserve">Al mismo tiempo, en el plano de los ingresos laborales, el programa de ajuste implementado a partir de mediados de los </w:t>
      </w:r>
      <w:r w:rsidR="00FA28CF" w:rsidRPr="00483AEE">
        <w:rPr>
          <w:szCs w:val="24"/>
        </w:rPr>
        <w:t xml:space="preserve">años </w:t>
      </w:r>
      <w:r w:rsidRPr="00483AEE">
        <w:rPr>
          <w:szCs w:val="24"/>
        </w:rPr>
        <w:t>70</w:t>
      </w:r>
      <w:r w:rsidR="00FA28CF" w:rsidRPr="00483AEE">
        <w:rPr>
          <w:szCs w:val="24"/>
        </w:rPr>
        <w:t>s</w:t>
      </w:r>
      <w:r w:rsidRPr="00483AEE">
        <w:rPr>
          <w:szCs w:val="24"/>
        </w:rPr>
        <w:t xml:space="preserve"> condujo a una fuerte retracción de los ingresos de los ocupados, mucho más marcada para los asalariados </w:t>
      </w:r>
      <w:r w:rsidR="00042A28" w:rsidRPr="00483AEE">
        <w:rPr>
          <w:szCs w:val="24"/>
        </w:rPr>
        <w:t>-sobre todo en el caso de los no registrados (</w:t>
      </w:r>
      <w:proofErr w:type="spellStart"/>
      <w:r w:rsidR="00042A28" w:rsidRPr="00483AEE">
        <w:rPr>
          <w:szCs w:val="24"/>
        </w:rPr>
        <w:t>Orsatti</w:t>
      </w:r>
      <w:proofErr w:type="spellEnd"/>
      <w:r w:rsidR="00042A28" w:rsidRPr="00483AEE">
        <w:rPr>
          <w:szCs w:val="24"/>
        </w:rPr>
        <w:t xml:space="preserve">, 1986)- </w:t>
      </w:r>
      <w:r w:rsidRPr="00483AEE">
        <w:rPr>
          <w:szCs w:val="24"/>
        </w:rPr>
        <w:t>que para quienes disponían de renta empresarial (</w:t>
      </w:r>
      <w:r w:rsidR="00BE7D8D" w:rsidRPr="00483AEE">
        <w:rPr>
          <w:szCs w:val="24"/>
        </w:rPr>
        <w:t>Gráfica</w:t>
      </w:r>
      <w:r w:rsidRPr="00483AEE">
        <w:rPr>
          <w:szCs w:val="24"/>
        </w:rPr>
        <w:t xml:space="preserve"> </w:t>
      </w:r>
      <w:r w:rsidR="00BE7D8D" w:rsidRPr="00483AEE">
        <w:rPr>
          <w:szCs w:val="24"/>
        </w:rPr>
        <w:t>2.</w:t>
      </w:r>
      <w:r w:rsidRPr="00483AEE">
        <w:rPr>
          <w:szCs w:val="24"/>
        </w:rPr>
        <w:t xml:space="preserve">5). Aunque no sea el único factor, este desigual ritmo en la retracción de ingresos laborales llevó </w:t>
      </w:r>
      <w:r w:rsidR="00042A28" w:rsidRPr="00483AEE">
        <w:rPr>
          <w:szCs w:val="24"/>
        </w:rPr>
        <w:t>a un</w:t>
      </w:r>
      <w:r w:rsidRPr="00483AEE">
        <w:rPr>
          <w:szCs w:val="24"/>
        </w:rPr>
        <w:t xml:space="preserve"> aumento de la participación de la renta empresarial en el total de ingresos. Un aspecto que también incidió en la mayor desventaja relativa de los asalariados, así como en la pérdida de poder adquisitivo de los ocupados durante este período</w:t>
      </w:r>
      <w:r w:rsidR="00042A28" w:rsidRPr="00483AEE">
        <w:rPr>
          <w:szCs w:val="24"/>
        </w:rPr>
        <w:t>,</w:t>
      </w:r>
      <w:r w:rsidRPr="00483AEE">
        <w:rPr>
          <w:szCs w:val="24"/>
        </w:rPr>
        <w:t xml:space="preserve"> fue la retracción del salario mínimo, que constituye como una “referencia” en los sectores menos estructurados de la economía o en las actividades de menor calificación. En este sentido, durante los años 80</w:t>
      </w:r>
      <w:r w:rsidR="00042A28" w:rsidRPr="00483AEE">
        <w:rPr>
          <w:szCs w:val="24"/>
        </w:rPr>
        <w:t>s</w:t>
      </w:r>
      <w:r w:rsidRPr="00483AEE">
        <w:rPr>
          <w:szCs w:val="24"/>
        </w:rPr>
        <w:t xml:space="preserve"> el salario mínimo tendió a deteriorarse en el marco del fuerte proceso inflacionario (</w:t>
      </w:r>
      <w:r w:rsidR="00BE7D8D" w:rsidRPr="00483AEE">
        <w:rPr>
          <w:szCs w:val="24"/>
        </w:rPr>
        <w:t>Gráfica</w:t>
      </w:r>
      <w:r w:rsidRPr="00483AEE">
        <w:rPr>
          <w:szCs w:val="24"/>
        </w:rPr>
        <w:t xml:space="preserve"> </w:t>
      </w:r>
      <w:r w:rsidR="00BE7D8D" w:rsidRPr="00483AEE">
        <w:rPr>
          <w:szCs w:val="24"/>
        </w:rPr>
        <w:t>2.</w:t>
      </w:r>
      <w:r w:rsidRPr="00483AEE">
        <w:rPr>
          <w:szCs w:val="24"/>
        </w:rPr>
        <w:t xml:space="preserve">6). </w:t>
      </w:r>
    </w:p>
    <w:p w:rsidR="00153819" w:rsidRPr="00483AEE" w:rsidRDefault="00153819" w:rsidP="00153819">
      <w:pPr>
        <w:keepNext/>
        <w:spacing w:before="360" w:after="120" w:line="240" w:lineRule="auto"/>
        <w:jc w:val="both"/>
        <w:rPr>
          <w:b/>
          <w:szCs w:val="24"/>
        </w:rPr>
      </w:pPr>
      <w:r w:rsidRPr="00483AEE">
        <w:rPr>
          <w:b/>
          <w:szCs w:val="24"/>
        </w:rPr>
        <w:lastRenderedPageBreak/>
        <w:t xml:space="preserve">Gráfica 2.5. Evolución de los ingresos por salarios y renta empresarial (eje izq.) y participación en el total de ingresos laborales (eje </w:t>
      </w:r>
      <w:proofErr w:type="spellStart"/>
      <w:r w:rsidRPr="00483AEE">
        <w:rPr>
          <w:b/>
          <w:szCs w:val="24"/>
        </w:rPr>
        <w:t>der</w:t>
      </w:r>
      <w:proofErr w:type="spellEnd"/>
      <w:r w:rsidRPr="00483AEE">
        <w:rPr>
          <w:b/>
          <w:szCs w:val="24"/>
        </w:rPr>
        <w:t>.). Gran Buenos Aires, 1974-2014.</w:t>
      </w:r>
    </w:p>
    <w:p w:rsidR="00153819" w:rsidRPr="000169FF" w:rsidRDefault="00153819" w:rsidP="00153819">
      <w:pPr>
        <w:keepNext/>
        <w:spacing w:after="0" w:line="240" w:lineRule="auto"/>
        <w:jc w:val="both"/>
        <w:rPr>
          <w:rFonts w:ascii="Calibri" w:hAnsi="Calibri"/>
          <w:i/>
          <w:szCs w:val="24"/>
        </w:rPr>
      </w:pPr>
      <w:r w:rsidRPr="00C916B9">
        <w:rPr>
          <w:rFonts w:ascii="Calibri" w:hAnsi="Calibri"/>
          <w:i/>
          <w:sz w:val="20"/>
          <w:szCs w:val="24"/>
        </w:rPr>
        <w:t>En base 1974=100 y en porcentaje sobre el total de ingresos de la ocupación principal de los ocupados.</w:t>
      </w:r>
      <w:r w:rsidRPr="000169FF">
        <w:rPr>
          <w:rFonts w:ascii="Calibri" w:hAnsi="Calibri"/>
          <w:i/>
          <w:szCs w:val="24"/>
        </w:rPr>
        <w:tab/>
      </w:r>
    </w:p>
    <w:p w:rsidR="00153819" w:rsidRPr="000169FF" w:rsidRDefault="00153819" w:rsidP="00153819">
      <w:pPr>
        <w:keepNext/>
        <w:spacing w:after="120" w:line="240" w:lineRule="auto"/>
        <w:jc w:val="center"/>
        <w:rPr>
          <w:rFonts w:ascii="Calibri" w:hAnsi="Calibri"/>
          <w:szCs w:val="24"/>
        </w:rPr>
      </w:pPr>
      <w:r w:rsidRPr="00713BBE">
        <w:rPr>
          <w:rFonts w:ascii="Calibri" w:hAnsi="Calibri"/>
          <w:noProof/>
          <w:szCs w:val="24"/>
          <w:lang w:eastAsia="es-AR"/>
        </w:rPr>
        <w:drawing>
          <wp:inline distT="0" distB="0" distL="0" distR="0" wp14:anchorId="3316AA28" wp14:editId="078A95E1">
            <wp:extent cx="5410200" cy="2771775"/>
            <wp:effectExtent l="0" t="0" r="0"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10200" cy="2771775"/>
                    </a:xfrm>
                    <a:prstGeom prst="rect">
                      <a:avLst/>
                    </a:prstGeom>
                    <a:noFill/>
                    <a:ln>
                      <a:noFill/>
                    </a:ln>
                  </pic:spPr>
                </pic:pic>
              </a:graphicData>
            </a:graphic>
          </wp:inline>
        </w:drawing>
      </w:r>
    </w:p>
    <w:p w:rsidR="00153819" w:rsidRPr="00153819" w:rsidRDefault="00153819" w:rsidP="00153819">
      <w:pPr>
        <w:spacing w:after="360" w:line="240" w:lineRule="auto"/>
        <w:jc w:val="both"/>
        <w:rPr>
          <w:sz w:val="18"/>
          <w:szCs w:val="18"/>
        </w:rPr>
      </w:pPr>
      <w:r w:rsidRPr="00153819">
        <w:rPr>
          <w:sz w:val="18"/>
          <w:szCs w:val="18"/>
        </w:rPr>
        <w:t>Fuente: Elaboración propia a partir de microdatos de la EPH-INDEC para los períodos indicados. Disponibles en: &lt;www.indec.gov.ar&gt;</w:t>
      </w:r>
    </w:p>
    <w:p w:rsidR="003A3F09" w:rsidRDefault="003A3F09" w:rsidP="00483AEE">
      <w:pPr>
        <w:spacing w:after="120" w:line="360" w:lineRule="auto"/>
        <w:jc w:val="both"/>
        <w:rPr>
          <w:szCs w:val="24"/>
          <w:u w:val="single"/>
        </w:rPr>
      </w:pPr>
      <w:r w:rsidRPr="00483AEE">
        <w:rPr>
          <w:szCs w:val="24"/>
        </w:rPr>
        <w:t>Un aspecto a destacar es que si bien la fase final de la ISI y las políticas de ajuste durante los años 80</w:t>
      </w:r>
      <w:r w:rsidR="00FA28CF" w:rsidRPr="00483AEE">
        <w:rPr>
          <w:szCs w:val="24"/>
        </w:rPr>
        <w:t>s</w:t>
      </w:r>
      <w:r w:rsidRPr="00483AEE">
        <w:rPr>
          <w:szCs w:val="24"/>
        </w:rPr>
        <w:t xml:space="preserve"> dieron lugar a un retroceso en general de los ingresos y de las condiciones de vida de la población, no se observó de manera directa ni mucho menos inmediata la ampliación de las brechas de ingresos entre los ocupados según el sector de inserción</w:t>
      </w:r>
      <w:r w:rsidR="00516918" w:rsidRPr="00483AEE">
        <w:rPr>
          <w:szCs w:val="24"/>
        </w:rPr>
        <w:t xml:space="preserve"> ocupacional</w:t>
      </w:r>
      <w:r w:rsidRPr="00483AEE">
        <w:rPr>
          <w:szCs w:val="24"/>
        </w:rPr>
        <w:t>.</w:t>
      </w:r>
      <w:r w:rsidRPr="00483AEE">
        <w:rPr>
          <w:rStyle w:val="Refdenotaalpie"/>
          <w:szCs w:val="24"/>
        </w:rPr>
        <w:footnoteReference w:id="22"/>
      </w:r>
      <w:r w:rsidRPr="00483AEE">
        <w:rPr>
          <w:szCs w:val="24"/>
        </w:rPr>
        <w:t xml:space="preserve"> En efecto, no fue sino hasta fines de esa década, en contexto de alta inestabilidad económica y debilidad de las instituciones laborales, cuando comenzaron a ampliarse las distancias entre las remuneraciones de quienes pertenecían al sector microempresario/informal y de quienes formaban parte del sector dinámico o de grandes empresas (</w:t>
      </w:r>
      <w:r w:rsidR="00BE7D8D" w:rsidRPr="00483AEE">
        <w:rPr>
          <w:szCs w:val="24"/>
        </w:rPr>
        <w:t>Gráfica</w:t>
      </w:r>
      <w:r w:rsidRPr="00483AEE">
        <w:rPr>
          <w:szCs w:val="24"/>
        </w:rPr>
        <w:t xml:space="preserve"> </w:t>
      </w:r>
      <w:r w:rsidR="00BE7D8D" w:rsidRPr="00483AEE">
        <w:rPr>
          <w:szCs w:val="24"/>
        </w:rPr>
        <w:t>2.</w:t>
      </w:r>
      <w:r w:rsidRPr="00483AEE">
        <w:rPr>
          <w:szCs w:val="24"/>
        </w:rPr>
        <w:t>7).</w:t>
      </w:r>
      <w:r w:rsidRPr="00483AEE">
        <w:rPr>
          <w:szCs w:val="24"/>
          <w:u w:val="single"/>
        </w:rPr>
        <w:t xml:space="preserve">  </w:t>
      </w:r>
    </w:p>
    <w:p w:rsidR="003A3F09" w:rsidRDefault="003A3F09" w:rsidP="00483AEE">
      <w:pPr>
        <w:spacing w:after="120" w:line="360" w:lineRule="auto"/>
        <w:jc w:val="both"/>
        <w:rPr>
          <w:szCs w:val="24"/>
        </w:rPr>
      </w:pPr>
      <w:r w:rsidRPr="00483AEE">
        <w:rPr>
          <w:szCs w:val="24"/>
        </w:rPr>
        <w:t>Como se señaló anteriormente, las sucesivas crisis hiperinflacionarias de fines de los</w:t>
      </w:r>
      <w:r w:rsidR="00516918" w:rsidRPr="00483AEE">
        <w:rPr>
          <w:szCs w:val="24"/>
        </w:rPr>
        <w:t xml:space="preserve"> años</w:t>
      </w:r>
      <w:r w:rsidRPr="00483AEE">
        <w:rPr>
          <w:szCs w:val="24"/>
        </w:rPr>
        <w:t xml:space="preserve"> 80</w:t>
      </w:r>
      <w:r w:rsidR="00516918" w:rsidRPr="00483AEE">
        <w:rPr>
          <w:szCs w:val="24"/>
        </w:rPr>
        <w:t>s</w:t>
      </w:r>
      <w:r w:rsidRPr="00483AEE">
        <w:rPr>
          <w:szCs w:val="24"/>
        </w:rPr>
        <w:t xml:space="preserve"> y comienzos de los años 90</w:t>
      </w:r>
      <w:r w:rsidR="00516918" w:rsidRPr="00483AEE">
        <w:rPr>
          <w:szCs w:val="24"/>
        </w:rPr>
        <w:t>s</w:t>
      </w:r>
      <w:r w:rsidRPr="00483AEE">
        <w:rPr>
          <w:szCs w:val="24"/>
        </w:rPr>
        <w:t xml:space="preserve"> sentaron las bases para un profundo proceso de reestructuración económica</w:t>
      </w:r>
      <w:r w:rsidR="001F410F" w:rsidRPr="00483AEE">
        <w:rPr>
          <w:szCs w:val="24"/>
        </w:rPr>
        <w:t xml:space="preserve">, con fuerte impacto en la estructura ocupacional (Salvia, 2012; Poy, 2016). </w:t>
      </w:r>
      <w:r w:rsidRPr="00483AEE">
        <w:rPr>
          <w:szCs w:val="24"/>
        </w:rPr>
        <w:t xml:space="preserve">La reforma del Estado y la apertura </w:t>
      </w:r>
      <w:r w:rsidR="0039769F" w:rsidRPr="00483AEE">
        <w:rPr>
          <w:szCs w:val="24"/>
        </w:rPr>
        <w:t>comercial</w:t>
      </w:r>
      <w:r w:rsidRPr="00483AEE">
        <w:rPr>
          <w:szCs w:val="24"/>
        </w:rPr>
        <w:t xml:space="preserve"> con sobrevaluación cambiaria llevaron a una destrucción neta de </w:t>
      </w:r>
      <w:r w:rsidR="0039769F" w:rsidRPr="00483AEE">
        <w:rPr>
          <w:szCs w:val="24"/>
        </w:rPr>
        <w:t xml:space="preserve">unidades económicas y de </w:t>
      </w:r>
      <w:r w:rsidRPr="00483AEE">
        <w:rPr>
          <w:szCs w:val="24"/>
        </w:rPr>
        <w:t>empleo de baja productividad</w:t>
      </w:r>
      <w:r w:rsidR="0039769F" w:rsidRPr="00483AEE">
        <w:rPr>
          <w:szCs w:val="24"/>
        </w:rPr>
        <w:t xml:space="preserve">, impedidos de competir en costos con los bienes importados o nuevos </w:t>
      </w:r>
      <w:r w:rsidR="0039769F" w:rsidRPr="00483AEE">
        <w:rPr>
          <w:szCs w:val="24"/>
        </w:rPr>
        <w:lastRenderedPageBreak/>
        <w:t xml:space="preserve">servicios modernos en manos de grandes corporaciones. Asimismo, este modelo macroeconómico favorecía la inversión de capital intensivo por sobre la utilización de mano de obra, la cual seguía registrando costos elevados medidos en dólares. </w:t>
      </w:r>
      <w:r w:rsidR="00EA3C22" w:rsidRPr="00483AEE">
        <w:rPr>
          <w:szCs w:val="24"/>
        </w:rPr>
        <w:t xml:space="preserve">En este contexto, la demanda de empleo estuvo sesgada hacia la fuerza de trabajo con mayores niveles de calificación, lo que ajustaba a los requerimientos de cambio tecnológico del período (Beccaria y </w:t>
      </w:r>
      <w:proofErr w:type="spellStart"/>
      <w:r w:rsidR="00EA3C22" w:rsidRPr="00483AEE">
        <w:rPr>
          <w:szCs w:val="24"/>
        </w:rPr>
        <w:t>Maurizio</w:t>
      </w:r>
      <w:proofErr w:type="spellEnd"/>
      <w:r w:rsidR="00EA3C22" w:rsidRPr="00483AEE">
        <w:rPr>
          <w:szCs w:val="24"/>
        </w:rPr>
        <w:t xml:space="preserve">, 2012). </w:t>
      </w:r>
      <w:r w:rsidRPr="00483AEE">
        <w:rPr>
          <w:szCs w:val="24"/>
        </w:rPr>
        <w:t>En estas transformaciones debe buscarse la explicación para el sostenido aumento de la desocupación</w:t>
      </w:r>
      <w:r w:rsidR="0039769F" w:rsidRPr="00483AEE">
        <w:rPr>
          <w:szCs w:val="24"/>
        </w:rPr>
        <w:t xml:space="preserve"> a pesar del crecimiento económico</w:t>
      </w:r>
      <w:r w:rsidR="001F410F" w:rsidRPr="00483AEE">
        <w:rPr>
          <w:szCs w:val="24"/>
        </w:rPr>
        <w:t xml:space="preserve">. Estas condiciones generaron también un deterioro en la calidad de los empleos asalariados e informales, </w:t>
      </w:r>
      <w:r w:rsidRPr="00483AEE">
        <w:rPr>
          <w:szCs w:val="24"/>
        </w:rPr>
        <w:t>asociad</w:t>
      </w:r>
      <w:r w:rsidR="001F410F" w:rsidRPr="00483AEE">
        <w:rPr>
          <w:szCs w:val="24"/>
        </w:rPr>
        <w:t>os</w:t>
      </w:r>
      <w:r w:rsidRPr="00483AEE">
        <w:rPr>
          <w:szCs w:val="24"/>
        </w:rPr>
        <w:t xml:space="preserve"> a ocupaciones de tiempo parcial, lo que condujo a un aumento correlativo de la tasa de subocupación horaria (</w:t>
      </w:r>
      <w:r w:rsidR="00BE7D8D" w:rsidRPr="00483AEE">
        <w:rPr>
          <w:szCs w:val="24"/>
        </w:rPr>
        <w:t>Cuadro</w:t>
      </w:r>
      <w:r w:rsidRPr="00483AEE">
        <w:rPr>
          <w:szCs w:val="24"/>
        </w:rPr>
        <w:t xml:space="preserve"> 2</w:t>
      </w:r>
      <w:r w:rsidR="00BE7D8D" w:rsidRPr="00483AEE">
        <w:rPr>
          <w:szCs w:val="24"/>
        </w:rPr>
        <w:t>.2</w:t>
      </w:r>
      <w:r w:rsidRPr="00483AEE">
        <w:rPr>
          <w:szCs w:val="24"/>
        </w:rPr>
        <w:t>).</w:t>
      </w:r>
    </w:p>
    <w:p w:rsidR="00153819" w:rsidRPr="00153819" w:rsidRDefault="00153819" w:rsidP="00153819">
      <w:pPr>
        <w:keepNext/>
        <w:spacing w:before="360" w:after="120" w:line="240" w:lineRule="auto"/>
        <w:jc w:val="both"/>
        <w:rPr>
          <w:b/>
          <w:szCs w:val="24"/>
        </w:rPr>
      </w:pPr>
      <w:r w:rsidRPr="00153819">
        <w:rPr>
          <w:b/>
          <w:szCs w:val="24"/>
        </w:rPr>
        <w:t>Gráfica 2.6. Evolución del salario mínimo. Argentina, 1985-2014.</w:t>
      </w:r>
    </w:p>
    <w:p w:rsidR="00153819" w:rsidRPr="00153819" w:rsidRDefault="00153819" w:rsidP="00153819">
      <w:pPr>
        <w:keepNext/>
        <w:spacing w:after="0" w:line="240" w:lineRule="auto"/>
        <w:jc w:val="both"/>
        <w:rPr>
          <w:szCs w:val="24"/>
        </w:rPr>
      </w:pPr>
      <w:r w:rsidRPr="00153819">
        <w:rPr>
          <w:i/>
          <w:sz w:val="20"/>
          <w:szCs w:val="24"/>
        </w:rPr>
        <w:t>En base 1985=100.</w:t>
      </w:r>
    </w:p>
    <w:p w:rsidR="00153819" w:rsidRDefault="00153819" w:rsidP="00153819">
      <w:pPr>
        <w:keepNext/>
        <w:spacing w:after="0" w:line="240" w:lineRule="auto"/>
        <w:jc w:val="center"/>
        <w:rPr>
          <w:rFonts w:ascii="Calibri" w:hAnsi="Calibri"/>
          <w:szCs w:val="24"/>
        </w:rPr>
      </w:pPr>
      <w:r w:rsidRPr="00713BBE">
        <w:rPr>
          <w:rFonts w:ascii="Calibri" w:hAnsi="Calibri"/>
          <w:noProof/>
          <w:szCs w:val="24"/>
          <w:lang w:eastAsia="es-AR"/>
        </w:rPr>
        <w:drawing>
          <wp:inline distT="0" distB="0" distL="0" distR="0" wp14:anchorId="3822F567" wp14:editId="302D3953">
            <wp:extent cx="5543550" cy="2486025"/>
            <wp:effectExtent l="19050" t="0" r="0" b="0"/>
            <wp:docPr id="6"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3550" cy="2486025"/>
                    </a:xfrm>
                    <a:prstGeom prst="rect">
                      <a:avLst/>
                    </a:prstGeom>
                    <a:noFill/>
                    <a:ln>
                      <a:noFill/>
                    </a:ln>
                  </pic:spPr>
                </pic:pic>
              </a:graphicData>
            </a:graphic>
          </wp:inline>
        </w:drawing>
      </w:r>
    </w:p>
    <w:p w:rsidR="00153819" w:rsidRPr="00153819" w:rsidRDefault="00153819" w:rsidP="00153819">
      <w:pPr>
        <w:spacing w:after="360" w:line="240" w:lineRule="auto"/>
        <w:jc w:val="both"/>
        <w:rPr>
          <w:sz w:val="18"/>
          <w:szCs w:val="18"/>
        </w:rPr>
      </w:pPr>
      <w:r w:rsidRPr="00153819">
        <w:rPr>
          <w:sz w:val="18"/>
          <w:szCs w:val="18"/>
        </w:rPr>
        <w:t>Fuente: Elaboración propia a partir de la legislación vigente. Deflactado según IPC-INDEC (hasta 2007) y por IPC-GB (2007-2014).</w:t>
      </w:r>
    </w:p>
    <w:p w:rsidR="00DB22AC" w:rsidRDefault="0043714A" w:rsidP="00483AEE">
      <w:pPr>
        <w:spacing w:after="120" w:line="360" w:lineRule="auto"/>
        <w:jc w:val="both"/>
        <w:rPr>
          <w:szCs w:val="24"/>
        </w:rPr>
      </w:pPr>
      <w:r w:rsidRPr="00483AEE">
        <w:rPr>
          <w:szCs w:val="24"/>
        </w:rPr>
        <w:t xml:space="preserve">Si bien hacia 1998 se </w:t>
      </w:r>
      <w:r w:rsidR="00622DB0" w:rsidRPr="00483AEE">
        <w:rPr>
          <w:szCs w:val="24"/>
        </w:rPr>
        <w:t xml:space="preserve">registró </w:t>
      </w:r>
      <w:r w:rsidRPr="00483AEE">
        <w:rPr>
          <w:szCs w:val="24"/>
        </w:rPr>
        <w:t xml:space="preserve">una leve expansión de la participación de los asalariados en el empleo total, </w:t>
      </w:r>
      <w:r w:rsidR="004C4609" w:rsidRPr="00483AEE">
        <w:rPr>
          <w:szCs w:val="24"/>
        </w:rPr>
        <w:t>se mantuvo el estancamiento de</w:t>
      </w:r>
      <w:r w:rsidR="001F410F" w:rsidRPr="00483AEE">
        <w:rPr>
          <w:szCs w:val="24"/>
        </w:rPr>
        <w:t xml:space="preserve"> la tasa de asalarización</w:t>
      </w:r>
      <w:r w:rsidR="00B43D43" w:rsidRPr="00483AEE">
        <w:rPr>
          <w:szCs w:val="24"/>
        </w:rPr>
        <w:t>.</w:t>
      </w:r>
      <w:r w:rsidR="004C4609" w:rsidRPr="00483AEE">
        <w:rPr>
          <w:szCs w:val="24"/>
        </w:rPr>
        <w:t xml:space="preserve"> </w:t>
      </w:r>
      <w:r w:rsidR="001F410F" w:rsidRPr="00483AEE">
        <w:rPr>
          <w:szCs w:val="24"/>
        </w:rPr>
        <w:t xml:space="preserve">Esto debido a que </w:t>
      </w:r>
      <w:r w:rsidR="00E271D8" w:rsidRPr="00483AEE">
        <w:rPr>
          <w:szCs w:val="24"/>
        </w:rPr>
        <w:t xml:space="preserve">el sector dinámico no </w:t>
      </w:r>
      <w:r w:rsidR="004C4609" w:rsidRPr="00483AEE">
        <w:rPr>
          <w:szCs w:val="24"/>
        </w:rPr>
        <w:t>incrementó significativamente</w:t>
      </w:r>
      <w:r w:rsidR="00E271D8" w:rsidRPr="00483AEE">
        <w:rPr>
          <w:szCs w:val="24"/>
        </w:rPr>
        <w:t xml:space="preserve"> su participación en el empleo de la fuerza de trabajo disponible. </w:t>
      </w:r>
      <w:r w:rsidR="00622DB0" w:rsidRPr="00483AEE">
        <w:rPr>
          <w:szCs w:val="24"/>
        </w:rPr>
        <w:t xml:space="preserve">En este contexto, sin embargo, tampoco creció </w:t>
      </w:r>
      <w:r w:rsidR="00E271D8" w:rsidRPr="00483AEE">
        <w:rPr>
          <w:szCs w:val="24"/>
        </w:rPr>
        <w:t>el sector microempresario</w:t>
      </w:r>
      <w:r w:rsidR="00A10263" w:rsidRPr="00483AEE">
        <w:rPr>
          <w:szCs w:val="24"/>
        </w:rPr>
        <w:t xml:space="preserve">; más aún, tuvo lugar durante el período un deterioro tanto productivo como en cuanto a </w:t>
      </w:r>
      <w:r w:rsidR="00DB22AC" w:rsidRPr="00483AEE">
        <w:rPr>
          <w:szCs w:val="24"/>
        </w:rPr>
        <w:t>la</w:t>
      </w:r>
      <w:r w:rsidR="00A10263" w:rsidRPr="00483AEE">
        <w:rPr>
          <w:szCs w:val="24"/>
        </w:rPr>
        <w:t xml:space="preserve"> capacidad de generar </w:t>
      </w:r>
      <w:r w:rsidR="00DB22AC" w:rsidRPr="00483AEE">
        <w:rPr>
          <w:szCs w:val="24"/>
        </w:rPr>
        <w:t>empleos</w:t>
      </w:r>
      <w:r w:rsidR="00A10263" w:rsidRPr="00483AEE">
        <w:rPr>
          <w:szCs w:val="24"/>
        </w:rPr>
        <w:t xml:space="preserve"> de calidad (Salvia, 2012)</w:t>
      </w:r>
      <w:r w:rsidR="00E271D8" w:rsidRPr="00483AEE">
        <w:rPr>
          <w:szCs w:val="24"/>
        </w:rPr>
        <w:t>.</w:t>
      </w:r>
      <w:r w:rsidRPr="00483AEE">
        <w:rPr>
          <w:szCs w:val="24"/>
        </w:rPr>
        <w:t xml:space="preserve"> </w:t>
      </w:r>
      <w:r w:rsidR="00E271D8" w:rsidRPr="00483AEE">
        <w:rPr>
          <w:szCs w:val="24"/>
        </w:rPr>
        <w:t xml:space="preserve">De allí </w:t>
      </w:r>
      <w:r w:rsidR="00DB22AC" w:rsidRPr="00483AEE">
        <w:rPr>
          <w:szCs w:val="24"/>
        </w:rPr>
        <w:t>l</w:t>
      </w:r>
      <w:r w:rsidR="00E271D8" w:rsidRPr="00483AEE">
        <w:rPr>
          <w:szCs w:val="24"/>
        </w:rPr>
        <w:t xml:space="preserve">a relativa estabilidad </w:t>
      </w:r>
      <w:r w:rsidR="00A10263" w:rsidRPr="00483AEE">
        <w:rPr>
          <w:szCs w:val="24"/>
        </w:rPr>
        <w:t xml:space="preserve">que experimentó la participación </w:t>
      </w:r>
      <w:r w:rsidR="00DB22AC" w:rsidRPr="00483AEE">
        <w:rPr>
          <w:szCs w:val="24"/>
        </w:rPr>
        <w:t xml:space="preserve">no asalariada </w:t>
      </w:r>
      <w:r w:rsidR="00A10263" w:rsidRPr="00483AEE">
        <w:rPr>
          <w:szCs w:val="24"/>
        </w:rPr>
        <w:t>d</w:t>
      </w:r>
      <w:r w:rsidR="00E271D8" w:rsidRPr="00483AEE">
        <w:rPr>
          <w:szCs w:val="24"/>
        </w:rPr>
        <w:t>el sector informal</w:t>
      </w:r>
      <w:r w:rsidR="00DB22AC" w:rsidRPr="00483AEE">
        <w:rPr>
          <w:szCs w:val="24"/>
        </w:rPr>
        <w:t>, al mismo tiempo que aumentaban los empleos asalariados no registrados y el trabajo asalariado informal (</w:t>
      </w:r>
      <w:r w:rsidR="00BE7D8D" w:rsidRPr="00483AEE">
        <w:rPr>
          <w:szCs w:val="24"/>
        </w:rPr>
        <w:t>Gráfica</w:t>
      </w:r>
      <w:r w:rsidR="00DB22AC" w:rsidRPr="00483AEE">
        <w:rPr>
          <w:szCs w:val="24"/>
        </w:rPr>
        <w:t xml:space="preserve">s </w:t>
      </w:r>
      <w:r w:rsidR="00BE7D8D" w:rsidRPr="00483AEE">
        <w:rPr>
          <w:szCs w:val="24"/>
        </w:rPr>
        <w:t>2.</w:t>
      </w:r>
      <w:r w:rsidR="00DB22AC" w:rsidRPr="00483AEE">
        <w:rPr>
          <w:szCs w:val="24"/>
        </w:rPr>
        <w:t xml:space="preserve">3 y </w:t>
      </w:r>
      <w:r w:rsidR="00BE7D8D" w:rsidRPr="00483AEE">
        <w:rPr>
          <w:szCs w:val="24"/>
        </w:rPr>
        <w:t>2.</w:t>
      </w:r>
      <w:r w:rsidR="00DB22AC" w:rsidRPr="00483AEE">
        <w:rPr>
          <w:szCs w:val="24"/>
        </w:rPr>
        <w:t>4)</w:t>
      </w:r>
      <w:r w:rsidR="00E271D8" w:rsidRPr="00483AEE">
        <w:rPr>
          <w:szCs w:val="24"/>
        </w:rPr>
        <w:t>.</w:t>
      </w:r>
      <w:r w:rsidR="00DB22AC" w:rsidRPr="00483AEE">
        <w:rPr>
          <w:szCs w:val="24"/>
        </w:rPr>
        <w:t xml:space="preserve"> </w:t>
      </w:r>
    </w:p>
    <w:p w:rsidR="00153819" w:rsidRPr="00483AEE" w:rsidRDefault="00153819" w:rsidP="00153819">
      <w:pPr>
        <w:keepNext/>
        <w:spacing w:before="360" w:after="120" w:line="240" w:lineRule="auto"/>
        <w:jc w:val="both"/>
        <w:rPr>
          <w:b/>
          <w:szCs w:val="24"/>
        </w:rPr>
      </w:pPr>
      <w:r w:rsidRPr="00483AEE">
        <w:rPr>
          <w:b/>
          <w:szCs w:val="24"/>
        </w:rPr>
        <w:lastRenderedPageBreak/>
        <w:t>Gráfica 2.7. Evolución de la brecha de la remuneración horaria real de la ocupación principal por sectores económico-ocupacionales. Gran Buenos Aires 1974-2014.</w:t>
      </w:r>
    </w:p>
    <w:p w:rsidR="00153819" w:rsidRPr="00153819" w:rsidRDefault="00153819" w:rsidP="00153819">
      <w:pPr>
        <w:keepNext/>
        <w:spacing w:after="0" w:line="240" w:lineRule="auto"/>
        <w:jc w:val="both"/>
        <w:rPr>
          <w:szCs w:val="24"/>
        </w:rPr>
      </w:pPr>
      <w:r w:rsidRPr="00153819">
        <w:rPr>
          <w:i/>
          <w:sz w:val="20"/>
          <w:szCs w:val="24"/>
        </w:rPr>
        <w:t>Ingreso Medio Horario=1</w:t>
      </w:r>
    </w:p>
    <w:p w:rsidR="00153819" w:rsidRPr="000169FF" w:rsidRDefault="00153819" w:rsidP="00153819">
      <w:pPr>
        <w:keepNext/>
        <w:spacing w:after="0" w:line="240" w:lineRule="auto"/>
        <w:jc w:val="both"/>
        <w:rPr>
          <w:rFonts w:ascii="Calibri" w:hAnsi="Calibri"/>
          <w:szCs w:val="24"/>
        </w:rPr>
      </w:pPr>
      <w:r w:rsidRPr="00713BBE">
        <w:rPr>
          <w:rFonts w:ascii="Calibri" w:hAnsi="Calibri"/>
          <w:noProof/>
          <w:szCs w:val="24"/>
          <w:lang w:eastAsia="es-AR"/>
        </w:rPr>
        <w:drawing>
          <wp:inline distT="0" distB="0" distL="0" distR="0" wp14:anchorId="2272310C" wp14:editId="11D06138">
            <wp:extent cx="5524500" cy="2733675"/>
            <wp:effectExtent l="0" t="0" r="0" b="0"/>
            <wp:docPr id="7"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4500" cy="2733675"/>
                    </a:xfrm>
                    <a:prstGeom prst="rect">
                      <a:avLst/>
                    </a:prstGeom>
                    <a:noFill/>
                    <a:ln>
                      <a:noFill/>
                    </a:ln>
                  </pic:spPr>
                </pic:pic>
              </a:graphicData>
            </a:graphic>
          </wp:inline>
        </w:drawing>
      </w:r>
    </w:p>
    <w:p w:rsidR="00153819" w:rsidRPr="00153819" w:rsidRDefault="00153819" w:rsidP="00153819">
      <w:pPr>
        <w:spacing w:after="360" w:line="240" w:lineRule="auto"/>
        <w:jc w:val="both"/>
        <w:rPr>
          <w:sz w:val="18"/>
          <w:szCs w:val="18"/>
        </w:rPr>
      </w:pPr>
      <w:r w:rsidRPr="00153819">
        <w:rPr>
          <w:sz w:val="18"/>
          <w:szCs w:val="18"/>
        </w:rPr>
        <w:t>Fuente: Elaboración propia a partir de microdatos de la EPH-INDEC para los períodos indicados. Disponibles en: &lt;www.indec.gov.ar&gt;</w:t>
      </w:r>
    </w:p>
    <w:p w:rsidR="003A3F09" w:rsidRPr="00483AEE" w:rsidRDefault="00DB22AC" w:rsidP="00483AEE">
      <w:pPr>
        <w:spacing w:after="120" w:line="360" w:lineRule="auto"/>
        <w:jc w:val="both"/>
        <w:rPr>
          <w:szCs w:val="24"/>
        </w:rPr>
      </w:pPr>
      <w:r w:rsidRPr="00483AEE">
        <w:rPr>
          <w:szCs w:val="24"/>
        </w:rPr>
        <w:t>En efecto, u</w:t>
      </w:r>
      <w:r w:rsidR="00813C0F" w:rsidRPr="00483AEE">
        <w:rPr>
          <w:szCs w:val="24"/>
        </w:rPr>
        <w:t xml:space="preserve">no de los principales cambios del mercado de trabajo durante el período de reformas estructurales </w:t>
      </w:r>
      <w:r w:rsidR="00B30FF1" w:rsidRPr="00483AEE">
        <w:rPr>
          <w:szCs w:val="24"/>
        </w:rPr>
        <w:t xml:space="preserve">estuvo asociado a </w:t>
      </w:r>
      <w:r w:rsidR="0043714A" w:rsidRPr="00483AEE">
        <w:rPr>
          <w:szCs w:val="24"/>
        </w:rPr>
        <w:t xml:space="preserve">las regulaciones laborales. El incremento del desempleo y las medidas implementadas desde el Estado jugaron un papel fundamental al posibilitar un aumento de la participación del empleo no </w:t>
      </w:r>
      <w:r w:rsidR="00813C0F" w:rsidRPr="00483AEE">
        <w:rPr>
          <w:szCs w:val="24"/>
        </w:rPr>
        <w:t>protegido</w:t>
      </w:r>
      <w:r w:rsidR="0043714A" w:rsidRPr="00483AEE">
        <w:rPr>
          <w:szCs w:val="24"/>
        </w:rPr>
        <w:t xml:space="preserve"> en la estructura social del trabajo</w:t>
      </w:r>
      <w:r w:rsidR="00A10263" w:rsidRPr="00483AEE">
        <w:rPr>
          <w:szCs w:val="24"/>
        </w:rPr>
        <w:t>.</w:t>
      </w:r>
      <w:r w:rsidR="00B30FF1" w:rsidRPr="00483AEE">
        <w:rPr>
          <w:rStyle w:val="Refdenotaalpie"/>
          <w:szCs w:val="24"/>
        </w:rPr>
        <w:footnoteReference w:id="23"/>
      </w:r>
      <w:r w:rsidR="00A10263" w:rsidRPr="00483AEE">
        <w:rPr>
          <w:szCs w:val="24"/>
        </w:rPr>
        <w:t xml:space="preserve"> </w:t>
      </w:r>
      <w:r w:rsidR="00813C0F" w:rsidRPr="00483AEE">
        <w:rPr>
          <w:szCs w:val="24"/>
        </w:rPr>
        <w:t xml:space="preserve">La precariedad avanzó </w:t>
      </w:r>
      <w:r w:rsidR="0036447E" w:rsidRPr="00483AEE">
        <w:rPr>
          <w:szCs w:val="24"/>
        </w:rPr>
        <w:t xml:space="preserve">más </w:t>
      </w:r>
      <w:r w:rsidR="00813C0F" w:rsidRPr="00483AEE">
        <w:rPr>
          <w:szCs w:val="24"/>
        </w:rPr>
        <w:t>en el sector menos estructurado de la economía, dando cuenta de las mayores dificultades de este estrato para hacer frente a la “apertura” en condiciones de globalización; pero también lo hizo en empresas grandes y dinámicas, como correlato de las nuevas condiciones de empleo a nivel mundial</w:t>
      </w:r>
      <w:r w:rsidR="00105E84" w:rsidRPr="00483AEE">
        <w:rPr>
          <w:szCs w:val="24"/>
        </w:rPr>
        <w:t>.</w:t>
      </w:r>
      <w:r w:rsidR="00A10263" w:rsidRPr="00483AEE">
        <w:rPr>
          <w:szCs w:val="24"/>
        </w:rPr>
        <w:t xml:space="preserve"> </w:t>
      </w:r>
    </w:p>
    <w:p w:rsidR="00525AEC" w:rsidRPr="00483AEE" w:rsidRDefault="00813C0F" w:rsidP="00483AEE">
      <w:pPr>
        <w:spacing w:after="120" w:line="360" w:lineRule="auto"/>
        <w:jc w:val="both"/>
        <w:rPr>
          <w:szCs w:val="24"/>
        </w:rPr>
      </w:pPr>
      <w:r w:rsidRPr="00483AEE">
        <w:rPr>
          <w:szCs w:val="24"/>
        </w:rPr>
        <w:t xml:space="preserve">De todos modos, los ingresos laborales tuvieron un comportamiento disímil según el momento del ciclo económico de las reformas. </w:t>
      </w:r>
      <w:r w:rsidR="005D76BD" w:rsidRPr="00483AEE">
        <w:rPr>
          <w:szCs w:val="24"/>
        </w:rPr>
        <w:t xml:space="preserve">Si bien a nivel de balance general del período se advierte que los ingresos por salarios </w:t>
      </w:r>
      <w:r w:rsidR="00A10263" w:rsidRPr="00483AEE">
        <w:rPr>
          <w:szCs w:val="24"/>
        </w:rPr>
        <w:t>y por renta empresarial cayeron</w:t>
      </w:r>
      <w:r w:rsidR="005D76BD" w:rsidRPr="00483AEE">
        <w:rPr>
          <w:szCs w:val="24"/>
        </w:rPr>
        <w:t>, la inicial estabilización de precios que impulsó el programa neoliberal permitió una recomposición de los mismos. Luego del mejor momento del ciclo de reformas (el año 1998) se observa una caída de los ingresos de los ocupados que afect</w:t>
      </w:r>
      <w:r w:rsidR="0036447E" w:rsidRPr="00483AEE">
        <w:rPr>
          <w:szCs w:val="24"/>
        </w:rPr>
        <w:t>ó</w:t>
      </w:r>
      <w:r w:rsidR="005D76BD" w:rsidRPr="00483AEE">
        <w:rPr>
          <w:szCs w:val="24"/>
        </w:rPr>
        <w:t xml:space="preserve"> a las distintas </w:t>
      </w:r>
      <w:r w:rsidR="005D76BD" w:rsidRPr="00483AEE">
        <w:rPr>
          <w:szCs w:val="24"/>
        </w:rPr>
        <w:lastRenderedPageBreak/>
        <w:t>fuentes de ingreso</w:t>
      </w:r>
      <w:r w:rsidR="00DB22AC" w:rsidRPr="00483AEE">
        <w:rPr>
          <w:szCs w:val="24"/>
        </w:rPr>
        <w:t xml:space="preserve"> (</w:t>
      </w:r>
      <w:r w:rsidR="00BE7D8D" w:rsidRPr="00483AEE">
        <w:rPr>
          <w:szCs w:val="24"/>
        </w:rPr>
        <w:t>Gráfica</w:t>
      </w:r>
      <w:r w:rsidR="00DB22AC" w:rsidRPr="00483AEE">
        <w:rPr>
          <w:szCs w:val="24"/>
        </w:rPr>
        <w:t xml:space="preserve"> </w:t>
      </w:r>
      <w:r w:rsidR="00BE7D8D" w:rsidRPr="00483AEE">
        <w:rPr>
          <w:szCs w:val="24"/>
        </w:rPr>
        <w:t>2.</w:t>
      </w:r>
      <w:r w:rsidR="00DB22AC" w:rsidRPr="00483AEE">
        <w:rPr>
          <w:szCs w:val="24"/>
        </w:rPr>
        <w:t>5)</w:t>
      </w:r>
      <w:r w:rsidR="005D76BD" w:rsidRPr="00483AEE">
        <w:rPr>
          <w:szCs w:val="24"/>
        </w:rPr>
        <w:t xml:space="preserve">. En paralelo, debe remarcarse que el salario mínimo se mantuvo en el mismo valor durante toda la década, lo </w:t>
      </w:r>
      <w:r w:rsidR="004339A9" w:rsidRPr="00483AEE">
        <w:rPr>
          <w:szCs w:val="24"/>
        </w:rPr>
        <w:t>que,</w:t>
      </w:r>
      <w:r w:rsidR="005D76BD" w:rsidRPr="00483AEE">
        <w:rPr>
          <w:szCs w:val="24"/>
        </w:rPr>
        <w:t xml:space="preserve"> si bien </w:t>
      </w:r>
      <w:r w:rsidR="00B30FF1" w:rsidRPr="00483AEE">
        <w:rPr>
          <w:szCs w:val="24"/>
        </w:rPr>
        <w:t xml:space="preserve">se dio </w:t>
      </w:r>
      <w:r w:rsidR="005D76BD" w:rsidRPr="00483AEE">
        <w:rPr>
          <w:szCs w:val="24"/>
        </w:rPr>
        <w:t>en un contexto de baja inflación, supuso una pérdida de su poder de compra y, por tanto, de protección para los trabajadores de la base del mercado laboral</w:t>
      </w:r>
      <w:r w:rsidR="00DB22AC" w:rsidRPr="00483AEE">
        <w:rPr>
          <w:szCs w:val="24"/>
        </w:rPr>
        <w:t xml:space="preserve"> (</w:t>
      </w:r>
      <w:r w:rsidR="00BE7D8D" w:rsidRPr="00483AEE">
        <w:rPr>
          <w:szCs w:val="24"/>
        </w:rPr>
        <w:t>Gráfica</w:t>
      </w:r>
      <w:r w:rsidR="00DB22AC" w:rsidRPr="00483AEE">
        <w:rPr>
          <w:szCs w:val="24"/>
        </w:rPr>
        <w:t xml:space="preserve"> </w:t>
      </w:r>
      <w:r w:rsidR="00BE7D8D" w:rsidRPr="00483AEE">
        <w:rPr>
          <w:szCs w:val="24"/>
        </w:rPr>
        <w:t>2.</w:t>
      </w:r>
      <w:r w:rsidR="00DB22AC" w:rsidRPr="00483AEE">
        <w:rPr>
          <w:szCs w:val="24"/>
        </w:rPr>
        <w:t>6)</w:t>
      </w:r>
      <w:r w:rsidR="005D76BD" w:rsidRPr="00483AEE">
        <w:rPr>
          <w:szCs w:val="24"/>
        </w:rPr>
        <w:t xml:space="preserve">. </w:t>
      </w:r>
    </w:p>
    <w:p w:rsidR="004339A9" w:rsidRPr="00483AEE" w:rsidRDefault="005D76BD" w:rsidP="00483AEE">
      <w:pPr>
        <w:spacing w:after="120" w:line="360" w:lineRule="auto"/>
        <w:jc w:val="both"/>
        <w:rPr>
          <w:szCs w:val="24"/>
        </w:rPr>
      </w:pPr>
      <w:r w:rsidRPr="00483AEE">
        <w:rPr>
          <w:szCs w:val="24"/>
        </w:rPr>
        <w:t>C</w:t>
      </w:r>
      <w:r w:rsidR="0043714A" w:rsidRPr="00483AEE">
        <w:rPr>
          <w:szCs w:val="24"/>
        </w:rPr>
        <w:t>omo resultado del funcionamiento del programa económico, se produjo una profundización de la heterogeneidad estructural que implicó una mayor desigualdad de ingresos laborales dentro del mercado de trabajo</w:t>
      </w:r>
      <w:r w:rsidRPr="00483AEE">
        <w:rPr>
          <w:szCs w:val="24"/>
        </w:rPr>
        <w:t xml:space="preserve"> (</w:t>
      </w:r>
      <w:r w:rsidR="00BE7D8D" w:rsidRPr="00483AEE">
        <w:rPr>
          <w:szCs w:val="24"/>
        </w:rPr>
        <w:t>Gráfica</w:t>
      </w:r>
      <w:r w:rsidRPr="00483AEE">
        <w:rPr>
          <w:szCs w:val="24"/>
        </w:rPr>
        <w:t xml:space="preserve"> </w:t>
      </w:r>
      <w:r w:rsidR="00BE7D8D" w:rsidRPr="00483AEE">
        <w:rPr>
          <w:szCs w:val="24"/>
        </w:rPr>
        <w:t>2.</w:t>
      </w:r>
      <w:r w:rsidRPr="00483AEE">
        <w:rPr>
          <w:szCs w:val="24"/>
        </w:rPr>
        <w:t>7)</w:t>
      </w:r>
      <w:r w:rsidR="0043714A" w:rsidRPr="00483AEE">
        <w:rPr>
          <w:szCs w:val="24"/>
        </w:rPr>
        <w:t xml:space="preserve">. </w:t>
      </w:r>
      <w:r w:rsidRPr="00483AEE">
        <w:rPr>
          <w:szCs w:val="24"/>
        </w:rPr>
        <w:t>D</w:t>
      </w:r>
      <w:r w:rsidR="0043714A" w:rsidRPr="00483AEE">
        <w:rPr>
          <w:szCs w:val="24"/>
        </w:rPr>
        <w:t xml:space="preserve">urante toda la década se registró la ampliación de las brechas de ingresos entre los trabajadores según su inserción sectorial. Luego de un relativo “equilibrio” favorecido, en el año 1992, por la </w:t>
      </w:r>
      <w:r w:rsidRPr="00483AEE">
        <w:rPr>
          <w:szCs w:val="24"/>
        </w:rPr>
        <w:t xml:space="preserve">referida </w:t>
      </w:r>
      <w:r w:rsidR="0043714A" w:rsidRPr="00483AEE">
        <w:rPr>
          <w:szCs w:val="24"/>
        </w:rPr>
        <w:t xml:space="preserve">estabilización, tuvo lugar una sostenida profundización de la inequidad entre </w:t>
      </w:r>
      <w:r w:rsidR="004339A9" w:rsidRPr="00483AEE">
        <w:rPr>
          <w:szCs w:val="24"/>
        </w:rPr>
        <w:t>la fuerza de trabajo ocupada en e</w:t>
      </w:r>
      <w:r w:rsidR="0043714A" w:rsidRPr="00483AEE">
        <w:rPr>
          <w:szCs w:val="24"/>
        </w:rPr>
        <w:t>l sector dinámico</w:t>
      </w:r>
      <w:r w:rsidRPr="00483AEE">
        <w:rPr>
          <w:szCs w:val="24"/>
        </w:rPr>
        <w:t xml:space="preserve"> </w:t>
      </w:r>
      <w:r w:rsidR="004339A9" w:rsidRPr="00483AEE">
        <w:rPr>
          <w:szCs w:val="24"/>
        </w:rPr>
        <w:t xml:space="preserve">y </w:t>
      </w:r>
      <w:r w:rsidRPr="00483AEE">
        <w:rPr>
          <w:szCs w:val="24"/>
        </w:rPr>
        <w:t>grandes empresas</w:t>
      </w:r>
      <w:r w:rsidR="0043714A" w:rsidRPr="00483AEE">
        <w:rPr>
          <w:szCs w:val="24"/>
        </w:rPr>
        <w:t xml:space="preserve"> y </w:t>
      </w:r>
      <w:r w:rsidR="004339A9" w:rsidRPr="00483AEE">
        <w:rPr>
          <w:szCs w:val="24"/>
        </w:rPr>
        <w:t xml:space="preserve">entre los ocupados </w:t>
      </w:r>
      <w:r w:rsidR="0043714A" w:rsidRPr="00483AEE">
        <w:rPr>
          <w:szCs w:val="24"/>
        </w:rPr>
        <w:t xml:space="preserve">insertos en </w:t>
      </w:r>
      <w:r w:rsidR="004339A9" w:rsidRPr="00483AEE">
        <w:rPr>
          <w:szCs w:val="24"/>
        </w:rPr>
        <w:t>unidades</w:t>
      </w:r>
      <w:r w:rsidR="0043714A" w:rsidRPr="00483AEE">
        <w:rPr>
          <w:szCs w:val="24"/>
        </w:rPr>
        <w:t xml:space="preserve"> microempresari</w:t>
      </w:r>
      <w:r w:rsidR="004339A9" w:rsidRPr="00483AEE">
        <w:rPr>
          <w:szCs w:val="24"/>
        </w:rPr>
        <w:t xml:space="preserve">as de baja productividad, </w:t>
      </w:r>
      <w:r w:rsidR="00F002C6" w:rsidRPr="00483AEE">
        <w:rPr>
          <w:szCs w:val="24"/>
        </w:rPr>
        <w:t xml:space="preserve">las cuales </w:t>
      </w:r>
      <w:r w:rsidR="00A83BEB" w:rsidRPr="00483AEE">
        <w:rPr>
          <w:szCs w:val="24"/>
        </w:rPr>
        <w:t>por razones de competitividad eran</w:t>
      </w:r>
      <w:r w:rsidR="00F002C6" w:rsidRPr="00483AEE">
        <w:rPr>
          <w:szCs w:val="24"/>
        </w:rPr>
        <w:t xml:space="preserve"> </w:t>
      </w:r>
      <w:r w:rsidR="004339A9" w:rsidRPr="00483AEE">
        <w:rPr>
          <w:szCs w:val="24"/>
        </w:rPr>
        <w:t xml:space="preserve">obligadas a sumergirse en </w:t>
      </w:r>
      <w:r w:rsidR="00A83BEB" w:rsidRPr="00483AEE">
        <w:rPr>
          <w:szCs w:val="24"/>
        </w:rPr>
        <w:t>la</w:t>
      </w:r>
      <w:r w:rsidR="004339A9" w:rsidRPr="00483AEE">
        <w:rPr>
          <w:szCs w:val="24"/>
        </w:rPr>
        <w:t xml:space="preserve"> economía informal (Salvia 2012).</w:t>
      </w:r>
    </w:p>
    <w:p w:rsidR="0043714A" w:rsidRPr="00483AEE" w:rsidRDefault="00A83BEB" w:rsidP="00483AEE">
      <w:pPr>
        <w:spacing w:after="120" w:line="360" w:lineRule="auto"/>
        <w:jc w:val="both"/>
        <w:rPr>
          <w:szCs w:val="24"/>
        </w:rPr>
      </w:pPr>
      <w:r w:rsidRPr="00483AEE">
        <w:rPr>
          <w:szCs w:val="24"/>
        </w:rPr>
        <w:t>La devaluación de 2002 generada por l</w:t>
      </w:r>
      <w:r w:rsidR="0043714A" w:rsidRPr="00483AEE">
        <w:rPr>
          <w:szCs w:val="24"/>
        </w:rPr>
        <w:t>a salida del modelo de conver</w:t>
      </w:r>
      <w:r w:rsidRPr="00483AEE">
        <w:rPr>
          <w:szCs w:val="24"/>
        </w:rPr>
        <w:t xml:space="preserve">tibilidad </w:t>
      </w:r>
      <w:r w:rsidR="0043714A" w:rsidRPr="00483AEE">
        <w:rPr>
          <w:szCs w:val="24"/>
        </w:rPr>
        <w:t xml:space="preserve">fue el punto de partida para una modificación en el comportamiento del mercado de trabajo. </w:t>
      </w:r>
      <w:r w:rsidRPr="00483AEE">
        <w:rPr>
          <w:szCs w:val="24"/>
        </w:rPr>
        <w:t>Por una parte</w:t>
      </w:r>
      <w:r w:rsidR="00B30FF1" w:rsidRPr="00483AEE">
        <w:rPr>
          <w:szCs w:val="24"/>
        </w:rPr>
        <w:t>, l</w:t>
      </w:r>
      <w:r w:rsidR="0043714A" w:rsidRPr="00483AEE">
        <w:rPr>
          <w:szCs w:val="24"/>
        </w:rPr>
        <w:t xml:space="preserve">a devaluación </w:t>
      </w:r>
      <w:r w:rsidR="00041A11" w:rsidRPr="00483AEE">
        <w:rPr>
          <w:szCs w:val="24"/>
        </w:rPr>
        <w:t xml:space="preserve">de la moneda encareció el costo relativo de las importaciones, dando lugar a </w:t>
      </w:r>
      <w:r w:rsidR="0043714A" w:rsidRPr="00483AEE">
        <w:rPr>
          <w:szCs w:val="24"/>
        </w:rPr>
        <w:t>una etapa sustitutiva</w:t>
      </w:r>
      <w:r w:rsidRPr="00483AEE">
        <w:rPr>
          <w:szCs w:val="24"/>
        </w:rPr>
        <w:t xml:space="preserve"> en materia de bienes manufacturados de consumo</w:t>
      </w:r>
      <w:r w:rsidR="00041A11" w:rsidRPr="00483AEE">
        <w:rPr>
          <w:szCs w:val="24"/>
        </w:rPr>
        <w:t xml:space="preserve">, a la vez que </w:t>
      </w:r>
      <w:r w:rsidRPr="00483AEE">
        <w:rPr>
          <w:szCs w:val="24"/>
        </w:rPr>
        <w:t>redujo el valor real y en dólares de los salarios</w:t>
      </w:r>
      <w:r w:rsidR="00041A11" w:rsidRPr="00483AEE">
        <w:rPr>
          <w:szCs w:val="24"/>
        </w:rPr>
        <w:t xml:space="preserve">, </w:t>
      </w:r>
      <w:r w:rsidRPr="00483AEE">
        <w:rPr>
          <w:szCs w:val="24"/>
        </w:rPr>
        <w:t xml:space="preserve">fomentando por ambas vías </w:t>
      </w:r>
      <w:r w:rsidR="00041A11" w:rsidRPr="00483AEE">
        <w:rPr>
          <w:szCs w:val="24"/>
        </w:rPr>
        <w:t xml:space="preserve">la </w:t>
      </w:r>
      <w:r w:rsidR="0043714A" w:rsidRPr="00483AEE">
        <w:rPr>
          <w:szCs w:val="24"/>
        </w:rPr>
        <w:t xml:space="preserve">recuperación de la demanda </w:t>
      </w:r>
      <w:r w:rsidRPr="00483AEE">
        <w:rPr>
          <w:szCs w:val="24"/>
        </w:rPr>
        <w:t xml:space="preserve">agregada </w:t>
      </w:r>
      <w:r w:rsidR="0043714A" w:rsidRPr="00483AEE">
        <w:rPr>
          <w:szCs w:val="24"/>
        </w:rPr>
        <w:t>de empleo</w:t>
      </w:r>
      <w:r w:rsidR="00041A11" w:rsidRPr="00483AEE">
        <w:rPr>
          <w:szCs w:val="24"/>
        </w:rPr>
        <w:t xml:space="preserve">. De allí que a partir de entonces se iniciara la retracción de las </w:t>
      </w:r>
      <w:r w:rsidR="0043714A" w:rsidRPr="00483AEE">
        <w:rPr>
          <w:szCs w:val="24"/>
        </w:rPr>
        <w:t>tasas de desocupación y subocupación horaria</w:t>
      </w:r>
      <w:r w:rsidR="00FC5FFB" w:rsidRPr="00483AEE">
        <w:rPr>
          <w:szCs w:val="24"/>
        </w:rPr>
        <w:t>, e, incluso, también tuviera lugar una relativa recuperación del empleo asalariado</w:t>
      </w:r>
      <w:r w:rsidR="00041A11" w:rsidRPr="00483AEE">
        <w:rPr>
          <w:szCs w:val="24"/>
        </w:rPr>
        <w:t xml:space="preserve"> </w:t>
      </w:r>
      <w:r w:rsidR="0043714A" w:rsidRPr="00483AEE">
        <w:rPr>
          <w:szCs w:val="24"/>
        </w:rPr>
        <w:t>(</w:t>
      </w:r>
      <w:r w:rsidR="00BE7D8D" w:rsidRPr="00483AEE">
        <w:rPr>
          <w:szCs w:val="24"/>
        </w:rPr>
        <w:t>Cuadro</w:t>
      </w:r>
      <w:r w:rsidR="00041A11" w:rsidRPr="00483AEE">
        <w:rPr>
          <w:szCs w:val="24"/>
        </w:rPr>
        <w:t xml:space="preserve"> </w:t>
      </w:r>
      <w:r w:rsidR="00BE7D8D" w:rsidRPr="00483AEE">
        <w:rPr>
          <w:szCs w:val="24"/>
        </w:rPr>
        <w:t>2.</w:t>
      </w:r>
      <w:r w:rsidR="00041A11" w:rsidRPr="00483AEE">
        <w:rPr>
          <w:szCs w:val="24"/>
        </w:rPr>
        <w:t>2</w:t>
      </w:r>
      <w:r w:rsidR="0043714A" w:rsidRPr="00483AEE">
        <w:rPr>
          <w:szCs w:val="24"/>
        </w:rPr>
        <w:t xml:space="preserve">). </w:t>
      </w:r>
      <w:r w:rsidR="00EA3C22" w:rsidRPr="00483AEE">
        <w:rPr>
          <w:szCs w:val="24"/>
        </w:rPr>
        <w:t xml:space="preserve">Al mismo tiempo, el tipo de crecimiento económico centrado en la sustitución de importaciones y el mercado interno indujo una demanda laboral dinámica para la fuerza de trabajo de menores niveles de calificación, en contraste con lo ocurrido durante el ciclo de reformas (Beccaria y </w:t>
      </w:r>
      <w:proofErr w:type="spellStart"/>
      <w:r w:rsidR="00EA3C22" w:rsidRPr="00483AEE">
        <w:rPr>
          <w:szCs w:val="24"/>
        </w:rPr>
        <w:t>Maurizio</w:t>
      </w:r>
      <w:proofErr w:type="spellEnd"/>
      <w:r w:rsidR="00EA3C22" w:rsidRPr="00483AEE">
        <w:rPr>
          <w:szCs w:val="24"/>
        </w:rPr>
        <w:t>, 2012; Salvia, Vera y Poy, 2015).</w:t>
      </w:r>
    </w:p>
    <w:p w:rsidR="0043714A" w:rsidRPr="00483AEE" w:rsidRDefault="00FC5FFB" w:rsidP="00483AEE">
      <w:pPr>
        <w:spacing w:after="120" w:line="360" w:lineRule="auto"/>
        <w:jc w:val="both"/>
        <w:rPr>
          <w:szCs w:val="24"/>
        </w:rPr>
      </w:pPr>
      <w:r w:rsidRPr="00483AEE">
        <w:rPr>
          <w:szCs w:val="24"/>
        </w:rPr>
        <w:t>Estos</w:t>
      </w:r>
      <w:r w:rsidR="0043714A" w:rsidRPr="00483AEE">
        <w:rPr>
          <w:szCs w:val="24"/>
        </w:rPr>
        <w:t xml:space="preserve"> cambios cuantitativos verificados en el mercado de trabajo estuvieron acompañados</w:t>
      </w:r>
      <w:r w:rsidRPr="00483AEE">
        <w:rPr>
          <w:szCs w:val="24"/>
        </w:rPr>
        <w:t xml:space="preserve"> </w:t>
      </w:r>
      <w:r w:rsidR="0043714A" w:rsidRPr="00483AEE">
        <w:rPr>
          <w:szCs w:val="24"/>
        </w:rPr>
        <w:t xml:space="preserve">por la reversión de algunas tendencias que se habían registrado durante la crisis 2001-2002. </w:t>
      </w:r>
      <w:r w:rsidR="002A78A7" w:rsidRPr="00483AEE">
        <w:rPr>
          <w:szCs w:val="24"/>
        </w:rPr>
        <w:t>D</w:t>
      </w:r>
      <w:r w:rsidR="0043714A" w:rsidRPr="00483AEE">
        <w:rPr>
          <w:szCs w:val="24"/>
        </w:rPr>
        <w:t xml:space="preserve">urante el </w:t>
      </w:r>
      <w:r w:rsidRPr="00483AEE">
        <w:rPr>
          <w:szCs w:val="24"/>
        </w:rPr>
        <w:t xml:space="preserve">primero </w:t>
      </w:r>
      <w:r w:rsidR="0043714A" w:rsidRPr="00483AEE">
        <w:rPr>
          <w:szCs w:val="24"/>
        </w:rPr>
        <w:t xml:space="preserve">ciclo “post-convertibilidad” tuvo lugar </w:t>
      </w:r>
      <w:r w:rsidR="00041A11" w:rsidRPr="00483AEE">
        <w:rPr>
          <w:szCs w:val="24"/>
        </w:rPr>
        <w:t>la</w:t>
      </w:r>
      <w:r w:rsidR="0043714A" w:rsidRPr="00483AEE">
        <w:rPr>
          <w:szCs w:val="24"/>
        </w:rPr>
        <w:t xml:space="preserve"> recomposición progresiva de la participación de los ocupados del sector </w:t>
      </w:r>
      <w:r w:rsidR="00A83BEB" w:rsidRPr="00483AEE">
        <w:rPr>
          <w:szCs w:val="24"/>
        </w:rPr>
        <w:t xml:space="preserve">formal </w:t>
      </w:r>
      <w:r w:rsidR="0043714A" w:rsidRPr="00483AEE">
        <w:rPr>
          <w:szCs w:val="24"/>
        </w:rPr>
        <w:t>más dinámico en el conjunto del empleo.</w:t>
      </w:r>
      <w:r w:rsidR="0089377E" w:rsidRPr="00483AEE">
        <w:rPr>
          <w:szCs w:val="24"/>
        </w:rPr>
        <w:t xml:space="preserve"> En este marco</w:t>
      </w:r>
      <w:r w:rsidR="002A78A7" w:rsidRPr="00483AEE">
        <w:rPr>
          <w:szCs w:val="24"/>
        </w:rPr>
        <w:t xml:space="preserve">, el sector moderno recuperó capacidad para “absorber” fuerza de trabajo, lo que implicó un </w:t>
      </w:r>
      <w:r w:rsidR="00A83BEB" w:rsidRPr="00483AEE">
        <w:rPr>
          <w:szCs w:val="24"/>
        </w:rPr>
        <w:t xml:space="preserve">leve </w:t>
      </w:r>
      <w:r w:rsidR="002A78A7" w:rsidRPr="00483AEE">
        <w:rPr>
          <w:szCs w:val="24"/>
        </w:rPr>
        <w:t xml:space="preserve">retroceso del sector </w:t>
      </w:r>
      <w:r w:rsidR="002A78A7" w:rsidRPr="00483AEE">
        <w:rPr>
          <w:szCs w:val="24"/>
        </w:rPr>
        <w:lastRenderedPageBreak/>
        <w:t xml:space="preserve">microempresario/informal. </w:t>
      </w:r>
      <w:r w:rsidR="0089377E" w:rsidRPr="00483AEE">
        <w:rPr>
          <w:szCs w:val="24"/>
        </w:rPr>
        <w:t>De todos modos, debe puntualizarse que la recuperación fue restringida, y que la importancia del sector más moderno del empleo era, al término del período estudiado, similar a la que tenía en el mejor momento del ciclo de reformas neoliberales (</w:t>
      </w:r>
      <w:r w:rsidR="00BE7D8D" w:rsidRPr="00483AEE">
        <w:rPr>
          <w:szCs w:val="24"/>
        </w:rPr>
        <w:t>Gráfica</w:t>
      </w:r>
      <w:r w:rsidR="0089377E" w:rsidRPr="00483AEE">
        <w:rPr>
          <w:szCs w:val="24"/>
        </w:rPr>
        <w:t xml:space="preserve"> </w:t>
      </w:r>
      <w:r w:rsidR="00BE7D8D" w:rsidRPr="00483AEE">
        <w:rPr>
          <w:szCs w:val="24"/>
        </w:rPr>
        <w:t>2.</w:t>
      </w:r>
      <w:r w:rsidR="0089377E" w:rsidRPr="00483AEE">
        <w:rPr>
          <w:szCs w:val="24"/>
        </w:rPr>
        <w:t xml:space="preserve">3). </w:t>
      </w:r>
    </w:p>
    <w:p w:rsidR="002A78A7" w:rsidRPr="00483AEE" w:rsidRDefault="002A78A7" w:rsidP="00483AEE">
      <w:pPr>
        <w:spacing w:after="120" w:line="360" w:lineRule="auto"/>
        <w:jc w:val="both"/>
        <w:rPr>
          <w:szCs w:val="24"/>
        </w:rPr>
      </w:pPr>
      <w:r w:rsidRPr="00483AEE">
        <w:rPr>
          <w:szCs w:val="24"/>
        </w:rPr>
        <w:t>L</w:t>
      </w:r>
      <w:r w:rsidR="0043714A" w:rsidRPr="00483AEE">
        <w:rPr>
          <w:szCs w:val="24"/>
        </w:rPr>
        <w:t xml:space="preserve">a reducción del desempleo y una mayor regulación estatal de las relaciones laborales contribuyeron a una sostenida reducción del </w:t>
      </w:r>
      <w:r w:rsidRPr="00483AEE">
        <w:rPr>
          <w:szCs w:val="24"/>
        </w:rPr>
        <w:t xml:space="preserve">empleo no protegido entre los asalariados </w:t>
      </w:r>
      <w:r w:rsidR="0043714A" w:rsidRPr="00483AEE">
        <w:rPr>
          <w:szCs w:val="24"/>
        </w:rPr>
        <w:t>(</w:t>
      </w:r>
      <w:r w:rsidR="00BE7D8D" w:rsidRPr="00483AEE">
        <w:rPr>
          <w:szCs w:val="24"/>
        </w:rPr>
        <w:t>Gráfica</w:t>
      </w:r>
      <w:r w:rsidRPr="00483AEE">
        <w:rPr>
          <w:szCs w:val="24"/>
        </w:rPr>
        <w:t xml:space="preserve"> </w:t>
      </w:r>
      <w:r w:rsidR="00BE7D8D" w:rsidRPr="00483AEE">
        <w:rPr>
          <w:szCs w:val="24"/>
        </w:rPr>
        <w:t>2.</w:t>
      </w:r>
      <w:r w:rsidRPr="00483AEE">
        <w:rPr>
          <w:szCs w:val="24"/>
        </w:rPr>
        <w:t>4</w:t>
      </w:r>
      <w:r w:rsidR="0043714A" w:rsidRPr="00483AEE">
        <w:rPr>
          <w:szCs w:val="24"/>
        </w:rPr>
        <w:t xml:space="preserve">). Esta modificación ha sido señalada como una de las </w:t>
      </w:r>
      <w:r w:rsidRPr="00483AEE">
        <w:rPr>
          <w:szCs w:val="24"/>
        </w:rPr>
        <w:t>más significativas de la década,</w:t>
      </w:r>
      <w:r w:rsidR="0043714A" w:rsidRPr="00483AEE">
        <w:rPr>
          <w:szCs w:val="24"/>
        </w:rPr>
        <w:t xml:space="preserve"> a la vez que se ha subrayado la existencia de un importante contingente de la fuerza laboral que permanece fuera del espacio de las regulaciones</w:t>
      </w:r>
      <w:r w:rsidR="00FC5FFB" w:rsidRPr="00483AEE">
        <w:rPr>
          <w:szCs w:val="24"/>
        </w:rPr>
        <w:t>.</w:t>
      </w:r>
      <w:r w:rsidR="0043714A" w:rsidRPr="00483AEE">
        <w:rPr>
          <w:rStyle w:val="Refdenotaalpie"/>
          <w:szCs w:val="24"/>
        </w:rPr>
        <w:footnoteReference w:id="24"/>
      </w:r>
      <w:r w:rsidR="0043714A" w:rsidRPr="00483AEE">
        <w:rPr>
          <w:szCs w:val="24"/>
        </w:rPr>
        <w:t xml:space="preserve"> En efecto, la tendencia de largo plazo muestra la consolidación de un segmento secundario del empleo que constituye uno de los rasgos más destacados de las relaciones laborales generalizadas a partir de los años setenta.</w:t>
      </w:r>
      <w:r w:rsidRPr="00483AEE">
        <w:rPr>
          <w:szCs w:val="24"/>
        </w:rPr>
        <w:t xml:space="preserve"> En este contexto, durante el período de crecimiento económico bajo políticas heterodoxas tuvo lugar una recuperación de los ingresos salariales y de la renta empresarial, pero los primeros aumentaron más que los segundos (</w:t>
      </w:r>
      <w:r w:rsidR="00BE7D8D" w:rsidRPr="00483AEE">
        <w:rPr>
          <w:szCs w:val="24"/>
        </w:rPr>
        <w:t>Gráfica</w:t>
      </w:r>
      <w:r w:rsidRPr="00483AEE">
        <w:rPr>
          <w:szCs w:val="24"/>
        </w:rPr>
        <w:t xml:space="preserve"> </w:t>
      </w:r>
      <w:r w:rsidR="00BE7D8D" w:rsidRPr="00483AEE">
        <w:rPr>
          <w:szCs w:val="24"/>
        </w:rPr>
        <w:t>2.</w:t>
      </w:r>
      <w:r w:rsidRPr="00483AEE">
        <w:rPr>
          <w:szCs w:val="24"/>
        </w:rPr>
        <w:t xml:space="preserve">5). </w:t>
      </w:r>
      <w:r w:rsidR="00B57F30" w:rsidRPr="00483AEE">
        <w:rPr>
          <w:szCs w:val="24"/>
        </w:rPr>
        <w:t>Uno de los aspectos que más incidieron en la recuperación de los ingresos salariales fue el resurgimiento de las negociaciones paritarias colectivas, que permitieron ir recomponiendo salarios en un contexto de alta inflación. Al mismo tiempo, tuvo lugar un aumento sostenido del salario mínimo, que tuvo efectos positivos sobre los trabajadores peor posicionados en la estructura laboral (</w:t>
      </w:r>
      <w:r w:rsidR="00BE7D8D" w:rsidRPr="00483AEE">
        <w:rPr>
          <w:szCs w:val="24"/>
        </w:rPr>
        <w:t>Gráfica</w:t>
      </w:r>
      <w:r w:rsidR="00B57F30" w:rsidRPr="00483AEE">
        <w:rPr>
          <w:szCs w:val="24"/>
        </w:rPr>
        <w:t xml:space="preserve"> </w:t>
      </w:r>
      <w:r w:rsidR="00BE7D8D" w:rsidRPr="00483AEE">
        <w:rPr>
          <w:szCs w:val="24"/>
        </w:rPr>
        <w:t>2.</w:t>
      </w:r>
      <w:r w:rsidR="00B57F30" w:rsidRPr="00483AEE">
        <w:rPr>
          <w:szCs w:val="24"/>
        </w:rPr>
        <w:t xml:space="preserve">6). </w:t>
      </w:r>
    </w:p>
    <w:p w:rsidR="00430E05" w:rsidRPr="00483AEE" w:rsidRDefault="00B57F30" w:rsidP="00483AEE">
      <w:pPr>
        <w:spacing w:after="120" w:line="360" w:lineRule="auto"/>
        <w:jc w:val="both"/>
        <w:rPr>
          <w:szCs w:val="24"/>
        </w:rPr>
      </w:pPr>
      <w:r w:rsidRPr="00483AEE">
        <w:rPr>
          <w:szCs w:val="24"/>
        </w:rPr>
        <w:t xml:space="preserve">De esta manera, en relación con los </w:t>
      </w:r>
      <w:r w:rsidR="0043714A" w:rsidRPr="00483AEE">
        <w:rPr>
          <w:szCs w:val="24"/>
        </w:rPr>
        <w:t xml:space="preserve">ingresos laborales, tuvo lugar un doble proceso. Por un lado, luego de la devaluación de comienzo del nuevo siglo –que implicó una gran </w:t>
      </w:r>
      <w:r w:rsidR="00FC5FFB" w:rsidRPr="00483AEE">
        <w:rPr>
          <w:szCs w:val="24"/>
        </w:rPr>
        <w:t>retracción de los</w:t>
      </w:r>
      <w:r w:rsidR="0043714A" w:rsidRPr="00483AEE">
        <w:rPr>
          <w:szCs w:val="24"/>
        </w:rPr>
        <w:t xml:space="preserve"> ingresos</w:t>
      </w:r>
      <w:r w:rsidR="00FC5FFB" w:rsidRPr="00483AEE">
        <w:rPr>
          <w:szCs w:val="24"/>
        </w:rPr>
        <w:t xml:space="preserve"> laborales</w:t>
      </w:r>
      <w:r w:rsidR="0043714A" w:rsidRPr="00483AEE">
        <w:rPr>
          <w:szCs w:val="24"/>
        </w:rPr>
        <w:t xml:space="preserve">-, tuvo lugar un proceso de recomposición sostenido hasta mediados de la década. </w:t>
      </w:r>
      <w:r w:rsidR="00430E05" w:rsidRPr="00483AEE">
        <w:rPr>
          <w:szCs w:val="24"/>
        </w:rPr>
        <w:t xml:space="preserve">Algunos investigadores han </w:t>
      </w:r>
      <w:r w:rsidR="00EA3C22" w:rsidRPr="00483AEE">
        <w:rPr>
          <w:szCs w:val="24"/>
        </w:rPr>
        <w:t xml:space="preserve">asignado un papel prioritario en la retracción global observada de la desigualdad a </w:t>
      </w:r>
      <w:r w:rsidR="00430E05" w:rsidRPr="00483AEE">
        <w:rPr>
          <w:szCs w:val="24"/>
        </w:rPr>
        <w:t>la recomposición de ingresos y</w:t>
      </w:r>
      <w:r w:rsidR="00EA3C22" w:rsidRPr="00483AEE">
        <w:rPr>
          <w:szCs w:val="24"/>
        </w:rPr>
        <w:t>, especialmente,</w:t>
      </w:r>
      <w:r w:rsidR="00430E05" w:rsidRPr="00483AEE">
        <w:rPr>
          <w:szCs w:val="24"/>
        </w:rPr>
        <w:t xml:space="preserve"> </w:t>
      </w:r>
      <w:r w:rsidR="00EA3C22" w:rsidRPr="00483AEE">
        <w:rPr>
          <w:szCs w:val="24"/>
        </w:rPr>
        <w:t>a</w:t>
      </w:r>
      <w:r w:rsidR="00430E05" w:rsidRPr="00483AEE">
        <w:rPr>
          <w:szCs w:val="24"/>
        </w:rPr>
        <w:t>l aumento de la demanda de empleo de baja o media calificación</w:t>
      </w:r>
      <w:r w:rsidR="00EA3C22" w:rsidRPr="00483AEE">
        <w:rPr>
          <w:szCs w:val="24"/>
        </w:rPr>
        <w:t>. Destacan la reducción observada en los retornos educativos de la fuerza de trabajo más calificada</w:t>
      </w:r>
      <w:r w:rsidR="00430E05" w:rsidRPr="00483AEE">
        <w:rPr>
          <w:szCs w:val="24"/>
        </w:rPr>
        <w:t xml:space="preserve"> (Beccaria, </w:t>
      </w:r>
      <w:proofErr w:type="spellStart"/>
      <w:r w:rsidR="00430E05" w:rsidRPr="00483AEE">
        <w:rPr>
          <w:szCs w:val="24"/>
        </w:rPr>
        <w:t>Maurizio</w:t>
      </w:r>
      <w:proofErr w:type="spellEnd"/>
      <w:r w:rsidR="00430E05" w:rsidRPr="00483AEE">
        <w:rPr>
          <w:szCs w:val="24"/>
        </w:rPr>
        <w:t xml:space="preserve"> y Vázquez, 2015; </w:t>
      </w:r>
      <w:r w:rsidR="008307E5" w:rsidRPr="00483AEE">
        <w:rPr>
          <w:szCs w:val="24"/>
        </w:rPr>
        <w:t>Cruces y Gasparini</w:t>
      </w:r>
      <w:r w:rsidR="00430E05" w:rsidRPr="00483AEE">
        <w:rPr>
          <w:szCs w:val="24"/>
        </w:rPr>
        <w:t xml:space="preserve">, 2009; Trujillo y Villafañe, 2011). </w:t>
      </w:r>
      <w:r w:rsidR="00EA3C22" w:rsidRPr="00483AEE">
        <w:rPr>
          <w:szCs w:val="24"/>
        </w:rPr>
        <w:t xml:space="preserve">No obstante, resulta conveniente </w:t>
      </w:r>
      <w:r w:rsidR="00430E05" w:rsidRPr="00483AEE">
        <w:rPr>
          <w:szCs w:val="24"/>
        </w:rPr>
        <w:t xml:space="preserve">no perder de vista que se mantuvieron niveles de desigualdad </w:t>
      </w:r>
      <w:r w:rsidR="00CB19CF" w:rsidRPr="00483AEE">
        <w:rPr>
          <w:szCs w:val="24"/>
        </w:rPr>
        <w:t>originados</w:t>
      </w:r>
      <w:r w:rsidR="00430E05" w:rsidRPr="00483AEE">
        <w:rPr>
          <w:szCs w:val="24"/>
        </w:rPr>
        <w:t xml:space="preserve"> </w:t>
      </w:r>
      <w:r w:rsidR="00EA3C22" w:rsidRPr="00483AEE">
        <w:rPr>
          <w:szCs w:val="24"/>
        </w:rPr>
        <w:t>en</w:t>
      </w:r>
      <w:r w:rsidR="00430E05" w:rsidRPr="00483AEE">
        <w:rPr>
          <w:szCs w:val="24"/>
        </w:rPr>
        <w:t xml:space="preserve"> la inserción sectorial de la fuerza de trabajo, </w:t>
      </w:r>
      <w:r w:rsidR="00C739DC" w:rsidRPr="00483AEE">
        <w:rPr>
          <w:szCs w:val="24"/>
        </w:rPr>
        <w:t>aun</w:t>
      </w:r>
      <w:r w:rsidR="00430E05" w:rsidRPr="00483AEE">
        <w:rPr>
          <w:szCs w:val="24"/>
        </w:rPr>
        <w:t xml:space="preserve"> controlando los niveles educativos (Salvia, Robles y </w:t>
      </w:r>
      <w:proofErr w:type="spellStart"/>
      <w:r w:rsidR="00430E05" w:rsidRPr="00483AEE">
        <w:rPr>
          <w:szCs w:val="24"/>
        </w:rPr>
        <w:t>Fachal</w:t>
      </w:r>
      <w:proofErr w:type="spellEnd"/>
      <w:r w:rsidR="00430E05" w:rsidRPr="00483AEE">
        <w:rPr>
          <w:szCs w:val="24"/>
        </w:rPr>
        <w:t>, 201</w:t>
      </w:r>
      <w:r w:rsidR="00EA3C22" w:rsidRPr="00483AEE">
        <w:rPr>
          <w:szCs w:val="24"/>
        </w:rPr>
        <w:t>6</w:t>
      </w:r>
      <w:r w:rsidR="00430E05" w:rsidRPr="00483AEE">
        <w:rPr>
          <w:szCs w:val="24"/>
        </w:rPr>
        <w:t xml:space="preserve">); </w:t>
      </w:r>
      <w:r w:rsidR="00CB19CF" w:rsidRPr="00483AEE">
        <w:rPr>
          <w:szCs w:val="24"/>
        </w:rPr>
        <w:t xml:space="preserve">en tanto </w:t>
      </w:r>
      <w:r w:rsidR="00CB19CF" w:rsidRPr="00483AEE">
        <w:rPr>
          <w:szCs w:val="24"/>
        </w:rPr>
        <w:lastRenderedPageBreak/>
        <w:t>los ingresos laborales originados en el sector informal acentuaron su contribución a la desigualdad como correlato del empobrecimiento de este sector (Salvia y Vera, 2013). Ello contribuiría a entender que en la evolución de largo plazo del mercado de trabajo urbano se registre una tendencia a la ampliación de las brechas de ingresos, como expresión de la dispersión de productividades luego de los diversos ensayos de apertura económica y la insuficiencia del ciclo heterodoxo para revertir estructuralmente esos comportamientos (</w:t>
      </w:r>
      <w:r w:rsidR="00BE7D8D" w:rsidRPr="00483AEE">
        <w:rPr>
          <w:szCs w:val="24"/>
        </w:rPr>
        <w:t>Gráfica</w:t>
      </w:r>
      <w:r w:rsidR="00CB19CF" w:rsidRPr="00483AEE">
        <w:rPr>
          <w:szCs w:val="24"/>
        </w:rPr>
        <w:t xml:space="preserve"> </w:t>
      </w:r>
      <w:r w:rsidR="00BE7D8D" w:rsidRPr="00483AEE">
        <w:rPr>
          <w:szCs w:val="24"/>
        </w:rPr>
        <w:t>2.</w:t>
      </w:r>
      <w:r w:rsidR="00CB19CF" w:rsidRPr="00483AEE">
        <w:rPr>
          <w:szCs w:val="24"/>
        </w:rPr>
        <w:t>7).</w:t>
      </w:r>
    </w:p>
    <w:p w:rsidR="0043714A" w:rsidRPr="00153819" w:rsidRDefault="000F2E69" w:rsidP="00153819">
      <w:pPr>
        <w:keepNext/>
        <w:spacing w:before="360" w:after="120" w:line="360" w:lineRule="auto"/>
        <w:jc w:val="center"/>
        <w:rPr>
          <w:rFonts w:eastAsia="Times New Roman"/>
          <w:b/>
          <w:bCs/>
          <w:szCs w:val="24"/>
          <w:lang w:val="es-ES" w:eastAsia="es-ES"/>
        </w:rPr>
      </w:pPr>
      <w:r w:rsidRPr="00153819">
        <w:rPr>
          <w:rFonts w:eastAsia="Times New Roman"/>
          <w:b/>
          <w:bCs/>
          <w:szCs w:val="24"/>
          <w:lang w:val="es-ES" w:eastAsia="es-ES"/>
        </w:rPr>
        <w:t>4</w:t>
      </w:r>
      <w:r w:rsidR="0043714A" w:rsidRPr="00153819">
        <w:rPr>
          <w:rFonts w:eastAsia="Times New Roman"/>
          <w:b/>
          <w:bCs/>
          <w:szCs w:val="24"/>
          <w:lang w:val="es-ES" w:eastAsia="es-ES"/>
        </w:rPr>
        <w:t>.- La intervención redistrib</w:t>
      </w:r>
      <w:r w:rsidR="00B57F30" w:rsidRPr="00153819">
        <w:rPr>
          <w:rFonts w:eastAsia="Times New Roman"/>
          <w:b/>
          <w:bCs/>
          <w:szCs w:val="24"/>
          <w:lang w:val="es-ES" w:eastAsia="es-ES"/>
        </w:rPr>
        <w:t>utiva del Estado a través de</w:t>
      </w:r>
      <w:r w:rsidR="0043714A" w:rsidRPr="00153819">
        <w:rPr>
          <w:rFonts w:eastAsia="Times New Roman"/>
          <w:b/>
          <w:bCs/>
          <w:szCs w:val="24"/>
          <w:lang w:val="es-ES" w:eastAsia="es-ES"/>
        </w:rPr>
        <w:t xml:space="preserve"> políticas sociales</w:t>
      </w:r>
    </w:p>
    <w:p w:rsidR="00FC5FFB" w:rsidRPr="00483AEE" w:rsidRDefault="0043714A" w:rsidP="00483AEE">
      <w:pPr>
        <w:spacing w:after="120" w:line="360" w:lineRule="auto"/>
        <w:jc w:val="both"/>
        <w:rPr>
          <w:szCs w:val="24"/>
        </w:rPr>
      </w:pPr>
      <w:r w:rsidRPr="00483AEE">
        <w:rPr>
          <w:szCs w:val="24"/>
        </w:rPr>
        <w:t xml:space="preserve">Los ingresos de origen laboral </w:t>
      </w:r>
      <w:r w:rsidR="00AD0889" w:rsidRPr="00483AEE">
        <w:rPr>
          <w:szCs w:val="24"/>
        </w:rPr>
        <w:t>constituyen la principal fuente de ingresos que hace posible la reproducción de la vida familiar.</w:t>
      </w:r>
      <w:r w:rsidR="00FC5FFB" w:rsidRPr="00483AEE">
        <w:rPr>
          <w:szCs w:val="24"/>
        </w:rPr>
        <w:t xml:space="preserve"> Durante todo el período analizado, los ingresos laborales constituyeron </w:t>
      </w:r>
      <w:r w:rsidR="0089377E" w:rsidRPr="00483AEE">
        <w:rPr>
          <w:szCs w:val="24"/>
        </w:rPr>
        <w:t xml:space="preserve">más de </w:t>
      </w:r>
      <w:r w:rsidR="00FC5FFB" w:rsidRPr="00483AEE">
        <w:rPr>
          <w:szCs w:val="24"/>
        </w:rPr>
        <w:t>80% de los ingresos familiares</w:t>
      </w:r>
      <w:r w:rsidR="00E13016" w:rsidRPr="00483AEE">
        <w:rPr>
          <w:szCs w:val="24"/>
        </w:rPr>
        <w:t>, aunque con una tendencia a la baja (</w:t>
      </w:r>
      <w:r w:rsidR="0089377E" w:rsidRPr="00483AEE">
        <w:rPr>
          <w:szCs w:val="24"/>
        </w:rPr>
        <w:t xml:space="preserve">como se verá en el </w:t>
      </w:r>
      <w:r w:rsidR="0089377E" w:rsidRPr="00483AEE">
        <w:rPr>
          <w:szCs w:val="24"/>
          <w:highlight w:val="yellow"/>
        </w:rPr>
        <w:t xml:space="preserve">capítulo </w:t>
      </w:r>
      <w:r w:rsidR="00C739DC" w:rsidRPr="00483AEE">
        <w:rPr>
          <w:szCs w:val="24"/>
          <w:highlight w:val="yellow"/>
        </w:rPr>
        <w:t>4</w:t>
      </w:r>
      <w:r w:rsidR="0089377E" w:rsidRPr="00483AEE">
        <w:rPr>
          <w:szCs w:val="24"/>
        </w:rPr>
        <w:t xml:space="preserve"> de este libro</w:t>
      </w:r>
      <w:r w:rsidR="00E13016" w:rsidRPr="00483AEE">
        <w:rPr>
          <w:szCs w:val="24"/>
        </w:rPr>
        <w:t>)</w:t>
      </w:r>
      <w:r w:rsidR="00FC5FFB" w:rsidRPr="00483AEE">
        <w:rPr>
          <w:szCs w:val="24"/>
        </w:rPr>
        <w:t xml:space="preserve">. </w:t>
      </w:r>
      <w:r w:rsidR="00AD0889" w:rsidRPr="00483AEE">
        <w:rPr>
          <w:szCs w:val="24"/>
        </w:rPr>
        <w:t xml:space="preserve"> </w:t>
      </w:r>
      <w:r w:rsidR="00E13016" w:rsidRPr="00483AEE">
        <w:rPr>
          <w:szCs w:val="24"/>
        </w:rPr>
        <w:t>El comple</w:t>
      </w:r>
      <w:r w:rsidR="0089377E" w:rsidRPr="00483AEE">
        <w:rPr>
          <w:szCs w:val="24"/>
        </w:rPr>
        <w:t>men</w:t>
      </w:r>
      <w:r w:rsidR="00E13016" w:rsidRPr="00483AEE">
        <w:rPr>
          <w:szCs w:val="24"/>
        </w:rPr>
        <w:t>to lo constituyen tanto las transferencias surgidas por las políticas sociales a cargo del Estado (jubilaciones, pensiones, programas sociales) como las transferencias no laborales entre privados (rentas, alquileres, regalos, préstamos, etc.)</w:t>
      </w:r>
      <w:r w:rsidR="004300E5" w:rsidRPr="00483AEE">
        <w:rPr>
          <w:szCs w:val="24"/>
        </w:rPr>
        <w:t xml:space="preserve">. A diferencia del resto de los componentes, el primero de ellos -las transferencias surgidas de las políticas sociales- interviene en el proceso distributivo y en la configuración de las desigualdades económicas a partir de decisiones de </w:t>
      </w:r>
      <w:r w:rsidR="00DA39C6" w:rsidRPr="00483AEE">
        <w:rPr>
          <w:szCs w:val="24"/>
        </w:rPr>
        <w:t>orden político</w:t>
      </w:r>
      <w:r w:rsidR="004300E5" w:rsidRPr="00483AEE">
        <w:rPr>
          <w:szCs w:val="24"/>
        </w:rPr>
        <w:t xml:space="preserve"> a cargo del Estado.  </w:t>
      </w:r>
      <w:r w:rsidR="00E13016" w:rsidRPr="00483AEE">
        <w:rPr>
          <w:szCs w:val="24"/>
        </w:rPr>
        <w:t xml:space="preserve"> </w:t>
      </w:r>
    </w:p>
    <w:p w:rsidR="0043714A" w:rsidRPr="00483AEE" w:rsidRDefault="00E13016" w:rsidP="00483AEE">
      <w:pPr>
        <w:spacing w:after="120" w:line="360" w:lineRule="auto"/>
        <w:jc w:val="both"/>
        <w:rPr>
          <w:szCs w:val="24"/>
        </w:rPr>
      </w:pPr>
      <w:r w:rsidRPr="00483AEE">
        <w:rPr>
          <w:szCs w:val="24"/>
        </w:rPr>
        <w:t>La</w:t>
      </w:r>
      <w:r w:rsidR="0043714A" w:rsidRPr="00483AEE">
        <w:rPr>
          <w:szCs w:val="24"/>
        </w:rPr>
        <w:t xml:space="preserve"> etapa final del modelo de acumulación </w:t>
      </w:r>
      <w:r w:rsidR="00567C7A" w:rsidRPr="00483AEE">
        <w:rPr>
          <w:szCs w:val="24"/>
        </w:rPr>
        <w:t>ISI</w:t>
      </w:r>
      <w:r w:rsidR="0043714A" w:rsidRPr="00483AEE">
        <w:rPr>
          <w:szCs w:val="24"/>
        </w:rPr>
        <w:t xml:space="preserve"> coincidió con un cambio en la orientación de la intervención estatal que algunos autores caracterizan como el pasaje de un “Estado social” a un Estado “subsidiario” o “neoclásico”, de inspiración neoliberal (</w:t>
      </w:r>
      <w:proofErr w:type="spellStart"/>
      <w:r w:rsidR="0043714A" w:rsidRPr="00483AEE">
        <w:rPr>
          <w:szCs w:val="24"/>
        </w:rPr>
        <w:t>Belmartino</w:t>
      </w:r>
      <w:proofErr w:type="spellEnd"/>
      <w:r w:rsidR="0043714A" w:rsidRPr="00483AEE">
        <w:rPr>
          <w:szCs w:val="24"/>
        </w:rPr>
        <w:t xml:space="preserve">, 2010; </w:t>
      </w:r>
      <w:proofErr w:type="spellStart"/>
      <w:r w:rsidR="0043714A" w:rsidRPr="00483AEE">
        <w:rPr>
          <w:szCs w:val="24"/>
        </w:rPr>
        <w:t>Soldano</w:t>
      </w:r>
      <w:proofErr w:type="spellEnd"/>
      <w:r w:rsidR="0043714A" w:rsidRPr="00483AEE">
        <w:rPr>
          <w:szCs w:val="24"/>
        </w:rPr>
        <w:t xml:space="preserve"> y </w:t>
      </w:r>
      <w:proofErr w:type="spellStart"/>
      <w:r w:rsidR="0043714A" w:rsidRPr="00483AEE">
        <w:rPr>
          <w:szCs w:val="24"/>
        </w:rPr>
        <w:t>Andrenacci</w:t>
      </w:r>
      <w:proofErr w:type="spellEnd"/>
      <w:r w:rsidR="0043714A" w:rsidRPr="00483AEE">
        <w:rPr>
          <w:szCs w:val="24"/>
        </w:rPr>
        <w:t xml:space="preserve">, 2005). </w:t>
      </w:r>
      <w:r w:rsidR="00AD0889" w:rsidRPr="00483AEE">
        <w:rPr>
          <w:szCs w:val="24"/>
        </w:rPr>
        <w:t>Por su parte</w:t>
      </w:r>
      <w:r w:rsidR="0043714A" w:rsidRPr="00483AEE">
        <w:rPr>
          <w:szCs w:val="24"/>
        </w:rPr>
        <w:t>, l</w:t>
      </w:r>
      <w:r w:rsidR="00AD0889" w:rsidRPr="00483AEE">
        <w:rPr>
          <w:szCs w:val="24"/>
        </w:rPr>
        <w:t xml:space="preserve">a última década y media fue </w:t>
      </w:r>
      <w:r w:rsidR="0043714A" w:rsidRPr="00483AEE">
        <w:rPr>
          <w:szCs w:val="24"/>
        </w:rPr>
        <w:t xml:space="preserve">testigo de un nuevo cambio de orientación de la política social. </w:t>
      </w:r>
      <w:r w:rsidR="00E9450B" w:rsidRPr="00483AEE">
        <w:rPr>
          <w:szCs w:val="24"/>
        </w:rPr>
        <w:t>En lo que sigue, se propone una breve recapitulación de lo ocurrido en cada uno de los períodos considerados, tomando en cuenta los efectos</w:t>
      </w:r>
      <w:r w:rsidR="00753417" w:rsidRPr="00483AEE">
        <w:rPr>
          <w:szCs w:val="24"/>
        </w:rPr>
        <w:t xml:space="preserve"> a nivel</w:t>
      </w:r>
      <w:r w:rsidR="00E9450B" w:rsidRPr="00483AEE">
        <w:rPr>
          <w:szCs w:val="24"/>
        </w:rPr>
        <w:t xml:space="preserve"> </w:t>
      </w:r>
      <w:r w:rsidR="00753417" w:rsidRPr="00483AEE">
        <w:rPr>
          <w:szCs w:val="24"/>
        </w:rPr>
        <w:t>de</w:t>
      </w:r>
      <w:r w:rsidR="00E9450B" w:rsidRPr="00483AEE">
        <w:rPr>
          <w:szCs w:val="24"/>
        </w:rPr>
        <w:t xml:space="preserve"> la desigualdad distributiva y las condiciones de vida de los hogares</w:t>
      </w:r>
      <w:r w:rsidRPr="00483AEE">
        <w:rPr>
          <w:szCs w:val="24"/>
        </w:rPr>
        <w:t>.</w:t>
      </w:r>
      <w:r w:rsidR="0043714A" w:rsidRPr="00483AEE">
        <w:rPr>
          <w:rStyle w:val="Refdenotaalpie"/>
          <w:szCs w:val="24"/>
        </w:rPr>
        <w:footnoteReference w:id="25"/>
      </w:r>
      <w:r w:rsidR="00567C7A" w:rsidRPr="00483AEE">
        <w:rPr>
          <w:szCs w:val="24"/>
        </w:rPr>
        <w:t xml:space="preserve"> La evidencia empírica en la que se apoyan estos análisis se presenta en las </w:t>
      </w:r>
      <w:r w:rsidR="00BE7D8D" w:rsidRPr="00483AEE">
        <w:rPr>
          <w:szCs w:val="24"/>
        </w:rPr>
        <w:t>Gráfica</w:t>
      </w:r>
      <w:r w:rsidR="00567C7A" w:rsidRPr="00483AEE">
        <w:rPr>
          <w:szCs w:val="24"/>
        </w:rPr>
        <w:t xml:space="preserve">s </w:t>
      </w:r>
      <w:r w:rsidR="00BE7D8D" w:rsidRPr="00483AEE">
        <w:rPr>
          <w:szCs w:val="24"/>
        </w:rPr>
        <w:t>2.</w:t>
      </w:r>
      <w:r w:rsidR="00567C7A" w:rsidRPr="00483AEE">
        <w:rPr>
          <w:szCs w:val="24"/>
        </w:rPr>
        <w:t xml:space="preserve">8 a </w:t>
      </w:r>
      <w:r w:rsidR="00BE7D8D" w:rsidRPr="00483AEE">
        <w:rPr>
          <w:szCs w:val="24"/>
        </w:rPr>
        <w:t>2.</w:t>
      </w:r>
      <w:r w:rsidR="00567C7A" w:rsidRPr="00483AEE">
        <w:rPr>
          <w:szCs w:val="24"/>
        </w:rPr>
        <w:t>1</w:t>
      </w:r>
      <w:r w:rsidR="00B21A96" w:rsidRPr="00483AEE">
        <w:rPr>
          <w:szCs w:val="24"/>
        </w:rPr>
        <w:t>0</w:t>
      </w:r>
      <w:r w:rsidR="00567C7A" w:rsidRPr="00483AEE">
        <w:rPr>
          <w:szCs w:val="24"/>
        </w:rPr>
        <w:t xml:space="preserve"> </w:t>
      </w:r>
      <w:r w:rsidR="00F00E03" w:rsidRPr="00483AEE">
        <w:rPr>
          <w:szCs w:val="24"/>
        </w:rPr>
        <w:t>y 2.</w:t>
      </w:r>
      <w:r w:rsidR="00567C7A" w:rsidRPr="00483AEE">
        <w:rPr>
          <w:szCs w:val="24"/>
        </w:rPr>
        <w:t>1</w:t>
      </w:r>
      <w:r w:rsidR="00B21A96" w:rsidRPr="00483AEE">
        <w:rPr>
          <w:szCs w:val="24"/>
        </w:rPr>
        <w:t>1</w:t>
      </w:r>
      <w:r w:rsidR="00567C7A" w:rsidRPr="00483AEE">
        <w:rPr>
          <w:szCs w:val="24"/>
        </w:rPr>
        <w:t xml:space="preserve"> a </w:t>
      </w:r>
      <w:r w:rsidR="00F00E03" w:rsidRPr="00483AEE">
        <w:rPr>
          <w:szCs w:val="24"/>
        </w:rPr>
        <w:t>2.</w:t>
      </w:r>
      <w:r w:rsidR="00567C7A" w:rsidRPr="00483AEE">
        <w:rPr>
          <w:szCs w:val="24"/>
        </w:rPr>
        <w:t>1</w:t>
      </w:r>
      <w:r w:rsidR="00B21A96" w:rsidRPr="00483AEE">
        <w:rPr>
          <w:szCs w:val="24"/>
        </w:rPr>
        <w:t>2</w:t>
      </w:r>
      <w:r w:rsidR="00567C7A" w:rsidRPr="00483AEE">
        <w:rPr>
          <w:szCs w:val="24"/>
        </w:rPr>
        <w:t xml:space="preserve">. </w:t>
      </w:r>
    </w:p>
    <w:p w:rsidR="00326710" w:rsidRPr="00483AEE" w:rsidRDefault="00BE7D8D" w:rsidP="00153819">
      <w:pPr>
        <w:keepNext/>
        <w:spacing w:before="360" w:after="120" w:line="240" w:lineRule="auto"/>
        <w:jc w:val="both"/>
        <w:rPr>
          <w:b/>
          <w:szCs w:val="24"/>
        </w:rPr>
      </w:pPr>
      <w:r w:rsidRPr="00483AEE">
        <w:rPr>
          <w:b/>
          <w:szCs w:val="24"/>
        </w:rPr>
        <w:lastRenderedPageBreak/>
        <w:t>Gráfica</w:t>
      </w:r>
      <w:r w:rsidR="00326710" w:rsidRPr="00483AEE">
        <w:rPr>
          <w:b/>
          <w:szCs w:val="24"/>
        </w:rPr>
        <w:t xml:space="preserve"> </w:t>
      </w:r>
      <w:r w:rsidRPr="00483AEE">
        <w:rPr>
          <w:b/>
          <w:szCs w:val="24"/>
        </w:rPr>
        <w:t>2.</w:t>
      </w:r>
      <w:r w:rsidR="00B21A96" w:rsidRPr="00483AEE">
        <w:rPr>
          <w:b/>
          <w:szCs w:val="24"/>
        </w:rPr>
        <w:t>8</w:t>
      </w:r>
      <w:r w:rsidR="00326710" w:rsidRPr="00483AEE">
        <w:rPr>
          <w:b/>
          <w:szCs w:val="24"/>
        </w:rPr>
        <w:t>. Gasto público consolidado en jubilaciones y pensiones y gasto público social. Gobiernos nacional, provincial y municipal. Argentina, 1980-2014.</w:t>
      </w:r>
    </w:p>
    <w:p w:rsidR="00326710" w:rsidRPr="00153819" w:rsidRDefault="00326710" w:rsidP="00153819">
      <w:pPr>
        <w:keepNext/>
        <w:spacing w:after="0" w:line="240" w:lineRule="auto"/>
        <w:jc w:val="both"/>
        <w:rPr>
          <w:i/>
          <w:sz w:val="20"/>
          <w:szCs w:val="24"/>
        </w:rPr>
      </w:pPr>
      <w:r w:rsidRPr="00153819">
        <w:rPr>
          <w:i/>
          <w:sz w:val="20"/>
          <w:szCs w:val="24"/>
        </w:rPr>
        <w:t>En porcentaje del PIB.</w:t>
      </w:r>
    </w:p>
    <w:p w:rsidR="00326710" w:rsidRDefault="00C540B9" w:rsidP="00153819">
      <w:pPr>
        <w:keepNext/>
        <w:spacing w:after="120" w:line="240" w:lineRule="auto"/>
        <w:jc w:val="both"/>
        <w:rPr>
          <w:rFonts w:ascii="Calibri" w:hAnsi="Calibri"/>
          <w:szCs w:val="24"/>
        </w:rPr>
      </w:pPr>
      <w:r w:rsidRPr="00713BBE">
        <w:rPr>
          <w:rFonts w:ascii="Calibri" w:hAnsi="Calibri"/>
          <w:noProof/>
          <w:szCs w:val="24"/>
          <w:lang w:eastAsia="es-AR"/>
        </w:rPr>
        <w:drawing>
          <wp:inline distT="0" distB="0" distL="0" distR="0">
            <wp:extent cx="5437438" cy="2402731"/>
            <wp:effectExtent l="0" t="0" r="0" b="0"/>
            <wp:docPr id="9"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5" cstate="print">
                      <a:extLst>
                        <a:ext uri="{28A0092B-C50C-407E-A947-70E740481C1C}">
                          <a14:useLocalDpi xmlns:a14="http://schemas.microsoft.com/office/drawing/2010/main" val="0"/>
                        </a:ext>
                      </a:extLst>
                    </a:blip>
                    <a:srcRect b="6415"/>
                    <a:stretch>
                      <a:fillRect/>
                    </a:stretch>
                  </pic:blipFill>
                  <pic:spPr bwMode="auto">
                    <a:xfrm>
                      <a:off x="0" y="0"/>
                      <a:ext cx="5444258" cy="2405745"/>
                    </a:xfrm>
                    <a:prstGeom prst="rect">
                      <a:avLst/>
                    </a:prstGeom>
                    <a:noFill/>
                    <a:ln>
                      <a:noFill/>
                    </a:ln>
                  </pic:spPr>
                </pic:pic>
              </a:graphicData>
            </a:graphic>
          </wp:inline>
        </w:drawing>
      </w:r>
    </w:p>
    <w:p w:rsidR="008076EF" w:rsidRPr="00153819" w:rsidRDefault="008076EF" w:rsidP="00153819">
      <w:pPr>
        <w:spacing w:after="360" w:line="240" w:lineRule="auto"/>
        <w:jc w:val="both"/>
        <w:rPr>
          <w:sz w:val="18"/>
          <w:szCs w:val="18"/>
        </w:rPr>
      </w:pPr>
      <w:r w:rsidRPr="00153819">
        <w:rPr>
          <w:sz w:val="18"/>
          <w:szCs w:val="18"/>
        </w:rPr>
        <w:t xml:space="preserve">Fuente: </w:t>
      </w:r>
      <w:r w:rsidR="00153819" w:rsidRPr="00153819">
        <w:rPr>
          <w:sz w:val="18"/>
          <w:szCs w:val="18"/>
        </w:rPr>
        <w:t>elaboración propia a partir de</w:t>
      </w:r>
      <w:r w:rsidRPr="00153819">
        <w:rPr>
          <w:sz w:val="18"/>
          <w:szCs w:val="18"/>
        </w:rPr>
        <w:t xml:space="preserve"> Dirección de Análisis de Política Fiscal y de Ingresos - Secretaría de Política Económica y Planificación del Desarrollo en base a Secretaría de Hacienda (MECON).</w:t>
      </w:r>
    </w:p>
    <w:p w:rsidR="00127FDE" w:rsidRPr="00483AEE" w:rsidRDefault="00127FDE" w:rsidP="00483AEE">
      <w:pPr>
        <w:spacing w:after="120" w:line="360" w:lineRule="auto"/>
        <w:jc w:val="both"/>
        <w:rPr>
          <w:szCs w:val="24"/>
        </w:rPr>
      </w:pPr>
      <w:r w:rsidRPr="00483AEE">
        <w:rPr>
          <w:szCs w:val="24"/>
        </w:rPr>
        <w:t>Desde la Posguerra se fue configurando en la Argentina la versión doméstica del “Estado social”, una de cuyas principales características fue la expansión del sistema de protección que tuvo como protagonista central a las jubilaciones y pensiones. El modelo predominante de protección estuvo basado, por lo tanto, en la regulación estatal de las relaciones laborales y en la expansión correlativa del mercado de trabajo formal, que era la base de sustentabilidad del sistema previsional</w:t>
      </w:r>
      <w:r w:rsidR="00E13016" w:rsidRPr="00483AEE">
        <w:rPr>
          <w:szCs w:val="24"/>
        </w:rPr>
        <w:t>.</w:t>
      </w:r>
      <w:r w:rsidRPr="00483AEE">
        <w:rPr>
          <w:rStyle w:val="Refdenotaalpie"/>
          <w:szCs w:val="24"/>
        </w:rPr>
        <w:footnoteReference w:id="26"/>
      </w:r>
      <w:r w:rsidRPr="00483AEE">
        <w:rPr>
          <w:szCs w:val="24"/>
        </w:rPr>
        <w:t xml:space="preserve"> Dicho sistema fue consolidándose en etapas sucesivas entre los años cincuenta y sesenta, cuando se centralizó definitivamente (si bien persistieron numerosos sistemas de nivel </w:t>
      </w:r>
      <w:r w:rsidR="00153819" w:rsidRPr="00483AEE">
        <w:rPr>
          <w:szCs w:val="24"/>
        </w:rPr>
        <w:t>subnacional</w:t>
      </w:r>
      <w:r w:rsidRPr="00483AEE">
        <w:rPr>
          <w:szCs w:val="24"/>
        </w:rPr>
        <w:t xml:space="preserve"> o específicos de determinadas actividades). </w:t>
      </w:r>
    </w:p>
    <w:p w:rsidR="00127FDE" w:rsidRDefault="00127FDE" w:rsidP="00483AEE">
      <w:pPr>
        <w:spacing w:after="120" w:line="360" w:lineRule="auto"/>
        <w:jc w:val="both"/>
        <w:rPr>
          <w:szCs w:val="24"/>
        </w:rPr>
      </w:pPr>
      <w:r w:rsidRPr="00483AEE">
        <w:rPr>
          <w:szCs w:val="24"/>
        </w:rPr>
        <w:t xml:space="preserve">Sin embargo, el sistema previsional fue acumulando tensiones financieras crecientes, vinculadas a la maduración del sistema, la laxitud de los requerimientos para acceder a beneficios, la alta inflación y la utilización de los recursos para cubrir otros gastos fiscales (Arza, 2010). En paralelo, el otro pilar redistributivo del “Estado social” fue la expansión del sistema de asignaciones familiares, las que constituían una suma fija por cada menor de edad a cargo del trabajador. Este sistema siguió un derrotero similar al del sistema previsional, si bien no alcanzó idéntico grado de centralización. De todos </w:t>
      </w:r>
      <w:r w:rsidRPr="00483AEE">
        <w:rPr>
          <w:szCs w:val="24"/>
        </w:rPr>
        <w:lastRenderedPageBreak/>
        <w:t>modos, se constituyó en una pieza clave de un modelo de bienestar de base contributiva</w:t>
      </w:r>
      <w:r w:rsidR="00E13016" w:rsidRPr="00483AEE">
        <w:rPr>
          <w:szCs w:val="24"/>
        </w:rPr>
        <w:t>.</w:t>
      </w:r>
      <w:r w:rsidRPr="00483AEE">
        <w:rPr>
          <w:rStyle w:val="Refdenotaalpie"/>
          <w:szCs w:val="24"/>
        </w:rPr>
        <w:footnoteReference w:id="27"/>
      </w:r>
      <w:r w:rsidRPr="00483AEE">
        <w:rPr>
          <w:szCs w:val="24"/>
        </w:rPr>
        <w:t xml:space="preserve"> </w:t>
      </w:r>
    </w:p>
    <w:p w:rsidR="00153819" w:rsidRPr="00483AEE" w:rsidRDefault="00153819" w:rsidP="00153819">
      <w:pPr>
        <w:keepNext/>
        <w:spacing w:before="360" w:after="120" w:line="240" w:lineRule="auto"/>
        <w:jc w:val="both"/>
        <w:rPr>
          <w:b/>
          <w:szCs w:val="24"/>
        </w:rPr>
      </w:pPr>
      <w:r w:rsidRPr="00483AEE">
        <w:rPr>
          <w:b/>
          <w:szCs w:val="24"/>
        </w:rPr>
        <w:t>Gráfica 2.9. Gasto consolidado en previsión social y nivel de cobertura en la población de más de 65 años. Argentina, 1980-2013.</w:t>
      </w:r>
    </w:p>
    <w:p w:rsidR="00153819" w:rsidRPr="00153819" w:rsidRDefault="00153819" w:rsidP="00153819">
      <w:pPr>
        <w:keepNext/>
        <w:spacing w:after="0" w:line="240" w:lineRule="auto"/>
        <w:jc w:val="both"/>
        <w:rPr>
          <w:i/>
          <w:sz w:val="20"/>
        </w:rPr>
      </w:pPr>
      <w:r w:rsidRPr="00153819">
        <w:rPr>
          <w:i/>
          <w:sz w:val="20"/>
        </w:rPr>
        <w:t>En millones de pesos de 2004 y en porcentajes sobre la población de adultos mayores de 65 años.</w:t>
      </w:r>
    </w:p>
    <w:p w:rsidR="00153819" w:rsidRDefault="00153819" w:rsidP="00153819">
      <w:pPr>
        <w:keepNext/>
        <w:spacing w:after="120" w:line="240" w:lineRule="auto"/>
        <w:jc w:val="both"/>
        <w:rPr>
          <w:rFonts w:ascii="Calibri" w:hAnsi="Calibri"/>
          <w:szCs w:val="24"/>
        </w:rPr>
      </w:pPr>
      <w:r w:rsidRPr="00713BBE">
        <w:rPr>
          <w:rFonts w:ascii="Calibri" w:hAnsi="Calibri"/>
          <w:noProof/>
          <w:szCs w:val="24"/>
          <w:lang w:eastAsia="es-AR"/>
        </w:rPr>
        <w:drawing>
          <wp:inline distT="0" distB="0" distL="0" distR="0" wp14:anchorId="6CF971D5" wp14:editId="3890E088">
            <wp:extent cx="5467350" cy="2626468"/>
            <wp:effectExtent l="0" t="0" r="0" b="0"/>
            <wp:docPr id="1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69342" cy="2627425"/>
                    </a:xfrm>
                    <a:prstGeom prst="rect">
                      <a:avLst/>
                    </a:prstGeom>
                    <a:noFill/>
                    <a:ln>
                      <a:noFill/>
                    </a:ln>
                  </pic:spPr>
                </pic:pic>
              </a:graphicData>
            </a:graphic>
          </wp:inline>
        </w:drawing>
      </w:r>
    </w:p>
    <w:p w:rsidR="00153819" w:rsidRPr="00153819" w:rsidRDefault="00153819" w:rsidP="00153819">
      <w:pPr>
        <w:spacing w:after="360" w:line="240" w:lineRule="auto"/>
        <w:jc w:val="both"/>
        <w:rPr>
          <w:sz w:val="18"/>
          <w:szCs w:val="24"/>
        </w:rPr>
      </w:pPr>
      <w:r w:rsidRPr="00153819">
        <w:rPr>
          <w:sz w:val="18"/>
          <w:szCs w:val="24"/>
        </w:rPr>
        <w:t xml:space="preserve">Fuentes: (1) Para 1980-1988: elaboración propia a partir de Encuesta Permanente de Hogares (INDEC), Aglomerado Gran Buenos Aires. (2) Para 1992-2003: </w:t>
      </w:r>
      <w:proofErr w:type="spellStart"/>
      <w:r w:rsidRPr="00153819">
        <w:rPr>
          <w:sz w:val="18"/>
          <w:szCs w:val="24"/>
        </w:rPr>
        <w:t>Rofman</w:t>
      </w:r>
      <w:proofErr w:type="spellEnd"/>
      <w:r w:rsidRPr="00153819">
        <w:rPr>
          <w:sz w:val="18"/>
          <w:szCs w:val="24"/>
        </w:rPr>
        <w:t xml:space="preserve"> y </w:t>
      </w:r>
      <w:proofErr w:type="spellStart"/>
      <w:r w:rsidRPr="00153819">
        <w:rPr>
          <w:sz w:val="18"/>
          <w:szCs w:val="24"/>
        </w:rPr>
        <w:t>Luchetti</w:t>
      </w:r>
      <w:proofErr w:type="spellEnd"/>
      <w:r w:rsidRPr="00153819">
        <w:rPr>
          <w:sz w:val="18"/>
          <w:szCs w:val="24"/>
        </w:rPr>
        <w:t xml:space="preserve"> (2006), Tabla A1.1, p. 35, en base a Encuesta Permanente de Hogares, Aglomerados disponibles. (3) Para 2003-2014: elaboración propia a partir de Encuesta Permanente de Hogares (INDEC), Total de Aglomerados Urbanos.</w:t>
      </w:r>
    </w:p>
    <w:p w:rsidR="00127FDE" w:rsidRDefault="00127FDE" w:rsidP="00483AEE">
      <w:pPr>
        <w:spacing w:after="120" w:line="360" w:lineRule="auto"/>
        <w:jc w:val="both"/>
        <w:rPr>
          <w:szCs w:val="24"/>
        </w:rPr>
      </w:pPr>
      <w:r w:rsidRPr="00483AEE">
        <w:rPr>
          <w:szCs w:val="24"/>
        </w:rPr>
        <w:t xml:space="preserve">Durante la segunda mitad de los años </w:t>
      </w:r>
      <w:r w:rsidR="00750105" w:rsidRPr="00483AEE">
        <w:rPr>
          <w:szCs w:val="24"/>
        </w:rPr>
        <w:t>70s</w:t>
      </w:r>
      <w:r w:rsidRPr="00483AEE">
        <w:rPr>
          <w:szCs w:val="24"/>
        </w:rPr>
        <w:t xml:space="preserve"> y la década del </w:t>
      </w:r>
      <w:r w:rsidR="00750105" w:rsidRPr="00483AEE">
        <w:rPr>
          <w:szCs w:val="24"/>
        </w:rPr>
        <w:t>80</w:t>
      </w:r>
      <w:r w:rsidRPr="00483AEE">
        <w:rPr>
          <w:szCs w:val="24"/>
        </w:rPr>
        <w:t xml:space="preserve">, la intervención social del Estado estuvo condicionada por la evolución del déficit fiscal y el carácter del régimen político-económico impuesto por la dictadura militar. La </w:t>
      </w:r>
      <w:r w:rsidR="00BE7D8D" w:rsidRPr="00483AEE">
        <w:rPr>
          <w:szCs w:val="24"/>
        </w:rPr>
        <w:t>Gráfica</w:t>
      </w:r>
      <w:r w:rsidRPr="00483AEE">
        <w:rPr>
          <w:szCs w:val="24"/>
        </w:rPr>
        <w:t xml:space="preserve"> </w:t>
      </w:r>
      <w:r w:rsidR="00F00E03" w:rsidRPr="00483AEE">
        <w:rPr>
          <w:szCs w:val="24"/>
        </w:rPr>
        <w:t>2.</w:t>
      </w:r>
      <w:r w:rsidRPr="00483AEE">
        <w:rPr>
          <w:szCs w:val="24"/>
        </w:rPr>
        <w:t xml:space="preserve">8 muestra la estabilidad del gasto público social durante los años </w:t>
      </w:r>
      <w:r w:rsidR="00750105" w:rsidRPr="00483AEE">
        <w:rPr>
          <w:szCs w:val="24"/>
        </w:rPr>
        <w:t>80s</w:t>
      </w:r>
      <w:r w:rsidRPr="00483AEE">
        <w:rPr>
          <w:szCs w:val="24"/>
        </w:rPr>
        <w:t xml:space="preserve">, que incluso se había reducido durante el período de la “crisis de la deuda externa” en 1982. A partir de mediados de los </w:t>
      </w:r>
      <w:r w:rsidR="00750105" w:rsidRPr="00483AEE">
        <w:rPr>
          <w:szCs w:val="24"/>
        </w:rPr>
        <w:t>años 70s</w:t>
      </w:r>
      <w:r w:rsidRPr="00483AEE">
        <w:rPr>
          <w:szCs w:val="24"/>
        </w:rPr>
        <w:t>, el sistema previsional entró en una profunda crisis, que implicó la licuación de beneficios, la postergación de los pagos y un financiamiento regresivo. De todos modos, el efecto distributivo fue la relativa homogeneización de la pirámide previsional (Arza, 2010)</w:t>
      </w:r>
      <w:r w:rsidR="00750105" w:rsidRPr="00483AEE">
        <w:rPr>
          <w:szCs w:val="24"/>
        </w:rPr>
        <w:t>.</w:t>
      </w:r>
      <w:r w:rsidRPr="00483AEE">
        <w:rPr>
          <w:rStyle w:val="Refdenotaalpie"/>
          <w:szCs w:val="24"/>
        </w:rPr>
        <w:footnoteReference w:id="28"/>
      </w:r>
      <w:r w:rsidRPr="00483AEE">
        <w:rPr>
          <w:szCs w:val="24"/>
        </w:rPr>
        <w:t xml:space="preserve"> Pese a la gravedad de la crisis, no se retrajo el peso de este </w:t>
      </w:r>
      <w:r w:rsidRPr="00483AEE">
        <w:rPr>
          <w:szCs w:val="24"/>
        </w:rPr>
        <w:lastRenderedPageBreak/>
        <w:t>componente en el gasto público social (</w:t>
      </w:r>
      <w:r w:rsidR="00BE7D8D" w:rsidRPr="00483AEE">
        <w:rPr>
          <w:szCs w:val="24"/>
        </w:rPr>
        <w:t>Gráfica</w:t>
      </w:r>
      <w:r w:rsidRPr="00483AEE">
        <w:rPr>
          <w:szCs w:val="24"/>
        </w:rPr>
        <w:t xml:space="preserve"> </w:t>
      </w:r>
      <w:r w:rsidR="00F00E03" w:rsidRPr="00483AEE">
        <w:rPr>
          <w:szCs w:val="24"/>
        </w:rPr>
        <w:t>2.</w:t>
      </w:r>
      <w:r w:rsidR="00AB698D" w:rsidRPr="00483AEE">
        <w:rPr>
          <w:szCs w:val="24"/>
        </w:rPr>
        <w:t>8</w:t>
      </w:r>
      <w:r w:rsidRPr="00483AEE">
        <w:rPr>
          <w:szCs w:val="24"/>
        </w:rPr>
        <w:t xml:space="preserve">). Esto </w:t>
      </w:r>
      <w:r w:rsidR="00750105" w:rsidRPr="00483AEE">
        <w:rPr>
          <w:szCs w:val="24"/>
        </w:rPr>
        <w:t>se</w:t>
      </w:r>
      <w:r w:rsidRPr="00483AEE">
        <w:rPr>
          <w:szCs w:val="24"/>
        </w:rPr>
        <w:t xml:space="preserve"> explica, al menos de manera parcial, por </w:t>
      </w:r>
      <w:r w:rsidR="00750105" w:rsidRPr="00483AEE">
        <w:rPr>
          <w:szCs w:val="24"/>
        </w:rPr>
        <w:t>el inc</w:t>
      </w:r>
      <w:r w:rsidRPr="00483AEE">
        <w:rPr>
          <w:szCs w:val="24"/>
        </w:rPr>
        <w:t xml:space="preserve">remento </w:t>
      </w:r>
      <w:r w:rsidR="00750105" w:rsidRPr="00483AEE">
        <w:rPr>
          <w:szCs w:val="24"/>
        </w:rPr>
        <w:t xml:space="preserve">que experimentara </w:t>
      </w:r>
      <w:r w:rsidRPr="00483AEE">
        <w:rPr>
          <w:szCs w:val="24"/>
        </w:rPr>
        <w:t xml:space="preserve">la población de adultos mayores de 65 años, la cual aumentó hasta fines de los años </w:t>
      </w:r>
      <w:r w:rsidR="00750105" w:rsidRPr="00483AEE">
        <w:rPr>
          <w:szCs w:val="24"/>
        </w:rPr>
        <w:t>80s</w:t>
      </w:r>
      <w:r w:rsidRPr="00483AEE">
        <w:rPr>
          <w:szCs w:val="24"/>
        </w:rPr>
        <w:t xml:space="preserve"> (</w:t>
      </w:r>
      <w:r w:rsidR="00BE7D8D" w:rsidRPr="00483AEE">
        <w:rPr>
          <w:szCs w:val="24"/>
        </w:rPr>
        <w:t>Gráfica</w:t>
      </w:r>
      <w:r w:rsidRPr="00483AEE">
        <w:rPr>
          <w:szCs w:val="24"/>
        </w:rPr>
        <w:t xml:space="preserve"> </w:t>
      </w:r>
      <w:r w:rsidR="00F00E03" w:rsidRPr="00483AEE">
        <w:rPr>
          <w:szCs w:val="24"/>
        </w:rPr>
        <w:t>2.</w:t>
      </w:r>
      <w:r w:rsidR="00B21A96" w:rsidRPr="00483AEE">
        <w:rPr>
          <w:szCs w:val="24"/>
        </w:rPr>
        <w:t>9</w:t>
      </w:r>
      <w:r w:rsidRPr="00483AEE">
        <w:rPr>
          <w:szCs w:val="24"/>
        </w:rPr>
        <w:t>)</w:t>
      </w:r>
      <w:r w:rsidR="00750105" w:rsidRPr="00483AEE">
        <w:rPr>
          <w:szCs w:val="24"/>
        </w:rPr>
        <w:t>.</w:t>
      </w:r>
      <w:r w:rsidRPr="00483AEE">
        <w:rPr>
          <w:rStyle w:val="Refdenotaalpie"/>
          <w:szCs w:val="24"/>
        </w:rPr>
        <w:footnoteReference w:id="29"/>
      </w:r>
    </w:p>
    <w:p w:rsidR="00153819" w:rsidRPr="00483AEE" w:rsidRDefault="00153819" w:rsidP="00153819">
      <w:pPr>
        <w:keepNext/>
        <w:spacing w:before="360" w:after="120" w:line="240" w:lineRule="auto"/>
        <w:jc w:val="both"/>
        <w:rPr>
          <w:b/>
          <w:szCs w:val="24"/>
        </w:rPr>
      </w:pPr>
      <w:r w:rsidRPr="00483AEE">
        <w:rPr>
          <w:b/>
          <w:szCs w:val="24"/>
        </w:rPr>
        <w:t>Gráfica 2.10. Gasto consolidado en programas de protección a la pobreza (programas de empleo y transferencias condicionadas). Argentina, 1980-2014.</w:t>
      </w:r>
    </w:p>
    <w:p w:rsidR="00153819" w:rsidRPr="00153819" w:rsidRDefault="00153819" w:rsidP="00153819">
      <w:pPr>
        <w:keepNext/>
        <w:spacing w:before="120" w:after="120" w:line="240" w:lineRule="auto"/>
        <w:jc w:val="both"/>
        <w:rPr>
          <w:i/>
          <w:sz w:val="20"/>
          <w:szCs w:val="24"/>
        </w:rPr>
      </w:pPr>
      <w:r w:rsidRPr="00153819">
        <w:rPr>
          <w:i/>
          <w:sz w:val="20"/>
          <w:szCs w:val="24"/>
        </w:rPr>
        <w:t>En porcentaje del PIB.</w:t>
      </w:r>
    </w:p>
    <w:p w:rsidR="00153819" w:rsidRDefault="00153819" w:rsidP="00153819">
      <w:pPr>
        <w:keepNext/>
        <w:spacing w:after="120" w:line="240" w:lineRule="auto"/>
        <w:jc w:val="center"/>
        <w:rPr>
          <w:rFonts w:ascii="Calibri" w:hAnsi="Calibri"/>
          <w:szCs w:val="24"/>
        </w:rPr>
      </w:pPr>
      <w:r w:rsidRPr="00713BBE">
        <w:rPr>
          <w:rFonts w:ascii="Calibri" w:hAnsi="Calibri"/>
          <w:noProof/>
          <w:szCs w:val="24"/>
          <w:lang w:eastAsia="es-AR"/>
        </w:rPr>
        <w:drawing>
          <wp:inline distT="0" distB="0" distL="0" distR="0" wp14:anchorId="15C106CD" wp14:editId="292EAD95">
            <wp:extent cx="5324475" cy="2412460"/>
            <wp:effectExtent l="0" t="0" r="0" b="0"/>
            <wp:docPr id="1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24833" cy="2412622"/>
                    </a:xfrm>
                    <a:prstGeom prst="rect">
                      <a:avLst/>
                    </a:prstGeom>
                    <a:noFill/>
                    <a:ln>
                      <a:noFill/>
                    </a:ln>
                  </pic:spPr>
                </pic:pic>
              </a:graphicData>
            </a:graphic>
          </wp:inline>
        </w:drawing>
      </w:r>
    </w:p>
    <w:p w:rsidR="00153819" w:rsidRPr="00153819" w:rsidRDefault="00153819" w:rsidP="00153819">
      <w:pPr>
        <w:spacing w:after="360" w:line="240" w:lineRule="auto"/>
        <w:jc w:val="both"/>
        <w:rPr>
          <w:sz w:val="18"/>
          <w:szCs w:val="24"/>
        </w:rPr>
      </w:pPr>
      <w:r w:rsidRPr="00153819">
        <w:rPr>
          <w:sz w:val="18"/>
          <w:szCs w:val="24"/>
        </w:rPr>
        <w:t>Fuente: elaboración propia a partir de Dirección de Análisis de Política Fiscal y de Ingresos - Secretaría de Política Económica y Planificación del Desarrollo en base a Secretaría de Hacienda (MECON).</w:t>
      </w:r>
    </w:p>
    <w:p w:rsidR="0043714A" w:rsidRPr="00483AEE" w:rsidRDefault="0043714A" w:rsidP="00483AEE">
      <w:pPr>
        <w:spacing w:after="120" w:line="360" w:lineRule="auto"/>
        <w:jc w:val="both"/>
        <w:rPr>
          <w:szCs w:val="24"/>
        </w:rPr>
      </w:pPr>
      <w:r w:rsidRPr="00483AEE">
        <w:rPr>
          <w:szCs w:val="24"/>
        </w:rPr>
        <w:t>Por otro lado, a partir</w:t>
      </w:r>
      <w:r w:rsidR="00750105" w:rsidRPr="00483AEE">
        <w:rPr>
          <w:szCs w:val="24"/>
        </w:rPr>
        <w:t xml:space="preserve"> de la crisis del “Estado social”</w:t>
      </w:r>
      <w:r w:rsidRPr="00483AEE">
        <w:rPr>
          <w:szCs w:val="24"/>
        </w:rPr>
        <w:t xml:space="preserve"> hicieron su aparición las estrategias de </w:t>
      </w:r>
      <w:r w:rsidR="00EF24A0" w:rsidRPr="00483AEE">
        <w:rPr>
          <w:szCs w:val="24"/>
        </w:rPr>
        <w:t>“</w:t>
      </w:r>
      <w:r w:rsidRPr="00483AEE">
        <w:rPr>
          <w:szCs w:val="24"/>
        </w:rPr>
        <w:t>lucha contra la pobreza</w:t>
      </w:r>
      <w:r w:rsidR="00EF24A0" w:rsidRPr="00483AEE">
        <w:rPr>
          <w:szCs w:val="24"/>
        </w:rPr>
        <w:t>”</w:t>
      </w:r>
      <w:r w:rsidR="00731664" w:rsidRPr="00483AEE">
        <w:rPr>
          <w:szCs w:val="24"/>
        </w:rPr>
        <w:t xml:space="preserve">. Uno de los primeros programas de este tipo fue el Programa Alimentario Nacional (PAN), implementado a partir de mayo de 1984. Consistía en la entrega de una caja de alimentos y llegó a abarcar a 1.400.000 familias (Aguirre, 2010). </w:t>
      </w:r>
      <w:r w:rsidRPr="00483AEE">
        <w:rPr>
          <w:szCs w:val="24"/>
        </w:rPr>
        <w:t xml:space="preserve">Si bien tuvo un peso marginal desde el punto de vista </w:t>
      </w:r>
      <w:r w:rsidR="00731664" w:rsidRPr="00483AEE">
        <w:rPr>
          <w:szCs w:val="24"/>
        </w:rPr>
        <w:t>del gasto público social, la función de Promoción y Asistencia Social aument</w:t>
      </w:r>
      <w:r w:rsidR="004D560F" w:rsidRPr="00483AEE">
        <w:rPr>
          <w:szCs w:val="24"/>
        </w:rPr>
        <w:t>ó</w:t>
      </w:r>
      <w:r w:rsidR="00731664" w:rsidRPr="00483AEE">
        <w:rPr>
          <w:szCs w:val="24"/>
        </w:rPr>
        <w:t xml:space="preserve"> su peso en el PIB durante el período final de la ISI y comienzos de ajuste ortodoxo (</w:t>
      </w:r>
      <w:r w:rsidR="00BE7D8D" w:rsidRPr="00483AEE">
        <w:rPr>
          <w:szCs w:val="24"/>
        </w:rPr>
        <w:t>Gráfica</w:t>
      </w:r>
      <w:r w:rsidR="00731664" w:rsidRPr="00483AEE">
        <w:rPr>
          <w:szCs w:val="24"/>
        </w:rPr>
        <w:t xml:space="preserve"> </w:t>
      </w:r>
      <w:r w:rsidR="00F00E03" w:rsidRPr="00483AEE">
        <w:rPr>
          <w:szCs w:val="24"/>
        </w:rPr>
        <w:t>2.</w:t>
      </w:r>
      <w:r w:rsidR="00731664" w:rsidRPr="00483AEE">
        <w:rPr>
          <w:szCs w:val="24"/>
        </w:rPr>
        <w:t>1</w:t>
      </w:r>
      <w:r w:rsidR="00B21A96" w:rsidRPr="00483AEE">
        <w:rPr>
          <w:szCs w:val="24"/>
        </w:rPr>
        <w:t>0</w:t>
      </w:r>
      <w:r w:rsidR="00731664" w:rsidRPr="00483AEE">
        <w:rPr>
          <w:szCs w:val="24"/>
        </w:rPr>
        <w:t>)</w:t>
      </w:r>
      <w:r w:rsidRPr="00483AEE">
        <w:rPr>
          <w:szCs w:val="24"/>
        </w:rPr>
        <w:t xml:space="preserve">. </w:t>
      </w:r>
    </w:p>
    <w:p w:rsidR="00EF24A0" w:rsidRDefault="00750105" w:rsidP="00483AEE">
      <w:pPr>
        <w:spacing w:after="120" w:line="360" w:lineRule="auto"/>
        <w:jc w:val="both"/>
        <w:rPr>
          <w:szCs w:val="24"/>
        </w:rPr>
      </w:pPr>
      <w:r w:rsidRPr="00483AEE">
        <w:rPr>
          <w:szCs w:val="24"/>
        </w:rPr>
        <w:t xml:space="preserve">Las reformas estructurales bajo el modelo neoliberal implicaron también </w:t>
      </w:r>
      <w:r w:rsidR="00EF24A0" w:rsidRPr="00483AEE">
        <w:rPr>
          <w:szCs w:val="24"/>
        </w:rPr>
        <w:t xml:space="preserve">una transformación del modelo de intervención social que había primado hasta entonces. Tras las crisis hiperinflacionarias de fines de los </w:t>
      </w:r>
      <w:r w:rsidR="00A74ECE" w:rsidRPr="00483AEE">
        <w:rPr>
          <w:szCs w:val="24"/>
        </w:rPr>
        <w:t xml:space="preserve">años la década del </w:t>
      </w:r>
      <w:r w:rsidRPr="00483AEE">
        <w:rPr>
          <w:szCs w:val="24"/>
        </w:rPr>
        <w:t>80</w:t>
      </w:r>
      <w:r w:rsidR="00EF24A0" w:rsidRPr="00483AEE">
        <w:rPr>
          <w:szCs w:val="24"/>
        </w:rPr>
        <w:t xml:space="preserve">, en el marco de la </w:t>
      </w:r>
      <w:r w:rsidR="00EF24A0" w:rsidRPr="00483AEE">
        <w:rPr>
          <w:szCs w:val="24"/>
        </w:rPr>
        <w:lastRenderedPageBreak/>
        <w:t xml:space="preserve">reforma del Estado y la “emergencia económica”, se fueron desmantelando los diversos mecanismos de política social que habían prevalecido desde mediados de siglo y fueron reemplazados por una creciente “mercantilización” de </w:t>
      </w:r>
      <w:r w:rsidRPr="00483AEE">
        <w:rPr>
          <w:szCs w:val="24"/>
        </w:rPr>
        <w:t>sistemas de</w:t>
      </w:r>
      <w:r w:rsidR="00EF24A0" w:rsidRPr="00483AEE">
        <w:rPr>
          <w:szCs w:val="24"/>
        </w:rPr>
        <w:t xml:space="preserve"> protección. </w:t>
      </w:r>
      <w:r w:rsidR="004D560F" w:rsidRPr="00483AEE">
        <w:rPr>
          <w:szCs w:val="24"/>
        </w:rPr>
        <w:t>Sin embargo, esto no supuso una caída del gasto público social, el cual aumentó durante todo el ciclo de reformas estructurales, muy ligado al gasto en políticas universales (</w:t>
      </w:r>
      <w:r w:rsidR="00BE7D8D" w:rsidRPr="00483AEE">
        <w:rPr>
          <w:szCs w:val="24"/>
        </w:rPr>
        <w:t>Gráfica</w:t>
      </w:r>
      <w:r w:rsidR="004D560F" w:rsidRPr="00483AEE">
        <w:rPr>
          <w:szCs w:val="24"/>
        </w:rPr>
        <w:t xml:space="preserve"> </w:t>
      </w:r>
      <w:r w:rsidR="00F00E03" w:rsidRPr="00483AEE">
        <w:rPr>
          <w:szCs w:val="24"/>
        </w:rPr>
        <w:t>2.</w:t>
      </w:r>
      <w:r w:rsidR="004D560F" w:rsidRPr="00483AEE">
        <w:rPr>
          <w:szCs w:val="24"/>
        </w:rPr>
        <w:t>8).</w:t>
      </w:r>
    </w:p>
    <w:p w:rsidR="00153819" w:rsidRPr="00483AEE" w:rsidRDefault="00153819" w:rsidP="00153819">
      <w:pPr>
        <w:keepNext/>
        <w:spacing w:before="360" w:after="120" w:line="240" w:lineRule="auto"/>
        <w:jc w:val="both"/>
        <w:rPr>
          <w:b/>
          <w:szCs w:val="24"/>
        </w:rPr>
      </w:pPr>
      <w:r w:rsidRPr="00483AEE">
        <w:rPr>
          <w:b/>
          <w:szCs w:val="24"/>
        </w:rPr>
        <w:t>Gráfica 2.11. Cobertura de programas de empleo y transferencias condicionadas de ingresos. Argentina, 1994-2014.</w:t>
      </w:r>
    </w:p>
    <w:p w:rsidR="00153819" w:rsidRPr="00153819" w:rsidRDefault="00153819" w:rsidP="00153819">
      <w:pPr>
        <w:keepNext/>
        <w:spacing w:after="0" w:line="240" w:lineRule="auto"/>
        <w:jc w:val="both"/>
        <w:rPr>
          <w:i/>
          <w:sz w:val="20"/>
          <w:szCs w:val="24"/>
        </w:rPr>
      </w:pPr>
      <w:r w:rsidRPr="00153819">
        <w:rPr>
          <w:i/>
          <w:sz w:val="20"/>
          <w:szCs w:val="24"/>
        </w:rPr>
        <w:t>En número de beneficiarios.</w:t>
      </w:r>
    </w:p>
    <w:p w:rsidR="00153819" w:rsidRPr="000169FF" w:rsidRDefault="00153819" w:rsidP="00153819">
      <w:pPr>
        <w:keepNext/>
        <w:spacing w:after="0" w:line="240" w:lineRule="auto"/>
        <w:jc w:val="center"/>
        <w:rPr>
          <w:rFonts w:ascii="Calibri" w:eastAsia="Times New Roman" w:hAnsi="Calibri"/>
          <w:b/>
          <w:bCs/>
          <w:szCs w:val="24"/>
          <w:lang w:val="es-ES" w:eastAsia="es-ES"/>
        </w:rPr>
      </w:pPr>
      <w:r w:rsidRPr="009C1BCF">
        <w:rPr>
          <w:noProof/>
          <w:szCs w:val="24"/>
          <w:lang w:eastAsia="es-AR"/>
        </w:rPr>
        <w:drawing>
          <wp:inline distT="0" distB="0" distL="0" distR="0" wp14:anchorId="2057111A" wp14:editId="4737D92D">
            <wp:extent cx="5423535" cy="2660822"/>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421203" cy="2659678"/>
                    </a:xfrm>
                    <a:prstGeom prst="rect">
                      <a:avLst/>
                    </a:prstGeom>
                    <a:noFill/>
                    <a:ln w="9525">
                      <a:noFill/>
                      <a:miter lim="800000"/>
                      <a:headEnd/>
                      <a:tailEnd/>
                    </a:ln>
                  </pic:spPr>
                </pic:pic>
              </a:graphicData>
            </a:graphic>
          </wp:inline>
        </w:drawing>
      </w:r>
    </w:p>
    <w:p w:rsidR="00153819" w:rsidRPr="00153819" w:rsidRDefault="00153819" w:rsidP="00153819">
      <w:pPr>
        <w:spacing w:after="360" w:line="240" w:lineRule="auto"/>
        <w:jc w:val="both"/>
        <w:rPr>
          <w:sz w:val="18"/>
          <w:szCs w:val="24"/>
        </w:rPr>
      </w:pPr>
      <w:r w:rsidRPr="00153819">
        <w:rPr>
          <w:sz w:val="18"/>
          <w:szCs w:val="24"/>
        </w:rPr>
        <w:t xml:space="preserve">Fuentes: (a) Programas de Empleo (varios), </w:t>
      </w:r>
      <w:proofErr w:type="spellStart"/>
      <w:r w:rsidRPr="00153819">
        <w:rPr>
          <w:sz w:val="18"/>
          <w:szCs w:val="24"/>
        </w:rPr>
        <w:t>Golbert</w:t>
      </w:r>
      <w:proofErr w:type="spellEnd"/>
      <w:r w:rsidRPr="00153819">
        <w:rPr>
          <w:sz w:val="18"/>
          <w:szCs w:val="24"/>
        </w:rPr>
        <w:t xml:space="preserve"> (2004) citado en Cruces et al. (2008), p. 16. (b) Plan Jefas y Jefes de Hogar (2003-2007): Cruces et al. (2008), p. 22. Para 2008, CEPAL, Base de datos de Programas de Protección Social no contributiva (http://dds.cepal.org/bpsnc) (c) Familias por la Inclusión Social (2003-2007), Cruces et al. (2008), p. 22. Para 2008, CEPAL, Base de datos de Programas de Protección Social no contributiva. (d) Seguro de capacitación y empleo (2003-2007), Cruces et al. (2008), p. 22. Para 2008, ex Dirección de Análisis del Gasto Público y Programas Sociales (2008) Informe sobre Programas de Empleo Provinciales. (e) AUH y PROGRESAR: Administración Nacional de la Seguridad Social (ANSES). Datos disponibles en: &lt;http://www.transparencia.anses.gob.ar&gt; (f) Argentina Trabaja: Ministerio de Desarrollo Social de la Nación.</w:t>
      </w:r>
    </w:p>
    <w:p w:rsidR="00EF24A0" w:rsidRDefault="00EF24A0" w:rsidP="00483AEE">
      <w:pPr>
        <w:spacing w:after="120" w:line="360" w:lineRule="auto"/>
        <w:jc w:val="both"/>
        <w:rPr>
          <w:szCs w:val="24"/>
        </w:rPr>
      </w:pPr>
      <w:r w:rsidRPr="00483AEE">
        <w:rPr>
          <w:szCs w:val="24"/>
        </w:rPr>
        <w:t>Desde el punto de vista institucional, una de las transformaciones más importantes fue la fragmentación del sistema previsional a partir de la generación de un sistema privado de capitalización que se instaló junto con el clásico sistema público de reparto</w:t>
      </w:r>
      <w:r w:rsidRPr="00483AEE">
        <w:rPr>
          <w:rStyle w:val="Refdenotaalpie"/>
          <w:szCs w:val="24"/>
        </w:rPr>
        <w:footnoteReference w:id="30"/>
      </w:r>
      <w:r w:rsidRPr="00483AEE">
        <w:rPr>
          <w:szCs w:val="24"/>
        </w:rPr>
        <w:t xml:space="preserve">. </w:t>
      </w:r>
      <w:r w:rsidR="004D560F" w:rsidRPr="00483AEE">
        <w:rPr>
          <w:szCs w:val="24"/>
        </w:rPr>
        <w:t xml:space="preserve">En este </w:t>
      </w:r>
      <w:r w:rsidR="004D560F" w:rsidRPr="00483AEE">
        <w:rPr>
          <w:szCs w:val="24"/>
        </w:rPr>
        <w:lastRenderedPageBreak/>
        <w:t xml:space="preserve">marco, si bien se incrementó entre fines de los ochenta y comienzos de los noventa, </w:t>
      </w:r>
      <w:r w:rsidRPr="00483AEE">
        <w:rPr>
          <w:szCs w:val="24"/>
        </w:rPr>
        <w:t xml:space="preserve">el gasto en previsión social </w:t>
      </w:r>
      <w:r w:rsidR="004D560F" w:rsidRPr="00483AEE">
        <w:rPr>
          <w:szCs w:val="24"/>
        </w:rPr>
        <w:t xml:space="preserve">como porcentaje del PIB </w:t>
      </w:r>
      <w:r w:rsidRPr="00483AEE">
        <w:rPr>
          <w:szCs w:val="24"/>
        </w:rPr>
        <w:t xml:space="preserve">se </w:t>
      </w:r>
      <w:r w:rsidR="004D560F" w:rsidRPr="00483AEE">
        <w:rPr>
          <w:szCs w:val="24"/>
        </w:rPr>
        <w:t>mantuvo estable</w:t>
      </w:r>
      <w:r w:rsidRPr="00483AEE">
        <w:rPr>
          <w:szCs w:val="24"/>
        </w:rPr>
        <w:t xml:space="preserve"> durante todo el período, llegando a retraerse hacia el final </w:t>
      </w:r>
      <w:proofErr w:type="gramStart"/>
      <w:r w:rsidRPr="00483AEE">
        <w:rPr>
          <w:szCs w:val="24"/>
        </w:rPr>
        <w:t>del mismo</w:t>
      </w:r>
      <w:proofErr w:type="gramEnd"/>
      <w:r w:rsidRPr="00483AEE">
        <w:rPr>
          <w:szCs w:val="24"/>
        </w:rPr>
        <w:t>. Junto con ello, durante toda la década tuvieron lugar dos procesos: una sistemática caída de la cobertura previsional de la población mayor de 65 años y un aumento de la desigualdad interna de las transferencias jubilatorias como resultado del deterioro de la prestación estatal</w:t>
      </w:r>
      <w:r w:rsidR="004D560F" w:rsidRPr="00483AEE">
        <w:rPr>
          <w:szCs w:val="24"/>
        </w:rPr>
        <w:t xml:space="preserve"> </w:t>
      </w:r>
      <w:r w:rsidRPr="00483AEE">
        <w:rPr>
          <w:szCs w:val="24"/>
        </w:rPr>
        <w:t>(</w:t>
      </w:r>
      <w:r w:rsidR="00BE7D8D" w:rsidRPr="00483AEE">
        <w:rPr>
          <w:szCs w:val="24"/>
        </w:rPr>
        <w:t>Gráfica</w:t>
      </w:r>
      <w:r w:rsidRPr="00483AEE">
        <w:rPr>
          <w:szCs w:val="24"/>
        </w:rPr>
        <w:t xml:space="preserve"> </w:t>
      </w:r>
      <w:r w:rsidR="00F00E03" w:rsidRPr="00483AEE">
        <w:rPr>
          <w:szCs w:val="24"/>
        </w:rPr>
        <w:t>2.</w:t>
      </w:r>
      <w:r w:rsidR="00B21A96" w:rsidRPr="00483AEE">
        <w:rPr>
          <w:szCs w:val="24"/>
        </w:rPr>
        <w:t>9</w:t>
      </w:r>
      <w:r w:rsidRPr="00483AEE">
        <w:rPr>
          <w:szCs w:val="24"/>
        </w:rPr>
        <w:t xml:space="preserve">). </w:t>
      </w:r>
    </w:p>
    <w:p w:rsidR="00153819" w:rsidRPr="00483AEE" w:rsidRDefault="00153819" w:rsidP="00153819">
      <w:pPr>
        <w:keepNext/>
        <w:spacing w:before="360" w:after="120" w:line="240" w:lineRule="auto"/>
        <w:jc w:val="both"/>
        <w:rPr>
          <w:b/>
          <w:szCs w:val="24"/>
        </w:rPr>
      </w:pPr>
      <w:r w:rsidRPr="00483AEE">
        <w:rPr>
          <w:b/>
          <w:szCs w:val="24"/>
        </w:rPr>
        <w:t>Gráfica 2.12. Cobertura de pensiones no contributivas y tipo de pensión. Argentina, 1999-2012.</w:t>
      </w:r>
    </w:p>
    <w:p w:rsidR="00153819" w:rsidRPr="00153819" w:rsidRDefault="00153819" w:rsidP="00153819">
      <w:pPr>
        <w:keepNext/>
        <w:spacing w:after="0" w:line="240" w:lineRule="auto"/>
        <w:jc w:val="both"/>
        <w:rPr>
          <w:i/>
          <w:sz w:val="20"/>
          <w:szCs w:val="24"/>
        </w:rPr>
      </w:pPr>
      <w:r w:rsidRPr="00153819">
        <w:rPr>
          <w:i/>
          <w:sz w:val="20"/>
          <w:szCs w:val="24"/>
        </w:rPr>
        <w:t>En número de beneficiarios.</w:t>
      </w:r>
    </w:p>
    <w:p w:rsidR="00153819" w:rsidRDefault="00153819" w:rsidP="00153819">
      <w:pPr>
        <w:keepNext/>
        <w:spacing w:after="120" w:line="240" w:lineRule="auto"/>
        <w:jc w:val="both"/>
        <w:rPr>
          <w:rFonts w:ascii="Calibri" w:hAnsi="Calibri"/>
          <w:szCs w:val="24"/>
        </w:rPr>
      </w:pPr>
      <w:r w:rsidRPr="00713BBE">
        <w:rPr>
          <w:rFonts w:ascii="Calibri" w:hAnsi="Calibri"/>
          <w:noProof/>
          <w:szCs w:val="24"/>
          <w:lang w:eastAsia="es-AR"/>
        </w:rPr>
        <w:drawing>
          <wp:inline distT="0" distB="0" distL="0" distR="0" wp14:anchorId="5571DD46" wp14:editId="0C429901">
            <wp:extent cx="5381625" cy="2486025"/>
            <wp:effectExtent l="0" t="0" r="0" b="0"/>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81625" cy="2486025"/>
                    </a:xfrm>
                    <a:prstGeom prst="rect">
                      <a:avLst/>
                    </a:prstGeom>
                    <a:noFill/>
                    <a:ln>
                      <a:noFill/>
                    </a:ln>
                  </pic:spPr>
                </pic:pic>
              </a:graphicData>
            </a:graphic>
          </wp:inline>
        </w:drawing>
      </w:r>
    </w:p>
    <w:p w:rsidR="00153819" w:rsidRPr="00153819" w:rsidRDefault="00153819" w:rsidP="00153819">
      <w:pPr>
        <w:spacing w:after="360" w:line="240" w:lineRule="auto"/>
        <w:jc w:val="both"/>
        <w:rPr>
          <w:sz w:val="18"/>
          <w:szCs w:val="24"/>
        </w:rPr>
      </w:pPr>
      <w:r w:rsidRPr="00153819">
        <w:rPr>
          <w:sz w:val="18"/>
          <w:szCs w:val="24"/>
        </w:rPr>
        <w:t>Fuente: elaboración propia a partir de Ministerio de Trabajo, Empleo y Seguridad Social (2012), Boletín Estadístico de la Seguridad Social.</w:t>
      </w:r>
    </w:p>
    <w:p w:rsidR="00EF24A0" w:rsidRDefault="00EF24A0" w:rsidP="00483AEE">
      <w:pPr>
        <w:spacing w:after="120" w:line="360" w:lineRule="auto"/>
        <w:jc w:val="both"/>
        <w:rPr>
          <w:szCs w:val="24"/>
        </w:rPr>
      </w:pPr>
      <w:r w:rsidRPr="00483AEE">
        <w:rPr>
          <w:szCs w:val="24"/>
        </w:rPr>
        <w:t xml:space="preserve">En el contexto de un aumento del empleo no registrado y de variadas expresiones de precariedad </w:t>
      </w:r>
      <w:r w:rsidR="004300E5" w:rsidRPr="00483AEE">
        <w:rPr>
          <w:szCs w:val="24"/>
        </w:rPr>
        <w:t xml:space="preserve">laboral </w:t>
      </w:r>
      <w:r w:rsidRPr="00483AEE">
        <w:rPr>
          <w:szCs w:val="24"/>
        </w:rPr>
        <w:t xml:space="preserve">–impulsado por las modificaciones </w:t>
      </w:r>
      <w:r w:rsidR="00982F2F" w:rsidRPr="00483AEE">
        <w:rPr>
          <w:szCs w:val="24"/>
        </w:rPr>
        <w:t xml:space="preserve">ya comentadas </w:t>
      </w:r>
      <w:r w:rsidRPr="00483AEE">
        <w:rPr>
          <w:szCs w:val="24"/>
        </w:rPr>
        <w:t xml:space="preserve">de la legislación laboral </w:t>
      </w:r>
      <w:r w:rsidR="00982F2F" w:rsidRPr="00483AEE">
        <w:rPr>
          <w:szCs w:val="24"/>
        </w:rPr>
        <w:t>que tendieron</w:t>
      </w:r>
      <w:r w:rsidRPr="00483AEE">
        <w:rPr>
          <w:szCs w:val="24"/>
        </w:rPr>
        <w:t xml:space="preserve"> a favorecer las formas de empleo flexibles</w:t>
      </w:r>
      <w:r w:rsidR="00982F2F" w:rsidRPr="00483AEE">
        <w:rPr>
          <w:szCs w:val="24"/>
        </w:rPr>
        <w:t>–</w:t>
      </w:r>
      <w:r w:rsidRPr="00483AEE">
        <w:rPr>
          <w:szCs w:val="24"/>
        </w:rPr>
        <w:t xml:space="preserve">, el sistema de asignaciones familiares fue perdiendo su capacidad de protección. </w:t>
      </w:r>
      <w:r w:rsidR="004300E5" w:rsidRPr="00483AEE">
        <w:rPr>
          <w:szCs w:val="24"/>
        </w:rPr>
        <w:t>En ese marco, o</w:t>
      </w:r>
      <w:r w:rsidR="004D560F" w:rsidRPr="00483AEE">
        <w:rPr>
          <w:szCs w:val="24"/>
        </w:rPr>
        <w:t xml:space="preserve">tro </w:t>
      </w:r>
      <w:r w:rsidR="00834417" w:rsidRPr="00483AEE">
        <w:rPr>
          <w:szCs w:val="24"/>
        </w:rPr>
        <w:t xml:space="preserve">de los rasgos más significativos de los años de reformas estructurales fue la ampliación de los programas de </w:t>
      </w:r>
      <w:r w:rsidR="004D560F" w:rsidRPr="00483AEE">
        <w:rPr>
          <w:szCs w:val="24"/>
        </w:rPr>
        <w:t>“</w:t>
      </w:r>
      <w:r w:rsidR="00834417" w:rsidRPr="00483AEE">
        <w:rPr>
          <w:szCs w:val="24"/>
        </w:rPr>
        <w:t>lucha contra la pobreza</w:t>
      </w:r>
      <w:r w:rsidR="004D560F" w:rsidRPr="00483AEE">
        <w:rPr>
          <w:szCs w:val="24"/>
        </w:rPr>
        <w:t>”</w:t>
      </w:r>
      <w:r w:rsidR="009C2506" w:rsidRPr="00483AEE">
        <w:rPr>
          <w:szCs w:val="24"/>
        </w:rPr>
        <w:t xml:space="preserve"> (</w:t>
      </w:r>
      <w:r w:rsidR="00BE7D8D" w:rsidRPr="00483AEE">
        <w:rPr>
          <w:szCs w:val="24"/>
        </w:rPr>
        <w:t>Gráfica</w:t>
      </w:r>
      <w:r w:rsidR="009C2506" w:rsidRPr="00483AEE">
        <w:rPr>
          <w:szCs w:val="24"/>
        </w:rPr>
        <w:t xml:space="preserve"> </w:t>
      </w:r>
      <w:r w:rsidR="00F00E03" w:rsidRPr="00483AEE">
        <w:rPr>
          <w:szCs w:val="24"/>
        </w:rPr>
        <w:t>2.</w:t>
      </w:r>
      <w:r w:rsidR="009C2506" w:rsidRPr="00483AEE">
        <w:rPr>
          <w:szCs w:val="24"/>
        </w:rPr>
        <w:t>1</w:t>
      </w:r>
      <w:r w:rsidR="00B21A96" w:rsidRPr="00483AEE">
        <w:rPr>
          <w:szCs w:val="24"/>
        </w:rPr>
        <w:t>0</w:t>
      </w:r>
      <w:r w:rsidR="009C2506" w:rsidRPr="00483AEE">
        <w:rPr>
          <w:szCs w:val="24"/>
        </w:rPr>
        <w:t>)</w:t>
      </w:r>
      <w:r w:rsidR="00834417" w:rsidRPr="00483AEE">
        <w:rPr>
          <w:szCs w:val="24"/>
        </w:rPr>
        <w:t xml:space="preserve">. </w:t>
      </w:r>
      <w:r w:rsidR="004D560F" w:rsidRPr="00483AEE">
        <w:rPr>
          <w:szCs w:val="24"/>
        </w:rPr>
        <w:t>En la Argentina, durante</w:t>
      </w:r>
      <w:r w:rsidR="00834417" w:rsidRPr="00483AEE">
        <w:rPr>
          <w:szCs w:val="24"/>
        </w:rPr>
        <w:t xml:space="preserve"> los años </w:t>
      </w:r>
      <w:r w:rsidR="004300E5" w:rsidRPr="00483AEE">
        <w:rPr>
          <w:szCs w:val="24"/>
        </w:rPr>
        <w:t>90s</w:t>
      </w:r>
      <w:r w:rsidR="00834417" w:rsidRPr="00483AEE">
        <w:rPr>
          <w:szCs w:val="24"/>
        </w:rPr>
        <w:t xml:space="preserve">, estos programas fueron de tipo </w:t>
      </w:r>
      <w:proofErr w:type="spellStart"/>
      <w:r w:rsidR="00834417" w:rsidRPr="00483AEE">
        <w:rPr>
          <w:i/>
          <w:szCs w:val="24"/>
        </w:rPr>
        <w:t>workfare</w:t>
      </w:r>
      <w:proofErr w:type="spellEnd"/>
      <w:r w:rsidR="00834417" w:rsidRPr="00483AEE">
        <w:rPr>
          <w:szCs w:val="24"/>
        </w:rPr>
        <w:t>, asociados a una contraprestación laboral (Cruces et al., 2008</w:t>
      </w:r>
      <w:r w:rsidR="009C2506" w:rsidRPr="00483AEE">
        <w:rPr>
          <w:szCs w:val="24"/>
        </w:rPr>
        <w:t>; Salvia, Poy y Vera, 201</w:t>
      </w:r>
      <w:r w:rsidR="00A403BC" w:rsidRPr="00483AEE">
        <w:rPr>
          <w:szCs w:val="24"/>
        </w:rPr>
        <w:t>5</w:t>
      </w:r>
      <w:r w:rsidR="00834417" w:rsidRPr="00483AEE">
        <w:rPr>
          <w:szCs w:val="24"/>
        </w:rPr>
        <w:t xml:space="preserve">). A partir de 1993, se </w:t>
      </w:r>
      <w:r w:rsidR="009C2506" w:rsidRPr="00483AEE">
        <w:rPr>
          <w:szCs w:val="24"/>
        </w:rPr>
        <w:t>puso</w:t>
      </w:r>
      <w:r w:rsidR="00834417" w:rsidRPr="00483AEE">
        <w:rPr>
          <w:szCs w:val="24"/>
        </w:rPr>
        <w:t xml:space="preserve"> en marcha el primer programa de este tipo, </w:t>
      </w:r>
      <w:r w:rsidR="009C2506" w:rsidRPr="00483AEE">
        <w:rPr>
          <w:szCs w:val="24"/>
        </w:rPr>
        <w:t xml:space="preserve">cuya cobertura se amplió </w:t>
      </w:r>
      <w:r w:rsidR="00834417" w:rsidRPr="00483AEE">
        <w:rPr>
          <w:szCs w:val="24"/>
        </w:rPr>
        <w:t xml:space="preserve">en años posteriores con el </w:t>
      </w:r>
      <w:r w:rsidR="009C2506" w:rsidRPr="00483AEE">
        <w:rPr>
          <w:szCs w:val="24"/>
        </w:rPr>
        <w:t>“</w:t>
      </w:r>
      <w:r w:rsidR="00834417" w:rsidRPr="00483AEE">
        <w:rPr>
          <w:szCs w:val="24"/>
        </w:rPr>
        <w:t>Programa Trabajar</w:t>
      </w:r>
      <w:r w:rsidR="009C2506" w:rsidRPr="00483AEE">
        <w:rPr>
          <w:szCs w:val="24"/>
        </w:rPr>
        <w:t>”</w:t>
      </w:r>
      <w:r w:rsidR="00834417" w:rsidRPr="00483AEE">
        <w:rPr>
          <w:szCs w:val="24"/>
        </w:rPr>
        <w:t xml:space="preserve"> en difere</w:t>
      </w:r>
      <w:r w:rsidR="00641AAF" w:rsidRPr="00483AEE">
        <w:rPr>
          <w:szCs w:val="24"/>
        </w:rPr>
        <w:t xml:space="preserve">ntes versiones. De todos modos, estos programas </w:t>
      </w:r>
      <w:r w:rsidR="00641AAF" w:rsidRPr="00483AEE">
        <w:rPr>
          <w:szCs w:val="24"/>
        </w:rPr>
        <w:lastRenderedPageBreak/>
        <w:t>t</w:t>
      </w:r>
      <w:r w:rsidR="009C2506" w:rsidRPr="00483AEE">
        <w:rPr>
          <w:szCs w:val="24"/>
        </w:rPr>
        <w:t>uvieron</w:t>
      </w:r>
      <w:r w:rsidR="00641AAF" w:rsidRPr="00483AEE">
        <w:rPr>
          <w:szCs w:val="24"/>
        </w:rPr>
        <w:t xml:space="preserve"> una baja cobertura, y se d</w:t>
      </w:r>
      <w:r w:rsidR="009C2506" w:rsidRPr="00483AEE">
        <w:rPr>
          <w:szCs w:val="24"/>
        </w:rPr>
        <w:t>ieron</w:t>
      </w:r>
      <w:r w:rsidR="00641AAF" w:rsidRPr="00483AEE">
        <w:rPr>
          <w:szCs w:val="24"/>
        </w:rPr>
        <w:t xml:space="preserve"> en simultáneo con otros sistemas de ayuda a grupos vulnerables de nivel nacional, </w:t>
      </w:r>
      <w:r w:rsidR="00483AEE" w:rsidRPr="00483AEE">
        <w:rPr>
          <w:szCs w:val="24"/>
        </w:rPr>
        <w:t>subnacional</w:t>
      </w:r>
      <w:r w:rsidR="00641AAF" w:rsidRPr="00483AEE">
        <w:rPr>
          <w:szCs w:val="24"/>
        </w:rPr>
        <w:t xml:space="preserve"> y municipal</w:t>
      </w:r>
      <w:r w:rsidR="00641AAF" w:rsidRPr="00483AEE">
        <w:rPr>
          <w:rStyle w:val="Refdenotaalpie"/>
          <w:szCs w:val="24"/>
        </w:rPr>
        <w:footnoteReference w:id="31"/>
      </w:r>
      <w:r w:rsidR="009C2506" w:rsidRPr="00483AEE">
        <w:rPr>
          <w:szCs w:val="24"/>
        </w:rPr>
        <w:t xml:space="preserve"> (</w:t>
      </w:r>
      <w:r w:rsidR="00BE7D8D" w:rsidRPr="00483AEE">
        <w:rPr>
          <w:szCs w:val="24"/>
        </w:rPr>
        <w:t>Gráfica</w:t>
      </w:r>
      <w:r w:rsidR="009C2506" w:rsidRPr="00483AEE">
        <w:rPr>
          <w:szCs w:val="24"/>
        </w:rPr>
        <w:t xml:space="preserve"> </w:t>
      </w:r>
      <w:r w:rsidR="00F00E03" w:rsidRPr="00483AEE">
        <w:rPr>
          <w:szCs w:val="24"/>
        </w:rPr>
        <w:t>2.</w:t>
      </w:r>
      <w:r w:rsidR="009C2506" w:rsidRPr="00483AEE">
        <w:rPr>
          <w:szCs w:val="24"/>
        </w:rPr>
        <w:t>1</w:t>
      </w:r>
      <w:r w:rsidR="00B21A96" w:rsidRPr="00483AEE">
        <w:rPr>
          <w:szCs w:val="24"/>
        </w:rPr>
        <w:t>1</w:t>
      </w:r>
      <w:r w:rsidR="009C2506" w:rsidRPr="00483AEE">
        <w:rPr>
          <w:szCs w:val="24"/>
        </w:rPr>
        <w:t>).</w:t>
      </w:r>
      <w:r w:rsidR="00834417" w:rsidRPr="00483AEE">
        <w:rPr>
          <w:szCs w:val="24"/>
        </w:rPr>
        <w:t xml:space="preserve"> </w:t>
      </w:r>
    </w:p>
    <w:p w:rsidR="00153819" w:rsidRPr="00483AEE" w:rsidRDefault="00153819" w:rsidP="00153819">
      <w:pPr>
        <w:keepNext/>
        <w:spacing w:before="360" w:after="120" w:line="240" w:lineRule="auto"/>
        <w:jc w:val="both"/>
        <w:rPr>
          <w:b/>
          <w:szCs w:val="24"/>
        </w:rPr>
      </w:pPr>
      <w:r w:rsidRPr="00483AEE">
        <w:rPr>
          <w:b/>
          <w:szCs w:val="24"/>
        </w:rPr>
        <w:t>Gráfica 2.13. Monto percibido por una familia "tipo" (2 menores de 18 años) en concepto de transferencias condicionadas. Argentina, 2002-2014.</w:t>
      </w:r>
    </w:p>
    <w:p w:rsidR="00153819" w:rsidRPr="00153819" w:rsidRDefault="00153819" w:rsidP="00153819">
      <w:pPr>
        <w:keepNext/>
        <w:spacing w:after="0" w:line="240" w:lineRule="auto"/>
        <w:jc w:val="both"/>
        <w:rPr>
          <w:b/>
          <w:szCs w:val="24"/>
        </w:rPr>
      </w:pPr>
      <w:r w:rsidRPr="00153819">
        <w:rPr>
          <w:i/>
          <w:sz w:val="20"/>
          <w:szCs w:val="24"/>
        </w:rPr>
        <w:t>En pesos de 2014.</w:t>
      </w:r>
    </w:p>
    <w:p w:rsidR="00153819" w:rsidRPr="000169FF" w:rsidRDefault="00153819" w:rsidP="00153819">
      <w:pPr>
        <w:keepNext/>
        <w:spacing w:after="0" w:line="240" w:lineRule="auto"/>
        <w:jc w:val="center"/>
        <w:rPr>
          <w:rFonts w:ascii="Calibri" w:eastAsia="Times New Roman" w:hAnsi="Calibri"/>
          <w:b/>
          <w:bCs/>
          <w:szCs w:val="24"/>
          <w:lang w:val="es-ES" w:eastAsia="es-ES"/>
        </w:rPr>
      </w:pPr>
      <w:r w:rsidRPr="00713BBE">
        <w:rPr>
          <w:rFonts w:ascii="Calibri" w:eastAsia="Times New Roman" w:hAnsi="Calibri"/>
          <w:b/>
          <w:noProof/>
          <w:szCs w:val="24"/>
          <w:lang w:eastAsia="es-AR"/>
        </w:rPr>
        <w:drawing>
          <wp:inline distT="0" distB="0" distL="0" distR="0" wp14:anchorId="296C1887" wp14:editId="32F5B56E">
            <wp:extent cx="5429250" cy="2509736"/>
            <wp:effectExtent l="0" t="0" r="0" b="5080"/>
            <wp:docPr id="14"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31074" cy="2510579"/>
                    </a:xfrm>
                    <a:prstGeom prst="rect">
                      <a:avLst/>
                    </a:prstGeom>
                    <a:noFill/>
                    <a:ln>
                      <a:noFill/>
                    </a:ln>
                  </pic:spPr>
                </pic:pic>
              </a:graphicData>
            </a:graphic>
          </wp:inline>
        </w:drawing>
      </w:r>
    </w:p>
    <w:p w:rsidR="00153819" w:rsidRPr="00153819" w:rsidRDefault="00153819" w:rsidP="00153819">
      <w:pPr>
        <w:spacing w:after="360" w:line="240" w:lineRule="auto"/>
        <w:jc w:val="both"/>
        <w:rPr>
          <w:sz w:val="18"/>
          <w:szCs w:val="24"/>
        </w:rPr>
      </w:pPr>
      <w:r w:rsidRPr="00153819">
        <w:rPr>
          <w:sz w:val="18"/>
          <w:szCs w:val="24"/>
        </w:rPr>
        <w:t>Fuentes: (1) Programas de Empleo (varios), Cruces et al. (2008). (2) Plan Jefas y Jefes de Hogar y Plan Familias: CEPAL, Base de datos de Programas de Protección Social no contributiva. Disponibles en &lt;</w:t>
      </w:r>
      <w:r w:rsidRPr="00153819">
        <w:rPr>
          <w:sz w:val="18"/>
          <w:szCs w:val="24"/>
          <w:u w:val="single"/>
        </w:rPr>
        <w:t>http://dds.cepal.org/bpsnc</w:t>
      </w:r>
      <w:r w:rsidRPr="00153819">
        <w:rPr>
          <w:sz w:val="18"/>
          <w:szCs w:val="24"/>
        </w:rPr>
        <w:t>&gt; (3) AUH: Administración Nacional de la Seguridad Social (ANSES). Datos disponibles en: &lt;</w:t>
      </w:r>
      <w:r w:rsidRPr="00153819">
        <w:rPr>
          <w:sz w:val="18"/>
          <w:szCs w:val="24"/>
          <w:u w:val="single"/>
        </w:rPr>
        <w:t>http://www.transparencia.anses.gob.ar</w:t>
      </w:r>
      <w:r w:rsidRPr="00153819">
        <w:rPr>
          <w:sz w:val="18"/>
          <w:szCs w:val="24"/>
        </w:rPr>
        <w:t>&gt;.</w:t>
      </w:r>
    </w:p>
    <w:p w:rsidR="005A149C" w:rsidRPr="00483AEE" w:rsidRDefault="00D2496D" w:rsidP="00483AEE">
      <w:pPr>
        <w:spacing w:after="120" w:line="360" w:lineRule="auto"/>
        <w:jc w:val="both"/>
        <w:rPr>
          <w:szCs w:val="24"/>
        </w:rPr>
      </w:pPr>
      <w:r w:rsidRPr="00483AEE">
        <w:rPr>
          <w:szCs w:val="24"/>
        </w:rPr>
        <w:t xml:space="preserve">Luego de la crisis del modelo político-económico neoliberal, en 2001-2002, </w:t>
      </w:r>
      <w:r w:rsidR="0043714A" w:rsidRPr="00483AEE">
        <w:rPr>
          <w:szCs w:val="24"/>
        </w:rPr>
        <w:t xml:space="preserve">se </w:t>
      </w:r>
      <w:r w:rsidRPr="00483AEE">
        <w:rPr>
          <w:szCs w:val="24"/>
        </w:rPr>
        <w:t xml:space="preserve">abre un </w:t>
      </w:r>
      <w:r w:rsidR="00AB2D9E" w:rsidRPr="00483AEE">
        <w:rPr>
          <w:szCs w:val="24"/>
        </w:rPr>
        <w:t xml:space="preserve">proceso </w:t>
      </w:r>
      <w:r w:rsidRPr="00483AEE">
        <w:rPr>
          <w:szCs w:val="24"/>
        </w:rPr>
        <w:t>diferente de</w:t>
      </w:r>
      <w:r w:rsidR="0043714A" w:rsidRPr="00483AEE">
        <w:rPr>
          <w:szCs w:val="24"/>
        </w:rPr>
        <w:t xml:space="preserve"> política</w:t>
      </w:r>
      <w:r w:rsidRPr="00483AEE">
        <w:rPr>
          <w:szCs w:val="24"/>
        </w:rPr>
        <w:t>s</w:t>
      </w:r>
      <w:r w:rsidR="0043714A" w:rsidRPr="00483AEE">
        <w:rPr>
          <w:szCs w:val="24"/>
        </w:rPr>
        <w:t xml:space="preserve"> social</w:t>
      </w:r>
      <w:r w:rsidRPr="00483AEE">
        <w:rPr>
          <w:szCs w:val="24"/>
        </w:rPr>
        <w:t>es</w:t>
      </w:r>
      <w:r w:rsidR="0043714A" w:rsidRPr="00483AEE">
        <w:rPr>
          <w:szCs w:val="24"/>
        </w:rPr>
        <w:t xml:space="preserve">. </w:t>
      </w:r>
      <w:r w:rsidR="001F5EF6" w:rsidRPr="00483AEE">
        <w:rPr>
          <w:szCs w:val="24"/>
        </w:rPr>
        <w:t xml:space="preserve">En un sentido general, </w:t>
      </w:r>
      <w:r w:rsidR="0043714A" w:rsidRPr="00483AEE">
        <w:rPr>
          <w:szCs w:val="24"/>
        </w:rPr>
        <w:t>el gast</w:t>
      </w:r>
      <w:r w:rsidR="001F5EF6" w:rsidRPr="00483AEE">
        <w:rPr>
          <w:szCs w:val="24"/>
        </w:rPr>
        <w:t xml:space="preserve">o público social </w:t>
      </w:r>
      <w:r w:rsidR="00AB2D9E" w:rsidRPr="00483AEE">
        <w:rPr>
          <w:szCs w:val="24"/>
        </w:rPr>
        <w:t xml:space="preserve">nacional, provincial y municipal, </w:t>
      </w:r>
      <w:r w:rsidR="001F5EF6" w:rsidRPr="00483AEE">
        <w:rPr>
          <w:szCs w:val="24"/>
        </w:rPr>
        <w:t>como porcentaje del PIB</w:t>
      </w:r>
      <w:r w:rsidR="00AB2D9E" w:rsidRPr="00483AEE">
        <w:rPr>
          <w:szCs w:val="24"/>
        </w:rPr>
        <w:t>,</w:t>
      </w:r>
      <w:r w:rsidR="001F5EF6" w:rsidRPr="00483AEE">
        <w:rPr>
          <w:szCs w:val="24"/>
        </w:rPr>
        <w:t xml:space="preserve"> se incrementó durante todo el período</w:t>
      </w:r>
      <w:r w:rsidR="0043714A" w:rsidRPr="00483AEE">
        <w:rPr>
          <w:szCs w:val="24"/>
        </w:rPr>
        <w:t xml:space="preserve"> </w:t>
      </w:r>
      <w:r w:rsidR="001F5EF6" w:rsidRPr="00483AEE">
        <w:rPr>
          <w:szCs w:val="24"/>
        </w:rPr>
        <w:t>(</w:t>
      </w:r>
      <w:r w:rsidR="00BE7D8D" w:rsidRPr="00483AEE">
        <w:rPr>
          <w:szCs w:val="24"/>
        </w:rPr>
        <w:t>Gráfica</w:t>
      </w:r>
      <w:r w:rsidR="001F5EF6" w:rsidRPr="00483AEE">
        <w:rPr>
          <w:szCs w:val="24"/>
        </w:rPr>
        <w:t xml:space="preserve"> </w:t>
      </w:r>
      <w:r w:rsidR="00F00E03" w:rsidRPr="00483AEE">
        <w:rPr>
          <w:szCs w:val="24"/>
        </w:rPr>
        <w:t>2.</w:t>
      </w:r>
      <w:r w:rsidR="001F5EF6" w:rsidRPr="00483AEE">
        <w:rPr>
          <w:szCs w:val="24"/>
        </w:rPr>
        <w:t>8)</w:t>
      </w:r>
      <w:r w:rsidR="0043714A" w:rsidRPr="00483AEE">
        <w:rPr>
          <w:szCs w:val="24"/>
        </w:rPr>
        <w:t xml:space="preserve">. </w:t>
      </w:r>
      <w:r w:rsidR="001F5EF6" w:rsidRPr="00483AEE">
        <w:rPr>
          <w:szCs w:val="24"/>
        </w:rPr>
        <w:t xml:space="preserve">Uno de los </w:t>
      </w:r>
      <w:r w:rsidR="00AB2D9E" w:rsidRPr="00483AEE">
        <w:rPr>
          <w:szCs w:val="24"/>
        </w:rPr>
        <w:t>componentes</w:t>
      </w:r>
      <w:r w:rsidR="001F5EF6" w:rsidRPr="00483AEE">
        <w:rPr>
          <w:szCs w:val="24"/>
        </w:rPr>
        <w:t xml:space="preserve"> más significativos de este incremento </w:t>
      </w:r>
      <w:r w:rsidR="00AB2D9E" w:rsidRPr="00483AEE">
        <w:rPr>
          <w:szCs w:val="24"/>
        </w:rPr>
        <w:t>estuvo asociado con la expansión en el sistema previsional. Este proceso se implementó a través de dos iniciativas que contrastan con períodos anteriores</w:t>
      </w:r>
      <w:r w:rsidR="001F5EF6" w:rsidRPr="00483AEE">
        <w:rPr>
          <w:szCs w:val="24"/>
        </w:rPr>
        <w:t>: un aumento significativo de la cobertura previsional y una recuperación de los haberes, en especial de la parte más baja de la pirámide previsional (</w:t>
      </w:r>
      <w:r w:rsidR="00BE7D8D" w:rsidRPr="00483AEE">
        <w:rPr>
          <w:szCs w:val="24"/>
        </w:rPr>
        <w:t>Gráfica</w:t>
      </w:r>
      <w:r w:rsidR="001F5EF6" w:rsidRPr="00483AEE">
        <w:rPr>
          <w:szCs w:val="24"/>
        </w:rPr>
        <w:t xml:space="preserve"> </w:t>
      </w:r>
      <w:r w:rsidR="00F00E03" w:rsidRPr="00483AEE">
        <w:rPr>
          <w:szCs w:val="24"/>
        </w:rPr>
        <w:t>2.</w:t>
      </w:r>
      <w:r w:rsidR="00B21A96" w:rsidRPr="00483AEE">
        <w:rPr>
          <w:szCs w:val="24"/>
        </w:rPr>
        <w:t>9</w:t>
      </w:r>
      <w:r w:rsidR="001F5EF6" w:rsidRPr="00483AEE">
        <w:rPr>
          <w:szCs w:val="24"/>
        </w:rPr>
        <w:t xml:space="preserve">). Este doble proceso </w:t>
      </w:r>
      <w:r w:rsidRPr="00483AEE">
        <w:rPr>
          <w:szCs w:val="24"/>
        </w:rPr>
        <w:t xml:space="preserve">implicó la </w:t>
      </w:r>
      <w:r w:rsidR="00483AEE" w:rsidRPr="00483AEE">
        <w:rPr>
          <w:szCs w:val="24"/>
        </w:rPr>
        <w:t>reestatización</w:t>
      </w:r>
      <w:r w:rsidRPr="00483AEE">
        <w:rPr>
          <w:szCs w:val="24"/>
        </w:rPr>
        <w:t xml:space="preserve"> del sistema previsional, lo cual ha llevado a algunos autores a </w:t>
      </w:r>
      <w:r w:rsidR="001F5EF6" w:rsidRPr="00483AEE">
        <w:rPr>
          <w:szCs w:val="24"/>
        </w:rPr>
        <w:lastRenderedPageBreak/>
        <w:t>caracteriza</w:t>
      </w:r>
      <w:r w:rsidRPr="00483AEE">
        <w:rPr>
          <w:szCs w:val="24"/>
        </w:rPr>
        <w:t xml:space="preserve">r a estas políticas como </w:t>
      </w:r>
      <w:r w:rsidR="001F5EF6" w:rsidRPr="00483AEE">
        <w:rPr>
          <w:szCs w:val="24"/>
        </w:rPr>
        <w:t>una “contra-reforma” previsional (</w:t>
      </w:r>
      <w:proofErr w:type="spellStart"/>
      <w:r w:rsidR="001F5EF6" w:rsidRPr="00483AEE">
        <w:rPr>
          <w:szCs w:val="24"/>
        </w:rPr>
        <w:t>Danani</w:t>
      </w:r>
      <w:proofErr w:type="spellEnd"/>
      <w:r w:rsidR="001F5EF6" w:rsidRPr="00483AEE">
        <w:rPr>
          <w:szCs w:val="24"/>
        </w:rPr>
        <w:t xml:space="preserve"> y Beccaria, 2013)</w:t>
      </w:r>
      <w:r w:rsidRPr="00483AEE">
        <w:rPr>
          <w:szCs w:val="24"/>
        </w:rPr>
        <w:t>.</w:t>
      </w:r>
      <w:r w:rsidR="0043714A" w:rsidRPr="00483AEE">
        <w:rPr>
          <w:rStyle w:val="Refdenotaalpie"/>
          <w:szCs w:val="24"/>
        </w:rPr>
        <w:footnoteReference w:id="32"/>
      </w:r>
      <w:r w:rsidR="00864004" w:rsidRPr="00483AEE">
        <w:rPr>
          <w:szCs w:val="24"/>
        </w:rPr>
        <w:t xml:space="preserve"> </w:t>
      </w:r>
      <w:r w:rsidR="005A149C" w:rsidRPr="00483AEE">
        <w:rPr>
          <w:szCs w:val="24"/>
        </w:rPr>
        <w:t>Esta medida de política benefició a más de 2,4 millones de personas. En 2014, la tasa de cobertura del sistema de seguridad social para la población en edad de jubilación alcanzó el 97,4%, después de haber caído durante los años noventa (la tasa de cobertura era del 71,3% en 2002).</w:t>
      </w:r>
    </w:p>
    <w:p w:rsidR="00250494" w:rsidRPr="00483AEE" w:rsidRDefault="00250494" w:rsidP="00483AEE">
      <w:pPr>
        <w:spacing w:after="120" w:line="360" w:lineRule="auto"/>
        <w:jc w:val="both"/>
        <w:rPr>
          <w:szCs w:val="24"/>
        </w:rPr>
      </w:pPr>
      <w:r w:rsidRPr="00483AEE">
        <w:rPr>
          <w:szCs w:val="24"/>
        </w:rPr>
        <w:t>Al mismo tiempo, si bien se mantuvo la política precedente en cuanto al crecimiento del gasto público vinculado a la lucha contra la pobreza (</w:t>
      </w:r>
      <w:r w:rsidR="00BE7D8D" w:rsidRPr="00483AEE">
        <w:rPr>
          <w:szCs w:val="24"/>
        </w:rPr>
        <w:t>Gráfica</w:t>
      </w:r>
      <w:r w:rsidRPr="00483AEE">
        <w:rPr>
          <w:szCs w:val="24"/>
        </w:rPr>
        <w:t xml:space="preserve"> </w:t>
      </w:r>
      <w:r w:rsidR="00F00E03" w:rsidRPr="00483AEE">
        <w:rPr>
          <w:szCs w:val="24"/>
        </w:rPr>
        <w:t>2.</w:t>
      </w:r>
      <w:r w:rsidRPr="00483AEE">
        <w:rPr>
          <w:szCs w:val="24"/>
        </w:rPr>
        <w:t>1</w:t>
      </w:r>
      <w:r w:rsidR="00B21A96" w:rsidRPr="00483AEE">
        <w:rPr>
          <w:szCs w:val="24"/>
        </w:rPr>
        <w:t>0</w:t>
      </w:r>
      <w:r w:rsidRPr="00483AEE">
        <w:rPr>
          <w:szCs w:val="24"/>
        </w:rPr>
        <w:t xml:space="preserve">), hubo cambios significativos al interior del período. En primer lugar, durante los primeros años se ampliaron los programas de transferencia condicionadas asociados al empleo, es decir, que exigían una contraprestación laboral. En particular, el lanzamiento del Plan Jefes y Jefas de Hogar Desocupados (PJJHD) a comienzos de la década se dirigió a la población de desocupados, pero a diferencia de los programas </w:t>
      </w:r>
      <w:r w:rsidR="00F00E03" w:rsidRPr="00483AEE">
        <w:rPr>
          <w:szCs w:val="24"/>
        </w:rPr>
        <w:t>preexistentes</w:t>
      </w:r>
      <w:r w:rsidRPr="00483AEE">
        <w:rPr>
          <w:szCs w:val="24"/>
        </w:rPr>
        <w:t>, tuvo un alcance masivo, llegando rápidamente a casi 1,5 millón de beneficiarios (</w:t>
      </w:r>
      <w:r w:rsidR="00BE7D8D" w:rsidRPr="00483AEE">
        <w:rPr>
          <w:szCs w:val="24"/>
        </w:rPr>
        <w:t>Gráfica</w:t>
      </w:r>
      <w:r w:rsidRPr="00483AEE">
        <w:rPr>
          <w:szCs w:val="24"/>
        </w:rPr>
        <w:t xml:space="preserve"> </w:t>
      </w:r>
      <w:r w:rsidR="00F00E03" w:rsidRPr="00483AEE">
        <w:rPr>
          <w:szCs w:val="24"/>
        </w:rPr>
        <w:t>2.</w:t>
      </w:r>
      <w:r w:rsidRPr="00483AEE">
        <w:rPr>
          <w:szCs w:val="24"/>
        </w:rPr>
        <w:t>1</w:t>
      </w:r>
      <w:r w:rsidR="00B21A96" w:rsidRPr="00483AEE">
        <w:rPr>
          <w:szCs w:val="24"/>
        </w:rPr>
        <w:t>1</w:t>
      </w:r>
      <w:r w:rsidRPr="00483AEE">
        <w:rPr>
          <w:szCs w:val="24"/>
        </w:rPr>
        <w:t xml:space="preserve">). </w:t>
      </w:r>
    </w:p>
    <w:p w:rsidR="00250494" w:rsidRPr="00483AEE" w:rsidRDefault="00250494" w:rsidP="00483AEE">
      <w:pPr>
        <w:spacing w:after="120" w:line="360" w:lineRule="auto"/>
        <w:jc w:val="both"/>
        <w:rPr>
          <w:szCs w:val="24"/>
        </w:rPr>
      </w:pPr>
      <w:r w:rsidRPr="00483AEE">
        <w:rPr>
          <w:szCs w:val="24"/>
        </w:rPr>
        <w:t xml:space="preserve">Con posterioridad, en un escenario de recuperación del empleo, comenzó una modificación paulatina de este componente. Una parte de los hogares beneficiarios del PJJHD fueron “transferidos” al “Plan Familias por la Inclusión Social”, un programa de tipo </w:t>
      </w:r>
      <w:proofErr w:type="spellStart"/>
      <w:r w:rsidRPr="00483AEE">
        <w:rPr>
          <w:i/>
          <w:szCs w:val="24"/>
        </w:rPr>
        <w:t>welfare</w:t>
      </w:r>
      <w:proofErr w:type="spellEnd"/>
      <w:r w:rsidRPr="00483AEE">
        <w:rPr>
          <w:szCs w:val="24"/>
        </w:rPr>
        <w:t xml:space="preserve">, mientras que otros beneficiarios pasaron al “Seguro de Capacitación y Empleo”, de tipo </w:t>
      </w:r>
      <w:proofErr w:type="spellStart"/>
      <w:r w:rsidRPr="00483AEE">
        <w:rPr>
          <w:i/>
          <w:szCs w:val="24"/>
        </w:rPr>
        <w:t>workfare</w:t>
      </w:r>
      <w:proofErr w:type="spellEnd"/>
      <w:r w:rsidRPr="00483AEE">
        <w:rPr>
          <w:rStyle w:val="Refdenotaalpie"/>
          <w:szCs w:val="24"/>
        </w:rPr>
        <w:footnoteReference w:id="33"/>
      </w:r>
      <w:r w:rsidRPr="00483AEE">
        <w:rPr>
          <w:szCs w:val="24"/>
        </w:rPr>
        <w:t xml:space="preserve">. En paralelo, se eliminó la restricción cuantitativa del número de pensiones no contributivas que el Estado podía entregar. Hasta el ciclo de políticas heterodoxas, el número de pensiones no contributivas era fijo y sólo podían darse altas cuando se registraba una baja. La eliminación de esta restricción explica la </w:t>
      </w:r>
      <w:r w:rsidRPr="00483AEE">
        <w:rPr>
          <w:szCs w:val="24"/>
        </w:rPr>
        <w:lastRenderedPageBreak/>
        <w:t>fuerte ampliación que se advierte en el número de pensiones no contributivas, en particular por invalidez y para madres de siete o más hijos (</w:t>
      </w:r>
      <w:r w:rsidR="00BE7D8D" w:rsidRPr="00483AEE">
        <w:rPr>
          <w:szCs w:val="24"/>
        </w:rPr>
        <w:t>Gráfica</w:t>
      </w:r>
      <w:r w:rsidRPr="00483AEE">
        <w:rPr>
          <w:szCs w:val="24"/>
        </w:rPr>
        <w:t xml:space="preserve"> </w:t>
      </w:r>
      <w:r w:rsidR="00F00E03" w:rsidRPr="00483AEE">
        <w:rPr>
          <w:szCs w:val="24"/>
        </w:rPr>
        <w:t>2.</w:t>
      </w:r>
      <w:r w:rsidRPr="00483AEE">
        <w:rPr>
          <w:szCs w:val="24"/>
        </w:rPr>
        <w:t>1</w:t>
      </w:r>
      <w:r w:rsidR="00B21A96" w:rsidRPr="00483AEE">
        <w:rPr>
          <w:szCs w:val="24"/>
        </w:rPr>
        <w:t>2</w:t>
      </w:r>
      <w:r w:rsidRPr="00483AEE">
        <w:rPr>
          <w:szCs w:val="24"/>
        </w:rPr>
        <w:t>).</w:t>
      </w:r>
    </w:p>
    <w:p w:rsidR="00250494" w:rsidRPr="00483AEE" w:rsidRDefault="00250494" w:rsidP="00483AEE">
      <w:pPr>
        <w:spacing w:after="120" w:line="360" w:lineRule="auto"/>
        <w:jc w:val="both"/>
        <w:rPr>
          <w:szCs w:val="24"/>
        </w:rPr>
      </w:pPr>
      <w:r w:rsidRPr="00483AEE">
        <w:rPr>
          <w:szCs w:val="24"/>
        </w:rPr>
        <w:t>Luego de una primera reducción en el número de titulares de los programas de transferencias condicionadas o de empleo social, asociado positivamente con el acceso a empleos de calidad por parte de los sectores beneficiarios, el estancamiento en la demanda de empleo y el aumento de la pobreza y la conflictividad social, en el contexto de la crisis internacional 2008-2009, obligaron al gobierno a un giro en este sentido. Justamente, en 2009, se crea para hogares de trabajadores informales o desocupados un nuevo régimen de transferencias monetarias condicionadas denominado “Asignación Universal por Hijo”. En años posteriores, se implementaron nuevos programas de transferencias condicionadas dirigidas a poblaciones específicas.</w:t>
      </w:r>
      <w:r w:rsidRPr="00483AEE">
        <w:rPr>
          <w:rStyle w:val="Refdenotaalpie"/>
          <w:szCs w:val="24"/>
        </w:rPr>
        <w:footnoteReference w:id="34"/>
      </w:r>
      <w:r w:rsidRPr="00483AEE">
        <w:rPr>
          <w:szCs w:val="24"/>
        </w:rPr>
        <w:t xml:space="preserve"> Tanto la cobertura como los montos percibidos por estos programas fueron registrando aumentos sistemáticos durante el período (</w:t>
      </w:r>
      <w:r w:rsidR="00BE7D8D" w:rsidRPr="00483AEE">
        <w:rPr>
          <w:szCs w:val="24"/>
        </w:rPr>
        <w:t>Gráfica</w:t>
      </w:r>
      <w:r w:rsidRPr="00483AEE">
        <w:rPr>
          <w:szCs w:val="24"/>
        </w:rPr>
        <w:t xml:space="preserve"> </w:t>
      </w:r>
      <w:r w:rsidR="00F00E03" w:rsidRPr="00483AEE">
        <w:rPr>
          <w:szCs w:val="24"/>
        </w:rPr>
        <w:t>2.</w:t>
      </w:r>
      <w:r w:rsidRPr="00483AEE">
        <w:rPr>
          <w:szCs w:val="24"/>
        </w:rPr>
        <w:t>1</w:t>
      </w:r>
      <w:r w:rsidR="00B21A96" w:rsidRPr="00483AEE">
        <w:rPr>
          <w:szCs w:val="24"/>
        </w:rPr>
        <w:t>3</w:t>
      </w:r>
      <w:r w:rsidRPr="00483AEE">
        <w:rPr>
          <w:szCs w:val="24"/>
        </w:rPr>
        <w:t>). Aunque algunas de estas mejoras en los niveles de transferencias sufrieran al final del período una relativa retracción por efecto de inflación creciente y la ausencia de mecanismos automáticos de ajuste.</w:t>
      </w:r>
    </w:p>
    <w:p w:rsidR="00CB19CF" w:rsidRPr="00483AEE" w:rsidRDefault="00CB19CF" w:rsidP="00483AEE">
      <w:pPr>
        <w:spacing w:after="120" w:line="360" w:lineRule="auto"/>
        <w:jc w:val="both"/>
        <w:rPr>
          <w:szCs w:val="24"/>
        </w:rPr>
      </w:pPr>
      <w:r w:rsidRPr="00483AEE">
        <w:rPr>
          <w:szCs w:val="24"/>
        </w:rPr>
        <w:t xml:space="preserve">De acuerdo con algunos estudios, las “contra-reformas” en materia de </w:t>
      </w:r>
      <w:r w:rsidR="00FA0456" w:rsidRPr="00483AEE">
        <w:rPr>
          <w:szCs w:val="24"/>
        </w:rPr>
        <w:t>programas</w:t>
      </w:r>
      <w:r w:rsidRPr="00483AEE">
        <w:rPr>
          <w:szCs w:val="24"/>
        </w:rPr>
        <w:t xml:space="preserve"> sociales y seguridad social habrían tenido un efecto significativo sobre la evoluci</w:t>
      </w:r>
      <w:r w:rsidR="009A2096" w:rsidRPr="00483AEE">
        <w:rPr>
          <w:szCs w:val="24"/>
        </w:rPr>
        <w:t xml:space="preserve">ón de la desigualdad. </w:t>
      </w:r>
      <w:r w:rsidR="00EA3C22" w:rsidRPr="00483AEE">
        <w:rPr>
          <w:szCs w:val="24"/>
        </w:rPr>
        <w:t>S</w:t>
      </w:r>
      <w:r w:rsidR="00FA0456" w:rsidRPr="00483AEE">
        <w:rPr>
          <w:szCs w:val="24"/>
        </w:rPr>
        <w:t xml:space="preserve">e destaca el papel central del sistema de jubilaciones y pensiones, que durante el ciclo </w:t>
      </w:r>
      <w:r w:rsidR="00907E7C" w:rsidRPr="00483AEE">
        <w:rPr>
          <w:szCs w:val="24"/>
        </w:rPr>
        <w:t>heterodoxo</w:t>
      </w:r>
      <w:r w:rsidR="00FA0456" w:rsidRPr="00483AEE">
        <w:rPr>
          <w:szCs w:val="24"/>
        </w:rPr>
        <w:t xml:space="preserve"> incrementó su cobertura y redujo su desigualdad interna</w:t>
      </w:r>
      <w:r w:rsidR="00EA3C22" w:rsidRPr="00483AEE">
        <w:rPr>
          <w:szCs w:val="24"/>
        </w:rPr>
        <w:t>, incidiendo</w:t>
      </w:r>
      <w:r w:rsidR="00FA0456" w:rsidRPr="00483AEE">
        <w:rPr>
          <w:szCs w:val="24"/>
        </w:rPr>
        <w:t xml:space="preserve"> positivamente sobre la desigualdad (Trujillo y Villafañe, 2011; </w:t>
      </w:r>
      <w:r w:rsidR="008307E5" w:rsidRPr="00483AEE">
        <w:rPr>
          <w:szCs w:val="24"/>
        </w:rPr>
        <w:t>Cruces y Gasparini</w:t>
      </w:r>
      <w:r w:rsidR="00FA0456" w:rsidRPr="00483AEE">
        <w:rPr>
          <w:szCs w:val="24"/>
        </w:rPr>
        <w:t xml:space="preserve">, 2009; </w:t>
      </w:r>
      <w:proofErr w:type="spellStart"/>
      <w:r w:rsidR="00FA0456" w:rsidRPr="00483AEE">
        <w:rPr>
          <w:szCs w:val="24"/>
        </w:rPr>
        <w:t>Rofman</w:t>
      </w:r>
      <w:proofErr w:type="spellEnd"/>
      <w:r w:rsidR="00FA0456" w:rsidRPr="00483AEE">
        <w:rPr>
          <w:szCs w:val="24"/>
        </w:rPr>
        <w:t xml:space="preserve"> y </w:t>
      </w:r>
      <w:proofErr w:type="spellStart"/>
      <w:r w:rsidR="00FA0456" w:rsidRPr="00483AEE">
        <w:rPr>
          <w:szCs w:val="24"/>
        </w:rPr>
        <w:t>Oliveri</w:t>
      </w:r>
      <w:proofErr w:type="spellEnd"/>
      <w:r w:rsidR="00FA0456" w:rsidRPr="00483AEE">
        <w:rPr>
          <w:szCs w:val="24"/>
        </w:rPr>
        <w:t xml:space="preserve">, 2012; véase el </w:t>
      </w:r>
      <w:r w:rsidR="00FA0456" w:rsidRPr="00483AEE">
        <w:rPr>
          <w:szCs w:val="24"/>
          <w:highlight w:val="yellow"/>
        </w:rPr>
        <w:t xml:space="preserve">capítulo </w:t>
      </w:r>
      <w:r w:rsidR="00C739DC" w:rsidRPr="00483AEE">
        <w:rPr>
          <w:szCs w:val="24"/>
          <w:highlight w:val="yellow"/>
        </w:rPr>
        <w:t>6</w:t>
      </w:r>
      <w:r w:rsidR="00FA0456" w:rsidRPr="00483AEE">
        <w:rPr>
          <w:szCs w:val="24"/>
        </w:rPr>
        <w:t xml:space="preserve"> de este libro). </w:t>
      </w:r>
      <w:r w:rsidR="00EA3C22" w:rsidRPr="00483AEE">
        <w:rPr>
          <w:szCs w:val="24"/>
        </w:rPr>
        <w:t>E</w:t>
      </w:r>
      <w:r w:rsidR="00FA0456" w:rsidRPr="00483AEE">
        <w:rPr>
          <w:szCs w:val="24"/>
        </w:rPr>
        <w:t>l balance sobre los programas sociales contra la pobreza en términos de desigualdad</w:t>
      </w:r>
      <w:r w:rsidR="00907E7C" w:rsidRPr="00483AEE">
        <w:rPr>
          <w:szCs w:val="24"/>
        </w:rPr>
        <w:t xml:space="preserve"> es más complejo</w:t>
      </w:r>
      <w:r w:rsidR="00FA0456" w:rsidRPr="00483AEE">
        <w:rPr>
          <w:szCs w:val="24"/>
        </w:rPr>
        <w:t>. Dada la generalización del P</w:t>
      </w:r>
      <w:r w:rsidR="00907E7C" w:rsidRPr="00483AEE">
        <w:rPr>
          <w:szCs w:val="24"/>
        </w:rPr>
        <w:t>JJHD</w:t>
      </w:r>
      <w:r w:rsidR="00FA0456" w:rsidRPr="00483AEE">
        <w:rPr>
          <w:szCs w:val="24"/>
        </w:rPr>
        <w:t xml:space="preserve"> </w:t>
      </w:r>
      <w:r w:rsidR="00907E7C" w:rsidRPr="00483AEE">
        <w:rPr>
          <w:szCs w:val="24"/>
        </w:rPr>
        <w:t>a partir de 2002-2003 con su efecto pro-igualdad</w:t>
      </w:r>
      <w:r w:rsidR="00EA3C22" w:rsidRPr="00483AEE">
        <w:rPr>
          <w:szCs w:val="24"/>
        </w:rPr>
        <w:t xml:space="preserve"> en el punto de partida</w:t>
      </w:r>
      <w:r w:rsidR="00907E7C" w:rsidRPr="00483AEE">
        <w:rPr>
          <w:szCs w:val="24"/>
        </w:rPr>
        <w:t>, la</w:t>
      </w:r>
      <w:r w:rsidR="00FA0456" w:rsidRPr="00483AEE">
        <w:rPr>
          <w:szCs w:val="24"/>
        </w:rPr>
        <w:t xml:space="preserve"> reducción progresiva de</w:t>
      </w:r>
      <w:r w:rsidR="00907E7C" w:rsidRPr="00483AEE">
        <w:rPr>
          <w:szCs w:val="24"/>
        </w:rPr>
        <w:t xml:space="preserve">l peso de este tipo de </w:t>
      </w:r>
      <w:r w:rsidR="00FA0456" w:rsidRPr="00483AEE">
        <w:rPr>
          <w:szCs w:val="24"/>
        </w:rPr>
        <w:t xml:space="preserve">transferencias </w:t>
      </w:r>
      <w:r w:rsidR="00907E7C" w:rsidRPr="00483AEE">
        <w:rPr>
          <w:szCs w:val="24"/>
        </w:rPr>
        <w:t>(</w:t>
      </w:r>
      <w:proofErr w:type="spellStart"/>
      <w:r w:rsidR="00907E7C" w:rsidRPr="00483AEE">
        <w:rPr>
          <w:i/>
          <w:szCs w:val="24"/>
        </w:rPr>
        <w:t>workfare</w:t>
      </w:r>
      <w:proofErr w:type="spellEnd"/>
      <w:r w:rsidR="00907E7C" w:rsidRPr="00483AEE">
        <w:rPr>
          <w:szCs w:val="24"/>
        </w:rPr>
        <w:t xml:space="preserve">) </w:t>
      </w:r>
      <w:r w:rsidR="00FA0456" w:rsidRPr="00483AEE">
        <w:rPr>
          <w:szCs w:val="24"/>
        </w:rPr>
        <w:t>en los presupuestos domésticos</w:t>
      </w:r>
      <w:r w:rsidR="00907E7C" w:rsidRPr="00483AEE">
        <w:rPr>
          <w:szCs w:val="24"/>
        </w:rPr>
        <w:t xml:space="preserve"> habría </w:t>
      </w:r>
      <w:r w:rsidR="00EA3C22" w:rsidRPr="00483AEE">
        <w:rPr>
          <w:szCs w:val="24"/>
        </w:rPr>
        <w:t>implicado</w:t>
      </w:r>
      <w:r w:rsidR="00907E7C" w:rsidRPr="00483AEE">
        <w:rPr>
          <w:szCs w:val="24"/>
        </w:rPr>
        <w:t xml:space="preserve"> una </w:t>
      </w:r>
      <w:r w:rsidR="00907E7C" w:rsidRPr="00483AEE">
        <w:rPr>
          <w:szCs w:val="24"/>
        </w:rPr>
        <w:lastRenderedPageBreak/>
        <w:t xml:space="preserve">reducción de su contribución a </w:t>
      </w:r>
      <w:r w:rsidR="00FA0456" w:rsidRPr="00483AEE">
        <w:rPr>
          <w:szCs w:val="24"/>
        </w:rPr>
        <w:t>la variación del Gini (Trujillo y Villafañe, 2011)</w:t>
      </w:r>
      <w:r w:rsidR="00907E7C" w:rsidRPr="00483AEE">
        <w:rPr>
          <w:rStyle w:val="Refdenotaalpie"/>
          <w:szCs w:val="24"/>
        </w:rPr>
        <w:footnoteReference w:id="35"/>
      </w:r>
      <w:r w:rsidR="00FA0456" w:rsidRPr="00483AEE">
        <w:rPr>
          <w:szCs w:val="24"/>
        </w:rPr>
        <w:t xml:space="preserve">. </w:t>
      </w:r>
      <w:r w:rsidR="00907E7C" w:rsidRPr="00483AEE">
        <w:rPr>
          <w:szCs w:val="24"/>
        </w:rPr>
        <w:t xml:space="preserve">Por el contrario, las transferencias monetarias condicionadas de tipo </w:t>
      </w:r>
      <w:proofErr w:type="spellStart"/>
      <w:r w:rsidR="00907E7C" w:rsidRPr="00483AEE">
        <w:rPr>
          <w:i/>
          <w:szCs w:val="24"/>
        </w:rPr>
        <w:t>welfare</w:t>
      </w:r>
      <w:proofErr w:type="spellEnd"/>
      <w:r w:rsidR="00907E7C" w:rsidRPr="00483AEE">
        <w:rPr>
          <w:szCs w:val="24"/>
        </w:rPr>
        <w:t xml:space="preserve">, ampliadas a partir de la AUH, habrían tenido un papel modesto pero positivo en la reducción de la desigualdad en el período heterodoxo (Trujillo y Villafañe, 2011; </w:t>
      </w:r>
      <w:proofErr w:type="spellStart"/>
      <w:r w:rsidR="00BB7206" w:rsidRPr="00483AEE">
        <w:rPr>
          <w:szCs w:val="24"/>
        </w:rPr>
        <w:t>Rofman</w:t>
      </w:r>
      <w:proofErr w:type="spellEnd"/>
      <w:r w:rsidR="00BB7206" w:rsidRPr="00483AEE">
        <w:rPr>
          <w:szCs w:val="24"/>
        </w:rPr>
        <w:t xml:space="preserve"> y </w:t>
      </w:r>
      <w:proofErr w:type="spellStart"/>
      <w:r w:rsidR="00BB7206" w:rsidRPr="00483AEE">
        <w:rPr>
          <w:szCs w:val="24"/>
        </w:rPr>
        <w:t>Oliveri</w:t>
      </w:r>
      <w:proofErr w:type="spellEnd"/>
      <w:r w:rsidR="00BB7206" w:rsidRPr="00483AEE">
        <w:rPr>
          <w:szCs w:val="24"/>
        </w:rPr>
        <w:t xml:space="preserve">, 2012; véase el </w:t>
      </w:r>
      <w:r w:rsidR="00C739DC" w:rsidRPr="00483AEE">
        <w:rPr>
          <w:szCs w:val="24"/>
          <w:highlight w:val="yellow"/>
        </w:rPr>
        <w:t xml:space="preserve">capítulo 6 </w:t>
      </w:r>
      <w:r w:rsidR="00BB7206" w:rsidRPr="00483AEE">
        <w:rPr>
          <w:szCs w:val="24"/>
        </w:rPr>
        <w:t>de este libro).</w:t>
      </w:r>
    </w:p>
    <w:p w:rsidR="00615B77" w:rsidRPr="00483AEE" w:rsidRDefault="00B65BB4" w:rsidP="00153819">
      <w:pPr>
        <w:keepNext/>
        <w:spacing w:before="360" w:after="120" w:line="360" w:lineRule="auto"/>
        <w:jc w:val="center"/>
        <w:rPr>
          <w:rFonts w:eastAsia="Times New Roman"/>
          <w:b/>
          <w:bCs/>
          <w:szCs w:val="24"/>
          <w:lang w:val="es-ES" w:eastAsia="es-ES"/>
        </w:rPr>
      </w:pPr>
      <w:r w:rsidRPr="00483AEE">
        <w:rPr>
          <w:rFonts w:eastAsia="Times New Roman"/>
          <w:b/>
          <w:bCs/>
          <w:szCs w:val="24"/>
          <w:lang w:val="es-ES" w:eastAsia="es-ES"/>
        </w:rPr>
        <w:t>5</w:t>
      </w:r>
      <w:r w:rsidR="00615B77" w:rsidRPr="00483AEE">
        <w:rPr>
          <w:rFonts w:eastAsia="Times New Roman"/>
          <w:b/>
          <w:bCs/>
          <w:szCs w:val="24"/>
          <w:lang w:val="es-ES" w:eastAsia="es-ES"/>
        </w:rPr>
        <w:t>.- Reflexiones finales</w:t>
      </w:r>
    </w:p>
    <w:p w:rsidR="00E91732" w:rsidRPr="00483AEE" w:rsidRDefault="00840C24" w:rsidP="00483AEE">
      <w:pPr>
        <w:spacing w:after="120" w:line="360" w:lineRule="auto"/>
        <w:jc w:val="both"/>
        <w:rPr>
          <w:szCs w:val="24"/>
        </w:rPr>
      </w:pPr>
      <w:r w:rsidRPr="00483AEE">
        <w:rPr>
          <w:szCs w:val="24"/>
        </w:rPr>
        <w:t xml:space="preserve">El propósito de este capítulo </w:t>
      </w:r>
      <w:r w:rsidR="008B2019" w:rsidRPr="00483AEE">
        <w:rPr>
          <w:szCs w:val="24"/>
        </w:rPr>
        <w:t>fue</w:t>
      </w:r>
      <w:r w:rsidRPr="00483AEE">
        <w:rPr>
          <w:szCs w:val="24"/>
        </w:rPr>
        <w:t xml:space="preserve"> ofrecer un marco contextual para comprender los cambios registrados en la desigualdad del ingreso de los hogares durante las últimas cuatro décadas en la Argentina (1974-2014). El enfoque </w:t>
      </w:r>
      <w:r w:rsidR="008B2019" w:rsidRPr="00483AEE">
        <w:rPr>
          <w:szCs w:val="24"/>
        </w:rPr>
        <w:t>aplicado</w:t>
      </w:r>
      <w:r w:rsidRPr="00483AEE">
        <w:rPr>
          <w:szCs w:val="24"/>
        </w:rPr>
        <w:t xml:space="preserve"> </w:t>
      </w:r>
      <w:r w:rsidR="008B2019" w:rsidRPr="00483AEE">
        <w:rPr>
          <w:szCs w:val="24"/>
        </w:rPr>
        <w:t>ha partido del supuesto de</w:t>
      </w:r>
      <w:r w:rsidRPr="00483AEE">
        <w:rPr>
          <w:szCs w:val="24"/>
        </w:rPr>
        <w:t xml:space="preserve"> que </w:t>
      </w:r>
      <w:r w:rsidR="00C02282" w:rsidRPr="00483AEE">
        <w:rPr>
          <w:szCs w:val="24"/>
        </w:rPr>
        <w:t>los cambios en e</w:t>
      </w:r>
      <w:r w:rsidRPr="00483AEE">
        <w:rPr>
          <w:szCs w:val="24"/>
        </w:rPr>
        <w:t xml:space="preserve">l patrón distributivo </w:t>
      </w:r>
      <w:r w:rsidR="00C02282" w:rsidRPr="00483AEE">
        <w:rPr>
          <w:szCs w:val="24"/>
        </w:rPr>
        <w:t xml:space="preserve">del ingreso </w:t>
      </w:r>
      <w:r w:rsidR="00E91732" w:rsidRPr="00483AEE">
        <w:rPr>
          <w:szCs w:val="24"/>
        </w:rPr>
        <w:t>no son ajenos a una serie de</w:t>
      </w:r>
      <w:r w:rsidRPr="00483AEE">
        <w:rPr>
          <w:szCs w:val="24"/>
        </w:rPr>
        <w:t xml:space="preserve"> </w:t>
      </w:r>
      <w:r w:rsidR="00E91732" w:rsidRPr="00483AEE">
        <w:rPr>
          <w:szCs w:val="24"/>
        </w:rPr>
        <w:t>comportamientos</w:t>
      </w:r>
      <w:r w:rsidRPr="00483AEE">
        <w:rPr>
          <w:szCs w:val="24"/>
        </w:rPr>
        <w:t xml:space="preserve"> </w:t>
      </w:r>
      <w:r w:rsidR="00C02282" w:rsidRPr="00483AEE">
        <w:rPr>
          <w:szCs w:val="24"/>
        </w:rPr>
        <w:t>estructurales</w:t>
      </w:r>
      <w:r w:rsidRPr="00483AEE">
        <w:rPr>
          <w:szCs w:val="24"/>
        </w:rPr>
        <w:t xml:space="preserve">, siendo </w:t>
      </w:r>
      <w:r w:rsidR="00C02282" w:rsidRPr="00483AEE">
        <w:rPr>
          <w:szCs w:val="24"/>
        </w:rPr>
        <w:t xml:space="preserve">un factor decisivo en este sentido los cambios </w:t>
      </w:r>
      <w:r w:rsidR="00E91732" w:rsidRPr="00483AEE">
        <w:rPr>
          <w:szCs w:val="24"/>
        </w:rPr>
        <w:t xml:space="preserve">en las condiciones </w:t>
      </w:r>
      <w:r w:rsidR="00C02282" w:rsidRPr="00483AEE">
        <w:rPr>
          <w:szCs w:val="24"/>
        </w:rPr>
        <w:t>internacional</w:t>
      </w:r>
      <w:r w:rsidR="00E91732" w:rsidRPr="00483AEE">
        <w:rPr>
          <w:szCs w:val="24"/>
        </w:rPr>
        <w:t xml:space="preserve">es y las estrategias político-económicos aplicadas para garantizar la reproducción del esquema de acumulación dominante. En ese marco, juegan un papel central tanto </w:t>
      </w:r>
      <w:r w:rsidR="00C02282" w:rsidRPr="00483AEE">
        <w:rPr>
          <w:szCs w:val="24"/>
        </w:rPr>
        <w:t xml:space="preserve">la estructura y </w:t>
      </w:r>
      <w:r w:rsidR="00E91732" w:rsidRPr="00483AEE">
        <w:rPr>
          <w:szCs w:val="24"/>
        </w:rPr>
        <w:t xml:space="preserve">el </w:t>
      </w:r>
      <w:r w:rsidR="00C02282" w:rsidRPr="00483AEE">
        <w:rPr>
          <w:szCs w:val="24"/>
        </w:rPr>
        <w:t>funcionamiento del</w:t>
      </w:r>
      <w:r w:rsidR="008B2019" w:rsidRPr="00483AEE">
        <w:rPr>
          <w:szCs w:val="24"/>
        </w:rPr>
        <w:t xml:space="preserve"> mercado de trabajo</w:t>
      </w:r>
      <w:r w:rsidR="00C02282" w:rsidRPr="00483AEE">
        <w:rPr>
          <w:szCs w:val="24"/>
        </w:rPr>
        <w:t xml:space="preserve">, </w:t>
      </w:r>
      <w:r w:rsidR="00E91732" w:rsidRPr="00483AEE">
        <w:rPr>
          <w:szCs w:val="24"/>
        </w:rPr>
        <w:t>como el alcance y la orientación de las</w:t>
      </w:r>
      <w:r w:rsidR="008B2019" w:rsidRPr="00483AEE">
        <w:rPr>
          <w:szCs w:val="24"/>
        </w:rPr>
        <w:t xml:space="preserve"> </w:t>
      </w:r>
      <w:r w:rsidRPr="00483AEE">
        <w:rPr>
          <w:szCs w:val="24"/>
        </w:rPr>
        <w:t>política</w:t>
      </w:r>
      <w:r w:rsidR="008B2019" w:rsidRPr="00483AEE">
        <w:rPr>
          <w:szCs w:val="24"/>
        </w:rPr>
        <w:t>s</w:t>
      </w:r>
      <w:r w:rsidRPr="00483AEE">
        <w:rPr>
          <w:szCs w:val="24"/>
        </w:rPr>
        <w:t xml:space="preserve"> social</w:t>
      </w:r>
      <w:r w:rsidR="008B2019" w:rsidRPr="00483AEE">
        <w:rPr>
          <w:szCs w:val="24"/>
        </w:rPr>
        <w:t>es</w:t>
      </w:r>
      <w:r w:rsidRPr="00483AEE">
        <w:rPr>
          <w:szCs w:val="24"/>
        </w:rPr>
        <w:t xml:space="preserve">. </w:t>
      </w:r>
    </w:p>
    <w:p w:rsidR="008B2019" w:rsidRPr="00483AEE" w:rsidRDefault="00E91732" w:rsidP="00483AEE">
      <w:pPr>
        <w:spacing w:after="120" w:line="360" w:lineRule="auto"/>
        <w:jc w:val="both"/>
        <w:rPr>
          <w:szCs w:val="24"/>
        </w:rPr>
      </w:pPr>
      <w:r w:rsidRPr="00483AEE">
        <w:rPr>
          <w:szCs w:val="24"/>
        </w:rPr>
        <w:t>En tal sentido,</w:t>
      </w:r>
      <w:r w:rsidR="00840C24" w:rsidRPr="00483AEE">
        <w:rPr>
          <w:szCs w:val="24"/>
        </w:rPr>
        <w:t xml:space="preserve"> el interés principal en este capítulo </w:t>
      </w:r>
      <w:r w:rsidR="008B2019" w:rsidRPr="00483AEE">
        <w:rPr>
          <w:szCs w:val="24"/>
        </w:rPr>
        <w:t>fue</w:t>
      </w:r>
      <w:r w:rsidR="00840C24" w:rsidRPr="00483AEE">
        <w:rPr>
          <w:szCs w:val="24"/>
        </w:rPr>
        <w:t xml:space="preserve"> examinar </w:t>
      </w:r>
      <w:r w:rsidR="00023DF4" w:rsidRPr="00483AEE">
        <w:rPr>
          <w:szCs w:val="24"/>
        </w:rPr>
        <w:t>a grandes trazos los ciclos económicos y las medidas políticas adoptadas por los gobiernos</w:t>
      </w:r>
      <w:r w:rsidRPr="00483AEE">
        <w:rPr>
          <w:szCs w:val="24"/>
        </w:rPr>
        <w:t xml:space="preserve"> </w:t>
      </w:r>
      <w:r w:rsidR="00023DF4" w:rsidRPr="00483AEE">
        <w:rPr>
          <w:szCs w:val="24"/>
        </w:rPr>
        <w:t xml:space="preserve">en </w:t>
      </w:r>
      <w:r w:rsidRPr="00483AEE">
        <w:rPr>
          <w:szCs w:val="24"/>
        </w:rPr>
        <w:t>cada una de las fases de acumulación</w:t>
      </w:r>
      <w:r w:rsidR="00023DF4" w:rsidRPr="00483AEE">
        <w:rPr>
          <w:szCs w:val="24"/>
        </w:rPr>
        <w:t xml:space="preserve"> por las que transitó el sistema económico argentino</w:t>
      </w:r>
      <w:r w:rsidRPr="00483AEE">
        <w:rPr>
          <w:szCs w:val="24"/>
        </w:rPr>
        <w:t xml:space="preserve">, mostrando </w:t>
      </w:r>
      <w:r w:rsidR="00023DF4" w:rsidRPr="00483AEE">
        <w:rPr>
          <w:szCs w:val="24"/>
        </w:rPr>
        <w:t xml:space="preserve">una serie de </w:t>
      </w:r>
      <w:r w:rsidRPr="00483AEE">
        <w:rPr>
          <w:szCs w:val="24"/>
        </w:rPr>
        <w:t xml:space="preserve">evidencias </w:t>
      </w:r>
      <w:r w:rsidR="00023DF4" w:rsidRPr="00483AEE">
        <w:rPr>
          <w:szCs w:val="24"/>
        </w:rPr>
        <w:t xml:space="preserve">que </w:t>
      </w:r>
      <w:r w:rsidR="002703C8" w:rsidRPr="00483AEE">
        <w:rPr>
          <w:szCs w:val="24"/>
        </w:rPr>
        <w:t>muestran</w:t>
      </w:r>
      <w:r w:rsidR="00023DF4" w:rsidRPr="00483AEE">
        <w:rPr>
          <w:szCs w:val="24"/>
        </w:rPr>
        <w:t xml:space="preserve"> los cambios ocurridos en </w:t>
      </w:r>
      <w:r w:rsidR="002703C8" w:rsidRPr="00483AEE">
        <w:rPr>
          <w:szCs w:val="24"/>
        </w:rPr>
        <w:t>la reproducción económica, la</w:t>
      </w:r>
      <w:r w:rsidRPr="00483AEE">
        <w:rPr>
          <w:szCs w:val="24"/>
        </w:rPr>
        <w:t xml:space="preserve"> estructura ocupacional, el funcionamiento del mercado laboral y la capacidad de intervención de las políticas sociales</w:t>
      </w:r>
      <w:r w:rsidR="008B2019" w:rsidRPr="00483AEE">
        <w:rPr>
          <w:szCs w:val="24"/>
        </w:rPr>
        <w:t>.</w:t>
      </w:r>
      <w:r w:rsidR="00023DF4" w:rsidRPr="00483AEE">
        <w:rPr>
          <w:szCs w:val="24"/>
        </w:rPr>
        <w:t xml:space="preserve"> </w:t>
      </w:r>
      <w:r w:rsidR="002703C8" w:rsidRPr="00483AEE">
        <w:rPr>
          <w:szCs w:val="24"/>
        </w:rPr>
        <w:t xml:space="preserve">Todo ello con la especial finalidad de describir el contexto a partir del cual hacer inteligible los </w:t>
      </w:r>
      <w:r w:rsidR="00A50E42" w:rsidRPr="00483AEE">
        <w:rPr>
          <w:szCs w:val="24"/>
        </w:rPr>
        <w:t>movimientos</w:t>
      </w:r>
      <w:r w:rsidR="002703C8" w:rsidRPr="00483AEE">
        <w:rPr>
          <w:szCs w:val="24"/>
        </w:rPr>
        <w:t xml:space="preserve"> ocurridos en la </w:t>
      </w:r>
      <w:r w:rsidR="00A50E42" w:rsidRPr="00483AEE">
        <w:rPr>
          <w:szCs w:val="24"/>
        </w:rPr>
        <w:t>distribución</w:t>
      </w:r>
      <w:r w:rsidR="002703C8" w:rsidRPr="00483AEE">
        <w:rPr>
          <w:szCs w:val="24"/>
        </w:rPr>
        <w:t xml:space="preserve"> del ingreso</w:t>
      </w:r>
      <w:r w:rsidR="00A50E42" w:rsidRPr="00483AEE">
        <w:rPr>
          <w:szCs w:val="24"/>
        </w:rPr>
        <w:t xml:space="preserve"> a nivel de la estructura social</w:t>
      </w:r>
      <w:r w:rsidR="002703C8" w:rsidRPr="00483AEE">
        <w:rPr>
          <w:szCs w:val="24"/>
        </w:rPr>
        <w:t xml:space="preserve">. </w:t>
      </w:r>
    </w:p>
    <w:p w:rsidR="00D654CE" w:rsidRPr="00483AEE" w:rsidRDefault="008B2019" w:rsidP="00483AEE">
      <w:pPr>
        <w:spacing w:after="120" w:line="360" w:lineRule="auto"/>
        <w:jc w:val="both"/>
        <w:rPr>
          <w:szCs w:val="24"/>
        </w:rPr>
      </w:pPr>
      <w:r w:rsidRPr="00483AEE">
        <w:rPr>
          <w:szCs w:val="24"/>
        </w:rPr>
        <w:t xml:space="preserve">A partir de mediados de los años </w:t>
      </w:r>
      <w:r w:rsidR="002703C8" w:rsidRPr="00483AEE">
        <w:rPr>
          <w:szCs w:val="24"/>
        </w:rPr>
        <w:t>70s</w:t>
      </w:r>
      <w:r w:rsidRPr="00483AEE">
        <w:rPr>
          <w:szCs w:val="24"/>
        </w:rPr>
        <w:t xml:space="preserve"> se inició </w:t>
      </w:r>
      <w:r w:rsidR="002703C8" w:rsidRPr="00483AEE">
        <w:rPr>
          <w:szCs w:val="24"/>
        </w:rPr>
        <w:t xml:space="preserve">con la dictadura militar </w:t>
      </w:r>
      <w:r w:rsidRPr="00483AEE">
        <w:rPr>
          <w:szCs w:val="24"/>
        </w:rPr>
        <w:t xml:space="preserve">un proceso de cambio estructural que se consolidó en los años </w:t>
      </w:r>
      <w:r w:rsidR="002703C8" w:rsidRPr="00483AEE">
        <w:rPr>
          <w:szCs w:val="24"/>
        </w:rPr>
        <w:t>90s</w:t>
      </w:r>
      <w:r w:rsidRPr="00483AEE">
        <w:rPr>
          <w:szCs w:val="24"/>
        </w:rPr>
        <w:t xml:space="preserve"> en el marco de las políticas del llamado Consenso de Washington. </w:t>
      </w:r>
      <w:r w:rsidR="002703C8" w:rsidRPr="00483AEE">
        <w:rPr>
          <w:szCs w:val="24"/>
        </w:rPr>
        <w:t xml:space="preserve">La evidencia presentada dio cuenta </w:t>
      </w:r>
      <w:r w:rsidR="00E67012" w:rsidRPr="00483AEE">
        <w:rPr>
          <w:szCs w:val="24"/>
        </w:rPr>
        <w:t xml:space="preserve">de </w:t>
      </w:r>
      <w:r w:rsidR="002703C8" w:rsidRPr="00483AEE">
        <w:rPr>
          <w:szCs w:val="24"/>
        </w:rPr>
        <w:t>que,</w:t>
      </w:r>
      <w:r w:rsidRPr="00483AEE">
        <w:rPr>
          <w:szCs w:val="24"/>
        </w:rPr>
        <w:t xml:space="preserve"> </w:t>
      </w:r>
      <w:r w:rsidR="002703C8" w:rsidRPr="00483AEE">
        <w:rPr>
          <w:szCs w:val="24"/>
        </w:rPr>
        <w:t xml:space="preserve">a partir de estos procesos, </w:t>
      </w:r>
      <w:r w:rsidRPr="00483AEE">
        <w:rPr>
          <w:szCs w:val="24"/>
        </w:rPr>
        <w:t xml:space="preserve">el deterioro social se extendió en todos los frentes, destacándose el </w:t>
      </w:r>
      <w:r w:rsidRPr="00483AEE">
        <w:rPr>
          <w:szCs w:val="24"/>
        </w:rPr>
        <w:lastRenderedPageBreak/>
        <w:t>aumento del desempleo y de la precariedad laboral</w:t>
      </w:r>
      <w:r w:rsidR="002703C8" w:rsidRPr="00483AEE">
        <w:rPr>
          <w:szCs w:val="24"/>
        </w:rPr>
        <w:t>, junto a especial aumento de la desigualdad económica</w:t>
      </w:r>
      <w:r w:rsidRPr="00483AEE">
        <w:rPr>
          <w:szCs w:val="24"/>
        </w:rPr>
        <w:t xml:space="preserve">. </w:t>
      </w:r>
      <w:r w:rsidR="002703C8" w:rsidRPr="00483AEE">
        <w:rPr>
          <w:szCs w:val="24"/>
        </w:rPr>
        <w:t xml:space="preserve">Es en este contexto que </w:t>
      </w:r>
      <w:r w:rsidR="00D654CE" w:rsidRPr="00483AEE">
        <w:rPr>
          <w:szCs w:val="24"/>
        </w:rPr>
        <w:t>se</w:t>
      </w:r>
      <w:r w:rsidR="002703C8" w:rsidRPr="00483AEE">
        <w:rPr>
          <w:szCs w:val="24"/>
        </w:rPr>
        <w:t xml:space="preserve"> </w:t>
      </w:r>
      <w:r w:rsidR="00D654CE" w:rsidRPr="00483AEE">
        <w:rPr>
          <w:szCs w:val="24"/>
        </w:rPr>
        <w:t>amplió</w:t>
      </w:r>
      <w:r w:rsidRPr="00483AEE">
        <w:rPr>
          <w:szCs w:val="24"/>
        </w:rPr>
        <w:t xml:space="preserve"> </w:t>
      </w:r>
      <w:r w:rsidR="00D654CE" w:rsidRPr="00483AEE">
        <w:rPr>
          <w:szCs w:val="24"/>
        </w:rPr>
        <w:t xml:space="preserve">al mismo tiempo </w:t>
      </w:r>
      <w:r w:rsidRPr="00483AEE">
        <w:rPr>
          <w:szCs w:val="24"/>
        </w:rPr>
        <w:t>el rol de las políticas sociales como un</w:t>
      </w:r>
      <w:r w:rsidR="00D654CE" w:rsidRPr="00483AEE">
        <w:rPr>
          <w:szCs w:val="24"/>
        </w:rPr>
        <w:t xml:space="preserve"> mecanismo de compensación</w:t>
      </w:r>
      <w:r w:rsidRPr="00483AEE">
        <w:rPr>
          <w:szCs w:val="24"/>
        </w:rPr>
        <w:t xml:space="preserve"> frente a los </w:t>
      </w:r>
      <w:r w:rsidR="00D654CE" w:rsidRPr="00483AEE">
        <w:rPr>
          <w:szCs w:val="24"/>
        </w:rPr>
        <w:t>procesos</w:t>
      </w:r>
      <w:r w:rsidRPr="00483AEE">
        <w:rPr>
          <w:szCs w:val="24"/>
        </w:rPr>
        <w:t xml:space="preserve"> </w:t>
      </w:r>
      <w:r w:rsidR="00D654CE" w:rsidRPr="00483AEE">
        <w:rPr>
          <w:szCs w:val="24"/>
        </w:rPr>
        <w:t xml:space="preserve">de exclusión estructural de una población </w:t>
      </w:r>
      <w:r w:rsidR="00E67012" w:rsidRPr="00483AEE">
        <w:rPr>
          <w:szCs w:val="24"/>
        </w:rPr>
        <w:t xml:space="preserve">excedentaria en tanto </w:t>
      </w:r>
      <w:r w:rsidR="00D654CE" w:rsidRPr="00483AEE">
        <w:rPr>
          <w:szCs w:val="24"/>
        </w:rPr>
        <w:t>factor de producción por parte de los segmentos más dinámicos de la economía.</w:t>
      </w:r>
    </w:p>
    <w:p w:rsidR="0074619D" w:rsidRPr="00483AEE" w:rsidRDefault="00E67012" w:rsidP="00483AEE">
      <w:pPr>
        <w:spacing w:after="120" w:line="360" w:lineRule="auto"/>
        <w:jc w:val="both"/>
        <w:rPr>
          <w:szCs w:val="24"/>
        </w:rPr>
      </w:pPr>
      <w:r w:rsidRPr="00483AEE">
        <w:rPr>
          <w:szCs w:val="24"/>
        </w:rPr>
        <w:t>E</w:t>
      </w:r>
      <w:r w:rsidR="00D654CE" w:rsidRPr="00483AEE">
        <w:rPr>
          <w:szCs w:val="24"/>
        </w:rPr>
        <w:t>sta tendencia parece haberse frenado durante la última fase</w:t>
      </w:r>
      <w:r w:rsidR="0074619D" w:rsidRPr="00483AEE">
        <w:rPr>
          <w:szCs w:val="24"/>
        </w:rPr>
        <w:t xml:space="preserve"> (2003-2014)</w:t>
      </w:r>
      <w:r w:rsidR="00D654CE" w:rsidRPr="00483AEE">
        <w:rPr>
          <w:szCs w:val="24"/>
        </w:rPr>
        <w:t xml:space="preserve"> asociada a</w:t>
      </w:r>
      <w:r w:rsidR="008B2019" w:rsidRPr="00483AEE">
        <w:rPr>
          <w:szCs w:val="24"/>
        </w:rPr>
        <w:t xml:space="preserve"> políticas de signo “heterodoxo”</w:t>
      </w:r>
      <w:r w:rsidR="00D654CE" w:rsidRPr="00483AEE">
        <w:rPr>
          <w:szCs w:val="24"/>
        </w:rPr>
        <w:t>. Esto se habría expresado en términos de un proceso que conjugó, como no había ocurrido en las fases anteriores, crecimiento económico, aumento del empleo</w:t>
      </w:r>
      <w:r w:rsidR="00D71489" w:rsidRPr="00483AEE">
        <w:rPr>
          <w:szCs w:val="24"/>
        </w:rPr>
        <w:t xml:space="preserve"> y </w:t>
      </w:r>
      <w:r w:rsidR="00D654CE" w:rsidRPr="00483AEE">
        <w:rPr>
          <w:szCs w:val="24"/>
        </w:rPr>
        <w:t xml:space="preserve">ampliación de las políticas de </w:t>
      </w:r>
      <w:r w:rsidR="00D71489" w:rsidRPr="00483AEE">
        <w:rPr>
          <w:szCs w:val="24"/>
        </w:rPr>
        <w:t>protección social, todo lo cual habría derivado en un</w:t>
      </w:r>
      <w:r w:rsidR="00C8202E" w:rsidRPr="00483AEE">
        <w:rPr>
          <w:szCs w:val="24"/>
        </w:rPr>
        <w:t xml:space="preserve">a </w:t>
      </w:r>
      <w:r w:rsidR="00D71489" w:rsidRPr="00483AEE">
        <w:rPr>
          <w:szCs w:val="24"/>
        </w:rPr>
        <w:t>caída de la desigualdad en la distribución del ingreso. Sin embargo, una mirada más detenida del proceso político-económico y sus efectos en materia socio-laboral, deja serias dudas sobre la efectiva capacidad que tuvo dicho modelo para modificar la matriz distributiva del ingreso</w:t>
      </w:r>
      <w:r w:rsidR="00C8202E" w:rsidRPr="00483AEE">
        <w:rPr>
          <w:szCs w:val="24"/>
        </w:rPr>
        <w:t xml:space="preserve">; en tanto que ni siquiera en </w:t>
      </w:r>
      <w:r w:rsidR="0074619D" w:rsidRPr="00483AEE">
        <w:rPr>
          <w:szCs w:val="24"/>
        </w:rPr>
        <w:t xml:space="preserve">un contexto de crecimiento, bajo un escenario internacional favorable y disponiendo de amplios recursos fiscales, la estrategia político-económica seguida logro revertir los procesos de divergencia que operan sobre la estructura sectorial del empleo y las remuneraciones laborales. En ese marco, la ampliación y la mejora de las políticas de protección social hacia los sectores estructuralmente </w:t>
      </w:r>
      <w:proofErr w:type="gramStart"/>
      <w:r w:rsidR="0074619D" w:rsidRPr="00483AEE">
        <w:rPr>
          <w:szCs w:val="24"/>
        </w:rPr>
        <w:t>excluidos,</w:t>
      </w:r>
      <w:proofErr w:type="gramEnd"/>
      <w:r w:rsidR="0074619D" w:rsidRPr="00483AEE">
        <w:rPr>
          <w:szCs w:val="24"/>
        </w:rPr>
        <w:t xml:space="preserve"> distan de poder ser considerados mecanismos de desarrollo social sustentables.    </w:t>
      </w:r>
    </w:p>
    <w:p w:rsidR="00A50E42" w:rsidRPr="00483AEE" w:rsidRDefault="00C8202E" w:rsidP="00483AEE">
      <w:pPr>
        <w:spacing w:after="120" w:line="360" w:lineRule="auto"/>
        <w:jc w:val="both"/>
        <w:rPr>
          <w:szCs w:val="24"/>
        </w:rPr>
      </w:pPr>
      <w:r w:rsidRPr="00483AEE">
        <w:rPr>
          <w:szCs w:val="24"/>
        </w:rPr>
        <w:t>De esta manera, lo ocurrido en cada una de las fases analizadas a nivel del mercado de trabajo permitió hacer inteligible una parte de los cambios observados en la desigualdad. La fase final del modelo ISI y el comienzo del ajuste coincidió con programas de shock y apertura que fueron alterando la estructura productiva y el mercado laboral. Uno de los rasgos fue la pérdida de ingresos por parte de los asalariados que se mantuvo durante los ochenta, y ello podría aportar elementos de nivel macro para entender lo ocurrido con el coeficiente de Gini</w:t>
      </w:r>
      <w:r w:rsidR="00A50E42" w:rsidRPr="00483AEE">
        <w:rPr>
          <w:szCs w:val="24"/>
        </w:rPr>
        <w:t xml:space="preserve">. Asimismo, cabe observar que, si bien </w:t>
      </w:r>
      <w:r w:rsidR="001613F8" w:rsidRPr="00483AEE">
        <w:rPr>
          <w:szCs w:val="24"/>
        </w:rPr>
        <w:t>aumentó la</w:t>
      </w:r>
      <w:r w:rsidR="00A50E42" w:rsidRPr="00483AEE">
        <w:rPr>
          <w:szCs w:val="24"/>
        </w:rPr>
        <w:t xml:space="preserve"> cobertura previsional, debido a las políticas de ajuste</w:t>
      </w:r>
      <w:r w:rsidR="001613F8" w:rsidRPr="00483AEE">
        <w:rPr>
          <w:szCs w:val="24"/>
        </w:rPr>
        <w:t>,</w:t>
      </w:r>
      <w:r w:rsidR="00A50E42" w:rsidRPr="00483AEE">
        <w:rPr>
          <w:szCs w:val="24"/>
        </w:rPr>
        <w:t xml:space="preserve"> el gasto social tradicional experimentó un fuerte deterioro. Cabe suponer que el deterioro de la prestación jubilatoria</w:t>
      </w:r>
      <w:r w:rsidR="00E67012" w:rsidRPr="00483AEE">
        <w:rPr>
          <w:szCs w:val="24"/>
        </w:rPr>
        <w:t xml:space="preserve"> podría haber </w:t>
      </w:r>
      <w:r w:rsidR="001613F8" w:rsidRPr="00483AEE">
        <w:rPr>
          <w:szCs w:val="24"/>
        </w:rPr>
        <w:t>aportado al aumento de la</w:t>
      </w:r>
      <w:r w:rsidR="00A50E42" w:rsidRPr="00483AEE">
        <w:rPr>
          <w:szCs w:val="24"/>
        </w:rPr>
        <w:t xml:space="preserve"> desigualdad.</w:t>
      </w:r>
    </w:p>
    <w:p w:rsidR="00A50E42" w:rsidRPr="00483AEE" w:rsidRDefault="00C8202E" w:rsidP="00483AEE">
      <w:pPr>
        <w:spacing w:after="120" w:line="360" w:lineRule="auto"/>
        <w:jc w:val="both"/>
        <w:rPr>
          <w:szCs w:val="24"/>
        </w:rPr>
      </w:pPr>
      <w:r w:rsidRPr="00483AEE">
        <w:rPr>
          <w:szCs w:val="24"/>
        </w:rPr>
        <w:t>En los años de</w:t>
      </w:r>
      <w:r w:rsidR="00A50E42" w:rsidRPr="00483AEE">
        <w:rPr>
          <w:szCs w:val="24"/>
        </w:rPr>
        <w:t xml:space="preserve"> las</w:t>
      </w:r>
      <w:r w:rsidRPr="00483AEE">
        <w:rPr>
          <w:szCs w:val="24"/>
        </w:rPr>
        <w:t xml:space="preserve"> reformas estructurales, </w:t>
      </w:r>
      <w:r w:rsidR="00A50E42" w:rsidRPr="00483AEE">
        <w:rPr>
          <w:szCs w:val="24"/>
        </w:rPr>
        <w:t>la media de los</w:t>
      </w:r>
      <w:r w:rsidRPr="00483AEE">
        <w:rPr>
          <w:szCs w:val="24"/>
        </w:rPr>
        <w:t xml:space="preserve"> ingresos laborales se mantuv</w:t>
      </w:r>
      <w:r w:rsidR="00A50E42" w:rsidRPr="00483AEE">
        <w:rPr>
          <w:szCs w:val="24"/>
        </w:rPr>
        <w:t xml:space="preserve">o </w:t>
      </w:r>
      <w:r w:rsidR="00E67012" w:rsidRPr="00483AEE">
        <w:rPr>
          <w:szCs w:val="24"/>
        </w:rPr>
        <w:t>deprimida</w:t>
      </w:r>
      <w:r w:rsidRPr="00483AEE">
        <w:rPr>
          <w:szCs w:val="24"/>
        </w:rPr>
        <w:t xml:space="preserve">, pero este proceso dependió estrechamente de la inserción sectorial de la fuerza de trabajo. Es decir, la precariedad del empleo y las mayores dificultades del estrato de menor productividad para enfrentar la apertura económica dieron lugar a un </w:t>
      </w:r>
      <w:r w:rsidRPr="00483AEE">
        <w:rPr>
          <w:szCs w:val="24"/>
        </w:rPr>
        <w:lastRenderedPageBreak/>
        <w:t>incremento de brechas de desigualdad en el mercado laboral, y ello habría redundado también en la profundización de la inequidad.</w:t>
      </w:r>
      <w:r w:rsidR="001613F8" w:rsidRPr="00483AEE">
        <w:rPr>
          <w:szCs w:val="24"/>
        </w:rPr>
        <w:t xml:space="preserve"> En materia de política social, si bien el aumento de la pobreza y el desempleo movilizaron al desarrollo de los programas “focalizados” de transferencias condicionadas de ingreso, es evidente que tuvieron una cobertura limitada durante el ciclo neoliberal, incidiendo sólo marginalmente en la distribución del ingreso.</w:t>
      </w:r>
    </w:p>
    <w:p w:rsidR="00C8202E" w:rsidRPr="00483AEE" w:rsidRDefault="00C8202E" w:rsidP="00483AEE">
      <w:pPr>
        <w:spacing w:after="120" w:line="360" w:lineRule="auto"/>
        <w:jc w:val="both"/>
        <w:rPr>
          <w:szCs w:val="24"/>
        </w:rPr>
      </w:pPr>
      <w:r w:rsidRPr="00483AEE">
        <w:rPr>
          <w:szCs w:val="24"/>
        </w:rPr>
        <w:t>Por último, la etapa de crecimiento bajo políticas heterodoxas mostró una inflexión con respecto al deterioro</w:t>
      </w:r>
      <w:r w:rsidR="001613F8" w:rsidRPr="00483AEE">
        <w:rPr>
          <w:szCs w:val="24"/>
        </w:rPr>
        <w:t xml:space="preserve"> del empleo y de los</w:t>
      </w:r>
      <w:r w:rsidRPr="00483AEE">
        <w:rPr>
          <w:szCs w:val="24"/>
        </w:rPr>
        <w:t xml:space="preserve"> ingresos laborales, si bien en un contexto de persistente heterogeneidad estructural de la economía, que cabe inscribir en la continuidad de </w:t>
      </w:r>
      <w:r w:rsidR="001613F8" w:rsidRPr="00483AEE">
        <w:rPr>
          <w:szCs w:val="24"/>
        </w:rPr>
        <w:t>los</w:t>
      </w:r>
      <w:r w:rsidRPr="00483AEE">
        <w:rPr>
          <w:szCs w:val="24"/>
        </w:rPr>
        <w:t xml:space="preserve"> rasgos del modelo de desarrollo argentino consolidado en las últimas décadas. </w:t>
      </w:r>
      <w:r w:rsidR="001613F8" w:rsidRPr="00483AEE">
        <w:rPr>
          <w:szCs w:val="24"/>
        </w:rPr>
        <w:t xml:space="preserve">En cambio, el esquema de política social implementado durante esta fase fue mucho más radical. La recomposición de haberes previsionales, la homogeneización de la pirámide jubilatoria, la expansión de la cobertura y una ampliación de las pensiones no contributivas habrían tenido un papel a favor de una reducción de la desigualdad. En el mismo sentido, la puesta en marcha de un programa más extendido de transferencias de </w:t>
      </w:r>
      <w:proofErr w:type="gramStart"/>
      <w:r w:rsidR="001613F8" w:rsidRPr="00483AEE">
        <w:rPr>
          <w:szCs w:val="24"/>
        </w:rPr>
        <w:t>ingresos,</w:t>
      </w:r>
      <w:proofErr w:type="gramEnd"/>
      <w:r w:rsidR="001613F8" w:rsidRPr="00483AEE">
        <w:rPr>
          <w:szCs w:val="24"/>
        </w:rPr>
        <w:t xml:space="preserve"> habría jugado un rol en la misma dirección, lo que explicaría una parte de lo ocurrido con el coeficiente de Gini. </w:t>
      </w:r>
      <w:r w:rsidRPr="00483AEE">
        <w:rPr>
          <w:szCs w:val="24"/>
        </w:rPr>
        <w:t xml:space="preserve">Aunque insuficientes, estas características explican una parte –no poco relevante– de la reducción observada en la desigualdad que persiste elevada en términos de largo plazo. </w:t>
      </w:r>
    </w:p>
    <w:p w:rsidR="001613F8" w:rsidRPr="00483AEE" w:rsidRDefault="001613F8" w:rsidP="00483AEE">
      <w:pPr>
        <w:spacing w:after="120" w:line="360" w:lineRule="auto"/>
        <w:jc w:val="both"/>
        <w:rPr>
          <w:szCs w:val="24"/>
        </w:rPr>
      </w:pPr>
      <w:r w:rsidRPr="00483AEE">
        <w:rPr>
          <w:szCs w:val="24"/>
        </w:rPr>
        <w:t>Las diferentes fases estudiadas muestran comportamientos disímiles de la desigualdad, de los principios de política económica, del funcionamiento del mercado laboral y de las políticas sociales. Algunos rasgos parecen haberse consolidado en el tiempo como parte de las reformas estructurales: entre ellos, destacan una mayor heterogeneidad estructural</w:t>
      </w:r>
      <w:r w:rsidR="00FC3CA8" w:rsidRPr="00483AEE">
        <w:rPr>
          <w:szCs w:val="24"/>
          <w:vertAlign w:val="superscript"/>
        </w:rPr>
        <w:footnoteReference w:id="36"/>
      </w:r>
      <w:r w:rsidR="00FC3CA8" w:rsidRPr="00483AEE">
        <w:rPr>
          <w:szCs w:val="24"/>
        </w:rPr>
        <w:t xml:space="preserve"> asociado a la reproducción sistémica de un segmento laboral precario</w:t>
      </w:r>
      <w:r w:rsidRPr="00483AEE">
        <w:rPr>
          <w:szCs w:val="24"/>
        </w:rPr>
        <w:t xml:space="preserve"> </w:t>
      </w:r>
      <w:r w:rsidR="00FC3CA8" w:rsidRPr="00483AEE">
        <w:rPr>
          <w:szCs w:val="24"/>
        </w:rPr>
        <w:t xml:space="preserve">o marginal </w:t>
      </w:r>
      <w:r w:rsidRPr="00483AEE">
        <w:rPr>
          <w:szCs w:val="24"/>
        </w:rPr>
        <w:t xml:space="preserve">que, más allá de cierto punto, parece “inflexible” a la baja. Ello es generador de desigualdades persistentes. Pero, al mismo tiempo, otros elementos han resultado más dúctiles: un sistema de políticas sociales que expandió su cobertura y capacidad de </w:t>
      </w:r>
      <w:r w:rsidRPr="00483AEE">
        <w:rPr>
          <w:szCs w:val="24"/>
        </w:rPr>
        <w:lastRenderedPageBreak/>
        <w:t xml:space="preserve">protección, si bien </w:t>
      </w:r>
      <w:r w:rsidR="00FC3CA8" w:rsidRPr="00483AEE">
        <w:rPr>
          <w:szCs w:val="24"/>
        </w:rPr>
        <w:t xml:space="preserve">también </w:t>
      </w:r>
      <w:r w:rsidRPr="00483AEE">
        <w:rPr>
          <w:szCs w:val="24"/>
        </w:rPr>
        <w:t xml:space="preserve">cada vez más heterogéneo tanto en sus destinatarios como en sus mecanismos de financiamiento. </w:t>
      </w:r>
    </w:p>
    <w:p w:rsidR="00EC2955" w:rsidRPr="00483AEE" w:rsidRDefault="00EC2955" w:rsidP="00483AEE">
      <w:pPr>
        <w:spacing w:after="120" w:line="360" w:lineRule="auto"/>
        <w:jc w:val="both"/>
        <w:rPr>
          <w:szCs w:val="24"/>
        </w:rPr>
      </w:pPr>
      <w:r w:rsidRPr="00483AEE">
        <w:rPr>
          <w:szCs w:val="24"/>
        </w:rPr>
        <w:t xml:space="preserve">La trayectoria seguida por la desigualdad durante los últimos cuarenta años en el Gran Buenos Aires parece </w:t>
      </w:r>
      <w:r w:rsidR="0019084A" w:rsidRPr="00483AEE">
        <w:rPr>
          <w:szCs w:val="24"/>
        </w:rPr>
        <w:t>acercarse</w:t>
      </w:r>
      <w:r w:rsidRPr="00483AEE">
        <w:rPr>
          <w:szCs w:val="24"/>
        </w:rPr>
        <w:t xml:space="preserve"> al comportamiento de una “U invertida”. </w:t>
      </w:r>
      <w:r w:rsidR="0019084A" w:rsidRPr="00483AEE">
        <w:rPr>
          <w:szCs w:val="24"/>
        </w:rPr>
        <w:t>D</w:t>
      </w:r>
      <w:r w:rsidRPr="00483AEE">
        <w:rPr>
          <w:szCs w:val="24"/>
        </w:rPr>
        <w:t xml:space="preserve">istintas explicaciones </w:t>
      </w:r>
      <w:r w:rsidR="001353BD" w:rsidRPr="00483AEE">
        <w:rPr>
          <w:szCs w:val="24"/>
        </w:rPr>
        <w:t>procuran</w:t>
      </w:r>
      <w:r w:rsidRPr="00483AEE">
        <w:rPr>
          <w:szCs w:val="24"/>
        </w:rPr>
        <w:t xml:space="preserve"> </w:t>
      </w:r>
      <w:r w:rsidR="001353BD" w:rsidRPr="00483AEE">
        <w:rPr>
          <w:szCs w:val="24"/>
        </w:rPr>
        <w:t xml:space="preserve">dar cuenta </w:t>
      </w:r>
      <w:r w:rsidRPr="00483AEE">
        <w:rPr>
          <w:szCs w:val="24"/>
        </w:rPr>
        <w:t xml:space="preserve">de esta trayectoria. Algunos autores destacan </w:t>
      </w:r>
      <w:r w:rsidR="0019084A" w:rsidRPr="00483AEE">
        <w:rPr>
          <w:szCs w:val="24"/>
        </w:rPr>
        <w:t xml:space="preserve">el papel </w:t>
      </w:r>
      <w:r w:rsidRPr="00483AEE">
        <w:rPr>
          <w:szCs w:val="24"/>
        </w:rPr>
        <w:t xml:space="preserve">de determinadas políticas </w:t>
      </w:r>
      <w:r w:rsidR="0019084A" w:rsidRPr="00483AEE">
        <w:rPr>
          <w:szCs w:val="24"/>
        </w:rPr>
        <w:t>estatales en la reducción de la desigualdad</w:t>
      </w:r>
      <w:r w:rsidRPr="00483AEE">
        <w:rPr>
          <w:szCs w:val="24"/>
        </w:rPr>
        <w:t xml:space="preserve">. </w:t>
      </w:r>
      <w:r w:rsidR="0019084A" w:rsidRPr="00483AEE">
        <w:rPr>
          <w:szCs w:val="24"/>
        </w:rPr>
        <w:t>E</w:t>
      </w:r>
      <w:r w:rsidR="001353BD" w:rsidRPr="00483AEE">
        <w:rPr>
          <w:szCs w:val="24"/>
        </w:rPr>
        <w:t xml:space="preserve">stas miradas </w:t>
      </w:r>
      <w:r w:rsidR="0019084A" w:rsidRPr="00483AEE">
        <w:rPr>
          <w:szCs w:val="24"/>
        </w:rPr>
        <w:t>refuerzan</w:t>
      </w:r>
      <w:r w:rsidRPr="00483AEE">
        <w:rPr>
          <w:szCs w:val="24"/>
        </w:rPr>
        <w:t xml:space="preserve"> el papel de las políticas de salario mínimo, </w:t>
      </w:r>
      <w:proofErr w:type="gramStart"/>
      <w:r w:rsidRPr="00483AEE">
        <w:rPr>
          <w:szCs w:val="24"/>
        </w:rPr>
        <w:t>pro-mercado</w:t>
      </w:r>
      <w:proofErr w:type="gramEnd"/>
      <w:r w:rsidRPr="00483AEE">
        <w:rPr>
          <w:szCs w:val="24"/>
        </w:rPr>
        <w:t xml:space="preserve"> interno y formalización </w:t>
      </w:r>
      <w:r w:rsidR="001353BD" w:rsidRPr="00483AEE">
        <w:rPr>
          <w:szCs w:val="24"/>
        </w:rPr>
        <w:t xml:space="preserve">en el aumento de la demanda laboral de baja calificación y en la reducción de </w:t>
      </w:r>
      <w:r w:rsidRPr="00483AEE">
        <w:rPr>
          <w:szCs w:val="24"/>
        </w:rPr>
        <w:t>primas asociadas a la calificación</w:t>
      </w:r>
      <w:r w:rsidR="0019084A" w:rsidRPr="00483AEE">
        <w:rPr>
          <w:szCs w:val="24"/>
        </w:rPr>
        <w:t>,</w:t>
      </w:r>
      <w:r w:rsidR="001353BD" w:rsidRPr="00483AEE">
        <w:rPr>
          <w:szCs w:val="24"/>
        </w:rPr>
        <w:t xml:space="preserve"> así como el rol de las políticas de seguridad social (Beccaria y </w:t>
      </w:r>
      <w:proofErr w:type="spellStart"/>
      <w:r w:rsidR="001353BD" w:rsidRPr="00483AEE">
        <w:rPr>
          <w:szCs w:val="24"/>
        </w:rPr>
        <w:t>Maurizio</w:t>
      </w:r>
      <w:proofErr w:type="spellEnd"/>
      <w:r w:rsidR="001353BD" w:rsidRPr="00483AEE">
        <w:rPr>
          <w:szCs w:val="24"/>
        </w:rPr>
        <w:t xml:space="preserve">, 2012, Trujillo y Villafañe, 2011). </w:t>
      </w:r>
      <w:r w:rsidR="0019084A" w:rsidRPr="00483AEE">
        <w:rPr>
          <w:szCs w:val="24"/>
        </w:rPr>
        <w:t>O</w:t>
      </w:r>
      <w:r w:rsidR="001353BD" w:rsidRPr="00483AEE">
        <w:rPr>
          <w:szCs w:val="24"/>
        </w:rPr>
        <w:t>tros autores enfatizan l</w:t>
      </w:r>
      <w:r w:rsidR="0019084A" w:rsidRPr="00483AEE">
        <w:rPr>
          <w:szCs w:val="24"/>
        </w:rPr>
        <w:t xml:space="preserve">os efectos de </w:t>
      </w:r>
      <w:r w:rsidR="001353BD" w:rsidRPr="00483AEE">
        <w:rPr>
          <w:szCs w:val="24"/>
        </w:rPr>
        <w:t xml:space="preserve">los mercados: luego de una mayor demanda de fuerza de trabajo calificada en los 90s, el posterior incremento de la oferta de este tipo de trabajadores y un ciclo de sustitución de importaciones con demanda laboral de baja calificación, indujeron una reducción de la desigualdad </w:t>
      </w:r>
      <w:r w:rsidR="0019084A" w:rsidRPr="00483AEE">
        <w:rPr>
          <w:szCs w:val="24"/>
        </w:rPr>
        <w:t xml:space="preserve">por reducción de la prima por calificación </w:t>
      </w:r>
      <w:r w:rsidR="001353BD" w:rsidRPr="00483AEE">
        <w:rPr>
          <w:szCs w:val="24"/>
        </w:rPr>
        <w:t>(</w:t>
      </w:r>
      <w:r w:rsidR="008307E5" w:rsidRPr="00483AEE">
        <w:rPr>
          <w:szCs w:val="24"/>
        </w:rPr>
        <w:t>Cruces y Gasparini</w:t>
      </w:r>
      <w:r w:rsidR="001353BD" w:rsidRPr="00483AEE">
        <w:rPr>
          <w:szCs w:val="24"/>
        </w:rPr>
        <w:t xml:space="preserve">, 2011; López-Calva y </w:t>
      </w:r>
      <w:proofErr w:type="spellStart"/>
      <w:r w:rsidR="001353BD" w:rsidRPr="00483AEE">
        <w:rPr>
          <w:szCs w:val="24"/>
        </w:rPr>
        <w:t>Lustig</w:t>
      </w:r>
      <w:proofErr w:type="spellEnd"/>
      <w:r w:rsidR="001353BD" w:rsidRPr="00483AEE">
        <w:rPr>
          <w:szCs w:val="24"/>
        </w:rPr>
        <w:t xml:space="preserve">, 2010). </w:t>
      </w:r>
      <w:r w:rsidR="0019084A" w:rsidRPr="00483AEE">
        <w:rPr>
          <w:szCs w:val="24"/>
        </w:rPr>
        <w:t>Sin embargo, e</w:t>
      </w:r>
      <w:r w:rsidR="001353BD" w:rsidRPr="00483AEE">
        <w:rPr>
          <w:szCs w:val="24"/>
        </w:rPr>
        <w:t xml:space="preserve">n ambos enfoques los retornos por calificación parecen resultar de un </w:t>
      </w:r>
      <w:r w:rsidR="0019084A" w:rsidRPr="00483AEE">
        <w:rPr>
          <w:szCs w:val="24"/>
        </w:rPr>
        <w:t>atributo</w:t>
      </w:r>
      <w:r w:rsidR="001353BD" w:rsidRPr="00483AEE">
        <w:rPr>
          <w:szCs w:val="24"/>
        </w:rPr>
        <w:t xml:space="preserve"> de la fuerza de trabajo, </w:t>
      </w:r>
      <w:r w:rsidR="0019084A" w:rsidRPr="00483AEE">
        <w:rPr>
          <w:szCs w:val="24"/>
        </w:rPr>
        <w:t xml:space="preserve">perdiéndose </w:t>
      </w:r>
      <w:r w:rsidR="001353BD" w:rsidRPr="00483AEE">
        <w:rPr>
          <w:szCs w:val="24"/>
        </w:rPr>
        <w:t>de vista el papel de las unidades productivas en que es</w:t>
      </w:r>
      <w:r w:rsidR="0019084A" w:rsidRPr="00483AEE">
        <w:rPr>
          <w:szCs w:val="24"/>
        </w:rPr>
        <w:t>os trabajadores se insertan</w:t>
      </w:r>
      <w:r w:rsidR="001353BD" w:rsidRPr="00483AEE">
        <w:rPr>
          <w:szCs w:val="24"/>
        </w:rPr>
        <w:t xml:space="preserve">. Este capítulo ha </w:t>
      </w:r>
      <w:r w:rsidR="0019084A" w:rsidRPr="00483AEE">
        <w:rPr>
          <w:szCs w:val="24"/>
        </w:rPr>
        <w:t>destacado</w:t>
      </w:r>
      <w:r w:rsidR="001353BD" w:rsidRPr="00483AEE">
        <w:rPr>
          <w:szCs w:val="24"/>
        </w:rPr>
        <w:t xml:space="preserve"> la permanencia de características de orden estructural en </w:t>
      </w:r>
      <w:r w:rsidR="0019084A" w:rsidRPr="00483AEE">
        <w:rPr>
          <w:szCs w:val="24"/>
        </w:rPr>
        <w:t xml:space="preserve">las unidades productivas </w:t>
      </w:r>
      <w:r w:rsidR="001353BD" w:rsidRPr="00483AEE">
        <w:rPr>
          <w:szCs w:val="24"/>
        </w:rPr>
        <w:t>que generan oportunidades desiguales a las que accede la fuerza de trabajo</w:t>
      </w:r>
      <w:r w:rsidR="0019084A" w:rsidRPr="00483AEE">
        <w:rPr>
          <w:szCs w:val="24"/>
        </w:rPr>
        <w:t>. Tale</w:t>
      </w:r>
      <w:r w:rsidR="001353BD" w:rsidRPr="00483AEE">
        <w:rPr>
          <w:szCs w:val="24"/>
        </w:rPr>
        <w:t xml:space="preserve">s desigualdades productivas parecen haberse </w:t>
      </w:r>
      <w:r w:rsidR="0019084A" w:rsidRPr="00483AEE">
        <w:rPr>
          <w:szCs w:val="24"/>
        </w:rPr>
        <w:t>profundizado</w:t>
      </w:r>
      <w:r w:rsidR="001353BD" w:rsidRPr="00483AEE">
        <w:rPr>
          <w:szCs w:val="24"/>
        </w:rPr>
        <w:t xml:space="preserve"> a lo largo de las cuatro décadas estudiadas. </w:t>
      </w:r>
    </w:p>
    <w:p w:rsidR="00A41E64" w:rsidRPr="00483AEE" w:rsidRDefault="00E1181E" w:rsidP="00483AEE">
      <w:pPr>
        <w:spacing w:after="120" w:line="360" w:lineRule="auto"/>
        <w:jc w:val="both"/>
        <w:rPr>
          <w:szCs w:val="24"/>
        </w:rPr>
      </w:pPr>
      <w:r w:rsidRPr="00483AEE">
        <w:rPr>
          <w:szCs w:val="24"/>
        </w:rPr>
        <w:t>Si bien este capítulo ha aportado elementos para situar las transformaciones verificadas en la desigualdad del ingreso, poco sabemos aún acerca de</w:t>
      </w:r>
      <w:r w:rsidR="00A41E64" w:rsidRPr="00483AEE">
        <w:rPr>
          <w:szCs w:val="24"/>
        </w:rPr>
        <w:t xml:space="preserve"> los efectos concretos </w:t>
      </w:r>
      <w:r w:rsidR="003F6B38" w:rsidRPr="00483AEE">
        <w:rPr>
          <w:szCs w:val="24"/>
        </w:rPr>
        <w:t xml:space="preserve">que aquellas provocaron en </w:t>
      </w:r>
      <w:r w:rsidR="00A41E64" w:rsidRPr="00483AEE">
        <w:rPr>
          <w:szCs w:val="24"/>
        </w:rPr>
        <w:t xml:space="preserve">distintos grupos sociales. Tampoco sabemos aún </w:t>
      </w:r>
      <w:r w:rsidRPr="00483AEE">
        <w:rPr>
          <w:szCs w:val="24"/>
        </w:rPr>
        <w:t>cómo participaron las distintas fuentes de ingreso en forjar el patrón distributivo aquí descripto</w:t>
      </w:r>
      <w:r w:rsidR="00A41E64" w:rsidRPr="00483AEE">
        <w:rPr>
          <w:szCs w:val="24"/>
        </w:rPr>
        <w:t xml:space="preserve"> ni qué comportamientos desplegaron los hogares para optimizar su bienestar en contextos político-económicos tan disímiles.</w:t>
      </w:r>
      <w:r w:rsidRPr="00483AEE">
        <w:rPr>
          <w:szCs w:val="24"/>
        </w:rPr>
        <w:t xml:space="preserve"> </w:t>
      </w:r>
    </w:p>
    <w:p w:rsidR="00E1181E" w:rsidRPr="00483AEE" w:rsidRDefault="00710EC8" w:rsidP="00483AEE">
      <w:pPr>
        <w:spacing w:after="120" w:line="360" w:lineRule="auto"/>
        <w:jc w:val="both"/>
        <w:rPr>
          <w:szCs w:val="24"/>
        </w:rPr>
      </w:pPr>
      <w:r w:rsidRPr="00483AEE">
        <w:rPr>
          <w:szCs w:val="24"/>
        </w:rPr>
        <w:t xml:space="preserve">Es por ello </w:t>
      </w:r>
      <w:proofErr w:type="gramStart"/>
      <w:r w:rsidRPr="00483AEE">
        <w:rPr>
          <w:szCs w:val="24"/>
        </w:rPr>
        <w:t>que</w:t>
      </w:r>
      <w:proofErr w:type="gramEnd"/>
      <w:r w:rsidRPr="00483AEE">
        <w:rPr>
          <w:szCs w:val="24"/>
        </w:rPr>
        <w:t xml:space="preserve"> e</w:t>
      </w:r>
      <w:r w:rsidR="00E1181E" w:rsidRPr="00483AEE">
        <w:rPr>
          <w:szCs w:val="24"/>
        </w:rPr>
        <w:t>l próximo capítulo referid</w:t>
      </w:r>
      <w:r w:rsidR="00A41E64" w:rsidRPr="00483AEE">
        <w:rPr>
          <w:szCs w:val="24"/>
        </w:rPr>
        <w:t xml:space="preserve">o al caso argentino </w:t>
      </w:r>
      <w:r w:rsidR="00C739DC" w:rsidRPr="00483AEE">
        <w:rPr>
          <w:szCs w:val="24"/>
        </w:rPr>
        <w:t>(</w:t>
      </w:r>
      <w:r w:rsidR="00C739DC" w:rsidRPr="00483AEE">
        <w:rPr>
          <w:szCs w:val="24"/>
          <w:highlight w:val="yellow"/>
        </w:rPr>
        <w:t>capítulo 4</w:t>
      </w:r>
      <w:r w:rsidR="00C739DC" w:rsidRPr="00483AEE">
        <w:rPr>
          <w:szCs w:val="24"/>
        </w:rPr>
        <w:t xml:space="preserve">) </w:t>
      </w:r>
      <w:r w:rsidR="00A41E64" w:rsidRPr="00483AEE">
        <w:rPr>
          <w:szCs w:val="24"/>
        </w:rPr>
        <w:t>examinará</w:t>
      </w:r>
      <w:r w:rsidR="00E1181E" w:rsidRPr="00483AEE">
        <w:rPr>
          <w:szCs w:val="24"/>
        </w:rPr>
        <w:t xml:space="preserve"> </w:t>
      </w:r>
      <w:r w:rsidRPr="00483AEE">
        <w:rPr>
          <w:szCs w:val="24"/>
        </w:rPr>
        <w:t>la forma en que el conjunto de cambios mencionados se tradujo en la definición de “</w:t>
      </w:r>
      <w:r w:rsidR="00E1181E" w:rsidRPr="00483AEE">
        <w:rPr>
          <w:szCs w:val="24"/>
        </w:rPr>
        <w:t>ganadores</w:t>
      </w:r>
      <w:r w:rsidRPr="00483AEE">
        <w:rPr>
          <w:szCs w:val="24"/>
        </w:rPr>
        <w:t>”</w:t>
      </w:r>
      <w:r w:rsidR="00E1181E" w:rsidRPr="00483AEE">
        <w:rPr>
          <w:szCs w:val="24"/>
        </w:rPr>
        <w:t xml:space="preserve"> y </w:t>
      </w:r>
      <w:r w:rsidRPr="00483AEE">
        <w:rPr>
          <w:szCs w:val="24"/>
        </w:rPr>
        <w:t>“</w:t>
      </w:r>
      <w:r w:rsidR="00E1181E" w:rsidRPr="00483AEE">
        <w:rPr>
          <w:szCs w:val="24"/>
        </w:rPr>
        <w:t>perdedores</w:t>
      </w:r>
      <w:r w:rsidRPr="00483AEE">
        <w:rPr>
          <w:szCs w:val="24"/>
        </w:rPr>
        <w:t>”</w:t>
      </w:r>
      <w:r w:rsidR="00E1181E" w:rsidRPr="00483AEE">
        <w:rPr>
          <w:szCs w:val="24"/>
        </w:rPr>
        <w:t xml:space="preserve"> </w:t>
      </w:r>
      <w:r w:rsidRPr="00483AEE">
        <w:rPr>
          <w:szCs w:val="24"/>
        </w:rPr>
        <w:t>al interior de la estructura social</w:t>
      </w:r>
      <w:r w:rsidR="00A41E64" w:rsidRPr="00483AEE">
        <w:rPr>
          <w:szCs w:val="24"/>
        </w:rPr>
        <w:t>. Esto permitirá no sólo representar de manera más precisa los cambiantes modos en que diferentes estratos socioeconómicos participaron en la distribución</w:t>
      </w:r>
      <w:r w:rsidR="00E1181E" w:rsidRPr="00483AEE">
        <w:rPr>
          <w:szCs w:val="24"/>
        </w:rPr>
        <w:t xml:space="preserve"> </w:t>
      </w:r>
      <w:r w:rsidR="00A41E64" w:rsidRPr="00483AEE">
        <w:rPr>
          <w:szCs w:val="24"/>
        </w:rPr>
        <w:t>del ingreso (por contraposición a</w:t>
      </w:r>
      <w:r w:rsidR="003F6B38" w:rsidRPr="00483AEE">
        <w:rPr>
          <w:szCs w:val="24"/>
        </w:rPr>
        <w:t xml:space="preserve"> su descripción por medio de</w:t>
      </w:r>
      <w:r w:rsidR="00A41E64" w:rsidRPr="00483AEE">
        <w:rPr>
          <w:szCs w:val="24"/>
        </w:rPr>
        <w:t xml:space="preserve"> indicadores sintéticos </w:t>
      </w:r>
      <w:r w:rsidR="003F6B38" w:rsidRPr="00483AEE">
        <w:rPr>
          <w:szCs w:val="24"/>
        </w:rPr>
        <w:t xml:space="preserve">como los </w:t>
      </w:r>
      <w:r w:rsidR="00A41E64" w:rsidRPr="00483AEE">
        <w:rPr>
          <w:szCs w:val="24"/>
        </w:rPr>
        <w:t xml:space="preserve">empleados en el presente </w:t>
      </w:r>
      <w:r w:rsidR="00A41E64" w:rsidRPr="00483AEE">
        <w:rPr>
          <w:szCs w:val="24"/>
        </w:rPr>
        <w:lastRenderedPageBreak/>
        <w:t xml:space="preserve">capítulo), sino acercarse a la evolución </w:t>
      </w:r>
      <w:r w:rsidR="003F6B38" w:rsidRPr="00483AEE">
        <w:rPr>
          <w:szCs w:val="24"/>
        </w:rPr>
        <w:t xml:space="preserve">de </w:t>
      </w:r>
      <w:r w:rsidR="00A41E64" w:rsidRPr="00483AEE">
        <w:rPr>
          <w:szCs w:val="24"/>
        </w:rPr>
        <w:t>las condiciones de vida que enfrentaron los hogares de dichos grupos. Por último, e</w:t>
      </w:r>
      <w:r w:rsidR="00E1181E" w:rsidRPr="00483AEE">
        <w:rPr>
          <w:szCs w:val="24"/>
        </w:rPr>
        <w:t xml:space="preserve">l </w:t>
      </w:r>
      <w:r w:rsidR="00C739DC" w:rsidRPr="00483AEE">
        <w:rPr>
          <w:szCs w:val="24"/>
        </w:rPr>
        <w:t>último capítulo referido al caso argentino (</w:t>
      </w:r>
      <w:r w:rsidR="00C739DC" w:rsidRPr="00483AEE">
        <w:rPr>
          <w:szCs w:val="24"/>
          <w:highlight w:val="yellow"/>
        </w:rPr>
        <w:t>capítulo 6</w:t>
      </w:r>
      <w:r w:rsidR="00C739DC" w:rsidRPr="00483AEE">
        <w:rPr>
          <w:szCs w:val="24"/>
        </w:rPr>
        <w:t>)</w:t>
      </w:r>
      <w:r w:rsidR="00E1181E" w:rsidRPr="00483AEE">
        <w:rPr>
          <w:szCs w:val="24"/>
        </w:rPr>
        <w:t>, permitirá examinar cómo las distintas</w:t>
      </w:r>
      <w:r w:rsidRPr="00483AEE">
        <w:rPr>
          <w:szCs w:val="24"/>
        </w:rPr>
        <w:t xml:space="preserve"> fuentes de ingresos cuyos principales determinantes se abordaron aquí </w:t>
      </w:r>
      <w:r w:rsidR="003F6B38" w:rsidRPr="00483AEE">
        <w:rPr>
          <w:szCs w:val="24"/>
        </w:rPr>
        <w:t>-</w:t>
      </w:r>
      <w:r w:rsidRPr="00483AEE">
        <w:rPr>
          <w:szCs w:val="24"/>
        </w:rPr>
        <w:t>las fuentes laborales y no laborales</w:t>
      </w:r>
      <w:r w:rsidR="003F6B38" w:rsidRPr="00483AEE">
        <w:rPr>
          <w:szCs w:val="24"/>
        </w:rPr>
        <w:t>-</w:t>
      </w:r>
      <w:r w:rsidRPr="00483AEE">
        <w:rPr>
          <w:szCs w:val="24"/>
        </w:rPr>
        <w:t xml:space="preserve"> </w:t>
      </w:r>
      <w:r w:rsidR="003F6B38" w:rsidRPr="00483AEE">
        <w:rPr>
          <w:szCs w:val="24"/>
        </w:rPr>
        <w:t xml:space="preserve">alteraron su participación en </w:t>
      </w:r>
      <w:r w:rsidRPr="00483AEE">
        <w:rPr>
          <w:szCs w:val="24"/>
        </w:rPr>
        <w:t xml:space="preserve">los presupuestos domésticos de los hogares de diferentes </w:t>
      </w:r>
      <w:r w:rsidR="003F6B38" w:rsidRPr="00483AEE">
        <w:rPr>
          <w:szCs w:val="24"/>
        </w:rPr>
        <w:t>grupos sociales (cambiando su “balance” en el bienestar)</w:t>
      </w:r>
      <w:r w:rsidRPr="00483AEE">
        <w:rPr>
          <w:szCs w:val="24"/>
        </w:rPr>
        <w:t xml:space="preserve">, y qué comportamientos desplegaron las unidades domésticas para </w:t>
      </w:r>
      <w:r w:rsidR="003F6B38" w:rsidRPr="00483AEE">
        <w:rPr>
          <w:szCs w:val="24"/>
        </w:rPr>
        <w:t>incrementar</w:t>
      </w:r>
      <w:r w:rsidRPr="00483AEE">
        <w:rPr>
          <w:szCs w:val="24"/>
        </w:rPr>
        <w:t xml:space="preserve"> (o</w:t>
      </w:r>
      <w:r w:rsidR="003F6B38" w:rsidRPr="00483AEE">
        <w:rPr>
          <w:szCs w:val="24"/>
        </w:rPr>
        <w:t>,</w:t>
      </w:r>
      <w:r w:rsidRPr="00483AEE">
        <w:rPr>
          <w:szCs w:val="24"/>
        </w:rPr>
        <w:t xml:space="preserve"> al menos, evitar el deterioro) el bienestar de sus miembros. Adicionalmente, se examinará cómo cada una de tales fuentes incidió sobre la desigualdad del ingreso monetario, lo que permitirá explicar cuáles fueron los factores que alteraron el patrón distributivo en cada fase. </w:t>
      </w:r>
      <w:r w:rsidR="00E1181E" w:rsidRPr="00483AEE">
        <w:rPr>
          <w:szCs w:val="24"/>
        </w:rPr>
        <w:t xml:space="preserve"> </w:t>
      </w:r>
    </w:p>
    <w:p w:rsidR="003B4E91" w:rsidRPr="00483AEE" w:rsidRDefault="003B4E91" w:rsidP="00483AEE">
      <w:pPr>
        <w:spacing w:after="120" w:line="360" w:lineRule="auto"/>
        <w:jc w:val="both"/>
        <w:rPr>
          <w:szCs w:val="24"/>
        </w:rPr>
      </w:pPr>
      <w:r w:rsidRPr="00483AEE">
        <w:rPr>
          <w:szCs w:val="24"/>
        </w:rPr>
        <w:t xml:space="preserve"> </w:t>
      </w:r>
    </w:p>
    <w:p w:rsidR="0019084A" w:rsidRPr="00483AEE" w:rsidRDefault="0019084A" w:rsidP="00483AEE">
      <w:pPr>
        <w:spacing w:after="120" w:line="360" w:lineRule="auto"/>
        <w:jc w:val="both"/>
        <w:rPr>
          <w:szCs w:val="24"/>
        </w:rPr>
      </w:pPr>
    </w:p>
    <w:p w:rsidR="00141B55" w:rsidRPr="00483AEE" w:rsidRDefault="00FC3CA8" w:rsidP="00483AEE">
      <w:pPr>
        <w:spacing w:line="360" w:lineRule="auto"/>
        <w:jc w:val="center"/>
        <w:rPr>
          <w:b/>
          <w:szCs w:val="24"/>
        </w:rPr>
      </w:pPr>
      <w:r w:rsidRPr="00483AEE">
        <w:rPr>
          <w:b/>
          <w:szCs w:val="24"/>
        </w:rPr>
        <w:t>6</w:t>
      </w:r>
      <w:r w:rsidR="00FE1011" w:rsidRPr="00483AEE">
        <w:rPr>
          <w:b/>
          <w:szCs w:val="24"/>
        </w:rPr>
        <w:t>.- Bibliografía citada</w:t>
      </w:r>
    </w:p>
    <w:p w:rsidR="00655C2C" w:rsidRPr="00483AEE" w:rsidRDefault="00655C2C" w:rsidP="00483AEE">
      <w:pPr>
        <w:spacing w:after="0" w:line="360" w:lineRule="auto"/>
        <w:ind w:left="284" w:hanging="284"/>
        <w:jc w:val="both"/>
        <w:rPr>
          <w:szCs w:val="24"/>
        </w:rPr>
      </w:pPr>
      <w:r w:rsidRPr="00483AEE">
        <w:rPr>
          <w:szCs w:val="24"/>
        </w:rPr>
        <w:t>Aguirre, P. (2010). “La comida en tiempos del ajuste”, en: S. Torrado (</w:t>
      </w:r>
      <w:proofErr w:type="spellStart"/>
      <w:r w:rsidRPr="00483AEE">
        <w:rPr>
          <w:szCs w:val="24"/>
        </w:rPr>
        <w:t>dir.</w:t>
      </w:r>
      <w:proofErr w:type="spellEnd"/>
      <w:r w:rsidRPr="00483AEE">
        <w:rPr>
          <w:szCs w:val="24"/>
        </w:rPr>
        <w:t xml:space="preserve">): </w:t>
      </w:r>
      <w:r w:rsidRPr="00483AEE">
        <w:rPr>
          <w:i/>
          <w:szCs w:val="24"/>
        </w:rPr>
        <w:t>El costo social del ajuste. Argentina (1976-2002)</w:t>
      </w:r>
      <w:r w:rsidRPr="00483AEE">
        <w:rPr>
          <w:szCs w:val="24"/>
        </w:rPr>
        <w:t>, T. 2, pp. 51-102, Buenos Aires: EDHASA.</w:t>
      </w:r>
    </w:p>
    <w:p w:rsidR="00655C2C" w:rsidRPr="00483AEE" w:rsidRDefault="00655C2C" w:rsidP="00483AEE">
      <w:pPr>
        <w:spacing w:after="0" w:line="360" w:lineRule="auto"/>
        <w:ind w:left="284" w:hanging="284"/>
        <w:jc w:val="both"/>
        <w:rPr>
          <w:szCs w:val="24"/>
        </w:rPr>
      </w:pPr>
      <w:proofErr w:type="spellStart"/>
      <w:r w:rsidRPr="00483AEE">
        <w:rPr>
          <w:szCs w:val="24"/>
        </w:rPr>
        <w:t>Altimir</w:t>
      </w:r>
      <w:proofErr w:type="spellEnd"/>
      <w:r w:rsidRPr="00483AEE">
        <w:rPr>
          <w:szCs w:val="24"/>
        </w:rPr>
        <w:t xml:space="preserve">, O. (1986). Estimaciones de la distribución del ingreso en la Argentina, 1953-1980. </w:t>
      </w:r>
      <w:r w:rsidRPr="00483AEE">
        <w:rPr>
          <w:i/>
          <w:iCs/>
          <w:szCs w:val="24"/>
        </w:rPr>
        <w:t>Desarrollo Económico, 25</w:t>
      </w:r>
      <w:r w:rsidRPr="00483AEE">
        <w:rPr>
          <w:szCs w:val="24"/>
        </w:rPr>
        <w:t xml:space="preserve">(100), 521 - 566. </w:t>
      </w:r>
    </w:p>
    <w:p w:rsidR="00655C2C" w:rsidRPr="00483AEE" w:rsidRDefault="00655C2C" w:rsidP="00483AEE">
      <w:pPr>
        <w:widowControl w:val="0"/>
        <w:autoSpaceDE w:val="0"/>
        <w:autoSpaceDN w:val="0"/>
        <w:adjustRightInd w:val="0"/>
        <w:spacing w:after="0" w:line="360" w:lineRule="auto"/>
        <w:ind w:left="284" w:hanging="284"/>
        <w:jc w:val="both"/>
        <w:rPr>
          <w:szCs w:val="24"/>
        </w:rPr>
      </w:pPr>
      <w:proofErr w:type="spellStart"/>
      <w:r w:rsidRPr="00483AEE">
        <w:rPr>
          <w:szCs w:val="24"/>
        </w:rPr>
        <w:t>Altimir</w:t>
      </w:r>
      <w:proofErr w:type="spellEnd"/>
      <w:r w:rsidRPr="00483AEE">
        <w:rPr>
          <w:szCs w:val="24"/>
        </w:rPr>
        <w:t>, O. y Beccaria, L. (1999), “El mercado de trabajo bajo el nuevo régimen económico en Argentina”, en Serie Reformas Económicas. Nº 28, Santiago de Chile: Naciones Unidas/CEALC.</w:t>
      </w:r>
    </w:p>
    <w:p w:rsidR="00655C2C" w:rsidRPr="00483AEE" w:rsidRDefault="00655C2C" w:rsidP="00483AEE">
      <w:pPr>
        <w:widowControl w:val="0"/>
        <w:autoSpaceDE w:val="0"/>
        <w:autoSpaceDN w:val="0"/>
        <w:adjustRightInd w:val="0"/>
        <w:spacing w:after="0" w:line="360" w:lineRule="auto"/>
        <w:ind w:left="284" w:hanging="284"/>
        <w:jc w:val="both"/>
        <w:rPr>
          <w:szCs w:val="24"/>
        </w:rPr>
      </w:pPr>
      <w:proofErr w:type="spellStart"/>
      <w:r w:rsidRPr="00483AEE">
        <w:rPr>
          <w:szCs w:val="24"/>
        </w:rPr>
        <w:t>Altimir</w:t>
      </w:r>
      <w:proofErr w:type="spellEnd"/>
      <w:r w:rsidRPr="00483AEE">
        <w:rPr>
          <w:szCs w:val="24"/>
        </w:rPr>
        <w:t xml:space="preserve">, O. y Beccaria, L. (2001). El persistente deterioro de la distribución del ingreso en la Argentina. </w:t>
      </w:r>
      <w:r w:rsidRPr="00483AEE">
        <w:rPr>
          <w:i/>
          <w:iCs/>
          <w:szCs w:val="24"/>
        </w:rPr>
        <w:t>Desarrollo Económico, 40</w:t>
      </w:r>
      <w:r w:rsidRPr="00483AEE">
        <w:rPr>
          <w:szCs w:val="24"/>
        </w:rPr>
        <w:t xml:space="preserve">(160), 589 - 618. </w:t>
      </w:r>
    </w:p>
    <w:p w:rsidR="00655C2C" w:rsidRPr="00483AEE" w:rsidRDefault="00655C2C" w:rsidP="00483AEE">
      <w:pPr>
        <w:spacing w:after="0" w:line="360" w:lineRule="auto"/>
        <w:ind w:left="284" w:hanging="284"/>
        <w:jc w:val="both"/>
        <w:rPr>
          <w:szCs w:val="24"/>
        </w:rPr>
      </w:pPr>
      <w:r w:rsidRPr="00483AEE">
        <w:rPr>
          <w:szCs w:val="24"/>
        </w:rPr>
        <w:t>Arza, C. (2010). “La política previsional: de la estratificación ocupacional a la individualización de los beneficios”, en: S. Torrado (</w:t>
      </w:r>
      <w:proofErr w:type="spellStart"/>
      <w:r w:rsidRPr="00483AEE">
        <w:rPr>
          <w:szCs w:val="24"/>
        </w:rPr>
        <w:t>dir.</w:t>
      </w:r>
      <w:proofErr w:type="spellEnd"/>
      <w:r w:rsidRPr="00483AEE">
        <w:rPr>
          <w:szCs w:val="24"/>
        </w:rPr>
        <w:t xml:space="preserve">): </w:t>
      </w:r>
      <w:r w:rsidRPr="00483AEE">
        <w:rPr>
          <w:i/>
          <w:szCs w:val="24"/>
        </w:rPr>
        <w:t>El costo social del ajuste. Argentina (1976-2002)</w:t>
      </w:r>
      <w:r w:rsidRPr="00483AEE">
        <w:rPr>
          <w:szCs w:val="24"/>
        </w:rPr>
        <w:t xml:space="preserve">, T. 2, pp. 257-300, Buenos Aires: EDHASA. </w:t>
      </w:r>
    </w:p>
    <w:p w:rsidR="00655C2C" w:rsidRPr="00483AEE" w:rsidRDefault="00655C2C" w:rsidP="00483AEE">
      <w:pPr>
        <w:autoSpaceDE w:val="0"/>
        <w:autoSpaceDN w:val="0"/>
        <w:adjustRightInd w:val="0"/>
        <w:spacing w:after="0" w:line="360" w:lineRule="auto"/>
        <w:ind w:left="284" w:hanging="284"/>
        <w:jc w:val="both"/>
        <w:rPr>
          <w:szCs w:val="24"/>
        </w:rPr>
      </w:pPr>
      <w:r w:rsidRPr="00483AEE">
        <w:rPr>
          <w:szCs w:val="24"/>
        </w:rPr>
        <w:t xml:space="preserve">Azpiazu, D., Basualdo, E. y </w:t>
      </w:r>
      <w:proofErr w:type="spellStart"/>
      <w:r w:rsidRPr="00483AEE">
        <w:rPr>
          <w:szCs w:val="24"/>
        </w:rPr>
        <w:t>Khavisse</w:t>
      </w:r>
      <w:proofErr w:type="spellEnd"/>
      <w:r w:rsidRPr="00483AEE">
        <w:rPr>
          <w:szCs w:val="24"/>
        </w:rPr>
        <w:t xml:space="preserve">, M. (2004): </w:t>
      </w:r>
      <w:r w:rsidRPr="00483AEE">
        <w:rPr>
          <w:i/>
          <w:iCs/>
          <w:szCs w:val="24"/>
        </w:rPr>
        <w:t>El nuevo poder económico en la Argentina de los años ochenta</w:t>
      </w:r>
      <w:r w:rsidRPr="00483AEE">
        <w:rPr>
          <w:szCs w:val="24"/>
        </w:rPr>
        <w:t xml:space="preserve">. </w:t>
      </w:r>
      <w:r w:rsidRPr="00483AEE">
        <w:rPr>
          <w:i/>
          <w:iCs/>
          <w:szCs w:val="24"/>
        </w:rPr>
        <w:t>Edición definitiva</w:t>
      </w:r>
      <w:r w:rsidRPr="00483AEE">
        <w:rPr>
          <w:szCs w:val="24"/>
        </w:rPr>
        <w:t>, Buenos Aires: Siglo XXI Editores.</w:t>
      </w:r>
    </w:p>
    <w:p w:rsidR="00655C2C" w:rsidRPr="00483AEE" w:rsidRDefault="00655C2C" w:rsidP="00483AEE">
      <w:pPr>
        <w:spacing w:after="0" w:line="360" w:lineRule="auto"/>
        <w:ind w:left="284" w:hanging="284"/>
        <w:jc w:val="both"/>
        <w:rPr>
          <w:szCs w:val="24"/>
        </w:rPr>
      </w:pPr>
      <w:r w:rsidRPr="00483AEE">
        <w:rPr>
          <w:szCs w:val="24"/>
        </w:rPr>
        <w:t xml:space="preserve">Basualdo, E. (2010) </w:t>
      </w:r>
      <w:r w:rsidRPr="00483AEE">
        <w:rPr>
          <w:i/>
          <w:szCs w:val="24"/>
        </w:rPr>
        <w:t>Estudios de historia económica argentina</w:t>
      </w:r>
      <w:r w:rsidRPr="00483AEE">
        <w:rPr>
          <w:szCs w:val="24"/>
        </w:rPr>
        <w:t xml:space="preserve">, Buenos Aires: Siglo XXI. </w:t>
      </w:r>
    </w:p>
    <w:p w:rsidR="00C17111" w:rsidRPr="00483AEE" w:rsidRDefault="00C17111" w:rsidP="00483AEE">
      <w:pPr>
        <w:spacing w:after="0" w:line="360" w:lineRule="auto"/>
        <w:ind w:left="284" w:hanging="284"/>
        <w:jc w:val="both"/>
        <w:rPr>
          <w:szCs w:val="24"/>
        </w:rPr>
      </w:pPr>
      <w:r w:rsidRPr="00483AEE">
        <w:rPr>
          <w:szCs w:val="24"/>
        </w:rPr>
        <w:t xml:space="preserve">Beccaria, L; </w:t>
      </w:r>
      <w:proofErr w:type="spellStart"/>
      <w:r w:rsidRPr="00483AEE">
        <w:rPr>
          <w:szCs w:val="24"/>
        </w:rPr>
        <w:t>Maurizio</w:t>
      </w:r>
      <w:proofErr w:type="spellEnd"/>
      <w:r w:rsidRPr="00483AEE">
        <w:rPr>
          <w:szCs w:val="24"/>
        </w:rPr>
        <w:t xml:space="preserve">, R y Vázquez, G (2015). Desigualdad e informalidad en América Latina: el caso de la Argentina. En Amarante, Verónica y </w:t>
      </w:r>
      <w:proofErr w:type="spellStart"/>
      <w:r w:rsidRPr="00483AEE">
        <w:rPr>
          <w:szCs w:val="24"/>
        </w:rPr>
        <w:t>Arim</w:t>
      </w:r>
      <w:proofErr w:type="spellEnd"/>
      <w:r w:rsidRPr="00483AEE">
        <w:rPr>
          <w:szCs w:val="24"/>
        </w:rPr>
        <w:t xml:space="preserve">, Rodrigo (eds.), </w:t>
      </w:r>
      <w:r w:rsidRPr="00483AEE">
        <w:rPr>
          <w:i/>
          <w:szCs w:val="24"/>
        </w:rPr>
        <w:t>Desigualdad e informalidad: un análisis de cinco experiencias latinoamericanas</w:t>
      </w:r>
      <w:r w:rsidRPr="00483AEE">
        <w:rPr>
          <w:szCs w:val="24"/>
        </w:rPr>
        <w:t xml:space="preserve">, </w:t>
      </w:r>
      <w:r w:rsidRPr="00483AEE">
        <w:rPr>
          <w:szCs w:val="24"/>
        </w:rPr>
        <w:lastRenderedPageBreak/>
        <w:t xml:space="preserve">Libros de la CEPAL, N° 133, Santiago de Chile, Comisión Económica para América Latina y el Caribe (CEPAL). </w:t>
      </w:r>
    </w:p>
    <w:p w:rsidR="00655C2C" w:rsidRPr="00483AEE" w:rsidRDefault="00655C2C" w:rsidP="00483AEE">
      <w:pPr>
        <w:spacing w:after="0" w:line="360" w:lineRule="auto"/>
        <w:ind w:left="284" w:hanging="284"/>
        <w:jc w:val="both"/>
        <w:rPr>
          <w:szCs w:val="24"/>
          <w:shd w:val="clear" w:color="auto" w:fill="FFFFFF"/>
        </w:rPr>
      </w:pPr>
      <w:r w:rsidRPr="00483AEE">
        <w:rPr>
          <w:szCs w:val="24"/>
        </w:rPr>
        <w:t xml:space="preserve">Beccaria, L. y </w:t>
      </w:r>
      <w:proofErr w:type="spellStart"/>
      <w:r w:rsidRPr="00483AEE">
        <w:rPr>
          <w:szCs w:val="24"/>
        </w:rPr>
        <w:t>Maurizio</w:t>
      </w:r>
      <w:proofErr w:type="spellEnd"/>
      <w:r w:rsidRPr="00483AEE">
        <w:rPr>
          <w:szCs w:val="24"/>
        </w:rPr>
        <w:t xml:space="preserve">, R. </w:t>
      </w:r>
      <w:r w:rsidRPr="00483AEE">
        <w:rPr>
          <w:szCs w:val="24"/>
          <w:shd w:val="clear" w:color="auto" w:fill="FFFFFF"/>
        </w:rPr>
        <w:t xml:space="preserve">(2012). Reversión y continuidades bajo dos regímenes macroeconómicos diferentes. Mercado de trabajo e ingresos en Argentina. 1990-2010, </w:t>
      </w:r>
      <w:r w:rsidRPr="00483AEE">
        <w:rPr>
          <w:i/>
          <w:szCs w:val="24"/>
          <w:shd w:val="clear" w:color="auto" w:fill="FFFFFF"/>
        </w:rPr>
        <w:t>Desarrollo Económico</w:t>
      </w:r>
      <w:r w:rsidRPr="00483AEE">
        <w:rPr>
          <w:szCs w:val="24"/>
          <w:shd w:val="clear" w:color="auto" w:fill="FFFFFF"/>
        </w:rPr>
        <w:t>, 52 (206), pp. 205-228.</w:t>
      </w:r>
    </w:p>
    <w:p w:rsidR="00655C2C" w:rsidRPr="00483AEE" w:rsidRDefault="00655C2C" w:rsidP="00483AEE">
      <w:pPr>
        <w:spacing w:after="0" w:line="360" w:lineRule="auto"/>
        <w:ind w:left="284" w:hanging="284"/>
        <w:jc w:val="both"/>
        <w:rPr>
          <w:szCs w:val="24"/>
        </w:rPr>
      </w:pPr>
      <w:r w:rsidRPr="00483AEE">
        <w:rPr>
          <w:szCs w:val="24"/>
        </w:rPr>
        <w:t xml:space="preserve">Beccaria, L. y </w:t>
      </w:r>
      <w:proofErr w:type="spellStart"/>
      <w:r w:rsidRPr="00483AEE">
        <w:rPr>
          <w:szCs w:val="24"/>
        </w:rPr>
        <w:t>Orsatti</w:t>
      </w:r>
      <w:proofErr w:type="spellEnd"/>
      <w:r w:rsidRPr="00483AEE">
        <w:rPr>
          <w:szCs w:val="24"/>
        </w:rPr>
        <w:t xml:space="preserve">, A. (1985): "Argentina 1970-1984: la dinámica del empleo en un período de inestabilidad económica y social", </w:t>
      </w:r>
      <w:r w:rsidRPr="00483AEE">
        <w:rPr>
          <w:i/>
          <w:szCs w:val="24"/>
        </w:rPr>
        <w:t>Economía de América Latina</w:t>
      </w:r>
      <w:r w:rsidRPr="00483AEE">
        <w:rPr>
          <w:szCs w:val="24"/>
        </w:rPr>
        <w:t>, N° 13, 1er. semestre 1985, Buenos Aires.</w:t>
      </w:r>
    </w:p>
    <w:p w:rsidR="00655C2C" w:rsidRPr="00483AEE" w:rsidRDefault="00655C2C" w:rsidP="00483AEE">
      <w:pPr>
        <w:spacing w:after="0" w:line="360" w:lineRule="auto"/>
        <w:ind w:left="284" w:hanging="284"/>
        <w:jc w:val="both"/>
        <w:rPr>
          <w:szCs w:val="24"/>
        </w:rPr>
      </w:pPr>
      <w:proofErr w:type="spellStart"/>
      <w:r w:rsidRPr="00483AEE">
        <w:rPr>
          <w:szCs w:val="24"/>
        </w:rPr>
        <w:t>Bekerman</w:t>
      </w:r>
      <w:proofErr w:type="spellEnd"/>
      <w:r w:rsidRPr="00483AEE">
        <w:rPr>
          <w:szCs w:val="24"/>
        </w:rPr>
        <w:t xml:space="preserve">, M., </w:t>
      </w:r>
      <w:proofErr w:type="spellStart"/>
      <w:r w:rsidRPr="00483AEE">
        <w:rPr>
          <w:szCs w:val="24"/>
        </w:rPr>
        <w:t>Dulcich</w:t>
      </w:r>
      <w:proofErr w:type="spellEnd"/>
      <w:r w:rsidRPr="00483AEE">
        <w:rPr>
          <w:szCs w:val="24"/>
        </w:rPr>
        <w:t xml:space="preserve">, F. y Vázquez, D. (2014). “Las transformaciones de la estructura industrial y la restricción externa”. </w:t>
      </w:r>
      <w:r w:rsidRPr="00483AEE">
        <w:rPr>
          <w:i/>
          <w:szCs w:val="24"/>
        </w:rPr>
        <w:t>Cuadernos del CEPED</w:t>
      </w:r>
      <w:r w:rsidRPr="00483AEE">
        <w:rPr>
          <w:szCs w:val="24"/>
        </w:rPr>
        <w:t>, Buenos Aires, CEPED.</w:t>
      </w:r>
    </w:p>
    <w:p w:rsidR="00655C2C" w:rsidRPr="00483AEE" w:rsidRDefault="00655C2C" w:rsidP="00483AEE">
      <w:pPr>
        <w:spacing w:after="0" w:line="360" w:lineRule="auto"/>
        <w:ind w:left="284" w:hanging="284"/>
        <w:jc w:val="both"/>
        <w:rPr>
          <w:szCs w:val="24"/>
        </w:rPr>
      </w:pPr>
      <w:proofErr w:type="spellStart"/>
      <w:r w:rsidRPr="00483AEE">
        <w:rPr>
          <w:szCs w:val="24"/>
        </w:rPr>
        <w:t>Belmartino</w:t>
      </w:r>
      <w:proofErr w:type="spellEnd"/>
      <w:r w:rsidRPr="00483AEE">
        <w:rPr>
          <w:szCs w:val="24"/>
        </w:rPr>
        <w:t>, S. (2010). “Los servicios de atención médica”, en: S. Torrado (</w:t>
      </w:r>
      <w:proofErr w:type="spellStart"/>
      <w:r w:rsidRPr="00483AEE">
        <w:rPr>
          <w:szCs w:val="24"/>
        </w:rPr>
        <w:t>dir.</w:t>
      </w:r>
      <w:proofErr w:type="spellEnd"/>
      <w:r w:rsidRPr="00483AEE">
        <w:rPr>
          <w:szCs w:val="24"/>
        </w:rPr>
        <w:t xml:space="preserve">): </w:t>
      </w:r>
      <w:r w:rsidRPr="00483AEE">
        <w:rPr>
          <w:i/>
          <w:szCs w:val="24"/>
        </w:rPr>
        <w:t>El costo social del ajuste. Argentina (1976-2002)</w:t>
      </w:r>
      <w:r w:rsidRPr="00483AEE">
        <w:rPr>
          <w:szCs w:val="24"/>
        </w:rPr>
        <w:t>, T. 2, pp. 257-300, Buenos Aires: EDHASA.</w:t>
      </w:r>
    </w:p>
    <w:p w:rsidR="00655C2C" w:rsidRPr="00483AEE" w:rsidRDefault="00655C2C" w:rsidP="00483AEE">
      <w:pPr>
        <w:spacing w:after="0" w:line="360" w:lineRule="auto"/>
        <w:ind w:left="284" w:hanging="284"/>
        <w:jc w:val="both"/>
        <w:rPr>
          <w:szCs w:val="24"/>
        </w:rPr>
      </w:pPr>
      <w:proofErr w:type="spellStart"/>
      <w:r w:rsidRPr="00483AEE">
        <w:rPr>
          <w:szCs w:val="24"/>
        </w:rPr>
        <w:t>Bertranou</w:t>
      </w:r>
      <w:proofErr w:type="spellEnd"/>
      <w:r w:rsidRPr="00483AEE">
        <w:rPr>
          <w:szCs w:val="24"/>
        </w:rPr>
        <w:t xml:space="preserve">, F., </w:t>
      </w:r>
      <w:proofErr w:type="spellStart"/>
      <w:r w:rsidRPr="00483AEE">
        <w:rPr>
          <w:szCs w:val="24"/>
        </w:rPr>
        <w:t>Cetrángolo</w:t>
      </w:r>
      <w:proofErr w:type="spellEnd"/>
      <w:r w:rsidRPr="00483AEE">
        <w:rPr>
          <w:szCs w:val="24"/>
        </w:rPr>
        <w:t xml:space="preserve">, </w:t>
      </w:r>
      <w:proofErr w:type="gramStart"/>
      <w:r w:rsidRPr="00483AEE">
        <w:rPr>
          <w:szCs w:val="24"/>
        </w:rPr>
        <w:t>O.,</w:t>
      </w:r>
      <w:proofErr w:type="spellStart"/>
      <w:r w:rsidRPr="00483AEE">
        <w:rPr>
          <w:szCs w:val="24"/>
        </w:rPr>
        <w:t>Grushka</w:t>
      </w:r>
      <w:proofErr w:type="spellEnd"/>
      <w:proofErr w:type="gramEnd"/>
      <w:r w:rsidRPr="00483AEE">
        <w:rPr>
          <w:szCs w:val="24"/>
        </w:rPr>
        <w:t xml:space="preserve">, C. y Casanova, L (2012), “Más allá de la privatización y la reestatización del sistema previsional de Argentina: cobertura, fragmentación y sostenibilidad”, en </w:t>
      </w:r>
      <w:r w:rsidRPr="00483AEE">
        <w:rPr>
          <w:i/>
          <w:szCs w:val="24"/>
        </w:rPr>
        <w:t xml:space="preserve">Revista Desarrollo Económico, </w:t>
      </w:r>
      <w:r w:rsidRPr="00483AEE">
        <w:rPr>
          <w:szCs w:val="24"/>
        </w:rPr>
        <w:t xml:space="preserve">vol. 52, N° 205, abril-junio 2012, pp. 3-30.  </w:t>
      </w:r>
    </w:p>
    <w:p w:rsidR="00655C2C" w:rsidRPr="00483AEE" w:rsidRDefault="00655C2C" w:rsidP="00483AEE">
      <w:pPr>
        <w:spacing w:after="0" w:line="360" w:lineRule="auto"/>
        <w:ind w:left="284" w:hanging="284"/>
        <w:jc w:val="both"/>
        <w:rPr>
          <w:szCs w:val="24"/>
        </w:rPr>
      </w:pPr>
      <w:proofErr w:type="spellStart"/>
      <w:r w:rsidRPr="00483AEE">
        <w:rPr>
          <w:szCs w:val="24"/>
          <w:lang w:val="en-US"/>
        </w:rPr>
        <w:t>Bielchowsky</w:t>
      </w:r>
      <w:proofErr w:type="spellEnd"/>
      <w:r w:rsidRPr="00483AEE">
        <w:rPr>
          <w:szCs w:val="24"/>
          <w:lang w:val="en-US"/>
        </w:rPr>
        <w:t xml:space="preserve">, R. (2016). “Fifty Years of ECLAC Thought: A Review”, </w:t>
      </w:r>
      <w:proofErr w:type="spellStart"/>
      <w:r w:rsidRPr="00483AEE">
        <w:rPr>
          <w:szCs w:val="24"/>
          <w:lang w:val="en-US"/>
        </w:rPr>
        <w:t>en</w:t>
      </w:r>
      <w:proofErr w:type="spellEnd"/>
      <w:r w:rsidRPr="00483AEE">
        <w:rPr>
          <w:szCs w:val="24"/>
          <w:lang w:val="en-US"/>
        </w:rPr>
        <w:t xml:space="preserve">: </w:t>
      </w:r>
      <w:proofErr w:type="spellStart"/>
      <w:r w:rsidRPr="00483AEE">
        <w:rPr>
          <w:szCs w:val="24"/>
          <w:lang w:val="en-US"/>
        </w:rPr>
        <w:t>Bielchowsky</w:t>
      </w:r>
      <w:proofErr w:type="spellEnd"/>
      <w:r w:rsidRPr="00483AEE">
        <w:rPr>
          <w:szCs w:val="24"/>
          <w:lang w:val="en-US"/>
        </w:rPr>
        <w:t xml:space="preserve">, R. (comp.), </w:t>
      </w:r>
      <w:r w:rsidRPr="00483AEE">
        <w:rPr>
          <w:i/>
          <w:szCs w:val="24"/>
          <w:lang w:val="en-US"/>
        </w:rPr>
        <w:t xml:space="preserve">ECLAC Thinking. </w:t>
      </w:r>
      <w:proofErr w:type="spellStart"/>
      <w:r w:rsidRPr="00483AEE">
        <w:rPr>
          <w:i/>
          <w:szCs w:val="24"/>
        </w:rPr>
        <w:t>Selected</w:t>
      </w:r>
      <w:proofErr w:type="spellEnd"/>
      <w:r w:rsidRPr="00483AEE">
        <w:rPr>
          <w:i/>
          <w:szCs w:val="24"/>
        </w:rPr>
        <w:t xml:space="preserve"> </w:t>
      </w:r>
      <w:proofErr w:type="spellStart"/>
      <w:r w:rsidRPr="00483AEE">
        <w:rPr>
          <w:i/>
          <w:szCs w:val="24"/>
        </w:rPr>
        <w:t>Texts</w:t>
      </w:r>
      <w:proofErr w:type="spellEnd"/>
      <w:r w:rsidRPr="00483AEE">
        <w:rPr>
          <w:i/>
          <w:szCs w:val="24"/>
        </w:rPr>
        <w:t xml:space="preserve"> (1948-1998)</w:t>
      </w:r>
      <w:r w:rsidRPr="00483AEE">
        <w:rPr>
          <w:szCs w:val="24"/>
        </w:rPr>
        <w:t xml:space="preserve">, Santiago de Chile: CEPAL. </w:t>
      </w:r>
    </w:p>
    <w:p w:rsidR="00655C2C" w:rsidRPr="00483AEE" w:rsidRDefault="00655C2C" w:rsidP="00483AEE">
      <w:pPr>
        <w:widowControl w:val="0"/>
        <w:autoSpaceDE w:val="0"/>
        <w:autoSpaceDN w:val="0"/>
        <w:adjustRightInd w:val="0"/>
        <w:spacing w:after="0" w:line="360" w:lineRule="auto"/>
        <w:ind w:left="284" w:hanging="284"/>
        <w:jc w:val="both"/>
        <w:rPr>
          <w:szCs w:val="24"/>
        </w:rPr>
      </w:pPr>
      <w:r w:rsidRPr="00483AEE">
        <w:rPr>
          <w:szCs w:val="24"/>
        </w:rPr>
        <w:t xml:space="preserve">Braun, O.; </w:t>
      </w:r>
      <w:proofErr w:type="spellStart"/>
      <w:r w:rsidRPr="00483AEE">
        <w:rPr>
          <w:szCs w:val="24"/>
        </w:rPr>
        <w:t>Joy</w:t>
      </w:r>
      <w:proofErr w:type="spellEnd"/>
      <w:r w:rsidRPr="00483AEE">
        <w:rPr>
          <w:szCs w:val="24"/>
        </w:rPr>
        <w:t xml:space="preserve">, L. (1981). Un modelo de estancamiento económico - Estudio de caso sobre la economía argentina. </w:t>
      </w:r>
      <w:r w:rsidRPr="00483AEE">
        <w:rPr>
          <w:i/>
          <w:iCs/>
          <w:szCs w:val="24"/>
        </w:rPr>
        <w:t>Desarrollo Económico, 20</w:t>
      </w:r>
      <w:r w:rsidRPr="00483AEE">
        <w:rPr>
          <w:szCs w:val="24"/>
        </w:rPr>
        <w:t xml:space="preserve">(80), 585 - 604. </w:t>
      </w:r>
    </w:p>
    <w:p w:rsidR="00655C2C" w:rsidRPr="00483AEE" w:rsidRDefault="00655C2C" w:rsidP="00483AEE">
      <w:pPr>
        <w:widowControl w:val="0"/>
        <w:autoSpaceDE w:val="0"/>
        <w:autoSpaceDN w:val="0"/>
        <w:adjustRightInd w:val="0"/>
        <w:spacing w:after="0" w:line="360" w:lineRule="auto"/>
        <w:ind w:left="284" w:hanging="284"/>
        <w:jc w:val="both"/>
        <w:rPr>
          <w:szCs w:val="24"/>
        </w:rPr>
      </w:pPr>
      <w:proofErr w:type="spellStart"/>
      <w:r w:rsidRPr="00483AEE">
        <w:rPr>
          <w:szCs w:val="24"/>
        </w:rPr>
        <w:t>Canitrot</w:t>
      </w:r>
      <w:proofErr w:type="spellEnd"/>
      <w:r w:rsidRPr="00483AEE">
        <w:rPr>
          <w:szCs w:val="24"/>
        </w:rPr>
        <w:t xml:space="preserve">, Adolfo (1981). Orden social y monetarismo. </w:t>
      </w:r>
      <w:r w:rsidRPr="00483AEE">
        <w:rPr>
          <w:i/>
          <w:szCs w:val="24"/>
        </w:rPr>
        <w:t>Cuadernos del CENDES</w:t>
      </w:r>
      <w:r w:rsidRPr="00483AEE">
        <w:rPr>
          <w:szCs w:val="24"/>
        </w:rPr>
        <w:t>, Buenos Aires.</w:t>
      </w:r>
    </w:p>
    <w:p w:rsidR="00655C2C" w:rsidRPr="00483AEE" w:rsidRDefault="00655C2C" w:rsidP="00483AEE">
      <w:pPr>
        <w:autoSpaceDE w:val="0"/>
        <w:autoSpaceDN w:val="0"/>
        <w:adjustRightInd w:val="0"/>
        <w:spacing w:after="0" w:line="360" w:lineRule="auto"/>
        <w:ind w:left="284" w:hanging="284"/>
        <w:jc w:val="both"/>
        <w:rPr>
          <w:iCs/>
          <w:szCs w:val="24"/>
        </w:rPr>
      </w:pPr>
      <w:proofErr w:type="spellStart"/>
      <w:r w:rsidRPr="00483AEE">
        <w:rPr>
          <w:szCs w:val="24"/>
        </w:rPr>
        <w:t>Cantamutto</w:t>
      </w:r>
      <w:proofErr w:type="spellEnd"/>
      <w:r w:rsidRPr="00483AEE">
        <w:rPr>
          <w:szCs w:val="24"/>
        </w:rPr>
        <w:t xml:space="preserve">, F. y </w:t>
      </w:r>
      <w:proofErr w:type="spellStart"/>
      <w:r w:rsidRPr="00483AEE">
        <w:rPr>
          <w:szCs w:val="24"/>
        </w:rPr>
        <w:t>Wainer</w:t>
      </w:r>
      <w:proofErr w:type="spellEnd"/>
      <w:r w:rsidRPr="00483AEE">
        <w:rPr>
          <w:szCs w:val="24"/>
        </w:rPr>
        <w:t xml:space="preserve">, A. (2013): </w:t>
      </w:r>
      <w:r w:rsidRPr="00483AEE">
        <w:rPr>
          <w:i/>
          <w:iCs/>
          <w:szCs w:val="24"/>
        </w:rPr>
        <w:t xml:space="preserve">Economía política de la Convertibilidad. Disputa de intereses y cambio de régimen. </w:t>
      </w:r>
      <w:r w:rsidRPr="00483AEE">
        <w:rPr>
          <w:iCs/>
          <w:szCs w:val="24"/>
        </w:rPr>
        <w:t>Buenos Aires: Capital Intelectual.</w:t>
      </w:r>
    </w:p>
    <w:p w:rsidR="00655C2C" w:rsidRPr="00483AEE" w:rsidRDefault="00655C2C" w:rsidP="00483AEE">
      <w:pPr>
        <w:autoSpaceDE w:val="0"/>
        <w:autoSpaceDN w:val="0"/>
        <w:adjustRightInd w:val="0"/>
        <w:spacing w:after="0" w:line="360" w:lineRule="auto"/>
        <w:ind w:left="284" w:hanging="284"/>
        <w:jc w:val="both"/>
        <w:rPr>
          <w:szCs w:val="24"/>
        </w:rPr>
      </w:pPr>
      <w:r w:rsidRPr="00483AEE">
        <w:rPr>
          <w:szCs w:val="24"/>
        </w:rPr>
        <w:t xml:space="preserve">CENDA. (2010). </w:t>
      </w:r>
      <w:r w:rsidRPr="00483AEE">
        <w:rPr>
          <w:i/>
          <w:iCs/>
          <w:szCs w:val="24"/>
        </w:rPr>
        <w:t>La anatomía del nuevo patrón de crecimiento y la encrucijada actual. La economía argentina en el período 2002 – 2010</w:t>
      </w:r>
      <w:r w:rsidRPr="00483AEE">
        <w:rPr>
          <w:szCs w:val="24"/>
        </w:rPr>
        <w:t>, Buenos Aires: Atuel.</w:t>
      </w:r>
    </w:p>
    <w:p w:rsidR="00655C2C" w:rsidRPr="00483AEE" w:rsidRDefault="00655C2C" w:rsidP="00483AEE">
      <w:pPr>
        <w:spacing w:after="0" w:line="360" w:lineRule="auto"/>
        <w:ind w:left="284" w:hanging="284"/>
        <w:jc w:val="both"/>
        <w:rPr>
          <w:szCs w:val="24"/>
        </w:rPr>
      </w:pPr>
      <w:r w:rsidRPr="00483AEE">
        <w:rPr>
          <w:szCs w:val="24"/>
        </w:rPr>
        <w:t xml:space="preserve">CEPAL (2010), </w:t>
      </w:r>
      <w:r w:rsidRPr="00483AEE">
        <w:rPr>
          <w:i/>
          <w:szCs w:val="24"/>
        </w:rPr>
        <w:t>La hora de la igualdad: brechas por cerrar, caminos por abrir</w:t>
      </w:r>
      <w:r w:rsidRPr="00483AEE">
        <w:rPr>
          <w:szCs w:val="24"/>
        </w:rPr>
        <w:t>. Santiago de Chile: Comisión Económica para América Latina y el Caribe, Chile.</w:t>
      </w:r>
    </w:p>
    <w:p w:rsidR="00655C2C" w:rsidRPr="00483AEE" w:rsidRDefault="00655C2C" w:rsidP="00483AEE">
      <w:pPr>
        <w:spacing w:after="0" w:line="360" w:lineRule="auto"/>
        <w:ind w:left="284" w:hanging="284"/>
        <w:jc w:val="both"/>
        <w:rPr>
          <w:szCs w:val="24"/>
        </w:rPr>
      </w:pPr>
      <w:r w:rsidRPr="00483AEE">
        <w:rPr>
          <w:szCs w:val="24"/>
        </w:rPr>
        <w:t>CEPAL (2012</w:t>
      </w:r>
      <w:r w:rsidRPr="00483AEE">
        <w:rPr>
          <w:i/>
          <w:szCs w:val="24"/>
        </w:rPr>
        <w:t>), Panorama Social de América Latina 2012</w:t>
      </w:r>
      <w:r w:rsidRPr="00483AEE">
        <w:rPr>
          <w:szCs w:val="24"/>
        </w:rPr>
        <w:t>. Santiago de Chile: Comisión Económica para América Latina y el Caribe.</w:t>
      </w:r>
    </w:p>
    <w:p w:rsidR="00655C2C" w:rsidRPr="00483AEE" w:rsidRDefault="00655C2C" w:rsidP="00483AEE">
      <w:pPr>
        <w:spacing w:after="0" w:line="360" w:lineRule="auto"/>
        <w:ind w:left="284" w:hanging="284"/>
        <w:jc w:val="both"/>
        <w:rPr>
          <w:szCs w:val="24"/>
          <w:lang w:val="es-ES"/>
        </w:rPr>
      </w:pPr>
      <w:r w:rsidRPr="00483AEE">
        <w:rPr>
          <w:szCs w:val="24"/>
          <w:lang w:val="es-ES"/>
        </w:rPr>
        <w:t xml:space="preserve">CEPAL (2014), </w:t>
      </w:r>
      <w:r w:rsidRPr="00483AEE">
        <w:rPr>
          <w:i/>
          <w:szCs w:val="24"/>
          <w:lang w:val="es-ES"/>
        </w:rPr>
        <w:t>Pactos para la igualdad. Hacia un futuro sostenible</w:t>
      </w:r>
      <w:r w:rsidRPr="00483AEE">
        <w:rPr>
          <w:szCs w:val="24"/>
          <w:lang w:val="es-ES"/>
        </w:rPr>
        <w:t>, Santiago de Chile.</w:t>
      </w:r>
    </w:p>
    <w:p w:rsidR="00655C2C" w:rsidRPr="00483AEE" w:rsidRDefault="00655C2C" w:rsidP="00483AEE">
      <w:pPr>
        <w:spacing w:after="0" w:line="360" w:lineRule="auto"/>
        <w:ind w:left="284" w:hanging="284"/>
        <w:jc w:val="both"/>
        <w:rPr>
          <w:szCs w:val="24"/>
        </w:rPr>
      </w:pPr>
      <w:r w:rsidRPr="00483AEE">
        <w:rPr>
          <w:szCs w:val="24"/>
        </w:rPr>
        <w:lastRenderedPageBreak/>
        <w:t>CEPAL (2015</w:t>
      </w:r>
      <w:r w:rsidRPr="00483AEE">
        <w:rPr>
          <w:i/>
          <w:szCs w:val="24"/>
        </w:rPr>
        <w:t>), Panorama Social de América Latina 2012</w:t>
      </w:r>
      <w:r w:rsidRPr="00483AEE">
        <w:rPr>
          <w:szCs w:val="24"/>
        </w:rPr>
        <w:t>. Santiago de Chile: Comisión Económica para América Latina y el Caribe.</w:t>
      </w:r>
    </w:p>
    <w:p w:rsidR="00655C2C" w:rsidRPr="00483AEE" w:rsidRDefault="00655C2C" w:rsidP="00483AEE">
      <w:pPr>
        <w:spacing w:after="0" w:line="360" w:lineRule="auto"/>
        <w:ind w:left="284" w:hanging="284"/>
        <w:jc w:val="both"/>
        <w:rPr>
          <w:szCs w:val="24"/>
        </w:rPr>
      </w:pPr>
      <w:r w:rsidRPr="00483AEE">
        <w:rPr>
          <w:szCs w:val="24"/>
        </w:rPr>
        <w:t xml:space="preserve">Cortés, F. (2000), </w:t>
      </w:r>
      <w:r w:rsidRPr="00483AEE">
        <w:rPr>
          <w:i/>
          <w:szCs w:val="24"/>
        </w:rPr>
        <w:t>La distribución de la riqueza en México en épocas de estabilización y reformas económicas</w:t>
      </w:r>
      <w:r w:rsidRPr="00483AEE">
        <w:rPr>
          <w:szCs w:val="24"/>
        </w:rPr>
        <w:t xml:space="preserve">. México D. F.: M. A. </w:t>
      </w:r>
      <w:proofErr w:type="spellStart"/>
      <w:r w:rsidRPr="00483AEE">
        <w:rPr>
          <w:szCs w:val="24"/>
        </w:rPr>
        <w:t>Porrua</w:t>
      </w:r>
      <w:proofErr w:type="spellEnd"/>
      <w:r w:rsidRPr="00483AEE">
        <w:rPr>
          <w:szCs w:val="24"/>
        </w:rPr>
        <w:t xml:space="preserve"> Grupo Editorial.</w:t>
      </w:r>
    </w:p>
    <w:p w:rsidR="00655C2C" w:rsidRPr="00483AEE" w:rsidRDefault="00655C2C" w:rsidP="00483AEE">
      <w:pPr>
        <w:spacing w:after="0" w:line="360" w:lineRule="auto"/>
        <w:ind w:left="284" w:hanging="284"/>
        <w:jc w:val="both"/>
        <w:rPr>
          <w:szCs w:val="24"/>
        </w:rPr>
      </w:pPr>
      <w:r w:rsidRPr="00483AEE">
        <w:rPr>
          <w:color w:val="212121"/>
          <w:szCs w:val="24"/>
          <w:shd w:val="clear" w:color="auto" w:fill="FFFFFF"/>
        </w:rPr>
        <w:t xml:space="preserve">Cortés F. y Rubalcava, R.M. (1991) </w:t>
      </w:r>
      <w:proofErr w:type="spellStart"/>
      <w:r w:rsidRPr="00483AEE">
        <w:rPr>
          <w:i/>
          <w:color w:val="212121"/>
          <w:szCs w:val="24"/>
          <w:shd w:val="clear" w:color="auto" w:fill="FFFFFF"/>
        </w:rPr>
        <w:t>Autoexplotación</w:t>
      </w:r>
      <w:proofErr w:type="spellEnd"/>
      <w:r w:rsidRPr="00483AEE">
        <w:rPr>
          <w:i/>
          <w:color w:val="212121"/>
          <w:szCs w:val="24"/>
          <w:shd w:val="clear" w:color="auto" w:fill="FFFFFF"/>
        </w:rPr>
        <w:t xml:space="preserve"> forzada y equidad por empobrecimiento: La distribución del ingreso familiar en México, 1977-1984</w:t>
      </w:r>
      <w:r w:rsidRPr="00483AEE">
        <w:rPr>
          <w:color w:val="212121"/>
          <w:szCs w:val="24"/>
          <w:shd w:val="clear" w:color="auto" w:fill="FFFFFF"/>
        </w:rPr>
        <w:t>. México: El Colegio de México.</w:t>
      </w:r>
    </w:p>
    <w:p w:rsidR="00655C2C" w:rsidRPr="00483AEE" w:rsidRDefault="00655C2C" w:rsidP="00483AEE">
      <w:pPr>
        <w:spacing w:after="0" w:line="360" w:lineRule="auto"/>
        <w:ind w:left="284" w:hanging="284"/>
        <w:jc w:val="both"/>
        <w:rPr>
          <w:szCs w:val="24"/>
        </w:rPr>
      </w:pPr>
      <w:r w:rsidRPr="00483AEE">
        <w:rPr>
          <w:szCs w:val="24"/>
        </w:rPr>
        <w:t xml:space="preserve">Cortés, R. y Marshall, A. (1991). “Estrategias económicas, intervención social del Estado y regulación de la fuerza de trabajo”. </w:t>
      </w:r>
      <w:r w:rsidRPr="00483AEE">
        <w:rPr>
          <w:i/>
          <w:szCs w:val="24"/>
        </w:rPr>
        <w:t>Estudios del trabajo</w:t>
      </w:r>
      <w:r w:rsidRPr="00483AEE">
        <w:rPr>
          <w:szCs w:val="24"/>
        </w:rPr>
        <w:t>, 1, pp. 21-46.</w:t>
      </w:r>
    </w:p>
    <w:p w:rsidR="00655C2C" w:rsidRPr="00483AEE" w:rsidRDefault="00655C2C" w:rsidP="00483AEE">
      <w:pPr>
        <w:widowControl w:val="0"/>
        <w:autoSpaceDE w:val="0"/>
        <w:autoSpaceDN w:val="0"/>
        <w:adjustRightInd w:val="0"/>
        <w:spacing w:after="0" w:line="360" w:lineRule="auto"/>
        <w:ind w:left="284" w:hanging="284"/>
        <w:jc w:val="both"/>
        <w:rPr>
          <w:szCs w:val="24"/>
        </w:rPr>
      </w:pPr>
      <w:r w:rsidRPr="00483AEE">
        <w:rPr>
          <w:szCs w:val="24"/>
        </w:rPr>
        <w:t xml:space="preserve">Cruces, G., </w:t>
      </w:r>
      <w:proofErr w:type="spellStart"/>
      <w:r w:rsidRPr="00483AEE">
        <w:rPr>
          <w:szCs w:val="24"/>
        </w:rPr>
        <w:t>Epele</w:t>
      </w:r>
      <w:proofErr w:type="spellEnd"/>
      <w:r w:rsidRPr="00483AEE">
        <w:rPr>
          <w:szCs w:val="24"/>
        </w:rPr>
        <w:t xml:space="preserve">, N. y Guardia, L. (2008). </w:t>
      </w:r>
      <w:r w:rsidRPr="00483AEE">
        <w:rPr>
          <w:i/>
          <w:szCs w:val="24"/>
        </w:rPr>
        <w:t>Los programas sociales y los objetivos de desarrollo del Milenio en Argentina</w:t>
      </w:r>
      <w:r w:rsidRPr="00483AEE">
        <w:rPr>
          <w:szCs w:val="24"/>
        </w:rPr>
        <w:t>, CEPAL, Serie Políticas Sociales nº 142, Santiago de Chile: CEPAL.</w:t>
      </w:r>
    </w:p>
    <w:p w:rsidR="0019084A" w:rsidRPr="00483AEE" w:rsidRDefault="0019084A" w:rsidP="00483AEE">
      <w:pPr>
        <w:spacing w:after="0" w:line="360" w:lineRule="auto"/>
        <w:ind w:left="284" w:hanging="284"/>
        <w:jc w:val="both"/>
        <w:rPr>
          <w:szCs w:val="24"/>
          <w:lang w:eastAsia="es-MX"/>
        </w:rPr>
      </w:pPr>
      <w:r w:rsidRPr="00483AEE">
        <w:rPr>
          <w:szCs w:val="24"/>
          <w:lang w:eastAsia="es-MX"/>
        </w:rPr>
        <w:t>Cruces, G. y L. Gasparini (2009), “Desigualdad en Argentina. Una revisión de la evidencia empírica”, en Desarrollo Económico Nº 192, vol. 42, enero-marzo 2009, IDES, Buenos Aires.</w:t>
      </w:r>
    </w:p>
    <w:p w:rsidR="00655C2C" w:rsidRPr="00483AEE" w:rsidRDefault="00655C2C" w:rsidP="00483AEE">
      <w:pPr>
        <w:spacing w:after="0" w:line="360" w:lineRule="auto"/>
        <w:ind w:left="284" w:hanging="284"/>
        <w:jc w:val="both"/>
        <w:rPr>
          <w:szCs w:val="24"/>
        </w:rPr>
      </w:pPr>
      <w:proofErr w:type="spellStart"/>
      <w:r w:rsidRPr="00483AEE">
        <w:rPr>
          <w:szCs w:val="24"/>
        </w:rPr>
        <w:t>Curcio</w:t>
      </w:r>
      <w:proofErr w:type="spellEnd"/>
      <w:r w:rsidRPr="00483AEE">
        <w:rPr>
          <w:szCs w:val="24"/>
        </w:rPr>
        <w:t xml:space="preserve">, J. y Beccaria, A. (2013). “Sistema de Seguridad Social y mercado de trabajo. Evolución de la cobertura en la Argentina entre 1990 y 2010”, en: C. </w:t>
      </w:r>
      <w:proofErr w:type="spellStart"/>
      <w:r w:rsidRPr="00483AEE">
        <w:rPr>
          <w:szCs w:val="24"/>
        </w:rPr>
        <w:t>Danani</w:t>
      </w:r>
      <w:proofErr w:type="spellEnd"/>
      <w:r w:rsidRPr="00483AEE">
        <w:rPr>
          <w:szCs w:val="24"/>
        </w:rPr>
        <w:t xml:space="preserve"> y S. </w:t>
      </w:r>
      <w:proofErr w:type="spellStart"/>
      <w:r w:rsidRPr="00483AEE">
        <w:rPr>
          <w:szCs w:val="24"/>
        </w:rPr>
        <w:t>Hintze</w:t>
      </w:r>
      <w:proofErr w:type="spellEnd"/>
      <w:r w:rsidRPr="00483AEE">
        <w:rPr>
          <w:szCs w:val="24"/>
        </w:rPr>
        <w:t xml:space="preserve"> (</w:t>
      </w:r>
      <w:proofErr w:type="spellStart"/>
      <w:r w:rsidRPr="00483AEE">
        <w:rPr>
          <w:szCs w:val="24"/>
        </w:rPr>
        <w:t>coords</w:t>
      </w:r>
      <w:proofErr w:type="spellEnd"/>
      <w:r w:rsidRPr="00483AEE">
        <w:rPr>
          <w:szCs w:val="24"/>
        </w:rPr>
        <w:t xml:space="preserve">.) </w:t>
      </w:r>
      <w:r w:rsidRPr="00483AEE">
        <w:rPr>
          <w:i/>
          <w:szCs w:val="24"/>
        </w:rPr>
        <w:t>Protecciones y desprotecciones: la seguridad social en la Argentina (1990-2010)</w:t>
      </w:r>
      <w:r w:rsidRPr="00483AEE">
        <w:rPr>
          <w:szCs w:val="24"/>
        </w:rPr>
        <w:t xml:space="preserve">, T. 1, pp. 61-102, Los Polvorines: UNGS. </w:t>
      </w:r>
    </w:p>
    <w:p w:rsidR="00655C2C" w:rsidRPr="00483AEE" w:rsidRDefault="00655C2C" w:rsidP="00483AEE">
      <w:pPr>
        <w:widowControl w:val="0"/>
        <w:autoSpaceDE w:val="0"/>
        <w:autoSpaceDN w:val="0"/>
        <w:adjustRightInd w:val="0"/>
        <w:spacing w:after="0" w:line="360" w:lineRule="auto"/>
        <w:ind w:left="284" w:hanging="284"/>
        <w:jc w:val="both"/>
        <w:rPr>
          <w:szCs w:val="24"/>
        </w:rPr>
      </w:pPr>
      <w:proofErr w:type="spellStart"/>
      <w:r w:rsidRPr="00483AEE">
        <w:rPr>
          <w:szCs w:val="24"/>
          <w:lang w:val="en-US"/>
        </w:rPr>
        <w:t>Damill</w:t>
      </w:r>
      <w:proofErr w:type="spellEnd"/>
      <w:r w:rsidRPr="00483AEE">
        <w:rPr>
          <w:szCs w:val="24"/>
          <w:lang w:val="en-US"/>
        </w:rPr>
        <w:t xml:space="preserve">, M. Frenkel, R.; </w:t>
      </w:r>
      <w:proofErr w:type="spellStart"/>
      <w:r w:rsidRPr="00483AEE">
        <w:rPr>
          <w:szCs w:val="24"/>
          <w:lang w:val="en-US"/>
        </w:rPr>
        <w:t>Rapetti</w:t>
      </w:r>
      <w:proofErr w:type="spellEnd"/>
      <w:r w:rsidRPr="00483AEE">
        <w:rPr>
          <w:szCs w:val="24"/>
          <w:lang w:val="en-US"/>
        </w:rPr>
        <w:t xml:space="preserve">, M. (2014). “The New Millennium Argentine Saga: from Crisis to Success and from Success to Failure”. </w:t>
      </w:r>
      <w:proofErr w:type="spellStart"/>
      <w:r w:rsidRPr="00483AEE">
        <w:rPr>
          <w:szCs w:val="24"/>
        </w:rPr>
        <w:t>Mimeo</w:t>
      </w:r>
      <w:proofErr w:type="spellEnd"/>
      <w:r w:rsidRPr="00483AEE">
        <w:rPr>
          <w:szCs w:val="24"/>
        </w:rPr>
        <w:t>. CEDES.</w:t>
      </w:r>
    </w:p>
    <w:p w:rsidR="00655C2C" w:rsidRPr="00483AEE" w:rsidRDefault="00655C2C" w:rsidP="00483AEE">
      <w:pPr>
        <w:tabs>
          <w:tab w:val="left" w:pos="142"/>
        </w:tabs>
        <w:spacing w:after="0" w:line="360" w:lineRule="auto"/>
        <w:ind w:left="284" w:hanging="284"/>
        <w:jc w:val="both"/>
        <w:rPr>
          <w:color w:val="FF0000"/>
          <w:szCs w:val="24"/>
          <w:highlight w:val="yellow"/>
        </w:rPr>
      </w:pPr>
      <w:proofErr w:type="spellStart"/>
      <w:r w:rsidRPr="00483AEE">
        <w:rPr>
          <w:szCs w:val="24"/>
        </w:rPr>
        <w:t>Danani</w:t>
      </w:r>
      <w:proofErr w:type="spellEnd"/>
      <w:r w:rsidRPr="00483AEE">
        <w:rPr>
          <w:szCs w:val="24"/>
        </w:rPr>
        <w:t xml:space="preserve">, C y Beccaria, A (2013), “La (contra) reforma previsional argentina 2004-2008: aspectos institucionales y político-culturales del proceso de transformación de la protección”. En </w:t>
      </w:r>
      <w:proofErr w:type="spellStart"/>
      <w:r w:rsidRPr="00483AEE">
        <w:rPr>
          <w:szCs w:val="24"/>
        </w:rPr>
        <w:t>Danani</w:t>
      </w:r>
      <w:proofErr w:type="spellEnd"/>
      <w:r w:rsidRPr="00483AEE">
        <w:rPr>
          <w:szCs w:val="24"/>
        </w:rPr>
        <w:t xml:space="preserve">, C y S. </w:t>
      </w:r>
      <w:proofErr w:type="spellStart"/>
      <w:r w:rsidRPr="00483AEE">
        <w:rPr>
          <w:szCs w:val="24"/>
        </w:rPr>
        <w:t>Hintze</w:t>
      </w:r>
      <w:proofErr w:type="spellEnd"/>
      <w:r w:rsidRPr="00483AEE">
        <w:rPr>
          <w:szCs w:val="24"/>
        </w:rPr>
        <w:t xml:space="preserve"> (</w:t>
      </w:r>
      <w:proofErr w:type="spellStart"/>
      <w:r w:rsidRPr="00483AEE">
        <w:rPr>
          <w:szCs w:val="24"/>
        </w:rPr>
        <w:t>coords</w:t>
      </w:r>
      <w:proofErr w:type="spellEnd"/>
      <w:r w:rsidRPr="00483AEE">
        <w:rPr>
          <w:szCs w:val="24"/>
        </w:rPr>
        <w:t xml:space="preserve">), </w:t>
      </w:r>
      <w:r w:rsidRPr="00483AEE">
        <w:rPr>
          <w:i/>
          <w:szCs w:val="24"/>
        </w:rPr>
        <w:t>Protecciones y desprotecciones: la seguridad social en la Argentina (1990-2010)</w:t>
      </w:r>
      <w:r w:rsidRPr="00483AEE">
        <w:rPr>
          <w:szCs w:val="24"/>
        </w:rPr>
        <w:t>, T. 1, pp. 103-151, Los Polvorines: UNGS.</w:t>
      </w:r>
    </w:p>
    <w:p w:rsidR="00655C2C" w:rsidRPr="00483AEE" w:rsidRDefault="00655C2C" w:rsidP="00483AEE">
      <w:pPr>
        <w:tabs>
          <w:tab w:val="left" w:pos="142"/>
        </w:tabs>
        <w:spacing w:after="0" w:line="360" w:lineRule="auto"/>
        <w:ind w:left="142" w:hanging="142"/>
        <w:jc w:val="both"/>
        <w:rPr>
          <w:szCs w:val="24"/>
        </w:rPr>
      </w:pPr>
      <w:proofErr w:type="spellStart"/>
      <w:r w:rsidRPr="00483AEE">
        <w:rPr>
          <w:szCs w:val="24"/>
        </w:rPr>
        <w:t>Diamand</w:t>
      </w:r>
      <w:proofErr w:type="spellEnd"/>
      <w:r w:rsidRPr="00483AEE">
        <w:rPr>
          <w:szCs w:val="24"/>
        </w:rPr>
        <w:t xml:space="preserve">, M. (1972). La estructura productiva desequilibrada Argentina y el tipo de cambio. </w:t>
      </w:r>
      <w:r w:rsidRPr="00483AEE">
        <w:rPr>
          <w:i/>
          <w:szCs w:val="24"/>
        </w:rPr>
        <w:t>Desarrollo Económico</w:t>
      </w:r>
      <w:r w:rsidRPr="00483AEE">
        <w:rPr>
          <w:szCs w:val="24"/>
        </w:rPr>
        <w:t xml:space="preserve">, (12), 45. </w:t>
      </w:r>
    </w:p>
    <w:p w:rsidR="00655C2C" w:rsidRPr="00483AEE" w:rsidRDefault="00655C2C" w:rsidP="00483AEE">
      <w:pPr>
        <w:tabs>
          <w:tab w:val="left" w:pos="142"/>
        </w:tabs>
        <w:spacing w:after="0" w:line="360" w:lineRule="auto"/>
        <w:ind w:left="142" w:hanging="142"/>
        <w:jc w:val="both"/>
        <w:rPr>
          <w:szCs w:val="24"/>
        </w:rPr>
      </w:pPr>
      <w:proofErr w:type="spellStart"/>
      <w:r w:rsidRPr="00483AEE">
        <w:rPr>
          <w:color w:val="212121"/>
          <w:szCs w:val="24"/>
          <w:shd w:val="clear" w:color="auto" w:fill="FFFFFF"/>
        </w:rPr>
        <w:t>Donza</w:t>
      </w:r>
      <w:proofErr w:type="spellEnd"/>
      <w:r w:rsidRPr="00483AEE">
        <w:rPr>
          <w:color w:val="212121"/>
          <w:szCs w:val="24"/>
          <w:shd w:val="clear" w:color="auto" w:fill="FFFFFF"/>
        </w:rPr>
        <w:t>, E. (2013). “Imputaciones de la no respuesta en las variables de ingreso. Encuesta Permanente de Hogares Gran Buenos Aires / 1990-2010”. Tesis de Maestría en Generación y Análisis de Información Estadística. Universidad Nacional de Tres de Febrero.</w:t>
      </w:r>
    </w:p>
    <w:p w:rsidR="00655C2C" w:rsidRPr="00483AEE" w:rsidRDefault="00655C2C" w:rsidP="00483AEE">
      <w:pPr>
        <w:widowControl w:val="0"/>
        <w:autoSpaceDE w:val="0"/>
        <w:autoSpaceDN w:val="0"/>
        <w:adjustRightInd w:val="0"/>
        <w:spacing w:after="0" w:line="360" w:lineRule="auto"/>
        <w:ind w:left="142" w:hanging="142"/>
        <w:jc w:val="both"/>
        <w:rPr>
          <w:szCs w:val="24"/>
        </w:rPr>
      </w:pPr>
      <w:proofErr w:type="spellStart"/>
      <w:r w:rsidRPr="00483AEE">
        <w:rPr>
          <w:szCs w:val="24"/>
        </w:rPr>
        <w:t>Fanelli</w:t>
      </w:r>
      <w:proofErr w:type="spellEnd"/>
      <w:r w:rsidRPr="00483AEE">
        <w:rPr>
          <w:szCs w:val="24"/>
        </w:rPr>
        <w:t>, J. M. (2004). Desarrollo Financiero, Volatilidad e Instituciones. Reflexiones sobre la Experiencia Argentina.: Fundación PENT.</w:t>
      </w:r>
    </w:p>
    <w:p w:rsidR="00655C2C" w:rsidRPr="00483AEE" w:rsidRDefault="00655C2C" w:rsidP="00483AEE">
      <w:pPr>
        <w:autoSpaceDE w:val="0"/>
        <w:autoSpaceDN w:val="0"/>
        <w:adjustRightInd w:val="0"/>
        <w:spacing w:after="0" w:line="360" w:lineRule="auto"/>
        <w:ind w:left="284" w:hanging="284"/>
        <w:jc w:val="both"/>
        <w:rPr>
          <w:szCs w:val="24"/>
        </w:rPr>
      </w:pPr>
      <w:r w:rsidRPr="00483AEE">
        <w:rPr>
          <w:szCs w:val="24"/>
        </w:rPr>
        <w:lastRenderedPageBreak/>
        <w:t xml:space="preserve">Fernández </w:t>
      </w:r>
      <w:proofErr w:type="spellStart"/>
      <w:r w:rsidRPr="00483AEE">
        <w:rPr>
          <w:szCs w:val="24"/>
        </w:rPr>
        <w:t>Bugna</w:t>
      </w:r>
      <w:proofErr w:type="spellEnd"/>
      <w:r w:rsidRPr="00483AEE">
        <w:rPr>
          <w:szCs w:val="24"/>
        </w:rPr>
        <w:t xml:space="preserve">, C. y Porta, F (2008). “El crecimiento reciente de la industria argentina. Nuevo régimen sin cambio estructural”, en </w:t>
      </w:r>
      <w:r w:rsidRPr="00483AEE">
        <w:rPr>
          <w:i/>
          <w:iCs/>
          <w:szCs w:val="24"/>
        </w:rPr>
        <w:t>Realidad Económica</w:t>
      </w:r>
      <w:r w:rsidRPr="00483AEE">
        <w:rPr>
          <w:szCs w:val="24"/>
        </w:rPr>
        <w:t>, N° 233.</w:t>
      </w:r>
    </w:p>
    <w:p w:rsidR="00655C2C" w:rsidRPr="00483AEE" w:rsidRDefault="00655C2C" w:rsidP="00483AEE">
      <w:pPr>
        <w:spacing w:after="0" w:line="360" w:lineRule="auto"/>
        <w:ind w:left="284" w:hanging="284"/>
        <w:jc w:val="both"/>
        <w:rPr>
          <w:szCs w:val="24"/>
        </w:rPr>
      </w:pPr>
      <w:proofErr w:type="spellStart"/>
      <w:r w:rsidRPr="00483AEE">
        <w:rPr>
          <w:szCs w:val="24"/>
        </w:rPr>
        <w:t>Ferreres</w:t>
      </w:r>
      <w:proofErr w:type="spellEnd"/>
      <w:r w:rsidRPr="00483AEE">
        <w:rPr>
          <w:szCs w:val="24"/>
        </w:rPr>
        <w:t xml:space="preserve">, O. (2005). </w:t>
      </w:r>
      <w:r w:rsidRPr="00483AEE">
        <w:rPr>
          <w:i/>
          <w:iCs/>
          <w:szCs w:val="24"/>
        </w:rPr>
        <w:t xml:space="preserve">Dos siglos de economía </w:t>
      </w:r>
      <w:proofErr w:type="gramStart"/>
      <w:r w:rsidRPr="00483AEE">
        <w:rPr>
          <w:i/>
          <w:iCs/>
          <w:szCs w:val="24"/>
        </w:rPr>
        <w:t>Argentina</w:t>
      </w:r>
      <w:proofErr w:type="gramEnd"/>
      <w:r w:rsidRPr="00483AEE">
        <w:rPr>
          <w:i/>
          <w:iCs/>
          <w:szCs w:val="24"/>
        </w:rPr>
        <w:t xml:space="preserve">. </w:t>
      </w:r>
      <w:r w:rsidRPr="00483AEE">
        <w:rPr>
          <w:szCs w:val="24"/>
        </w:rPr>
        <w:t>Buenos Aires: Fundación Norte y Sur – El Ateneo.</w:t>
      </w:r>
    </w:p>
    <w:p w:rsidR="00655C2C" w:rsidRPr="00483AEE" w:rsidRDefault="00655C2C" w:rsidP="00483AEE">
      <w:pPr>
        <w:widowControl w:val="0"/>
        <w:autoSpaceDE w:val="0"/>
        <w:autoSpaceDN w:val="0"/>
        <w:adjustRightInd w:val="0"/>
        <w:spacing w:after="0" w:line="360" w:lineRule="auto"/>
        <w:ind w:left="284" w:hanging="284"/>
        <w:jc w:val="both"/>
        <w:rPr>
          <w:szCs w:val="24"/>
          <w:lang w:val="en-US"/>
        </w:rPr>
      </w:pPr>
      <w:r w:rsidRPr="00483AEE">
        <w:rPr>
          <w:szCs w:val="24"/>
          <w:lang w:val="en-US"/>
        </w:rPr>
        <w:t xml:space="preserve">Fischer, S. (2012). “The Washington Consensus”. In C. F. R. H. Bergsten, C. (Ed.), </w:t>
      </w:r>
      <w:r w:rsidRPr="00483AEE">
        <w:rPr>
          <w:i/>
          <w:iCs/>
          <w:szCs w:val="24"/>
          <w:lang w:val="en-US"/>
        </w:rPr>
        <w:t>Global Economics in Extraordinary Times: Essays in Honor of John Williamson</w:t>
      </w:r>
      <w:r w:rsidRPr="00483AEE">
        <w:rPr>
          <w:szCs w:val="24"/>
          <w:lang w:val="en-US"/>
        </w:rPr>
        <w:t xml:space="preserve"> (pp. 11 - 24). Washington D.C.: Peter G. Peterson Institute for International Economics.</w:t>
      </w:r>
    </w:p>
    <w:p w:rsidR="00655C2C" w:rsidRPr="00483AEE" w:rsidRDefault="00655C2C" w:rsidP="00483AEE">
      <w:pPr>
        <w:widowControl w:val="0"/>
        <w:autoSpaceDE w:val="0"/>
        <w:autoSpaceDN w:val="0"/>
        <w:adjustRightInd w:val="0"/>
        <w:spacing w:after="0" w:line="360" w:lineRule="auto"/>
        <w:ind w:left="284" w:hanging="284"/>
        <w:jc w:val="both"/>
        <w:rPr>
          <w:szCs w:val="24"/>
        </w:rPr>
      </w:pPr>
      <w:proofErr w:type="spellStart"/>
      <w:r w:rsidRPr="00483AEE">
        <w:rPr>
          <w:szCs w:val="24"/>
        </w:rPr>
        <w:t>Gaggero</w:t>
      </w:r>
      <w:proofErr w:type="spellEnd"/>
      <w:r w:rsidRPr="00483AEE">
        <w:rPr>
          <w:szCs w:val="24"/>
        </w:rPr>
        <w:t xml:space="preserve">, A., </w:t>
      </w:r>
      <w:proofErr w:type="spellStart"/>
      <w:r w:rsidRPr="00483AEE">
        <w:rPr>
          <w:szCs w:val="24"/>
        </w:rPr>
        <w:t>Schorr</w:t>
      </w:r>
      <w:proofErr w:type="spellEnd"/>
      <w:r w:rsidRPr="00483AEE">
        <w:rPr>
          <w:szCs w:val="24"/>
        </w:rPr>
        <w:t xml:space="preserve">, M. y </w:t>
      </w:r>
      <w:proofErr w:type="spellStart"/>
      <w:r w:rsidRPr="00483AEE">
        <w:rPr>
          <w:szCs w:val="24"/>
        </w:rPr>
        <w:t>Wainer</w:t>
      </w:r>
      <w:proofErr w:type="spellEnd"/>
      <w:r w:rsidRPr="00483AEE">
        <w:rPr>
          <w:szCs w:val="24"/>
        </w:rPr>
        <w:t xml:space="preserve">, A. (2014) </w:t>
      </w:r>
      <w:r w:rsidRPr="00483AEE">
        <w:rPr>
          <w:i/>
          <w:szCs w:val="24"/>
        </w:rPr>
        <w:t>Restricción eterna. El poder económico durante el kirchnerismo</w:t>
      </w:r>
      <w:r w:rsidRPr="00483AEE">
        <w:rPr>
          <w:szCs w:val="24"/>
        </w:rPr>
        <w:t>, Buenos Aires: Crisis y Futuro Anterior.</w:t>
      </w:r>
    </w:p>
    <w:p w:rsidR="00C739DC" w:rsidRPr="00483AEE" w:rsidRDefault="00C739DC" w:rsidP="00483AEE">
      <w:pPr>
        <w:spacing w:after="0" w:line="360" w:lineRule="auto"/>
        <w:ind w:left="284" w:hanging="284"/>
        <w:jc w:val="both"/>
        <w:rPr>
          <w:szCs w:val="24"/>
          <w:lang w:val="en-GB"/>
        </w:rPr>
      </w:pPr>
      <w:proofErr w:type="spellStart"/>
      <w:r w:rsidRPr="00483AEE">
        <w:rPr>
          <w:szCs w:val="24"/>
          <w:lang w:val="en-GB"/>
        </w:rPr>
        <w:t>Gasparini</w:t>
      </w:r>
      <w:proofErr w:type="spellEnd"/>
      <w:r w:rsidRPr="00483AEE">
        <w:rPr>
          <w:szCs w:val="24"/>
          <w:lang w:val="en-GB"/>
        </w:rPr>
        <w:t xml:space="preserve">, L., Gutierrez, F. y </w:t>
      </w:r>
      <w:proofErr w:type="spellStart"/>
      <w:r w:rsidRPr="00483AEE">
        <w:rPr>
          <w:szCs w:val="24"/>
          <w:lang w:val="en-GB"/>
        </w:rPr>
        <w:t>Tornarolli</w:t>
      </w:r>
      <w:proofErr w:type="spellEnd"/>
      <w:r w:rsidRPr="00483AEE">
        <w:rPr>
          <w:szCs w:val="24"/>
          <w:lang w:val="en-GB"/>
        </w:rPr>
        <w:t xml:space="preserve">, L. (2007), “growth and income poverty in Latin America and the Caribbean: evidence from household surveys”, </w:t>
      </w:r>
      <w:r w:rsidRPr="00483AEE">
        <w:rPr>
          <w:i/>
          <w:szCs w:val="24"/>
          <w:lang w:val="en-GB"/>
        </w:rPr>
        <w:t>Review of Income and Wealth</w:t>
      </w:r>
      <w:r w:rsidRPr="00483AEE">
        <w:rPr>
          <w:szCs w:val="24"/>
          <w:lang w:val="en-GB"/>
        </w:rPr>
        <w:t>, 53, (2), pp. 209-245</w:t>
      </w:r>
    </w:p>
    <w:p w:rsidR="00655C2C" w:rsidRPr="00483AEE" w:rsidRDefault="00655C2C" w:rsidP="00483AEE">
      <w:pPr>
        <w:spacing w:after="0" w:line="360" w:lineRule="auto"/>
        <w:ind w:left="284" w:hanging="284"/>
        <w:jc w:val="both"/>
        <w:rPr>
          <w:szCs w:val="24"/>
        </w:rPr>
      </w:pPr>
      <w:proofErr w:type="spellStart"/>
      <w:r w:rsidRPr="00483AEE">
        <w:rPr>
          <w:szCs w:val="24"/>
        </w:rPr>
        <w:t>Gerchunoff</w:t>
      </w:r>
      <w:proofErr w:type="spellEnd"/>
      <w:r w:rsidRPr="00483AEE">
        <w:rPr>
          <w:szCs w:val="24"/>
        </w:rPr>
        <w:t>, P. (2013). Treinta años de economía política en democracia. La crítica, la compasión y la empatía en el método de la historia. En Desarrollo Económico, 53 (209).</w:t>
      </w:r>
    </w:p>
    <w:p w:rsidR="00655C2C" w:rsidRPr="00483AEE" w:rsidRDefault="00655C2C" w:rsidP="00483AEE">
      <w:pPr>
        <w:spacing w:after="0" w:line="360" w:lineRule="auto"/>
        <w:ind w:left="284" w:hanging="284"/>
        <w:jc w:val="both"/>
        <w:rPr>
          <w:szCs w:val="24"/>
        </w:rPr>
      </w:pPr>
      <w:proofErr w:type="spellStart"/>
      <w:r w:rsidRPr="00483AEE">
        <w:rPr>
          <w:szCs w:val="24"/>
        </w:rPr>
        <w:t>Gerchunoff</w:t>
      </w:r>
      <w:proofErr w:type="spellEnd"/>
      <w:r w:rsidRPr="00483AEE">
        <w:rPr>
          <w:szCs w:val="24"/>
        </w:rPr>
        <w:t xml:space="preserve">, P. </w:t>
      </w:r>
      <w:proofErr w:type="gramStart"/>
      <w:r w:rsidRPr="00483AEE">
        <w:rPr>
          <w:szCs w:val="24"/>
        </w:rPr>
        <w:t>y  Llach</w:t>
      </w:r>
      <w:proofErr w:type="gramEnd"/>
      <w:r w:rsidRPr="00483AEE">
        <w:rPr>
          <w:szCs w:val="24"/>
        </w:rPr>
        <w:t xml:space="preserve">, L. (2008). </w:t>
      </w:r>
      <w:r w:rsidRPr="00483AEE">
        <w:rPr>
          <w:i/>
          <w:szCs w:val="24"/>
        </w:rPr>
        <w:t>El ciclo de la ilusión y el desencanto</w:t>
      </w:r>
      <w:r w:rsidRPr="00483AEE">
        <w:rPr>
          <w:szCs w:val="24"/>
        </w:rPr>
        <w:t xml:space="preserve">, Buenos Aires: </w:t>
      </w:r>
      <w:proofErr w:type="spellStart"/>
      <w:r w:rsidRPr="00483AEE">
        <w:rPr>
          <w:szCs w:val="24"/>
        </w:rPr>
        <w:t>Emecé</w:t>
      </w:r>
      <w:proofErr w:type="spellEnd"/>
      <w:r w:rsidRPr="00483AEE">
        <w:rPr>
          <w:szCs w:val="24"/>
        </w:rPr>
        <w:t>.</w:t>
      </w:r>
    </w:p>
    <w:p w:rsidR="00655C2C" w:rsidRPr="00483AEE" w:rsidRDefault="00655C2C" w:rsidP="00483AEE">
      <w:pPr>
        <w:spacing w:after="0" w:line="360" w:lineRule="auto"/>
        <w:ind w:left="284" w:hanging="284"/>
        <w:jc w:val="both"/>
        <w:rPr>
          <w:szCs w:val="24"/>
        </w:rPr>
      </w:pPr>
      <w:proofErr w:type="spellStart"/>
      <w:r w:rsidRPr="00483AEE">
        <w:rPr>
          <w:szCs w:val="24"/>
        </w:rPr>
        <w:t>Gerchunoff</w:t>
      </w:r>
      <w:proofErr w:type="spellEnd"/>
      <w:r w:rsidRPr="00483AEE">
        <w:rPr>
          <w:szCs w:val="24"/>
        </w:rPr>
        <w:t xml:space="preserve">, Pablo (2013). “Treinta años de economía política en democracia. La crítica, la compasión y la empatía en el método de la historia”. </w:t>
      </w:r>
      <w:r w:rsidRPr="00483AEE">
        <w:rPr>
          <w:i/>
          <w:szCs w:val="24"/>
        </w:rPr>
        <w:t>Desarrollo Económico</w:t>
      </w:r>
      <w:r w:rsidRPr="00483AEE">
        <w:rPr>
          <w:szCs w:val="24"/>
        </w:rPr>
        <w:t>, 53 (209).</w:t>
      </w:r>
    </w:p>
    <w:p w:rsidR="00655C2C" w:rsidRPr="00483AEE" w:rsidRDefault="00655C2C" w:rsidP="00483AEE">
      <w:pPr>
        <w:autoSpaceDE w:val="0"/>
        <w:autoSpaceDN w:val="0"/>
        <w:adjustRightInd w:val="0"/>
        <w:spacing w:after="0" w:line="360" w:lineRule="auto"/>
        <w:ind w:left="284" w:hanging="284"/>
        <w:jc w:val="both"/>
        <w:rPr>
          <w:szCs w:val="24"/>
        </w:rPr>
      </w:pPr>
      <w:proofErr w:type="spellStart"/>
      <w:r w:rsidRPr="00483AEE">
        <w:rPr>
          <w:szCs w:val="24"/>
        </w:rPr>
        <w:t>Golbert</w:t>
      </w:r>
      <w:proofErr w:type="spellEnd"/>
      <w:r w:rsidRPr="00483AEE">
        <w:rPr>
          <w:szCs w:val="24"/>
        </w:rPr>
        <w:t xml:space="preserve">, L. (2004): </w:t>
      </w:r>
      <w:r w:rsidRPr="00483AEE">
        <w:rPr>
          <w:i/>
          <w:szCs w:val="24"/>
        </w:rPr>
        <w:t xml:space="preserve">¿Derecho a la inclusión o paz social? Plan Jefas y Jefes de Hogar </w:t>
      </w:r>
      <w:proofErr w:type="gramStart"/>
      <w:r w:rsidRPr="00483AEE">
        <w:rPr>
          <w:i/>
          <w:szCs w:val="24"/>
        </w:rPr>
        <w:t>Desocupados</w:t>
      </w:r>
      <w:r w:rsidRPr="00483AEE">
        <w:rPr>
          <w:szCs w:val="24"/>
        </w:rPr>
        <w:t>,  Serie</w:t>
      </w:r>
      <w:proofErr w:type="gramEnd"/>
      <w:r w:rsidRPr="00483AEE">
        <w:rPr>
          <w:szCs w:val="24"/>
        </w:rPr>
        <w:t xml:space="preserve"> Conferencias y Seminarios: Gestión y financiamiento de las políticas que afectan a las familias, CEPAL, Naciones Unidas.</w:t>
      </w:r>
    </w:p>
    <w:p w:rsidR="00655C2C" w:rsidRPr="00483AEE" w:rsidRDefault="00655C2C" w:rsidP="00483AEE">
      <w:pPr>
        <w:spacing w:after="0" w:line="360" w:lineRule="auto"/>
        <w:ind w:left="284" w:hanging="284"/>
        <w:jc w:val="both"/>
        <w:rPr>
          <w:szCs w:val="24"/>
        </w:rPr>
      </w:pPr>
      <w:r w:rsidRPr="00483AEE">
        <w:rPr>
          <w:szCs w:val="24"/>
        </w:rPr>
        <w:t xml:space="preserve">Graciarena, J. (1976). “El problema del poder en los estilos de desarrollo. Una perspectiva heterodoxa”, en: </w:t>
      </w:r>
      <w:r w:rsidRPr="00483AEE">
        <w:rPr>
          <w:i/>
          <w:szCs w:val="24"/>
        </w:rPr>
        <w:t>El Trimestre Económico</w:t>
      </w:r>
      <w:r w:rsidRPr="00483AEE">
        <w:rPr>
          <w:szCs w:val="24"/>
        </w:rPr>
        <w:t xml:space="preserve">, 43(4), pp. 1077–1100. </w:t>
      </w:r>
    </w:p>
    <w:p w:rsidR="00655C2C" w:rsidRPr="00483AEE" w:rsidRDefault="00655C2C" w:rsidP="00483AEE">
      <w:pPr>
        <w:spacing w:after="0" w:line="360" w:lineRule="auto"/>
        <w:ind w:left="284" w:hanging="284"/>
        <w:jc w:val="both"/>
        <w:rPr>
          <w:szCs w:val="24"/>
        </w:rPr>
      </w:pPr>
      <w:proofErr w:type="spellStart"/>
      <w:r w:rsidRPr="00483AEE">
        <w:rPr>
          <w:szCs w:val="24"/>
        </w:rPr>
        <w:t>Hintze</w:t>
      </w:r>
      <w:proofErr w:type="spellEnd"/>
      <w:r w:rsidRPr="00483AEE">
        <w:rPr>
          <w:szCs w:val="24"/>
        </w:rPr>
        <w:t xml:space="preserve">, S. y Costa, M. I. (2013). “La reforma de las asignaciones familiares 2009: aproximación al proceso político de la transformación de la protección”. En </w:t>
      </w:r>
      <w:proofErr w:type="spellStart"/>
      <w:r w:rsidRPr="00483AEE">
        <w:rPr>
          <w:szCs w:val="24"/>
        </w:rPr>
        <w:t>Danani</w:t>
      </w:r>
      <w:proofErr w:type="spellEnd"/>
      <w:r w:rsidRPr="00483AEE">
        <w:rPr>
          <w:szCs w:val="24"/>
        </w:rPr>
        <w:t xml:space="preserve">, C y S. </w:t>
      </w:r>
      <w:proofErr w:type="spellStart"/>
      <w:r w:rsidRPr="00483AEE">
        <w:rPr>
          <w:szCs w:val="24"/>
        </w:rPr>
        <w:t>Hintze</w:t>
      </w:r>
      <w:proofErr w:type="spellEnd"/>
      <w:r w:rsidRPr="00483AEE">
        <w:rPr>
          <w:szCs w:val="24"/>
        </w:rPr>
        <w:t xml:space="preserve"> (</w:t>
      </w:r>
      <w:proofErr w:type="spellStart"/>
      <w:r w:rsidRPr="00483AEE">
        <w:rPr>
          <w:szCs w:val="24"/>
        </w:rPr>
        <w:t>coords</w:t>
      </w:r>
      <w:proofErr w:type="spellEnd"/>
      <w:r w:rsidRPr="00483AEE">
        <w:rPr>
          <w:szCs w:val="24"/>
        </w:rPr>
        <w:t xml:space="preserve">), </w:t>
      </w:r>
      <w:r w:rsidRPr="00483AEE">
        <w:rPr>
          <w:i/>
          <w:szCs w:val="24"/>
        </w:rPr>
        <w:t>Protecciones y desprotecciones: la seguridad social en la Argentina (1990-2010)</w:t>
      </w:r>
      <w:r w:rsidRPr="00483AEE">
        <w:rPr>
          <w:szCs w:val="24"/>
        </w:rPr>
        <w:t>, T. 1, pp. 153-183, Los Polvorines: UNGS.</w:t>
      </w:r>
    </w:p>
    <w:p w:rsidR="00655C2C" w:rsidRPr="00483AEE" w:rsidRDefault="00655C2C" w:rsidP="00483AEE">
      <w:pPr>
        <w:spacing w:after="0" w:line="360" w:lineRule="auto"/>
        <w:ind w:left="284" w:hanging="284"/>
        <w:jc w:val="both"/>
        <w:rPr>
          <w:szCs w:val="24"/>
        </w:rPr>
      </w:pPr>
      <w:r w:rsidRPr="00483AEE">
        <w:rPr>
          <w:szCs w:val="24"/>
        </w:rPr>
        <w:t xml:space="preserve">Iñigo Carrera, J. (2007). </w:t>
      </w:r>
      <w:r w:rsidRPr="00483AEE">
        <w:rPr>
          <w:i/>
          <w:szCs w:val="24"/>
        </w:rPr>
        <w:t>La formación económica de la sociedad argentina.</w:t>
      </w:r>
      <w:r w:rsidRPr="00483AEE">
        <w:rPr>
          <w:szCs w:val="24"/>
        </w:rPr>
        <w:t xml:space="preserve"> Buenos Aires: Imago </w:t>
      </w:r>
      <w:proofErr w:type="spellStart"/>
      <w:r w:rsidRPr="00483AEE">
        <w:rPr>
          <w:szCs w:val="24"/>
        </w:rPr>
        <w:t>Mundi</w:t>
      </w:r>
      <w:proofErr w:type="spellEnd"/>
      <w:r w:rsidRPr="00483AEE">
        <w:rPr>
          <w:szCs w:val="24"/>
        </w:rPr>
        <w:t>.</w:t>
      </w:r>
    </w:p>
    <w:p w:rsidR="00655C2C" w:rsidRPr="00483AEE" w:rsidRDefault="00655C2C" w:rsidP="00483AEE">
      <w:pPr>
        <w:spacing w:after="0" w:line="360" w:lineRule="auto"/>
        <w:ind w:left="284" w:hanging="284"/>
        <w:jc w:val="both"/>
        <w:rPr>
          <w:szCs w:val="24"/>
        </w:rPr>
      </w:pPr>
      <w:r w:rsidRPr="00483AEE">
        <w:rPr>
          <w:szCs w:val="24"/>
        </w:rPr>
        <w:t xml:space="preserve">Kennedy, D. (2012) </w:t>
      </w:r>
      <w:r w:rsidRPr="00483AEE">
        <w:rPr>
          <w:i/>
          <w:szCs w:val="24"/>
        </w:rPr>
        <w:t>Economía Política de la Contabilidad Social</w:t>
      </w:r>
      <w:r w:rsidRPr="00483AEE">
        <w:rPr>
          <w:szCs w:val="24"/>
        </w:rPr>
        <w:t xml:space="preserve">. Tesis inédita de Doctorado. </w:t>
      </w:r>
    </w:p>
    <w:p w:rsidR="00655C2C" w:rsidRPr="00483AEE" w:rsidRDefault="00655C2C" w:rsidP="00483AEE">
      <w:pPr>
        <w:spacing w:after="0" w:line="360" w:lineRule="auto"/>
        <w:ind w:left="284" w:hanging="284"/>
        <w:jc w:val="both"/>
        <w:rPr>
          <w:szCs w:val="24"/>
        </w:rPr>
      </w:pPr>
      <w:r w:rsidRPr="00483AEE">
        <w:rPr>
          <w:szCs w:val="24"/>
        </w:rPr>
        <w:lastRenderedPageBreak/>
        <w:t xml:space="preserve">Kessler, G. (2014). </w:t>
      </w:r>
      <w:r w:rsidRPr="00483AEE">
        <w:rPr>
          <w:i/>
          <w:szCs w:val="24"/>
        </w:rPr>
        <w:t>Controversias sobre la desigualdad</w:t>
      </w:r>
      <w:r w:rsidRPr="00483AEE">
        <w:rPr>
          <w:szCs w:val="24"/>
        </w:rPr>
        <w:t>, Buenos Aires: Fondo de Cultura Económica.</w:t>
      </w:r>
    </w:p>
    <w:p w:rsidR="00655C2C" w:rsidRPr="00483AEE" w:rsidRDefault="00655C2C" w:rsidP="00483AEE">
      <w:pPr>
        <w:spacing w:after="0" w:line="360" w:lineRule="auto"/>
        <w:ind w:left="284" w:hanging="284"/>
        <w:jc w:val="both"/>
        <w:rPr>
          <w:szCs w:val="24"/>
        </w:rPr>
      </w:pPr>
      <w:proofErr w:type="spellStart"/>
      <w:r w:rsidRPr="00483AEE">
        <w:rPr>
          <w:szCs w:val="24"/>
        </w:rPr>
        <w:t>Kostzer</w:t>
      </w:r>
      <w:proofErr w:type="spellEnd"/>
      <w:r w:rsidRPr="00483AEE">
        <w:rPr>
          <w:szCs w:val="24"/>
        </w:rPr>
        <w:t xml:space="preserve">, D. (2006). “Argentina: La recuperación del salario mínimo como herramienta de política de ingresos”, en: Andrés </w:t>
      </w:r>
      <w:proofErr w:type="spellStart"/>
      <w:r w:rsidRPr="00483AEE">
        <w:rPr>
          <w:szCs w:val="24"/>
        </w:rPr>
        <w:t>Marinakis</w:t>
      </w:r>
      <w:proofErr w:type="spellEnd"/>
      <w:r w:rsidRPr="00483AEE">
        <w:rPr>
          <w:szCs w:val="24"/>
        </w:rPr>
        <w:t xml:space="preserve"> y Juan Velasco (Eds.): </w:t>
      </w:r>
      <w:r w:rsidRPr="00483AEE">
        <w:rPr>
          <w:i/>
          <w:szCs w:val="24"/>
        </w:rPr>
        <w:t>¿Para qué sirve el salario mínimo?</w:t>
      </w:r>
      <w:r w:rsidRPr="00483AEE">
        <w:rPr>
          <w:szCs w:val="24"/>
        </w:rPr>
        <w:t>, Santiago de Chile: OIT.</w:t>
      </w:r>
    </w:p>
    <w:p w:rsidR="00655C2C" w:rsidRPr="00483AEE" w:rsidRDefault="00655C2C" w:rsidP="00483AEE">
      <w:pPr>
        <w:spacing w:after="0" w:line="360" w:lineRule="auto"/>
        <w:ind w:left="284" w:hanging="284"/>
        <w:jc w:val="both"/>
        <w:rPr>
          <w:szCs w:val="24"/>
        </w:rPr>
      </w:pPr>
      <w:proofErr w:type="spellStart"/>
      <w:r w:rsidRPr="00483AEE">
        <w:rPr>
          <w:szCs w:val="24"/>
        </w:rPr>
        <w:t>Kulfas</w:t>
      </w:r>
      <w:proofErr w:type="spellEnd"/>
      <w:r w:rsidRPr="00483AEE">
        <w:rPr>
          <w:szCs w:val="24"/>
        </w:rPr>
        <w:t xml:space="preserve">, M. (2016). </w:t>
      </w:r>
      <w:r w:rsidRPr="00483AEE">
        <w:rPr>
          <w:i/>
          <w:szCs w:val="24"/>
        </w:rPr>
        <w:t>Los tres kirchnerismos. Una historia de la economía argentina. 2003-2015</w:t>
      </w:r>
      <w:r w:rsidRPr="00483AEE">
        <w:rPr>
          <w:szCs w:val="24"/>
        </w:rPr>
        <w:t>, Buenos Aires: Siglo XXI.</w:t>
      </w:r>
    </w:p>
    <w:p w:rsidR="00655C2C" w:rsidRPr="00483AEE" w:rsidRDefault="00655C2C" w:rsidP="00483AEE">
      <w:pPr>
        <w:tabs>
          <w:tab w:val="left" w:pos="142"/>
        </w:tabs>
        <w:spacing w:after="0" w:line="360" w:lineRule="auto"/>
        <w:ind w:left="284" w:hanging="284"/>
        <w:jc w:val="both"/>
        <w:rPr>
          <w:szCs w:val="24"/>
        </w:rPr>
      </w:pPr>
      <w:r w:rsidRPr="00483AEE">
        <w:rPr>
          <w:szCs w:val="24"/>
        </w:rPr>
        <w:t xml:space="preserve">Llach, J. J. (1978). Estructura ocupacional y dinámica del empleo en la Argentina: sus peculiaridades. 1947-1970. </w:t>
      </w:r>
      <w:r w:rsidRPr="00483AEE">
        <w:rPr>
          <w:i/>
          <w:szCs w:val="24"/>
        </w:rPr>
        <w:t xml:space="preserve">Desarrollo Económico, </w:t>
      </w:r>
      <w:r w:rsidRPr="00483AEE">
        <w:rPr>
          <w:szCs w:val="24"/>
        </w:rPr>
        <w:t>(68), pp. 539-591.</w:t>
      </w:r>
    </w:p>
    <w:p w:rsidR="00655C2C" w:rsidRPr="00483AEE" w:rsidRDefault="00655C2C" w:rsidP="00483AEE">
      <w:pPr>
        <w:autoSpaceDE w:val="0"/>
        <w:autoSpaceDN w:val="0"/>
        <w:adjustRightInd w:val="0"/>
        <w:spacing w:after="0" w:line="360" w:lineRule="auto"/>
        <w:ind w:left="284" w:hanging="284"/>
        <w:jc w:val="both"/>
        <w:rPr>
          <w:szCs w:val="24"/>
        </w:rPr>
      </w:pPr>
      <w:proofErr w:type="spellStart"/>
      <w:r w:rsidRPr="00483AEE">
        <w:rPr>
          <w:szCs w:val="24"/>
        </w:rPr>
        <w:t>Mallon</w:t>
      </w:r>
      <w:proofErr w:type="spellEnd"/>
      <w:r w:rsidRPr="00483AEE">
        <w:rPr>
          <w:szCs w:val="24"/>
        </w:rPr>
        <w:t xml:space="preserve">, R. y Sourrouille, J. (1976): </w:t>
      </w:r>
      <w:r w:rsidRPr="00483AEE">
        <w:rPr>
          <w:i/>
          <w:iCs/>
          <w:szCs w:val="24"/>
        </w:rPr>
        <w:t>La política económica en una sociedad conflictiva, el caso argentino</w:t>
      </w:r>
      <w:r w:rsidRPr="00483AEE">
        <w:rPr>
          <w:szCs w:val="24"/>
        </w:rPr>
        <w:t>, Buenos Aires: Amorrortu.</w:t>
      </w:r>
    </w:p>
    <w:p w:rsidR="00655C2C" w:rsidRPr="00483AEE" w:rsidRDefault="00655C2C" w:rsidP="00483AEE">
      <w:pPr>
        <w:tabs>
          <w:tab w:val="left" w:pos="142"/>
        </w:tabs>
        <w:spacing w:after="0" w:line="360" w:lineRule="auto"/>
        <w:ind w:left="284" w:hanging="284"/>
        <w:jc w:val="both"/>
        <w:rPr>
          <w:szCs w:val="24"/>
        </w:rPr>
      </w:pPr>
      <w:r w:rsidRPr="00483AEE">
        <w:rPr>
          <w:szCs w:val="24"/>
        </w:rPr>
        <w:t xml:space="preserve">Marshall, A. (1978). </w:t>
      </w:r>
      <w:r w:rsidRPr="00483AEE">
        <w:rPr>
          <w:i/>
          <w:szCs w:val="24"/>
        </w:rPr>
        <w:t>El mercado de trabajo en el capitalismo periférico. El caso de Argentina</w:t>
      </w:r>
      <w:r w:rsidRPr="00483AEE">
        <w:rPr>
          <w:szCs w:val="24"/>
        </w:rPr>
        <w:t>, Buenos Aires: CLACSO-PISPAL.</w:t>
      </w:r>
    </w:p>
    <w:p w:rsidR="00655C2C" w:rsidRPr="00483AEE" w:rsidRDefault="00655C2C" w:rsidP="00483AEE">
      <w:pPr>
        <w:spacing w:after="0" w:line="360" w:lineRule="auto"/>
        <w:ind w:left="284" w:hanging="284"/>
        <w:jc w:val="both"/>
        <w:rPr>
          <w:szCs w:val="24"/>
        </w:rPr>
      </w:pPr>
      <w:r w:rsidRPr="00483AEE">
        <w:rPr>
          <w:szCs w:val="24"/>
        </w:rPr>
        <w:t xml:space="preserve">Ministerio de Trabajo, Empleo y Seguridad Social (2012). </w:t>
      </w:r>
      <w:r w:rsidRPr="00483AEE">
        <w:rPr>
          <w:i/>
          <w:szCs w:val="24"/>
        </w:rPr>
        <w:t>Boletín Estadístico de la Seguridad Social</w:t>
      </w:r>
      <w:r w:rsidRPr="00483AEE">
        <w:rPr>
          <w:szCs w:val="24"/>
        </w:rPr>
        <w:t>, Buenos Aires: MTEYSS.</w:t>
      </w:r>
    </w:p>
    <w:p w:rsidR="00655C2C" w:rsidRPr="00483AEE" w:rsidRDefault="00655C2C" w:rsidP="00483AEE">
      <w:pPr>
        <w:spacing w:after="0" w:line="360" w:lineRule="auto"/>
        <w:ind w:left="284" w:hanging="284"/>
        <w:jc w:val="both"/>
        <w:rPr>
          <w:szCs w:val="24"/>
        </w:rPr>
      </w:pPr>
      <w:r w:rsidRPr="00483AEE">
        <w:rPr>
          <w:szCs w:val="24"/>
        </w:rPr>
        <w:t xml:space="preserve">Neffa, J. C. (1998) </w:t>
      </w:r>
      <w:r w:rsidRPr="00483AEE">
        <w:rPr>
          <w:i/>
          <w:szCs w:val="24"/>
        </w:rPr>
        <w:t>Modos de Regulación, Regímenes de Acumulación y su crisis en Argentina (1880-1996). Una contribución a su estudio desde la teoría de la regulación</w:t>
      </w:r>
      <w:r w:rsidRPr="00483AEE">
        <w:rPr>
          <w:szCs w:val="24"/>
        </w:rPr>
        <w:t>, Buenos Aires, EUDEBA.</w:t>
      </w:r>
    </w:p>
    <w:p w:rsidR="00655C2C" w:rsidRPr="00483AEE" w:rsidRDefault="00655C2C" w:rsidP="00483AEE">
      <w:pPr>
        <w:tabs>
          <w:tab w:val="left" w:pos="142"/>
        </w:tabs>
        <w:spacing w:after="0" w:line="360" w:lineRule="auto"/>
        <w:ind w:left="284" w:hanging="284"/>
        <w:jc w:val="both"/>
        <w:rPr>
          <w:szCs w:val="24"/>
        </w:rPr>
      </w:pPr>
      <w:proofErr w:type="spellStart"/>
      <w:r w:rsidRPr="00483AEE">
        <w:rPr>
          <w:szCs w:val="24"/>
        </w:rPr>
        <w:t>Nun</w:t>
      </w:r>
      <w:proofErr w:type="spellEnd"/>
      <w:r w:rsidRPr="00483AEE">
        <w:rPr>
          <w:szCs w:val="24"/>
        </w:rPr>
        <w:t xml:space="preserve">, J. (2003). </w:t>
      </w:r>
      <w:r w:rsidRPr="00483AEE">
        <w:rPr>
          <w:i/>
          <w:szCs w:val="24"/>
        </w:rPr>
        <w:t>Marginalidad y exclusión social</w:t>
      </w:r>
      <w:r w:rsidRPr="00483AEE">
        <w:rPr>
          <w:szCs w:val="24"/>
        </w:rPr>
        <w:t>. Buenos Aires: Fondo de Cultura Económica.</w:t>
      </w:r>
    </w:p>
    <w:p w:rsidR="00655C2C" w:rsidRPr="00483AEE" w:rsidRDefault="00655C2C" w:rsidP="00483AEE">
      <w:pPr>
        <w:autoSpaceDE w:val="0"/>
        <w:autoSpaceDN w:val="0"/>
        <w:adjustRightInd w:val="0"/>
        <w:spacing w:after="0" w:line="360" w:lineRule="auto"/>
        <w:ind w:left="284" w:hanging="284"/>
        <w:jc w:val="both"/>
        <w:rPr>
          <w:szCs w:val="24"/>
        </w:rPr>
      </w:pPr>
      <w:r w:rsidRPr="00483AEE">
        <w:rPr>
          <w:szCs w:val="24"/>
        </w:rPr>
        <w:t xml:space="preserve">O´Donnell, G. (1977): “Estado y alianzas en la Argentina, 1956-1976”, en </w:t>
      </w:r>
      <w:r w:rsidRPr="00483AEE">
        <w:rPr>
          <w:i/>
          <w:iCs/>
          <w:szCs w:val="24"/>
        </w:rPr>
        <w:t>Desarrollo Económico</w:t>
      </w:r>
      <w:r w:rsidRPr="00483AEE">
        <w:rPr>
          <w:szCs w:val="24"/>
        </w:rPr>
        <w:t>, Nº 64.</w:t>
      </w:r>
    </w:p>
    <w:p w:rsidR="00655C2C" w:rsidRPr="00483AEE" w:rsidRDefault="00655C2C" w:rsidP="00483AEE">
      <w:pPr>
        <w:spacing w:after="0" w:line="360" w:lineRule="auto"/>
        <w:ind w:left="284" w:hanging="284"/>
        <w:jc w:val="both"/>
        <w:rPr>
          <w:szCs w:val="24"/>
        </w:rPr>
      </w:pPr>
      <w:r w:rsidRPr="00483AEE">
        <w:rPr>
          <w:szCs w:val="24"/>
        </w:rPr>
        <w:t xml:space="preserve">O´Donnell, G. (1977): “Estado y alianzas en la Argentina, 1956-1976”, en </w:t>
      </w:r>
      <w:r w:rsidRPr="00483AEE">
        <w:rPr>
          <w:i/>
          <w:iCs/>
          <w:szCs w:val="24"/>
        </w:rPr>
        <w:t>Desarrollo Económico</w:t>
      </w:r>
      <w:r w:rsidRPr="00483AEE">
        <w:rPr>
          <w:szCs w:val="24"/>
        </w:rPr>
        <w:t>, Nº 64.</w:t>
      </w:r>
    </w:p>
    <w:p w:rsidR="00655C2C" w:rsidRPr="00483AEE" w:rsidRDefault="00655C2C" w:rsidP="00483AEE">
      <w:pPr>
        <w:autoSpaceDE w:val="0"/>
        <w:autoSpaceDN w:val="0"/>
        <w:adjustRightInd w:val="0"/>
        <w:spacing w:after="0" w:line="360" w:lineRule="auto"/>
        <w:ind w:left="284" w:hanging="284"/>
        <w:jc w:val="both"/>
        <w:rPr>
          <w:szCs w:val="24"/>
          <w:lang w:eastAsia="es-AR"/>
        </w:rPr>
      </w:pPr>
      <w:proofErr w:type="spellStart"/>
      <w:r w:rsidRPr="00483AEE">
        <w:rPr>
          <w:szCs w:val="24"/>
          <w:lang w:eastAsia="es-AR"/>
        </w:rPr>
        <w:t>Orsatti</w:t>
      </w:r>
      <w:proofErr w:type="spellEnd"/>
      <w:r w:rsidRPr="00483AEE">
        <w:rPr>
          <w:szCs w:val="24"/>
          <w:lang w:eastAsia="es-AR"/>
        </w:rPr>
        <w:t xml:space="preserve">, A. (1986). "El Empleo Precario en Buenos Aires, 1974-1983", en: </w:t>
      </w:r>
      <w:r w:rsidRPr="00483AEE">
        <w:rPr>
          <w:i/>
          <w:szCs w:val="24"/>
          <w:lang w:eastAsia="es-AR"/>
        </w:rPr>
        <w:t>El Empleo Precario en Argentina</w:t>
      </w:r>
      <w:r w:rsidRPr="00483AEE">
        <w:rPr>
          <w:szCs w:val="24"/>
          <w:lang w:eastAsia="es-AR"/>
        </w:rPr>
        <w:t>, volumen 1, Buenos Aires: Ministerio de Trabajo y Seguridad Social - CIAT/OIT.</w:t>
      </w:r>
    </w:p>
    <w:p w:rsidR="00655C2C" w:rsidRPr="00483AEE" w:rsidRDefault="00655C2C" w:rsidP="00483AEE">
      <w:pPr>
        <w:autoSpaceDE w:val="0"/>
        <w:autoSpaceDN w:val="0"/>
        <w:adjustRightInd w:val="0"/>
        <w:spacing w:after="0" w:line="360" w:lineRule="auto"/>
        <w:ind w:left="284" w:hanging="284"/>
        <w:jc w:val="both"/>
        <w:rPr>
          <w:szCs w:val="24"/>
          <w:lang w:eastAsia="es-AR"/>
        </w:rPr>
      </w:pPr>
      <w:proofErr w:type="spellStart"/>
      <w:r w:rsidRPr="00483AEE">
        <w:rPr>
          <w:szCs w:val="24"/>
          <w:lang w:eastAsia="es-AR"/>
        </w:rPr>
        <w:t>Orsatti</w:t>
      </w:r>
      <w:proofErr w:type="spellEnd"/>
      <w:r w:rsidRPr="00483AEE">
        <w:rPr>
          <w:szCs w:val="24"/>
          <w:lang w:eastAsia="es-AR"/>
        </w:rPr>
        <w:t xml:space="preserve">, A. y Beccaria, L. (1988) “Trabajadores desprotegidos socialmente en el Gran Buenos Aires, 1985”, en: </w:t>
      </w:r>
      <w:r w:rsidRPr="00483AEE">
        <w:rPr>
          <w:i/>
          <w:szCs w:val="24"/>
          <w:lang w:eastAsia="es-AR"/>
        </w:rPr>
        <w:t>El Empleo Precario en Argentina</w:t>
      </w:r>
      <w:r w:rsidRPr="00483AEE">
        <w:rPr>
          <w:szCs w:val="24"/>
          <w:lang w:eastAsia="es-AR"/>
        </w:rPr>
        <w:t xml:space="preserve">, volumen 2, Buenos Aires: Ministerio de Trabajo y Seguridad </w:t>
      </w:r>
      <w:proofErr w:type="gramStart"/>
      <w:r w:rsidRPr="00483AEE">
        <w:rPr>
          <w:szCs w:val="24"/>
          <w:lang w:eastAsia="es-AR"/>
        </w:rPr>
        <w:t>Social  -</w:t>
      </w:r>
      <w:proofErr w:type="gramEnd"/>
      <w:r w:rsidRPr="00483AEE">
        <w:rPr>
          <w:szCs w:val="24"/>
          <w:lang w:eastAsia="es-AR"/>
        </w:rPr>
        <w:t xml:space="preserve"> CIAT/OIT.</w:t>
      </w:r>
    </w:p>
    <w:p w:rsidR="00655C2C" w:rsidRPr="00483AEE" w:rsidRDefault="00655C2C" w:rsidP="00483AEE">
      <w:pPr>
        <w:autoSpaceDE w:val="0"/>
        <w:autoSpaceDN w:val="0"/>
        <w:adjustRightInd w:val="0"/>
        <w:spacing w:after="0" w:line="360" w:lineRule="auto"/>
        <w:ind w:left="284" w:hanging="284"/>
        <w:jc w:val="both"/>
        <w:rPr>
          <w:szCs w:val="24"/>
          <w:lang w:eastAsia="es-AR"/>
        </w:rPr>
      </w:pPr>
      <w:r w:rsidRPr="00483AEE">
        <w:rPr>
          <w:szCs w:val="24"/>
          <w:lang w:eastAsia="es-AR"/>
        </w:rPr>
        <w:t xml:space="preserve">Ortiz, R., </w:t>
      </w:r>
      <w:proofErr w:type="spellStart"/>
      <w:r w:rsidRPr="00483AEE">
        <w:rPr>
          <w:szCs w:val="24"/>
          <w:lang w:eastAsia="es-AR"/>
        </w:rPr>
        <w:t>Schorr</w:t>
      </w:r>
      <w:proofErr w:type="spellEnd"/>
      <w:r w:rsidRPr="00483AEE">
        <w:rPr>
          <w:szCs w:val="24"/>
          <w:lang w:eastAsia="es-AR"/>
        </w:rPr>
        <w:t xml:space="preserve">, M (2006): “La economía política del gobierno de Alfonsín: creciente subordinación al poder económico durante la ‘década perdida’”, en </w:t>
      </w:r>
      <w:proofErr w:type="spellStart"/>
      <w:r w:rsidRPr="00483AEE">
        <w:rPr>
          <w:szCs w:val="24"/>
          <w:lang w:eastAsia="es-AR"/>
        </w:rPr>
        <w:t>Pucciarelli</w:t>
      </w:r>
      <w:proofErr w:type="spellEnd"/>
      <w:r w:rsidRPr="00483AEE">
        <w:rPr>
          <w:szCs w:val="24"/>
          <w:lang w:eastAsia="es-AR"/>
        </w:rPr>
        <w:t xml:space="preserve">, Alfredo (coord.): </w:t>
      </w:r>
      <w:r w:rsidRPr="00483AEE">
        <w:rPr>
          <w:i/>
          <w:iCs/>
          <w:szCs w:val="24"/>
          <w:lang w:eastAsia="es-AR"/>
        </w:rPr>
        <w:t>Los años de Alfonsín. ¿El poder de la democracia o la democracia del poder?</w:t>
      </w:r>
      <w:r w:rsidRPr="00483AEE">
        <w:rPr>
          <w:szCs w:val="24"/>
          <w:lang w:eastAsia="es-AR"/>
        </w:rPr>
        <w:t xml:space="preserve"> Buenos Aires: Siglo XXI.</w:t>
      </w:r>
    </w:p>
    <w:p w:rsidR="00655C2C" w:rsidRPr="00483AEE" w:rsidRDefault="00655C2C" w:rsidP="00483AEE">
      <w:pPr>
        <w:spacing w:after="0" w:line="360" w:lineRule="auto"/>
        <w:ind w:left="284" w:hanging="284"/>
        <w:jc w:val="both"/>
        <w:rPr>
          <w:color w:val="010101"/>
          <w:kern w:val="22"/>
          <w:szCs w:val="24"/>
          <w:lang w:eastAsia="es-MX"/>
        </w:rPr>
      </w:pPr>
      <w:r w:rsidRPr="00483AEE">
        <w:rPr>
          <w:color w:val="010101"/>
          <w:kern w:val="22"/>
          <w:szCs w:val="24"/>
          <w:lang w:eastAsia="es-MX"/>
        </w:rPr>
        <w:lastRenderedPageBreak/>
        <w:t xml:space="preserve">Palomino, H. y Dalle, P. (2012). “El impacto de los cambios ocupacionales en la estructura social de la Argentina: 2003-2011”, en </w:t>
      </w:r>
      <w:r w:rsidRPr="00483AEE">
        <w:rPr>
          <w:i/>
          <w:color w:val="010101"/>
          <w:kern w:val="22"/>
          <w:szCs w:val="24"/>
          <w:lang w:eastAsia="es-MX"/>
        </w:rPr>
        <w:t>Revista de Trabajo</w:t>
      </w:r>
      <w:r w:rsidRPr="00483AEE">
        <w:rPr>
          <w:color w:val="010101"/>
          <w:kern w:val="22"/>
          <w:szCs w:val="24"/>
          <w:lang w:eastAsia="es-MX"/>
        </w:rPr>
        <w:t>, (8), 10, pp. 205-223.</w:t>
      </w:r>
    </w:p>
    <w:p w:rsidR="00655C2C" w:rsidRPr="00483AEE" w:rsidRDefault="00655C2C" w:rsidP="00483AEE">
      <w:pPr>
        <w:spacing w:after="0" w:line="360" w:lineRule="auto"/>
        <w:ind w:left="284" w:hanging="284"/>
        <w:jc w:val="both"/>
        <w:rPr>
          <w:szCs w:val="24"/>
        </w:rPr>
      </w:pPr>
      <w:r w:rsidRPr="00483AEE">
        <w:rPr>
          <w:szCs w:val="24"/>
        </w:rPr>
        <w:t xml:space="preserve">Peralta Ramos, Mónica (1974) </w:t>
      </w:r>
      <w:r w:rsidRPr="00483AEE">
        <w:rPr>
          <w:i/>
          <w:szCs w:val="24"/>
        </w:rPr>
        <w:t>Etapas de acumulación y lucha de clases en la Argentina (1930-1970)</w:t>
      </w:r>
      <w:r w:rsidRPr="00483AEE">
        <w:rPr>
          <w:szCs w:val="24"/>
        </w:rPr>
        <w:t>, Buenos Aires, Siglo XXI.</w:t>
      </w:r>
    </w:p>
    <w:p w:rsidR="00655C2C" w:rsidRPr="00483AEE" w:rsidRDefault="00655C2C" w:rsidP="00483AEE">
      <w:pPr>
        <w:tabs>
          <w:tab w:val="left" w:pos="142"/>
        </w:tabs>
        <w:spacing w:after="0" w:line="360" w:lineRule="auto"/>
        <w:ind w:left="284" w:hanging="284"/>
        <w:jc w:val="both"/>
        <w:rPr>
          <w:szCs w:val="24"/>
        </w:rPr>
      </w:pPr>
      <w:r w:rsidRPr="00483AEE">
        <w:rPr>
          <w:szCs w:val="24"/>
        </w:rPr>
        <w:t xml:space="preserve">Pinto, </w:t>
      </w:r>
      <w:r w:rsidRPr="00483AEE">
        <w:rPr>
          <w:spacing w:val="-3"/>
          <w:szCs w:val="24"/>
        </w:rPr>
        <w:t>A.</w:t>
      </w:r>
      <w:r w:rsidRPr="00483AEE">
        <w:rPr>
          <w:smallCaps/>
          <w:spacing w:val="-3"/>
          <w:szCs w:val="24"/>
        </w:rPr>
        <w:t xml:space="preserve"> </w:t>
      </w:r>
      <w:r w:rsidRPr="00483AEE">
        <w:rPr>
          <w:szCs w:val="24"/>
        </w:rPr>
        <w:t xml:space="preserve">(1976) Naturaleza e implicaciones de la heterogeneidad estructural de América Latina. </w:t>
      </w:r>
      <w:r w:rsidRPr="00483AEE">
        <w:rPr>
          <w:i/>
          <w:szCs w:val="24"/>
        </w:rPr>
        <w:t>El</w:t>
      </w:r>
      <w:r w:rsidRPr="00483AEE">
        <w:rPr>
          <w:i/>
          <w:iCs/>
          <w:szCs w:val="24"/>
        </w:rPr>
        <w:t xml:space="preserve"> </w:t>
      </w:r>
      <w:r w:rsidRPr="00483AEE">
        <w:rPr>
          <w:i/>
          <w:szCs w:val="24"/>
        </w:rPr>
        <w:t>trimestre económico</w:t>
      </w:r>
      <w:r w:rsidRPr="00483AEE">
        <w:rPr>
          <w:szCs w:val="24"/>
        </w:rPr>
        <w:t>, (37), 145.</w:t>
      </w:r>
    </w:p>
    <w:p w:rsidR="00655C2C" w:rsidRPr="00483AEE" w:rsidRDefault="00655C2C" w:rsidP="00483AEE">
      <w:pPr>
        <w:spacing w:after="0" w:line="360" w:lineRule="auto"/>
        <w:ind w:left="284" w:hanging="284"/>
        <w:jc w:val="both"/>
        <w:rPr>
          <w:szCs w:val="24"/>
        </w:rPr>
      </w:pPr>
      <w:proofErr w:type="spellStart"/>
      <w:r w:rsidRPr="00483AEE">
        <w:rPr>
          <w:szCs w:val="24"/>
        </w:rPr>
        <w:t>Piva</w:t>
      </w:r>
      <w:proofErr w:type="spellEnd"/>
      <w:r w:rsidRPr="00483AEE">
        <w:rPr>
          <w:szCs w:val="24"/>
        </w:rPr>
        <w:t xml:space="preserve">, A. (2015). </w:t>
      </w:r>
      <w:r w:rsidRPr="00483AEE">
        <w:rPr>
          <w:i/>
          <w:szCs w:val="24"/>
        </w:rPr>
        <w:t>Economía y política en la Argentina kirchnerista</w:t>
      </w:r>
      <w:r w:rsidRPr="00483AEE">
        <w:rPr>
          <w:szCs w:val="24"/>
        </w:rPr>
        <w:t>, Buenos Aires: Batalla de ideas.</w:t>
      </w:r>
    </w:p>
    <w:p w:rsidR="00655C2C" w:rsidRPr="00483AEE" w:rsidRDefault="00655C2C" w:rsidP="00483AEE">
      <w:pPr>
        <w:autoSpaceDE w:val="0"/>
        <w:autoSpaceDN w:val="0"/>
        <w:adjustRightInd w:val="0"/>
        <w:spacing w:after="0" w:line="360" w:lineRule="auto"/>
        <w:ind w:left="284" w:hanging="284"/>
        <w:jc w:val="both"/>
        <w:rPr>
          <w:szCs w:val="24"/>
        </w:rPr>
      </w:pPr>
      <w:r w:rsidRPr="00483AEE">
        <w:rPr>
          <w:szCs w:val="24"/>
        </w:rPr>
        <w:t xml:space="preserve">Portantiero, J. C. (1977): “Economía y política en la crisis argentina”, en </w:t>
      </w:r>
      <w:r w:rsidRPr="00483AEE">
        <w:rPr>
          <w:i/>
          <w:iCs/>
          <w:szCs w:val="24"/>
        </w:rPr>
        <w:t>Revista Mexicana de Sociología</w:t>
      </w:r>
      <w:r w:rsidRPr="00483AEE">
        <w:rPr>
          <w:szCs w:val="24"/>
        </w:rPr>
        <w:t>, México.</w:t>
      </w:r>
    </w:p>
    <w:p w:rsidR="00655C2C" w:rsidRPr="00483AEE" w:rsidRDefault="00655C2C" w:rsidP="00483AEE">
      <w:pPr>
        <w:spacing w:after="0" w:line="360" w:lineRule="auto"/>
        <w:ind w:left="284" w:hanging="284"/>
        <w:jc w:val="both"/>
        <w:rPr>
          <w:szCs w:val="24"/>
        </w:rPr>
      </w:pPr>
      <w:r w:rsidRPr="00483AEE">
        <w:rPr>
          <w:szCs w:val="24"/>
        </w:rPr>
        <w:t xml:space="preserve">Portantiero, J. C. (1977): “Economía y política en la crisis argentina”, en </w:t>
      </w:r>
      <w:r w:rsidRPr="00483AEE">
        <w:rPr>
          <w:i/>
          <w:iCs/>
          <w:szCs w:val="24"/>
        </w:rPr>
        <w:t>Revista Mexicana de Sociología</w:t>
      </w:r>
      <w:r w:rsidRPr="00483AEE">
        <w:rPr>
          <w:szCs w:val="24"/>
        </w:rPr>
        <w:t xml:space="preserve">, México. </w:t>
      </w:r>
    </w:p>
    <w:p w:rsidR="00655C2C" w:rsidRPr="00483AEE" w:rsidRDefault="00655C2C" w:rsidP="00483AEE">
      <w:pPr>
        <w:widowControl w:val="0"/>
        <w:autoSpaceDE w:val="0"/>
        <w:autoSpaceDN w:val="0"/>
        <w:adjustRightInd w:val="0"/>
        <w:spacing w:after="0" w:line="360" w:lineRule="auto"/>
        <w:ind w:left="284" w:hanging="284"/>
        <w:jc w:val="both"/>
        <w:rPr>
          <w:bCs/>
          <w:color w:val="000000"/>
          <w:szCs w:val="24"/>
        </w:rPr>
      </w:pPr>
      <w:r w:rsidRPr="00483AEE">
        <w:rPr>
          <w:szCs w:val="24"/>
        </w:rPr>
        <w:t xml:space="preserve">Poy, S. (2016) </w:t>
      </w:r>
      <w:r w:rsidRPr="00483AEE">
        <w:rPr>
          <w:bCs/>
          <w:color w:val="000000"/>
          <w:szCs w:val="24"/>
        </w:rPr>
        <w:t xml:space="preserve">Cambios en el régimen de acumulación, estructura productiva y mercado de trabajo. Un análisis de larga duración (1974-2014). </w:t>
      </w:r>
      <w:r w:rsidRPr="00483AEE">
        <w:rPr>
          <w:bCs/>
          <w:i/>
          <w:color w:val="000000"/>
          <w:szCs w:val="24"/>
        </w:rPr>
        <w:t xml:space="preserve">Realidad Económica </w:t>
      </w:r>
      <w:r w:rsidRPr="00483AEE">
        <w:rPr>
          <w:bCs/>
          <w:color w:val="000000"/>
          <w:szCs w:val="24"/>
        </w:rPr>
        <w:t>(298), pp. 111-138.</w:t>
      </w:r>
    </w:p>
    <w:p w:rsidR="00655C2C" w:rsidRPr="00483AEE" w:rsidRDefault="00655C2C" w:rsidP="00483AEE">
      <w:pPr>
        <w:widowControl w:val="0"/>
        <w:autoSpaceDE w:val="0"/>
        <w:autoSpaceDN w:val="0"/>
        <w:adjustRightInd w:val="0"/>
        <w:spacing w:after="0" w:line="360" w:lineRule="auto"/>
        <w:ind w:left="284" w:hanging="284"/>
        <w:jc w:val="both"/>
        <w:rPr>
          <w:szCs w:val="24"/>
        </w:rPr>
      </w:pPr>
      <w:r w:rsidRPr="00483AEE">
        <w:rPr>
          <w:szCs w:val="24"/>
        </w:rPr>
        <w:t xml:space="preserve">PREALC-OIT (1978). </w:t>
      </w:r>
      <w:r w:rsidRPr="00483AEE">
        <w:rPr>
          <w:i/>
          <w:szCs w:val="24"/>
        </w:rPr>
        <w:t>Sector Informal. Funcionamiento y Políticas</w:t>
      </w:r>
      <w:r w:rsidRPr="00483AEE">
        <w:rPr>
          <w:szCs w:val="24"/>
        </w:rPr>
        <w:t xml:space="preserve">, Santiago de Chile, PREALC-OIT. </w:t>
      </w:r>
    </w:p>
    <w:p w:rsidR="00655C2C" w:rsidRPr="00483AEE" w:rsidRDefault="00655C2C" w:rsidP="00483AEE">
      <w:pPr>
        <w:spacing w:after="0" w:line="360" w:lineRule="auto"/>
        <w:ind w:left="284" w:hanging="284"/>
        <w:jc w:val="both"/>
        <w:rPr>
          <w:szCs w:val="24"/>
        </w:rPr>
      </w:pPr>
      <w:proofErr w:type="spellStart"/>
      <w:r w:rsidRPr="00483AEE">
        <w:rPr>
          <w:szCs w:val="24"/>
        </w:rPr>
        <w:t>Prebisch</w:t>
      </w:r>
      <w:proofErr w:type="spellEnd"/>
      <w:r w:rsidRPr="00483AEE">
        <w:rPr>
          <w:szCs w:val="24"/>
        </w:rPr>
        <w:t xml:space="preserve">, R. (1970). </w:t>
      </w:r>
      <w:r w:rsidRPr="00483AEE">
        <w:rPr>
          <w:i/>
          <w:szCs w:val="24"/>
        </w:rPr>
        <w:t>Transformación y desarrollo: la gran tarea de América Latina</w:t>
      </w:r>
      <w:r w:rsidRPr="00483AEE">
        <w:rPr>
          <w:szCs w:val="24"/>
        </w:rPr>
        <w:t>, México D. F.: Fondo de Cultura Económica y Banco Interamericano de Desarrollo.</w:t>
      </w:r>
    </w:p>
    <w:p w:rsidR="00655C2C" w:rsidRPr="00483AEE" w:rsidRDefault="00655C2C" w:rsidP="00483AEE">
      <w:pPr>
        <w:spacing w:after="0" w:line="360" w:lineRule="auto"/>
        <w:ind w:left="284" w:hanging="284"/>
        <w:jc w:val="both"/>
        <w:rPr>
          <w:szCs w:val="24"/>
        </w:rPr>
      </w:pPr>
      <w:proofErr w:type="spellStart"/>
      <w:r w:rsidRPr="00483AEE">
        <w:rPr>
          <w:szCs w:val="24"/>
        </w:rPr>
        <w:t>Rofman</w:t>
      </w:r>
      <w:proofErr w:type="spellEnd"/>
      <w:r w:rsidRPr="00483AEE">
        <w:rPr>
          <w:szCs w:val="24"/>
        </w:rPr>
        <w:t xml:space="preserve">, R. y </w:t>
      </w:r>
      <w:proofErr w:type="spellStart"/>
      <w:r w:rsidRPr="00483AEE">
        <w:rPr>
          <w:szCs w:val="24"/>
        </w:rPr>
        <w:t>Luchetti</w:t>
      </w:r>
      <w:proofErr w:type="spellEnd"/>
      <w:r w:rsidRPr="00483AEE">
        <w:rPr>
          <w:szCs w:val="24"/>
        </w:rPr>
        <w:t xml:space="preserve">, L. (2006). </w:t>
      </w:r>
      <w:r w:rsidRPr="00483AEE">
        <w:rPr>
          <w:i/>
          <w:szCs w:val="24"/>
        </w:rPr>
        <w:t>Sistemas de pensiones en América Latina: conceptos y mediciones de cobertura</w:t>
      </w:r>
      <w:r w:rsidRPr="00483AEE">
        <w:rPr>
          <w:szCs w:val="24"/>
        </w:rPr>
        <w:t xml:space="preserve">, </w:t>
      </w:r>
      <w:proofErr w:type="spellStart"/>
      <w:r w:rsidRPr="00483AEE">
        <w:rPr>
          <w:szCs w:val="24"/>
        </w:rPr>
        <w:t>The</w:t>
      </w:r>
      <w:proofErr w:type="spellEnd"/>
      <w:r w:rsidRPr="00483AEE">
        <w:rPr>
          <w:szCs w:val="24"/>
        </w:rPr>
        <w:t xml:space="preserve"> </w:t>
      </w:r>
      <w:proofErr w:type="spellStart"/>
      <w:r w:rsidRPr="00483AEE">
        <w:rPr>
          <w:szCs w:val="24"/>
        </w:rPr>
        <w:t>World</w:t>
      </w:r>
      <w:proofErr w:type="spellEnd"/>
      <w:r w:rsidRPr="00483AEE">
        <w:rPr>
          <w:szCs w:val="24"/>
        </w:rPr>
        <w:t xml:space="preserve"> Bank </w:t>
      </w:r>
      <w:proofErr w:type="spellStart"/>
      <w:r w:rsidRPr="00483AEE">
        <w:rPr>
          <w:szCs w:val="24"/>
        </w:rPr>
        <w:t>Discussion</w:t>
      </w:r>
      <w:proofErr w:type="spellEnd"/>
      <w:r w:rsidRPr="00483AEE">
        <w:rPr>
          <w:szCs w:val="24"/>
        </w:rPr>
        <w:t xml:space="preserve"> </w:t>
      </w:r>
      <w:proofErr w:type="spellStart"/>
      <w:r w:rsidRPr="00483AEE">
        <w:rPr>
          <w:szCs w:val="24"/>
        </w:rPr>
        <w:t>Paper</w:t>
      </w:r>
      <w:proofErr w:type="spellEnd"/>
      <w:r w:rsidRPr="00483AEE">
        <w:rPr>
          <w:szCs w:val="24"/>
        </w:rPr>
        <w:t xml:space="preserve">, </w:t>
      </w:r>
      <w:proofErr w:type="spellStart"/>
      <w:r w:rsidRPr="00483AEE">
        <w:rPr>
          <w:szCs w:val="24"/>
        </w:rPr>
        <w:t>nº</w:t>
      </w:r>
      <w:proofErr w:type="spellEnd"/>
      <w:r w:rsidRPr="00483AEE">
        <w:rPr>
          <w:szCs w:val="24"/>
        </w:rPr>
        <w:t xml:space="preserve"> 0616, Washington D.C.: </w:t>
      </w:r>
      <w:proofErr w:type="spellStart"/>
      <w:r w:rsidRPr="00483AEE">
        <w:rPr>
          <w:szCs w:val="24"/>
        </w:rPr>
        <w:t>The</w:t>
      </w:r>
      <w:proofErr w:type="spellEnd"/>
      <w:r w:rsidRPr="00483AEE">
        <w:rPr>
          <w:szCs w:val="24"/>
        </w:rPr>
        <w:t xml:space="preserve"> </w:t>
      </w:r>
      <w:proofErr w:type="spellStart"/>
      <w:r w:rsidRPr="00483AEE">
        <w:rPr>
          <w:szCs w:val="24"/>
        </w:rPr>
        <w:t>World</w:t>
      </w:r>
      <w:proofErr w:type="spellEnd"/>
      <w:r w:rsidRPr="00483AEE">
        <w:rPr>
          <w:szCs w:val="24"/>
        </w:rPr>
        <w:t xml:space="preserve"> Bank.</w:t>
      </w:r>
    </w:p>
    <w:p w:rsidR="00655C2C" w:rsidRPr="00483AEE" w:rsidRDefault="00655C2C" w:rsidP="00483AEE">
      <w:pPr>
        <w:spacing w:after="0" w:line="360" w:lineRule="auto"/>
        <w:ind w:left="284" w:hanging="284"/>
        <w:jc w:val="both"/>
        <w:rPr>
          <w:szCs w:val="24"/>
        </w:rPr>
      </w:pPr>
      <w:proofErr w:type="spellStart"/>
      <w:r w:rsidRPr="00483AEE">
        <w:rPr>
          <w:szCs w:val="24"/>
        </w:rPr>
        <w:t>Rofman</w:t>
      </w:r>
      <w:proofErr w:type="spellEnd"/>
      <w:r w:rsidRPr="00483AEE">
        <w:rPr>
          <w:szCs w:val="24"/>
        </w:rPr>
        <w:t xml:space="preserve">, R. y </w:t>
      </w:r>
      <w:proofErr w:type="spellStart"/>
      <w:r w:rsidRPr="00483AEE">
        <w:rPr>
          <w:szCs w:val="24"/>
        </w:rPr>
        <w:t>Oliveri</w:t>
      </w:r>
      <w:proofErr w:type="spellEnd"/>
      <w:r w:rsidRPr="00483AEE">
        <w:rPr>
          <w:szCs w:val="24"/>
        </w:rPr>
        <w:t xml:space="preserve">, L. (2012). “Un repaso sobre las políticas de protección social y la distribución del ingreso en la Argentina”. </w:t>
      </w:r>
      <w:r w:rsidRPr="00483AEE">
        <w:rPr>
          <w:i/>
          <w:szCs w:val="24"/>
        </w:rPr>
        <w:t>Económica</w:t>
      </w:r>
      <w:r w:rsidRPr="00483AEE">
        <w:rPr>
          <w:szCs w:val="24"/>
        </w:rPr>
        <w:t xml:space="preserve">, 58, pp. 97-128 </w:t>
      </w:r>
    </w:p>
    <w:p w:rsidR="00655C2C" w:rsidRPr="00483AEE" w:rsidRDefault="00655C2C" w:rsidP="00483AEE">
      <w:pPr>
        <w:pStyle w:val="Sinespaciado"/>
        <w:spacing w:line="360" w:lineRule="auto"/>
        <w:ind w:left="284" w:hanging="284"/>
        <w:jc w:val="both"/>
        <w:rPr>
          <w:rFonts w:ascii="Times New Roman" w:hAnsi="Times New Roman"/>
          <w:sz w:val="24"/>
          <w:szCs w:val="24"/>
        </w:rPr>
      </w:pPr>
      <w:r w:rsidRPr="00483AEE">
        <w:rPr>
          <w:rFonts w:ascii="Times New Roman" w:hAnsi="Times New Roman"/>
          <w:color w:val="212121"/>
          <w:sz w:val="24"/>
          <w:szCs w:val="24"/>
          <w:shd w:val="clear" w:color="auto" w:fill="FFFFFF"/>
        </w:rPr>
        <w:t>Salvia, A. (1983). “Argentina: 1976-1981. Encrucijada histórica y nueva ofensiva monopólica”. Tesis de Licenciatura, Facultad de Ciencias Políticas y Sociales, México: UNAM.</w:t>
      </w:r>
    </w:p>
    <w:p w:rsidR="00655C2C" w:rsidRPr="00483AEE" w:rsidRDefault="00655C2C" w:rsidP="00483AEE">
      <w:pPr>
        <w:pStyle w:val="Sinespaciado"/>
        <w:spacing w:line="360" w:lineRule="auto"/>
        <w:ind w:left="284" w:hanging="284"/>
        <w:jc w:val="both"/>
        <w:rPr>
          <w:rFonts w:ascii="Times New Roman" w:hAnsi="Times New Roman"/>
          <w:sz w:val="24"/>
          <w:szCs w:val="24"/>
        </w:rPr>
      </w:pPr>
      <w:r w:rsidRPr="00483AEE">
        <w:rPr>
          <w:rFonts w:ascii="Times New Roman" w:hAnsi="Times New Roman"/>
          <w:sz w:val="24"/>
          <w:szCs w:val="24"/>
        </w:rPr>
        <w:t xml:space="preserve">Salvia, </w:t>
      </w:r>
      <w:r w:rsidRPr="00483AEE">
        <w:rPr>
          <w:rFonts w:ascii="Times New Roman" w:hAnsi="Times New Roman"/>
          <w:spacing w:val="-3"/>
          <w:sz w:val="24"/>
          <w:szCs w:val="24"/>
        </w:rPr>
        <w:t>A.</w:t>
      </w:r>
      <w:r w:rsidRPr="00483AEE">
        <w:rPr>
          <w:rFonts w:ascii="Times New Roman" w:hAnsi="Times New Roman"/>
          <w:smallCaps/>
          <w:spacing w:val="-3"/>
          <w:sz w:val="24"/>
          <w:szCs w:val="24"/>
        </w:rPr>
        <w:t xml:space="preserve"> </w:t>
      </w:r>
      <w:r w:rsidRPr="00483AEE">
        <w:rPr>
          <w:rFonts w:ascii="Times New Roman" w:hAnsi="Times New Roman"/>
          <w:sz w:val="24"/>
          <w:szCs w:val="24"/>
        </w:rPr>
        <w:t xml:space="preserve">(2012) </w:t>
      </w:r>
      <w:r w:rsidRPr="00483AEE">
        <w:rPr>
          <w:rFonts w:ascii="Times New Roman" w:hAnsi="Times New Roman"/>
          <w:i/>
          <w:sz w:val="24"/>
          <w:szCs w:val="24"/>
        </w:rPr>
        <w:t>La Trampa Neoliberal. Un estudio sobre los cambios en la heterogeneidad estructural y la distribución del ingreso en la Argentina: 1992-2003</w:t>
      </w:r>
      <w:r w:rsidRPr="00483AEE">
        <w:rPr>
          <w:rFonts w:ascii="Times New Roman" w:hAnsi="Times New Roman"/>
          <w:sz w:val="24"/>
          <w:szCs w:val="24"/>
        </w:rPr>
        <w:t xml:space="preserve">. Buenos Aires: Eudeba. </w:t>
      </w:r>
    </w:p>
    <w:p w:rsidR="00655C2C" w:rsidRPr="00483AEE" w:rsidRDefault="00655C2C" w:rsidP="00483AEE">
      <w:pPr>
        <w:spacing w:after="0" w:line="360" w:lineRule="auto"/>
        <w:ind w:left="284" w:hanging="284"/>
        <w:jc w:val="both"/>
        <w:rPr>
          <w:szCs w:val="24"/>
        </w:rPr>
      </w:pPr>
      <w:r w:rsidRPr="00483AEE">
        <w:rPr>
          <w:szCs w:val="24"/>
        </w:rPr>
        <w:t>Salvia, A. (2016) “Heterogeneidad estructural y marginalidad económica en un contexto de políticas heterodoxas”, en: Salvia, Agustín y Chávez Molina, Eduardo (</w:t>
      </w:r>
      <w:proofErr w:type="spellStart"/>
      <w:r w:rsidRPr="00483AEE">
        <w:rPr>
          <w:szCs w:val="24"/>
        </w:rPr>
        <w:t>coords</w:t>
      </w:r>
      <w:proofErr w:type="spellEnd"/>
      <w:r w:rsidRPr="00483AEE">
        <w:rPr>
          <w:szCs w:val="24"/>
        </w:rPr>
        <w:t xml:space="preserve">.), </w:t>
      </w:r>
      <w:r w:rsidRPr="00483AEE">
        <w:rPr>
          <w:i/>
          <w:szCs w:val="24"/>
        </w:rPr>
        <w:lastRenderedPageBreak/>
        <w:t>Claves sobre la marginalidad económica y la movilidad social</w:t>
      </w:r>
      <w:r w:rsidRPr="00483AEE">
        <w:rPr>
          <w:szCs w:val="24"/>
        </w:rPr>
        <w:t xml:space="preserve">, Buenos Aires, Biblos. </w:t>
      </w:r>
    </w:p>
    <w:p w:rsidR="00655C2C" w:rsidRPr="00483AEE" w:rsidRDefault="00655C2C" w:rsidP="00483AEE">
      <w:pPr>
        <w:spacing w:after="0" w:line="360" w:lineRule="auto"/>
        <w:ind w:left="284" w:hanging="284"/>
        <w:jc w:val="both"/>
        <w:rPr>
          <w:szCs w:val="24"/>
        </w:rPr>
      </w:pPr>
      <w:r w:rsidRPr="00483AEE">
        <w:rPr>
          <w:szCs w:val="24"/>
        </w:rPr>
        <w:t xml:space="preserve">Salvia, A. y E. </w:t>
      </w:r>
      <w:proofErr w:type="spellStart"/>
      <w:r w:rsidRPr="00483AEE">
        <w:rPr>
          <w:szCs w:val="24"/>
        </w:rPr>
        <w:t>Donza</w:t>
      </w:r>
      <w:proofErr w:type="spellEnd"/>
      <w:r w:rsidRPr="00483AEE">
        <w:rPr>
          <w:szCs w:val="24"/>
        </w:rPr>
        <w:t xml:space="preserve"> (1999), “Problemas de medición y sesgos de estimación derivados de la no respuesta completa las preguntas de ingresos en la EPH (1990-1999)”, en </w:t>
      </w:r>
      <w:r w:rsidRPr="00483AEE">
        <w:rPr>
          <w:i/>
          <w:iCs/>
          <w:szCs w:val="24"/>
        </w:rPr>
        <w:t>Revista Estudios del Trabajo</w:t>
      </w:r>
      <w:r w:rsidRPr="00483AEE">
        <w:rPr>
          <w:szCs w:val="24"/>
        </w:rPr>
        <w:t xml:space="preserve"> N° 18.</w:t>
      </w:r>
    </w:p>
    <w:p w:rsidR="00C17111" w:rsidRPr="00483AEE" w:rsidRDefault="00C17111" w:rsidP="00483AEE">
      <w:pPr>
        <w:spacing w:after="0" w:line="360" w:lineRule="auto"/>
        <w:ind w:left="426" w:hanging="426"/>
        <w:jc w:val="both"/>
        <w:rPr>
          <w:szCs w:val="24"/>
        </w:rPr>
      </w:pPr>
      <w:r w:rsidRPr="00483AEE">
        <w:rPr>
          <w:szCs w:val="24"/>
        </w:rPr>
        <w:t xml:space="preserve">Salvia, A. y Vera, J. (2013) Heterogeneidad estructural y distribución de los ingresos familiares en el Gran Buenos Aires (1992-2010), </w:t>
      </w:r>
      <w:r w:rsidRPr="00483AEE">
        <w:rPr>
          <w:i/>
          <w:szCs w:val="24"/>
        </w:rPr>
        <w:t>Desarrollo Económico</w:t>
      </w:r>
      <w:r w:rsidRPr="00483AEE">
        <w:rPr>
          <w:szCs w:val="24"/>
        </w:rPr>
        <w:t>, 52 (207), 427-462.</w:t>
      </w:r>
    </w:p>
    <w:p w:rsidR="00655C2C" w:rsidRPr="00483AEE" w:rsidRDefault="00655C2C" w:rsidP="00483AEE">
      <w:pPr>
        <w:widowControl w:val="0"/>
        <w:autoSpaceDE w:val="0"/>
        <w:autoSpaceDN w:val="0"/>
        <w:adjustRightInd w:val="0"/>
        <w:spacing w:after="0" w:line="360" w:lineRule="auto"/>
        <w:ind w:left="284" w:hanging="284"/>
        <w:jc w:val="both"/>
        <w:rPr>
          <w:szCs w:val="24"/>
        </w:rPr>
      </w:pPr>
      <w:r w:rsidRPr="00483AEE">
        <w:rPr>
          <w:szCs w:val="24"/>
        </w:rPr>
        <w:t xml:space="preserve">Salvia, A., Vera, J. y Poy S. (2015). “Cambios y continuidades en la estructura ocupacional urbana argentina”. En J. </w:t>
      </w:r>
      <w:proofErr w:type="spellStart"/>
      <w:r w:rsidRPr="00483AEE">
        <w:rPr>
          <w:szCs w:val="24"/>
        </w:rPr>
        <w:t>Lindenboim</w:t>
      </w:r>
      <w:proofErr w:type="spellEnd"/>
      <w:r w:rsidRPr="00483AEE">
        <w:rPr>
          <w:szCs w:val="24"/>
        </w:rPr>
        <w:t xml:space="preserve"> y A. Salvia (</w:t>
      </w:r>
      <w:proofErr w:type="spellStart"/>
      <w:r w:rsidRPr="00483AEE">
        <w:rPr>
          <w:szCs w:val="24"/>
        </w:rPr>
        <w:t>coords</w:t>
      </w:r>
      <w:proofErr w:type="spellEnd"/>
      <w:r w:rsidRPr="00483AEE">
        <w:rPr>
          <w:szCs w:val="24"/>
        </w:rPr>
        <w:t xml:space="preserve">.) </w:t>
      </w:r>
      <w:r w:rsidRPr="00483AEE">
        <w:rPr>
          <w:i/>
          <w:szCs w:val="24"/>
        </w:rPr>
        <w:t>Hora de balance: proceso de acumulación, mercado de trabajo y bienestar. Argentina 2002-2014.</w:t>
      </w:r>
      <w:r w:rsidRPr="00483AEE">
        <w:rPr>
          <w:szCs w:val="24"/>
        </w:rPr>
        <w:t xml:space="preserve"> Buenos Aires, Eudeba.</w:t>
      </w:r>
    </w:p>
    <w:p w:rsidR="0019084A" w:rsidRPr="00483AEE" w:rsidRDefault="0019084A" w:rsidP="00483AEE">
      <w:pPr>
        <w:widowControl w:val="0"/>
        <w:autoSpaceDE w:val="0"/>
        <w:autoSpaceDN w:val="0"/>
        <w:adjustRightInd w:val="0"/>
        <w:spacing w:after="120" w:line="360" w:lineRule="auto"/>
        <w:ind w:left="284" w:hanging="284"/>
        <w:jc w:val="both"/>
        <w:rPr>
          <w:szCs w:val="24"/>
        </w:rPr>
      </w:pPr>
      <w:r w:rsidRPr="00483AEE">
        <w:rPr>
          <w:szCs w:val="24"/>
        </w:rPr>
        <w:t xml:space="preserve">Salvia, A., Robles, R. y </w:t>
      </w:r>
      <w:proofErr w:type="spellStart"/>
      <w:r w:rsidRPr="00483AEE">
        <w:rPr>
          <w:szCs w:val="24"/>
        </w:rPr>
        <w:t>Fachal</w:t>
      </w:r>
      <w:proofErr w:type="spellEnd"/>
      <w:r w:rsidRPr="00483AEE">
        <w:rPr>
          <w:szCs w:val="24"/>
        </w:rPr>
        <w:t xml:space="preserve">, M. (2016), “Mercado de trabajo, educación y diferenciales de ingresos laborales. Principales tendencias tras dos décadas de políticas económicas diferentes (1992-2014)”. Trabajo presentado en el </w:t>
      </w:r>
      <w:r w:rsidRPr="00483AEE">
        <w:rPr>
          <w:i/>
          <w:szCs w:val="24"/>
        </w:rPr>
        <w:t>VIII Congreso de la Asociación Latinoamericana de Estudios del Trabajo</w:t>
      </w:r>
      <w:r w:rsidRPr="00483AEE">
        <w:rPr>
          <w:szCs w:val="24"/>
        </w:rPr>
        <w:t xml:space="preserve">, Buenos Aires, 3 al 5 de agosto de 2016. </w:t>
      </w:r>
    </w:p>
    <w:p w:rsidR="00655C2C" w:rsidRPr="00483AEE" w:rsidRDefault="00655C2C" w:rsidP="00483AEE">
      <w:pPr>
        <w:spacing w:after="0" w:line="360" w:lineRule="auto"/>
        <w:ind w:left="284" w:hanging="284"/>
        <w:jc w:val="both"/>
        <w:rPr>
          <w:szCs w:val="24"/>
        </w:rPr>
      </w:pPr>
      <w:proofErr w:type="spellStart"/>
      <w:r w:rsidRPr="00483AEE">
        <w:rPr>
          <w:szCs w:val="24"/>
        </w:rPr>
        <w:t>Schorr</w:t>
      </w:r>
      <w:proofErr w:type="spellEnd"/>
      <w:r w:rsidRPr="00483AEE">
        <w:rPr>
          <w:szCs w:val="24"/>
        </w:rPr>
        <w:t xml:space="preserve">, M. (2012). “Argentina: ¿nuevo modelo o ‘viento de cola’? Una caracterización en clave comparativa”, en </w:t>
      </w:r>
      <w:r w:rsidRPr="00483AEE">
        <w:rPr>
          <w:i/>
          <w:szCs w:val="24"/>
        </w:rPr>
        <w:t>Nueva Sociedad</w:t>
      </w:r>
      <w:r w:rsidRPr="00483AEE">
        <w:rPr>
          <w:szCs w:val="24"/>
        </w:rPr>
        <w:t>, 237, pp. 114-127.</w:t>
      </w:r>
    </w:p>
    <w:p w:rsidR="00655C2C" w:rsidRPr="00483AEE" w:rsidRDefault="00655C2C" w:rsidP="00483AEE">
      <w:pPr>
        <w:autoSpaceDE w:val="0"/>
        <w:autoSpaceDN w:val="0"/>
        <w:adjustRightInd w:val="0"/>
        <w:spacing w:after="0" w:line="360" w:lineRule="auto"/>
        <w:ind w:left="284" w:hanging="284"/>
        <w:jc w:val="both"/>
        <w:rPr>
          <w:szCs w:val="24"/>
        </w:rPr>
      </w:pPr>
      <w:proofErr w:type="spellStart"/>
      <w:r w:rsidRPr="00483AEE">
        <w:rPr>
          <w:szCs w:val="24"/>
        </w:rPr>
        <w:t>Schvarzer</w:t>
      </w:r>
      <w:proofErr w:type="spellEnd"/>
      <w:r w:rsidRPr="00483AEE">
        <w:rPr>
          <w:szCs w:val="24"/>
        </w:rPr>
        <w:t xml:space="preserve">, J. (1986). </w:t>
      </w:r>
      <w:r w:rsidRPr="00483AEE">
        <w:rPr>
          <w:i/>
          <w:szCs w:val="24"/>
        </w:rPr>
        <w:t>La política económica de Martínez de Hoz</w:t>
      </w:r>
      <w:r w:rsidRPr="00483AEE">
        <w:rPr>
          <w:szCs w:val="24"/>
        </w:rPr>
        <w:t xml:space="preserve">. Buenos Aires: </w:t>
      </w:r>
      <w:proofErr w:type="spellStart"/>
      <w:r w:rsidRPr="00483AEE">
        <w:rPr>
          <w:szCs w:val="24"/>
        </w:rPr>
        <w:t>Hyspamérica</w:t>
      </w:r>
      <w:proofErr w:type="spellEnd"/>
      <w:r w:rsidRPr="00483AEE">
        <w:rPr>
          <w:szCs w:val="24"/>
        </w:rPr>
        <w:t>.</w:t>
      </w:r>
    </w:p>
    <w:p w:rsidR="00655C2C" w:rsidRPr="00483AEE" w:rsidRDefault="00655C2C" w:rsidP="00483AEE">
      <w:pPr>
        <w:autoSpaceDE w:val="0"/>
        <w:autoSpaceDN w:val="0"/>
        <w:adjustRightInd w:val="0"/>
        <w:spacing w:after="0" w:line="360" w:lineRule="auto"/>
        <w:ind w:left="284" w:hanging="284"/>
        <w:jc w:val="both"/>
        <w:rPr>
          <w:szCs w:val="24"/>
        </w:rPr>
      </w:pPr>
      <w:proofErr w:type="spellStart"/>
      <w:r w:rsidRPr="00483AEE">
        <w:rPr>
          <w:szCs w:val="24"/>
        </w:rPr>
        <w:t>Schvarzer</w:t>
      </w:r>
      <w:proofErr w:type="spellEnd"/>
      <w:r w:rsidRPr="00483AEE">
        <w:rPr>
          <w:szCs w:val="24"/>
        </w:rPr>
        <w:t xml:space="preserve">, J. y </w:t>
      </w:r>
      <w:proofErr w:type="spellStart"/>
      <w:r w:rsidRPr="00483AEE">
        <w:rPr>
          <w:szCs w:val="24"/>
        </w:rPr>
        <w:t>Tavonanska</w:t>
      </w:r>
      <w:proofErr w:type="spellEnd"/>
      <w:r w:rsidRPr="00483AEE">
        <w:rPr>
          <w:szCs w:val="24"/>
        </w:rPr>
        <w:t xml:space="preserve">, A. (2008). Modelos macroeconómicos en la argentina: del ‘stop and </w:t>
      </w:r>
      <w:proofErr w:type="spellStart"/>
      <w:r w:rsidRPr="00483AEE">
        <w:rPr>
          <w:szCs w:val="24"/>
        </w:rPr>
        <w:t>go</w:t>
      </w:r>
      <w:proofErr w:type="spellEnd"/>
      <w:r w:rsidRPr="00483AEE">
        <w:rPr>
          <w:szCs w:val="24"/>
        </w:rPr>
        <w:t>’ al ‘</w:t>
      </w:r>
      <w:proofErr w:type="spellStart"/>
      <w:r w:rsidRPr="00483AEE">
        <w:rPr>
          <w:szCs w:val="24"/>
        </w:rPr>
        <w:t>go</w:t>
      </w:r>
      <w:proofErr w:type="spellEnd"/>
      <w:r w:rsidRPr="00483AEE">
        <w:rPr>
          <w:szCs w:val="24"/>
        </w:rPr>
        <w:t xml:space="preserve"> and </w:t>
      </w:r>
      <w:proofErr w:type="spellStart"/>
      <w:r w:rsidRPr="00483AEE">
        <w:rPr>
          <w:szCs w:val="24"/>
        </w:rPr>
        <w:t>crush</w:t>
      </w:r>
      <w:proofErr w:type="spellEnd"/>
      <w:r w:rsidRPr="00483AEE">
        <w:rPr>
          <w:szCs w:val="24"/>
        </w:rPr>
        <w:t xml:space="preserve">’”, </w:t>
      </w:r>
      <w:r w:rsidRPr="00483AEE">
        <w:rPr>
          <w:i/>
          <w:szCs w:val="24"/>
        </w:rPr>
        <w:t>Documento de Trabajo CESPA</w:t>
      </w:r>
      <w:r w:rsidRPr="00483AEE">
        <w:rPr>
          <w:szCs w:val="24"/>
        </w:rPr>
        <w:t>, N° 15, Buenos Aires.</w:t>
      </w:r>
    </w:p>
    <w:p w:rsidR="00655C2C" w:rsidRPr="00483AEE" w:rsidRDefault="00655C2C" w:rsidP="00483AEE">
      <w:pPr>
        <w:spacing w:after="0" w:line="360" w:lineRule="auto"/>
        <w:ind w:left="284" w:hanging="284"/>
        <w:jc w:val="both"/>
        <w:rPr>
          <w:szCs w:val="24"/>
        </w:rPr>
      </w:pPr>
      <w:proofErr w:type="spellStart"/>
      <w:r w:rsidRPr="00483AEE">
        <w:rPr>
          <w:szCs w:val="24"/>
        </w:rPr>
        <w:t>Soldano</w:t>
      </w:r>
      <w:proofErr w:type="spellEnd"/>
      <w:r w:rsidRPr="00483AEE">
        <w:rPr>
          <w:szCs w:val="24"/>
        </w:rPr>
        <w:t xml:space="preserve">, D y </w:t>
      </w:r>
      <w:proofErr w:type="spellStart"/>
      <w:r w:rsidRPr="00483AEE">
        <w:rPr>
          <w:szCs w:val="24"/>
        </w:rPr>
        <w:t>Andrenacci</w:t>
      </w:r>
      <w:proofErr w:type="spellEnd"/>
      <w:r w:rsidRPr="00483AEE">
        <w:rPr>
          <w:szCs w:val="24"/>
        </w:rPr>
        <w:t xml:space="preserve">, L. (2005). “Aproximación a las teorías de la política social a partir del caso argentino”, en: L. </w:t>
      </w:r>
      <w:proofErr w:type="spellStart"/>
      <w:r w:rsidRPr="00483AEE">
        <w:rPr>
          <w:szCs w:val="24"/>
        </w:rPr>
        <w:t>Andrenacci</w:t>
      </w:r>
      <w:proofErr w:type="spellEnd"/>
      <w:r w:rsidRPr="00483AEE">
        <w:rPr>
          <w:szCs w:val="24"/>
        </w:rPr>
        <w:t xml:space="preserve"> (</w:t>
      </w:r>
      <w:proofErr w:type="spellStart"/>
      <w:r w:rsidRPr="00483AEE">
        <w:rPr>
          <w:szCs w:val="24"/>
        </w:rPr>
        <w:t>comp.</w:t>
      </w:r>
      <w:proofErr w:type="spellEnd"/>
      <w:r w:rsidRPr="00483AEE">
        <w:rPr>
          <w:szCs w:val="24"/>
        </w:rPr>
        <w:t xml:space="preserve">) </w:t>
      </w:r>
      <w:r w:rsidRPr="00483AEE">
        <w:rPr>
          <w:i/>
          <w:szCs w:val="24"/>
        </w:rPr>
        <w:t>Problemas de política social en la Argentina contemporánea</w:t>
      </w:r>
      <w:r w:rsidRPr="00483AEE">
        <w:rPr>
          <w:szCs w:val="24"/>
        </w:rPr>
        <w:t xml:space="preserve">, Buenos Aires: UNGS-Prometeo. </w:t>
      </w:r>
    </w:p>
    <w:p w:rsidR="00655C2C" w:rsidRPr="00483AEE" w:rsidRDefault="00655C2C" w:rsidP="00483AEE">
      <w:pPr>
        <w:spacing w:after="0" w:line="360" w:lineRule="auto"/>
        <w:ind w:left="284" w:hanging="284"/>
        <w:jc w:val="both"/>
        <w:rPr>
          <w:szCs w:val="24"/>
        </w:rPr>
      </w:pPr>
      <w:proofErr w:type="spellStart"/>
      <w:r w:rsidRPr="00483AEE">
        <w:rPr>
          <w:szCs w:val="24"/>
        </w:rPr>
        <w:t>Sztulwark</w:t>
      </w:r>
      <w:proofErr w:type="spellEnd"/>
      <w:r w:rsidRPr="00483AEE">
        <w:rPr>
          <w:szCs w:val="24"/>
        </w:rPr>
        <w:t xml:space="preserve">, S. (2005) </w:t>
      </w:r>
      <w:r w:rsidRPr="00483AEE">
        <w:rPr>
          <w:i/>
          <w:szCs w:val="24"/>
        </w:rPr>
        <w:t>El estructuralismo latinoamericano</w:t>
      </w:r>
      <w:r w:rsidRPr="00483AEE">
        <w:rPr>
          <w:szCs w:val="24"/>
        </w:rPr>
        <w:t>, Buenos Aires: Prometeo.</w:t>
      </w:r>
    </w:p>
    <w:p w:rsidR="00655C2C" w:rsidRPr="00483AEE" w:rsidRDefault="00655C2C" w:rsidP="00483AEE">
      <w:pPr>
        <w:spacing w:after="0" w:line="360" w:lineRule="auto"/>
        <w:ind w:left="284" w:hanging="284"/>
        <w:jc w:val="both"/>
        <w:rPr>
          <w:szCs w:val="24"/>
        </w:rPr>
      </w:pPr>
      <w:r w:rsidRPr="00483AEE">
        <w:rPr>
          <w:szCs w:val="24"/>
        </w:rPr>
        <w:t xml:space="preserve">Torrado, S. (2010), </w:t>
      </w:r>
      <w:r w:rsidR="00C17111" w:rsidRPr="00483AEE">
        <w:rPr>
          <w:szCs w:val="24"/>
        </w:rPr>
        <w:t>“Modelos de acumulación, regímenes de gobierno y estructura social”, en S. Torrado (</w:t>
      </w:r>
      <w:proofErr w:type="spellStart"/>
      <w:r w:rsidR="00C17111" w:rsidRPr="00483AEE">
        <w:rPr>
          <w:szCs w:val="24"/>
        </w:rPr>
        <w:t>dir.</w:t>
      </w:r>
      <w:proofErr w:type="spellEnd"/>
      <w:r w:rsidR="00C17111" w:rsidRPr="00483AEE">
        <w:rPr>
          <w:szCs w:val="24"/>
        </w:rPr>
        <w:t xml:space="preserve">) </w:t>
      </w:r>
      <w:r w:rsidRPr="00483AEE">
        <w:rPr>
          <w:i/>
          <w:szCs w:val="24"/>
        </w:rPr>
        <w:t>El costo social del ajuste</w:t>
      </w:r>
      <w:r w:rsidRPr="00483AEE">
        <w:rPr>
          <w:szCs w:val="24"/>
        </w:rPr>
        <w:t>, Tomo I, Buenos Aires, EDHASA.</w:t>
      </w:r>
    </w:p>
    <w:p w:rsidR="0019084A" w:rsidRPr="00483AEE" w:rsidRDefault="0019084A" w:rsidP="00483AEE">
      <w:pPr>
        <w:spacing w:after="0" w:line="360" w:lineRule="auto"/>
        <w:ind w:left="426" w:hanging="426"/>
        <w:jc w:val="both"/>
        <w:rPr>
          <w:szCs w:val="24"/>
        </w:rPr>
      </w:pPr>
      <w:r w:rsidRPr="00483AEE">
        <w:rPr>
          <w:szCs w:val="24"/>
        </w:rPr>
        <w:t xml:space="preserve">Trujillo, L. y Villafañe, S. (2011). Dinámica distributiva y políticas públicas: dos décadas de contrastes en la argentina contemporánea, en: </w:t>
      </w:r>
      <w:proofErr w:type="spellStart"/>
      <w:r w:rsidRPr="00483AEE">
        <w:rPr>
          <w:szCs w:val="24"/>
        </w:rPr>
        <w:t>Novick</w:t>
      </w:r>
      <w:proofErr w:type="spellEnd"/>
      <w:r w:rsidRPr="00483AEE">
        <w:rPr>
          <w:szCs w:val="24"/>
        </w:rPr>
        <w:t xml:space="preserve">, M. y Villafañe, </w:t>
      </w:r>
      <w:r w:rsidRPr="00483AEE">
        <w:rPr>
          <w:szCs w:val="24"/>
        </w:rPr>
        <w:lastRenderedPageBreak/>
        <w:t>S. (</w:t>
      </w:r>
      <w:proofErr w:type="spellStart"/>
      <w:r w:rsidRPr="00483AEE">
        <w:rPr>
          <w:szCs w:val="24"/>
        </w:rPr>
        <w:t>comps</w:t>
      </w:r>
      <w:proofErr w:type="spellEnd"/>
      <w:r w:rsidRPr="00483AEE">
        <w:rPr>
          <w:szCs w:val="24"/>
        </w:rPr>
        <w:t xml:space="preserve">.) </w:t>
      </w:r>
      <w:r w:rsidRPr="00483AEE">
        <w:rPr>
          <w:i/>
          <w:szCs w:val="24"/>
        </w:rPr>
        <w:t>Distribución del ingreso. Enfoques y políticas públicas desde el Sur</w:t>
      </w:r>
      <w:r w:rsidRPr="00483AEE">
        <w:rPr>
          <w:szCs w:val="24"/>
        </w:rPr>
        <w:t>, Buenos Aires, MTEYSS-PNUD.</w:t>
      </w:r>
    </w:p>
    <w:p w:rsidR="00655C2C" w:rsidRPr="00483AEE" w:rsidRDefault="00655C2C" w:rsidP="00483AEE">
      <w:pPr>
        <w:spacing w:after="0" w:line="360" w:lineRule="auto"/>
        <w:ind w:left="284" w:hanging="284"/>
        <w:jc w:val="both"/>
        <w:rPr>
          <w:szCs w:val="24"/>
          <w:lang w:val="en-US" w:eastAsia="es-AR"/>
        </w:rPr>
      </w:pPr>
      <w:r w:rsidRPr="00483AEE">
        <w:rPr>
          <w:szCs w:val="24"/>
          <w:lang w:eastAsia="es-AR"/>
        </w:rPr>
        <w:t xml:space="preserve">Villanueva, J. (1972). “El origen de la industrialización argentina”. </w:t>
      </w:r>
      <w:proofErr w:type="spellStart"/>
      <w:r w:rsidRPr="00483AEE">
        <w:rPr>
          <w:szCs w:val="24"/>
          <w:lang w:val="en-US" w:eastAsia="es-AR"/>
        </w:rPr>
        <w:t>En</w:t>
      </w:r>
      <w:proofErr w:type="spellEnd"/>
      <w:r w:rsidRPr="00483AEE">
        <w:rPr>
          <w:szCs w:val="24"/>
          <w:lang w:val="en-US" w:eastAsia="es-AR"/>
        </w:rPr>
        <w:t xml:space="preserve"> </w:t>
      </w:r>
      <w:proofErr w:type="spellStart"/>
      <w:r w:rsidRPr="00483AEE">
        <w:rPr>
          <w:i/>
          <w:iCs/>
          <w:szCs w:val="24"/>
          <w:lang w:val="en-US" w:eastAsia="es-AR"/>
        </w:rPr>
        <w:t>Desarrollo</w:t>
      </w:r>
      <w:proofErr w:type="spellEnd"/>
      <w:r w:rsidRPr="00483AEE">
        <w:rPr>
          <w:i/>
          <w:iCs/>
          <w:szCs w:val="24"/>
          <w:lang w:val="en-US" w:eastAsia="es-AR"/>
        </w:rPr>
        <w:t xml:space="preserve"> </w:t>
      </w:r>
      <w:proofErr w:type="spellStart"/>
      <w:r w:rsidRPr="00483AEE">
        <w:rPr>
          <w:i/>
          <w:iCs/>
          <w:szCs w:val="24"/>
          <w:lang w:val="en-US" w:eastAsia="es-AR"/>
        </w:rPr>
        <w:t>Económico</w:t>
      </w:r>
      <w:proofErr w:type="spellEnd"/>
      <w:r w:rsidRPr="00483AEE">
        <w:rPr>
          <w:szCs w:val="24"/>
          <w:lang w:val="en-US" w:eastAsia="es-AR"/>
        </w:rPr>
        <w:t>, 12 (47).</w:t>
      </w:r>
    </w:p>
    <w:p w:rsidR="00655C2C" w:rsidRPr="00483AEE" w:rsidRDefault="00655C2C" w:rsidP="00483AEE">
      <w:pPr>
        <w:spacing w:after="0" w:line="360" w:lineRule="auto"/>
        <w:ind w:left="284" w:hanging="284"/>
        <w:jc w:val="both"/>
        <w:rPr>
          <w:szCs w:val="24"/>
          <w:lang w:val="en-US"/>
        </w:rPr>
      </w:pPr>
      <w:r w:rsidRPr="00483AEE">
        <w:rPr>
          <w:szCs w:val="24"/>
          <w:lang w:val="en-US"/>
        </w:rPr>
        <w:t xml:space="preserve">Williamson, J. (1989), “What Washington Means by Policy Reform?”, </w:t>
      </w:r>
      <w:proofErr w:type="spellStart"/>
      <w:r w:rsidRPr="00483AEE">
        <w:rPr>
          <w:szCs w:val="24"/>
          <w:lang w:val="en-US"/>
        </w:rPr>
        <w:t>en</w:t>
      </w:r>
      <w:proofErr w:type="spellEnd"/>
      <w:r w:rsidRPr="00483AEE">
        <w:rPr>
          <w:szCs w:val="24"/>
          <w:lang w:val="en-US"/>
        </w:rPr>
        <w:t xml:space="preserve"> Williamson, J. (comp.), Latin America Adjustment. How Much has </w:t>
      </w:r>
      <w:proofErr w:type="gramStart"/>
      <w:r w:rsidRPr="00483AEE">
        <w:rPr>
          <w:szCs w:val="24"/>
          <w:lang w:val="en-US"/>
        </w:rPr>
        <w:t>Happened?,</w:t>
      </w:r>
      <w:proofErr w:type="gramEnd"/>
      <w:r w:rsidRPr="00483AEE">
        <w:rPr>
          <w:szCs w:val="24"/>
          <w:lang w:val="en-US"/>
        </w:rPr>
        <w:t xml:space="preserve"> Washington: Institute for International Economics.</w:t>
      </w:r>
    </w:p>
    <w:p w:rsidR="00CB7B49" w:rsidRPr="00483AEE" w:rsidRDefault="00655C2C" w:rsidP="00483AEE">
      <w:pPr>
        <w:spacing w:after="0" w:line="360" w:lineRule="auto"/>
        <w:ind w:left="284" w:hanging="284"/>
        <w:jc w:val="both"/>
        <w:rPr>
          <w:szCs w:val="24"/>
          <w:lang w:val="en-US"/>
        </w:rPr>
      </w:pPr>
      <w:r w:rsidRPr="00483AEE">
        <w:rPr>
          <w:szCs w:val="24"/>
          <w:lang w:val="en-US"/>
        </w:rPr>
        <w:t xml:space="preserve">Williamson, J. (1993), “Democracy and the Washington Consensus”, World Development, vol. 21, no.8, </w:t>
      </w:r>
      <w:r w:rsidR="00F85996" w:rsidRPr="00483AEE">
        <w:rPr>
          <w:szCs w:val="24"/>
          <w:lang w:val="en-US"/>
        </w:rPr>
        <w:t>pp.</w:t>
      </w:r>
      <w:r w:rsidRPr="00483AEE">
        <w:rPr>
          <w:szCs w:val="24"/>
          <w:lang w:val="en-US"/>
        </w:rPr>
        <w:t xml:space="preserve"> 1329</w:t>
      </w:r>
      <w:r w:rsidR="00F85996" w:rsidRPr="00483AEE">
        <w:rPr>
          <w:szCs w:val="24"/>
          <w:lang w:val="en-US"/>
        </w:rPr>
        <w:t>-</w:t>
      </w:r>
      <w:r w:rsidRPr="00483AEE">
        <w:rPr>
          <w:szCs w:val="24"/>
          <w:lang w:val="en-US"/>
        </w:rPr>
        <w:t>1336.</w:t>
      </w:r>
    </w:p>
    <w:sectPr w:rsidR="00CB7B49" w:rsidRPr="00483AEE" w:rsidSect="003C62C5">
      <w:footerReference w:type="default" r:id="rId21"/>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05A" w:rsidRDefault="00E3105A" w:rsidP="004D7425">
      <w:pPr>
        <w:spacing w:after="0" w:line="240" w:lineRule="auto"/>
      </w:pPr>
      <w:r>
        <w:separator/>
      </w:r>
    </w:p>
  </w:endnote>
  <w:endnote w:type="continuationSeparator" w:id="0">
    <w:p w:rsidR="00E3105A" w:rsidRDefault="00E3105A" w:rsidP="004D7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udyOlSt BT">
    <w:altName w:val="Cambria"/>
    <w:panose1 w:val="00000000000000000000"/>
    <w:charset w:val="00"/>
    <w:family w:val="roman"/>
    <w:notTrueType/>
    <w:pitch w:val="default"/>
    <w:sig w:usb0="00000003" w:usb1="00000000" w:usb2="00000000" w:usb3="00000000" w:csb0="00000001" w:csb1="00000000"/>
  </w:font>
  <w:font w:name="ChaparralPro-Regula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9DC" w:rsidRPr="00483AEE" w:rsidRDefault="00C739DC">
    <w:pPr>
      <w:pStyle w:val="Piedepgina"/>
      <w:jc w:val="center"/>
    </w:pPr>
    <w:r w:rsidRPr="00483AEE">
      <w:fldChar w:fldCharType="begin"/>
    </w:r>
    <w:r w:rsidRPr="00483AEE">
      <w:instrText>PAGE   \* MERGEFORMAT</w:instrText>
    </w:r>
    <w:r w:rsidRPr="00483AEE">
      <w:fldChar w:fldCharType="separate"/>
    </w:r>
    <w:r w:rsidRPr="00483AEE">
      <w:rPr>
        <w:noProof/>
        <w:lang w:val="es-ES"/>
      </w:rPr>
      <w:t>38</w:t>
    </w:r>
    <w:r w:rsidRPr="00483AEE">
      <w:fldChar w:fldCharType="end"/>
    </w:r>
  </w:p>
  <w:p w:rsidR="00C739DC" w:rsidRPr="00483AEE" w:rsidRDefault="00C739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05A" w:rsidRDefault="00E3105A" w:rsidP="004D7425">
      <w:pPr>
        <w:spacing w:after="0" w:line="240" w:lineRule="auto"/>
      </w:pPr>
      <w:r>
        <w:separator/>
      </w:r>
    </w:p>
  </w:footnote>
  <w:footnote w:type="continuationSeparator" w:id="0">
    <w:p w:rsidR="00E3105A" w:rsidRDefault="00E3105A" w:rsidP="004D7425">
      <w:pPr>
        <w:spacing w:after="0" w:line="240" w:lineRule="auto"/>
      </w:pPr>
      <w:r>
        <w:continuationSeparator/>
      </w:r>
    </w:p>
  </w:footnote>
  <w:footnote w:id="1">
    <w:p w:rsidR="00C739DC" w:rsidRPr="00483AEE" w:rsidRDefault="00C739DC" w:rsidP="001F60E6">
      <w:pPr>
        <w:pStyle w:val="Textonotapie"/>
        <w:spacing w:after="120"/>
        <w:jc w:val="both"/>
        <w:rPr>
          <w:lang w:val="es-ES"/>
        </w:rPr>
      </w:pPr>
      <w:r w:rsidRPr="00483AEE">
        <w:rPr>
          <w:rStyle w:val="Refdenotaalpie"/>
        </w:rPr>
        <w:sym w:font="Symbol" w:char="F02A"/>
      </w:r>
      <w:r w:rsidRPr="00483AEE">
        <w:t xml:space="preserve"> Este trabajo se desarrolla en el marco de las investigaciones realizadas en el Observatorio de la Deuda Social Argentina (UCA) y en el Programa Cambio Estructural y Desigualdad Social (FSOC-UBA), bajo la dirección de Agustín Salvia. En las mismas se busca evaluar los cambios experimentados en la desigualdad en clave de las transformaciones ocurridas en la estructura socioeconómica.</w:t>
      </w:r>
    </w:p>
  </w:footnote>
  <w:footnote w:id="2">
    <w:p w:rsidR="00C739DC" w:rsidRPr="00483AEE" w:rsidRDefault="00C739DC" w:rsidP="00174333">
      <w:pPr>
        <w:pStyle w:val="Textonotapie"/>
        <w:spacing w:after="60"/>
        <w:jc w:val="both"/>
      </w:pPr>
      <w:r w:rsidRPr="00483AEE">
        <w:rPr>
          <w:rStyle w:val="Refdenotaalpie"/>
        </w:rPr>
        <w:footnoteRef/>
      </w:r>
      <w:r w:rsidRPr="00483AEE">
        <w:t xml:space="preserve"> Tal como sabemos, la medición de los ingresos a través de las encuestas de hogares no sólo está afectada por una </w:t>
      </w:r>
      <w:proofErr w:type="spellStart"/>
      <w:r w:rsidRPr="00483AEE">
        <w:t>subdeclaración</w:t>
      </w:r>
      <w:proofErr w:type="spellEnd"/>
      <w:r w:rsidRPr="00483AEE">
        <w:t xml:space="preserve"> sesgada de ingresos (Salvia y </w:t>
      </w:r>
      <w:proofErr w:type="spellStart"/>
      <w:r w:rsidRPr="00483AEE">
        <w:t>Donza</w:t>
      </w:r>
      <w:proofErr w:type="spellEnd"/>
      <w:r w:rsidRPr="00483AEE">
        <w:t xml:space="preserve">, 1999; Salvia, 2012; </w:t>
      </w:r>
      <w:proofErr w:type="spellStart"/>
      <w:r w:rsidRPr="00483AEE">
        <w:t>Donza</w:t>
      </w:r>
      <w:proofErr w:type="spellEnd"/>
      <w:r w:rsidRPr="00483AEE">
        <w:t>, 2013), sino también por un truncamiento en la representación muestral del vértice superior de la pirámide social (Cortés y Rubalcava, 1991; Cortés, 2000).</w:t>
      </w:r>
    </w:p>
  </w:footnote>
  <w:footnote w:id="3">
    <w:p w:rsidR="00153819" w:rsidRPr="00483AEE" w:rsidRDefault="00153819" w:rsidP="00153819">
      <w:pPr>
        <w:pStyle w:val="Textonotapie"/>
        <w:spacing w:after="120"/>
        <w:jc w:val="both"/>
      </w:pPr>
      <w:r w:rsidRPr="00483AEE">
        <w:rPr>
          <w:rStyle w:val="Refdenotaalpie"/>
        </w:rPr>
        <w:footnoteRef/>
      </w:r>
      <w:r w:rsidRPr="00483AEE">
        <w:t xml:space="preserve"> Durante el periodo comprendido entre mediados del decenio de los setenta y mediados de los años 2000, el aumento de la desigualdad en la Argentina fue significativamente mayor que el aumento de la desigualdad en la mayoría de los demás países del mundo (Gasparini, Gutiérrez y </w:t>
      </w:r>
      <w:proofErr w:type="spellStart"/>
      <w:r w:rsidRPr="00483AEE">
        <w:t>Tornarolli</w:t>
      </w:r>
      <w:proofErr w:type="spellEnd"/>
      <w:r w:rsidRPr="00483AEE">
        <w:t>, 2007).</w:t>
      </w:r>
    </w:p>
  </w:footnote>
  <w:footnote w:id="4">
    <w:p w:rsidR="00C739DC" w:rsidRPr="00483AEE" w:rsidRDefault="00C739DC" w:rsidP="00174333">
      <w:pPr>
        <w:pStyle w:val="Textonotapie"/>
        <w:spacing w:after="60"/>
        <w:jc w:val="both"/>
      </w:pPr>
      <w:r w:rsidRPr="00483AEE">
        <w:rPr>
          <w:rStyle w:val="Refdenotaalpie"/>
        </w:rPr>
        <w:footnoteRef/>
      </w:r>
      <w:r w:rsidRPr="00483AEE">
        <w:t xml:space="preserve"> La “restricción externa” alude a un rasgo básico de las estructuras productivas desequilibradas (</w:t>
      </w:r>
      <w:proofErr w:type="spellStart"/>
      <w:r w:rsidRPr="00483AEE">
        <w:t>Diamand</w:t>
      </w:r>
      <w:proofErr w:type="spellEnd"/>
      <w:r w:rsidRPr="00483AEE">
        <w:t>, 1972) o modelos de crecimiento heterogéneos (</w:t>
      </w:r>
      <w:proofErr w:type="spellStart"/>
      <w:r w:rsidRPr="00483AEE">
        <w:t>Prebisch</w:t>
      </w:r>
      <w:proofErr w:type="spellEnd"/>
      <w:r w:rsidRPr="00483AEE">
        <w:t>, 1970; Pinto, 1976; PREALC, 1978). La demanda de divisas para costear importaciones de insumos se vuelve creciente a medida que la industrialización avanza, mientras que el sector encargado de proveer dichas divisas –en el caso argentino, el sector agropecuario– presenta por sus propias características y dependencia externa una capacidad inelástica de expansión. Esto induce recurrentes “cuellos de botella”, que impone un carácter cíclico e inestable al crecimiento y al funcionamiento macroeconómico, lo cual agita la conflictividad social y la lucha distributiva entre los principales agentes económicos.</w:t>
      </w:r>
    </w:p>
  </w:footnote>
  <w:footnote w:id="5">
    <w:p w:rsidR="00C739DC" w:rsidRPr="00483AEE" w:rsidRDefault="00C739DC" w:rsidP="00174333">
      <w:pPr>
        <w:pStyle w:val="Textonotapie"/>
        <w:spacing w:after="60"/>
        <w:jc w:val="both"/>
      </w:pPr>
      <w:r w:rsidRPr="00483AEE">
        <w:rPr>
          <w:rStyle w:val="Refdenotaalpie"/>
        </w:rPr>
        <w:footnoteRef/>
      </w:r>
      <w:r w:rsidRPr="00483AEE">
        <w:t xml:space="preserve"> En junio de 1975, Estela Martínez de Perón lanzó un programa de shock que generó gran conmoción social y que se conoció como “</w:t>
      </w:r>
      <w:proofErr w:type="spellStart"/>
      <w:r w:rsidRPr="00483AEE">
        <w:t>Rodrigazo</w:t>
      </w:r>
      <w:proofErr w:type="spellEnd"/>
      <w:r w:rsidRPr="00483AEE">
        <w:t>” (el Ministro de Economía responsable del mismo se llamaba Celestino Rodrigo). Este programa impuso una fuerte devaluación, una liberación de precios y tarifas y un aumento salarial por debajo del incremento del resto de los precios (</w:t>
      </w:r>
      <w:proofErr w:type="spellStart"/>
      <w:r w:rsidRPr="00483AEE">
        <w:t>Gerchunoff</w:t>
      </w:r>
      <w:proofErr w:type="spellEnd"/>
      <w:r w:rsidRPr="00483AEE">
        <w:t xml:space="preserve"> y Llach, 2008). Se trataba de ajuste tradicional de balance de pagos que fracasó principalmente por la oposición obrera y sindical, en un contexto internacional complicado para la economía argentina. </w:t>
      </w:r>
    </w:p>
  </w:footnote>
  <w:footnote w:id="6">
    <w:p w:rsidR="00C739DC" w:rsidRPr="00483AEE" w:rsidRDefault="00C739DC" w:rsidP="00174333">
      <w:pPr>
        <w:pStyle w:val="Textonotapie"/>
        <w:spacing w:after="60"/>
        <w:jc w:val="both"/>
      </w:pPr>
      <w:r w:rsidRPr="00483AEE">
        <w:rPr>
          <w:rStyle w:val="Refdenotaalpie"/>
        </w:rPr>
        <w:footnoteRef/>
      </w:r>
      <w:r w:rsidRPr="00483AEE">
        <w:t xml:space="preserve"> Para hacer converger los precios internos con los externos, se aplicó un esquema pautado de devaluaciones que compensarían la inflación interna. Pero, dado que la inflación fue mayor que lo pronosticado, el ritmo devaluatorio fue insuficiente, y el resultado acabó por ser una importante sobrevaluación cambiaria (Basualdo, 2010). </w:t>
      </w:r>
    </w:p>
  </w:footnote>
  <w:footnote w:id="7">
    <w:p w:rsidR="00C739DC" w:rsidRPr="00483AEE" w:rsidRDefault="00C739DC" w:rsidP="00174333">
      <w:pPr>
        <w:pStyle w:val="Textonotapie"/>
        <w:spacing w:after="60"/>
        <w:jc w:val="both"/>
      </w:pPr>
      <w:r w:rsidRPr="00483AEE">
        <w:rPr>
          <w:rStyle w:val="Refdenotaalpie"/>
        </w:rPr>
        <w:footnoteRef/>
      </w:r>
      <w:r w:rsidRPr="00483AEE">
        <w:t xml:space="preserve"> El incremento de los pasivos en divisas implicó que la dificultad externa del país se desplazara desde la cuenta corriente del balance de pagos hacia la cuenta capital. A partir de entonces, ya no fue posible corregir la restricción externa a través de una devaluación. El problema de la economía argentina –y de la región- a partir de fines de los setenta, fue la insuficiente capacidad de generar las divisas necesarias para costear el pago de sus compromisos externos. Esta falta de divisas constituyó una fuente adicional de endeudamiento, lo que llevó a algunos autores a hablar de un nuevo tipo de ciclo: el </w:t>
      </w:r>
      <w:proofErr w:type="spellStart"/>
      <w:r w:rsidRPr="00483AEE">
        <w:rPr>
          <w:i/>
        </w:rPr>
        <w:t>go</w:t>
      </w:r>
      <w:proofErr w:type="spellEnd"/>
      <w:r w:rsidRPr="00483AEE">
        <w:rPr>
          <w:i/>
        </w:rPr>
        <w:t xml:space="preserve"> and </w:t>
      </w:r>
      <w:proofErr w:type="spellStart"/>
      <w:r w:rsidRPr="00483AEE">
        <w:rPr>
          <w:i/>
        </w:rPr>
        <w:t>crush</w:t>
      </w:r>
      <w:proofErr w:type="spellEnd"/>
      <w:r w:rsidRPr="00483AEE">
        <w:t xml:space="preserve"> (</w:t>
      </w:r>
      <w:proofErr w:type="spellStart"/>
      <w:r w:rsidRPr="00483AEE">
        <w:t>Schvarzer</w:t>
      </w:r>
      <w:proofErr w:type="spellEnd"/>
      <w:r w:rsidRPr="00483AEE">
        <w:t xml:space="preserve"> y </w:t>
      </w:r>
      <w:proofErr w:type="spellStart"/>
      <w:r w:rsidRPr="00483AEE">
        <w:t>Tavonanska</w:t>
      </w:r>
      <w:proofErr w:type="spellEnd"/>
      <w:r w:rsidRPr="00483AEE">
        <w:t>, 2008).</w:t>
      </w:r>
    </w:p>
  </w:footnote>
  <w:footnote w:id="8">
    <w:p w:rsidR="00C739DC" w:rsidRPr="00483AEE" w:rsidRDefault="00C739DC" w:rsidP="00174333">
      <w:pPr>
        <w:pStyle w:val="Textonotapie"/>
        <w:spacing w:after="60"/>
        <w:jc w:val="both"/>
      </w:pPr>
      <w:r w:rsidRPr="00483AEE">
        <w:rPr>
          <w:rStyle w:val="Refdenotaalpie"/>
        </w:rPr>
        <w:footnoteRef/>
      </w:r>
      <w:r w:rsidRPr="00483AEE">
        <w:t xml:space="preserve"> En la estructura del déficit fiscal –que era responsable no menor de la inflación- jugaban un papel destacado los subsidios que el gobierno otorgaba al capital concentrado local –los “capitanes de la industria”- en materia de regímenes de promoción y exenciones impositivas (Ortiz y </w:t>
      </w:r>
      <w:proofErr w:type="spellStart"/>
      <w:r w:rsidRPr="00483AEE">
        <w:t>Schorr</w:t>
      </w:r>
      <w:proofErr w:type="spellEnd"/>
      <w:r w:rsidRPr="00483AEE">
        <w:t xml:space="preserve">, 2006). </w:t>
      </w:r>
    </w:p>
  </w:footnote>
  <w:footnote w:id="9">
    <w:p w:rsidR="00C739DC" w:rsidRPr="00483AEE" w:rsidRDefault="00C739DC" w:rsidP="00174333">
      <w:pPr>
        <w:pStyle w:val="Textonotapie"/>
        <w:spacing w:after="60"/>
        <w:jc w:val="both"/>
      </w:pPr>
      <w:r w:rsidRPr="00483AEE">
        <w:rPr>
          <w:rStyle w:val="Refdenotaalpie"/>
        </w:rPr>
        <w:footnoteRef/>
      </w:r>
      <w:r w:rsidRPr="00483AEE">
        <w:t xml:space="preserve"> En 1987 y 1988 el gobierno radical llevó adelante las primeras privatizaciones de una aerolínea estatal (Austral), del transporte aéreo interprovincial, la telefonía celular y la transmisión de datos (</w:t>
      </w:r>
      <w:proofErr w:type="spellStart"/>
      <w:r w:rsidRPr="00483AEE">
        <w:t>Cantamutto</w:t>
      </w:r>
      <w:proofErr w:type="spellEnd"/>
      <w:r w:rsidRPr="00483AEE">
        <w:t xml:space="preserve"> y </w:t>
      </w:r>
      <w:proofErr w:type="spellStart"/>
      <w:r w:rsidRPr="00483AEE">
        <w:t>Wainer</w:t>
      </w:r>
      <w:proofErr w:type="spellEnd"/>
      <w:r w:rsidRPr="00483AEE">
        <w:t>, 2013: 25).</w:t>
      </w:r>
    </w:p>
  </w:footnote>
  <w:footnote w:id="10">
    <w:p w:rsidR="00C739DC" w:rsidRPr="00483AEE" w:rsidRDefault="00C739DC" w:rsidP="00174333">
      <w:pPr>
        <w:pStyle w:val="Textonotapie"/>
        <w:spacing w:after="60"/>
        <w:jc w:val="both"/>
      </w:pPr>
      <w:r w:rsidRPr="00483AEE">
        <w:rPr>
          <w:rStyle w:val="Refdenotaalpie"/>
        </w:rPr>
        <w:footnoteRef/>
      </w:r>
      <w:r w:rsidRPr="00483AEE">
        <w:t xml:space="preserve"> El llamado Consenso de Washington constituyen una serie de “recomendaciones” de peso dirigidas a los países en desarrollo –según la perspectiva neoliberal dominante en ese momento en los organismos internacionales de crédito, funcionarios del gobierno de </w:t>
      </w:r>
      <w:proofErr w:type="gramStart"/>
      <w:r w:rsidRPr="00483AEE">
        <w:t>EEUU</w:t>
      </w:r>
      <w:proofErr w:type="gramEnd"/>
      <w:r w:rsidRPr="00483AEE">
        <w:t xml:space="preserve"> y expertos– con el objetivo de poner fin a las trabas al crecimiento impuestas por las crisis fiscales y los problemas en el sector externo. Para un más detallado análisis de las propuestas explicitadas por en el Consenso de Washington, así como de los alcances y contenidos de </w:t>
      </w:r>
      <w:r w:rsidR="00153819" w:rsidRPr="00483AEE">
        <w:t>estas</w:t>
      </w:r>
      <w:r w:rsidRPr="00483AEE">
        <w:t xml:space="preserve">, véase Williamson (1989, 1993). Ver también una referencia al mismo en el </w:t>
      </w:r>
      <w:r w:rsidRPr="00483AEE">
        <w:rPr>
          <w:highlight w:val="yellow"/>
        </w:rPr>
        <w:t>capítulo 1</w:t>
      </w:r>
      <w:r w:rsidRPr="00483AEE">
        <w:t xml:space="preserve"> de este libro.</w:t>
      </w:r>
    </w:p>
  </w:footnote>
  <w:footnote w:id="11">
    <w:p w:rsidR="00C739DC" w:rsidRPr="00483AEE" w:rsidRDefault="00C739DC" w:rsidP="00174333">
      <w:pPr>
        <w:pStyle w:val="Textonotapie"/>
        <w:spacing w:after="60"/>
        <w:jc w:val="both"/>
      </w:pPr>
      <w:r w:rsidRPr="00483AEE">
        <w:rPr>
          <w:rStyle w:val="Refdenotaalpie"/>
        </w:rPr>
        <w:footnoteRef/>
      </w:r>
      <w:r w:rsidRPr="00483AEE">
        <w:t xml:space="preserve"> Este paquete de reformas estuvo regulado por la Ley de Emergencia Económica, sancionada al mismo tiempo que la Ley de Reforma del Estado. El arancel promedio se redujo de 26,5% a 9,7% en abril de 1991. Se eliminaron derechos específicos y restricciones cuantitativas sobre las importaciones. </w:t>
      </w:r>
    </w:p>
  </w:footnote>
  <w:footnote w:id="12">
    <w:p w:rsidR="00C739DC" w:rsidRPr="00483AEE" w:rsidRDefault="00C739DC" w:rsidP="00174333">
      <w:pPr>
        <w:pStyle w:val="Textonotapie"/>
        <w:spacing w:after="60"/>
        <w:jc w:val="both"/>
      </w:pPr>
      <w:r w:rsidRPr="00483AEE">
        <w:rPr>
          <w:rStyle w:val="Refdenotaalpie"/>
        </w:rPr>
        <w:footnoteRef/>
      </w:r>
      <w:r w:rsidRPr="00483AEE">
        <w:rPr>
          <w:rStyle w:val="Refdenotaalpie"/>
        </w:rPr>
        <w:t xml:space="preserve"> </w:t>
      </w:r>
      <w:r w:rsidRPr="00483AEE">
        <w:t>En 2001, los bonos argentinos representaron la cuarta parte del índice de J.P. Morgan para los bonos de mercados emergentes (</w:t>
      </w:r>
      <w:proofErr w:type="spellStart"/>
      <w:r w:rsidRPr="00483AEE">
        <w:t>Fanelli</w:t>
      </w:r>
      <w:proofErr w:type="spellEnd"/>
      <w:r w:rsidRPr="00483AEE">
        <w:t>, 2004).</w:t>
      </w:r>
    </w:p>
  </w:footnote>
  <w:footnote w:id="13">
    <w:p w:rsidR="00C739DC" w:rsidRPr="00483AEE" w:rsidRDefault="00C739DC" w:rsidP="00174333">
      <w:pPr>
        <w:autoSpaceDE w:val="0"/>
        <w:autoSpaceDN w:val="0"/>
        <w:adjustRightInd w:val="0"/>
        <w:spacing w:after="60" w:line="240" w:lineRule="auto"/>
        <w:jc w:val="both"/>
        <w:rPr>
          <w:sz w:val="20"/>
        </w:rPr>
      </w:pPr>
      <w:r w:rsidRPr="00483AEE">
        <w:rPr>
          <w:rStyle w:val="Refdenotaalpie"/>
          <w:sz w:val="20"/>
        </w:rPr>
        <w:footnoteRef/>
      </w:r>
      <w:r w:rsidRPr="00483AEE">
        <w:rPr>
          <w:sz w:val="20"/>
        </w:rPr>
        <w:t xml:space="preserve"> De tal modo que el modelo “</w:t>
      </w:r>
      <w:r w:rsidR="00153819" w:rsidRPr="00483AEE">
        <w:rPr>
          <w:sz w:val="20"/>
        </w:rPr>
        <w:t>promercado</w:t>
      </w:r>
      <w:r w:rsidRPr="00483AEE">
        <w:rPr>
          <w:sz w:val="20"/>
        </w:rPr>
        <w:t>” dejó entrever una alta volatilidad como producto, en parte, de la incapacidad del esquema de la convertibilidad para compensar shocks externos mediante la flexibilidad nominal que otorgara a la política monetaria y cambiaria (</w:t>
      </w:r>
      <w:proofErr w:type="spellStart"/>
      <w:r w:rsidRPr="00483AEE">
        <w:rPr>
          <w:sz w:val="20"/>
        </w:rPr>
        <w:t>Damill</w:t>
      </w:r>
      <w:proofErr w:type="spellEnd"/>
      <w:r w:rsidRPr="00483AEE">
        <w:rPr>
          <w:sz w:val="20"/>
        </w:rPr>
        <w:t xml:space="preserve"> et al., 2014).</w:t>
      </w:r>
      <w:r w:rsidRPr="00483AEE">
        <w:rPr>
          <w:bCs/>
          <w:sz w:val="20"/>
        </w:rPr>
        <w:t xml:space="preserve">  </w:t>
      </w:r>
    </w:p>
  </w:footnote>
  <w:footnote w:id="14">
    <w:p w:rsidR="00C739DC" w:rsidRPr="00483AEE" w:rsidRDefault="00C739DC" w:rsidP="00174333">
      <w:pPr>
        <w:pStyle w:val="Textonotapie"/>
        <w:spacing w:after="60"/>
        <w:jc w:val="both"/>
      </w:pPr>
      <w:r w:rsidRPr="00483AEE">
        <w:rPr>
          <w:rStyle w:val="Refdenotaalpie"/>
        </w:rPr>
        <w:footnoteRef/>
      </w:r>
      <w:r w:rsidRPr="00483AEE">
        <w:t xml:space="preserve"> A partir de la Ley 25.561 de Emergencia Pública y Reforma del régimen cambiario (2002), el gobierno de Duhalde llevó adelante con el apoyo del Congreso la salida de la convertibilidad. Algunas interpretaciones subrayan que el capital extranjero que se había consolidado en el sector de servicios privatizados era partidario de avanzar hacia una </w:t>
      </w:r>
      <w:r w:rsidRPr="00483AEE">
        <w:rPr>
          <w:i/>
        </w:rPr>
        <w:t>dolarización</w:t>
      </w:r>
      <w:r w:rsidRPr="00483AEE">
        <w:t xml:space="preserve"> como salida a la crisis. En cambio, distintas fracciones del capital concentrado –con capacidad exportadora-, sectores industriales y el capital financiero local, eran partidarios de la salida </w:t>
      </w:r>
      <w:r w:rsidRPr="00483AEE">
        <w:rPr>
          <w:i/>
        </w:rPr>
        <w:t xml:space="preserve">devaluatoria </w:t>
      </w:r>
      <w:r w:rsidRPr="00483AEE">
        <w:t xml:space="preserve">(Basualdo, 2010; </w:t>
      </w:r>
      <w:proofErr w:type="spellStart"/>
      <w:r w:rsidRPr="00483AEE">
        <w:t>Cantamutto</w:t>
      </w:r>
      <w:proofErr w:type="spellEnd"/>
      <w:r w:rsidRPr="00483AEE">
        <w:t xml:space="preserve"> y </w:t>
      </w:r>
      <w:proofErr w:type="spellStart"/>
      <w:r w:rsidRPr="00483AEE">
        <w:t>Wainer</w:t>
      </w:r>
      <w:proofErr w:type="spellEnd"/>
      <w:r w:rsidRPr="00483AEE">
        <w:t>, 2013). Al mismo tiempo, una parte del movimiento obrero apoyaba esta última variante, la que consideraba que permitiría una fase expansiva en materia de empleo. De este modo se conformó un nuevo bloque de poder dando apoyo a la salida del modelo de convertibilidad.</w:t>
      </w:r>
    </w:p>
  </w:footnote>
  <w:footnote w:id="15">
    <w:p w:rsidR="00C739DC" w:rsidRPr="00483AEE" w:rsidRDefault="00C739DC" w:rsidP="00174333">
      <w:pPr>
        <w:pStyle w:val="Textonotapie"/>
        <w:spacing w:after="60"/>
        <w:jc w:val="both"/>
      </w:pPr>
      <w:r w:rsidRPr="00483AEE">
        <w:rPr>
          <w:rStyle w:val="Refdenotaalpie"/>
        </w:rPr>
        <w:footnoteRef/>
      </w:r>
      <w:r w:rsidRPr="00483AEE">
        <w:t xml:space="preserve"> </w:t>
      </w:r>
      <w:proofErr w:type="spellStart"/>
      <w:r w:rsidRPr="00483AEE">
        <w:t>Gaggero</w:t>
      </w:r>
      <w:proofErr w:type="spellEnd"/>
      <w:r w:rsidRPr="00483AEE">
        <w:t xml:space="preserve">, </w:t>
      </w:r>
      <w:proofErr w:type="spellStart"/>
      <w:r w:rsidRPr="00483AEE">
        <w:t>Schorr</w:t>
      </w:r>
      <w:proofErr w:type="spellEnd"/>
      <w:r w:rsidRPr="00483AEE">
        <w:t xml:space="preserve"> y </w:t>
      </w:r>
      <w:proofErr w:type="spellStart"/>
      <w:r w:rsidRPr="00483AEE">
        <w:t>Wainer</w:t>
      </w:r>
      <w:proofErr w:type="spellEnd"/>
      <w:r w:rsidRPr="00483AEE">
        <w:t xml:space="preserve"> (2014) indican que se habría pasado de una extranjerización “extensiva” durante los años noventa a una “en profundidad” durante la actual década. Esto es así porque mientras que la cúpula empresarial se </w:t>
      </w:r>
      <w:proofErr w:type="spellStart"/>
      <w:r w:rsidRPr="00483AEE">
        <w:t>transnacionalizó</w:t>
      </w:r>
      <w:proofErr w:type="spellEnd"/>
      <w:r w:rsidRPr="00483AEE">
        <w:t xml:space="preserve"> durante la década de políticas neoliberales, en la fase de políticas heterodoxas lo que ocurrió fue que aumentó su importancia relativa.</w:t>
      </w:r>
    </w:p>
  </w:footnote>
  <w:footnote w:id="16">
    <w:p w:rsidR="00C739DC" w:rsidRPr="00483AEE" w:rsidRDefault="00C739DC" w:rsidP="00174333">
      <w:pPr>
        <w:pStyle w:val="Textonotapie"/>
        <w:spacing w:after="60"/>
        <w:jc w:val="both"/>
      </w:pPr>
      <w:r w:rsidRPr="00483AEE">
        <w:rPr>
          <w:rStyle w:val="Refdenotaalpie"/>
        </w:rPr>
        <w:footnoteRef/>
      </w:r>
      <w:r w:rsidRPr="00483AEE">
        <w:t xml:space="preserve"> Uno de los principales rasgos macroeconómicos que habría diferenciado al ciclo surgido tras la devaluación fue el bajo peso que tuvo el endeudamiento externo como fuente de financiamiento, a diferencia de lo que había ocurrido en los años de reformas (</w:t>
      </w:r>
      <w:proofErr w:type="spellStart"/>
      <w:r w:rsidRPr="00483AEE">
        <w:t>Damill</w:t>
      </w:r>
      <w:proofErr w:type="spellEnd"/>
      <w:r w:rsidRPr="00483AEE">
        <w:t xml:space="preserve">, </w:t>
      </w:r>
      <w:proofErr w:type="spellStart"/>
      <w:r w:rsidRPr="00483AEE">
        <w:t>Frenkel</w:t>
      </w:r>
      <w:proofErr w:type="spellEnd"/>
      <w:r w:rsidRPr="00483AEE">
        <w:t xml:space="preserve"> y Rapetti, 2014). Asimismo, si bien no cambió estructuralmente el bloque de poder (aunque sí las relaciones de fuerzas entre distintos grupos), se alteró la capacidad del Estado de otorgar concesiones a la clase trabajadora y a los sectores empobrecidos, a diferencia de lo ocurrido en los años noventa, donde primaron estrategias de coerción sobre las de consenso (</w:t>
      </w:r>
      <w:proofErr w:type="spellStart"/>
      <w:r w:rsidRPr="00483AEE">
        <w:t>Piva</w:t>
      </w:r>
      <w:proofErr w:type="spellEnd"/>
      <w:r w:rsidRPr="00483AEE">
        <w:t>, 2015: 33).</w:t>
      </w:r>
    </w:p>
  </w:footnote>
  <w:footnote w:id="17">
    <w:p w:rsidR="00C739DC" w:rsidRPr="00483AEE" w:rsidRDefault="00C739DC" w:rsidP="00174333">
      <w:pPr>
        <w:spacing w:after="60" w:line="240" w:lineRule="auto"/>
        <w:jc w:val="both"/>
        <w:rPr>
          <w:sz w:val="20"/>
        </w:rPr>
      </w:pPr>
      <w:r w:rsidRPr="00483AEE">
        <w:rPr>
          <w:rStyle w:val="Refdenotaalpie"/>
          <w:sz w:val="20"/>
        </w:rPr>
        <w:footnoteRef/>
      </w:r>
      <w:r w:rsidRPr="00483AEE">
        <w:rPr>
          <w:sz w:val="20"/>
        </w:rPr>
        <w:t xml:space="preserve"> Dicha Carta Orgánica se había modificado a comienzos del gobierno de Menem para asegurar que éste dejara de financiar al Tesoro y, de este modo, el déficit de las cuentas públicas. Fue un “gesto” más para generar confianza acerca del nuevo orden macroeconómico que quería imponerse.  </w:t>
      </w:r>
    </w:p>
  </w:footnote>
  <w:footnote w:id="18">
    <w:p w:rsidR="00C739DC" w:rsidRPr="00483AEE" w:rsidRDefault="00C739DC" w:rsidP="00174333">
      <w:pPr>
        <w:spacing w:after="60" w:line="240" w:lineRule="auto"/>
        <w:jc w:val="both"/>
        <w:rPr>
          <w:sz w:val="20"/>
        </w:rPr>
      </w:pPr>
      <w:r w:rsidRPr="00483AEE">
        <w:rPr>
          <w:rStyle w:val="Refdenotaalpie"/>
          <w:sz w:val="20"/>
        </w:rPr>
        <w:footnoteRef/>
      </w:r>
      <w:r w:rsidRPr="00483AEE">
        <w:rPr>
          <w:rStyle w:val="Refdenotaalpie"/>
          <w:sz w:val="20"/>
        </w:rPr>
        <w:t xml:space="preserve"> </w:t>
      </w:r>
      <w:r w:rsidRPr="00483AEE">
        <w:rPr>
          <w:sz w:val="20"/>
        </w:rPr>
        <w:t xml:space="preserve">En junio de 2014 la Suprema Corte de los Estados Unidos decidió no considerar el recurso presentado por la Argentina apelando un fallo de primera instancia (dictado en 2012 y ratificado por la corte neoyorquina en 2013), el cual avaló el reclamo de los llamados “fondos buitre” y otros acreedores minoristas al pago de la deuda acumulada sobre los bonos argentinos en </w:t>
      </w:r>
      <w:r w:rsidRPr="00483AEE">
        <w:rPr>
          <w:i/>
          <w:sz w:val="20"/>
        </w:rPr>
        <w:t>default</w:t>
      </w:r>
      <w:r w:rsidRPr="00483AEE">
        <w:rPr>
          <w:sz w:val="20"/>
        </w:rPr>
        <w:t xml:space="preserve"> que no habían entrado en las reestructuraciones de 2005 y 2010 de la deuda. Con ello, quedaba firme el fallo inicial por el cual el país debía pagar al conjunto de los acreedores no menos de 15 mil millones de dólares. </w:t>
      </w:r>
    </w:p>
  </w:footnote>
  <w:footnote w:id="19">
    <w:p w:rsidR="00C739DC" w:rsidRPr="00483AEE" w:rsidRDefault="00C739DC" w:rsidP="00174333">
      <w:pPr>
        <w:pStyle w:val="Textonotapie"/>
        <w:spacing w:after="60"/>
        <w:jc w:val="both"/>
      </w:pPr>
      <w:r w:rsidRPr="00483AEE">
        <w:rPr>
          <w:rStyle w:val="Refdenotaalpie"/>
        </w:rPr>
        <w:footnoteRef/>
      </w:r>
      <w:r w:rsidRPr="00483AEE">
        <w:t xml:space="preserve"> Si bien existen posiciones divergentes en la literatura acerca de si hasta mediados de los cincuenta primó o no en la Argentina un modelo de mercado laboral de tipo </w:t>
      </w:r>
      <w:proofErr w:type="spellStart"/>
      <w:r w:rsidRPr="00483AEE">
        <w:t>lewisiano</w:t>
      </w:r>
      <w:proofErr w:type="spellEnd"/>
      <w:r w:rsidRPr="00483AEE">
        <w:t xml:space="preserve"> –es decir, de “oferta ilimitada de fuerza de trabajo”-, la absorción de fuerza de trabajo no apareció como un problema social relevante hasta los años cincuenta (Llach, 1977; Marshall, 1978). Sin embargo, desde entonces el sector industrial fue perdiendo dinamismo debido al pasaje hacia una fase más capital-intensiva. Esta situación se volvió más grave cuando en 1963 el desempleo en el Gran Buenos Aires llegó a 8,8% (Peralta Ramos, 1974). Desde entonces, el retorno del crecimiento económico y la generación de empleo en el sector terciario fue conduciendo a un esquema de plena ocupación (Llach, 1977).</w:t>
      </w:r>
    </w:p>
  </w:footnote>
  <w:footnote w:id="20">
    <w:p w:rsidR="00C739DC" w:rsidRPr="00483AEE" w:rsidRDefault="00C739DC" w:rsidP="00174333">
      <w:pPr>
        <w:pStyle w:val="Textonotapie"/>
        <w:spacing w:after="60"/>
        <w:jc w:val="both"/>
      </w:pPr>
      <w:r w:rsidRPr="00483AEE">
        <w:rPr>
          <w:rStyle w:val="Refdenotaalpie"/>
        </w:rPr>
        <w:footnoteRef/>
      </w:r>
      <w:r w:rsidRPr="00483AEE">
        <w:t xml:space="preserve"> Tal como describen </w:t>
      </w:r>
      <w:proofErr w:type="spellStart"/>
      <w:r w:rsidRPr="00483AEE">
        <w:t>Orsatti</w:t>
      </w:r>
      <w:proofErr w:type="spellEnd"/>
      <w:r w:rsidRPr="00483AEE">
        <w:t xml:space="preserve"> y Beccaria (1988), este comportamiento pudo deberse tanto a un proceso de desindustrialización que habría llevado a una mayor presencia de la pequeña producción como sector "refugio" de la oferta de mano de obra que no lograba acceder al sector formal de la economía, como por el impacto introducido por una estrategia de las grandes empresas de descentralización (o externalización) de actividades periféricas. </w:t>
      </w:r>
    </w:p>
  </w:footnote>
  <w:footnote w:id="21">
    <w:p w:rsidR="00C739DC" w:rsidRPr="00483AEE" w:rsidRDefault="00C739DC" w:rsidP="00174333">
      <w:pPr>
        <w:pStyle w:val="Textonotapie"/>
        <w:spacing w:after="60"/>
        <w:jc w:val="both"/>
      </w:pPr>
      <w:r w:rsidRPr="00483AEE">
        <w:rPr>
          <w:rStyle w:val="Refdenotaalpie"/>
        </w:rPr>
        <w:footnoteRef/>
      </w:r>
      <w:r w:rsidRPr="00483AEE">
        <w:t xml:space="preserve"> Esta descripción de la estructura económico-ocupacional abreva en la tradición conceptual de PREALC-OIT (1978) y del estructuralismo latinoamericano sobre la heterogeneidad estructural. Uno de los rasgos de la heterogeneidad estructural es la conformación de estratos de productividad, que aquí se agrupan en un sector dinámico/formal y en un sector microempresario o informal. Respecto de la construcción operacional de las categorías aquí utilizadas se remite a Salvia, Vera y Poy (2015) y Poy (2016); mientras que sus fundamentos teóricos pueden consultarse en Salvia (2012).</w:t>
      </w:r>
    </w:p>
  </w:footnote>
  <w:footnote w:id="22">
    <w:p w:rsidR="00C739DC" w:rsidRPr="00483AEE" w:rsidRDefault="00C739DC" w:rsidP="00174333">
      <w:pPr>
        <w:pStyle w:val="Textonotapie"/>
        <w:spacing w:after="60"/>
        <w:jc w:val="both"/>
      </w:pPr>
      <w:r w:rsidRPr="00483AEE">
        <w:rPr>
          <w:rStyle w:val="Refdenotaalpie"/>
        </w:rPr>
        <w:footnoteRef/>
      </w:r>
      <w:r w:rsidRPr="00483AEE">
        <w:t xml:space="preserve"> La literatura señala que durante los primeros años de los 80’ continuaron expandiéndose algunas actividades informales “prósperas” o </w:t>
      </w:r>
      <w:proofErr w:type="spellStart"/>
      <w:r w:rsidRPr="00483AEE">
        <w:rPr>
          <w:i/>
        </w:rPr>
        <w:t>satisficer</w:t>
      </w:r>
      <w:proofErr w:type="spellEnd"/>
      <w:r w:rsidRPr="00483AEE">
        <w:t xml:space="preserve">, en muchos casos establecidas por trabajadores asalariados despedidos de grandes empresas (Beccaria, Carpio y </w:t>
      </w:r>
      <w:proofErr w:type="spellStart"/>
      <w:r w:rsidRPr="00483AEE">
        <w:t>Orsatti</w:t>
      </w:r>
      <w:proofErr w:type="spellEnd"/>
      <w:r w:rsidRPr="00483AEE">
        <w:t>, 2000).</w:t>
      </w:r>
    </w:p>
  </w:footnote>
  <w:footnote w:id="23">
    <w:p w:rsidR="00C739DC" w:rsidRPr="00483AEE" w:rsidRDefault="00C739DC" w:rsidP="00174333">
      <w:pPr>
        <w:pStyle w:val="Textonotapie"/>
        <w:spacing w:after="60"/>
        <w:jc w:val="both"/>
      </w:pPr>
      <w:r w:rsidRPr="00483AEE">
        <w:rPr>
          <w:rStyle w:val="Refdenotaalpie"/>
        </w:rPr>
        <w:footnoteRef/>
      </w:r>
      <w:r w:rsidRPr="00483AEE">
        <w:t xml:space="preserve"> La Ley Nacional de Empleo (Ley 24.013) sancionada en 1991 habilitó la creación de nuevas modalidades de contratación, lo que modificó el esquema organizado a partir de la Ley de Contrato de Trabajo de 1974. Por otro lado, y de manera simultánea, se sancionó la Ley 24.028 que modificó el régimen de indemnizaciones y despidos. En 1995, se sancionaron dos leyes que permitieron flexibilizar aún más el empleo en las Pequeñas y Medianas Empresas (leyes 24.465 y 24.467), habilitando, entre otras cosas, las negociaciones colectivas por empresa y la instalación del período de prueba (</w:t>
      </w:r>
      <w:proofErr w:type="spellStart"/>
      <w:r w:rsidRPr="00483AEE">
        <w:t>Curcio</w:t>
      </w:r>
      <w:proofErr w:type="spellEnd"/>
      <w:r w:rsidRPr="00483AEE">
        <w:t>, 2012).</w:t>
      </w:r>
    </w:p>
  </w:footnote>
  <w:footnote w:id="24">
    <w:p w:rsidR="00C739DC" w:rsidRPr="00483AEE" w:rsidRDefault="00C739DC" w:rsidP="00174333">
      <w:pPr>
        <w:pStyle w:val="Textonotapie"/>
        <w:spacing w:after="60"/>
        <w:jc w:val="both"/>
      </w:pPr>
      <w:r w:rsidRPr="00483AEE">
        <w:rPr>
          <w:rStyle w:val="Refdenotaalpie"/>
        </w:rPr>
        <w:footnoteRef/>
      </w:r>
      <w:r w:rsidRPr="00483AEE">
        <w:t xml:space="preserve"> Entre otras medidas, durante esta fase se revitalizaron las negociaciones colectivas paritarias que habían perdido relevancia durante los años noventa (Palomino y Dalle, 2012). Al mismo tiempo, se pusieron en funcionamiento mecanismos de actualización del salario mínimo, vital y móvil, el cual había quedado desactualizado en la fase de reformas estructurales (</w:t>
      </w:r>
      <w:proofErr w:type="spellStart"/>
      <w:r w:rsidRPr="00483AEE">
        <w:t>Kostzer</w:t>
      </w:r>
      <w:proofErr w:type="spellEnd"/>
      <w:r w:rsidRPr="00483AEE">
        <w:t>, 2006).</w:t>
      </w:r>
    </w:p>
  </w:footnote>
  <w:footnote w:id="25">
    <w:p w:rsidR="00C739DC" w:rsidRPr="00483AEE" w:rsidRDefault="00C739DC" w:rsidP="00174333">
      <w:pPr>
        <w:pStyle w:val="Textonotapie"/>
        <w:spacing w:after="60"/>
        <w:jc w:val="both"/>
      </w:pPr>
      <w:r w:rsidRPr="00483AEE">
        <w:rPr>
          <w:rStyle w:val="Refdenotaalpie"/>
        </w:rPr>
        <w:footnoteRef/>
      </w:r>
      <w:r w:rsidRPr="00483AEE">
        <w:t xml:space="preserve"> En lo que sigue, se analizan específicamente las políticas sociales que intervienen de forma directa en la distribución del ingreso: el sistema de jubilaciones y pensiones, los seguros sociales, las transferencias directas, y otras prestaciones no contributivas. Este recorte, sin embargo, no supone que el resto de las políticas sociales no tienen un efecto económico (véase Cortés y Marshall, 1991).</w:t>
      </w:r>
    </w:p>
  </w:footnote>
  <w:footnote w:id="26">
    <w:p w:rsidR="00C739DC" w:rsidRPr="00483AEE" w:rsidRDefault="00C739DC" w:rsidP="00174333">
      <w:pPr>
        <w:spacing w:after="60" w:line="240" w:lineRule="auto"/>
        <w:jc w:val="both"/>
        <w:rPr>
          <w:sz w:val="20"/>
        </w:rPr>
      </w:pPr>
      <w:r w:rsidRPr="00483AEE">
        <w:rPr>
          <w:rStyle w:val="Refdenotaalpie"/>
          <w:sz w:val="20"/>
        </w:rPr>
        <w:footnoteRef/>
      </w:r>
      <w:r w:rsidRPr="00483AEE">
        <w:rPr>
          <w:sz w:val="20"/>
        </w:rPr>
        <w:t xml:space="preserve"> A principios de siglo XX los únicos trabajadores que contaban con un sistema de jubilaciones y pensiones eran los de la administración pública nacional (militares, maestros y administrativos). Entre 1943 y 1954 la cobertura previsional de los asalariados se multiplicó por diez y se homogeneizó el sistema de cotizaciones. La centralización de las cajas previsionales llegó en 1958 y su consolidación en 1968, cuando se creó el Sistema Nacional de Previsión Social (Arza, 2010; </w:t>
      </w:r>
      <w:proofErr w:type="spellStart"/>
      <w:r w:rsidRPr="00483AEE">
        <w:rPr>
          <w:sz w:val="20"/>
        </w:rPr>
        <w:t>Curcio</w:t>
      </w:r>
      <w:proofErr w:type="spellEnd"/>
      <w:r w:rsidRPr="00483AEE">
        <w:rPr>
          <w:sz w:val="20"/>
        </w:rPr>
        <w:t xml:space="preserve"> y Beccaria, 2013). </w:t>
      </w:r>
    </w:p>
  </w:footnote>
  <w:footnote w:id="27">
    <w:p w:rsidR="00C739DC" w:rsidRPr="00483AEE" w:rsidRDefault="00C739DC" w:rsidP="00174333">
      <w:pPr>
        <w:pStyle w:val="Textonotapie"/>
        <w:spacing w:after="60"/>
        <w:jc w:val="both"/>
      </w:pPr>
      <w:r w:rsidRPr="00483AEE">
        <w:rPr>
          <w:rStyle w:val="Refdenotaalpie"/>
        </w:rPr>
        <w:footnoteRef/>
      </w:r>
      <w:r w:rsidRPr="00483AEE">
        <w:t xml:space="preserve"> El sistema de asignaciones familiares tiene su primer antecedente en 1934, pero se consolida en 1957 con la extensión de beneficios y la creación de cajas compensadoras. Progresivamente, los trabajadores de distintas ramas fueron recibiendo este tipo de beneficio. En 1973, se extendió a los jubilados y pensionados. Hasta el año 1991, las Cajas de Subsidios Familiares tuvieron a su cargo la administración de estos beneficios (</w:t>
      </w:r>
      <w:proofErr w:type="spellStart"/>
      <w:r w:rsidRPr="00483AEE">
        <w:t>Hintze</w:t>
      </w:r>
      <w:proofErr w:type="spellEnd"/>
      <w:r w:rsidRPr="00483AEE">
        <w:t xml:space="preserve"> y Costa, 2013).</w:t>
      </w:r>
    </w:p>
  </w:footnote>
  <w:footnote w:id="28">
    <w:p w:rsidR="00C739DC" w:rsidRPr="00483AEE" w:rsidRDefault="00C739DC" w:rsidP="00174333">
      <w:pPr>
        <w:pStyle w:val="Textonotapie"/>
        <w:spacing w:after="60"/>
        <w:jc w:val="both"/>
      </w:pPr>
      <w:r w:rsidRPr="00483AEE">
        <w:rPr>
          <w:rStyle w:val="Refdenotaalpie"/>
        </w:rPr>
        <w:footnoteRef/>
      </w:r>
      <w:r w:rsidRPr="00483AEE">
        <w:t xml:space="preserve"> En 1980, el gobierno dictatorial eliminó las contribuciones patronales y las reemplazó por recursos públicos provistos por el Impuesto al Valor Agregado (IVA). Estas medidas, como señala Arza (2010) incrementaron el déficit primario del sistema previsional. Esta tendencia crítica se agudizó aun cuando el gobierno reestableció las contribuciones patronales en 1984. La crisis se profundizó debido a la inflación y a que las empresas postergaban el pago de contribuciones, que perdían su valor cuando llegaban a la administración. En 1986, finalmente, el Estado declaró la Emergencia Previsional, que estableció nuevos mecanismos de cálculo de los haberes jubilatorios reduciendo el valor de las jubilaciones medias y altas y homogeneizando la distribución (Arza, 2010).</w:t>
      </w:r>
    </w:p>
  </w:footnote>
  <w:footnote w:id="29">
    <w:p w:rsidR="00C739DC" w:rsidRPr="00483AEE" w:rsidRDefault="00C739DC" w:rsidP="00174333">
      <w:pPr>
        <w:pStyle w:val="Textonotapie"/>
        <w:spacing w:after="60"/>
        <w:jc w:val="both"/>
      </w:pPr>
      <w:r w:rsidRPr="00483AEE">
        <w:rPr>
          <w:rStyle w:val="Refdenotaalpie"/>
        </w:rPr>
        <w:footnoteRef/>
      </w:r>
      <w:r w:rsidRPr="00483AEE">
        <w:t xml:space="preserve"> La elaboración de una serie que permita conocer la cobertura previsional no es sencilla. Aquí se utilizaron los datos de la Encuesta Permanente de Hogares como es usual entre los especialistas (</w:t>
      </w:r>
      <w:proofErr w:type="spellStart"/>
      <w:r w:rsidRPr="00483AEE">
        <w:t>Rofman</w:t>
      </w:r>
      <w:proofErr w:type="spellEnd"/>
      <w:r w:rsidRPr="00483AEE">
        <w:t xml:space="preserve"> y </w:t>
      </w:r>
      <w:proofErr w:type="spellStart"/>
      <w:r w:rsidRPr="00483AEE">
        <w:t>Luchetti</w:t>
      </w:r>
      <w:proofErr w:type="spellEnd"/>
      <w:r w:rsidRPr="00483AEE">
        <w:t>, 2006). Sin embargo, en la medida que se utiliza la EPH correspondiente al Gran Buenos Aires para el período previo a 1992 (por ausencia de otros datos de largo plazo), su comparación con el gasto consolidado debe tomarse con recaudo y simplemente como indicativo de una tendencia.</w:t>
      </w:r>
    </w:p>
  </w:footnote>
  <w:footnote w:id="30">
    <w:p w:rsidR="00C739DC" w:rsidRPr="00483AEE" w:rsidRDefault="00C739DC" w:rsidP="00174333">
      <w:pPr>
        <w:pStyle w:val="Textonotapie"/>
        <w:spacing w:after="60"/>
        <w:jc w:val="both"/>
      </w:pPr>
      <w:r w:rsidRPr="00483AEE">
        <w:rPr>
          <w:rStyle w:val="Refdenotaalpie"/>
        </w:rPr>
        <w:footnoteRef/>
      </w:r>
      <w:r w:rsidRPr="00483AEE">
        <w:t xml:space="preserve"> En 1994 se sancionó la Ley de Reforma Previsional (ley 24.241), que dividió al sistema en dos partes dando origen al Sistema Integrado de Jubilaciones y Pensiones (</w:t>
      </w:r>
      <w:proofErr w:type="spellStart"/>
      <w:r w:rsidRPr="00483AEE">
        <w:t>Curcio</w:t>
      </w:r>
      <w:proofErr w:type="spellEnd"/>
      <w:r w:rsidRPr="00483AEE">
        <w:t xml:space="preserve"> y Beccaria, 2013). Por un lado, se conformó un sistema privado regido por las administradoras de fondos de jubilaciones y pensiones; </w:t>
      </w:r>
      <w:proofErr w:type="gramStart"/>
      <w:r w:rsidRPr="00483AEE">
        <w:t>y</w:t>
      </w:r>
      <w:proofErr w:type="gramEnd"/>
      <w:r w:rsidRPr="00483AEE">
        <w:t xml:space="preserve"> por otro lado, la Administración Nacional de la Seguridad Social (ANSES) administraba el sistema público de reparto. En paralelo, se extendió la edad de retiro, pasando de 55 a 60 años en las mujeres y de 60 a 65 años en los varones, a la vez que el requisito de contribución pasó de 20 a 30 años. De esta manera, quedó conformado un sistema de “dos pilares”: por un lado, un sistema estatal que abonaba la Prestación Básica Universal (PBU); y, por otro, dos regímenes alternativos: el de reparto, que abonaba la Prestación Adicional por Permanencia (PAP) y un régimen de capitalización individual que pagaba la Jubilación Ordinaria (JO) basada en la evolución de la capitalización individual. Este conjunto de cambios llevó a que la cantidad de beneficiarios se redujera casi 10% entre 1996 y 2002 (</w:t>
      </w:r>
      <w:proofErr w:type="spellStart"/>
      <w:r w:rsidRPr="00483AEE">
        <w:t>Danani</w:t>
      </w:r>
      <w:proofErr w:type="spellEnd"/>
      <w:r w:rsidRPr="00483AEE">
        <w:t xml:space="preserve"> y Beccaria, 2013: 114). </w:t>
      </w:r>
    </w:p>
  </w:footnote>
  <w:footnote w:id="31">
    <w:p w:rsidR="00C739DC" w:rsidRPr="00483AEE" w:rsidRDefault="00C739DC" w:rsidP="00174333">
      <w:pPr>
        <w:pStyle w:val="Textonotapie"/>
        <w:spacing w:after="60"/>
        <w:jc w:val="both"/>
      </w:pPr>
      <w:r w:rsidRPr="00483AEE">
        <w:rPr>
          <w:rStyle w:val="Refdenotaalpie"/>
        </w:rPr>
        <w:footnoteRef/>
      </w:r>
      <w:r w:rsidRPr="00483AEE">
        <w:t xml:space="preserve"> En 1993 se puso en marcha el primer programa de tipo </w:t>
      </w:r>
      <w:proofErr w:type="spellStart"/>
      <w:r w:rsidRPr="00483AEE">
        <w:rPr>
          <w:i/>
        </w:rPr>
        <w:t>workfare</w:t>
      </w:r>
      <w:proofErr w:type="spellEnd"/>
      <w:r w:rsidRPr="00483AEE">
        <w:t>, llamado “Programa intensivo de trabajo”, que generó unos 200.000 empleos (Cruces et al, 2008). Distintos programas del mismo estilo se suceden desde entonces. Fue a partir de 1996 que comienza el llamado Programa “Trabajar”, dirigido a jefes de hogar desocupados (</w:t>
      </w:r>
      <w:proofErr w:type="spellStart"/>
      <w:r w:rsidRPr="00483AEE">
        <w:t>Rofman</w:t>
      </w:r>
      <w:proofErr w:type="spellEnd"/>
      <w:r w:rsidRPr="00483AEE">
        <w:t xml:space="preserve"> y </w:t>
      </w:r>
      <w:proofErr w:type="spellStart"/>
      <w:r w:rsidRPr="00483AEE">
        <w:t>Oliveri</w:t>
      </w:r>
      <w:proofErr w:type="spellEnd"/>
      <w:r w:rsidRPr="00483AEE">
        <w:t xml:space="preserve">, 2012). Este programa tuvo sus continuaciones en el Programa “Trabajar II” (1997-1998) y “Trabajar III” (1998-2002), llegando a tener 130 mil beneficiarios en 1997 (Cruces et al., 2008: 15). En el año 1996 se lanza también el “Programa de Atención a Grupos Vulnerables (PAGV)”, que era independiente de las características laborales del hogar, </w:t>
      </w:r>
      <w:proofErr w:type="gramStart"/>
      <w:r w:rsidRPr="00483AEE">
        <w:t>y</w:t>
      </w:r>
      <w:proofErr w:type="gramEnd"/>
      <w:r w:rsidRPr="00483AEE">
        <w:t xml:space="preserve"> por ende, más localizado en la lógica del </w:t>
      </w:r>
      <w:proofErr w:type="spellStart"/>
      <w:r w:rsidRPr="00483AEE">
        <w:rPr>
          <w:i/>
        </w:rPr>
        <w:t>welfare</w:t>
      </w:r>
      <w:proofErr w:type="spellEnd"/>
      <w:r w:rsidRPr="00483AEE">
        <w:t>. Por último, entre 1999 y 2001 se ponen en marcha otros programas de lucha contra la pobreza, como el “Programa de Emergencia Laboral”, que apoyaba iniciativas de autoempleo (</w:t>
      </w:r>
      <w:proofErr w:type="spellStart"/>
      <w:r w:rsidRPr="00483AEE">
        <w:t>Golbert</w:t>
      </w:r>
      <w:proofErr w:type="spellEnd"/>
      <w:r w:rsidRPr="00483AEE">
        <w:t xml:space="preserve">, 2004), y “Solidaridad”, que intentaba emular el PROGRESA mexicano. Este último programa no se pudo aplicar por problemas de diseño (Cruces et al., 2008). </w:t>
      </w:r>
    </w:p>
  </w:footnote>
  <w:footnote w:id="32">
    <w:p w:rsidR="00C739DC" w:rsidRPr="00483AEE" w:rsidRDefault="00C739DC" w:rsidP="00174333">
      <w:pPr>
        <w:spacing w:after="60" w:line="240" w:lineRule="auto"/>
        <w:jc w:val="both"/>
        <w:rPr>
          <w:sz w:val="20"/>
        </w:rPr>
      </w:pPr>
      <w:r w:rsidRPr="00483AEE">
        <w:rPr>
          <w:rStyle w:val="Refdenotaalpie"/>
          <w:sz w:val="20"/>
        </w:rPr>
        <w:footnoteRef/>
      </w:r>
      <w:r w:rsidRPr="00483AEE">
        <w:rPr>
          <w:sz w:val="20"/>
        </w:rPr>
        <w:t xml:space="preserve"> Tras la crisis de 2001-2002, el Gobierno lanzó una serie de medidas tendientes a incrementar la jubilación mínima. Así, entre 2003 y 2007 ésta aumentó 250% en términos nominales y 80% en términos reales. Esto tendió a alterar la “pirámide” previsional (</w:t>
      </w:r>
      <w:proofErr w:type="spellStart"/>
      <w:r w:rsidRPr="00483AEE">
        <w:rPr>
          <w:sz w:val="20"/>
        </w:rPr>
        <w:t>Rofman</w:t>
      </w:r>
      <w:proofErr w:type="spellEnd"/>
      <w:r w:rsidRPr="00483AEE">
        <w:rPr>
          <w:sz w:val="20"/>
        </w:rPr>
        <w:t xml:space="preserve"> y </w:t>
      </w:r>
      <w:proofErr w:type="spellStart"/>
      <w:r w:rsidRPr="00483AEE">
        <w:rPr>
          <w:sz w:val="20"/>
        </w:rPr>
        <w:t>Oliveri</w:t>
      </w:r>
      <w:proofErr w:type="spellEnd"/>
      <w:r w:rsidRPr="00483AEE">
        <w:rPr>
          <w:sz w:val="20"/>
        </w:rPr>
        <w:t xml:space="preserve">, 2012). Además, entre las llamadas “contra reformas” del sistema de previsión social, se destacan la “moratoria previsional” que permitió acceder a un haber jubilatorio a quienes tenían edad para </w:t>
      </w:r>
      <w:r w:rsidR="00483AEE" w:rsidRPr="00483AEE">
        <w:rPr>
          <w:sz w:val="20"/>
        </w:rPr>
        <w:t>jubilarse,</w:t>
      </w:r>
      <w:r w:rsidRPr="00483AEE">
        <w:rPr>
          <w:sz w:val="20"/>
        </w:rPr>
        <w:t xml:space="preserve"> pero no cumplían con la exigencia del número de años requeridos (Decreto 1454, del año 2005); y, en noviembre de 2008, la Ley 26.425 que derogó el régimen de capitalización y creó el Sistema Integrado Previsional Argentina (SIPA). El mayor aumento de ingresos jubilatorios en la parte baja de la distribución tendió a la homogeneización de los beneficios previsionales.</w:t>
      </w:r>
    </w:p>
  </w:footnote>
  <w:footnote w:id="33">
    <w:p w:rsidR="00C739DC" w:rsidRPr="00483AEE" w:rsidRDefault="00C739DC" w:rsidP="00250494">
      <w:pPr>
        <w:pStyle w:val="Textonotapie"/>
        <w:spacing w:after="60"/>
        <w:jc w:val="both"/>
      </w:pPr>
      <w:r w:rsidRPr="00483AEE">
        <w:rPr>
          <w:rStyle w:val="Refdenotaalpie"/>
        </w:rPr>
        <w:footnoteRef/>
      </w:r>
      <w:r w:rsidRPr="00483AEE">
        <w:t xml:space="preserve"> El Plan Jefas y Jefes de Hogar Desocupados llegó a incluir a 2 millones de hogares en todo el país en el año 2003, cuando fue cerrado a nuevos beneficiarios. A partir de entonces, el “Plan Familias para la Inclusión Social”, iniciado en 2002, y que incluía a antiguos beneficiarios del “Programa de Atención a Grupos Vulnerables”, se amplió a partir de 2006, bajo la órbita del Ministerio de Desarrollo Social para recibir a los beneficiarios “vulnerables” del PJJHD. Este Plan otorgaba un beneficio por tiempo indeterminado, tomando en cuenta el número de niños en el hogar, y planteando condicionalidades en salud y educación. Por otro lado, el “Seguro de Capacitación y Empleo”, dirigido a los beneficiarios “empleables” del PJJHD, brindaba un beneficio monetario a cambio de la participación en un sistema de capacitación.</w:t>
      </w:r>
    </w:p>
  </w:footnote>
  <w:footnote w:id="34">
    <w:p w:rsidR="00C739DC" w:rsidRPr="00483AEE" w:rsidRDefault="00C739DC" w:rsidP="00250494">
      <w:pPr>
        <w:pStyle w:val="Textonotapie"/>
        <w:spacing w:after="60"/>
        <w:jc w:val="both"/>
      </w:pPr>
      <w:r w:rsidRPr="00483AEE">
        <w:rPr>
          <w:rStyle w:val="Refdenotaalpie"/>
        </w:rPr>
        <w:footnoteRef/>
      </w:r>
      <w:r w:rsidRPr="00483AEE">
        <w:t xml:space="preserve"> A partir del año 2009, el Estado argentino creó la Asignación Universal por Hijo para Protección Social (Decreto 1602/09), modificando el Régimen de Asignaciones Familiares instalado en 1996. Se trata de una prestación dirigida a los hijos/as de trabajadores informales y desocupados, </w:t>
      </w:r>
      <w:proofErr w:type="spellStart"/>
      <w:r w:rsidRPr="00483AEE">
        <w:t>monotributistas</w:t>
      </w:r>
      <w:proofErr w:type="spellEnd"/>
      <w:r w:rsidRPr="00483AEE">
        <w:t xml:space="preserve"> sociales y empleados de servicio doméstico. El programa implica una serie de condicionalidades que deben cumplir los titulares del beneficio, como el control sanitario y plan de vacunación (hasta niños de 4 años) y la asistencia a la escuela. Más allá de la existencia de un tope en los ingresos de los trabajadores informales para cobrar la prestación, resulta difícil corroborar los mismos. Esta Asignación se extendió a las mujeres embarazadas sin protección social en el año 2011 (Asignación Universal por Embarazo). Asimismo, a partir de 2014 se puso en marcha el Programa de Respaldo a Estudiantes de Argentina (PROG.R.ES.AR.) dirigido a estudiantes universitarios de 18 a 24 años cuyas familias se encuentran en la economía informal o tienen un ingreso inferior a tres salarios mínimos.  </w:t>
      </w:r>
    </w:p>
  </w:footnote>
  <w:footnote w:id="35">
    <w:p w:rsidR="00C739DC" w:rsidRPr="00483AEE" w:rsidRDefault="00C739DC" w:rsidP="00907E7C">
      <w:pPr>
        <w:pStyle w:val="Textonotapie"/>
        <w:jc w:val="both"/>
      </w:pPr>
      <w:r w:rsidRPr="00483AEE">
        <w:rPr>
          <w:rStyle w:val="Refdenotaalpie"/>
        </w:rPr>
        <w:footnoteRef/>
      </w:r>
      <w:r w:rsidRPr="00483AEE">
        <w:t xml:space="preserve"> Las conclusiones de estos estudios, basados en la Encuesta Permanente de Hogares, son sensibles a las decisiones metodológicas que adoptan en cuanto a la operacionalización de las fuentes de ingreso; específicamente las que provienen de transferencias estatales. En 2003, los ingresos provenientes de PJJHD se computaban como “ingresos laborales” en la EPH; mientras que al término del período las transferencias como la AUH se computan como “ingresos no laborales”. La no homogeneización de esta discrepancia puede conducir a conclusiones muy diferentes sobre los efectos de las transferencias estatales en la desigualdad. Para una mejor discusión, véase el </w:t>
      </w:r>
      <w:r w:rsidRPr="00483AEE">
        <w:rPr>
          <w:highlight w:val="yellow"/>
        </w:rPr>
        <w:t>capítulo 6</w:t>
      </w:r>
      <w:r w:rsidRPr="00483AEE">
        <w:t xml:space="preserve"> de este libro.  </w:t>
      </w:r>
    </w:p>
  </w:footnote>
  <w:footnote w:id="36">
    <w:p w:rsidR="00C739DC" w:rsidRPr="00483AEE" w:rsidRDefault="00C739DC" w:rsidP="00FC3CA8">
      <w:pPr>
        <w:pStyle w:val="Textonotapie"/>
        <w:spacing w:after="60"/>
        <w:jc w:val="both"/>
      </w:pPr>
      <w:r w:rsidRPr="00483AEE">
        <w:rPr>
          <w:rStyle w:val="Refdenotaalpie"/>
        </w:rPr>
        <w:footnoteRef/>
      </w:r>
      <w:r w:rsidRPr="00483AEE">
        <w:t xml:space="preserve"> Tal como se señaló en el </w:t>
      </w:r>
      <w:r w:rsidRPr="00483AEE">
        <w:rPr>
          <w:highlight w:val="yellow"/>
        </w:rPr>
        <w:t>capítulo 1</w:t>
      </w:r>
      <w:r w:rsidRPr="00483AEE">
        <w:t xml:space="preserve"> de este volumen, un elemento que permite entender la evolución de largo plazo de la desigualdad económica durante las últimas décadas es la reconfiguración de la heterogeneidad estructural en un contexto global en donde se ve acentuado el desarrollo desigual entre países y al interior de </w:t>
      </w:r>
      <w:r w:rsidR="009D01C4" w:rsidRPr="00483AEE">
        <w:t>estos</w:t>
      </w:r>
      <w:r w:rsidRPr="00483AEE">
        <w:t xml:space="preserve">. El concepto de </w:t>
      </w:r>
      <w:r w:rsidRPr="00483AEE">
        <w:rPr>
          <w:i/>
        </w:rPr>
        <w:t>heterogeneidad estructural</w:t>
      </w:r>
      <w:r w:rsidRPr="00483AEE">
        <w:t xml:space="preserve">, propuesto por el estructuralismo latinoamericano (Pinto, 1976, </w:t>
      </w:r>
      <w:proofErr w:type="spellStart"/>
      <w:r w:rsidRPr="00483AEE">
        <w:t>Sztulwark</w:t>
      </w:r>
      <w:proofErr w:type="spellEnd"/>
      <w:r w:rsidRPr="00483AEE">
        <w:t>, 2005), remite a la coexistencia de un sector “moderno”, vinculado al mercado mundial, junto con un estrato “atrasado”, de baja productividad. Una idea central es la ausencia de difusión técnica entre tales estratos y la falta de absorción de fuerza de trabajo disponible por parte del sector más moderno.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004F0"/>
    <w:multiLevelType w:val="hybridMultilevel"/>
    <w:tmpl w:val="51B638E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15:restartNumberingAfterBreak="0">
    <w:nsid w:val="2F1902AA"/>
    <w:multiLevelType w:val="hybridMultilevel"/>
    <w:tmpl w:val="3D2ABE14"/>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515C0EB9"/>
    <w:multiLevelType w:val="hybridMultilevel"/>
    <w:tmpl w:val="3B9C54E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5BF05ED5"/>
    <w:multiLevelType w:val="hybridMultilevel"/>
    <w:tmpl w:val="C536561A"/>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F1F60ED"/>
    <w:multiLevelType w:val="hybridMultilevel"/>
    <w:tmpl w:val="58064416"/>
    <w:lvl w:ilvl="0" w:tplc="2C0A0001">
      <w:start w:val="1"/>
      <w:numFmt w:val="bullet"/>
      <w:lvlText w:val=""/>
      <w:lvlJc w:val="left"/>
      <w:pPr>
        <w:ind w:left="720" w:hanging="720"/>
      </w:pPr>
      <w:rPr>
        <w:rFonts w:ascii="Symbol" w:hAnsi="Symbol"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 w15:restartNumberingAfterBreak="0">
    <w:nsid w:val="64B30426"/>
    <w:multiLevelType w:val="hybridMultilevel"/>
    <w:tmpl w:val="C86EE0C0"/>
    <w:lvl w:ilvl="0" w:tplc="B3FA183A">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65442271"/>
    <w:multiLevelType w:val="hybridMultilevel"/>
    <w:tmpl w:val="14848E40"/>
    <w:lvl w:ilvl="0" w:tplc="2C0A0001">
      <w:start w:val="1"/>
      <w:numFmt w:val="bullet"/>
      <w:lvlText w:val=""/>
      <w:lvlJc w:val="left"/>
      <w:pPr>
        <w:ind w:left="720" w:hanging="720"/>
      </w:pPr>
      <w:rPr>
        <w:rFonts w:ascii="Symbol" w:hAnsi="Symbol"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 w15:restartNumberingAfterBreak="0">
    <w:nsid w:val="6C36152F"/>
    <w:multiLevelType w:val="hybridMultilevel"/>
    <w:tmpl w:val="B2B09B3E"/>
    <w:lvl w:ilvl="0" w:tplc="2EC20DA4">
      <w:start w:val="1"/>
      <w:numFmt w:val="upperRoman"/>
      <w:lvlText w:val="%1."/>
      <w:lvlJc w:val="left"/>
      <w:pPr>
        <w:ind w:left="720" w:hanging="72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8" w15:restartNumberingAfterBreak="0">
    <w:nsid w:val="6CB9425E"/>
    <w:multiLevelType w:val="hybridMultilevel"/>
    <w:tmpl w:val="BD248FAA"/>
    <w:lvl w:ilvl="0" w:tplc="2C0A0013">
      <w:start w:val="1"/>
      <w:numFmt w:val="upperRoman"/>
      <w:lvlText w:val="%1."/>
      <w:lvlJc w:val="right"/>
      <w:pPr>
        <w:ind w:left="720" w:hanging="72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7"/>
  </w:num>
  <w:num w:numId="2">
    <w:abstractNumId w:val="4"/>
  </w:num>
  <w:num w:numId="3">
    <w:abstractNumId w:val="0"/>
  </w:num>
  <w:num w:numId="4">
    <w:abstractNumId w:val="8"/>
  </w:num>
  <w:num w:numId="5">
    <w:abstractNumId w:val="6"/>
  </w:num>
  <w:num w:numId="6">
    <w:abstractNumId w:val="3"/>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2DFB"/>
    <w:rsid w:val="00000312"/>
    <w:rsid w:val="0000479D"/>
    <w:rsid w:val="000060FA"/>
    <w:rsid w:val="00006DA4"/>
    <w:rsid w:val="00011A3E"/>
    <w:rsid w:val="00011D4A"/>
    <w:rsid w:val="00014185"/>
    <w:rsid w:val="00014794"/>
    <w:rsid w:val="000153D2"/>
    <w:rsid w:val="000169FF"/>
    <w:rsid w:val="00023DF4"/>
    <w:rsid w:val="00024307"/>
    <w:rsid w:val="0002459D"/>
    <w:rsid w:val="00025102"/>
    <w:rsid w:val="000275B2"/>
    <w:rsid w:val="00033AD5"/>
    <w:rsid w:val="00034062"/>
    <w:rsid w:val="00041A11"/>
    <w:rsid w:val="00042A28"/>
    <w:rsid w:val="000553DE"/>
    <w:rsid w:val="0005612C"/>
    <w:rsid w:val="000710D8"/>
    <w:rsid w:val="0007214B"/>
    <w:rsid w:val="00074DDD"/>
    <w:rsid w:val="00084CAC"/>
    <w:rsid w:val="000909DC"/>
    <w:rsid w:val="00094F91"/>
    <w:rsid w:val="00095FEE"/>
    <w:rsid w:val="000962E8"/>
    <w:rsid w:val="000A7419"/>
    <w:rsid w:val="000A79AA"/>
    <w:rsid w:val="000B245A"/>
    <w:rsid w:val="000B28B9"/>
    <w:rsid w:val="000B6196"/>
    <w:rsid w:val="000C23CA"/>
    <w:rsid w:val="000C3BA8"/>
    <w:rsid w:val="000C702F"/>
    <w:rsid w:val="000D1331"/>
    <w:rsid w:val="000E6D4A"/>
    <w:rsid w:val="000F024B"/>
    <w:rsid w:val="000F0EC1"/>
    <w:rsid w:val="000F1A88"/>
    <w:rsid w:val="000F2E69"/>
    <w:rsid w:val="000F7909"/>
    <w:rsid w:val="001003E7"/>
    <w:rsid w:val="00104374"/>
    <w:rsid w:val="00105E84"/>
    <w:rsid w:val="00105F29"/>
    <w:rsid w:val="001077A6"/>
    <w:rsid w:val="0012119D"/>
    <w:rsid w:val="00122931"/>
    <w:rsid w:val="00124D02"/>
    <w:rsid w:val="00127FDE"/>
    <w:rsid w:val="0013447D"/>
    <w:rsid w:val="001353BD"/>
    <w:rsid w:val="00141B55"/>
    <w:rsid w:val="00144022"/>
    <w:rsid w:val="00144F6B"/>
    <w:rsid w:val="00151A10"/>
    <w:rsid w:val="00152101"/>
    <w:rsid w:val="00153819"/>
    <w:rsid w:val="001538B8"/>
    <w:rsid w:val="001613F8"/>
    <w:rsid w:val="001654EE"/>
    <w:rsid w:val="0016643C"/>
    <w:rsid w:val="0016651E"/>
    <w:rsid w:val="001700C7"/>
    <w:rsid w:val="00170BBF"/>
    <w:rsid w:val="0017112A"/>
    <w:rsid w:val="0017132C"/>
    <w:rsid w:val="0017133A"/>
    <w:rsid w:val="00172AC3"/>
    <w:rsid w:val="001742ED"/>
    <w:rsid w:val="00174333"/>
    <w:rsid w:val="0017469F"/>
    <w:rsid w:val="00174FA3"/>
    <w:rsid w:val="00177851"/>
    <w:rsid w:val="00186470"/>
    <w:rsid w:val="0019084A"/>
    <w:rsid w:val="001A23B5"/>
    <w:rsid w:val="001A4335"/>
    <w:rsid w:val="001B7498"/>
    <w:rsid w:val="001B7914"/>
    <w:rsid w:val="001C4EC3"/>
    <w:rsid w:val="001D1136"/>
    <w:rsid w:val="001D2675"/>
    <w:rsid w:val="001D4217"/>
    <w:rsid w:val="001E05DD"/>
    <w:rsid w:val="001E07F5"/>
    <w:rsid w:val="001E184A"/>
    <w:rsid w:val="001E19F3"/>
    <w:rsid w:val="001E243A"/>
    <w:rsid w:val="001F410F"/>
    <w:rsid w:val="001F5EF6"/>
    <w:rsid w:val="001F60E6"/>
    <w:rsid w:val="00202199"/>
    <w:rsid w:val="002108C2"/>
    <w:rsid w:val="00211D7A"/>
    <w:rsid w:val="002211B0"/>
    <w:rsid w:val="00223F8D"/>
    <w:rsid w:val="00227CE6"/>
    <w:rsid w:val="002343CF"/>
    <w:rsid w:val="0023541D"/>
    <w:rsid w:val="00235F9B"/>
    <w:rsid w:val="00235FAF"/>
    <w:rsid w:val="00237843"/>
    <w:rsid w:val="00242974"/>
    <w:rsid w:val="00244C87"/>
    <w:rsid w:val="00246A95"/>
    <w:rsid w:val="00250494"/>
    <w:rsid w:val="0025063E"/>
    <w:rsid w:val="002516DD"/>
    <w:rsid w:val="00251B0A"/>
    <w:rsid w:val="0025226B"/>
    <w:rsid w:val="002526C3"/>
    <w:rsid w:val="00255B52"/>
    <w:rsid w:val="002574B3"/>
    <w:rsid w:val="0026005D"/>
    <w:rsid w:val="00262270"/>
    <w:rsid w:val="00262DA5"/>
    <w:rsid w:val="0026357E"/>
    <w:rsid w:val="00263AEA"/>
    <w:rsid w:val="002644F1"/>
    <w:rsid w:val="002703C8"/>
    <w:rsid w:val="00270AC2"/>
    <w:rsid w:val="0028717F"/>
    <w:rsid w:val="00293349"/>
    <w:rsid w:val="0029456D"/>
    <w:rsid w:val="002A0256"/>
    <w:rsid w:val="002A2F78"/>
    <w:rsid w:val="002A6ED2"/>
    <w:rsid w:val="002A78A7"/>
    <w:rsid w:val="002B10BC"/>
    <w:rsid w:val="002B1D20"/>
    <w:rsid w:val="002B21E6"/>
    <w:rsid w:val="002C2E8D"/>
    <w:rsid w:val="002C53A2"/>
    <w:rsid w:val="002C7DB9"/>
    <w:rsid w:val="002D3BFB"/>
    <w:rsid w:val="002D6DD7"/>
    <w:rsid w:val="002D7C0D"/>
    <w:rsid w:val="002E2864"/>
    <w:rsid w:val="002F3FCC"/>
    <w:rsid w:val="00306297"/>
    <w:rsid w:val="00320C1B"/>
    <w:rsid w:val="0032214D"/>
    <w:rsid w:val="00322F59"/>
    <w:rsid w:val="003238D8"/>
    <w:rsid w:val="00324D8B"/>
    <w:rsid w:val="00326710"/>
    <w:rsid w:val="00332865"/>
    <w:rsid w:val="0033395D"/>
    <w:rsid w:val="00334936"/>
    <w:rsid w:val="00335CC7"/>
    <w:rsid w:val="00336E40"/>
    <w:rsid w:val="003421A6"/>
    <w:rsid w:val="00344B74"/>
    <w:rsid w:val="00346E9C"/>
    <w:rsid w:val="00350F5F"/>
    <w:rsid w:val="00356249"/>
    <w:rsid w:val="00357348"/>
    <w:rsid w:val="0036447E"/>
    <w:rsid w:val="00364B41"/>
    <w:rsid w:val="003665CD"/>
    <w:rsid w:val="00374831"/>
    <w:rsid w:val="0037569F"/>
    <w:rsid w:val="00377F6A"/>
    <w:rsid w:val="003831AB"/>
    <w:rsid w:val="00390AB7"/>
    <w:rsid w:val="00393DE7"/>
    <w:rsid w:val="00393F6E"/>
    <w:rsid w:val="003961E1"/>
    <w:rsid w:val="003973F4"/>
    <w:rsid w:val="0039769F"/>
    <w:rsid w:val="00397C80"/>
    <w:rsid w:val="003A0B8D"/>
    <w:rsid w:val="003A1591"/>
    <w:rsid w:val="003A3F09"/>
    <w:rsid w:val="003B216A"/>
    <w:rsid w:val="003B47A5"/>
    <w:rsid w:val="003B4E91"/>
    <w:rsid w:val="003B635D"/>
    <w:rsid w:val="003B7463"/>
    <w:rsid w:val="003B79B7"/>
    <w:rsid w:val="003C62C5"/>
    <w:rsid w:val="003D4978"/>
    <w:rsid w:val="003D4EF6"/>
    <w:rsid w:val="003E1F74"/>
    <w:rsid w:val="003E69CE"/>
    <w:rsid w:val="003F0CDB"/>
    <w:rsid w:val="003F1B53"/>
    <w:rsid w:val="003F2321"/>
    <w:rsid w:val="003F245B"/>
    <w:rsid w:val="003F6B38"/>
    <w:rsid w:val="00400632"/>
    <w:rsid w:val="00410C54"/>
    <w:rsid w:val="00412724"/>
    <w:rsid w:val="00412CF9"/>
    <w:rsid w:val="00413B1D"/>
    <w:rsid w:val="004258D7"/>
    <w:rsid w:val="00426F15"/>
    <w:rsid w:val="004300E5"/>
    <w:rsid w:val="00430E05"/>
    <w:rsid w:val="00431EAB"/>
    <w:rsid w:val="00432C22"/>
    <w:rsid w:val="00433002"/>
    <w:rsid w:val="004339A9"/>
    <w:rsid w:val="004366D0"/>
    <w:rsid w:val="0043714A"/>
    <w:rsid w:val="0044255F"/>
    <w:rsid w:val="00442788"/>
    <w:rsid w:val="0044425E"/>
    <w:rsid w:val="00445F47"/>
    <w:rsid w:val="00446542"/>
    <w:rsid w:val="004678E5"/>
    <w:rsid w:val="00475801"/>
    <w:rsid w:val="004768FE"/>
    <w:rsid w:val="0048019F"/>
    <w:rsid w:val="00483AEE"/>
    <w:rsid w:val="00483E6D"/>
    <w:rsid w:val="00486808"/>
    <w:rsid w:val="00487CCB"/>
    <w:rsid w:val="004A3825"/>
    <w:rsid w:val="004A6148"/>
    <w:rsid w:val="004B331A"/>
    <w:rsid w:val="004B4C06"/>
    <w:rsid w:val="004B6ED2"/>
    <w:rsid w:val="004C4609"/>
    <w:rsid w:val="004D0180"/>
    <w:rsid w:val="004D17E8"/>
    <w:rsid w:val="004D43AD"/>
    <w:rsid w:val="004D45D7"/>
    <w:rsid w:val="004D560F"/>
    <w:rsid w:val="004D7425"/>
    <w:rsid w:val="004E12F1"/>
    <w:rsid w:val="004E3ED7"/>
    <w:rsid w:val="004E406A"/>
    <w:rsid w:val="004E7C7B"/>
    <w:rsid w:val="004F3409"/>
    <w:rsid w:val="004F651C"/>
    <w:rsid w:val="004F6624"/>
    <w:rsid w:val="004F6C50"/>
    <w:rsid w:val="005031EF"/>
    <w:rsid w:val="005073C3"/>
    <w:rsid w:val="00511431"/>
    <w:rsid w:val="0051297D"/>
    <w:rsid w:val="00516918"/>
    <w:rsid w:val="0052133E"/>
    <w:rsid w:val="00524422"/>
    <w:rsid w:val="0052442B"/>
    <w:rsid w:val="00525AEC"/>
    <w:rsid w:val="00525FED"/>
    <w:rsid w:val="00531F07"/>
    <w:rsid w:val="0053260B"/>
    <w:rsid w:val="00533C6C"/>
    <w:rsid w:val="005362B7"/>
    <w:rsid w:val="00540FFA"/>
    <w:rsid w:val="00543847"/>
    <w:rsid w:val="0054580F"/>
    <w:rsid w:val="00550876"/>
    <w:rsid w:val="0055196C"/>
    <w:rsid w:val="00554072"/>
    <w:rsid w:val="005600EA"/>
    <w:rsid w:val="005634A5"/>
    <w:rsid w:val="00565F37"/>
    <w:rsid w:val="00567C7A"/>
    <w:rsid w:val="005746DC"/>
    <w:rsid w:val="005754E0"/>
    <w:rsid w:val="00581856"/>
    <w:rsid w:val="0058279E"/>
    <w:rsid w:val="00584BF9"/>
    <w:rsid w:val="00590A16"/>
    <w:rsid w:val="00594864"/>
    <w:rsid w:val="00596852"/>
    <w:rsid w:val="005A149C"/>
    <w:rsid w:val="005A1AB1"/>
    <w:rsid w:val="005A78F5"/>
    <w:rsid w:val="005B3458"/>
    <w:rsid w:val="005B4123"/>
    <w:rsid w:val="005B4413"/>
    <w:rsid w:val="005D0CE3"/>
    <w:rsid w:val="005D266A"/>
    <w:rsid w:val="005D3521"/>
    <w:rsid w:val="005D403F"/>
    <w:rsid w:val="005D48D6"/>
    <w:rsid w:val="005D5653"/>
    <w:rsid w:val="005D568B"/>
    <w:rsid w:val="005D7473"/>
    <w:rsid w:val="005D76BD"/>
    <w:rsid w:val="005E2BAA"/>
    <w:rsid w:val="005E2FD8"/>
    <w:rsid w:val="005E4B26"/>
    <w:rsid w:val="005E58EE"/>
    <w:rsid w:val="005E5CE7"/>
    <w:rsid w:val="005E7EA6"/>
    <w:rsid w:val="005F0DB4"/>
    <w:rsid w:val="005F2BD2"/>
    <w:rsid w:val="005F3885"/>
    <w:rsid w:val="005F4976"/>
    <w:rsid w:val="005F5031"/>
    <w:rsid w:val="005F6739"/>
    <w:rsid w:val="00603251"/>
    <w:rsid w:val="00603313"/>
    <w:rsid w:val="006060BC"/>
    <w:rsid w:val="006064E4"/>
    <w:rsid w:val="00606F8E"/>
    <w:rsid w:val="0061065C"/>
    <w:rsid w:val="00615B77"/>
    <w:rsid w:val="00616920"/>
    <w:rsid w:val="00616C49"/>
    <w:rsid w:val="00620EA8"/>
    <w:rsid w:val="00622A74"/>
    <w:rsid w:val="00622DB0"/>
    <w:rsid w:val="006230CF"/>
    <w:rsid w:val="00623A7C"/>
    <w:rsid w:val="00625E1E"/>
    <w:rsid w:val="00625FF7"/>
    <w:rsid w:val="00633A59"/>
    <w:rsid w:val="0063431E"/>
    <w:rsid w:val="00641937"/>
    <w:rsid w:val="00641AAF"/>
    <w:rsid w:val="0064610E"/>
    <w:rsid w:val="0065454D"/>
    <w:rsid w:val="00655C2C"/>
    <w:rsid w:val="0065644A"/>
    <w:rsid w:val="00656E2C"/>
    <w:rsid w:val="006574D5"/>
    <w:rsid w:val="00660EA6"/>
    <w:rsid w:val="00662832"/>
    <w:rsid w:val="00667712"/>
    <w:rsid w:val="0066780B"/>
    <w:rsid w:val="006703F7"/>
    <w:rsid w:val="0067308F"/>
    <w:rsid w:val="00682F42"/>
    <w:rsid w:val="00684B16"/>
    <w:rsid w:val="00686809"/>
    <w:rsid w:val="00692255"/>
    <w:rsid w:val="00694B16"/>
    <w:rsid w:val="00694F67"/>
    <w:rsid w:val="00695891"/>
    <w:rsid w:val="0069631C"/>
    <w:rsid w:val="006A70CD"/>
    <w:rsid w:val="006B75E6"/>
    <w:rsid w:val="006C66B4"/>
    <w:rsid w:val="006C719C"/>
    <w:rsid w:val="006D22E0"/>
    <w:rsid w:val="006D5A31"/>
    <w:rsid w:val="006F5A98"/>
    <w:rsid w:val="006F5FE0"/>
    <w:rsid w:val="006F633C"/>
    <w:rsid w:val="00701F3A"/>
    <w:rsid w:val="00707AC9"/>
    <w:rsid w:val="00710EC8"/>
    <w:rsid w:val="0071291D"/>
    <w:rsid w:val="00713BBE"/>
    <w:rsid w:val="00714BC8"/>
    <w:rsid w:val="00715C57"/>
    <w:rsid w:val="007218E3"/>
    <w:rsid w:val="00727CA5"/>
    <w:rsid w:val="00731664"/>
    <w:rsid w:val="00731E80"/>
    <w:rsid w:val="007379CB"/>
    <w:rsid w:val="007411DC"/>
    <w:rsid w:val="0074243D"/>
    <w:rsid w:val="0074619D"/>
    <w:rsid w:val="00746CBF"/>
    <w:rsid w:val="0074709E"/>
    <w:rsid w:val="0074790A"/>
    <w:rsid w:val="00750105"/>
    <w:rsid w:val="00753417"/>
    <w:rsid w:val="00762E34"/>
    <w:rsid w:val="007655BE"/>
    <w:rsid w:val="00770441"/>
    <w:rsid w:val="007721BC"/>
    <w:rsid w:val="00772886"/>
    <w:rsid w:val="007804A4"/>
    <w:rsid w:val="00794E3D"/>
    <w:rsid w:val="007A1F64"/>
    <w:rsid w:val="007A7028"/>
    <w:rsid w:val="007A784B"/>
    <w:rsid w:val="007B06FA"/>
    <w:rsid w:val="007B3CD8"/>
    <w:rsid w:val="007C14DA"/>
    <w:rsid w:val="007C2757"/>
    <w:rsid w:val="007D0CD3"/>
    <w:rsid w:val="007D2D3B"/>
    <w:rsid w:val="007D5B86"/>
    <w:rsid w:val="007D67E5"/>
    <w:rsid w:val="007E3F45"/>
    <w:rsid w:val="007E7C2D"/>
    <w:rsid w:val="007F0335"/>
    <w:rsid w:val="00800B4F"/>
    <w:rsid w:val="008076EF"/>
    <w:rsid w:val="00813C0F"/>
    <w:rsid w:val="00816646"/>
    <w:rsid w:val="00820562"/>
    <w:rsid w:val="00821898"/>
    <w:rsid w:val="00824575"/>
    <w:rsid w:val="00824D11"/>
    <w:rsid w:val="008307E5"/>
    <w:rsid w:val="00831A52"/>
    <w:rsid w:val="00833F18"/>
    <w:rsid w:val="00834417"/>
    <w:rsid w:val="00840C24"/>
    <w:rsid w:val="008532D7"/>
    <w:rsid w:val="00853923"/>
    <w:rsid w:val="00856EF6"/>
    <w:rsid w:val="00862BE4"/>
    <w:rsid w:val="00862E24"/>
    <w:rsid w:val="00864004"/>
    <w:rsid w:val="00871462"/>
    <w:rsid w:val="00872BDA"/>
    <w:rsid w:val="008820BA"/>
    <w:rsid w:val="008870FF"/>
    <w:rsid w:val="008906E6"/>
    <w:rsid w:val="0089377E"/>
    <w:rsid w:val="008A392B"/>
    <w:rsid w:val="008B082A"/>
    <w:rsid w:val="008B0C59"/>
    <w:rsid w:val="008B122D"/>
    <w:rsid w:val="008B1AEC"/>
    <w:rsid w:val="008B2019"/>
    <w:rsid w:val="008B57D0"/>
    <w:rsid w:val="008B636F"/>
    <w:rsid w:val="008B6510"/>
    <w:rsid w:val="008B7100"/>
    <w:rsid w:val="008C1EF4"/>
    <w:rsid w:val="008D46A5"/>
    <w:rsid w:val="008F0920"/>
    <w:rsid w:val="008F6131"/>
    <w:rsid w:val="00903EAC"/>
    <w:rsid w:val="00907E7C"/>
    <w:rsid w:val="00907FF3"/>
    <w:rsid w:val="00914D1F"/>
    <w:rsid w:val="00924547"/>
    <w:rsid w:val="00934E39"/>
    <w:rsid w:val="00940F69"/>
    <w:rsid w:val="00945D94"/>
    <w:rsid w:val="0094619C"/>
    <w:rsid w:val="00947B9C"/>
    <w:rsid w:val="00950C2F"/>
    <w:rsid w:val="00950D77"/>
    <w:rsid w:val="0096766E"/>
    <w:rsid w:val="009722C1"/>
    <w:rsid w:val="0097474D"/>
    <w:rsid w:val="00976E6F"/>
    <w:rsid w:val="00977D50"/>
    <w:rsid w:val="009802CF"/>
    <w:rsid w:val="00981158"/>
    <w:rsid w:val="009829E9"/>
    <w:rsid w:val="00982F2F"/>
    <w:rsid w:val="00983D14"/>
    <w:rsid w:val="00984C95"/>
    <w:rsid w:val="00990099"/>
    <w:rsid w:val="00993ED4"/>
    <w:rsid w:val="009A2096"/>
    <w:rsid w:val="009B08C7"/>
    <w:rsid w:val="009B1739"/>
    <w:rsid w:val="009B274D"/>
    <w:rsid w:val="009B4600"/>
    <w:rsid w:val="009B54F1"/>
    <w:rsid w:val="009C1BCF"/>
    <w:rsid w:val="009C2464"/>
    <w:rsid w:val="009C2506"/>
    <w:rsid w:val="009C5E98"/>
    <w:rsid w:val="009D01C4"/>
    <w:rsid w:val="009D2FBE"/>
    <w:rsid w:val="009E6853"/>
    <w:rsid w:val="009E7F89"/>
    <w:rsid w:val="009F0D88"/>
    <w:rsid w:val="009F3A12"/>
    <w:rsid w:val="009F46A4"/>
    <w:rsid w:val="009F6307"/>
    <w:rsid w:val="009F63F5"/>
    <w:rsid w:val="009F7336"/>
    <w:rsid w:val="00A10263"/>
    <w:rsid w:val="00A107E8"/>
    <w:rsid w:val="00A20CAC"/>
    <w:rsid w:val="00A211D4"/>
    <w:rsid w:val="00A22F04"/>
    <w:rsid w:val="00A23288"/>
    <w:rsid w:val="00A24C4F"/>
    <w:rsid w:val="00A25E2E"/>
    <w:rsid w:val="00A34F72"/>
    <w:rsid w:val="00A37CE8"/>
    <w:rsid w:val="00A403BC"/>
    <w:rsid w:val="00A41E64"/>
    <w:rsid w:val="00A4515F"/>
    <w:rsid w:val="00A45340"/>
    <w:rsid w:val="00A47020"/>
    <w:rsid w:val="00A50E42"/>
    <w:rsid w:val="00A51230"/>
    <w:rsid w:val="00A606B8"/>
    <w:rsid w:val="00A642F3"/>
    <w:rsid w:val="00A67205"/>
    <w:rsid w:val="00A718E9"/>
    <w:rsid w:val="00A7242C"/>
    <w:rsid w:val="00A74ECE"/>
    <w:rsid w:val="00A77B8C"/>
    <w:rsid w:val="00A77CA1"/>
    <w:rsid w:val="00A8356C"/>
    <w:rsid w:val="00A83BEB"/>
    <w:rsid w:val="00A85306"/>
    <w:rsid w:val="00A905D4"/>
    <w:rsid w:val="00AA4442"/>
    <w:rsid w:val="00AA57B7"/>
    <w:rsid w:val="00AB2097"/>
    <w:rsid w:val="00AB2D9E"/>
    <w:rsid w:val="00AB698D"/>
    <w:rsid w:val="00AB75A4"/>
    <w:rsid w:val="00AB7727"/>
    <w:rsid w:val="00AB78E3"/>
    <w:rsid w:val="00AC03A3"/>
    <w:rsid w:val="00AC0808"/>
    <w:rsid w:val="00AC0961"/>
    <w:rsid w:val="00AC3E69"/>
    <w:rsid w:val="00AC71E1"/>
    <w:rsid w:val="00AD007C"/>
    <w:rsid w:val="00AD0889"/>
    <w:rsid w:val="00AD3371"/>
    <w:rsid w:val="00AE4C18"/>
    <w:rsid w:val="00AE562C"/>
    <w:rsid w:val="00AE75F8"/>
    <w:rsid w:val="00AE772F"/>
    <w:rsid w:val="00AF1F7B"/>
    <w:rsid w:val="00AF41AE"/>
    <w:rsid w:val="00B01861"/>
    <w:rsid w:val="00B021AE"/>
    <w:rsid w:val="00B02521"/>
    <w:rsid w:val="00B0787C"/>
    <w:rsid w:val="00B136CE"/>
    <w:rsid w:val="00B15ACD"/>
    <w:rsid w:val="00B21A96"/>
    <w:rsid w:val="00B221B4"/>
    <w:rsid w:val="00B23471"/>
    <w:rsid w:val="00B27B27"/>
    <w:rsid w:val="00B30FF1"/>
    <w:rsid w:val="00B321CB"/>
    <w:rsid w:val="00B34600"/>
    <w:rsid w:val="00B420D3"/>
    <w:rsid w:val="00B43D43"/>
    <w:rsid w:val="00B47B30"/>
    <w:rsid w:val="00B47BFB"/>
    <w:rsid w:val="00B47C27"/>
    <w:rsid w:val="00B51592"/>
    <w:rsid w:val="00B543AB"/>
    <w:rsid w:val="00B56FA0"/>
    <w:rsid w:val="00B5710F"/>
    <w:rsid w:val="00B57F30"/>
    <w:rsid w:val="00B625B6"/>
    <w:rsid w:val="00B65BB4"/>
    <w:rsid w:val="00B73AEB"/>
    <w:rsid w:val="00B95C6D"/>
    <w:rsid w:val="00B95E53"/>
    <w:rsid w:val="00BA135F"/>
    <w:rsid w:val="00BA1380"/>
    <w:rsid w:val="00BA1E8F"/>
    <w:rsid w:val="00BB0FCD"/>
    <w:rsid w:val="00BB1435"/>
    <w:rsid w:val="00BB7206"/>
    <w:rsid w:val="00BC6704"/>
    <w:rsid w:val="00BD0594"/>
    <w:rsid w:val="00BD235E"/>
    <w:rsid w:val="00BD3DF7"/>
    <w:rsid w:val="00BE4084"/>
    <w:rsid w:val="00BE7D8D"/>
    <w:rsid w:val="00C02282"/>
    <w:rsid w:val="00C03440"/>
    <w:rsid w:val="00C04716"/>
    <w:rsid w:val="00C12FEC"/>
    <w:rsid w:val="00C13CA7"/>
    <w:rsid w:val="00C17111"/>
    <w:rsid w:val="00C246ED"/>
    <w:rsid w:val="00C25B76"/>
    <w:rsid w:val="00C47213"/>
    <w:rsid w:val="00C540B9"/>
    <w:rsid w:val="00C5524C"/>
    <w:rsid w:val="00C55BF6"/>
    <w:rsid w:val="00C5712C"/>
    <w:rsid w:val="00C61A13"/>
    <w:rsid w:val="00C62657"/>
    <w:rsid w:val="00C627FC"/>
    <w:rsid w:val="00C62DFB"/>
    <w:rsid w:val="00C645CB"/>
    <w:rsid w:val="00C65FA1"/>
    <w:rsid w:val="00C67999"/>
    <w:rsid w:val="00C739DC"/>
    <w:rsid w:val="00C8202E"/>
    <w:rsid w:val="00C821C5"/>
    <w:rsid w:val="00C84FDE"/>
    <w:rsid w:val="00C86A1A"/>
    <w:rsid w:val="00C916B9"/>
    <w:rsid w:val="00C92C50"/>
    <w:rsid w:val="00CA445C"/>
    <w:rsid w:val="00CB19CF"/>
    <w:rsid w:val="00CB5117"/>
    <w:rsid w:val="00CB7124"/>
    <w:rsid w:val="00CB76EF"/>
    <w:rsid w:val="00CB77C9"/>
    <w:rsid w:val="00CB7B49"/>
    <w:rsid w:val="00CC1ADD"/>
    <w:rsid w:val="00CC2D3C"/>
    <w:rsid w:val="00CC437B"/>
    <w:rsid w:val="00CC54A3"/>
    <w:rsid w:val="00CC7164"/>
    <w:rsid w:val="00CC7204"/>
    <w:rsid w:val="00CD7220"/>
    <w:rsid w:val="00CF0662"/>
    <w:rsid w:val="00CF2FBC"/>
    <w:rsid w:val="00CF365C"/>
    <w:rsid w:val="00CF4362"/>
    <w:rsid w:val="00CF5BFB"/>
    <w:rsid w:val="00CF7D48"/>
    <w:rsid w:val="00D14F8F"/>
    <w:rsid w:val="00D17ED6"/>
    <w:rsid w:val="00D17EE4"/>
    <w:rsid w:val="00D21D0A"/>
    <w:rsid w:val="00D22793"/>
    <w:rsid w:val="00D2496D"/>
    <w:rsid w:val="00D2655E"/>
    <w:rsid w:val="00D354FA"/>
    <w:rsid w:val="00D37C41"/>
    <w:rsid w:val="00D404FF"/>
    <w:rsid w:val="00D56D16"/>
    <w:rsid w:val="00D654CE"/>
    <w:rsid w:val="00D700D5"/>
    <w:rsid w:val="00D71489"/>
    <w:rsid w:val="00D76B24"/>
    <w:rsid w:val="00D8087E"/>
    <w:rsid w:val="00D81D24"/>
    <w:rsid w:val="00D821D8"/>
    <w:rsid w:val="00D90324"/>
    <w:rsid w:val="00D91E03"/>
    <w:rsid w:val="00D930C3"/>
    <w:rsid w:val="00D95E7E"/>
    <w:rsid w:val="00D96FF2"/>
    <w:rsid w:val="00D974E4"/>
    <w:rsid w:val="00DA39C6"/>
    <w:rsid w:val="00DA3FFB"/>
    <w:rsid w:val="00DA7AF2"/>
    <w:rsid w:val="00DB22AC"/>
    <w:rsid w:val="00DB37E0"/>
    <w:rsid w:val="00DB66E8"/>
    <w:rsid w:val="00DB77C2"/>
    <w:rsid w:val="00DC12A6"/>
    <w:rsid w:val="00DC68CD"/>
    <w:rsid w:val="00DD2D21"/>
    <w:rsid w:val="00DD363E"/>
    <w:rsid w:val="00DD5FB6"/>
    <w:rsid w:val="00DE0D5E"/>
    <w:rsid w:val="00DE733B"/>
    <w:rsid w:val="00DF0273"/>
    <w:rsid w:val="00DF2B77"/>
    <w:rsid w:val="00E02C05"/>
    <w:rsid w:val="00E0502F"/>
    <w:rsid w:val="00E1181E"/>
    <w:rsid w:val="00E13016"/>
    <w:rsid w:val="00E149C5"/>
    <w:rsid w:val="00E17E09"/>
    <w:rsid w:val="00E22B1D"/>
    <w:rsid w:val="00E22CAC"/>
    <w:rsid w:val="00E271D8"/>
    <w:rsid w:val="00E3105A"/>
    <w:rsid w:val="00E31B37"/>
    <w:rsid w:val="00E45332"/>
    <w:rsid w:val="00E469A2"/>
    <w:rsid w:val="00E4797F"/>
    <w:rsid w:val="00E601E5"/>
    <w:rsid w:val="00E620E5"/>
    <w:rsid w:val="00E64AB8"/>
    <w:rsid w:val="00E653C6"/>
    <w:rsid w:val="00E6650D"/>
    <w:rsid w:val="00E67012"/>
    <w:rsid w:val="00E67689"/>
    <w:rsid w:val="00E67FFC"/>
    <w:rsid w:val="00E7308B"/>
    <w:rsid w:val="00E74202"/>
    <w:rsid w:val="00E77017"/>
    <w:rsid w:val="00E85DEE"/>
    <w:rsid w:val="00E86C0A"/>
    <w:rsid w:val="00E87FA1"/>
    <w:rsid w:val="00E91732"/>
    <w:rsid w:val="00E9450B"/>
    <w:rsid w:val="00E95B24"/>
    <w:rsid w:val="00E96F4C"/>
    <w:rsid w:val="00EA3C22"/>
    <w:rsid w:val="00EB1281"/>
    <w:rsid w:val="00EB266E"/>
    <w:rsid w:val="00EB3817"/>
    <w:rsid w:val="00EB60C4"/>
    <w:rsid w:val="00EC085C"/>
    <w:rsid w:val="00EC27E7"/>
    <w:rsid w:val="00EC2955"/>
    <w:rsid w:val="00EC3CD7"/>
    <w:rsid w:val="00ED350E"/>
    <w:rsid w:val="00ED3827"/>
    <w:rsid w:val="00EF0866"/>
    <w:rsid w:val="00EF10A0"/>
    <w:rsid w:val="00EF1682"/>
    <w:rsid w:val="00EF1C3E"/>
    <w:rsid w:val="00EF24A0"/>
    <w:rsid w:val="00EF3EE7"/>
    <w:rsid w:val="00EF4F1D"/>
    <w:rsid w:val="00EF6CA4"/>
    <w:rsid w:val="00EF6F43"/>
    <w:rsid w:val="00F002C6"/>
    <w:rsid w:val="00F00E03"/>
    <w:rsid w:val="00F03591"/>
    <w:rsid w:val="00F037A8"/>
    <w:rsid w:val="00F042FC"/>
    <w:rsid w:val="00F1051F"/>
    <w:rsid w:val="00F11D55"/>
    <w:rsid w:val="00F23166"/>
    <w:rsid w:val="00F2623E"/>
    <w:rsid w:val="00F267E5"/>
    <w:rsid w:val="00F31ED8"/>
    <w:rsid w:val="00F33D87"/>
    <w:rsid w:val="00F35D3B"/>
    <w:rsid w:val="00F3675B"/>
    <w:rsid w:val="00F3743B"/>
    <w:rsid w:val="00F41CCF"/>
    <w:rsid w:val="00F42225"/>
    <w:rsid w:val="00F4631A"/>
    <w:rsid w:val="00F505A5"/>
    <w:rsid w:val="00F51A5B"/>
    <w:rsid w:val="00F5287D"/>
    <w:rsid w:val="00F53ADE"/>
    <w:rsid w:val="00F542D8"/>
    <w:rsid w:val="00F5450E"/>
    <w:rsid w:val="00F55957"/>
    <w:rsid w:val="00F61BCF"/>
    <w:rsid w:val="00F62255"/>
    <w:rsid w:val="00F632BB"/>
    <w:rsid w:val="00F732A6"/>
    <w:rsid w:val="00F7397C"/>
    <w:rsid w:val="00F85996"/>
    <w:rsid w:val="00F85CBC"/>
    <w:rsid w:val="00F91390"/>
    <w:rsid w:val="00F91DE0"/>
    <w:rsid w:val="00F95784"/>
    <w:rsid w:val="00F96596"/>
    <w:rsid w:val="00F973F0"/>
    <w:rsid w:val="00FA0183"/>
    <w:rsid w:val="00FA0456"/>
    <w:rsid w:val="00FA28CF"/>
    <w:rsid w:val="00FA60B6"/>
    <w:rsid w:val="00FB41DF"/>
    <w:rsid w:val="00FB48AD"/>
    <w:rsid w:val="00FB579E"/>
    <w:rsid w:val="00FB7C2F"/>
    <w:rsid w:val="00FC127B"/>
    <w:rsid w:val="00FC35D6"/>
    <w:rsid w:val="00FC3CA8"/>
    <w:rsid w:val="00FC5FFB"/>
    <w:rsid w:val="00FC6744"/>
    <w:rsid w:val="00FC6BB0"/>
    <w:rsid w:val="00FD037A"/>
    <w:rsid w:val="00FD5117"/>
    <w:rsid w:val="00FD5B5C"/>
    <w:rsid w:val="00FE1011"/>
    <w:rsid w:val="00FE2086"/>
    <w:rsid w:val="00FE408F"/>
    <w:rsid w:val="00FE51C2"/>
    <w:rsid w:val="00FF0264"/>
    <w:rsid w:val="00FF1A0E"/>
    <w:rsid w:val="00FF38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7F5D"/>
  <w15:docId w15:val="{664C3F1A-76F0-4C48-BE67-3EB9CCC2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0324"/>
    <w:pPr>
      <w:spacing w:after="200" w:line="276" w:lineRule="auto"/>
    </w:pPr>
    <w:rPr>
      <w:sz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ar3 Car,Car2,Car3, Car3 Car, Car2, Car3,Geneva 9,Font: Geneva 9,Boston 10,f,Times Roman 9,Car,Car Car, Car"/>
    <w:basedOn w:val="Normal"/>
    <w:link w:val="TextonotapieCar"/>
    <w:uiPriority w:val="99"/>
    <w:unhideWhenUsed/>
    <w:rsid w:val="004D7425"/>
    <w:pPr>
      <w:spacing w:after="0" w:line="240" w:lineRule="auto"/>
    </w:pPr>
    <w:rPr>
      <w:sz w:val="20"/>
    </w:rPr>
  </w:style>
  <w:style w:type="character" w:customStyle="1" w:styleId="TextonotapieCar">
    <w:name w:val="Texto nota pie Car"/>
    <w:aliases w:val="Car3 Car Car,Car2 Car,Car3 Car1, Car3 Car Car, Car2 Car, Car3 Car1,Geneva 9 Car,Font: Geneva 9 Car,Boston 10 Car,f Car,Times Roman 9 Car,Car Car1,Car Car Car, Car Car"/>
    <w:basedOn w:val="Fuentedeprrafopredeter"/>
    <w:link w:val="Textonotapie"/>
    <w:uiPriority w:val="99"/>
    <w:rsid w:val="004D7425"/>
    <w:rPr>
      <w:sz w:val="20"/>
    </w:rPr>
  </w:style>
  <w:style w:type="character" w:styleId="Refdenotaalpie">
    <w:name w:val="footnote reference"/>
    <w:aliases w:val="normal,Normal1,Ref,de nota al pie"/>
    <w:basedOn w:val="Fuentedeprrafopredeter"/>
    <w:uiPriority w:val="99"/>
    <w:unhideWhenUsed/>
    <w:rsid w:val="004D7425"/>
    <w:rPr>
      <w:vertAlign w:val="superscript"/>
    </w:rPr>
  </w:style>
  <w:style w:type="paragraph" w:styleId="Prrafodelista">
    <w:name w:val="List Paragraph"/>
    <w:basedOn w:val="Normal"/>
    <w:uiPriority w:val="34"/>
    <w:qFormat/>
    <w:rsid w:val="002343CF"/>
    <w:pPr>
      <w:ind w:left="720"/>
      <w:contextualSpacing/>
    </w:pPr>
  </w:style>
  <w:style w:type="paragraph" w:styleId="Encabezado">
    <w:name w:val="header"/>
    <w:basedOn w:val="Normal"/>
    <w:link w:val="EncabezadoCar"/>
    <w:uiPriority w:val="99"/>
    <w:unhideWhenUsed/>
    <w:rsid w:val="007470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709E"/>
  </w:style>
  <w:style w:type="paragraph" w:styleId="Piedepgina">
    <w:name w:val="footer"/>
    <w:basedOn w:val="Normal"/>
    <w:link w:val="PiedepginaCar"/>
    <w:uiPriority w:val="99"/>
    <w:unhideWhenUsed/>
    <w:rsid w:val="007470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709E"/>
  </w:style>
  <w:style w:type="paragraph" w:styleId="Textodeglobo">
    <w:name w:val="Balloon Text"/>
    <w:basedOn w:val="Normal"/>
    <w:link w:val="TextodegloboCar"/>
    <w:uiPriority w:val="99"/>
    <w:semiHidden/>
    <w:unhideWhenUsed/>
    <w:rsid w:val="008714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462"/>
    <w:rPr>
      <w:rFonts w:ascii="Tahoma" w:hAnsi="Tahoma" w:cs="Tahoma"/>
      <w:sz w:val="16"/>
      <w:szCs w:val="16"/>
    </w:rPr>
  </w:style>
  <w:style w:type="paragraph" w:styleId="Descripcin">
    <w:name w:val="caption"/>
    <w:basedOn w:val="Normal"/>
    <w:next w:val="Normal"/>
    <w:uiPriority w:val="35"/>
    <w:semiHidden/>
    <w:unhideWhenUsed/>
    <w:qFormat/>
    <w:rsid w:val="000B28B9"/>
    <w:pPr>
      <w:spacing w:line="240" w:lineRule="auto"/>
    </w:pPr>
    <w:rPr>
      <w:b/>
      <w:bCs/>
      <w:color w:val="4F81BD"/>
      <w:sz w:val="18"/>
      <w:szCs w:val="18"/>
    </w:rPr>
  </w:style>
  <w:style w:type="paragraph" w:styleId="Sinespaciado">
    <w:name w:val="No Spacing"/>
    <w:uiPriority w:val="99"/>
    <w:qFormat/>
    <w:rsid w:val="009C2464"/>
    <w:rPr>
      <w:rFonts w:ascii="Arial" w:hAnsi="Arial"/>
      <w:sz w:val="22"/>
      <w:szCs w:val="22"/>
      <w:lang w:eastAsia="en-US"/>
    </w:rPr>
  </w:style>
  <w:style w:type="paragraph" w:customStyle="1" w:styleId="Pa13">
    <w:name w:val="Pa13"/>
    <w:basedOn w:val="Normal"/>
    <w:next w:val="Normal"/>
    <w:uiPriority w:val="99"/>
    <w:rsid w:val="00357348"/>
    <w:pPr>
      <w:autoSpaceDE w:val="0"/>
      <w:autoSpaceDN w:val="0"/>
      <w:adjustRightInd w:val="0"/>
      <w:spacing w:after="0" w:line="211" w:lineRule="atLeast"/>
    </w:pPr>
    <w:rPr>
      <w:rFonts w:ascii="GoudyOlSt BT" w:hAnsi="GoudyOlSt BT"/>
      <w:szCs w:val="24"/>
    </w:rPr>
  </w:style>
  <w:style w:type="paragraph" w:styleId="NormalWeb">
    <w:name w:val="Normal (Web)"/>
    <w:basedOn w:val="Normal"/>
    <w:uiPriority w:val="99"/>
    <w:semiHidden/>
    <w:unhideWhenUsed/>
    <w:rsid w:val="00B543AB"/>
    <w:rPr>
      <w:szCs w:val="24"/>
    </w:rPr>
  </w:style>
  <w:style w:type="character" w:styleId="Hipervnculo">
    <w:name w:val="Hyperlink"/>
    <w:basedOn w:val="Fuentedeprrafopredeter"/>
    <w:uiPriority w:val="99"/>
    <w:unhideWhenUsed/>
    <w:rsid w:val="008076EF"/>
    <w:rPr>
      <w:color w:val="0000FF"/>
      <w:u w:val="single"/>
    </w:rPr>
  </w:style>
  <w:style w:type="character" w:styleId="Refdecomentario">
    <w:name w:val="annotation reference"/>
    <w:basedOn w:val="Fuentedeprrafopredeter"/>
    <w:uiPriority w:val="99"/>
    <w:semiHidden/>
    <w:unhideWhenUsed/>
    <w:rsid w:val="00E67689"/>
    <w:rPr>
      <w:sz w:val="16"/>
      <w:szCs w:val="16"/>
    </w:rPr>
  </w:style>
  <w:style w:type="paragraph" w:styleId="Textocomentario">
    <w:name w:val="annotation text"/>
    <w:basedOn w:val="Normal"/>
    <w:link w:val="TextocomentarioCar"/>
    <w:uiPriority w:val="99"/>
    <w:semiHidden/>
    <w:unhideWhenUsed/>
    <w:rsid w:val="00E67689"/>
    <w:pPr>
      <w:spacing w:line="240" w:lineRule="auto"/>
    </w:pPr>
    <w:rPr>
      <w:sz w:val="20"/>
    </w:rPr>
  </w:style>
  <w:style w:type="character" w:customStyle="1" w:styleId="TextocomentarioCar">
    <w:name w:val="Texto comentario Car"/>
    <w:basedOn w:val="Fuentedeprrafopredeter"/>
    <w:link w:val="Textocomentario"/>
    <w:uiPriority w:val="99"/>
    <w:semiHidden/>
    <w:rsid w:val="00E67689"/>
    <w:rPr>
      <w:lang w:eastAsia="en-US"/>
    </w:rPr>
  </w:style>
  <w:style w:type="paragraph" w:styleId="Asuntodelcomentario">
    <w:name w:val="annotation subject"/>
    <w:basedOn w:val="Textocomentario"/>
    <w:next w:val="Textocomentario"/>
    <w:link w:val="AsuntodelcomentarioCar"/>
    <w:uiPriority w:val="99"/>
    <w:semiHidden/>
    <w:unhideWhenUsed/>
    <w:rsid w:val="00E67689"/>
    <w:rPr>
      <w:b/>
      <w:bCs/>
    </w:rPr>
  </w:style>
  <w:style w:type="character" w:customStyle="1" w:styleId="AsuntodelcomentarioCar">
    <w:name w:val="Asunto del comentario Car"/>
    <w:basedOn w:val="TextocomentarioCar"/>
    <w:link w:val="Asuntodelcomentario"/>
    <w:uiPriority w:val="99"/>
    <w:semiHidden/>
    <w:rsid w:val="00E67689"/>
    <w:rPr>
      <w:b/>
      <w:bCs/>
      <w:lang w:eastAsia="en-US"/>
    </w:rPr>
  </w:style>
  <w:style w:type="paragraph" w:customStyle="1" w:styleId="TEXTOESTILOS">
    <w:name w:val="TEXTO (ESTILOS)"/>
    <w:basedOn w:val="Normal"/>
    <w:next w:val="Normal"/>
    <w:uiPriority w:val="99"/>
    <w:rsid w:val="00E149C5"/>
    <w:pPr>
      <w:widowControl w:val="0"/>
      <w:suppressAutoHyphens/>
      <w:autoSpaceDE w:val="0"/>
      <w:spacing w:after="0" w:line="288" w:lineRule="auto"/>
      <w:ind w:firstLine="227"/>
      <w:jc w:val="both"/>
      <w:textAlignment w:val="center"/>
    </w:pPr>
    <w:rPr>
      <w:rFonts w:ascii="ChaparralPro-Regular" w:eastAsia="ChaparralPro-Regular" w:cs="ChaparralPro-Regular"/>
      <w:color w:val="000000"/>
      <w:kern w:val="1"/>
      <w:sz w:val="23"/>
      <w:szCs w:val="23"/>
      <w:lang w:val="es-E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337581">
      <w:bodyDiv w:val="1"/>
      <w:marLeft w:val="0"/>
      <w:marRight w:val="0"/>
      <w:marTop w:val="0"/>
      <w:marBottom w:val="0"/>
      <w:divBdr>
        <w:top w:val="none" w:sz="0" w:space="0" w:color="auto"/>
        <w:left w:val="none" w:sz="0" w:space="0" w:color="auto"/>
        <w:bottom w:val="none" w:sz="0" w:space="0" w:color="auto"/>
        <w:right w:val="none" w:sz="0" w:space="0" w:color="auto"/>
      </w:divBdr>
    </w:div>
    <w:div w:id="390495074">
      <w:bodyDiv w:val="1"/>
      <w:marLeft w:val="0"/>
      <w:marRight w:val="0"/>
      <w:marTop w:val="0"/>
      <w:marBottom w:val="0"/>
      <w:divBdr>
        <w:top w:val="none" w:sz="0" w:space="0" w:color="auto"/>
        <w:left w:val="none" w:sz="0" w:space="0" w:color="auto"/>
        <w:bottom w:val="none" w:sz="0" w:space="0" w:color="auto"/>
        <w:right w:val="none" w:sz="0" w:space="0" w:color="auto"/>
      </w:divBdr>
    </w:div>
    <w:div w:id="422383218">
      <w:bodyDiv w:val="1"/>
      <w:marLeft w:val="0"/>
      <w:marRight w:val="0"/>
      <w:marTop w:val="0"/>
      <w:marBottom w:val="0"/>
      <w:divBdr>
        <w:top w:val="none" w:sz="0" w:space="0" w:color="auto"/>
        <w:left w:val="none" w:sz="0" w:space="0" w:color="auto"/>
        <w:bottom w:val="none" w:sz="0" w:space="0" w:color="auto"/>
        <w:right w:val="none" w:sz="0" w:space="0" w:color="auto"/>
      </w:divBdr>
    </w:div>
    <w:div w:id="492113670">
      <w:bodyDiv w:val="1"/>
      <w:marLeft w:val="0"/>
      <w:marRight w:val="0"/>
      <w:marTop w:val="0"/>
      <w:marBottom w:val="0"/>
      <w:divBdr>
        <w:top w:val="none" w:sz="0" w:space="0" w:color="auto"/>
        <w:left w:val="none" w:sz="0" w:space="0" w:color="auto"/>
        <w:bottom w:val="none" w:sz="0" w:space="0" w:color="auto"/>
        <w:right w:val="none" w:sz="0" w:space="0" w:color="auto"/>
      </w:divBdr>
    </w:div>
    <w:div w:id="525337697">
      <w:bodyDiv w:val="1"/>
      <w:marLeft w:val="0"/>
      <w:marRight w:val="0"/>
      <w:marTop w:val="0"/>
      <w:marBottom w:val="0"/>
      <w:divBdr>
        <w:top w:val="none" w:sz="0" w:space="0" w:color="auto"/>
        <w:left w:val="none" w:sz="0" w:space="0" w:color="auto"/>
        <w:bottom w:val="none" w:sz="0" w:space="0" w:color="auto"/>
        <w:right w:val="none" w:sz="0" w:space="0" w:color="auto"/>
      </w:divBdr>
    </w:div>
    <w:div w:id="533886026">
      <w:bodyDiv w:val="1"/>
      <w:marLeft w:val="0"/>
      <w:marRight w:val="0"/>
      <w:marTop w:val="0"/>
      <w:marBottom w:val="0"/>
      <w:divBdr>
        <w:top w:val="none" w:sz="0" w:space="0" w:color="auto"/>
        <w:left w:val="none" w:sz="0" w:space="0" w:color="auto"/>
        <w:bottom w:val="none" w:sz="0" w:space="0" w:color="auto"/>
        <w:right w:val="none" w:sz="0" w:space="0" w:color="auto"/>
      </w:divBdr>
    </w:div>
    <w:div w:id="719205441">
      <w:bodyDiv w:val="1"/>
      <w:marLeft w:val="0"/>
      <w:marRight w:val="0"/>
      <w:marTop w:val="0"/>
      <w:marBottom w:val="0"/>
      <w:divBdr>
        <w:top w:val="none" w:sz="0" w:space="0" w:color="auto"/>
        <w:left w:val="none" w:sz="0" w:space="0" w:color="auto"/>
        <w:bottom w:val="none" w:sz="0" w:space="0" w:color="auto"/>
        <w:right w:val="none" w:sz="0" w:space="0" w:color="auto"/>
      </w:divBdr>
    </w:div>
    <w:div w:id="747574354">
      <w:bodyDiv w:val="1"/>
      <w:marLeft w:val="0"/>
      <w:marRight w:val="0"/>
      <w:marTop w:val="0"/>
      <w:marBottom w:val="0"/>
      <w:divBdr>
        <w:top w:val="none" w:sz="0" w:space="0" w:color="auto"/>
        <w:left w:val="none" w:sz="0" w:space="0" w:color="auto"/>
        <w:bottom w:val="none" w:sz="0" w:space="0" w:color="auto"/>
        <w:right w:val="none" w:sz="0" w:space="0" w:color="auto"/>
      </w:divBdr>
    </w:div>
    <w:div w:id="755202075">
      <w:bodyDiv w:val="1"/>
      <w:marLeft w:val="0"/>
      <w:marRight w:val="0"/>
      <w:marTop w:val="0"/>
      <w:marBottom w:val="0"/>
      <w:divBdr>
        <w:top w:val="none" w:sz="0" w:space="0" w:color="auto"/>
        <w:left w:val="none" w:sz="0" w:space="0" w:color="auto"/>
        <w:bottom w:val="none" w:sz="0" w:space="0" w:color="auto"/>
        <w:right w:val="none" w:sz="0" w:space="0" w:color="auto"/>
      </w:divBdr>
    </w:div>
    <w:div w:id="789320423">
      <w:bodyDiv w:val="1"/>
      <w:marLeft w:val="0"/>
      <w:marRight w:val="0"/>
      <w:marTop w:val="0"/>
      <w:marBottom w:val="0"/>
      <w:divBdr>
        <w:top w:val="none" w:sz="0" w:space="0" w:color="auto"/>
        <w:left w:val="none" w:sz="0" w:space="0" w:color="auto"/>
        <w:bottom w:val="none" w:sz="0" w:space="0" w:color="auto"/>
        <w:right w:val="none" w:sz="0" w:space="0" w:color="auto"/>
      </w:divBdr>
    </w:div>
    <w:div w:id="978998314">
      <w:bodyDiv w:val="1"/>
      <w:marLeft w:val="0"/>
      <w:marRight w:val="0"/>
      <w:marTop w:val="0"/>
      <w:marBottom w:val="0"/>
      <w:divBdr>
        <w:top w:val="none" w:sz="0" w:space="0" w:color="auto"/>
        <w:left w:val="none" w:sz="0" w:space="0" w:color="auto"/>
        <w:bottom w:val="none" w:sz="0" w:space="0" w:color="auto"/>
        <w:right w:val="none" w:sz="0" w:space="0" w:color="auto"/>
      </w:divBdr>
    </w:div>
    <w:div w:id="1043208475">
      <w:bodyDiv w:val="1"/>
      <w:marLeft w:val="0"/>
      <w:marRight w:val="0"/>
      <w:marTop w:val="0"/>
      <w:marBottom w:val="0"/>
      <w:divBdr>
        <w:top w:val="none" w:sz="0" w:space="0" w:color="auto"/>
        <w:left w:val="none" w:sz="0" w:space="0" w:color="auto"/>
        <w:bottom w:val="none" w:sz="0" w:space="0" w:color="auto"/>
        <w:right w:val="none" w:sz="0" w:space="0" w:color="auto"/>
      </w:divBdr>
    </w:div>
    <w:div w:id="1063916365">
      <w:bodyDiv w:val="1"/>
      <w:marLeft w:val="0"/>
      <w:marRight w:val="0"/>
      <w:marTop w:val="0"/>
      <w:marBottom w:val="0"/>
      <w:divBdr>
        <w:top w:val="none" w:sz="0" w:space="0" w:color="auto"/>
        <w:left w:val="none" w:sz="0" w:space="0" w:color="auto"/>
        <w:bottom w:val="none" w:sz="0" w:space="0" w:color="auto"/>
        <w:right w:val="none" w:sz="0" w:space="0" w:color="auto"/>
      </w:divBdr>
    </w:div>
    <w:div w:id="1353721948">
      <w:bodyDiv w:val="1"/>
      <w:marLeft w:val="0"/>
      <w:marRight w:val="0"/>
      <w:marTop w:val="0"/>
      <w:marBottom w:val="0"/>
      <w:divBdr>
        <w:top w:val="none" w:sz="0" w:space="0" w:color="auto"/>
        <w:left w:val="none" w:sz="0" w:space="0" w:color="auto"/>
        <w:bottom w:val="none" w:sz="0" w:space="0" w:color="auto"/>
        <w:right w:val="none" w:sz="0" w:space="0" w:color="auto"/>
      </w:divBdr>
    </w:div>
    <w:div w:id="1463114419">
      <w:bodyDiv w:val="1"/>
      <w:marLeft w:val="0"/>
      <w:marRight w:val="0"/>
      <w:marTop w:val="0"/>
      <w:marBottom w:val="0"/>
      <w:divBdr>
        <w:top w:val="none" w:sz="0" w:space="0" w:color="auto"/>
        <w:left w:val="none" w:sz="0" w:space="0" w:color="auto"/>
        <w:bottom w:val="none" w:sz="0" w:space="0" w:color="auto"/>
        <w:right w:val="none" w:sz="0" w:space="0" w:color="auto"/>
      </w:divBdr>
    </w:div>
    <w:div w:id="1542009573">
      <w:bodyDiv w:val="1"/>
      <w:marLeft w:val="0"/>
      <w:marRight w:val="0"/>
      <w:marTop w:val="0"/>
      <w:marBottom w:val="0"/>
      <w:divBdr>
        <w:top w:val="none" w:sz="0" w:space="0" w:color="auto"/>
        <w:left w:val="none" w:sz="0" w:space="0" w:color="auto"/>
        <w:bottom w:val="none" w:sz="0" w:space="0" w:color="auto"/>
        <w:right w:val="none" w:sz="0" w:space="0" w:color="auto"/>
      </w:divBdr>
    </w:div>
    <w:div w:id="1568613403">
      <w:bodyDiv w:val="1"/>
      <w:marLeft w:val="0"/>
      <w:marRight w:val="0"/>
      <w:marTop w:val="0"/>
      <w:marBottom w:val="0"/>
      <w:divBdr>
        <w:top w:val="none" w:sz="0" w:space="0" w:color="auto"/>
        <w:left w:val="none" w:sz="0" w:space="0" w:color="auto"/>
        <w:bottom w:val="none" w:sz="0" w:space="0" w:color="auto"/>
        <w:right w:val="none" w:sz="0" w:space="0" w:color="auto"/>
      </w:divBdr>
    </w:div>
    <w:div w:id="1599479945">
      <w:bodyDiv w:val="1"/>
      <w:marLeft w:val="0"/>
      <w:marRight w:val="0"/>
      <w:marTop w:val="0"/>
      <w:marBottom w:val="0"/>
      <w:divBdr>
        <w:top w:val="none" w:sz="0" w:space="0" w:color="auto"/>
        <w:left w:val="none" w:sz="0" w:space="0" w:color="auto"/>
        <w:bottom w:val="none" w:sz="0" w:space="0" w:color="auto"/>
        <w:right w:val="none" w:sz="0" w:space="0" w:color="auto"/>
      </w:divBdr>
    </w:div>
    <w:div w:id="1667396982">
      <w:bodyDiv w:val="1"/>
      <w:marLeft w:val="0"/>
      <w:marRight w:val="0"/>
      <w:marTop w:val="0"/>
      <w:marBottom w:val="0"/>
      <w:divBdr>
        <w:top w:val="none" w:sz="0" w:space="0" w:color="auto"/>
        <w:left w:val="none" w:sz="0" w:space="0" w:color="auto"/>
        <w:bottom w:val="none" w:sz="0" w:space="0" w:color="auto"/>
        <w:right w:val="none" w:sz="0" w:space="0" w:color="auto"/>
      </w:divBdr>
    </w:div>
    <w:div w:id="1729257883">
      <w:bodyDiv w:val="1"/>
      <w:marLeft w:val="0"/>
      <w:marRight w:val="0"/>
      <w:marTop w:val="0"/>
      <w:marBottom w:val="0"/>
      <w:divBdr>
        <w:top w:val="none" w:sz="0" w:space="0" w:color="auto"/>
        <w:left w:val="none" w:sz="0" w:space="0" w:color="auto"/>
        <w:bottom w:val="none" w:sz="0" w:space="0" w:color="auto"/>
        <w:right w:val="none" w:sz="0" w:space="0" w:color="auto"/>
      </w:divBdr>
    </w:div>
    <w:div w:id="1834175809">
      <w:bodyDiv w:val="1"/>
      <w:marLeft w:val="0"/>
      <w:marRight w:val="0"/>
      <w:marTop w:val="0"/>
      <w:marBottom w:val="0"/>
      <w:divBdr>
        <w:top w:val="none" w:sz="0" w:space="0" w:color="auto"/>
        <w:left w:val="none" w:sz="0" w:space="0" w:color="auto"/>
        <w:bottom w:val="none" w:sz="0" w:space="0" w:color="auto"/>
        <w:right w:val="none" w:sz="0" w:space="0" w:color="auto"/>
      </w:divBdr>
    </w:div>
    <w:div w:id="1864518247">
      <w:bodyDiv w:val="1"/>
      <w:marLeft w:val="0"/>
      <w:marRight w:val="0"/>
      <w:marTop w:val="0"/>
      <w:marBottom w:val="0"/>
      <w:divBdr>
        <w:top w:val="none" w:sz="0" w:space="0" w:color="auto"/>
        <w:left w:val="none" w:sz="0" w:space="0" w:color="auto"/>
        <w:bottom w:val="none" w:sz="0" w:space="0" w:color="auto"/>
        <w:right w:val="none" w:sz="0" w:space="0" w:color="auto"/>
      </w:divBdr>
    </w:div>
    <w:div w:id="1879969744">
      <w:bodyDiv w:val="1"/>
      <w:marLeft w:val="0"/>
      <w:marRight w:val="0"/>
      <w:marTop w:val="0"/>
      <w:marBottom w:val="0"/>
      <w:divBdr>
        <w:top w:val="none" w:sz="0" w:space="0" w:color="auto"/>
        <w:left w:val="none" w:sz="0" w:space="0" w:color="auto"/>
        <w:bottom w:val="none" w:sz="0" w:space="0" w:color="auto"/>
        <w:right w:val="none" w:sz="0" w:space="0" w:color="auto"/>
      </w:divBdr>
    </w:div>
    <w:div w:id="1976174434">
      <w:bodyDiv w:val="1"/>
      <w:marLeft w:val="0"/>
      <w:marRight w:val="0"/>
      <w:marTop w:val="0"/>
      <w:marBottom w:val="0"/>
      <w:divBdr>
        <w:top w:val="none" w:sz="0" w:space="0" w:color="auto"/>
        <w:left w:val="none" w:sz="0" w:space="0" w:color="auto"/>
        <w:bottom w:val="none" w:sz="0" w:space="0" w:color="auto"/>
        <w:right w:val="none" w:sz="0" w:space="0" w:color="auto"/>
      </w:divBdr>
    </w:div>
    <w:div w:id="202258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D2592-9C49-416F-9289-5DFF4B754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49</Pages>
  <Words>15778</Words>
  <Characters>86780</Characters>
  <Application>Microsoft Office Word</Application>
  <DocSecurity>0</DocSecurity>
  <Lines>723</Lines>
  <Paragraphs>204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Poy Piñeiro</dc:creator>
  <cp:lastModifiedBy>Santiago Poy</cp:lastModifiedBy>
  <cp:revision>10</cp:revision>
  <dcterms:created xsi:type="dcterms:W3CDTF">2017-02-16T18:40:00Z</dcterms:created>
  <dcterms:modified xsi:type="dcterms:W3CDTF">2018-06-14T18:38:00Z</dcterms:modified>
</cp:coreProperties>
</file>