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50" w:rsidRPr="003F7057" w:rsidRDefault="0076050C" w:rsidP="00782B5F">
      <w:pPr>
        <w:tabs>
          <w:tab w:val="left" w:pos="4069"/>
        </w:tabs>
        <w:spacing w:after="0" w:line="240" w:lineRule="auto"/>
        <w:jc w:val="both"/>
        <w:rPr>
          <w:rFonts w:eastAsia="Times New Roman"/>
          <w:b/>
          <w:sz w:val="24"/>
          <w:szCs w:val="24"/>
          <w:lang w:val="es-ES" w:eastAsia="es-AR"/>
        </w:rPr>
      </w:pPr>
      <w:r>
        <w:rPr>
          <w:b/>
          <w:sz w:val="24"/>
          <w:szCs w:val="24"/>
        </w:rPr>
        <w:t>E</w:t>
      </w:r>
      <w:r w:rsidRPr="0076050C">
        <w:rPr>
          <w:b/>
          <w:sz w:val="24"/>
          <w:szCs w:val="24"/>
        </w:rPr>
        <w:t xml:space="preserve">l mercado laboral y las políticas sociales: análisis de los factores subyacentes a la desigualdad en la </w:t>
      </w:r>
      <w:r w:rsidR="00326252">
        <w:rPr>
          <w:b/>
          <w:sz w:val="24"/>
          <w:szCs w:val="24"/>
        </w:rPr>
        <w:t>A</w:t>
      </w:r>
      <w:r w:rsidRPr="0076050C">
        <w:rPr>
          <w:b/>
          <w:sz w:val="24"/>
          <w:szCs w:val="24"/>
        </w:rPr>
        <w:t xml:space="preserve">rgentina </w:t>
      </w:r>
      <w:r w:rsidR="002A25A6" w:rsidRPr="0076050C">
        <w:rPr>
          <w:b/>
          <w:sz w:val="24"/>
          <w:szCs w:val="24"/>
        </w:rPr>
        <w:t>(</w:t>
      </w:r>
      <w:r w:rsidR="00DC2F53" w:rsidRPr="0076050C">
        <w:rPr>
          <w:b/>
          <w:sz w:val="24"/>
          <w:szCs w:val="24"/>
        </w:rPr>
        <w:t>1974-2014</w:t>
      </w:r>
      <w:r w:rsidR="002A25A6" w:rsidRPr="003F7057">
        <w:rPr>
          <w:rFonts w:eastAsia="Times New Roman"/>
          <w:b/>
          <w:sz w:val="24"/>
          <w:szCs w:val="24"/>
          <w:lang w:val="es-ES" w:eastAsia="es-AR"/>
        </w:rPr>
        <w:t>)</w:t>
      </w:r>
      <w:r w:rsidRPr="00D51A03">
        <w:rPr>
          <w:rStyle w:val="Refdenotaalpie"/>
          <w:rFonts w:cs="Calibri"/>
          <w:b/>
          <w:sz w:val="26"/>
          <w:szCs w:val="26"/>
        </w:rPr>
        <w:footnoteReference w:customMarkFollows="1" w:id="1"/>
        <w:sym w:font="Symbol" w:char="F02A"/>
      </w:r>
    </w:p>
    <w:p w:rsidR="00B06E5F" w:rsidRDefault="00B06E5F" w:rsidP="003F7057">
      <w:pPr>
        <w:tabs>
          <w:tab w:val="left" w:pos="4069"/>
        </w:tabs>
        <w:spacing w:after="0" w:line="240" w:lineRule="auto"/>
        <w:jc w:val="right"/>
        <w:rPr>
          <w:rFonts w:eastAsia="Times New Roman"/>
          <w:i/>
          <w:sz w:val="24"/>
          <w:szCs w:val="24"/>
          <w:lang w:val="es-ES" w:eastAsia="es-AR"/>
        </w:rPr>
      </w:pPr>
      <w:r>
        <w:rPr>
          <w:rFonts w:eastAsia="Times New Roman"/>
          <w:i/>
          <w:sz w:val="24"/>
          <w:szCs w:val="24"/>
          <w:lang w:val="es-ES" w:eastAsia="es-AR"/>
        </w:rPr>
        <w:t>Julieta Vera</w:t>
      </w:r>
    </w:p>
    <w:p w:rsidR="00131AF4" w:rsidRDefault="00131AF4" w:rsidP="00131AF4">
      <w:pPr>
        <w:tabs>
          <w:tab w:val="left" w:pos="4069"/>
        </w:tabs>
        <w:spacing w:after="0" w:line="240" w:lineRule="auto"/>
        <w:jc w:val="right"/>
        <w:rPr>
          <w:rFonts w:eastAsia="Times New Roman"/>
          <w:i/>
          <w:sz w:val="24"/>
          <w:szCs w:val="24"/>
          <w:lang w:val="es-ES" w:eastAsia="es-AR"/>
        </w:rPr>
      </w:pPr>
      <w:r w:rsidRPr="0076050C">
        <w:rPr>
          <w:rFonts w:eastAsia="Times New Roman"/>
          <w:i/>
          <w:sz w:val="24"/>
          <w:szCs w:val="24"/>
          <w:lang w:val="es-ES" w:eastAsia="es-AR"/>
        </w:rPr>
        <w:t>Santiago Poy</w:t>
      </w:r>
    </w:p>
    <w:p w:rsidR="00131AF4" w:rsidRPr="0076050C" w:rsidRDefault="00131AF4" w:rsidP="003F7057">
      <w:pPr>
        <w:tabs>
          <w:tab w:val="left" w:pos="4069"/>
        </w:tabs>
        <w:spacing w:after="0" w:line="240" w:lineRule="auto"/>
        <w:jc w:val="right"/>
        <w:rPr>
          <w:rFonts w:eastAsia="Times New Roman"/>
          <w:i/>
          <w:sz w:val="24"/>
          <w:szCs w:val="24"/>
          <w:lang w:val="es-ES" w:eastAsia="es-AR"/>
        </w:rPr>
      </w:pPr>
    </w:p>
    <w:p w:rsidR="00DB5A8E" w:rsidRPr="003F7057" w:rsidRDefault="00DB5A8E" w:rsidP="00782B5F">
      <w:pPr>
        <w:tabs>
          <w:tab w:val="left" w:pos="4069"/>
        </w:tabs>
        <w:spacing w:after="0" w:line="240" w:lineRule="auto"/>
        <w:jc w:val="both"/>
        <w:rPr>
          <w:rFonts w:eastAsia="Times New Roman"/>
          <w:b/>
          <w:sz w:val="24"/>
          <w:szCs w:val="24"/>
          <w:lang w:val="es-ES" w:eastAsia="es-AR"/>
        </w:rPr>
      </w:pPr>
    </w:p>
    <w:p w:rsidR="00253CF1" w:rsidRPr="003F7057" w:rsidRDefault="00253CF1" w:rsidP="0076050C">
      <w:pPr>
        <w:tabs>
          <w:tab w:val="left" w:pos="4069"/>
        </w:tabs>
        <w:spacing w:after="0" w:line="360" w:lineRule="auto"/>
        <w:jc w:val="center"/>
        <w:rPr>
          <w:rFonts w:eastAsia="Times New Roman"/>
          <w:b/>
          <w:sz w:val="24"/>
          <w:szCs w:val="24"/>
          <w:lang w:val="es-ES" w:eastAsia="es-AR"/>
        </w:rPr>
      </w:pPr>
      <w:r w:rsidRPr="003F7057">
        <w:rPr>
          <w:rFonts w:eastAsia="Times New Roman"/>
          <w:b/>
          <w:sz w:val="24"/>
          <w:szCs w:val="24"/>
          <w:lang w:val="es-ES" w:eastAsia="es-AR"/>
        </w:rPr>
        <w:t xml:space="preserve">1.- </w:t>
      </w:r>
      <w:r w:rsidR="00E03A2F" w:rsidRPr="003F7057">
        <w:rPr>
          <w:rFonts w:eastAsia="Times New Roman"/>
          <w:b/>
          <w:sz w:val="24"/>
          <w:szCs w:val="24"/>
          <w:lang w:val="es-ES" w:eastAsia="es-AR"/>
        </w:rPr>
        <w:t>Introducción</w:t>
      </w:r>
    </w:p>
    <w:p w:rsidR="00253CF1" w:rsidRPr="003F7057" w:rsidRDefault="00253CF1" w:rsidP="0076050C">
      <w:pPr>
        <w:tabs>
          <w:tab w:val="left" w:pos="4069"/>
        </w:tabs>
        <w:spacing w:line="240" w:lineRule="auto"/>
        <w:jc w:val="both"/>
        <w:rPr>
          <w:rFonts w:eastAsia="Times New Roman"/>
          <w:sz w:val="24"/>
          <w:szCs w:val="24"/>
          <w:lang w:val="es-ES" w:eastAsia="es-AR"/>
        </w:rPr>
      </w:pPr>
      <w:r w:rsidRPr="003F7057">
        <w:rPr>
          <w:rFonts w:eastAsia="Times New Roman"/>
          <w:sz w:val="24"/>
          <w:szCs w:val="24"/>
          <w:lang w:val="es-ES" w:eastAsia="es-AR"/>
        </w:rPr>
        <w:t>El nivel de ingresos monetarios al que acceden los hogares</w:t>
      </w:r>
      <w:r w:rsidR="00483170" w:rsidRPr="003F7057">
        <w:rPr>
          <w:rFonts w:eastAsia="Times New Roman"/>
          <w:sz w:val="24"/>
          <w:szCs w:val="24"/>
          <w:lang w:val="es-ES" w:eastAsia="es-AR"/>
        </w:rPr>
        <w:t>, así como</w:t>
      </w:r>
      <w:r w:rsidR="007C29A8" w:rsidRPr="003F7057">
        <w:rPr>
          <w:rFonts w:eastAsia="Times New Roman"/>
          <w:sz w:val="24"/>
          <w:szCs w:val="24"/>
          <w:lang w:val="es-ES" w:eastAsia="es-AR"/>
        </w:rPr>
        <w:t xml:space="preserve"> </w:t>
      </w:r>
      <w:r w:rsidRPr="003F7057">
        <w:rPr>
          <w:rFonts w:eastAsia="Times New Roman"/>
          <w:sz w:val="24"/>
          <w:szCs w:val="24"/>
          <w:lang w:val="es-ES" w:eastAsia="es-AR"/>
        </w:rPr>
        <w:t>la estructura distributiva resultante</w:t>
      </w:r>
      <w:r w:rsidR="00483170" w:rsidRPr="003F7057">
        <w:rPr>
          <w:rFonts w:eastAsia="Times New Roman"/>
          <w:sz w:val="24"/>
          <w:szCs w:val="24"/>
          <w:lang w:val="es-ES" w:eastAsia="es-AR"/>
        </w:rPr>
        <w:t>,</w:t>
      </w:r>
      <w:r w:rsidRPr="003F7057">
        <w:rPr>
          <w:rFonts w:eastAsia="Times New Roman"/>
          <w:sz w:val="24"/>
          <w:szCs w:val="24"/>
          <w:lang w:val="es-ES" w:eastAsia="es-AR"/>
        </w:rPr>
        <w:t xml:space="preserve"> </w:t>
      </w:r>
      <w:r w:rsidR="0076050C">
        <w:rPr>
          <w:rFonts w:eastAsia="Times New Roman"/>
          <w:sz w:val="24"/>
          <w:szCs w:val="24"/>
          <w:lang w:val="es-ES" w:eastAsia="es-AR"/>
        </w:rPr>
        <w:t>derivan</w:t>
      </w:r>
      <w:r w:rsidR="00483170" w:rsidRPr="003F7057">
        <w:rPr>
          <w:rFonts w:eastAsia="Times New Roman"/>
          <w:sz w:val="24"/>
          <w:szCs w:val="24"/>
          <w:lang w:val="es-ES" w:eastAsia="es-AR"/>
        </w:rPr>
        <w:t xml:space="preserve"> </w:t>
      </w:r>
      <w:r w:rsidRPr="003F7057">
        <w:rPr>
          <w:rFonts w:eastAsia="Times New Roman"/>
          <w:sz w:val="24"/>
          <w:szCs w:val="24"/>
          <w:lang w:val="es-ES" w:eastAsia="es-AR"/>
        </w:rPr>
        <w:t>de</w:t>
      </w:r>
      <w:r w:rsidR="007C29A8" w:rsidRPr="003F7057">
        <w:rPr>
          <w:rFonts w:eastAsia="Times New Roman"/>
          <w:sz w:val="24"/>
          <w:szCs w:val="24"/>
          <w:lang w:val="es-ES" w:eastAsia="es-AR"/>
        </w:rPr>
        <w:t xml:space="preserve"> la</w:t>
      </w:r>
      <w:r w:rsidR="00483170" w:rsidRPr="003F7057">
        <w:rPr>
          <w:rFonts w:eastAsia="Times New Roman"/>
          <w:sz w:val="24"/>
          <w:szCs w:val="24"/>
          <w:lang w:val="es-ES" w:eastAsia="es-AR"/>
        </w:rPr>
        <w:t xml:space="preserve"> </w:t>
      </w:r>
      <w:r w:rsidR="007C29A8" w:rsidRPr="003F7057">
        <w:rPr>
          <w:rFonts w:eastAsia="Times New Roman"/>
          <w:sz w:val="24"/>
          <w:szCs w:val="24"/>
          <w:lang w:val="es-ES" w:eastAsia="es-AR"/>
        </w:rPr>
        <w:t>compleja interrelaci</w:t>
      </w:r>
      <w:r w:rsidR="0076050C">
        <w:rPr>
          <w:rFonts w:eastAsia="Times New Roman"/>
          <w:sz w:val="24"/>
          <w:szCs w:val="24"/>
          <w:lang w:val="es-ES" w:eastAsia="es-AR"/>
        </w:rPr>
        <w:t>ón</w:t>
      </w:r>
      <w:r w:rsidR="00483170" w:rsidRPr="003F7057">
        <w:rPr>
          <w:rFonts w:eastAsia="Times New Roman"/>
          <w:sz w:val="24"/>
          <w:szCs w:val="24"/>
          <w:lang w:val="es-ES" w:eastAsia="es-AR"/>
        </w:rPr>
        <w:t xml:space="preserve"> </w:t>
      </w:r>
      <w:r w:rsidR="007C29A8" w:rsidRPr="003F7057">
        <w:rPr>
          <w:rFonts w:eastAsia="Times New Roman"/>
          <w:sz w:val="24"/>
          <w:szCs w:val="24"/>
          <w:lang w:val="es-ES" w:eastAsia="es-AR"/>
        </w:rPr>
        <w:t>entre</w:t>
      </w:r>
      <w:r w:rsidRPr="003F7057">
        <w:rPr>
          <w:rFonts w:eastAsia="Times New Roman"/>
          <w:sz w:val="24"/>
          <w:szCs w:val="24"/>
          <w:lang w:val="es-ES" w:eastAsia="es-AR"/>
        </w:rPr>
        <w:t xml:space="preserve"> el mercado laboral</w:t>
      </w:r>
      <w:r w:rsidR="00CD1CBA">
        <w:rPr>
          <w:rFonts w:eastAsia="Times New Roman"/>
          <w:sz w:val="24"/>
          <w:szCs w:val="24"/>
          <w:lang w:val="es-ES" w:eastAsia="es-AR"/>
        </w:rPr>
        <w:t xml:space="preserve"> –como espacio dominante de la “distribución primaria”–</w:t>
      </w:r>
      <w:r w:rsidR="00E5598A" w:rsidRPr="003F7057">
        <w:rPr>
          <w:rFonts w:eastAsia="Times New Roman"/>
          <w:sz w:val="24"/>
          <w:szCs w:val="24"/>
          <w:lang w:val="es-ES" w:eastAsia="es-AR"/>
        </w:rPr>
        <w:t xml:space="preserve">, </w:t>
      </w:r>
      <w:r w:rsidRPr="003F7057">
        <w:rPr>
          <w:rFonts w:eastAsia="Times New Roman"/>
          <w:sz w:val="24"/>
          <w:szCs w:val="24"/>
          <w:lang w:val="es-ES" w:eastAsia="es-AR"/>
        </w:rPr>
        <w:t>la intervención del Esta</w:t>
      </w:r>
      <w:r w:rsidR="00E5598A" w:rsidRPr="003F7057">
        <w:rPr>
          <w:rFonts w:eastAsia="Times New Roman"/>
          <w:sz w:val="24"/>
          <w:szCs w:val="24"/>
          <w:lang w:val="es-ES" w:eastAsia="es-AR"/>
        </w:rPr>
        <w:t xml:space="preserve">do bajo políticas sociales </w:t>
      </w:r>
      <w:r w:rsidR="00CD1CBA">
        <w:rPr>
          <w:rFonts w:eastAsia="Times New Roman"/>
          <w:sz w:val="24"/>
          <w:szCs w:val="24"/>
          <w:lang w:val="es-ES" w:eastAsia="es-AR"/>
        </w:rPr>
        <w:t>–principal vector de la “distribución secundaria”–</w:t>
      </w:r>
      <w:r w:rsidR="00CD1CBA" w:rsidRPr="003F7057">
        <w:rPr>
          <w:rFonts w:eastAsia="Times New Roman"/>
          <w:sz w:val="24"/>
          <w:szCs w:val="24"/>
          <w:lang w:val="es-ES" w:eastAsia="es-AR"/>
        </w:rPr>
        <w:t xml:space="preserve"> </w:t>
      </w:r>
      <w:r w:rsidR="00E5598A" w:rsidRPr="003F7057">
        <w:rPr>
          <w:rFonts w:eastAsia="Times New Roman"/>
          <w:sz w:val="24"/>
          <w:szCs w:val="24"/>
          <w:lang w:val="es-ES" w:eastAsia="es-AR"/>
        </w:rPr>
        <w:t xml:space="preserve">y </w:t>
      </w:r>
      <w:r w:rsidRPr="003F7057">
        <w:rPr>
          <w:rFonts w:eastAsia="Times New Roman"/>
          <w:sz w:val="24"/>
          <w:szCs w:val="24"/>
          <w:lang w:val="es-ES" w:eastAsia="es-AR"/>
        </w:rPr>
        <w:t>los</w:t>
      </w:r>
      <w:r w:rsidR="00CD1CBA">
        <w:rPr>
          <w:rFonts w:eastAsia="Times New Roman"/>
          <w:sz w:val="24"/>
          <w:szCs w:val="24"/>
          <w:lang w:val="es-ES" w:eastAsia="es-AR"/>
        </w:rPr>
        <w:t xml:space="preserve"> propios</w:t>
      </w:r>
      <w:r w:rsidRPr="003F7057">
        <w:rPr>
          <w:rFonts w:eastAsia="Times New Roman"/>
          <w:sz w:val="24"/>
          <w:szCs w:val="24"/>
          <w:lang w:val="es-ES" w:eastAsia="es-AR"/>
        </w:rPr>
        <w:t xml:space="preserve"> comportamientos micro-sociales y demográficos </w:t>
      </w:r>
      <w:r w:rsidR="00E5598A" w:rsidRPr="003F7057">
        <w:rPr>
          <w:rFonts w:eastAsia="Times New Roman"/>
          <w:sz w:val="24"/>
          <w:szCs w:val="24"/>
          <w:lang w:val="es-ES" w:eastAsia="es-AR"/>
        </w:rPr>
        <w:t>que despliegan</w:t>
      </w:r>
      <w:r w:rsidRPr="003F7057">
        <w:rPr>
          <w:rFonts w:eastAsia="Times New Roman"/>
          <w:sz w:val="24"/>
          <w:szCs w:val="24"/>
          <w:lang w:val="es-ES" w:eastAsia="es-AR"/>
        </w:rPr>
        <w:t xml:space="preserve"> las unidades domésticas (Cortés, 2000; Salvia, 2012). </w:t>
      </w:r>
      <w:r w:rsidR="00CD1CBA">
        <w:rPr>
          <w:rFonts w:eastAsia="Times New Roman"/>
          <w:sz w:val="24"/>
          <w:szCs w:val="24"/>
          <w:lang w:val="es-ES" w:eastAsia="es-AR"/>
        </w:rPr>
        <w:t>Este</w:t>
      </w:r>
      <w:r w:rsidR="008B455B" w:rsidRPr="003F7057">
        <w:rPr>
          <w:rFonts w:eastAsia="Times New Roman"/>
          <w:sz w:val="24"/>
          <w:szCs w:val="24"/>
          <w:lang w:val="es-ES" w:eastAsia="es-AR"/>
        </w:rPr>
        <w:t xml:space="preserve"> capítulo aborda la incidencia de los </w:t>
      </w:r>
      <w:r w:rsidR="00E2473F" w:rsidRPr="003F7057">
        <w:rPr>
          <w:rFonts w:eastAsia="Times New Roman"/>
          <w:sz w:val="24"/>
          <w:szCs w:val="24"/>
          <w:lang w:val="es-ES" w:eastAsia="es-AR"/>
        </w:rPr>
        <w:t>ingresos provenientes de</w:t>
      </w:r>
      <w:r w:rsidRPr="003F7057">
        <w:rPr>
          <w:rFonts w:eastAsia="Times New Roman"/>
          <w:sz w:val="24"/>
          <w:szCs w:val="24"/>
          <w:lang w:val="es-ES" w:eastAsia="es-AR"/>
        </w:rPr>
        <w:t xml:space="preserve"> fuentes laborales y no laborales </w:t>
      </w:r>
      <w:r w:rsidR="00E2473F" w:rsidRPr="003F7057">
        <w:rPr>
          <w:rFonts w:eastAsia="Times New Roman"/>
          <w:sz w:val="24"/>
          <w:szCs w:val="24"/>
          <w:lang w:val="es-ES" w:eastAsia="es-AR"/>
        </w:rPr>
        <w:t>sobre</w:t>
      </w:r>
      <w:r w:rsidRPr="003F7057">
        <w:rPr>
          <w:rFonts w:eastAsia="Times New Roman"/>
          <w:sz w:val="24"/>
          <w:szCs w:val="24"/>
          <w:lang w:val="es-ES" w:eastAsia="es-AR"/>
        </w:rPr>
        <w:t xml:space="preserve"> el comportamiento de la desigualdad distributiva en la Argentina entre mediados de los años setenta y la actualida</w:t>
      </w:r>
      <w:r w:rsidR="00AB2BF0" w:rsidRPr="003F7057">
        <w:rPr>
          <w:rFonts w:eastAsia="Times New Roman"/>
          <w:sz w:val="24"/>
          <w:szCs w:val="24"/>
          <w:lang w:val="es-ES" w:eastAsia="es-AR"/>
        </w:rPr>
        <w:t xml:space="preserve">d. </w:t>
      </w:r>
      <w:r w:rsidR="00461431">
        <w:rPr>
          <w:rFonts w:eastAsia="Times New Roman"/>
          <w:sz w:val="24"/>
          <w:szCs w:val="24"/>
          <w:lang w:val="es-ES" w:eastAsia="es-AR"/>
        </w:rPr>
        <w:t>S</w:t>
      </w:r>
      <w:r w:rsidR="00AB2BF0" w:rsidRPr="003F7057">
        <w:rPr>
          <w:rFonts w:eastAsia="Times New Roman"/>
          <w:sz w:val="24"/>
          <w:szCs w:val="24"/>
          <w:lang w:val="es-ES" w:eastAsia="es-AR"/>
        </w:rPr>
        <w:t xml:space="preserve">e busca </w:t>
      </w:r>
      <w:r w:rsidR="00CD1CBA">
        <w:rPr>
          <w:rFonts w:eastAsia="Times New Roman"/>
          <w:sz w:val="24"/>
          <w:szCs w:val="24"/>
          <w:lang w:val="es-ES" w:eastAsia="es-AR"/>
        </w:rPr>
        <w:t>conocer</w:t>
      </w:r>
      <w:r w:rsidRPr="003F7057">
        <w:rPr>
          <w:rFonts w:eastAsia="Times New Roman"/>
          <w:sz w:val="24"/>
          <w:szCs w:val="24"/>
          <w:lang w:val="es-ES" w:eastAsia="es-AR"/>
        </w:rPr>
        <w:t xml:space="preserve"> la</w:t>
      </w:r>
      <w:r w:rsidR="003038E3" w:rsidRPr="003F7057">
        <w:rPr>
          <w:rFonts w:eastAsia="Times New Roman"/>
          <w:sz w:val="24"/>
          <w:szCs w:val="24"/>
          <w:lang w:val="es-ES" w:eastAsia="es-AR"/>
        </w:rPr>
        <w:t xml:space="preserve"> manera en la cual </w:t>
      </w:r>
      <w:r w:rsidR="005C0ED0">
        <w:rPr>
          <w:rFonts w:eastAsia="Times New Roman"/>
          <w:sz w:val="24"/>
          <w:szCs w:val="24"/>
          <w:lang w:val="es-ES" w:eastAsia="es-AR"/>
        </w:rPr>
        <w:t xml:space="preserve">el mercado de trabajo </w:t>
      </w:r>
      <w:r w:rsidR="005C0ED0" w:rsidRPr="00CD1CBA">
        <w:rPr>
          <w:rFonts w:eastAsia="Times New Roman"/>
          <w:sz w:val="24"/>
          <w:szCs w:val="24"/>
          <w:highlight w:val="green"/>
          <w:lang w:val="es-ES" w:eastAsia="es-AR"/>
        </w:rPr>
        <w:t xml:space="preserve">–a través de ocupaciones en el sector formal privado, el sector público y el sector micro informal, como expresión de </w:t>
      </w:r>
      <w:r w:rsidR="00CD1CBA">
        <w:rPr>
          <w:rFonts w:eastAsia="Times New Roman"/>
          <w:sz w:val="24"/>
          <w:szCs w:val="24"/>
          <w:highlight w:val="green"/>
          <w:lang w:val="es-ES" w:eastAsia="es-AR"/>
        </w:rPr>
        <w:t>la</w:t>
      </w:r>
      <w:r w:rsidR="005C0ED0" w:rsidRPr="00CD1CBA">
        <w:rPr>
          <w:rFonts w:eastAsia="Times New Roman"/>
          <w:sz w:val="24"/>
          <w:szCs w:val="24"/>
          <w:highlight w:val="green"/>
          <w:lang w:val="es-ES" w:eastAsia="es-AR"/>
        </w:rPr>
        <w:t xml:space="preserve"> heterogeneidad estructural–</w:t>
      </w:r>
      <w:r w:rsidR="003038E3" w:rsidRPr="003F7057">
        <w:rPr>
          <w:rFonts w:eastAsia="Times New Roman"/>
          <w:sz w:val="24"/>
          <w:szCs w:val="24"/>
          <w:lang w:val="es-ES" w:eastAsia="es-AR"/>
        </w:rPr>
        <w:t xml:space="preserve"> </w:t>
      </w:r>
      <w:r w:rsidRPr="003F7057">
        <w:rPr>
          <w:rFonts w:eastAsia="Times New Roman"/>
          <w:sz w:val="24"/>
          <w:szCs w:val="24"/>
          <w:lang w:val="es-ES" w:eastAsia="es-AR"/>
        </w:rPr>
        <w:t xml:space="preserve">y el Estado –a través del sistema de jubilaciones y pensiones, </w:t>
      </w:r>
      <w:r w:rsidR="00E5598A" w:rsidRPr="003F7057">
        <w:rPr>
          <w:rFonts w:eastAsia="Times New Roman"/>
          <w:sz w:val="24"/>
          <w:szCs w:val="24"/>
          <w:lang w:val="es-ES" w:eastAsia="es-AR"/>
        </w:rPr>
        <w:t xml:space="preserve">los </w:t>
      </w:r>
      <w:r w:rsidRPr="003F7057">
        <w:rPr>
          <w:rFonts w:eastAsia="Times New Roman"/>
          <w:sz w:val="24"/>
          <w:szCs w:val="24"/>
          <w:lang w:val="es-ES" w:eastAsia="es-AR"/>
        </w:rPr>
        <w:t>programas de asistencia y promoción social, entre otras intervenciones redistributivas–</w:t>
      </w:r>
      <w:r w:rsidR="00AB2BF0" w:rsidRPr="003F7057">
        <w:rPr>
          <w:rFonts w:eastAsia="Times New Roman"/>
          <w:sz w:val="24"/>
          <w:szCs w:val="24"/>
          <w:lang w:val="es-ES" w:eastAsia="es-AR"/>
        </w:rPr>
        <w:t xml:space="preserve"> contribuy</w:t>
      </w:r>
      <w:r w:rsidR="00CD1CBA">
        <w:rPr>
          <w:rFonts w:eastAsia="Times New Roman"/>
          <w:sz w:val="24"/>
          <w:szCs w:val="24"/>
          <w:lang w:val="es-ES" w:eastAsia="es-AR"/>
        </w:rPr>
        <w:t xml:space="preserve">eron a moldear la desigualdad </w:t>
      </w:r>
      <w:r w:rsidR="00AB2BF0" w:rsidRPr="003F7057">
        <w:rPr>
          <w:rFonts w:eastAsia="Times New Roman"/>
          <w:sz w:val="24"/>
          <w:szCs w:val="24"/>
          <w:lang w:val="es-ES" w:eastAsia="es-AR"/>
        </w:rPr>
        <w:t>en cada etapa político-económica</w:t>
      </w:r>
      <w:r w:rsidR="00AB2BF0" w:rsidRPr="003F7057">
        <w:rPr>
          <w:rStyle w:val="Refdenotaalpie"/>
          <w:rFonts w:eastAsia="Times New Roman"/>
          <w:sz w:val="24"/>
          <w:szCs w:val="24"/>
          <w:lang w:val="es-ES" w:eastAsia="es-AR"/>
        </w:rPr>
        <w:footnoteReference w:id="2"/>
      </w:r>
      <w:r w:rsidR="00AB2BF0" w:rsidRPr="003F7057">
        <w:rPr>
          <w:rFonts w:eastAsia="Times New Roman"/>
          <w:sz w:val="24"/>
          <w:szCs w:val="24"/>
          <w:lang w:val="es-ES" w:eastAsia="es-AR"/>
        </w:rPr>
        <w:t>.</w:t>
      </w:r>
      <w:r w:rsidR="00CD1CBA">
        <w:rPr>
          <w:rFonts w:eastAsia="Times New Roman"/>
          <w:sz w:val="24"/>
          <w:szCs w:val="24"/>
          <w:lang w:val="es-ES" w:eastAsia="es-AR"/>
        </w:rPr>
        <w:t xml:space="preserve"> </w:t>
      </w:r>
    </w:p>
    <w:p w:rsidR="00461431" w:rsidRDefault="00CD1CBA" w:rsidP="0076050C">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E</w:t>
      </w:r>
      <w:r w:rsidR="00483170" w:rsidRPr="003F7057">
        <w:rPr>
          <w:rFonts w:eastAsia="Times New Roman"/>
          <w:sz w:val="24"/>
          <w:szCs w:val="24"/>
          <w:lang w:val="es-ES" w:eastAsia="es-AR"/>
        </w:rPr>
        <w:t xml:space="preserve">l período bajo estudio involucra diversas transformaciones en el régimen </w:t>
      </w:r>
      <w:r w:rsidR="0076050C">
        <w:rPr>
          <w:rFonts w:eastAsia="Times New Roman"/>
          <w:sz w:val="24"/>
          <w:szCs w:val="24"/>
          <w:lang w:val="es-ES" w:eastAsia="es-AR"/>
        </w:rPr>
        <w:t xml:space="preserve">social </w:t>
      </w:r>
      <w:r w:rsidR="00483170" w:rsidRPr="003F7057">
        <w:rPr>
          <w:rFonts w:eastAsia="Times New Roman"/>
          <w:sz w:val="24"/>
          <w:szCs w:val="24"/>
          <w:lang w:val="es-ES" w:eastAsia="es-AR"/>
        </w:rPr>
        <w:t>de acumulación</w:t>
      </w:r>
      <w:r w:rsidR="004235FE">
        <w:rPr>
          <w:rFonts w:eastAsia="Times New Roman"/>
          <w:sz w:val="24"/>
          <w:szCs w:val="24"/>
          <w:lang w:val="es-ES" w:eastAsia="es-AR"/>
        </w:rPr>
        <w:t xml:space="preserve"> (</w:t>
      </w:r>
      <w:proofErr w:type="spellStart"/>
      <w:r w:rsidR="004235FE" w:rsidRPr="004235FE">
        <w:rPr>
          <w:rFonts w:eastAsia="Times New Roman"/>
          <w:sz w:val="24"/>
          <w:szCs w:val="24"/>
          <w:lang w:val="es-ES" w:eastAsia="es-AR"/>
        </w:rPr>
        <w:t>Basualdo</w:t>
      </w:r>
      <w:proofErr w:type="spellEnd"/>
      <w:r w:rsidR="004235FE" w:rsidRPr="004235FE">
        <w:rPr>
          <w:rFonts w:eastAsia="Times New Roman"/>
          <w:sz w:val="24"/>
          <w:szCs w:val="24"/>
          <w:lang w:val="es-ES" w:eastAsia="es-AR"/>
        </w:rPr>
        <w:t xml:space="preserve">, 2010; </w:t>
      </w:r>
      <w:proofErr w:type="spellStart"/>
      <w:r w:rsidR="004235FE" w:rsidRPr="004235FE">
        <w:rPr>
          <w:rFonts w:eastAsia="Times New Roman"/>
          <w:sz w:val="24"/>
          <w:szCs w:val="24"/>
          <w:lang w:val="es-ES" w:eastAsia="es-AR"/>
        </w:rPr>
        <w:t>Lindenboim</w:t>
      </w:r>
      <w:proofErr w:type="spellEnd"/>
      <w:r w:rsidR="004235FE" w:rsidRPr="004235FE">
        <w:rPr>
          <w:rFonts w:eastAsia="Times New Roman"/>
          <w:sz w:val="24"/>
          <w:szCs w:val="24"/>
          <w:lang w:val="es-ES" w:eastAsia="es-AR"/>
        </w:rPr>
        <w:t>, 2012; Torrado, 2010; Salvia, 2012</w:t>
      </w:r>
      <w:r w:rsidR="004235FE">
        <w:rPr>
          <w:rFonts w:eastAsia="Times New Roman"/>
          <w:sz w:val="24"/>
          <w:szCs w:val="24"/>
          <w:lang w:val="es-ES" w:eastAsia="es-AR"/>
        </w:rPr>
        <w:t>)</w:t>
      </w:r>
      <w:r w:rsidR="00483170" w:rsidRPr="003F7057">
        <w:rPr>
          <w:rFonts w:eastAsia="Times New Roman"/>
          <w:sz w:val="24"/>
          <w:szCs w:val="24"/>
          <w:lang w:val="es-ES" w:eastAsia="es-AR"/>
        </w:rPr>
        <w:t xml:space="preserve">. En el período final de la industrialización por sustitución de importaciones y comienzo del ajuste ortodoxo (1974-1988) tuvo lugar una sucesión de shocks y programas de estabilización que </w:t>
      </w:r>
      <w:r w:rsidR="000B5991" w:rsidRPr="003F7057">
        <w:rPr>
          <w:rFonts w:eastAsia="Times New Roman"/>
          <w:sz w:val="24"/>
          <w:szCs w:val="24"/>
          <w:lang w:val="es-ES" w:eastAsia="es-AR"/>
        </w:rPr>
        <w:t>profundizaron</w:t>
      </w:r>
      <w:r w:rsidR="00483170" w:rsidRPr="003F7057">
        <w:rPr>
          <w:rFonts w:eastAsia="Times New Roman"/>
          <w:sz w:val="24"/>
          <w:szCs w:val="24"/>
          <w:lang w:val="es-ES" w:eastAsia="es-AR"/>
        </w:rPr>
        <w:t xml:space="preserve"> la heterogeneidad estructural</w:t>
      </w:r>
      <w:r w:rsidR="000B5991" w:rsidRPr="003F7057">
        <w:rPr>
          <w:rFonts w:eastAsia="Times New Roman"/>
          <w:sz w:val="24"/>
          <w:szCs w:val="24"/>
          <w:lang w:val="es-ES" w:eastAsia="es-AR"/>
        </w:rPr>
        <w:t xml:space="preserve">, comenzaron a desarticular la relación laboral “protegida” que había primado hasta entonces e incrementaron el desempleo. Estas tendencias se agudizaron en el ciclo de reformas estructurales bajo un régimen de convertibilidad (1988-2003) el cual expresó las medidas del Consenso de Washington. La apertura económica y la desregulación comercial volvieron a profundizar los desajustes estructurales, al incrementar la heterogeneidad productiva y desfavorecer la creación de empleo. Todo ello supuso un nuevo escalón en materia de desempleo, subempleo y precariedad laboral. En contraposición, los años de crecimiento bajo políticas heterodoxas (2003-2014) representaron una ruptura en estas tendencias. Si bien, como se advirtió en el </w:t>
      </w:r>
      <w:r w:rsidR="000B5991" w:rsidRPr="00461431">
        <w:rPr>
          <w:rFonts w:eastAsia="Times New Roman"/>
          <w:sz w:val="24"/>
          <w:szCs w:val="24"/>
          <w:highlight w:val="yellow"/>
          <w:lang w:val="es-ES" w:eastAsia="es-AR"/>
        </w:rPr>
        <w:t>capítulo 1</w:t>
      </w:r>
      <w:r w:rsidR="000B5991" w:rsidRPr="003F7057">
        <w:rPr>
          <w:rFonts w:eastAsia="Times New Roman"/>
          <w:sz w:val="24"/>
          <w:szCs w:val="24"/>
          <w:lang w:val="es-ES" w:eastAsia="es-AR"/>
        </w:rPr>
        <w:t xml:space="preserve">, no se registró un cambio estructural sustantivo respecto de los años neoliberales (en </w:t>
      </w:r>
      <w:r w:rsidR="000B5991" w:rsidRPr="003F7057">
        <w:rPr>
          <w:rFonts w:eastAsia="Times New Roman"/>
          <w:sz w:val="24"/>
          <w:szCs w:val="24"/>
          <w:lang w:val="es-ES" w:eastAsia="es-AR"/>
        </w:rPr>
        <w:lastRenderedPageBreak/>
        <w:t xml:space="preserve">el sentido de que persistió la heterogeneidad estructural, la extranjerización y la concentración de la economía), el cambio de reglas macroeconómicas impactó decisivamente en los niveles de empleo. </w:t>
      </w:r>
      <w:r w:rsidR="00461431">
        <w:rPr>
          <w:rFonts w:eastAsia="Times New Roman"/>
          <w:sz w:val="24"/>
          <w:szCs w:val="24"/>
          <w:lang w:val="es-ES" w:eastAsia="es-AR"/>
        </w:rPr>
        <w:t xml:space="preserve">Esto se complementó con </w:t>
      </w:r>
      <w:r w:rsidR="000B5991" w:rsidRPr="003F7057">
        <w:rPr>
          <w:rFonts w:eastAsia="Times New Roman"/>
          <w:sz w:val="24"/>
          <w:szCs w:val="24"/>
          <w:lang w:val="es-ES" w:eastAsia="es-AR"/>
        </w:rPr>
        <w:t>una política más activa en materia de fiscalización</w:t>
      </w:r>
      <w:r w:rsidR="00461431">
        <w:rPr>
          <w:rFonts w:eastAsia="Times New Roman"/>
          <w:sz w:val="24"/>
          <w:szCs w:val="24"/>
          <w:lang w:val="es-ES" w:eastAsia="es-AR"/>
        </w:rPr>
        <w:t xml:space="preserve"> que</w:t>
      </w:r>
      <w:r w:rsidR="000B5991" w:rsidRPr="003F7057">
        <w:rPr>
          <w:rFonts w:eastAsia="Times New Roman"/>
          <w:sz w:val="24"/>
          <w:szCs w:val="24"/>
          <w:lang w:val="es-ES" w:eastAsia="es-AR"/>
        </w:rPr>
        <w:t xml:space="preserve"> permitió retraer de forma parcial </w:t>
      </w:r>
      <w:r w:rsidR="00461431">
        <w:rPr>
          <w:rFonts w:eastAsia="Times New Roman"/>
          <w:sz w:val="24"/>
          <w:szCs w:val="24"/>
          <w:lang w:val="es-ES" w:eastAsia="es-AR"/>
        </w:rPr>
        <w:t>la incidencia</w:t>
      </w:r>
      <w:r w:rsidR="000B5991" w:rsidRPr="003F7057">
        <w:rPr>
          <w:rFonts w:eastAsia="Times New Roman"/>
          <w:sz w:val="24"/>
          <w:szCs w:val="24"/>
          <w:lang w:val="es-ES" w:eastAsia="es-AR"/>
        </w:rPr>
        <w:t xml:space="preserve"> de la precariedad</w:t>
      </w:r>
      <w:r w:rsidR="00461431">
        <w:rPr>
          <w:rFonts w:eastAsia="Times New Roman"/>
          <w:sz w:val="24"/>
          <w:szCs w:val="24"/>
          <w:lang w:val="es-ES" w:eastAsia="es-AR"/>
        </w:rPr>
        <w:t xml:space="preserve"> laboral. Por último, tuvo lugar una activa política en materia de ingresos, por medio de instrumentos como el incremento del salario mínimo, vital y móvil, entre otros.</w:t>
      </w:r>
    </w:p>
    <w:p w:rsidR="00483170" w:rsidRPr="003F7057" w:rsidRDefault="000B5991" w:rsidP="0076050C">
      <w:pPr>
        <w:tabs>
          <w:tab w:val="left" w:pos="4069"/>
        </w:tabs>
        <w:spacing w:line="240" w:lineRule="auto"/>
        <w:jc w:val="both"/>
        <w:rPr>
          <w:rFonts w:eastAsia="Times New Roman"/>
          <w:sz w:val="24"/>
          <w:szCs w:val="24"/>
          <w:lang w:val="es-ES" w:eastAsia="es-AR"/>
        </w:rPr>
      </w:pPr>
      <w:r w:rsidRPr="003F7057">
        <w:rPr>
          <w:rFonts w:eastAsia="Times New Roman"/>
          <w:sz w:val="24"/>
          <w:szCs w:val="24"/>
          <w:lang w:val="es-ES" w:eastAsia="es-AR"/>
        </w:rPr>
        <w:t>Estas transformaciones fueron acompañadas, a su vez, por una metamorfosis del régimen de políticas sociales</w:t>
      </w:r>
      <w:r w:rsidR="004235FE">
        <w:rPr>
          <w:rFonts w:eastAsia="Times New Roman"/>
          <w:sz w:val="24"/>
          <w:szCs w:val="24"/>
          <w:lang w:val="es-ES" w:eastAsia="es-AR"/>
        </w:rPr>
        <w:t xml:space="preserve"> (</w:t>
      </w:r>
      <w:proofErr w:type="spellStart"/>
      <w:r w:rsidR="009B6F9C">
        <w:rPr>
          <w:rFonts w:eastAsia="Times New Roman"/>
          <w:sz w:val="24"/>
          <w:szCs w:val="24"/>
          <w:lang w:val="es-ES" w:eastAsia="es-AR"/>
        </w:rPr>
        <w:t>Bertranou</w:t>
      </w:r>
      <w:proofErr w:type="spellEnd"/>
      <w:r w:rsidR="009B6F9C">
        <w:rPr>
          <w:rFonts w:eastAsia="Times New Roman"/>
          <w:sz w:val="24"/>
          <w:szCs w:val="24"/>
          <w:lang w:val="es-ES" w:eastAsia="es-AR"/>
        </w:rPr>
        <w:t xml:space="preserve"> et al., 2012; </w:t>
      </w:r>
      <w:proofErr w:type="spellStart"/>
      <w:r w:rsidR="004235FE">
        <w:rPr>
          <w:rFonts w:eastAsia="Times New Roman"/>
          <w:sz w:val="24"/>
          <w:szCs w:val="24"/>
          <w:lang w:val="es-ES" w:eastAsia="es-AR"/>
        </w:rPr>
        <w:t>Curcio</w:t>
      </w:r>
      <w:proofErr w:type="spellEnd"/>
      <w:r w:rsidR="004235FE">
        <w:rPr>
          <w:rFonts w:eastAsia="Times New Roman"/>
          <w:sz w:val="24"/>
          <w:szCs w:val="24"/>
          <w:lang w:val="es-ES" w:eastAsia="es-AR"/>
        </w:rPr>
        <w:t xml:space="preserve"> y </w:t>
      </w:r>
      <w:proofErr w:type="spellStart"/>
      <w:r w:rsidR="004235FE">
        <w:rPr>
          <w:rFonts w:eastAsia="Times New Roman"/>
          <w:sz w:val="24"/>
          <w:szCs w:val="24"/>
          <w:lang w:val="es-ES" w:eastAsia="es-AR"/>
        </w:rPr>
        <w:t>Beccaria</w:t>
      </w:r>
      <w:proofErr w:type="spellEnd"/>
      <w:r w:rsidR="004235FE">
        <w:rPr>
          <w:rFonts w:eastAsia="Times New Roman"/>
          <w:sz w:val="24"/>
          <w:szCs w:val="24"/>
          <w:lang w:val="es-ES" w:eastAsia="es-AR"/>
        </w:rPr>
        <w:t xml:space="preserve">, 2013; </w:t>
      </w:r>
      <w:proofErr w:type="spellStart"/>
      <w:r w:rsidR="004235FE">
        <w:rPr>
          <w:rFonts w:eastAsia="Times New Roman"/>
          <w:sz w:val="24"/>
          <w:szCs w:val="24"/>
          <w:lang w:val="es-ES" w:eastAsia="es-AR"/>
        </w:rPr>
        <w:t>Danani</w:t>
      </w:r>
      <w:proofErr w:type="spellEnd"/>
      <w:r w:rsidR="004235FE">
        <w:rPr>
          <w:rFonts w:eastAsia="Times New Roman"/>
          <w:sz w:val="24"/>
          <w:szCs w:val="24"/>
          <w:lang w:val="es-ES" w:eastAsia="es-AR"/>
        </w:rPr>
        <w:t xml:space="preserve"> y </w:t>
      </w:r>
      <w:proofErr w:type="spellStart"/>
      <w:r w:rsidR="004235FE">
        <w:rPr>
          <w:rFonts w:eastAsia="Times New Roman"/>
          <w:sz w:val="24"/>
          <w:szCs w:val="24"/>
          <w:lang w:val="es-ES" w:eastAsia="es-AR"/>
        </w:rPr>
        <w:t>Beccaria</w:t>
      </w:r>
      <w:proofErr w:type="spellEnd"/>
      <w:r w:rsidR="004235FE">
        <w:rPr>
          <w:rFonts w:eastAsia="Times New Roman"/>
          <w:sz w:val="24"/>
          <w:szCs w:val="24"/>
          <w:lang w:val="es-ES" w:eastAsia="es-AR"/>
        </w:rPr>
        <w:t xml:space="preserve">, 2013; </w:t>
      </w:r>
      <w:proofErr w:type="spellStart"/>
      <w:r w:rsidR="004235FE">
        <w:rPr>
          <w:rFonts w:eastAsia="Times New Roman"/>
          <w:sz w:val="24"/>
          <w:szCs w:val="24"/>
          <w:lang w:val="es-ES" w:eastAsia="es-AR"/>
        </w:rPr>
        <w:t>Isuani</w:t>
      </w:r>
      <w:proofErr w:type="spellEnd"/>
      <w:r w:rsidR="004235FE">
        <w:rPr>
          <w:rFonts w:eastAsia="Times New Roman"/>
          <w:sz w:val="24"/>
          <w:szCs w:val="24"/>
          <w:lang w:val="es-ES" w:eastAsia="es-AR"/>
        </w:rPr>
        <w:t xml:space="preserve">, 2008; </w:t>
      </w:r>
      <w:proofErr w:type="spellStart"/>
      <w:r w:rsidR="004235FE">
        <w:rPr>
          <w:rFonts w:eastAsia="Times New Roman"/>
          <w:sz w:val="24"/>
          <w:szCs w:val="24"/>
          <w:lang w:val="es-ES" w:eastAsia="es-AR"/>
        </w:rPr>
        <w:t>Soldano</w:t>
      </w:r>
      <w:proofErr w:type="spellEnd"/>
      <w:r w:rsidR="004235FE">
        <w:rPr>
          <w:rFonts w:eastAsia="Times New Roman"/>
          <w:sz w:val="24"/>
          <w:szCs w:val="24"/>
          <w:lang w:val="es-ES" w:eastAsia="es-AR"/>
        </w:rPr>
        <w:t xml:space="preserve"> y </w:t>
      </w:r>
      <w:proofErr w:type="spellStart"/>
      <w:r w:rsidR="004235FE">
        <w:rPr>
          <w:rFonts w:eastAsia="Times New Roman"/>
          <w:sz w:val="24"/>
          <w:szCs w:val="24"/>
          <w:lang w:val="es-ES" w:eastAsia="es-AR"/>
        </w:rPr>
        <w:t>Andrenacci</w:t>
      </w:r>
      <w:proofErr w:type="spellEnd"/>
      <w:r w:rsidR="004235FE">
        <w:rPr>
          <w:rFonts w:eastAsia="Times New Roman"/>
          <w:sz w:val="24"/>
          <w:szCs w:val="24"/>
          <w:lang w:val="es-ES" w:eastAsia="es-AR"/>
        </w:rPr>
        <w:t>, 2005)</w:t>
      </w:r>
      <w:r w:rsidRPr="003F7057">
        <w:rPr>
          <w:rFonts w:eastAsia="Times New Roman"/>
          <w:sz w:val="24"/>
          <w:szCs w:val="24"/>
          <w:lang w:val="es-ES" w:eastAsia="es-AR"/>
        </w:rPr>
        <w:t>. Durante el primero de los períodos estudiados fue iniciándose una desarticulación del modelo de bienestar que se había consolidado desde la Posguerra, al ritmo de la crisis fiscal del Estado. Los años noventa profundizaron esta tendencia, pero introdujeron una serie de novedades. El sistema previsional fue privatizado, la pirámide jubilatoria se hizo más heterogénea</w:t>
      </w:r>
      <w:r w:rsidR="000C4764" w:rsidRPr="003F7057">
        <w:rPr>
          <w:rFonts w:eastAsia="Times New Roman"/>
          <w:sz w:val="24"/>
          <w:szCs w:val="24"/>
          <w:lang w:val="es-ES" w:eastAsia="es-AR"/>
        </w:rPr>
        <w:t xml:space="preserve"> y se retrajeron los niveles de cobertura. Además, una de las principales innovaciones del período neoliberal fue la </w:t>
      </w:r>
      <w:r w:rsidRPr="003F7057">
        <w:rPr>
          <w:rFonts w:eastAsia="Times New Roman"/>
          <w:sz w:val="24"/>
          <w:szCs w:val="24"/>
          <w:lang w:val="es-ES" w:eastAsia="es-AR"/>
        </w:rPr>
        <w:t xml:space="preserve">significativa </w:t>
      </w:r>
      <w:r w:rsidR="000C4764" w:rsidRPr="003F7057">
        <w:rPr>
          <w:rFonts w:eastAsia="Times New Roman"/>
          <w:sz w:val="24"/>
          <w:szCs w:val="24"/>
          <w:lang w:val="es-ES" w:eastAsia="es-AR"/>
        </w:rPr>
        <w:t xml:space="preserve">ampliación de </w:t>
      </w:r>
      <w:r w:rsidRPr="003F7057">
        <w:rPr>
          <w:rFonts w:eastAsia="Times New Roman"/>
          <w:sz w:val="24"/>
          <w:szCs w:val="24"/>
          <w:lang w:val="es-ES" w:eastAsia="es-AR"/>
        </w:rPr>
        <w:t>los progr</w:t>
      </w:r>
      <w:r w:rsidR="000C4764" w:rsidRPr="003F7057">
        <w:rPr>
          <w:rFonts w:eastAsia="Times New Roman"/>
          <w:sz w:val="24"/>
          <w:szCs w:val="24"/>
          <w:lang w:val="es-ES" w:eastAsia="es-AR"/>
        </w:rPr>
        <w:t xml:space="preserve">amas de lucha contra la pobreza, estrechamente asociados al problema del empleo. En los años de crecimiento bajo políticas heterodoxas se verificó un cambio en esta área: la cobertura jubilatoria se incrementó sostenidamente y se “acható” la pirámide previsional. Por último, los programas de transferencia de ingreso se mantuvieron pero su carácter se modificó, pasando de estar centrados en el </w:t>
      </w:r>
      <w:proofErr w:type="spellStart"/>
      <w:r w:rsidR="000C4764" w:rsidRPr="003F7057">
        <w:rPr>
          <w:rFonts w:eastAsia="Times New Roman"/>
          <w:i/>
          <w:sz w:val="24"/>
          <w:szCs w:val="24"/>
          <w:lang w:val="es-ES" w:eastAsia="es-AR"/>
        </w:rPr>
        <w:t>workfare</w:t>
      </w:r>
      <w:proofErr w:type="spellEnd"/>
      <w:r w:rsidR="000C4764" w:rsidRPr="003F7057">
        <w:rPr>
          <w:rFonts w:eastAsia="Times New Roman"/>
          <w:sz w:val="24"/>
          <w:szCs w:val="24"/>
          <w:lang w:val="es-ES" w:eastAsia="es-AR"/>
        </w:rPr>
        <w:t xml:space="preserve"> a apoyarse en el </w:t>
      </w:r>
      <w:proofErr w:type="spellStart"/>
      <w:r w:rsidR="000C4764" w:rsidRPr="003F7057">
        <w:rPr>
          <w:rFonts w:eastAsia="Times New Roman"/>
          <w:i/>
          <w:sz w:val="24"/>
          <w:szCs w:val="24"/>
          <w:lang w:val="es-ES" w:eastAsia="es-AR"/>
        </w:rPr>
        <w:t>welfare</w:t>
      </w:r>
      <w:proofErr w:type="spellEnd"/>
      <w:r w:rsidR="000C4764" w:rsidRPr="003F7057">
        <w:rPr>
          <w:rFonts w:eastAsia="Times New Roman"/>
          <w:sz w:val="24"/>
          <w:szCs w:val="24"/>
          <w:lang w:val="es-ES" w:eastAsia="es-AR"/>
        </w:rPr>
        <w:t xml:space="preserve">. </w:t>
      </w:r>
    </w:p>
    <w:p w:rsidR="005A5637" w:rsidRPr="003F7057" w:rsidRDefault="000C4764" w:rsidP="0076050C">
      <w:pPr>
        <w:spacing w:line="240" w:lineRule="auto"/>
        <w:jc w:val="both"/>
        <w:rPr>
          <w:sz w:val="24"/>
          <w:szCs w:val="24"/>
        </w:rPr>
      </w:pPr>
      <w:r w:rsidRPr="003F7057">
        <w:rPr>
          <w:sz w:val="24"/>
          <w:szCs w:val="24"/>
        </w:rPr>
        <w:t xml:space="preserve">En tanto que el </w:t>
      </w:r>
      <w:r w:rsidRPr="001111DB">
        <w:rPr>
          <w:sz w:val="24"/>
          <w:szCs w:val="24"/>
          <w:highlight w:val="yellow"/>
        </w:rPr>
        <w:t>capítulo 1</w:t>
      </w:r>
      <w:r w:rsidRPr="003F7057">
        <w:rPr>
          <w:sz w:val="24"/>
          <w:szCs w:val="24"/>
        </w:rPr>
        <w:t xml:space="preserve"> de este libro mostró las características del contexto macroeconómico, del mercado de trabajo y de las pol</w:t>
      </w:r>
      <w:r w:rsidR="005A5637" w:rsidRPr="003F7057">
        <w:rPr>
          <w:sz w:val="24"/>
          <w:szCs w:val="24"/>
        </w:rPr>
        <w:t xml:space="preserve">íticas sociales en la Argentina y la evolución de la desigualdad, y el </w:t>
      </w:r>
      <w:r w:rsidR="005A5637" w:rsidRPr="001111DB">
        <w:rPr>
          <w:sz w:val="24"/>
          <w:szCs w:val="24"/>
          <w:highlight w:val="yellow"/>
        </w:rPr>
        <w:t>capítulo 2</w:t>
      </w:r>
      <w:r w:rsidR="005A5637" w:rsidRPr="003F7057">
        <w:rPr>
          <w:sz w:val="24"/>
          <w:szCs w:val="24"/>
        </w:rPr>
        <w:t xml:space="preserve"> evaluó la forma de la distribución –los “ganadores” y los “perdedores” entre los quintiles–, este capítulo propone una aproximación diferente. En diálogo con las evidencias presentadas, </w:t>
      </w:r>
      <w:r w:rsidR="00CD1CBA">
        <w:rPr>
          <w:sz w:val="24"/>
          <w:szCs w:val="24"/>
        </w:rPr>
        <w:t>se</w:t>
      </w:r>
      <w:r w:rsidR="005A5637" w:rsidRPr="003F7057">
        <w:rPr>
          <w:sz w:val="24"/>
          <w:szCs w:val="24"/>
        </w:rPr>
        <w:t xml:space="preserve"> aborda un conjunto de mecanismos que subyacen a la desigualdad y busca explicar su papel en </w:t>
      </w:r>
      <w:r w:rsidR="004235FE">
        <w:rPr>
          <w:sz w:val="24"/>
          <w:szCs w:val="24"/>
        </w:rPr>
        <w:t>la transformación d</w:t>
      </w:r>
      <w:r w:rsidR="005A5637" w:rsidRPr="003F7057">
        <w:rPr>
          <w:sz w:val="24"/>
          <w:szCs w:val="24"/>
        </w:rPr>
        <w:t xml:space="preserve">el patrón distributivo. </w:t>
      </w:r>
    </w:p>
    <w:p w:rsidR="00EA14E5" w:rsidRDefault="006732CD" w:rsidP="00EA14E5">
      <w:pPr>
        <w:spacing w:after="120" w:line="240" w:lineRule="auto"/>
        <w:jc w:val="both"/>
        <w:rPr>
          <w:sz w:val="24"/>
          <w:szCs w:val="24"/>
        </w:rPr>
      </w:pPr>
      <w:r w:rsidRPr="00CD1CBA">
        <w:rPr>
          <w:sz w:val="24"/>
          <w:szCs w:val="24"/>
          <w:highlight w:val="green"/>
        </w:rPr>
        <w:t>La</w:t>
      </w:r>
      <w:r w:rsidR="005A5637" w:rsidRPr="00CD1CBA">
        <w:rPr>
          <w:sz w:val="24"/>
          <w:szCs w:val="24"/>
          <w:highlight w:val="green"/>
        </w:rPr>
        <w:t xml:space="preserve"> </w:t>
      </w:r>
      <w:r w:rsidR="00EA14E5">
        <w:rPr>
          <w:sz w:val="24"/>
          <w:szCs w:val="24"/>
          <w:highlight w:val="green"/>
        </w:rPr>
        <w:t xml:space="preserve">próxima </w:t>
      </w:r>
      <w:r w:rsidR="005A5637" w:rsidRPr="00CD1CBA">
        <w:rPr>
          <w:sz w:val="24"/>
          <w:szCs w:val="24"/>
          <w:highlight w:val="green"/>
        </w:rPr>
        <w:t xml:space="preserve">sección </w:t>
      </w:r>
      <w:r w:rsidR="00EA14E5">
        <w:rPr>
          <w:sz w:val="24"/>
          <w:szCs w:val="24"/>
          <w:highlight w:val="green"/>
        </w:rPr>
        <w:t xml:space="preserve">de este capítulo </w:t>
      </w:r>
      <w:r w:rsidRPr="00CD1CBA">
        <w:rPr>
          <w:sz w:val="24"/>
          <w:szCs w:val="24"/>
          <w:highlight w:val="green"/>
        </w:rPr>
        <w:t xml:space="preserve">presenta un modelo de descomposición del cambio del ingreso familiar que examina qué papel jugaron los </w:t>
      </w:r>
      <w:r w:rsidR="005A5637" w:rsidRPr="00CD1CBA">
        <w:rPr>
          <w:sz w:val="24"/>
          <w:szCs w:val="24"/>
          <w:highlight w:val="green"/>
        </w:rPr>
        <w:t>ingresos por perceptor</w:t>
      </w:r>
      <w:r w:rsidRPr="00CD1CBA">
        <w:rPr>
          <w:sz w:val="24"/>
          <w:szCs w:val="24"/>
          <w:highlight w:val="green"/>
        </w:rPr>
        <w:t xml:space="preserve"> de cada tipo de fuente y </w:t>
      </w:r>
      <w:r w:rsidR="005A5637" w:rsidRPr="00CD1CBA">
        <w:rPr>
          <w:sz w:val="24"/>
          <w:szCs w:val="24"/>
          <w:highlight w:val="green"/>
        </w:rPr>
        <w:t xml:space="preserve">en el número de perceptores </w:t>
      </w:r>
      <w:r w:rsidRPr="00CD1CBA">
        <w:rPr>
          <w:sz w:val="24"/>
          <w:szCs w:val="24"/>
          <w:highlight w:val="green"/>
        </w:rPr>
        <w:t xml:space="preserve">en la modificación del </w:t>
      </w:r>
      <w:r w:rsidR="00CD1CBA" w:rsidRPr="00CD1CBA">
        <w:rPr>
          <w:sz w:val="24"/>
          <w:szCs w:val="24"/>
          <w:highlight w:val="green"/>
        </w:rPr>
        <w:t>nivel de ingreso</w:t>
      </w:r>
      <w:r w:rsidR="005A5637" w:rsidRPr="003F7057">
        <w:rPr>
          <w:sz w:val="24"/>
          <w:szCs w:val="24"/>
        </w:rPr>
        <w:t xml:space="preserve">. </w:t>
      </w:r>
      <w:r w:rsidR="00CD1CBA" w:rsidRPr="00CD1CBA">
        <w:rPr>
          <w:sz w:val="24"/>
          <w:szCs w:val="24"/>
          <w:highlight w:val="green"/>
        </w:rPr>
        <w:t>Esta sección</w:t>
      </w:r>
      <w:r w:rsidR="005A5637" w:rsidRPr="00CD1CBA">
        <w:rPr>
          <w:sz w:val="24"/>
          <w:szCs w:val="24"/>
          <w:highlight w:val="green"/>
        </w:rPr>
        <w:t xml:space="preserve"> permite integrar procesos macro-sociales (la distribución del ingreso, el funcionamiento del mercado de trabajo y las políticas sociales) con fenómenos micro-sociales (la participación laboral, la posibilidad de captación de recursos por vía de la redistribución secundaria, etcétera).</w:t>
      </w:r>
      <w:r w:rsidR="005A5637" w:rsidRPr="003F7057">
        <w:rPr>
          <w:sz w:val="24"/>
          <w:szCs w:val="24"/>
        </w:rPr>
        <w:t xml:space="preserve"> El </w:t>
      </w:r>
      <w:r w:rsidR="00EA14E5">
        <w:rPr>
          <w:sz w:val="24"/>
          <w:szCs w:val="24"/>
        </w:rPr>
        <w:t xml:space="preserve">tercer </w:t>
      </w:r>
      <w:r w:rsidR="005A5637" w:rsidRPr="003F7057">
        <w:rPr>
          <w:sz w:val="24"/>
          <w:szCs w:val="24"/>
        </w:rPr>
        <w:t xml:space="preserve">apartado presenta un ejercicio de descomposición del coeficiente de Gini </w:t>
      </w:r>
      <w:r w:rsidR="00AC76A3" w:rsidRPr="003F7057">
        <w:rPr>
          <w:sz w:val="24"/>
          <w:szCs w:val="24"/>
        </w:rPr>
        <w:t>según fuentes</w:t>
      </w:r>
      <w:r w:rsidR="005A5637" w:rsidRPr="003F7057">
        <w:rPr>
          <w:sz w:val="24"/>
          <w:szCs w:val="24"/>
        </w:rPr>
        <w:t xml:space="preserve">, tomando en cuenta </w:t>
      </w:r>
      <w:r w:rsidR="00CE56FB" w:rsidRPr="003F7057">
        <w:rPr>
          <w:sz w:val="24"/>
          <w:szCs w:val="24"/>
        </w:rPr>
        <w:t>lo ocurrido en cada uno</w:t>
      </w:r>
      <w:r w:rsidR="00AC76A3" w:rsidRPr="003F7057">
        <w:rPr>
          <w:sz w:val="24"/>
          <w:szCs w:val="24"/>
        </w:rPr>
        <w:t xml:space="preserve"> de los períodos, pero con particular énfasis en el período de políticas heterodoxas. El capítulo concluye con algunas reflexiones finales que buscan sistematizar los hallazgos</w:t>
      </w:r>
      <w:r w:rsidR="00AC76A3" w:rsidRPr="003F7057">
        <w:rPr>
          <w:rStyle w:val="Refdenotaalpie"/>
          <w:sz w:val="24"/>
          <w:szCs w:val="24"/>
        </w:rPr>
        <w:footnoteReference w:id="3"/>
      </w:r>
      <w:r w:rsidR="00AC76A3" w:rsidRPr="003F7057">
        <w:rPr>
          <w:sz w:val="24"/>
          <w:szCs w:val="24"/>
        </w:rPr>
        <w:t>.</w:t>
      </w:r>
    </w:p>
    <w:p w:rsidR="00433B67" w:rsidRPr="00EA14E5" w:rsidRDefault="00EA14E5" w:rsidP="00EA14E5">
      <w:pPr>
        <w:spacing w:after="120" w:line="240" w:lineRule="auto"/>
        <w:jc w:val="center"/>
        <w:rPr>
          <w:sz w:val="24"/>
          <w:szCs w:val="24"/>
        </w:rPr>
      </w:pPr>
      <w:r>
        <w:rPr>
          <w:rFonts w:eastAsia="Times New Roman"/>
          <w:b/>
          <w:sz w:val="24"/>
          <w:szCs w:val="24"/>
          <w:highlight w:val="green"/>
          <w:lang w:val="es-ES" w:eastAsia="es-AR"/>
        </w:rPr>
        <w:lastRenderedPageBreak/>
        <w:t>2</w:t>
      </w:r>
      <w:r w:rsidR="00433B67" w:rsidRPr="00ED2C33">
        <w:rPr>
          <w:rFonts w:eastAsia="Times New Roman"/>
          <w:b/>
          <w:sz w:val="24"/>
          <w:szCs w:val="24"/>
          <w:highlight w:val="green"/>
          <w:lang w:val="es-ES" w:eastAsia="es-AR"/>
        </w:rPr>
        <w:t>.- Articulaciones micro y macro sociales</w:t>
      </w:r>
      <w:r w:rsidR="00433B67">
        <w:rPr>
          <w:rFonts w:eastAsia="Times New Roman"/>
          <w:b/>
          <w:sz w:val="24"/>
          <w:szCs w:val="24"/>
          <w:highlight w:val="green"/>
          <w:lang w:val="es-ES" w:eastAsia="es-AR"/>
        </w:rPr>
        <w:t xml:space="preserve"> en la </w:t>
      </w:r>
      <w:r w:rsidR="00433B67" w:rsidRPr="00ED2C33">
        <w:rPr>
          <w:rFonts w:eastAsia="Times New Roman"/>
          <w:b/>
          <w:sz w:val="24"/>
          <w:szCs w:val="24"/>
          <w:highlight w:val="green"/>
          <w:lang w:val="es-ES" w:eastAsia="es-AR"/>
        </w:rPr>
        <w:t>configuración del patrón distributivo</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sidRPr="003F7057">
        <w:rPr>
          <w:rFonts w:eastAsia="Times New Roman"/>
          <w:sz w:val="24"/>
          <w:szCs w:val="24"/>
          <w:lang w:val="es-ES" w:eastAsia="es-AR"/>
        </w:rPr>
        <w:t xml:space="preserve">Diferentes perspectivas analíticas enfatizan </w:t>
      </w:r>
      <w:r w:rsidR="006602B1">
        <w:rPr>
          <w:rFonts w:eastAsia="Times New Roman"/>
          <w:sz w:val="24"/>
          <w:szCs w:val="24"/>
          <w:lang w:val="es-ES" w:eastAsia="es-AR"/>
        </w:rPr>
        <w:t xml:space="preserve">la articulación entre mercados de trabajo, intervención social del Estado y el propio </w:t>
      </w:r>
      <w:r w:rsidRPr="003F7057">
        <w:rPr>
          <w:rFonts w:eastAsia="Times New Roman"/>
          <w:sz w:val="24"/>
          <w:szCs w:val="24"/>
          <w:lang w:val="es-ES" w:eastAsia="es-AR"/>
        </w:rPr>
        <w:t>rol activo que desempeñan los hogares</w:t>
      </w:r>
      <w:r w:rsidR="006602B1">
        <w:rPr>
          <w:rFonts w:eastAsia="Times New Roman"/>
          <w:sz w:val="24"/>
          <w:szCs w:val="24"/>
          <w:lang w:val="es-ES" w:eastAsia="es-AR"/>
        </w:rPr>
        <w:t>, en relación con el acceso y optimización del bienestar económico</w:t>
      </w:r>
      <w:r w:rsidRPr="003F7057">
        <w:rPr>
          <w:rFonts w:eastAsia="Times New Roman"/>
          <w:sz w:val="24"/>
          <w:szCs w:val="24"/>
          <w:lang w:val="es-ES" w:eastAsia="es-AR"/>
        </w:rPr>
        <w:t xml:space="preserve"> (</w:t>
      </w:r>
      <w:proofErr w:type="spellStart"/>
      <w:r w:rsidRPr="003F7057">
        <w:rPr>
          <w:rFonts w:eastAsia="Times New Roman"/>
          <w:sz w:val="24"/>
          <w:szCs w:val="24"/>
          <w:lang w:val="es-ES" w:eastAsia="es-AR"/>
        </w:rPr>
        <w:t>Kaztman</w:t>
      </w:r>
      <w:proofErr w:type="spellEnd"/>
      <w:r w:rsidRPr="003F7057">
        <w:rPr>
          <w:rFonts w:eastAsia="Times New Roman"/>
          <w:sz w:val="24"/>
          <w:szCs w:val="24"/>
          <w:lang w:val="es-ES" w:eastAsia="es-AR"/>
        </w:rPr>
        <w:t xml:space="preserve"> y </w:t>
      </w:r>
      <w:proofErr w:type="spellStart"/>
      <w:r w:rsidRPr="003F7057">
        <w:rPr>
          <w:rFonts w:eastAsia="Times New Roman"/>
          <w:sz w:val="24"/>
          <w:szCs w:val="24"/>
          <w:lang w:val="es-ES" w:eastAsia="es-AR"/>
        </w:rPr>
        <w:t>Filgueira</w:t>
      </w:r>
      <w:proofErr w:type="spellEnd"/>
      <w:r w:rsidRPr="003F7057">
        <w:rPr>
          <w:rFonts w:eastAsia="Times New Roman"/>
          <w:sz w:val="24"/>
          <w:szCs w:val="24"/>
          <w:lang w:val="es-ES" w:eastAsia="es-AR"/>
        </w:rPr>
        <w:t xml:space="preserve">, 1999; Martínez </w:t>
      </w:r>
      <w:proofErr w:type="spellStart"/>
      <w:r w:rsidRPr="003F7057">
        <w:rPr>
          <w:rFonts w:eastAsia="Times New Roman"/>
          <w:sz w:val="24"/>
          <w:szCs w:val="24"/>
          <w:lang w:val="es-ES" w:eastAsia="es-AR"/>
        </w:rPr>
        <w:t>Franzoni</w:t>
      </w:r>
      <w:proofErr w:type="spellEnd"/>
      <w:r w:rsidRPr="003F7057">
        <w:rPr>
          <w:rFonts w:eastAsia="Times New Roman"/>
          <w:sz w:val="24"/>
          <w:szCs w:val="24"/>
          <w:lang w:val="es-ES" w:eastAsia="es-AR"/>
        </w:rPr>
        <w:t xml:space="preserve">, 2005; Torrado, 2006). En ese marco, </w:t>
      </w:r>
      <w:r>
        <w:rPr>
          <w:rFonts w:eastAsia="Times New Roman"/>
          <w:sz w:val="24"/>
          <w:szCs w:val="24"/>
          <w:lang w:val="es-ES" w:eastAsia="es-AR"/>
        </w:rPr>
        <w:t xml:space="preserve">esta sección se propone describir los factores que operaron en el acceso al bienestar por parte de los hogares. Con este propósito, corresponde examinar cuáles fueron los factores subyacentes al cambio en los ingresos familiares, considerando de modo articulado tanto el esfuerzo desplegado por los hogares como las retribuciones de mercado, de transferencias estatales y de otras fuentes no laborales obtenidas por las unidades domésticas. </w:t>
      </w:r>
    </w:p>
    <w:p w:rsidR="00433B67" w:rsidRPr="00404B7B" w:rsidRDefault="00433B67" w:rsidP="00433B67">
      <w:pPr>
        <w:tabs>
          <w:tab w:val="left" w:pos="4069"/>
        </w:tabs>
        <w:spacing w:after="0" w:line="240" w:lineRule="auto"/>
        <w:jc w:val="both"/>
        <w:rPr>
          <w:rFonts w:eastAsia="Times New Roman"/>
          <w:sz w:val="24"/>
          <w:szCs w:val="24"/>
          <w:lang w:val="es-ES" w:eastAsia="es-AR"/>
        </w:rPr>
      </w:pPr>
    </w:p>
    <w:p w:rsidR="00433B67" w:rsidRPr="00404B7B" w:rsidRDefault="00433B67" w:rsidP="00433B67">
      <w:pPr>
        <w:spacing w:line="240" w:lineRule="auto"/>
        <w:jc w:val="both"/>
        <w:rPr>
          <w:sz w:val="24"/>
          <w:szCs w:val="24"/>
        </w:rPr>
      </w:pPr>
      <w:r w:rsidRPr="00404B7B">
        <w:rPr>
          <w:sz w:val="24"/>
          <w:szCs w:val="24"/>
        </w:rPr>
        <w:t xml:space="preserve">El ingreso familiar </w:t>
      </w:r>
      <w:r w:rsidR="00717A6D">
        <w:rPr>
          <w:sz w:val="24"/>
          <w:szCs w:val="24"/>
        </w:rPr>
        <w:t xml:space="preserve">promedio </w:t>
      </w:r>
      <w:r w:rsidRPr="00717A6D">
        <w:rPr>
          <w:sz w:val="24"/>
          <w:szCs w:val="24"/>
        </w:rPr>
        <w:t xml:space="preserve">de un grupo de hogares </w:t>
      </w:r>
      <w:r w:rsidRPr="00717A6D">
        <w:rPr>
          <w:i/>
          <w:sz w:val="24"/>
          <w:szCs w:val="24"/>
        </w:rPr>
        <w:t xml:space="preserve">g </w:t>
      </w:r>
      <w:r w:rsidRPr="00404B7B">
        <w:rPr>
          <w:sz w:val="24"/>
          <w:szCs w:val="24"/>
        </w:rPr>
        <w:t>puede ser escrito del siguiente modo:</w:t>
      </w:r>
    </w:p>
    <w:p w:rsidR="00433B67" w:rsidRPr="00404B7B" w:rsidRDefault="00433B67" w:rsidP="00433B67">
      <w:pPr>
        <w:spacing w:line="240" w:lineRule="auto"/>
        <w:jc w:val="center"/>
        <w:rPr>
          <w:sz w:val="24"/>
          <w:szCs w:val="24"/>
        </w:rPr>
      </w:pPr>
      <w:proofErr w:type="spellStart"/>
      <w:r w:rsidRPr="00404B7B">
        <w:rPr>
          <w:sz w:val="24"/>
          <w:szCs w:val="24"/>
        </w:rPr>
        <w:t>I</w:t>
      </w:r>
      <w:r>
        <w:rPr>
          <w:sz w:val="24"/>
          <w:szCs w:val="24"/>
        </w:rPr>
        <w:t>TF</w:t>
      </w:r>
      <w:r w:rsidRPr="00404B7B">
        <w:rPr>
          <w:i/>
          <w:sz w:val="24"/>
          <w:szCs w:val="24"/>
          <w:vertAlign w:val="subscript"/>
        </w:rPr>
        <w:t>g</w:t>
      </w:r>
      <w:proofErr w:type="spellEnd"/>
      <w:r w:rsidRPr="00404B7B">
        <w:rPr>
          <w:sz w:val="24"/>
          <w:szCs w:val="24"/>
          <w:vertAlign w:val="subscript"/>
        </w:rPr>
        <w:t xml:space="preserve"> </w:t>
      </w:r>
      <w:r w:rsidRPr="00404B7B">
        <w:rPr>
          <w:sz w:val="24"/>
          <w:szCs w:val="24"/>
        </w:rPr>
        <w:t>= Y/</w:t>
      </w:r>
      <w:proofErr w:type="spellStart"/>
      <w:r w:rsidRPr="00404B7B">
        <w:rPr>
          <w:sz w:val="24"/>
          <w:szCs w:val="24"/>
        </w:rPr>
        <w:t>PER</w:t>
      </w:r>
      <w:r w:rsidRPr="00404B7B">
        <w:rPr>
          <w:i/>
          <w:sz w:val="24"/>
          <w:szCs w:val="24"/>
          <w:vertAlign w:val="subscript"/>
        </w:rPr>
        <w:t>g</w:t>
      </w:r>
      <w:proofErr w:type="spellEnd"/>
      <w:r w:rsidRPr="00404B7B">
        <w:rPr>
          <w:sz w:val="24"/>
          <w:szCs w:val="24"/>
          <w:vertAlign w:val="subscript"/>
        </w:rPr>
        <w:t xml:space="preserve"> </w:t>
      </w:r>
      <w:r w:rsidRPr="00404B7B">
        <w:rPr>
          <w:sz w:val="24"/>
          <w:szCs w:val="24"/>
        </w:rPr>
        <w:t xml:space="preserve"> </w:t>
      </w:r>
      <w:proofErr w:type="spellStart"/>
      <w:r w:rsidRPr="00404B7B">
        <w:rPr>
          <w:sz w:val="24"/>
          <w:szCs w:val="24"/>
        </w:rPr>
        <w:t>NPER</w:t>
      </w:r>
      <w:r w:rsidRPr="00404B7B">
        <w:rPr>
          <w:i/>
          <w:sz w:val="24"/>
          <w:szCs w:val="24"/>
          <w:vertAlign w:val="subscript"/>
        </w:rPr>
        <w:t>g</w:t>
      </w:r>
      <w:proofErr w:type="spellEnd"/>
      <w:r w:rsidRPr="00404B7B">
        <w:rPr>
          <w:sz w:val="24"/>
          <w:szCs w:val="24"/>
        </w:rPr>
        <w:t xml:space="preserve">  (1),</w:t>
      </w:r>
    </w:p>
    <w:p w:rsidR="00433B67" w:rsidRPr="00404B7B" w:rsidRDefault="00433B67" w:rsidP="00433B67">
      <w:pPr>
        <w:spacing w:line="240" w:lineRule="auto"/>
        <w:jc w:val="both"/>
        <w:rPr>
          <w:sz w:val="24"/>
          <w:szCs w:val="24"/>
          <w:lang w:val="es-ES"/>
        </w:rPr>
      </w:pPr>
      <w:r w:rsidRPr="00404B7B">
        <w:rPr>
          <w:sz w:val="24"/>
          <w:szCs w:val="24"/>
        </w:rPr>
        <w:t xml:space="preserve">Es decir que el </w:t>
      </w:r>
      <w:r>
        <w:rPr>
          <w:sz w:val="24"/>
          <w:szCs w:val="24"/>
        </w:rPr>
        <w:t xml:space="preserve">ingreso familiar </w:t>
      </w:r>
      <w:r w:rsidR="00717A6D">
        <w:rPr>
          <w:sz w:val="24"/>
          <w:szCs w:val="24"/>
        </w:rPr>
        <w:t xml:space="preserve">medio </w:t>
      </w:r>
      <w:r w:rsidRPr="00404B7B">
        <w:rPr>
          <w:sz w:val="24"/>
          <w:szCs w:val="24"/>
        </w:rPr>
        <w:t>es el resultado del ingreso medio por perceptor del hogar  (Y/PER)</w:t>
      </w:r>
      <w:r>
        <w:rPr>
          <w:sz w:val="24"/>
          <w:szCs w:val="24"/>
        </w:rPr>
        <w:t xml:space="preserve"> y</w:t>
      </w:r>
      <w:r w:rsidRPr="00404B7B">
        <w:rPr>
          <w:sz w:val="24"/>
          <w:szCs w:val="24"/>
        </w:rPr>
        <w:t xml:space="preserve"> el número de perceptores del hogar (NPER). </w:t>
      </w:r>
      <w:r w:rsidRPr="00404B7B">
        <w:rPr>
          <w:sz w:val="24"/>
          <w:szCs w:val="24"/>
          <w:lang w:val="es-ES"/>
        </w:rPr>
        <w:t xml:space="preserve">Como demuestra Cortés (1995), cuando estos componentes varían a tasas </w:t>
      </w:r>
      <w:r w:rsidRPr="00404B7B">
        <w:rPr>
          <w:i/>
          <w:sz w:val="24"/>
          <w:szCs w:val="24"/>
          <w:lang w:val="es-ES"/>
        </w:rPr>
        <w:t>r</w:t>
      </w:r>
      <w:r>
        <w:rPr>
          <w:sz w:val="24"/>
          <w:szCs w:val="24"/>
          <w:lang w:val="es-ES"/>
        </w:rPr>
        <w:t xml:space="preserve"> y</w:t>
      </w:r>
      <w:r w:rsidRPr="00404B7B">
        <w:rPr>
          <w:sz w:val="24"/>
          <w:szCs w:val="24"/>
          <w:lang w:val="es-ES"/>
        </w:rPr>
        <w:t xml:space="preserve"> </w:t>
      </w:r>
      <w:r w:rsidRPr="00404B7B">
        <w:rPr>
          <w:i/>
          <w:sz w:val="24"/>
          <w:szCs w:val="24"/>
          <w:lang w:val="es-ES"/>
        </w:rPr>
        <w:t>p</w:t>
      </w:r>
      <w:r w:rsidRPr="00404B7B">
        <w:rPr>
          <w:sz w:val="24"/>
          <w:szCs w:val="24"/>
          <w:lang w:val="es-ES"/>
        </w:rPr>
        <w:t xml:space="preserve">, el cambio del ingreso puede escribirse del siguiente modo: </w:t>
      </w:r>
    </w:p>
    <w:p w:rsidR="00433B67" w:rsidRPr="00675532" w:rsidRDefault="00433B67" w:rsidP="00433B67">
      <w:pPr>
        <w:spacing w:line="240" w:lineRule="auto"/>
        <w:jc w:val="center"/>
        <w:rPr>
          <w:sz w:val="24"/>
          <w:szCs w:val="24"/>
          <w:lang w:val="en-US"/>
        </w:rPr>
      </w:pPr>
      <w:r w:rsidRPr="00404B7B">
        <w:rPr>
          <w:sz w:val="24"/>
          <w:szCs w:val="24"/>
          <w:lang w:val="es-ES"/>
        </w:rPr>
        <w:t>Δ</w:t>
      </w:r>
      <w:r w:rsidRPr="00675532">
        <w:rPr>
          <w:sz w:val="24"/>
          <w:szCs w:val="24"/>
          <w:lang w:val="en-US"/>
        </w:rPr>
        <w:t>ITF</w:t>
      </w:r>
      <w:r w:rsidRPr="00675532">
        <w:rPr>
          <w:sz w:val="24"/>
          <w:szCs w:val="24"/>
          <w:vertAlign w:val="subscript"/>
          <w:lang w:val="en-US"/>
        </w:rPr>
        <w:t xml:space="preserve">t1, t0 </w:t>
      </w:r>
      <w:r w:rsidRPr="00675532">
        <w:rPr>
          <w:sz w:val="24"/>
          <w:szCs w:val="24"/>
          <w:lang w:val="en-US"/>
        </w:rPr>
        <w:t>= ITF</w:t>
      </w:r>
      <w:r w:rsidRPr="00675532">
        <w:rPr>
          <w:sz w:val="24"/>
          <w:szCs w:val="24"/>
          <w:vertAlign w:val="subscript"/>
          <w:lang w:val="en-US"/>
        </w:rPr>
        <w:t xml:space="preserve">t0 </w:t>
      </w:r>
      <w:r w:rsidRPr="00675532">
        <w:rPr>
          <w:sz w:val="24"/>
          <w:szCs w:val="24"/>
          <w:lang w:val="en-US"/>
        </w:rPr>
        <w:t xml:space="preserve">(r + p + </w:t>
      </w:r>
      <w:proofErr w:type="spellStart"/>
      <w:r w:rsidRPr="00675532">
        <w:rPr>
          <w:sz w:val="24"/>
          <w:szCs w:val="24"/>
          <w:lang w:val="en-US"/>
        </w:rPr>
        <w:t>rp</w:t>
      </w:r>
      <w:proofErr w:type="spellEnd"/>
      <w:r w:rsidRPr="00675532">
        <w:rPr>
          <w:sz w:val="24"/>
          <w:szCs w:val="24"/>
          <w:lang w:val="en-US"/>
        </w:rPr>
        <w:t xml:space="preserve">) </w:t>
      </w:r>
      <w:r w:rsidRPr="00675532">
        <w:rPr>
          <w:sz w:val="24"/>
          <w:szCs w:val="24"/>
          <w:lang w:val="en-US"/>
        </w:rPr>
        <w:tab/>
        <w:t xml:space="preserve">(2) </w:t>
      </w:r>
    </w:p>
    <w:p w:rsidR="00433B67" w:rsidRPr="00404B7B" w:rsidRDefault="00433B67" w:rsidP="00433B67">
      <w:pPr>
        <w:spacing w:line="240" w:lineRule="auto"/>
        <w:jc w:val="both"/>
        <w:rPr>
          <w:sz w:val="24"/>
          <w:szCs w:val="24"/>
          <w:lang w:val="es-ES"/>
        </w:rPr>
      </w:pPr>
      <w:r w:rsidRPr="00404B7B">
        <w:rPr>
          <w:sz w:val="24"/>
          <w:szCs w:val="24"/>
          <w:lang w:val="es-ES"/>
        </w:rPr>
        <w:t xml:space="preserve">Denotando con </w:t>
      </w:r>
      <w:r w:rsidRPr="00404B7B">
        <w:rPr>
          <w:i/>
          <w:sz w:val="24"/>
          <w:szCs w:val="24"/>
          <w:lang w:val="es-ES"/>
        </w:rPr>
        <w:t>r</w:t>
      </w:r>
      <w:r w:rsidRPr="00404B7B">
        <w:rPr>
          <w:sz w:val="24"/>
          <w:szCs w:val="24"/>
          <w:lang w:val="es-ES"/>
        </w:rPr>
        <w:t xml:space="preserve">, </w:t>
      </w:r>
      <w:r w:rsidRPr="00404B7B">
        <w:rPr>
          <w:i/>
          <w:sz w:val="24"/>
          <w:szCs w:val="24"/>
          <w:lang w:val="es-ES"/>
        </w:rPr>
        <w:t>p¸</w:t>
      </w:r>
      <w:r w:rsidRPr="00404B7B">
        <w:rPr>
          <w:sz w:val="24"/>
          <w:szCs w:val="24"/>
          <w:lang w:val="es-ES"/>
        </w:rPr>
        <w:t xml:space="preserve"> y </w:t>
      </w:r>
      <w:proofErr w:type="spellStart"/>
      <w:r w:rsidRPr="00404B7B">
        <w:rPr>
          <w:i/>
          <w:sz w:val="24"/>
          <w:szCs w:val="24"/>
          <w:lang w:val="es-ES"/>
        </w:rPr>
        <w:t>e</w:t>
      </w:r>
      <w:proofErr w:type="spellEnd"/>
      <w:r w:rsidRPr="00404B7B">
        <w:rPr>
          <w:sz w:val="24"/>
          <w:szCs w:val="24"/>
          <w:lang w:val="es-ES"/>
        </w:rPr>
        <w:t xml:space="preserve"> las tasas de variación del ingreso por perceptor</w:t>
      </w:r>
      <w:r>
        <w:rPr>
          <w:sz w:val="24"/>
          <w:szCs w:val="24"/>
          <w:lang w:val="es-ES"/>
        </w:rPr>
        <w:t xml:space="preserve"> y</w:t>
      </w:r>
      <w:r w:rsidRPr="00404B7B">
        <w:rPr>
          <w:sz w:val="24"/>
          <w:szCs w:val="24"/>
          <w:lang w:val="es-ES"/>
        </w:rPr>
        <w:t xml:space="preserve"> el número de perceptores de ingresos por hogar, respectivamente; y siendo los demás térmi</w:t>
      </w:r>
      <w:r>
        <w:rPr>
          <w:sz w:val="24"/>
          <w:szCs w:val="24"/>
          <w:lang w:val="es-ES"/>
        </w:rPr>
        <w:t>nos las interacciones de primer y</w:t>
      </w:r>
      <w:r w:rsidRPr="00404B7B">
        <w:rPr>
          <w:sz w:val="24"/>
          <w:szCs w:val="24"/>
          <w:lang w:val="es-ES"/>
        </w:rPr>
        <w:t xml:space="preserve"> segundo orden entre ellos. Siguiendo </w:t>
      </w:r>
      <w:r>
        <w:rPr>
          <w:sz w:val="24"/>
          <w:szCs w:val="24"/>
          <w:lang w:val="es-ES"/>
        </w:rPr>
        <w:t>esta estructura</w:t>
      </w:r>
      <w:r w:rsidRPr="00404B7B">
        <w:rPr>
          <w:sz w:val="24"/>
          <w:szCs w:val="24"/>
          <w:lang w:val="es-ES"/>
        </w:rPr>
        <w:t xml:space="preserve">, pueden incorporarse diferentes </w:t>
      </w:r>
      <w:r w:rsidRPr="00404B7B">
        <w:rPr>
          <w:i/>
          <w:sz w:val="24"/>
          <w:szCs w:val="24"/>
          <w:lang w:val="es-ES"/>
        </w:rPr>
        <w:t>k</w:t>
      </w:r>
      <w:r w:rsidRPr="00404B7B">
        <w:rPr>
          <w:sz w:val="24"/>
          <w:szCs w:val="24"/>
          <w:lang w:val="es-ES"/>
        </w:rPr>
        <w:t xml:space="preserve"> fuentes de ingreso para describir los cambios en el </w:t>
      </w:r>
      <w:r>
        <w:rPr>
          <w:sz w:val="24"/>
          <w:szCs w:val="24"/>
          <w:lang w:val="es-ES"/>
        </w:rPr>
        <w:t>ITF</w:t>
      </w:r>
      <w:r w:rsidRPr="00404B7B">
        <w:rPr>
          <w:sz w:val="24"/>
          <w:szCs w:val="24"/>
          <w:lang w:val="es-ES"/>
        </w:rPr>
        <w:t>, de modo que la ecuación (</w:t>
      </w:r>
      <w:r>
        <w:rPr>
          <w:sz w:val="24"/>
          <w:szCs w:val="24"/>
          <w:lang w:val="es-ES"/>
        </w:rPr>
        <w:t>2</w:t>
      </w:r>
      <w:r w:rsidRPr="00404B7B">
        <w:rPr>
          <w:sz w:val="24"/>
          <w:szCs w:val="24"/>
          <w:lang w:val="es-ES"/>
        </w:rPr>
        <w:t xml:space="preserve">) pasa a tener la siguiente </w:t>
      </w:r>
      <w:r w:rsidR="006602B1">
        <w:rPr>
          <w:sz w:val="24"/>
          <w:szCs w:val="24"/>
          <w:lang w:val="es-ES"/>
        </w:rPr>
        <w:t>forma</w:t>
      </w:r>
      <w:r w:rsidRPr="00404B7B">
        <w:rPr>
          <w:sz w:val="24"/>
          <w:szCs w:val="24"/>
          <w:lang w:val="es-ES"/>
        </w:rPr>
        <w:t xml:space="preserve">: </w:t>
      </w:r>
    </w:p>
    <w:p w:rsidR="00433B67" w:rsidRPr="00404B7B" w:rsidRDefault="00433B67" w:rsidP="00433B67">
      <w:pPr>
        <w:spacing w:line="240" w:lineRule="auto"/>
        <w:jc w:val="center"/>
        <w:rPr>
          <w:sz w:val="24"/>
          <w:szCs w:val="24"/>
          <w:lang w:val="en-US"/>
        </w:rPr>
      </w:pPr>
      <w:proofErr w:type="spellStart"/>
      <w:r w:rsidRPr="00404B7B">
        <w:rPr>
          <w:sz w:val="24"/>
          <w:szCs w:val="24"/>
        </w:rPr>
        <w:t>ΔI</w:t>
      </w:r>
      <w:r>
        <w:rPr>
          <w:sz w:val="24"/>
          <w:szCs w:val="24"/>
        </w:rPr>
        <w:t>T</w:t>
      </w:r>
      <w:r w:rsidRPr="00404B7B">
        <w:rPr>
          <w:sz w:val="24"/>
          <w:szCs w:val="24"/>
        </w:rPr>
        <w:t>F</w:t>
      </w:r>
      <w:r w:rsidRPr="00404B7B">
        <w:rPr>
          <w:i/>
          <w:sz w:val="24"/>
          <w:szCs w:val="24"/>
          <w:vertAlign w:val="subscript"/>
        </w:rPr>
        <w:t>g</w:t>
      </w:r>
      <w:proofErr w:type="spellEnd"/>
      <w:r w:rsidRPr="00404B7B">
        <w:rPr>
          <w:i/>
          <w:sz w:val="24"/>
          <w:szCs w:val="24"/>
          <w:vertAlign w:val="subscript"/>
        </w:rPr>
        <w:t xml:space="preserve"> </w:t>
      </w:r>
      <w:r w:rsidRPr="00404B7B">
        <w:rPr>
          <w:sz w:val="24"/>
          <w:szCs w:val="24"/>
          <w:vertAlign w:val="subscript"/>
        </w:rPr>
        <w:t xml:space="preserve">t1, t0 </w:t>
      </w:r>
      <w:r w:rsidRPr="00404B7B">
        <w:rPr>
          <w:sz w:val="24"/>
          <w:szCs w:val="24"/>
        </w:rPr>
        <w:t xml:space="preserve">= </w:t>
      </w:r>
      <w:proofErr w:type="spellStart"/>
      <w:r w:rsidRPr="00404B7B">
        <w:rPr>
          <w:sz w:val="24"/>
          <w:szCs w:val="24"/>
        </w:rPr>
        <w:t>I</w:t>
      </w:r>
      <w:r>
        <w:rPr>
          <w:sz w:val="24"/>
          <w:szCs w:val="24"/>
        </w:rPr>
        <w:t>T</w:t>
      </w:r>
      <w:r w:rsidRPr="00404B7B">
        <w:rPr>
          <w:sz w:val="24"/>
          <w:szCs w:val="24"/>
        </w:rPr>
        <w:t>F</w:t>
      </w:r>
      <w:r w:rsidRPr="00404B7B">
        <w:rPr>
          <w:i/>
          <w:sz w:val="24"/>
          <w:szCs w:val="24"/>
          <w:vertAlign w:val="subscript"/>
        </w:rPr>
        <w:t>g</w:t>
      </w:r>
      <w:proofErr w:type="spellEnd"/>
      <w:r w:rsidRPr="00404B7B">
        <w:rPr>
          <w:sz w:val="24"/>
          <w:szCs w:val="24"/>
        </w:rPr>
        <w:t xml:space="preserve"> </w:t>
      </w:r>
      <w:r w:rsidRPr="00404B7B">
        <w:rPr>
          <w:sz w:val="24"/>
          <w:szCs w:val="24"/>
          <w:vertAlign w:val="subscript"/>
        </w:rPr>
        <w:t>k1</w:t>
      </w:r>
      <w:proofErr w:type="gramStart"/>
      <w:r w:rsidRPr="00404B7B">
        <w:rPr>
          <w:sz w:val="24"/>
          <w:szCs w:val="24"/>
          <w:vertAlign w:val="subscript"/>
        </w:rPr>
        <w:t>,t0</w:t>
      </w:r>
      <w:proofErr w:type="gramEnd"/>
      <w:r w:rsidRPr="00404B7B">
        <w:rPr>
          <w:sz w:val="24"/>
          <w:szCs w:val="24"/>
          <w:vertAlign w:val="subscript"/>
        </w:rPr>
        <w:t xml:space="preserve"> </w:t>
      </w:r>
      <w:r w:rsidRPr="00404B7B">
        <w:rPr>
          <w:sz w:val="24"/>
          <w:szCs w:val="24"/>
        </w:rPr>
        <w:t>(r</w:t>
      </w:r>
      <w:r w:rsidRPr="00404B7B">
        <w:rPr>
          <w:sz w:val="24"/>
          <w:szCs w:val="24"/>
          <w:vertAlign w:val="subscript"/>
        </w:rPr>
        <w:t>k1</w:t>
      </w:r>
      <w:r w:rsidRPr="00404B7B">
        <w:rPr>
          <w:sz w:val="24"/>
          <w:szCs w:val="24"/>
        </w:rPr>
        <w:t xml:space="preserve"> + p</w:t>
      </w:r>
      <w:r w:rsidRPr="00404B7B">
        <w:rPr>
          <w:sz w:val="24"/>
          <w:szCs w:val="24"/>
          <w:vertAlign w:val="subscript"/>
        </w:rPr>
        <w:t>k1</w:t>
      </w:r>
      <w:r>
        <w:rPr>
          <w:sz w:val="24"/>
          <w:szCs w:val="24"/>
        </w:rPr>
        <w:t xml:space="preserve"> +</w:t>
      </w:r>
      <w:r w:rsidRPr="00404B7B">
        <w:rPr>
          <w:sz w:val="24"/>
          <w:szCs w:val="24"/>
        </w:rPr>
        <w:t xml:space="preserve"> r</w:t>
      </w:r>
      <w:r w:rsidRPr="00404B7B">
        <w:rPr>
          <w:sz w:val="24"/>
          <w:szCs w:val="24"/>
          <w:vertAlign w:val="subscript"/>
        </w:rPr>
        <w:t>k1</w:t>
      </w:r>
      <w:r w:rsidRPr="00404B7B">
        <w:rPr>
          <w:sz w:val="24"/>
          <w:szCs w:val="24"/>
        </w:rPr>
        <w:t>p</w:t>
      </w:r>
      <w:r w:rsidRPr="00404B7B">
        <w:rPr>
          <w:sz w:val="24"/>
          <w:szCs w:val="24"/>
          <w:vertAlign w:val="subscript"/>
        </w:rPr>
        <w:t>k1</w:t>
      </w:r>
      <w:r w:rsidRPr="00404B7B">
        <w:rPr>
          <w:sz w:val="24"/>
          <w:szCs w:val="24"/>
        </w:rPr>
        <w:t xml:space="preserve">) + (…) </w:t>
      </w:r>
      <w:r w:rsidRPr="00404B7B">
        <w:rPr>
          <w:sz w:val="24"/>
          <w:szCs w:val="24"/>
          <w:lang w:val="en-US"/>
        </w:rPr>
        <w:t xml:space="preserve">+ </w:t>
      </w:r>
      <w:proofErr w:type="spellStart"/>
      <w:r w:rsidRPr="00404B7B">
        <w:rPr>
          <w:sz w:val="24"/>
          <w:szCs w:val="24"/>
          <w:lang w:val="en-US"/>
        </w:rPr>
        <w:t>ITF</w:t>
      </w:r>
      <w:r w:rsidRPr="00404B7B">
        <w:rPr>
          <w:i/>
          <w:sz w:val="24"/>
          <w:szCs w:val="24"/>
          <w:vertAlign w:val="subscript"/>
          <w:lang w:val="en-US"/>
        </w:rPr>
        <w:t>g</w:t>
      </w:r>
      <w:proofErr w:type="spellEnd"/>
      <w:r w:rsidRPr="00404B7B">
        <w:rPr>
          <w:sz w:val="24"/>
          <w:szCs w:val="24"/>
          <w:lang w:val="en-US"/>
        </w:rPr>
        <w:t xml:space="preserve"> </w:t>
      </w:r>
      <w:r w:rsidRPr="00404B7B">
        <w:rPr>
          <w:sz w:val="24"/>
          <w:szCs w:val="24"/>
          <w:vertAlign w:val="subscript"/>
          <w:lang w:val="en-US"/>
        </w:rPr>
        <w:t>k</w:t>
      </w:r>
      <w:r w:rsidRPr="00404B7B">
        <w:rPr>
          <w:i/>
          <w:sz w:val="24"/>
          <w:szCs w:val="24"/>
          <w:vertAlign w:val="subscript"/>
          <w:lang w:val="en-US"/>
        </w:rPr>
        <w:t>n</w:t>
      </w:r>
      <w:r w:rsidRPr="00404B7B">
        <w:rPr>
          <w:sz w:val="24"/>
          <w:szCs w:val="24"/>
          <w:vertAlign w:val="subscript"/>
          <w:lang w:val="en-US"/>
        </w:rPr>
        <w:t xml:space="preserve">,t0 </w:t>
      </w:r>
      <w:r w:rsidRPr="00404B7B">
        <w:rPr>
          <w:sz w:val="24"/>
          <w:szCs w:val="24"/>
          <w:lang w:val="en-US"/>
        </w:rPr>
        <w:t>(</w:t>
      </w:r>
      <w:proofErr w:type="spellStart"/>
      <w:r w:rsidRPr="00404B7B">
        <w:rPr>
          <w:sz w:val="24"/>
          <w:szCs w:val="24"/>
          <w:lang w:val="en-US"/>
        </w:rPr>
        <w:t>r</w:t>
      </w:r>
      <w:r w:rsidRPr="00404B7B">
        <w:rPr>
          <w:sz w:val="24"/>
          <w:szCs w:val="24"/>
          <w:vertAlign w:val="subscript"/>
          <w:lang w:val="en-US"/>
        </w:rPr>
        <w:t>k</w:t>
      </w:r>
      <w:r w:rsidRPr="00404B7B">
        <w:rPr>
          <w:i/>
          <w:sz w:val="24"/>
          <w:szCs w:val="24"/>
          <w:vertAlign w:val="subscript"/>
          <w:lang w:val="en-US"/>
        </w:rPr>
        <w:t>n</w:t>
      </w:r>
      <w:proofErr w:type="spellEnd"/>
      <w:r w:rsidRPr="00404B7B">
        <w:rPr>
          <w:sz w:val="24"/>
          <w:szCs w:val="24"/>
          <w:lang w:val="en-US"/>
        </w:rPr>
        <w:t xml:space="preserve"> + </w:t>
      </w:r>
      <w:proofErr w:type="spellStart"/>
      <w:r w:rsidRPr="00404B7B">
        <w:rPr>
          <w:sz w:val="24"/>
          <w:szCs w:val="24"/>
          <w:lang w:val="en-US"/>
        </w:rPr>
        <w:t>p</w:t>
      </w:r>
      <w:r w:rsidRPr="00404B7B">
        <w:rPr>
          <w:sz w:val="24"/>
          <w:szCs w:val="24"/>
          <w:vertAlign w:val="subscript"/>
          <w:lang w:val="en-US"/>
        </w:rPr>
        <w:t>k</w:t>
      </w:r>
      <w:r w:rsidRPr="00404B7B">
        <w:rPr>
          <w:i/>
          <w:sz w:val="24"/>
          <w:szCs w:val="24"/>
          <w:vertAlign w:val="subscript"/>
          <w:lang w:val="en-US"/>
        </w:rPr>
        <w:t>n</w:t>
      </w:r>
      <w:proofErr w:type="spellEnd"/>
      <w:r w:rsidRPr="00404B7B">
        <w:rPr>
          <w:sz w:val="24"/>
          <w:szCs w:val="24"/>
          <w:lang w:val="en-US"/>
        </w:rPr>
        <w:t xml:space="preserve"> + </w:t>
      </w:r>
      <w:proofErr w:type="spellStart"/>
      <w:r w:rsidRPr="00404B7B">
        <w:rPr>
          <w:sz w:val="24"/>
          <w:szCs w:val="24"/>
          <w:lang w:val="en-US"/>
        </w:rPr>
        <w:t>r</w:t>
      </w:r>
      <w:r w:rsidRPr="00404B7B">
        <w:rPr>
          <w:sz w:val="24"/>
          <w:szCs w:val="24"/>
          <w:vertAlign w:val="subscript"/>
          <w:lang w:val="en-US"/>
        </w:rPr>
        <w:t>k</w:t>
      </w:r>
      <w:r w:rsidRPr="00404B7B">
        <w:rPr>
          <w:i/>
          <w:sz w:val="24"/>
          <w:szCs w:val="24"/>
          <w:vertAlign w:val="subscript"/>
          <w:lang w:val="en-US"/>
        </w:rPr>
        <w:t>n</w:t>
      </w:r>
      <w:r w:rsidRPr="00404B7B">
        <w:rPr>
          <w:sz w:val="24"/>
          <w:szCs w:val="24"/>
          <w:lang w:val="en-US"/>
        </w:rPr>
        <w:t>p</w:t>
      </w:r>
      <w:r w:rsidRPr="00404B7B">
        <w:rPr>
          <w:sz w:val="24"/>
          <w:szCs w:val="24"/>
          <w:vertAlign w:val="subscript"/>
          <w:lang w:val="en-US"/>
        </w:rPr>
        <w:t>k</w:t>
      </w:r>
      <w:r w:rsidRPr="00404B7B">
        <w:rPr>
          <w:i/>
          <w:sz w:val="24"/>
          <w:szCs w:val="24"/>
          <w:vertAlign w:val="subscript"/>
          <w:lang w:val="en-US"/>
        </w:rPr>
        <w:t>n</w:t>
      </w:r>
      <w:proofErr w:type="spellEnd"/>
      <w:r w:rsidRPr="00404B7B">
        <w:rPr>
          <w:sz w:val="24"/>
          <w:szCs w:val="24"/>
          <w:lang w:val="en-US"/>
        </w:rPr>
        <w:t>)       (3)</w:t>
      </w:r>
    </w:p>
    <w:p w:rsidR="00433B67" w:rsidRDefault="00433B67" w:rsidP="00433B67">
      <w:pPr>
        <w:spacing w:after="0" w:line="240" w:lineRule="auto"/>
        <w:jc w:val="both"/>
        <w:rPr>
          <w:sz w:val="24"/>
        </w:rPr>
      </w:pPr>
      <w:r w:rsidRPr="00404B7B">
        <w:rPr>
          <w:sz w:val="24"/>
        </w:rPr>
        <w:t xml:space="preserve">En la ecuación (3), los términos </w:t>
      </w:r>
      <w:r w:rsidRPr="00404B7B">
        <w:rPr>
          <w:i/>
          <w:sz w:val="24"/>
        </w:rPr>
        <w:t>r</w:t>
      </w:r>
      <w:r w:rsidRPr="00404B7B">
        <w:rPr>
          <w:sz w:val="24"/>
        </w:rPr>
        <w:t xml:space="preserve"> y </w:t>
      </w:r>
      <w:r w:rsidRPr="00404B7B">
        <w:rPr>
          <w:i/>
          <w:sz w:val="24"/>
        </w:rPr>
        <w:t>p</w:t>
      </w:r>
      <w:r w:rsidRPr="00404B7B">
        <w:rPr>
          <w:sz w:val="24"/>
        </w:rPr>
        <w:t xml:space="preserve"> constituyen las tasas de variación del ingreso por perceptor y del número de perceptores por hogar de cada una de las </w:t>
      </w:r>
      <w:r w:rsidRPr="00404B7B">
        <w:rPr>
          <w:i/>
          <w:sz w:val="24"/>
        </w:rPr>
        <w:t xml:space="preserve">k </w:t>
      </w:r>
      <w:r w:rsidRPr="00404B7B">
        <w:rPr>
          <w:sz w:val="24"/>
        </w:rPr>
        <w:t xml:space="preserve">fuentes consideradas. </w:t>
      </w:r>
      <w:r>
        <w:rPr>
          <w:sz w:val="24"/>
        </w:rPr>
        <w:t>Sobre la base de esta metodología, se describen a continuación las contribuciones de cada fuente al cambio en los ingresos familiares.</w:t>
      </w:r>
    </w:p>
    <w:p w:rsidR="00433B67" w:rsidRPr="00404B7B" w:rsidRDefault="00433B67" w:rsidP="00433B67">
      <w:pPr>
        <w:spacing w:after="0" w:line="240" w:lineRule="auto"/>
        <w:jc w:val="both"/>
        <w:rPr>
          <w:sz w:val="24"/>
        </w:rPr>
      </w:pPr>
    </w:p>
    <w:p w:rsidR="00433B67" w:rsidRPr="002E110F" w:rsidRDefault="00433B67" w:rsidP="00433B67">
      <w:pPr>
        <w:tabs>
          <w:tab w:val="left" w:pos="4069"/>
        </w:tabs>
        <w:spacing w:after="0"/>
        <w:jc w:val="center"/>
        <w:rPr>
          <w:rFonts w:eastAsia="Times New Roman"/>
          <w:sz w:val="24"/>
          <w:szCs w:val="24"/>
          <w:u w:val="single"/>
          <w:lang w:val="es-ES" w:eastAsia="es-AR"/>
        </w:rPr>
      </w:pPr>
      <w:r>
        <w:rPr>
          <w:rFonts w:eastAsia="Times New Roman"/>
          <w:sz w:val="24"/>
          <w:szCs w:val="24"/>
          <w:u w:val="single"/>
          <w:lang w:val="es-ES" w:eastAsia="es-AR"/>
        </w:rPr>
        <w:t>F</w:t>
      </w:r>
      <w:r w:rsidRPr="003F7057">
        <w:rPr>
          <w:rFonts w:eastAsia="Times New Roman"/>
          <w:sz w:val="24"/>
          <w:szCs w:val="24"/>
          <w:u w:val="single"/>
          <w:lang w:val="es-ES" w:eastAsia="es-AR"/>
        </w:rPr>
        <w:t>ase final del modelo sustitutivo e inicio del ajuste ortodoxo (1974-1988)</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Un conjunto de cambios tuvo lugar durante este período con respecto al </w:t>
      </w:r>
      <w:r w:rsidR="006602B1">
        <w:rPr>
          <w:rFonts w:eastAsia="Times New Roman"/>
          <w:sz w:val="24"/>
          <w:szCs w:val="24"/>
          <w:lang w:val="es-ES" w:eastAsia="es-AR"/>
        </w:rPr>
        <w:t>ingreso familiar</w:t>
      </w:r>
      <w:r>
        <w:rPr>
          <w:rFonts w:eastAsia="Times New Roman"/>
          <w:sz w:val="24"/>
          <w:szCs w:val="24"/>
          <w:lang w:val="es-ES" w:eastAsia="es-AR"/>
        </w:rPr>
        <w:t xml:space="preserve"> </w:t>
      </w:r>
      <w:r w:rsidR="006602B1">
        <w:rPr>
          <w:rFonts w:eastAsia="Times New Roman"/>
          <w:sz w:val="24"/>
          <w:szCs w:val="24"/>
          <w:lang w:val="es-ES" w:eastAsia="es-AR"/>
        </w:rPr>
        <w:t xml:space="preserve">entre </w:t>
      </w:r>
      <w:r>
        <w:rPr>
          <w:rFonts w:eastAsia="Times New Roman"/>
          <w:sz w:val="24"/>
          <w:szCs w:val="24"/>
          <w:lang w:val="es-ES" w:eastAsia="es-AR"/>
        </w:rPr>
        <w:t>los hogares del Gran Buenos Aires. El aspecto más sobresaliente tuvo que ver con el sostenido deterioro del ingreso, inicialmente entre 1974 y 1980, y de manera aún más acentuada entre 1980 y 1988 (</w:t>
      </w:r>
      <w:r w:rsidR="00D115F8">
        <w:rPr>
          <w:rFonts w:eastAsia="Times New Roman"/>
          <w:sz w:val="24"/>
          <w:szCs w:val="24"/>
          <w:highlight w:val="green"/>
          <w:lang w:val="es-ES" w:eastAsia="es-AR"/>
        </w:rPr>
        <w:t>Cuadros 1</w:t>
      </w:r>
      <w:r>
        <w:rPr>
          <w:rFonts w:eastAsia="Times New Roman"/>
          <w:sz w:val="24"/>
          <w:szCs w:val="24"/>
          <w:highlight w:val="green"/>
          <w:lang w:val="es-ES" w:eastAsia="es-AR"/>
        </w:rPr>
        <w:t xml:space="preserve"> </w:t>
      </w:r>
      <w:r>
        <w:rPr>
          <w:rFonts w:eastAsia="Times New Roman"/>
          <w:sz w:val="24"/>
          <w:szCs w:val="24"/>
          <w:lang w:val="es-ES" w:eastAsia="es-AR"/>
        </w:rPr>
        <w:t xml:space="preserve"> </w:t>
      </w:r>
      <w:r w:rsidR="00D115F8">
        <w:rPr>
          <w:rFonts w:eastAsia="Times New Roman"/>
          <w:sz w:val="24"/>
          <w:szCs w:val="24"/>
          <w:highlight w:val="green"/>
          <w:lang w:val="es-ES" w:eastAsia="es-AR"/>
        </w:rPr>
        <w:t>y</w:t>
      </w:r>
      <w:r w:rsidR="00D115F8" w:rsidRPr="00D115F8">
        <w:rPr>
          <w:rFonts w:eastAsia="Times New Roman"/>
          <w:sz w:val="24"/>
          <w:szCs w:val="24"/>
          <w:highlight w:val="green"/>
          <w:lang w:val="es-ES" w:eastAsia="es-AR"/>
        </w:rPr>
        <w:t xml:space="preserve"> 2</w:t>
      </w:r>
      <w:r>
        <w:rPr>
          <w:rFonts w:eastAsia="Times New Roman"/>
          <w:sz w:val="24"/>
          <w:szCs w:val="24"/>
          <w:lang w:val="es-ES" w:eastAsia="es-AR"/>
        </w:rPr>
        <w:t xml:space="preserve">). El resultado fue una significativa reducción del ingreso familiar </w:t>
      </w:r>
      <w:r w:rsidR="00703553">
        <w:rPr>
          <w:rFonts w:eastAsia="Times New Roman"/>
          <w:sz w:val="24"/>
          <w:szCs w:val="24"/>
          <w:lang w:val="es-ES" w:eastAsia="es-AR"/>
        </w:rPr>
        <w:t xml:space="preserve">medio </w:t>
      </w:r>
      <w:r>
        <w:rPr>
          <w:rFonts w:eastAsia="Times New Roman"/>
          <w:sz w:val="24"/>
          <w:szCs w:val="24"/>
          <w:lang w:val="es-ES" w:eastAsia="es-AR"/>
        </w:rPr>
        <w:t>(45,7%) entre 1988 y 1974 (</w:t>
      </w:r>
      <w:r>
        <w:rPr>
          <w:rFonts w:eastAsia="Times New Roman"/>
          <w:sz w:val="24"/>
          <w:szCs w:val="24"/>
          <w:highlight w:val="green"/>
          <w:lang w:val="es-ES" w:eastAsia="es-AR"/>
        </w:rPr>
        <w:t>Cuadro</w:t>
      </w:r>
      <w:r w:rsidRPr="00396B2E">
        <w:rPr>
          <w:rFonts w:eastAsia="Times New Roman"/>
          <w:sz w:val="24"/>
          <w:szCs w:val="24"/>
          <w:highlight w:val="green"/>
          <w:lang w:val="es-ES" w:eastAsia="es-AR"/>
        </w:rPr>
        <w:t xml:space="preserve"> </w:t>
      </w:r>
      <w:r w:rsidR="00D115F8" w:rsidRPr="00D115F8">
        <w:rPr>
          <w:rFonts w:eastAsia="Times New Roman"/>
          <w:sz w:val="24"/>
          <w:szCs w:val="24"/>
          <w:highlight w:val="green"/>
          <w:lang w:val="es-ES" w:eastAsia="es-AR"/>
        </w:rPr>
        <w:t>3</w:t>
      </w:r>
      <w:r>
        <w:rPr>
          <w:rFonts w:eastAsia="Times New Roman"/>
          <w:sz w:val="24"/>
          <w:szCs w:val="24"/>
          <w:lang w:val="es-ES" w:eastAsia="es-AR"/>
        </w:rPr>
        <w:t xml:space="preserve">). Un aspecto que caracterizó a estos procesos fue el carácter socialmente regresivo </w:t>
      </w:r>
      <w:r>
        <w:rPr>
          <w:rFonts w:eastAsia="Times New Roman"/>
          <w:sz w:val="24"/>
          <w:szCs w:val="24"/>
          <w:lang w:val="es-ES" w:eastAsia="es-AR"/>
        </w:rPr>
        <w:lastRenderedPageBreak/>
        <w:t xml:space="preserve">de los mismos: tanto en fuentes laborales como no laborales, quienes perdieron más, entre 1974 y 1988, fueron los quintiles más pobres de la estructura social. </w:t>
      </w:r>
    </w:p>
    <w:p w:rsidR="006602B1" w:rsidRDefault="006602B1"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¿Qué procesos explicaron esta evolución? A lo largo de este período, se redujo el ingreso familiar tanto de fuentes laborales como no laborales, pero fueron las primeras (43,6%) las que tuvieron un papel protagónico en el deterioro de las condiciones de vida familiares. En otros términos, los diversos programas implementados en aquellos años se expresaron directamente en las condiciones de vida de los hogares, siendo el mercado de trabajo su principal </w:t>
      </w:r>
      <w:r w:rsidR="006602B1">
        <w:rPr>
          <w:rFonts w:eastAsia="Times New Roman"/>
          <w:sz w:val="24"/>
          <w:szCs w:val="24"/>
          <w:lang w:val="es-ES" w:eastAsia="es-AR"/>
        </w:rPr>
        <w:t>mecanismo</w:t>
      </w:r>
      <w:r>
        <w:rPr>
          <w:rFonts w:eastAsia="Times New Roman"/>
          <w:sz w:val="24"/>
          <w:szCs w:val="24"/>
          <w:lang w:val="es-ES" w:eastAsia="es-AR"/>
        </w:rPr>
        <w:t xml:space="preserve"> de transmisión.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617F23" w:rsidP="00433B67">
      <w:pPr>
        <w:tabs>
          <w:tab w:val="left" w:pos="4069"/>
        </w:tabs>
        <w:spacing w:after="0" w:line="240" w:lineRule="auto"/>
        <w:jc w:val="both"/>
        <w:rPr>
          <w:rFonts w:eastAsia="Times New Roman"/>
          <w:b/>
          <w:sz w:val="24"/>
          <w:szCs w:val="24"/>
          <w:lang w:val="es-ES" w:eastAsia="es-AR"/>
        </w:rPr>
      </w:pPr>
      <w:r>
        <w:rPr>
          <w:rFonts w:eastAsia="Times New Roman"/>
          <w:b/>
          <w:sz w:val="24"/>
          <w:szCs w:val="24"/>
          <w:lang w:val="es-ES" w:eastAsia="es-AR"/>
        </w:rPr>
        <w:t>Cuadro 1</w:t>
      </w:r>
      <w:r w:rsidR="00433B67" w:rsidRPr="00CA7EA4">
        <w:rPr>
          <w:rFonts w:eastAsia="Times New Roman"/>
          <w:b/>
          <w:sz w:val="24"/>
          <w:szCs w:val="24"/>
          <w:lang w:val="es-ES" w:eastAsia="es-AR"/>
        </w:rPr>
        <w:t>. Cambio en el ingreso total familiar y contribución de cada fuente de ingreso según quintil de ingreso per cápita familiar. Gran Buenos Aires, 1980-1974.</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84" w:type="dxa"/>
        <w:tblInd w:w="55" w:type="dxa"/>
        <w:tblCellMar>
          <w:left w:w="70" w:type="dxa"/>
          <w:right w:w="70" w:type="dxa"/>
        </w:tblCellMar>
        <w:tblLook w:val="04A0" w:firstRow="1" w:lastRow="0" w:firstColumn="1" w:lastColumn="0" w:noHBand="0" w:noVBand="1"/>
      </w:tblPr>
      <w:tblGrid>
        <w:gridCol w:w="1582"/>
        <w:gridCol w:w="778"/>
        <w:gridCol w:w="778"/>
        <w:gridCol w:w="778"/>
        <w:gridCol w:w="778"/>
        <w:gridCol w:w="778"/>
        <w:gridCol w:w="778"/>
        <w:gridCol w:w="778"/>
        <w:gridCol w:w="778"/>
        <w:gridCol w:w="778"/>
      </w:tblGrid>
      <w:tr w:rsidR="00433B67" w:rsidRPr="004B089E" w:rsidTr="006602B1">
        <w:trPr>
          <w:trHeight w:val="300"/>
        </w:trPr>
        <w:tc>
          <w:tcPr>
            <w:tcW w:w="1582"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112" w:type="dxa"/>
            <w:gridSpan w:val="4"/>
            <w:tcBorders>
              <w:top w:val="single" w:sz="8" w:space="0" w:color="auto"/>
              <w:left w:val="single" w:sz="4" w:space="0" w:color="auto"/>
              <w:bottom w:val="single" w:sz="8" w:space="0" w:color="auto"/>
              <w:right w:val="single" w:sz="4" w:space="0" w:color="000000"/>
            </w:tcBorders>
            <w:shd w:val="clear" w:color="auto" w:fill="auto"/>
            <w:noWrap/>
            <w:vAlign w:val="center"/>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112" w:type="dxa"/>
            <w:gridSpan w:val="4"/>
            <w:tcBorders>
              <w:top w:val="single" w:sz="8" w:space="0" w:color="auto"/>
              <w:left w:val="nil"/>
              <w:bottom w:val="single" w:sz="8" w:space="0" w:color="auto"/>
              <w:right w:val="single" w:sz="8" w:space="0" w:color="000000"/>
            </w:tcBorders>
            <w:shd w:val="clear" w:color="auto" w:fill="auto"/>
            <w:noWrap/>
            <w:vAlign w:val="center"/>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6602B1">
        <w:trPr>
          <w:trHeight w:val="428"/>
        </w:trPr>
        <w:tc>
          <w:tcPr>
            <w:tcW w:w="1582"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8"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8"/>
                <w:szCs w:val="16"/>
                <w:lang w:eastAsia="es-AR"/>
              </w:rPr>
            </w:pPr>
          </w:p>
        </w:tc>
        <w:tc>
          <w:tcPr>
            <w:tcW w:w="778"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 xml:space="preserve">Efecto </w:t>
            </w:r>
            <w:r>
              <w:rPr>
                <w:rFonts w:eastAsia="Times New Roman"/>
                <w:b/>
                <w:bCs/>
                <w:sz w:val="18"/>
                <w:szCs w:val="16"/>
                <w:lang w:eastAsia="es-AR"/>
              </w:rPr>
              <w:t xml:space="preserve">en </w:t>
            </w:r>
            <w:r w:rsidRPr="004B089E">
              <w:rPr>
                <w:rFonts w:eastAsia="Times New Roman"/>
                <w:b/>
                <w:bCs/>
                <w:sz w:val="18"/>
                <w:szCs w:val="16"/>
                <w:lang w:eastAsia="es-AR"/>
              </w:rPr>
              <w:t>ITF</w:t>
            </w:r>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 xml:space="preserve">Efecto </w:t>
            </w:r>
            <w:r>
              <w:rPr>
                <w:rFonts w:eastAsia="Times New Roman"/>
                <w:b/>
                <w:bCs/>
                <w:sz w:val="18"/>
                <w:szCs w:val="16"/>
                <w:lang w:eastAsia="es-AR"/>
              </w:rPr>
              <w:t xml:space="preserve">en </w:t>
            </w:r>
            <w:r w:rsidRPr="004B089E">
              <w:rPr>
                <w:rFonts w:eastAsia="Times New Roman"/>
                <w:b/>
                <w:bCs/>
                <w:sz w:val="18"/>
                <w:szCs w:val="16"/>
                <w:lang w:eastAsia="es-AR"/>
              </w:rPr>
              <w:t>ITF</w:t>
            </w:r>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778"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6602B1">
        <w:trPr>
          <w:trHeight w:val="214"/>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-24,7%</w:t>
            </w:r>
          </w:p>
        </w:tc>
        <w:tc>
          <w:tcPr>
            <w:tcW w:w="778" w:type="dxa"/>
            <w:tcBorders>
              <w:top w:val="nil"/>
              <w:left w:val="single" w:sz="4" w:space="0" w:color="auto"/>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-23,1%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-21,7%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-1,9%</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r>
      <w:tr w:rsidR="00433B67" w:rsidRPr="004B089E" w:rsidTr="006602B1">
        <w:trPr>
          <w:trHeight w:val="214"/>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-24,4%</w:t>
            </w:r>
          </w:p>
        </w:tc>
        <w:tc>
          <w:tcPr>
            <w:tcW w:w="778" w:type="dxa"/>
            <w:tcBorders>
              <w:top w:val="nil"/>
              <w:left w:val="single" w:sz="4" w:space="0" w:color="auto"/>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-25,6%</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-20,6%</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6,3%</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w:t>
            </w:r>
          </w:p>
        </w:tc>
      </w:tr>
      <w:tr w:rsidR="00433B67" w:rsidRPr="004B089E" w:rsidTr="006602B1">
        <w:trPr>
          <w:trHeight w:val="228"/>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-18,2%</w:t>
            </w:r>
          </w:p>
        </w:tc>
        <w:tc>
          <w:tcPr>
            <w:tcW w:w="778" w:type="dxa"/>
            <w:tcBorders>
              <w:top w:val="nil"/>
              <w:left w:val="single" w:sz="4" w:space="0" w:color="auto"/>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-15,5%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r>
      <w:tr w:rsidR="00433B67" w:rsidRPr="004B089E" w:rsidTr="006602B1">
        <w:trPr>
          <w:trHeight w:val="228"/>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-13,6%</w:t>
            </w:r>
          </w:p>
        </w:tc>
        <w:tc>
          <w:tcPr>
            <w:tcW w:w="778" w:type="dxa"/>
            <w:tcBorders>
              <w:top w:val="nil"/>
              <w:left w:val="single" w:sz="4" w:space="0" w:color="auto"/>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-13,7%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-0,2%</w:t>
            </w:r>
          </w:p>
        </w:tc>
      </w:tr>
      <w:tr w:rsidR="00433B67" w:rsidRPr="004B089E" w:rsidTr="006602B1">
        <w:trPr>
          <w:trHeight w:val="214"/>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8,1%</w:t>
            </w:r>
          </w:p>
        </w:tc>
        <w:tc>
          <w:tcPr>
            <w:tcW w:w="778" w:type="dxa"/>
            <w:tcBorders>
              <w:top w:val="nil"/>
              <w:left w:val="single" w:sz="4" w:space="0" w:color="auto"/>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6,9%</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8,0%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r>
      <w:tr w:rsidR="00433B67" w:rsidRPr="004B089E" w:rsidTr="006602B1">
        <w:trPr>
          <w:trHeight w:val="228"/>
        </w:trPr>
        <w:tc>
          <w:tcPr>
            <w:tcW w:w="1582"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-9,1%</w:t>
            </w:r>
          </w:p>
        </w:tc>
        <w:tc>
          <w:tcPr>
            <w:tcW w:w="778" w:type="dxa"/>
            <w:tcBorders>
              <w:top w:val="nil"/>
              <w:left w:val="single" w:sz="4" w:space="0" w:color="auto"/>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-11,6%</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-8,5%</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-3,5%</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0,3%</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2,5%</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0,1%</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2,4%</w:t>
            </w:r>
          </w:p>
        </w:tc>
        <w:tc>
          <w:tcPr>
            <w:tcW w:w="778"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0,0%</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before="240" w:after="0" w:line="240" w:lineRule="auto"/>
        <w:jc w:val="both"/>
        <w:rPr>
          <w:rFonts w:eastAsia="Times New Roman"/>
          <w:sz w:val="24"/>
          <w:szCs w:val="24"/>
          <w:lang w:val="es-ES" w:eastAsia="es-AR"/>
        </w:rPr>
      </w:pPr>
      <w:r>
        <w:rPr>
          <w:rFonts w:eastAsia="Times New Roman"/>
          <w:sz w:val="24"/>
          <w:szCs w:val="24"/>
          <w:lang w:val="es-ES" w:eastAsia="es-AR"/>
        </w:rPr>
        <w:t>Los factores que explicaron la reducción del ingreso laboral en los hogares tanto en la primera fase (1974-1980) como en la segunda (1980-1988)</w:t>
      </w:r>
      <w:r w:rsidR="006602B1">
        <w:rPr>
          <w:rFonts w:eastAsia="Times New Roman"/>
          <w:sz w:val="24"/>
          <w:szCs w:val="24"/>
          <w:lang w:val="es-ES" w:eastAsia="es-AR"/>
        </w:rPr>
        <w:t xml:space="preserve"> fueron los mismos</w:t>
      </w:r>
      <w:r>
        <w:rPr>
          <w:rFonts w:eastAsia="Times New Roman"/>
          <w:sz w:val="24"/>
          <w:szCs w:val="24"/>
          <w:lang w:val="es-ES" w:eastAsia="es-AR"/>
        </w:rPr>
        <w:t>. Específicamente, el factor principal de la pérdida de ingresos familiares fue la reducción del ingreso medio por ocupado, que adquirió su mayor intensi</w:t>
      </w:r>
      <w:r w:rsidR="00617F23">
        <w:rPr>
          <w:rFonts w:eastAsia="Times New Roman"/>
          <w:sz w:val="24"/>
          <w:szCs w:val="24"/>
          <w:lang w:val="es-ES" w:eastAsia="es-AR"/>
        </w:rPr>
        <w:t>dad entre 1980 y 1988 (</w:t>
      </w:r>
      <w:r w:rsidR="00617F23" w:rsidRPr="00617F23">
        <w:rPr>
          <w:rFonts w:eastAsia="Times New Roman"/>
          <w:sz w:val="24"/>
          <w:szCs w:val="24"/>
          <w:highlight w:val="green"/>
          <w:lang w:val="es-ES" w:eastAsia="es-AR"/>
        </w:rPr>
        <w:t>Cuadros 1 y 2</w:t>
      </w:r>
      <w:r>
        <w:rPr>
          <w:rFonts w:eastAsia="Times New Roman"/>
          <w:sz w:val="24"/>
          <w:szCs w:val="24"/>
          <w:lang w:val="es-ES" w:eastAsia="es-AR"/>
        </w:rPr>
        <w:t>). Un aspecto sobresaliente de esta evolución fue que afectó mucho más a los hogares de los quintiles más pobres de la estructura social. En este sentido,</w:t>
      </w:r>
      <w:r w:rsidRPr="003F7057">
        <w:rPr>
          <w:rFonts w:eastAsia="Times New Roman"/>
          <w:sz w:val="24"/>
          <w:szCs w:val="24"/>
          <w:lang w:val="es-ES" w:eastAsia="es-AR"/>
        </w:rPr>
        <w:t xml:space="preserve"> debe recordarse la fuerte caída salarial que resultó del programa económico de la dictadura militar, la que no se revirtió en los años siguientes</w:t>
      </w:r>
      <w:r w:rsidR="006602B1">
        <w:rPr>
          <w:rFonts w:eastAsia="Times New Roman"/>
          <w:sz w:val="24"/>
          <w:szCs w:val="24"/>
          <w:lang w:val="es-ES" w:eastAsia="es-AR"/>
        </w:rPr>
        <w:t xml:space="preserve"> y signó el proceso de deterioro económico-social de los años ochenta</w:t>
      </w:r>
      <w:r w:rsidRPr="003F7057">
        <w:rPr>
          <w:rFonts w:eastAsia="Times New Roman"/>
          <w:sz w:val="24"/>
          <w:szCs w:val="24"/>
          <w:lang w:val="es-ES" w:eastAsia="es-AR"/>
        </w:rPr>
        <w:t xml:space="preserve"> (</w:t>
      </w:r>
      <w:proofErr w:type="spellStart"/>
      <w:r w:rsidRPr="003F7057">
        <w:rPr>
          <w:rFonts w:eastAsia="Times New Roman"/>
          <w:sz w:val="24"/>
          <w:szCs w:val="24"/>
          <w:lang w:val="es-ES" w:eastAsia="es-AR"/>
        </w:rPr>
        <w:t>Lindenboim</w:t>
      </w:r>
      <w:proofErr w:type="spellEnd"/>
      <w:r w:rsidRPr="003F7057">
        <w:rPr>
          <w:rFonts w:eastAsia="Times New Roman"/>
          <w:sz w:val="24"/>
          <w:szCs w:val="24"/>
          <w:lang w:val="es-ES" w:eastAsia="es-AR"/>
        </w:rPr>
        <w:t>, Graña y Kennedy, 2010)</w:t>
      </w:r>
      <w:r>
        <w:rPr>
          <w:rFonts w:eastAsia="Times New Roman"/>
          <w:sz w:val="24"/>
          <w:szCs w:val="24"/>
          <w:lang w:val="es-ES" w:eastAsia="es-AR"/>
        </w:rPr>
        <w:t xml:space="preserve">. El otro factor que explicó la reducción del ingreso laboral fue la caída del número promedio de perceptores ocupados por hogar, aunque su importancia fue mucho menor que la asociada a la reducción de las retribuciones al trabajo. Además, se advirtió un proceso social significativo: los hogares de los quintiles más bajos, en contraste con el resto de los estratos, aumentaron su número medio de ocupados, de tal forma que debieron incrementar su “auto-explotación” </w:t>
      </w:r>
      <w:r w:rsidR="006602B1">
        <w:rPr>
          <w:rFonts w:eastAsia="Times New Roman"/>
          <w:sz w:val="24"/>
          <w:szCs w:val="24"/>
          <w:lang w:val="es-ES" w:eastAsia="es-AR"/>
        </w:rPr>
        <w:t xml:space="preserve">(Cortés, 2000) </w:t>
      </w:r>
      <w:r>
        <w:rPr>
          <w:rFonts w:eastAsia="Times New Roman"/>
          <w:sz w:val="24"/>
          <w:szCs w:val="24"/>
          <w:lang w:val="es-ES" w:eastAsia="es-AR"/>
        </w:rPr>
        <w:t>para hacer frente al adverso contexto generado por el programa de ajuste económico y el bajo nivel de crecimiento.</w:t>
      </w:r>
    </w:p>
    <w:p w:rsidR="00433B67" w:rsidRDefault="00433B67" w:rsidP="00433B67">
      <w:pPr>
        <w:tabs>
          <w:tab w:val="left" w:pos="4069"/>
        </w:tabs>
        <w:spacing w:before="240" w:after="0" w:line="240" w:lineRule="auto"/>
        <w:jc w:val="both"/>
        <w:rPr>
          <w:rFonts w:eastAsia="Times New Roman"/>
          <w:sz w:val="24"/>
          <w:szCs w:val="24"/>
          <w:lang w:val="es-ES" w:eastAsia="es-AR"/>
        </w:rPr>
      </w:pPr>
      <w:r>
        <w:rPr>
          <w:rFonts w:eastAsia="Times New Roman"/>
          <w:sz w:val="24"/>
          <w:szCs w:val="24"/>
          <w:lang w:val="es-ES" w:eastAsia="es-AR"/>
        </w:rPr>
        <w:t>Los ingresos no laborales también participaron en esta evolución declinante de las condiciones de vida familiares durante el p</w:t>
      </w:r>
      <w:r w:rsidR="00617F23">
        <w:rPr>
          <w:rFonts w:eastAsia="Times New Roman"/>
          <w:sz w:val="24"/>
          <w:szCs w:val="24"/>
          <w:lang w:val="es-ES" w:eastAsia="es-AR"/>
        </w:rPr>
        <w:t>eríodo 1974-1988 (</w:t>
      </w:r>
      <w:r w:rsidR="00617F23" w:rsidRPr="00617F23">
        <w:rPr>
          <w:rFonts w:eastAsia="Times New Roman"/>
          <w:sz w:val="24"/>
          <w:szCs w:val="24"/>
          <w:highlight w:val="green"/>
          <w:lang w:val="es-ES" w:eastAsia="es-AR"/>
        </w:rPr>
        <w:t>Cuadro 3</w:t>
      </w:r>
      <w:r>
        <w:rPr>
          <w:rFonts w:eastAsia="Times New Roman"/>
          <w:sz w:val="24"/>
          <w:szCs w:val="24"/>
          <w:lang w:val="es-ES" w:eastAsia="es-AR"/>
        </w:rPr>
        <w:t>). Sin embargo, entre 1974 y 1980 contribuyeron posi</w:t>
      </w:r>
      <w:r w:rsidR="00617F23">
        <w:rPr>
          <w:rFonts w:eastAsia="Times New Roman"/>
          <w:sz w:val="24"/>
          <w:szCs w:val="24"/>
          <w:lang w:val="es-ES" w:eastAsia="es-AR"/>
        </w:rPr>
        <w:t>tivamente al bienestar (</w:t>
      </w:r>
      <w:r w:rsidR="00617F23" w:rsidRPr="00617F23">
        <w:rPr>
          <w:rFonts w:eastAsia="Times New Roman"/>
          <w:sz w:val="24"/>
          <w:szCs w:val="24"/>
          <w:highlight w:val="green"/>
          <w:lang w:val="es-ES" w:eastAsia="es-AR"/>
        </w:rPr>
        <w:t>Cuadro 1</w:t>
      </w:r>
      <w:r>
        <w:rPr>
          <w:rFonts w:eastAsia="Times New Roman"/>
          <w:sz w:val="24"/>
          <w:szCs w:val="24"/>
          <w:lang w:val="es-ES" w:eastAsia="es-AR"/>
        </w:rPr>
        <w:t xml:space="preserve">), </w:t>
      </w:r>
      <w:r w:rsidR="006602B1">
        <w:rPr>
          <w:rFonts w:eastAsia="Times New Roman"/>
          <w:sz w:val="24"/>
          <w:szCs w:val="24"/>
          <w:lang w:val="es-ES" w:eastAsia="es-AR"/>
        </w:rPr>
        <w:t xml:space="preserve">y fue sólo </w:t>
      </w:r>
      <w:r>
        <w:rPr>
          <w:rFonts w:eastAsia="Times New Roman"/>
          <w:sz w:val="24"/>
          <w:szCs w:val="24"/>
          <w:lang w:val="es-ES" w:eastAsia="es-AR"/>
        </w:rPr>
        <w:t>entre 1980 y 1988</w:t>
      </w:r>
      <w:r w:rsidR="006602B1">
        <w:rPr>
          <w:rFonts w:eastAsia="Times New Roman"/>
          <w:sz w:val="24"/>
          <w:szCs w:val="24"/>
          <w:lang w:val="es-ES" w:eastAsia="es-AR"/>
        </w:rPr>
        <w:t xml:space="preserve"> cuando</w:t>
      </w:r>
      <w:r>
        <w:rPr>
          <w:rFonts w:eastAsia="Times New Roman"/>
          <w:sz w:val="24"/>
          <w:szCs w:val="24"/>
          <w:lang w:val="es-ES" w:eastAsia="es-AR"/>
        </w:rPr>
        <w:t xml:space="preserve"> acompañaro</w:t>
      </w:r>
      <w:r w:rsidR="00617F23">
        <w:rPr>
          <w:rFonts w:eastAsia="Times New Roman"/>
          <w:sz w:val="24"/>
          <w:szCs w:val="24"/>
          <w:lang w:val="es-ES" w:eastAsia="es-AR"/>
        </w:rPr>
        <w:t>n el deterioro general (</w:t>
      </w:r>
      <w:r w:rsidR="00617F23" w:rsidRPr="00617F23">
        <w:rPr>
          <w:rFonts w:eastAsia="Times New Roman"/>
          <w:sz w:val="24"/>
          <w:szCs w:val="24"/>
          <w:highlight w:val="green"/>
          <w:lang w:val="es-ES" w:eastAsia="es-AR"/>
        </w:rPr>
        <w:t>Cuadro 2</w:t>
      </w:r>
      <w:r>
        <w:rPr>
          <w:rFonts w:eastAsia="Times New Roman"/>
          <w:sz w:val="24"/>
          <w:szCs w:val="24"/>
          <w:lang w:val="es-ES" w:eastAsia="es-AR"/>
        </w:rPr>
        <w:t xml:space="preserve">). En el período inicial, el incremento del ingreso por fuentes no laborales se debió a un aumento en el ingreso medio por perceptor exclusivamente en el quintil más alto de la distribución, </w:t>
      </w:r>
      <w:r>
        <w:rPr>
          <w:rFonts w:eastAsia="Times New Roman"/>
          <w:sz w:val="24"/>
          <w:szCs w:val="24"/>
          <w:lang w:val="es-ES" w:eastAsia="es-AR"/>
        </w:rPr>
        <w:lastRenderedPageBreak/>
        <w:t xml:space="preserve">mientras que en todos los quintiles </w:t>
      </w:r>
      <w:r w:rsidR="006602B1">
        <w:rPr>
          <w:rFonts w:eastAsia="Times New Roman"/>
          <w:sz w:val="24"/>
          <w:szCs w:val="24"/>
          <w:lang w:val="es-ES" w:eastAsia="es-AR"/>
        </w:rPr>
        <w:t xml:space="preserve">restantes </w:t>
      </w:r>
      <w:r w:rsidR="00B149C5">
        <w:rPr>
          <w:rFonts w:eastAsia="Times New Roman"/>
          <w:sz w:val="24"/>
          <w:szCs w:val="24"/>
          <w:lang w:val="es-ES" w:eastAsia="es-AR"/>
        </w:rPr>
        <w:t xml:space="preserve">el factor explicativo </w:t>
      </w:r>
      <w:r w:rsidR="006602B1">
        <w:rPr>
          <w:rFonts w:eastAsia="Times New Roman"/>
          <w:sz w:val="24"/>
          <w:szCs w:val="24"/>
          <w:lang w:val="es-ES" w:eastAsia="es-AR"/>
        </w:rPr>
        <w:t xml:space="preserve">fue </w:t>
      </w:r>
      <w:r>
        <w:rPr>
          <w:rFonts w:eastAsia="Times New Roman"/>
          <w:sz w:val="24"/>
          <w:szCs w:val="24"/>
          <w:lang w:val="es-ES" w:eastAsia="es-AR"/>
        </w:rPr>
        <w:t>el aumento del número de perceptores de este tipo de fuentes. En cambio, entre 1980 y 1988, nuevamente creció el número de perceptores no laborales por hogar –lo que recogió la</w:t>
      </w:r>
      <w:r w:rsidRPr="003F7057">
        <w:rPr>
          <w:rFonts w:eastAsia="Times New Roman"/>
          <w:sz w:val="24"/>
          <w:szCs w:val="24"/>
          <w:lang w:val="es-ES" w:eastAsia="es-AR"/>
        </w:rPr>
        <w:t xml:space="preserve"> mayor cobertura previsional</w:t>
      </w:r>
      <w:r>
        <w:rPr>
          <w:rFonts w:eastAsia="Times New Roman"/>
          <w:sz w:val="24"/>
          <w:szCs w:val="24"/>
          <w:lang w:val="es-ES" w:eastAsia="es-AR"/>
        </w:rPr>
        <w:t xml:space="preserve"> (como se explicó en el </w:t>
      </w:r>
      <w:r w:rsidRPr="00B83980">
        <w:rPr>
          <w:rFonts w:eastAsia="Times New Roman"/>
          <w:sz w:val="24"/>
          <w:szCs w:val="24"/>
          <w:highlight w:val="yellow"/>
          <w:lang w:val="es-ES" w:eastAsia="es-AR"/>
        </w:rPr>
        <w:t>capítulo 1</w:t>
      </w:r>
      <w:proofErr w:type="gramStart"/>
      <w:r>
        <w:rPr>
          <w:rFonts w:eastAsia="Times New Roman"/>
          <w:sz w:val="24"/>
          <w:szCs w:val="24"/>
          <w:lang w:val="es-ES" w:eastAsia="es-AR"/>
        </w:rPr>
        <w:t>)–</w:t>
      </w:r>
      <w:proofErr w:type="gramEnd"/>
      <w:r>
        <w:rPr>
          <w:rFonts w:eastAsia="Times New Roman"/>
          <w:sz w:val="24"/>
          <w:szCs w:val="24"/>
          <w:lang w:val="es-ES" w:eastAsia="es-AR"/>
        </w:rPr>
        <w:t xml:space="preserve"> pero se redujo sensiblemente el ingreso medio por perceptor de este tipo de fuentes en todos los estratos socioeconómicos. </w:t>
      </w:r>
      <w:r w:rsidR="00B149C5">
        <w:rPr>
          <w:rFonts w:eastAsia="Times New Roman"/>
          <w:sz w:val="24"/>
          <w:szCs w:val="24"/>
          <w:lang w:val="es-ES" w:eastAsia="es-AR"/>
        </w:rPr>
        <w:t xml:space="preserve">Este último aspecto se debió, precisamente, </w:t>
      </w:r>
      <w:r>
        <w:rPr>
          <w:rFonts w:eastAsia="Times New Roman"/>
          <w:sz w:val="24"/>
          <w:szCs w:val="24"/>
          <w:lang w:val="es-ES" w:eastAsia="es-AR"/>
        </w:rPr>
        <w:t xml:space="preserve">a </w:t>
      </w:r>
      <w:r w:rsidRPr="003F7057">
        <w:rPr>
          <w:rFonts w:eastAsia="Times New Roman"/>
          <w:sz w:val="24"/>
          <w:szCs w:val="24"/>
          <w:lang w:val="es-ES" w:eastAsia="es-AR"/>
        </w:rPr>
        <w:t xml:space="preserve">la sostenida caída de los ingresos jubilatorios, originada en la crisis del sistema previsional </w:t>
      </w:r>
      <w:r w:rsidR="00B149C5">
        <w:rPr>
          <w:rFonts w:eastAsia="Times New Roman"/>
          <w:sz w:val="24"/>
          <w:szCs w:val="24"/>
          <w:lang w:val="es-ES" w:eastAsia="es-AR"/>
        </w:rPr>
        <w:t xml:space="preserve">de mediados de los ochenta </w:t>
      </w:r>
      <w:r w:rsidRPr="003F7057">
        <w:rPr>
          <w:rFonts w:eastAsia="Times New Roman"/>
          <w:sz w:val="24"/>
          <w:szCs w:val="24"/>
          <w:lang w:val="es-ES" w:eastAsia="es-AR"/>
        </w:rPr>
        <w:t>(Arza, 2010).</w:t>
      </w:r>
    </w:p>
    <w:p w:rsidR="00433B67" w:rsidRDefault="00433B67" w:rsidP="00433B67">
      <w:pPr>
        <w:tabs>
          <w:tab w:val="left" w:pos="4069"/>
        </w:tabs>
        <w:spacing w:after="0" w:line="240" w:lineRule="auto"/>
        <w:jc w:val="both"/>
        <w:rPr>
          <w:rFonts w:eastAsia="Times New Roman"/>
          <w:b/>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2</w:t>
      </w:r>
      <w:r w:rsidRPr="00CA7EA4">
        <w:rPr>
          <w:rFonts w:eastAsia="Times New Roman"/>
          <w:b/>
          <w:sz w:val="24"/>
          <w:szCs w:val="24"/>
          <w:lang w:val="es-ES" w:eastAsia="es-AR"/>
        </w:rPr>
        <w:t>. Cambio en el ingreso total familiar y contribución de cada fuente de ingreso según quintil de ingreso per cápita familiar. Gran Buenos Aires, 198</w:t>
      </w:r>
      <w:r>
        <w:rPr>
          <w:rFonts w:eastAsia="Times New Roman"/>
          <w:b/>
          <w:sz w:val="24"/>
          <w:szCs w:val="24"/>
          <w:lang w:val="es-ES" w:eastAsia="es-AR"/>
        </w:rPr>
        <w:t>8</w:t>
      </w:r>
      <w:r w:rsidRPr="00CA7EA4">
        <w:rPr>
          <w:rFonts w:eastAsia="Times New Roman"/>
          <w:b/>
          <w:sz w:val="24"/>
          <w:szCs w:val="24"/>
          <w:lang w:val="es-ES" w:eastAsia="es-AR"/>
        </w:rPr>
        <w:t>-19</w:t>
      </w:r>
      <w:r>
        <w:rPr>
          <w:rFonts w:eastAsia="Times New Roman"/>
          <w:b/>
          <w:sz w:val="24"/>
          <w:szCs w:val="24"/>
          <w:lang w:val="es-ES" w:eastAsia="es-AR"/>
        </w:rPr>
        <w:t>80</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67" w:type="dxa"/>
        <w:tblInd w:w="55" w:type="dxa"/>
        <w:tblCellMar>
          <w:left w:w="70" w:type="dxa"/>
          <w:right w:w="70" w:type="dxa"/>
        </w:tblCellMar>
        <w:tblLook w:val="04A0" w:firstRow="1" w:lastRow="0" w:firstColumn="1" w:lastColumn="0" w:noHBand="0" w:noVBand="1"/>
      </w:tblPr>
      <w:tblGrid>
        <w:gridCol w:w="1579"/>
        <w:gridCol w:w="776"/>
        <w:gridCol w:w="776"/>
        <w:gridCol w:w="776"/>
        <w:gridCol w:w="776"/>
        <w:gridCol w:w="778"/>
        <w:gridCol w:w="776"/>
        <w:gridCol w:w="776"/>
        <w:gridCol w:w="776"/>
        <w:gridCol w:w="778"/>
      </w:tblGrid>
      <w:tr w:rsidR="00433B67" w:rsidRPr="004B089E" w:rsidTr="006732CD">
        <w:trPr>
          <w:trHeight w:val="250"/>
        </w:trPr>
        <w:tc>
          <w:tcPr>
            <w:tcW w:w="1579"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106"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10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6732CD">
        <w:trPr>
          <w:trHeight w:val="468"/>
        </w:trPr>
        <w:tc>
          <w:tcPr>
            <w:tcW w:w="1579"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6"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b/>
                <w:bCs/>
                <w:sz w:val="18"/>
                <w:szCs w:val="16"/>
                <w:lang w:eastAsia="es-AR"/>
              </w:rPr>
            </w:pPr>
          </w:p>
        </w:tc>
        <w:tc>
          <w:tcPr>
            <w:tcW w:w="776"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76"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776"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6732CD">
        <w:trPr>
          <w:trHeight w:val="234"/>
        </w:trPr>
        <w:tc>
          <w:tcPr>
            <w:tcW w:w="1579"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-42,4%</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-34,4%</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-39,8%</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-4,9%</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-8,0%</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c>
          <w:tcPr>
            <w:tcW w:w="776"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r>
      <w:tr w:rsidR="00433B67" w:rsidRPr="004B089E" w:rsidTr="006732CD">
        <w:trPr>
          <w:trHeight w:val="234"/>
        </w:trPr>
        <w:tc>
          <w:tcPr>
            <w:tcW w:w="1579"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-39,7%</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-32,6%</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-36,3%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6,7%</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-2,9%</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-7,2%</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-6,4%</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w:t>
            </w:r>
          </w:p>
        </w:tc>
        <w:tc>
          <w:tcPr>
            <w:tcW w:w="776"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r>
      <w:tr w:rsidR="00433B67" w:rsidRPr="004B089E" w:rsidTr="006732CD">
        <w:trPr>
          <w:trHeight w:val="250"/>
        </w:trPr>
        <w:tc>
          <w:tcPr>
            <w:tcW w:w="1579"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-42,8%</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-38,9%</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-35,3%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2,6%</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-3,8%</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-6,3%</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4,1%</w:t>
            </w:r>
          </w:p>
        </w:tc>
        <w:tc>
          <w:tcPr>
            <w:tcW w:w="776"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-1,6%</w:t>
            </w:r>
          </w:p>
        </w:tc>
      </w:tr>
      <w:tr w:rsidR="00433B67" w:rsidRPr="004B089E" w:rsidTr="006732CD">
        <w:trPr>
          <w:trHeight w:val="250"/>
        </w:trPr>
        <w:tc>
          <w:tcPr>
            <w:tcW w:w="1579"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-39,1%</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-34,5%</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-28,0%</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-9,5%</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3,1%</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-4,6%</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-5,1%</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0,8%</w:t>
            </w:r>
          </w:p>
        </w:tc>
        <w:tc>
          <w:tcPr>
            <w:tcW w:w="776"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r>
      <w:tr w:rsidR="00433B67" w:rsidRPr="004B089E" w:rsidTr="006732CD">
        <w:trPr>
          <w:trHeight w:val="234"/>
        </w:trPr>
        <w:tc>
          <w:tcPr>
            <w:tcW w:w="1579"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-39,6%</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-28,9%</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-30,2%</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2,1%</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-0,8%</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-10,7%</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-9,6%</w:t>
            </w:r>
          </w:p>
        </w:tc>
        <w:tc>
          <w:tcPr>
            <w:tcW w:w="776"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c>
          <w:tcPr>
            <w:tcW w:w="776"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r>
      <w:tr w:rsidR="00433B67" w:rsidRPr="004B089E" w:rsidTr="006732CD">
        <w:trPr>
          <w:trHeight w:val="250"/>
        </w:trPr>
        <w:tc>
          <w:tcPr>
            <w:tcW w:w="1579"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-40,2%</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-32,6%</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-32,3%</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-0,5%</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0,2%</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-7,6%</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-7,8%</w:t>
            </w:r>
          </w:p>
        </w:tc>
        <w:tc>
          <w:tcPr>
            <w:tcW w:w="776"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0,3%</w:t>
            </w:r>
          </w:p>
        </w:tc>
        <w:tc>
          <w:tcPr>
            <w:tcW w:w="776"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-0,2%</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suma, los principales cambios relacionados con el acceso al bienestar por parte de los hogares en el período 1974-1988 (</w:t>
      </w:r>
      <w:r w:rsidR="00663FDC">
        <w:rPr>
          <w:rFonts w:eastAsia="Times New Roman"/>
          <w:sz w:val="24"/>
          <w:szCs w:val="24"/>
          <w:highlight w:val="green"/>
          <w:lang w:val="es-ES" w:eastAsia="es-AR"/>
        </w:rPr>
        <w:t xml:space="preserve">Cuadro </w:t>
      </w:r>
      <w:r w:rsidR="00663FDC" w:rsidRPr="00663FDC">
        <w:rPr>
          <w:rFonts w:eastAsia="Times New Roman"/>
          <w:sz w:val="24"/>
          <w:szCs w:val="24"/>
          <w:highlight w:val="green"/>
          <w:lang w:val="es-ES" w:eastAsia="es-AR"/>
        </w:rPr>
        <w:t>3</w:t>
      </w:r>
      <w:r>
        <w:rPr>
          <w:rFonts w:eastAsia="Times New Roman"/>
          <w:sz w:val="24"/>
          <w:szCs w:val="24"/>
          <w:lang w:val="es-ES" w:eastAsia="es-AR"/>
        </w:rPr>
        <w:t xml:space="preserve">) estuvieron vinculados con: (a) una caída de ingresos laborales, originada en la retracción del ingreso por ocupado y en el número de ocupados promedio por hogar; (b) secundariamente por una reducción del ingreso no laboral, concentrada en una pérdida de ingreso medio por perceptor, en tanto el número de perceptores por hogar aumentó; (c) ambos procesos regresivos fueron mucho más intensos en los quintiles más bajos de la estructura socioeconómica.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3</w:t>
      </w:r>
      <w:r w:rsidRPr="00CA7EA4">
        <w:rPr>
          <w:rFonts w:eastAsia="Times New Roman"/>
          <w:b/>
          <w:sz w:val="24"/>
          <w:szCs w:val="24"/>
          <w:lang w:val="es-ES" w:eastAsia="es-AR"/>
        </w:rPr>
        <w:t>. Cambio en el ingreso total familiar y contribución de cada fuente de ingreso según quintil de ingreso per cápita familiar. Gran Buenos Aires, 198</w:t>
      </w:r>
      <w:r>
        <w:rPr>
          <w:rFonts w:eastAsia="Times New Roman"/>
          <w:b/>
          <w:sz w:val="24"/>
          <w:szCs w:val="24"/>
          <w:lang w:val="es-ES" w:eastAsia="es-AR"/>
        </w:rPr>
        <w:t>8</w:t>
      </w:r>
      <w:r w:rsidRPr="00CA7EA4">
        <w:rPr>
          <w:rFonts w:eastAsia="Times New Roman"/>
          <w:b/>
          <w:sz w:val="24"/>
          <w:szCs w:val="24"/>
          <w:lang w:val="es-ES" w:eastAsia="es-AR"/>
        </w:rPr>
        <w:t>-19</w:t>
      </w:r>
      <w:r>
        <w:rPr>
          <w:rFonts w:eastAsia="Times New Roman"/>
          <w:b/>
          <w:sz w:val="24"/>
          <w:szCs w:val="24"/>
          <w:lang w:val="es-ES" w:eastAsia="es-AR"/>
        </w:rPr>
        <w:t>74</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31" w:type="dxa"/>
        <w:jc w:val="center"/>
        <w:tblInd w:w="55" w:type="dxa"/>
        <w:tblCellMar>
          <w:left w:w="70" w:type="dxa"/>
          <w:right w:w="70" w:type="dxa"/>
        </w:tblCellMar>
        <w:tblLook w:val="04A0" w:firstRow="1" w:lastRow="0" w:firstColumn="1" w:lastColumn="0" w:noHBand="0" w:noVBand="1"/>
      </w:tblPr>
      <w:tblGrid>
        <w:gridCol w:w="1555"/>
        <w:gridCol w:w="765"/>
        <w:gridCol w:w="777"/>
        <w:gridCol w:w="765"/>
        <w:gridCol w:w="765"/>
        <w:gridCol w:w="767"/>
        <w:gridCol w:w="777"/>
        <w:gridCol w:w="765"/>
        <w:gridCol w:w="765"/>
        <w:gridCol w:w="830"/>
      </w:tblGrid>
      <w:tr w:rsidR="00433B67" w:rsidRPr="004B089E" w:rsidTr="00B149C5">
        <w:trPr>
          <w:trHeight w:val="238"/>
          <w:jc w:val="center"/>
        </w:trPr>
        <w:tc>
          <w:tcPr>
            <w:tcW w:w="1555"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65"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072"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13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B149C5">
        <w:trPr>
          <w:trHeight w:val="445"/>
          <w:jc w:val="center"/>
        </w:trPr>
        <w:tc>
          <w:tcPr>
            <w:tcW w:w="1555"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65" w:type="dxa"/>
            <w:vMerge/>
            <w:tcBorders>
              <w:top w:val="single" w:sz="8" w:space="0" w:color="auto"/>
              <w:left w:val="single" w:sz="8" w:space="0" w:color="auto"/>
              <w:bottom w:val="single" w:sz="4" w:space="0" w:color="000000"/>
              <w:right w:val="single" w:sz="4" w:space="0" w:color="auto"/>
            </w:tcBorders>
            <w:vAlign w:val="center"/>
            <w:hideMark/>
          </w:tcPr>
          <w:p w:rsidR="00433B67" w:rsidRPr="004B089E" w:rsidRDefault="00433B67" w:rsidP="006732CD">
            <w:pPr>
              <w:spacing w:after="0" w:line="240" w:lineRule="auto"/>
              <w:rPr>
                <w:rFonts w:eastAsia="Times New Roman"/>
                <w:b/>
                <w:bCs/>
                <w:sz w:val="18"/>
                <w:szCs w:val="16"/>
                <w:lang w:eastAsia="es-AR"/>
              </w:rPr>
            </w:pPr>
          </w:p>
        </w:tc>
        <w:tc>
          <w:tcPr>
            <w:tcW w:w="777"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65"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65"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67"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7"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65"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65"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830"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B149C5">
        <w:trPr>
          <w:trHeight w:val="223"/>
          <w:jc w:val="center"/>
        </w:trPr>
        <w:tc>
          <w:tcPr>
            <w:tcW w:w="1555"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-56,7%</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-62,7%</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-66,9%</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10,9%</w:t>
            </w:r>
          </w:p>
        </w:tc>
        <w:tc>
          <w:tcPr>
            <w:tcW w:w="76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-6,7%</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-9,8%</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-10,1%</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0,7%</w:t>
            </w:r>
          </w:p>
        </w:tc>
        <w:tc>
          <w:tcPr>
            <w:tcW w:w="830"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r>
      <w:tr w:rsidR="00433B67" w:rsidRPr="004B089E" w:rsidTr="00B149C5">
        <w:trPr>
          <w:trHeight w:val="223"/>
          <w:jc w:val="center"/>
        </w:trPr>
        <w:tc>
          <w:tcPr>
            <w:tcW w:w="1555"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-54,4%</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-64,1%</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-64,1%</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c>
          <w:tcPr>
            <w:tcW w:w="76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-5,4%</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-8,3%</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6,3%</w:t>
            </w:r>
          </w:p>
        </w:tc>
        <w:tc>
          <w:tcPr>
            <w:tcW w:w="830"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r>
      <w:tr w:rsidR="00433B67" w:rsidRPr="004B089E" w:rsidTr="00B149C5">
        <w:trPr>
          <w:trHeight w:val="238"/>
          <w:jc w:val="center"/>
        </w:trPr>
        <w:tc>
          <w:tcPr>
            <w:tcW w:w="1555"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-53,2%</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-55,8%</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-52,4%</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-7,2%</w:t>
            </w:r>
          </w:p>
        </w:tc>
        <w:tc>
          <w:tcPr>
            <w:tcW w:w="76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-6,8%</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-9,9%</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6,6%</w:t>
            </w:r>
          </w:p>
        </w:tc>
        <w:tc>
          <w:tcPr>
            <w:tcW w:w="830"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-3,5%</w:t>
            </w:r>
          </w:p>
        </w:tc>
      </w:tr>
      <w:tr w:rsidR="00433B67" w:rsidRPr="004B089E" w:rsidTr="00B149C5">
        <w:trPr>
          <w:trHeight w:val="238"/>
          <w:jc w:val="center"/>
        </w:trPr>
        <w:tc>
          <w:tcPr>
            <w:tcW w:w="1555"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-47,4%</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-48,4%</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-40,7%</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-13,1%</w:t>
            </w:r>
          </w:p>
        </w:tc>
        <w:tc>
          <w:tcPr>
            <w:tcW w:w="76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5,4%</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-4,3%</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-5,7%</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2,5%</w:t>
            </w:r>
          </w:p>
        </w:tc>
        <w:tc>
          <w:tcPr>
            <w:tcW w:w="830"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r>
      <w:tr w:rsidR="00433B67" w:rsidRPr="004B089E" w:rsidTr="00B149C5">
        <w:trPr>
          <w:trHeight w:val="223"/>
          <w:jc w:val="center"/>
        </w:trPr>
        <w:tc>
          <w:tcPr>
            <w:tcW w:w="1555"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-34,7%</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-27,8%</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-25,2%</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c>
          <w:tcPr>
            <w:tcW w:w="76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c>
          <w:tcPr>
            <w:tcW w:w="777"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-3,1%</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-3,3%</w:t>
            </w:r>
          </w:p>
        </w:tc>
        <w:tc>
          <w:tcPr>
            <w:tcW w:w="765"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830"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B149C5">
        <w:trPr>
          <w:trHeight w:val="238"/>
          <w:jc w:val="center"/>
        </w:trPr>
        <w:tc>
          <w:tcPr>
            <w:tcW w:w="1555"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65"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-45,7%</w:t>
            </w:r>
          </w:p>
        </w:tc>
        <w:tc>
          <w:tcPr>
            <w:tcW w:w="777"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-43,6%</w:t>
            </w:r>
          </w:p>
        </w:tc>
        <w:tc>
          <w:tcPr>
            <w:tcW w:w="765"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-41,3%</w:t>
            </w:r>
          </w:p>
        </w:tc>
        <w:tc>
          <w:tcPr>
            <w:tcW w:w="765"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-4,2%</w:t>
            </w:r>
          </w:p>
        </w:tc>
        <w:tc>
          <w:tcPr>
            <w:tcW w:w="767"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1,9%</w:t>
            </w:r>
          </w:p>
        </w:tc>
        <w:tc>
          <w:tcPr>
            <w:tcW w:w="777"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-4,7%</w:t>
            </w:r>
          </w:p>
        </w:tc>
        <w:tc>
          <w:tcPr>
            <w:tcW w:w="765"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-6,2%</w:t>
            </w:r>
          </w:p>
        </w:tc>
        <w:tc>
          <w:tcPr>
            <w:tcW w:w="765"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2,9%</w:t>
            </w:r>
          </w:p>
        </w:tc>
        <w:tc>
          <w:tcPr>
            <w:tcW w:w="830"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-1,3%</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line="240" w:lineRule="auto"/>
        <w:jc w:val="center"/>
        <w:rPr>
          <w:rFonts w:eastAsia="Times New Roman"/>
          <w:sz w:val="24"/>
          <w:szCs w:val="24"/>
          <w:lang w:val="es-ES" w:eastAsia="es-AR"/>
        </w:rPr>
      </w:pPr>
      <w:r>
        <w:rPr>
          <w:color w:val="010101"/>
          <w:sz w:val="24"/>
          <w:szCs w:val="24"/>
          <w:u w:val="single"/>
          <w:lang w:eastAsia="es-MX"/>
        </w:rPr>
        <w:t>R</w:t>
      </w:r>
      <w:r w:rsidRPr="003F7057">
        <w:rPr>
          <w:color w:val="010101"/>
          <w:sz w:val="24"/>
          <w:szCs w:val="24"/>
          <w:u w:val="single"/>
          <w:lang w:eastAsia="es-MX"/>
        </w:rPr>
        <w:t>eformas estructurales bajo un régimen de convertibilidad (1988-2003)</w:t>
      </w:r>
    </w:p>
    <w:p w:rsidR="00433B67" w:rsidRDefault="00433B67" w:rsidP="00433B67">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 xml:space="preserve">La etapa de reformas estructurales no resultó homogénea en términos de acceso al bienestar económico por parte de los hogares. Entre 1988 y 1998, el programa de </w:t>
      </w:r>
      <w:r>
        <w:rPr>
          <w:rFonts w:eastAsia="Times New Roman"/>
          <w:sz w:val="24"/>
          <w:szCs w:val="24"/>
          <w:lang w:val="es-ES" w:eastAsia="es-AR"/>
        </w:rPr>
        <w:lastRenderedPageBreak/>
        <w:t>estabilización y desregulación económica condujo a un nuevo ciclo de crecimiento, que se tradujo en una recuperación significativa de ingresos familiares (</w:t>
      </w:r>
      <w:r w:rsidR="006F79A2">
        <w:rPr>
          <w:rFonts w:eastAsia="Times New Roman"/>
          <w:sz w:val="24"/>
          <w:szCs w:val="24"/>
          <w:highlight w:val="yellow"/>
          <w:lang w:val="es-ES" w:eastAsia="es-AR"/>
        </w:rPr>
        <w:t>Cuadro 4</w:t>
      </w:r>
      <w:r>
        <w:rPr>
          <w:rFonts w:eastAsia="Times New Roman"/>
          <w:sz w:val="24"/>
          <w:szCs w:val="24"/>
          <w:highlight w:val="yellow"/>
          <w:lang w:val="es-ES" w:eastAsia="es-AR"/>
        </w:rPr>
        <w:t>)</w:t>
      </w:r>
      <w:r>
        <w:rPr>
          <w:rFonts w:eastAsia="Times New Roman"/>
          <w:sz w:val="24"/>
          <w:szCs w:val="24"/>
          <w:lang w:val="es-ES" w:eastAsia="es-AR"/>
        </w:rPr>
        <w:t>. En contraste, entre 1998 y 2003 –con una severa devaluación de por medio y una crisis económico-financiera sin precedentes–, el ingreso familiar volvió a desmoronarse (</w:t>
      </w:r>
      <w:r w:rsidR="006F79A2">
        <w:rPr>
          <w:rFonts w:eastAsia="Times New Roman"/>
          <w:sz w:val="24"/>
          <w:szCs w:val="24"/>
          <w:highlight w:val="yellow"/>
          <w:lang w:val="es-ES" w:eastAsia="es-AR"/>
        </w:rPr>
        <w:t xml:space="preserve">Cuadro </w:t>
      </w:r>
      <w:r w:rsidR="006F79A2" w:rsidRPr="006F79A2">
        <w:rPr>
          <w:rFonts w:eastAsia="Times New Roman"/>
          <w:sz w:val="24"/>
          <w:szCs w:val="24"/>
          <w:highlight w:val="yellow"/>
          <w:lang w:val="es-ES" w:eastAsia="es-AR"/>
        </w:rPr>
        <w:t>5</w:t>
      </w:r>
      <w:r>
        <w:rPr>
          <w:rFonts w:eastAsia="Times New Roman"/>
          <w:sz w:val="24"/>
          <w:szCs w:val="24"/>
          <w:lang w:val="es-ES" w:eastAsia="es-AR"/>
        </w:rPr>
        <w:t>), perdi</w:t>
      </w:r>
      <w:r w:rsidR="00B149C5">
        <w:rPr>
          <w:rFonts w:eastAsia="Times New Roman"/>
          <w:sz w:val="24"/>
          <w:szCs w:val="24"/>
          <w:lang w:val="es-ES" w:eastAsia="es-AR"/>
        </w:rPr>
        <w:t>éndose</w:t>
      </w:r>
      <w:r>
        <w:rPr>
          <w:rFonts w:eastAsia="Times New Roman"/>
          <w:sz w:val="24"/>
          <w:szCs w:val="24"/>
          <w:lang w:val="es-ES" w:eastAsia="es-AR"/>
        </w:rPr>
        <w:t xml:space="preserve"> incluso lo ganado en los primeros años de estabilización. De esta manera, el resultado agregado entre 1988 y 2003 fue una nueva caída del ingreso familiar (19,5%) entre los hogares del Gran Buenos Aires (</w:t>
      </w:r>
      <w:r w:rsidR="006F79A2">
        <w:rPr>
          <w:rFonts w:eastAsia="Times New Roman"/>
          <w:sz w:val="24"/>
          <w:szCs w:val="24"/>
          <w:highlight w:val="yellow"/>
          <w:lang w:val="es-ES" w:eastAsia="es-AR"/>
        </w:rPr>
        <w:t xml:space="preserve">Cuadro </w:t>
      </w:r>
      <w:r w:rsidR="006F79A2" w:rsidRPr="006F79A2">
        <w:rPr>
          <w:rFonts w:eastAsia="Times New Roman"/>
          <w:sz w:val="24"/>
          <w:szCs w:val="24"/>
          <w:highlight w:val="yellow"/>
          <w:lang w:val="es-ES" w:eastAsia="es-AR"/>
        </w:rPr>
        <w:t>6</w:t>
      </w:r>
      <w:r>
        <w:rPr>
          <w:rFonts w:eastAsia="Times New Roman"/>
          <w:sz w:val="24"/>
          <w:szCs w:val="24"/>
          <w:lang w:val="es-ES" w:eastAsia="es-AR"/>
        </w:rPr>
        <w:t xml:space="preserve">). Al igual que en el ciclo precedente, lo que dotó de unidad al proceso fue el carácter inequitativo del crecimiento y de la crisis: la mejora del ingreso fue mucho más intensa en los quintiles superiores (entre 1988 y 1998) y la retracción, durante la crisis, fue mayor en los quintiles más bajos (entre 1998 y 2003). </w:t>
      </w: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4</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1998-1988</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34" w:type="dxa"/>
        <w:tblInd w:w="55" w:type="dxa"/>
        <w:tblCellMar>
          <w:left w:w="70" w:type="dxa"/>
          <w:right w:w="70" w:type="dxa"/>
        </w:tblCellMar>
        <w:tblLook w:val="04A0" w:firstRow="1" w:lastRow="0" w:firstColumn="1" w:lastColumn="0" w:noHBand="0" w:noVBand="1"/>
      </w:tblPr>
      <w:tblGrid>
        <w:gridCol w:w="1573"/>
        <w:gridCol w:w="773"/>
        <w:gridCol w:w="773"/>
        <w:gridCol w:w="773"/>
        <w:gridCol w:w="773"/>
        <w:gridCol w:w="775"/>
        <w:gridCol w:w="773"/>
        <w:gridCol w:w="773"/>
        <w:gridCol w:w="773"/>
        <w:gridCol w:w="775"/>
      </w:tblGrid>
      <w:tr w:rsidR="00433B67" w:rsidRPr="004B089E" w:rsidTr="00B149C5">
        <w:trPr>
          <w:trHeight w:val="237"/>
        </w:trPr>
        <w:tc>
          <w:tcPr>
            <w:tcW w:w="1573"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3"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094"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09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B149C5">
        <w:trPr>
          <w:trHeight w:val="444"/>
        </w:trPr>
        <w:tc>
          <w:tcPr>
            <w:tcW w:w="1573"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3"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b/>
                <w:bCs/>
                <w:sz w:val="18"/>
                <w:szCs w:val="16"/>
                <w:lang w:eastAsia="es-AR"/>
              </w:rPr>
            </w:pPr>
          </w:p>
        </w:tc>
        <w:tc>
          <w:tcPr>
            <w:tcW w:w="773"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773"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B149C5">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10,5%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10,0%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0,8%</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0,0%</w:t>
            </w:r>
          </w:p>
        </w:tc>
      </w:tr>
      <w:tr w:rsidR="00433B67" w:rsidRPr="004B089E" w:rsidTr="00B149C5">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9,0%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1,4%</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B149C5">
        <w:trPr>
          <w:trHeight w:val="237"/>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24,1%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22,3%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14,7%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-3,3%</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r>
      <w:tr w:rsidR="00433B67" w:rsidRPr="004B089E" w:rsidTr="00B149C5">
        <w:trPr>
          <w:trHeight w:val="237"/>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25,1%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18,2%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18,6%</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0,2%</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B149C5">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37,9%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33,7%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39,4%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4,6%</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-0,2%</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B149C5">
        <w:trPr>
          <w:trHeight w:val="237"/>
        </w:trPr>
        <w:tc>
          <w:tcPr>
            <w:tcW w:w="1573"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27,5%</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23,5%</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23,3%</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0,1%</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4,4%</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-0,3%</w:t>
            </w:r>
          </w:p>
        </w:tc>
        <w:tc>
          <w:tcPr>
            <w:tcW w:w="773"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-0,1%</w:t>
            </w:r>
          </w:p>
        </w:tc>
      </w:tr>
    </w:tbl>
    <w:p w:rsidR="00433B6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Pr="003F7057" w:rsidRDefault="00433B67" w:rsidP="00433B67">
      <w:pPr>
        <w:spacing w:after="0" w:line="240" w:lineRule="auto"/>
        <w:jc w:val="both"/>
        <w:rPr>
          <w:sz w:val="18"/>
          <w:szCs w:val="24"/>
        </w:rPr>
      </w:pPr>
    </w:p>
    <w:p w:rsidR="00433B67" w:rsidRDefault="00433B67" w:rsidP="00433B67">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 xml:space="preserve">¿Qué papel desempeñaron las distintas fuentes de ingreso en este marco? En la primera etapa del ciclo, crecieron tanto los ingresos laborales como los no laborales, correspondiendo a los primeros el rol central en la recomposición del bienestar (23,5%). En la segunda etapa del ciclo, el factor explicativo de la caída de los ingresos la desempeñó la reducción del ingreso laboral (-34,4%), en tanto que los ingresos no laborales tuvieron un papel más moderado. </w:t>
      </w: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5</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2003-1998</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99" w:type="dxa"/>
        <w:tblInd w:w="55" w:type="dxa"/>
        <w:tblCellMar>
          <w:left w:w="70" w:type="dxa"/>
          <w:right w:w="70" w:type="dxa"/>
        </w:tblCellMar>
        <w:tblLook w:val="04A0" w:firstRow="1" w:lastRow="0" w:firstColumn="1" w:lastColumn="0" w:noHBand="0" w:noVBand="1"/>
      </w:tblPr>
      <w:tblGrid>
        <w:gridCol w:w="1584"/>
        <w:gridCol w:w="779"/>
        <w:gridCol w:w="779"/>
        <w:gridCol w:w="779"/>
        <w:gridCol w:w="779"/>
        <w:gridCol w:w="781"/>
        <w:gridCol w:w="779"/>
        <w:gridCol w:w="779"/>
        <w:gridCol w:w="779"/>
        <w:gridCol w:w="781"/>
      </w:tblGrid>
      <w:tr w:rsidR="00433B67" w:rsidRPr="004B089E" w:rsidTr="00B149C5">
        <w:trPr>
          <w:trHeight w:val="237"/>
        </w:trPr>
        <w:tc>
          <w:tcPr>
            <w:tcW w:w="1584"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118"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118"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B149C5">
        <w:trPr>
          <w:trHeight w:val="445"/>
        </w:trPr>
        <w:tc>
          <w:tcPr>
            <w:tcW w:w="1584"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9"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8"/>
                <w:szCs w:val="16"/>
                <w:lang w:eastAsia="es-AR"/>
              </w:rPr>
            </w:pPr>
          </w:p>
        </w:tc>
        <w:tc>
          <w:tcPr>
            <w:tcW w:w="779"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79"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779"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B149C5">
        <w:trPr>
          <w:trHeight w:val="222"/>
        </w:trPr>
        <w:tc>
          <w:tcPr>
            <w:tcW w:w="1584"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-45,7%</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-38,9%</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-12,4%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5,7%</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16,1%</w:t>
            </w:r>
          </w:p>
        </w:tc>
        <w:tc>
          <w:tcPr>
            <w:tcW w:w="779"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-5,6%</w:t>
            </w:r>
          </w:p>
        </w:tc>
      </w:tr>
      <w:tr w:rsidR="00433B67" w:rsidRPr="004B089E" w:rsidTr="00B149C5">
        <w:trPr>
          <w:trHeight w:val="222"/>
        </w:trPr>
        <w:tc>
          <w:tcPr>
            <w:tcW w:w="1584"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-36,1%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-31,6%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-33,5%</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3,2%</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-5,8%</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2,0%</w:t>
            </w:r>
          </w:p>
        </w:tc>
        <w:tc>
          <w:tcPr>
            <w:tcW w:w="779"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-0,6%</w:t>
            </w:r>
          </w:p>
        </w:tc>
      </w:tr>
      <w:tr w:rsidR="00433B67" w:rsidRPr="004B089E" w:rsidTr="00B149C5">
        <w:trPr>
          <w:trHeight w:val="237"/>
        </w:trPr>
        <w:tc>
          <w:tcPr>
            <w:tcW w:w="1584"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-42,5%</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-38,5%</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-27,9%</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-16,1%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-6,3%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3,3%</w:t>
            </w:r>
          </w:p>
        </w:tc>
        <w:tc>
          <w:tcPr>
            <w:tcW w:w="779"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-1,1%</w:t>
            </w:r>
          </w:p>
        </w:tc>
      </w:tr>
      <w:tr w:rsidR="00433B67" w:rsidRPr="004B089E" w:rsidTr="00B149C5">
        <w:trPr>
          <w:trHeight w:val="237"/>
        </w:trPr>
        <w:tc>
          <w:tcPr>
            <w:tcW w:w="1584"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-37,6%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-29,1%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-8,4%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2,9%</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-3,0%</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-5,6%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3,8%</w:t>
            </w:r>
          </w:p>
        </w:tc>
        <w:tc>
          <w:tcPr>
            <w:tcW w:w="779"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-1,3%</w:t>
            </w:r>
          </w:p>
        </w:tc>
      </w:tr>
      <w:tr w:rsidR="00433B67" w:rsidRPr="004B089E" w:rsidTr="00B149C5">
        <w:trPr>
          <w:trHeight w:val="222"/>
        </w:trPr>
        <w:tc>
          <w:tcPr>
            <w:tcW w:w="1584"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-34,4%</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-32,3%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-31,3%</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-1,6%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0,6%</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-2,1%</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-2,7%</w:t>
            </w:r>
          </w:p>
        </w:tc>
        <w:tc>
          <w:tcPr>
            <w:tcW w:w="779"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0,8%</w:t>
            </w:r>
          </w:p>
        </w:tc>
        <w:tc>
          <w:tcPr>
            <w:tcW w:w="779"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color w:val="000000"/>
                <w:sz w:val="16"/>
                <w:szCs w:val="16"/>
                <w:lang w:eastAsia="es-AR"/>
              </w:rPr>
            </w:pPr>
            <w:r w:rsidRPr="004B089E">
              <w:rPr>
                <w:rFonts w:eastAsia="Times New Roman"/>
                <w:color w:val="000000"/>
                <w:sz w:val="16"/>
                <w:szCs w:val="16"/>
                <w:lang w:eastAsia="es-AR"/>
              </w:rPr>
              <w:t>-0,2%</w:t>
            </w:r>
          </w:p>
        </w:tc>
      </w:tr>
      <w:tr w:rsidR="00433B67" w:rsidRPr="004B089E" w:rsidTr="00B149C5">
        <w:trPr>
          <w:trHeight w:val="237"/>
        </w:trPr>
        <w:tc>
          <w:tcPr>
            <w:tcW w:w="1584"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-36,8%</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-34,4%</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-29,8%</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-7,1%</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2,5%</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-2,4%</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-5,1%</w:t>
            </w:r>
          </w:p>
        </w:tc>
        <w:tc>
          <w:tcPr>
            <w:tcW w:w="779"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4,0%</w:t>
            </w:r>
          </w:p>
        </w:tc>
        <w:tc>
          <w:tcPr>
            <w:tcW w:w="779"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right"/>
              <w:rPr>
                <w:rFonts w:eastAsia="Times New Roman"/>
                <w:b/>
                <w:bCs/>
                <w:color w:val="000000"/>
                <w:sz w:val="16"/>
                <w:szCs w:val="16"/>
                <w:lang w:eastAsia="es-AR"/>
              </w:rPr>
            </w:pPr>
            <w:r w:rsidRPr="004B089E">
              <w:rPr>
                <w:rFonts w:eastAsia="Times New Roman"/>
                <w:b/>
                <w:bCs/>
                <w:color w:val="000000"/>
                <w:sz w:val="16"/>
                <w:szCs w:val="16"/>
                <w:lang w:eastAsia="es-AR"/>
              </w:rPr>
              <w:t>-1,4%</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line="240" w:lineRule="auto"/>
        <w:jc w:val="both"/>
        <w:rPr>
          <w:rFonts w:eastAsia="Times New Roman"/>
          <w:sz w:val="24"/>
          <w:szCs w:val="24"/>
          <w:lang w:val="es-ES" w:eastAsia="es-AR"/>
        </w:rPr>
      </w:pPr>
    </w:p>
    <w:p w:rsidR="00433B67" w:rsidRDefault="00433B67" w:rsidP="00433B67">
      <w:pPr>
        <w:spacing w:after="120" w:line="240" w:lineRule="auto"/>
        <w:jc w:val="both"/>
        <w:rPr>
          <w:sz w:val="24"/>
          <w:szCs w:val="24"/>
        </w:rPr>
      </w:pPr>
      <w:r>
        <w:rPr>
          <w:rFonts w:eastAsia="Times New Roman"/>
          <w:sz w:val="24"/>
          <w:szCs w:val="24"/>
          <w:lang w:val="es-ES" w:eastAsia="es-AR"/>
        </w:rPr>
        <w:t xml:space="preserve">En la primera etapa del ciclo de reformas estructurales, el aumento del ingreso laboral –que dinamizó la recomposición de las condiciones de vida– se debió, principalmente, al aumento del ingreso medio por ocupado. </w:t>
      </w:r>
      <w:r w:rsidR="00B149C5">
        <w:rPr>
          <w:rFonts w:eastAsia="Times New Roman"/>
          <w:sz w:val="24"/>
          <w:szCs w:val="24"/>
          <w:lang w:val="es-ES" w:eastAsia="es-AR"/>
        </w:rPr>
        <w:t xml:space="preserve">Debe recordarse que la estabilización </w:t>
      </w:r>
      <w:r w:rsidR="00B149C5">
        <w:rPr>
          <w:rFonts w:eastAsia="Times New Roman"/>
          <w:sz w:val="24"/>
          <w:szCs w:val="24"/>
          <w:lang w:val="es-ES" w:eastAsia="es-AR"/>
        </w:rPr>
        <w:lastRenderedPageBreak/>
        <w:t>macroeconómica impulsada por el régimen de convertibilidad, junto con la reducción sensible de la inflación, tuvieron un efecto positivo sobre la recuperación de ingresos de los ocupados (</w:t>
      </w:r>
      <w:r w:rsidR="00B149C5" w:rsidRPr="00B149C5">
        <w:rPr>
          <w:rFonts w:eastAsia="Times New Roman"/>
          <w:sz w:val="24"/>
          <w:szCs w:val="24"/>
          <w:highlight w:val="green"/>
          <w:lang w:val="es-ES" w:eastAsia="es-AR"/>
        </w:rPr>
        <w:t>Poy, 2017</w:t>
      </w:r>
      <w:r w:rsidR="00B149C5">
        <w:rPr>
          <w:rFonts w:eastAsia="Times New Roman"/>
          <w:sz w:val="24"/>
          <w:szCs w:val="24"/>
          <w:lang w:val="es-ES" w:eastAsia="es-AR"/>
        </w:rPr>
        <w:t xml:space="preserve">). Sin embargo, un rasgo destacado del proceso </w:t>
      </w:r>
      <w:r>
        <w:rPr>
          <w:rFonts w:eastAsia="Times New Roman"/>
          <w:sz w:val="24"/>
          <w:szCs w:val="24"/>
          <w:lang w:val="es-ES" w:eastAsia="es-AR"/>
        </w:rPr>
        <w:t xml:space="preserve">fue </w:t>
      </w:r>
      <w:r w:rsidR="00B149C5">
        <w:rPr>
          <w:rFonts w:eastAsia="Times New Roman"/>
          <w:sz w:val="24"/>
          <w:szCs w:val="24"/>
          <w:lang w:val="es-ES" w:eastAsia="es-AR"/>
        </w:rPr>
        <w:t>que la mejora del ingreso laboral resultó significativamente más alta</w:t>
      </w:r>
      <w:r>
        <w:rPr>
          <w:rFonts w:eastAsia="Times New Roman"/>
          <w:sz w:val="24"/>
          <w:szCs w:val="24"/>
          <w:lang w:val="es-ES" w:eastAsia="es-AR"/>
        </w:rPr>
        <w:t xml:space="preserve"> entre los hogares que pertenecían a los estratos superiores de la distribución (</w:t>
      </w:r>
      <w:r w:rsidR="006F79A2">
        <w:rPr>
          <w:rFonts w:eastAsia="Times New Roman"/>
          <w:sz w:val="24"/>
          <w:szCs w:val="24"/>
          <w:highlight w:val="yellow"/>
          <w:lang w:val="es-ES" w:eastAsia="es-AR"/>
        </w:rPr>
        <w:t xml:space="preserve">Cuadro </w:t>
      </w:r>
      <w:r w:rsidR="006F79A2" w:rsidRPr="006F79A2">
        <w:rPr>
          <w:rFonts w:eastAsia="Times New Roman"/>
          <w:sz w:val="24"/>
          <w:szCs w:val="24"/>
          <w:highlight w:val="yellow"/>
          <w:lang w:val="es-ES" w:eastAsia="es-AR"/>
        </w:rPr>
        <w:t>4</w:t>
      </w:r>
      <w:r>
        <w:rPr>
          <w:rFonts w:eastAsia="Times New Roman"/>
          <w:sz w:val="24"/>
          <w:szCs w:val="24"/>
          <w:lang w:val="es-ES" w:eastAsia="es-AR"/>
        </w:rPr>
        <w:t xml:space="preserve">). </w:t>
      </w:r>
      <w:r w:rsidR="00B149C5">
        <w:rPr>
          <w:rFonts w:eastAsia="Times New Roman"/>
          <w:sz w:val="24"/>
          <w:szCs w:val="24"/>
          <w:lang w:val="es-ES" w:eastAsia="es-AR"/>
        </w:rPr>
        <w:t>E</w:t>
      </w:r>
      <w:proofErr w:type="spellStart"/>
      <w:r w:rsidRPr="003F7057">
        <w:rPr>
          <w:sz w:val="24"/>
          <w:szCs w:val="24"/>
        </w:rPr>
        <w:t>st</w:t>
      </w:r>
      <w:r>
        <w:rPr>
          <w:sz w:val="24"/>
          <w:szCs w:val="24"/>
        </w:rPr>
        <w:t>e</w:t>
      </w:r>
      <w:proofErr w:type="spellEnd"/>
      <w:r w:rsidRPr="003F7057">
        <w:rPr>
          <w:sz w:val="24"/>
          <w:szCs w:val="24"/>
        </w:rPr>
        <w:t xml:space="preserve"> fenómeno</w:t>
      </w:r>
      <w:r>
        <w:rPr>
          <w:sz w:val="24"/>
          <w:szCs w:val="24"/>
        </w:rPr>
        <w:t xml:space="preserve"> puede</w:t>
      </w:r>
      <w:r w:rsidRPr="003F7057">
        <w:rPr>
          <w:sz w:val="24"/>
          <w:szCs w:val="24"/>
        </w:rPr>
        <w:t xml:space="preserve"> asociarse </w:t>
      </w:r>
      <w:r>
        <w:rPr>
          <w:sz w:val="24"/>
          <w:szCs w:val="24"/>
        </w:rPr>
        <w:t xml:space="preserve">al </w:t>
      </w:r>
      <w:r w:rsidRPr="003F7057">
        <w:rPr>
          <w:sz w:val="24"/>
          <w:szCs w:val="24"/>
        </w:rPr>
        <w:t>aumento de las primas por calificación en el mercado de trab</w:t>
      </w:r>
      <w:r>
        <w:rPr>
          <w:sz w:val="24"/>
          <w:szCs w:val="24"/>
        </w:rPr>
        <w:t>ajo</w:t>
      </w:r>
      <w:r w:rsidR="00B149C5">
        <w:rPr>
          <w:sz w:val="24"/>
          <w:szCs w:val="24"/>
        </w:rPr>
        <w:t xml:space="preserve">, en el contexto de una demanda de empleo crecientemente “sesgada” hacia las altas calificaciones </w:t>
      </w:r>
      <w:r>
        <w:rPr>
          <w:sz w:val="24"/>
          <w:szCs w:val="24"/>
        </w:rPr>
        <w:t>(</w:t>
      </w:r>
      <w:proofErr w:type="spellStart"/>
      <w:r>
        <w:rPr>
          <w:sz w:val="24"/>
          <w:szCs w:val="24"/>
        </w:rPr>
        <w:t>Beccaria</w:t>
      </w:r>
      <w:proofErr w:type="spellEnd"/>
      <w:r>
        <w:rPr>
          <w:sz w:val="24"/>
          <w:szCs w:val="24"/>
        </w:rPr>
        <w:t xml:space="preserve"> y </w:t>
      </w:r>
      <w:proofErr w:type="spellStart"/>
      <w:r>
        <w:rPr>
          <w:sz w:val="24"/>
          <w:szCs w:val="24"/>
        </w:rPr>
        <w:t>Maurizio</w:t>
      </w:r>
      <w:proofErr w:type="spellEnd"/>
      <w:r>
        <w:rPr>
          <w:sz w:val="24"/>
          <w:szCs w:val="24"/>
        </w:rPr>
        <w:t>, 2012). Un aspecto destacado fue la escasa oportunidad que tuvieron los hogares de volcar más miembros ocupados al mercado laboral</w:t>
      </w:r>
      <w:r w:rsidR="00B149C5">
        <w:rPr>
          <w:sz w:val="24"/>
          <w:szCs w:val="24"/>
        </w:rPr>
        <w:t xml:space="preserve">, </w:t>
      </w:r>
      <w:r>
        <w:rPr>
          <w:sz w:val="24"/>
          <w:szCs w:val="24"/>
        </w:rPr>
        <w:t>dificultad</w:t>
      </w:r>
      <w:r w:rsidRPr="003F7057">
        <w:rPr>
          <w:sz w:val="24"/>
          <w:szCs w:val="24"/>
        </w:rPr>
        <w:t xml:space="preserve"> </w:t>
      </w:r>
      <w:r w:rsidR="00B149C5">
        <w:rPr>
          <w:sz w:val="24"/>
          <w:szCs w:val="24"/>
        </w:rPr>
        <w:t xml:space="preserve">acentuada </w:t>
      </w:r>
      <w:r w:rsidRPr="003F7057">
        <w:rPr>
          <w:sz w:val="24"/>
          <w:szCs w:val="24"/>
        </w:rPr>
        <w:t xml:space="preserve">en los quintiles más pobres. Como se indicó en el </w:t>
      </w:r>
      <w:r w:rsidRPr="002E110F">
        <w:rPr>
          <w:sz w:val="24"/>
          <w:szCs w:val="24"/>
          <w:highlight w:val="yellow"/>
        </w:rPr>
        <w:t>capítulo 1</w:t>
      </w:r>
      <w:r w:rsidRPr="003F7057">
        <w:rPr>
          <w:sz w:val="24"/>
          <w:szCs w:val="24"/>
        </w:rPr>
        <w:t xml:space="preserve">, </w:t>
      </w:r>
      <w:r w:rsidR="00B149C5">
        <w:rPr>
          <w:sz w:val="24"/>
          <w:szCs w:val="24"/>
        </w:rPr>
        <w:t xml:space="preserve">no sólo </w:t>
      </w:r>
      <w:r w:rsidRPr="003F7057">
        <w:rPr>
          <w:sz w:val="24"/>
          <w:szCs w:val="24"/>
        </w:rPr>
        <w:t xml:space="preserve">la demanda de empleo en el ciclo neoliberal </w:t>
      </w:r>
      <w:r w:rsidR="00B149C5">
        <w:rPr>
          <w:sz w:val="24"/>
          <w:szCs w:val="24"/>
        </w:rPr>
        <w:t xml:space="preserve">se concentró en la fuerza de trabajo más calificada, sino que </w:t>
      </w:r>
      <w:r w:rsidRPr="003F7057">
        <w:rPr>
          <w:sz w:val="24"/>
          <w:szCs w:val="24"/>
        </w:rPr>
        <w:t xml:space="preserve">el sector </w:t>
      </w:r>
      <w:r w:rsidR="00B149C5">
        <w:rPr>
          <w:sz w:val="24"/>
          <w:szCs w:val="24"/>
        </w:rPr>
        <w:t>micro-</w:t>
      </w:r>
      <w:r w:rsidRPr="003F7057">
        <w:rPr>
          <w:sz w:val="24"/>
          <w:szCs w:val="24"/>
        </w:rPr>
        <w:t>informal acusó  signos de “saturación</w:t>
      </w:r>
      <w:r w:rsidR="00B149C5">
        <w:rPr>
          <w:sz w:val="24"/>
          <w:szCs w:val="24"/>
        </w:rPr>
        <w:t>” y pérdida de mercados, en gran medida como efecto del cambio tecnológico y el abaratamiento de bienes de consumo por la apertura de importaciones</w:t>
      </w:r>
      <w:r>
        <w:rPr>
          <w:sz w:val="24"/>
          <w:szCs w:val="24"/>
        </w:rPr>
        <w:t xml:space="preserve">. Es decir que, en esta etapa, el mercado laboral fue nuevamente vector de transmisión de oportunidades desiguales para los hogares del Gran Buenos Aires. </w:t>
      </w:r>
    </w:p>
    <w:p w:rsidR="00433B67" w:rsidRDefault="00433B67" w:rsidP="00433B67">
      <w:pPr>
        <w:spacing w:after="120" w:line="240" w:lineRule="auto"/>
        <w:jc w:val="both"/>
        <w:rPr>
          <w:sz w:val="24"/>
          <w:szCs w:val="24"/>
        </w:rPr>
      </w:pPr>
      <w:r>
        <w:rPr>
          <w:sz w:val="24"/>
          <w:szCs w:val="24"/>
        </w:rPr>
        <w:t>Por otra parte, crecieron los ingresos no laborales, principalmente como resultado de un aumento del ingreso medio por perceptor de este tipo de fuentes, también concentrado en los quintiles más altos. En cambio, el número de perceptores por hogar se redujo. Esta doble dinámica</w:t>
      </w:r>
      <w:r w:rsidRPr="003F7057">
        <w:rPr>
          <w:sz w:val="24"/>
          <w:szCs w:val="24"/>
        </w:rPr>
        <w:t xml:space="preserve"> </w:t>
      </w:r>
      <w:r>
        <w:rPr>
          <w:sz w:val="24"/>
          <w:szCs w:val="24"/>
        </w:rPr>
        <w:t xml:space="preserve">estuvo </w:t>
      </w:r>
      <w:r w:rsidRPr="003F7057">
        <w:rPr>
          <w:sz w:val="24"/>
          <w:szCs w:val="24"/>
        </w:rPr>
        <w:t>vinculada a los cambios en el sistema previsional</w:t>
      </w:r>
      <w:r>
        <w:rPr>
          <w:sz w:val="24"/>
          <w:szCs w:val="24"/>
        </w:rPr>
        <w:t>: por una parte, con el</w:t>
      </w:r>
      <w:r w:rsidRPr="003F7057">
        <w:rPr>
          <w:sz w:val="24"/>
          <w:szCs w:val="24"/>
        </w:rPr>
        <w:t xml:space="preserve"> pasaje al sistema de capitalización, que benefició a los perceptores mejor posicionados frente a los del primer y segundo quintil, perjudicados por el deterioro del llamado </w:t>
      </w:r>
      <w:r>
        <w:rPr>
          <w:sz w:val="24"/>
          <w:szCs w:val="24"/>
        </w:rPr>
        <w:t>sistema de reparto (Arza, 2010); y, por otra parte, a la reducción de la cobertura jubilatoria debido a la profundización de los problemas de empleo en los años ochenta, que habían conducido a la expansión de las ocupaciones no cotizantes a la seguridad social.</w:t>
      </w:r>
    </w:p>
    <w:p w:rsidR="00433B67" w:rsidRDefault="00433B67" w:rsidP="00433B67">
      <w:pPr>
        <w:tabs>
          <w:tab w:val="left" w:pos="4069"/>
        </w:tabs>
        <w:spacing w:line="240" w:lineRule="auto"/>
        <w:jc w:val="both"/>
        <w:rPr>
          <w:sz w:val="24"/>
          <w:szCs w:val="24"/>
        </w:rPr>
      </w:pPr>
      <w:r>
        <w:rPr>
          <w:sz w:val="24"/>
          <w:szCs w:val="24"/>
        </w:rPr>
        <w:t>En la segunda etapa del ciclo de reformas estructurales, se desmoronaron tanto los ingresos laborales como los no laborales (</w:t>
      </w:r>
      <w:r w:rsidRPr="006F79A2">
        <w:rPr>
          <w:sz w:val="24"/>
          <w:szCs w:val="24"/>
          <w:highlight w:val="yellow"/>
        </w:rPr>
        <w:t xml:space="preserve">Cuadro </w:t>
      </w:r>
      <w:r w:rsidR="006F79A2" w:rsidRPr="006F79A2">
        <w:rPr>
          <w:sz w:val="24"/>
          <w:szCs w:val="24"/>
          <w:highlight w:val="yellow"/>
        </w:rPr>
        <w:t>5</w:t>
      </w:r>
      <w:r>
        <w:rPr>
          <w:sz w:val="24"/>
          <w:szCs w:val="24"/>
        </w:rPr>
        <w:t xml:space="preserve">), con amplias implicancias para los hogares y su acceso al bienestar. En el caso de los ingresos laborales, el papel determinante lo desempeñó la reducción del ingreso medio por ocupado, mientras que también se redujo en términos absolutos el número de miembros ocupados por hogar. Esta dinámica revela los rasgos de la crisis del modelo de reformas, caracterizada por la simultánea destrucción de empleos y de ingresos. Como se indicó, ambos procesos fueron más intensos en los quintiles más bajos. En el caso de los ingresos no laborales, en cambio, se advirtieron algunos aspectos singulares. Si bien se redujo, en todos los estratos socioeconómicos, el ingreso medio por perceptor de estas fuentes, aumentó el número de perceptores de ingresos de estas fuentes en los hogares de todos los estratos. Si bien este proceso puede vincularse con cambios de orden de los hogares fruto de la crisis (y una distribución de aquellos que recibían jubilaciones y pensiones a lo largo de los diferentes estratos), se observó que en el quintil más bajo el incremento fue muy significativo. Este comportamiento estuvo </w:t>
      </w:r>
      <w:r w:rsidRPr="003F7057">
        <w:rPr>
          <w:sz w:val="24"/>
          <w:szCs w:val="24"/>
        </w:rPr>
        <w:t>estrechamente ligado a la expansión del Plan Jefes y Jefas de Hogar Desocupado, iniciado en 2002. De allí que se encuentre una expansión significativa del número de perceptores de ingresos de fuentes no laborales en los quintiles más pobres de la estructura social.</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lastRenderedPageBreak/>
        <w:t>En síntesis, al examinar las principales transformaciones observadas en el acceso al bienestar por parte de las unidades domésticas entre 1988 y 2003 (</w:t>
      </w:r>
      <w:r w:rsidRPr="00161C46">
        <w:rPr>
          <w:rFonts w:eastAsia="Times New Roman"/>
          <w:sz w:val="24"/>
          <w:szCs w:val="24"/>
          <w:highlight w:val="green"/>
          <w:lang w:val="es-ES" w:eastAsia="es-AR"/>
        </w:rPr>
        <w:t xml:space="preserve">Cuadro </w:t>
      </w:r>
      <w:r w:rsidR="006C6C88" w:rsidRPr="006C6C88">
        <w:rPr>
          <w:rFonts w:eastAsia="Times New Roman"/>
          <w:sz w:val="24"/>
          <w:szCs w:val="24"/>
          <w:highlight w:val="green"/>
          <w:lang w:val="es-ES" w:eastAsia="es-AR"/>
        </w:rPr>
        <w:t>6</w:t>
      </w:r>
      <w:r>
        <w:rPr>
          <w:rFonts w:eastAsia="Times New Roman"/>
          <w:sz w:val="24"/>
          <w:szCs w:val="24"/>
          <w:lang w:val="es-ES" w:eastAsia="es-AR"/>
        </w:rPr>
        <w:t>), se advierte que: (a) luego de la recuperación inicial, volvieron a caer los ingresos laborales, lo que estuvo asociado principalmente a una caída del ingreso por perceptor ocupado y del número de perceptores por hogar (al igual que en el ciclo 1974-1988); (b) el ingreso no laboral, en esta oportunidad, contribuyó positivamente a mejorar las condiciones de vida familiares, lo que sucedió a través de un aumento del número de perceptores por hogar, mientras que cayó el ingreso por perceptor de este tipo de fuentes. En esta evolución, jugó un</w:t>
      </w:r>
      <w:r w:rsidR="00FA1F0A">
        <w:rPr>
          <w:rFonts w:eastAsia="Times New Roman"/>
          <w:sz w:val="24"/>
          <w:szCs w:val="24"/>
          <w:lang w:val="es-ES" w:eastAsia="es-AR"/>
        </w:rPr>
        <w:t xml:space="preserve"> papel clave el aumento de perc</w:t>
      </w:r>
      <w:r>
        <w:rPr>
          <w:rFonts w:eastAsia="Times New Roman"/>
          <w:sz w:val="24"/>
          <w:szCs w:val="24"/>
          <w:lang w:val="es-ES" w:eastAsia="es-AR"/>
        </w:rPr>
        <w:t>e</w:t>
      </w:r>
      <w:r w:rsidR="00FA1F0A">
        <w:rPr>
          <w:rFonts w:eastAsia="Times New Roman"/>
          <w:sz w:val="24"/>
          <w:szCs w:val="24"/>
          <w:lang w:val="es-ES" w:eastAsia="es-AR"/>
        </w:rPr>
        <w:t>p</w:t>
      </w:r>
      <w:r>
        <w:rPr>
          <w:rFonts w:eastAsia="Times New Roman"/>
          <w:sz w:val="24"/>
          <w:szCs w:val="24"/>
          <w:lang w:val="es-ES" w:eastAsia="es-AR"/>
        </w:rPr>
        <w:t>tores de ingresos no laborales en el quintil más bajo, lo que se originó en la expansión de un programa masivo de transferencia de ingresos (el Plan Jefas y Jefes); (c) a lo largo de este período, nuevamente fueron los hogares de los quintiles más bajos los que enfrentaron el contexto más adverso: vieron caer más intensamente el ingreso por perceptor laboral y no pudieron enfrentar este proceso con un aumento del número de ocupados. El resultado fue un proceso regresivo en términos sociales y económicos apenas compensado, durante la crisis, por el aumento de las transferencias económicas vía programas sociales de empleo.</w:t>
      </w:r>
    </w:p>
    <w:p w:rsidR="00433B67" w:rsidRDefault="00433B67" w:rsidP="00433B67">
      <w:pPr>
        <w:tabs>
          <w:tab w:val="left" w:pos="4069"/>
        </w:tabs>
        <w:spacing w:after="0" w:line="240" w:lineRule="auto"/>
        <w:jc w:val="both"/>
        <w:rPr>
          <w:rFonts w:eastAsia="Times New Roman"/>
          <w:b/>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6</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2003-1988</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28" w:type="dxa"/>
        <w:tblInd w:w="55" w:type="dxa"/>
        <w:tblCellMar>
          <w:left w:w="70" w:type="dxa"/>
          <w:right w:w="70" w:type="dxa"/>
        </w:tblCellMar>
        <w:tblLook w:val="04A0" w:firstRow="1" w:lastRow="0" w:firstColumn="1" w:lastColumn="0" w:noHBand="0" w:noVBand="1"/>
      </w:tblPr>
      <w:tblGrid>
        <w:gridCol w:w="1571"/>
        <w:gridCol w:w="773"/>
        <w:gridCol w:w="773"/>
        <w:gridCol w:w="773"/>
        <w:gridCol w:w="773"/>
        <w:gridCol w:w="773"/>
        <w:gridCol w:w="773"/>
        <w:gridCol w:w="773"/>
        <w:gridCol w:w="773"/>
        <w:gridCol w:w="773"/>
      </w:tblGrid>
      <w:tr w:rsidR="00433B67" w:rsidRPr="004B089E" w:rsidTr="00B71BA8">
        <w:trPr>
          <w:trHeight w:val="237"/>
        </w:trPr>
        <w:tc>
          <w:tcPr>
            <w:tcW w:w="1571"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3"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ΔYTF</w:t>
            </w:r>
          </w:p>
        </w:tc>
        <w:tc>
          <w:tcPr>
            <w:tcW w:w="3090"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Laboral</w:t>
            </w:r>
          </w:p>
        </w:tc>
        <w:tc>
          <w:tcPr>
            <w:tcW w:w="309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No Laboral</w:t>
            </w:r>
          </w:p>
        </w:tc>
      </w:tr>
      <w:tr w:rsidR="00433B67" w:rsidRPr="004B089E" w:rsidTr="00B71BA8">
        <w:trPr>
          <w:trHeight w:val="444"/>
        </w:trPr>
        <w:tc>
          <w:tcPr>
            <w:tcW w:w="1571"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3"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6"/>
                <w:szCs w:val="16"/>
                <w:lang w:eastAsia="es-AR"/>
              </w:rPr>
            </w:pPr>
          </w:p>
        </w:tc>
        <w:tc>
          <w:tcPr>
            <w:tcW w:w="773"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c>
          <w:tcPr>
            <w:tcW w:w="773"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r>
      <w:tr w:rsidR="00433B67" w:rsidRPr="004B089E" w:rsidTr="00B71BA8">
        <w:trPr>
          <w:trHeight w:val="222"/>
        </w:trPr>
        <w:tc>
          <w:tcPr>
            <w:tcW w:w="1571"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-35,1%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18,9%</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-6,7%</w:t>
            </w:r>
          </w:p>
        </w:tc>
      </w:tr>
      <w:tr w:rsidR="00433B67" w:rsidRPr="004B089E" w:rsidTr="00B71BA8">
        <w:trPr>
          <w:trHeight w:val="222"/>
        </w:trPr>
        <w:tc>
          <w:tcPr>
            <w:tcW w:w="1571"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-30,3%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-28,1%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-27,6%</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r>
      <w:tr w:rsidR="00433B67" w:rsidRPr="004B089E" w:rsidTr="00B71BA8">
        <w:trPr>
          <w:trHeight w:val="237"/>
        </w:trPr>
        <w:tc>
          <w:tcPr>
            <w:tcW w:w="1571"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-28,7%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-25,5%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0,0%</w:t>
            </w:r>
          </w:p>
        </w:tc>
      </w:tr>
      <w:tr w:rsidR="00433B67" w:rsidRPr="004B089E" w:rsidTr="00B71BA8">
        <w:trPr>
          <w:trHeight w:val="237"/>
        </w:trPr>
        <w:tc>
          <w:tcPr>
            <w:tcW w:w="1571"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-22,0%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-25,0%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-8,9%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3,5%</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B71BA8">
        <w:trPr>
          <w:trHeight w:val="222"/>
        </w:trPr>
        <w:tc>
          <w:tcPr>
            <w:tcW w:w="1571"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-9,6%</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-10,9%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0,6%</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0,0%</w:t>
            </w:r>
          </w:p>
        </w:tc>
      </w:tr>
      <w:tr w:rsidR="00433B67" w:rsidRPr="004B089E" w:rsidTr="00B71BA8">
        <w:trPr>
          <w:trHeight w:val="237"/>
        </w:trPr>
        <w:tc>
          <w:tcPr>
            <w:tcW w:w="1571"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-19,5%</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-20,4%</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-14,6%</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-7,0%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1,2%</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-2,2%</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3,7%</w:t>
            </w:r>
          </w:p>
        </w:tc>
        <w:tc>
          <w:tcPr>
            <w:tcW w:w="773"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-0,5%</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Pr="002C1223" w:rsidRDefault="00433B67" w:rsidP="00433B67">
      <w:pPr>
        <w:tabs>
          <w:tab w:val="left" w:pos="4069"/>
        </w:tabs>
        <w:spacing w:line="240" w:lineRule="auto"/>
        <w:jc w:val="center"/>
        <w:rPr>
          <w:color w:val="010101"/>
          <w:sz w:val="24"/>
          <w:szCs w:val="24"/>
          <w:u w:val="single"/>
          <w:lang w:eastAsia="es-MX"/>
        </w:rPr>
      </w:pPr>
      <w:r>
        <w:rPr>
          <w:color w:val="010101"/>
          <w:sz w:val="24"/>
          <w:szCs w:val="24"/>
          <w:u w:val="single"/>
          <w:lang w:eastAsia="es-MX"/>
        </w:rPr>
        <w:t>Crecimiento bajo políticas heterodoxas (2003-2014)</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El ciclo post-reformas estructurales, caracterizado por la implementación de una serie de políticas “heterodoxas”, implicó un conjunto de contrastes con los comportamientos socioeconómicos precedentes. A lo largo de este período, el ingreso familiar creció de manera significativa (39%), permitiendo una recomposición de las condiciones de vida familiares (</w:t>
      </w:r>
      <w:r w:rsidRPr="002C1223">
        <w:rPr>
          <w:rFonts w:eastAsia="Times New Roman"/>
          <w:sz w:val="24"/>
          <w:szCs w:val="24"/>
          <w:highlight w:val="green"/>
          <w:lang w:val="es-ES" w:eastAsia="es-AR"/>
        </w:rPr>
        <w:t xml:space="preserve">Cuadro </w:t>
      </w:r>
      <w:r w:rsidR="00D00A60">
        <w:rPr>
          <w:rFonts w:eastAsia="Times New Roman"/>
          <w:sz w:val="24"/>
          <w:szCs w:val="24"/>
          <w:highlight w:val="green"/>
          <w:lang w:val="es-ES" w:eastAsia="es-AR"/>
        </w:rPr>
        <w:t>9</w:t>
      </w:r>
      <w:r w:rsidR="00B71BA8">
        <w:rPr>
          <w:rFonts w:eastAsia="Times New Roman"/>
          <w:sz w:val="24"/>
          <w:szCs w:val="24"/>
          <w:lang w:val="es-ES" w:eastAsia="es-AR"/>
        </w:rPr>
        <w:t>). D</w:t>
      </w:r>
      <w:r>
        <w:rPr>
          <w:rFonts w:eastAsia="Times New Roman"/>
          <w:sz w:val="24"/>
          <w:szCs w:val="24"/>
          <w:lang w:val="es-ES" w:eastAsia="es-AR"/>
        </w:rPr>
        <w:t>icho crecimiento se concentró en la primera fase expansiva del proceso –es decir, hasta el año 2007– (</w:t>
      </w:r>
      <w:r w:rsidRPr="002C1223">
        <w:rPr>
          <w:rFonts w:eastAsia="Times New Roman"/>
          <w:sz w:val="24"/>
          <w:szCs w:val="24"/>
          <w:highlight w:val="green"/>
          <w:lang w:val="es-ES" w:eastAsia="es-AR"/>
        </w:rPr>
        <w:t xml:space="preserve">Cuadro </w:t>
      </w:r>
      <w:r w:rsidR="00D00A60" w:rsidRPr="00D00A60">
        <w:rPr>
          <w:rFonts w:eastAsia="Times New Roman"/>
          <w:sz w:val="24"/>
          <w:szCs w:val="24"/>
          <w:highlight w:val="green"/>
          <w:lang w:val="es-ES" w:eastAsia="es-AR"/>
        </w:rPr>
        <w:t>7</w:t>
      </w:r>
      <w:r>
        <w:rPr>
          <w:rFonts w:eastAsia="Times New Roman"/>
          <w:sz w:val="24"/>
          <w:szCs w:val="24"/>
          <w:lang w:val="es-ES" w:eastAsia="es-AR"/>
        </w:rPr>
        <w:t>), para luego reducir su ritmo de manera sensible (</w:t>
      </w:r>
      <w:r>
        <w:rPr>
          <w:rFonts w:eastAsia="Times New Roman"/>
          <w:sz w:val="24"/>
          <w:szCs w:val="24"/>
          <w:highlight w:val="green"/>
          <w:lang w:val="es-ES" w:eastAsia="es-AR"/>
        </w:rPr>
        <w:t xml:space="preserve">Cuadro </w:t>
      </w:r>
      <w:r w:rsidR="00D00A60">
        <w:rPr>
          <w:rFonts w:eastAsia="Times New Roman"/>
          <w:sz w:val="24"/>
          <w:szCs w:val="24"/>
          <w:highlight w:val="green"/>
          <w:lang w:val="es-ES" w:eastAsia="es-AR"/>
        </w:rPr>
        <w:t>8</w:t>
      </w:r>
      <w:r>
        <w:rPr>
          <w:rFonts w:eastAsia="Times New Roman"/>
          <w:sz w:val="24"/>
          <w:szCs w:val="24"/>
          <w:lang w:val="es-ES" w:eastAsia="es-AR"/>
        </w:rPr>
        <w:t xml:space="preserve">). El aspecto distintivo de este ciclo, en comparación con los precedentes, es que el aumento del ingreso familiar fue significativamente más intenso entre los quintiles más bajos de la distribución, </w:t>
      </w:r>
      <w:r w:rsidR="00B71BA8">
        <w:rPr>
          <w:rFonts w:eastAsia="Times New Roman"/>
          <w:sz w:val="24"/>
          <w:szCs w:val="24"/>
          <w:lang w:val="es-ES" w:eastAsia="es-AR"/>
        </w:rPr>
        <w:t>dando lugar a</w:t>
      </w:r>
      <w:r>
        <w:rPr>
          <w:rFonts w:eastAsia="Times New Roman"/>
          <w:sz w:val="24"/>
          <w:szCs w:val="24"/>
          <w:lang w:val="es-ES" w:eastAsia="es-AR"/>
        </w:rPr>
        <w:t xml:space="preserve"> un tipo de crecimiento “pro-pobre” que contrastó con las fases precedentes.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Entre 2003 y 2007, el crecimiento del ingreso familiar estuvo asociado principalmente a lo ocurrido con las fuentes laborales (33,4%) mientras que las no laborales desempeñaron un papel de menor envergadura, aunque positivo, en el bienestar (4,6%). Un aspecto significativo es que este proceso cambió de signo entre 2007 y </w:t>
      </w:r>
      <w:r>
        <w:rPr>
          <w:rFonts w:eastAsia="Times New Roman"/>
          <w:sz w:val="24"/>
          <w:szCs w:val="24"/>
          <w:lang w:val="es-ES" w:eastAsia="es-AR"/>
        </w:rPr>
        <w:lastRenderedPageBreak/>
        <w:t xml:space="preserve">2014: en tanto que los ingresos laborales contribuyeron negativamente al bienestar (3%), los ingresos no laborales “compensaron” este comportamiento (3,7%).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7</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2007-2003</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11" w:type="dxa"/>
        <w:tblInd w:w="55" w:type="dxa"/>
        <w:tblCellMar>
          <w:left w:w="70" w:type="dxa"/>
          <w:right w:w="70" w:type="dxa"/>
        </w:tblCellMar>
        <w:tblLook w:val="04A0" w:firstRow="1" w:lastRow="0" w:firstColumn="1" w:lastColumn="0" w:noHBand="0" w:noVBand="1"/>
      </w:tblPr>
      <w:tblGrid>
        <w:gridCol w:w="1568"/>
        <w:gridCol w:w="771"/>
        <w:gridCol w:w="771"/>
        <w:gridCol w:w="771"/>
        <w:gridCol w:w="771"/>
        <w:gridCol w:w="773"/>
        <w:gridCol w:w="771"/>
        <w:gridCol w:w="771"/>
        <w:gridCol w:w="771"/>
        <w:gridCol w:w="773"/>
      </w:tblGrid>
      <w:tr w:rsidR="00433B67" w:rsidRPr="004B089E" w:rsidTr="00B71BA8">
        <w:trPr>
          <w:trHeight w:val="236"/>
        </w:trPr>
        <w:tc>
          <w:tcPr>
            <w:tcW w:w="1568"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ΔYTF</w:t>
            </w:r>
          </w:p>
        </w:tc>
        <w:tc>
          <w:tcPr>
            <w:tcW w:w="3085"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Laboral</w:t>
            </w:r>
          </w:p>
        </w:tc>
        <w:tc>
          <w:tcPr>
            <w:tcW w:w="308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No Laboral</w:t>
            </w:r>
          </w:p>
        </w:tc>
      </w:tr>
      <w:tr w:rsidR="00433B67" w:rsidRPr="004B089E" w:rsidTr="00B71BA8">
        <w:trPr>
          <w:trHeight w:val="442"/>
        </w:trPr>
        <w:tc>
          <w:tcPr>
            <w:tcW w:w="1568"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1"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6"/>
                <w:szCs w:val="16"/>
                <w:lang w:eastAsia="es-AR"/>
              </w:rPr>
            </w:pPr>
          </w:p>
        </w:tc>
        <w:tc>
          <w:tcPr>
            <w:tcW w:w="771"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c>
          <w:tcPr>
            <w:tcW w:w="773"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r>
      <w:tr w:rsidR="00433B67" w:rsidRPr="004B089E" w:rsidTr="00B71BA8">
        <w:trPr>
          <w:trHeight w:val="221"/>
        </w:trPr>
        <w:tc>
          <w:tcPr>
            <w:tcW w:w="1568"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85,8%</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79,8%</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46,3%</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13,4%</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-0,7%</w:t>
            </w:r>
          </w:p>
        </w:tc>
      </w:tr>
      <w:tr w:rsidR="00433B67" w:rsidRPr="004B089E" w:rsidTr="00B71BA8">
        <w:trPr>
          <w:trHeight w:val="221"/>
        </w:trPr>
        <w:tc>
          <w:tcPr>
            <w:tcW w:w="1568"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51,9%</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45,0%</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25,2%</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4,7%</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6,9%</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2,6%</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r>
      <w:tr w:rsidR="00433B67" w:rsidRPr="004B089E" w:rsidTr="00B71BA8">
        <w:trPr>
          <w:trHeight w:val="236"/>
        </w:trPr>
        <w:tc>
          <w:tcPr>
            <w:tcW w:w="1568"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40,9%</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33,6%</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25,6%</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1,9%</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7,3%</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4,0%</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2,7%</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0,6%</w:t>
            </w:r>
          </w:p>
        </w:tc>
      </w:tr>
      <w:tr w:rsidR="00433B67" w:rsidRPr="004B089E" w:rsidTr="00B71BA8">
        <w:trPr>
          <w:trHeight w:val="236"/>
        </w:trPr>
        <w:tc>
          <w:tcPr>
            <w:tcW w:w="1568"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38,9%</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32,8%</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24,1%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r>
      <w:tr w:rsidR="00433B67" w:rsidRPr="004B089E" w:rsidTr="00B71BA8">
        <w:trPr>
          <w:trHeight w:val="221"/>
        </w:trPr>
        <w:tc>
          <w:tcPr>
            <w:tcW w:w="1568"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28,0%</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25,8%</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14,1%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1,6%</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2,2%</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3,3%</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c>
          <w:tcPr>
            <w:tcW w:w="773"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-0,2%</w:t>
            </w:r>
          </w:p>
        </w:tc>
      </w:tr>
      <w:tr w:rsidR="00433B67" w:rsidRPr="004B089E" w:rsidTr="00B71BA8">
        <w:trPr>
          <w:trHeight w:val="236"/>
        </w:trPr>
        <w:tc>
          <w:tcPr>
            <w:tcW w:w="1568"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38,0%</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33,4%</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19,3%</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11,4%</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2,7%</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4,6%</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3,2%</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1,2%</w:t>
            </w:r>
          </w:p>
        </w:tc>
        <w:tc>
          <w:tcPr>
            <w:tcW w:w="773"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0,2%</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sz w:val="24"/>
          <w:szCs w:val="24"/>
        </w:rPr>
      </w:pPr>
      <w:r>
        <w:rPr>
          <w:rFonts w:eastAsia="Times New Roman"/>
          <w:sz w:val="24"/>
          <w:szCs w:val="24"/>
          <w:lang w:val="es-ES" w:eastAsia="es-AR"/>
        </w:rPr>
        <w:t>¿Cómo se articularon las dinámicas micro y macro sociales en este proceso? Entre 2003 y 2007, el aumento de los ingresos de fuente laboral fue más intenso entre los hogares de los quintiles más bajos de la distribución (</w:t>
      </w:r>
      <w:r w:rsidRPr="00D2355F">
        <w:rPr>
          <w:rFonts w:eastAsia="Times New Roman"/>
          <w:sz w:val="24"/>
          <w:szCs w:val="24"/>
          <w:highlight w:val="green"/>
          <w:lang w:val="es-ES" w:eastAsia="es-AR"/>
        </w:rPr>
        <w:t xml:space="preserve">Cuadro </w:t>
      </w:r>
      <w:r w:rsidR="00065574">
        <w:rPr>
          <w:rFonts w:eastAsia="Times New Roman"/>
          <w:sz w:val="24"/>
          <w:szCs w:val="24"/>
          <w:highlight w:val="green"/>
          <w:lang w:val="es-ES" w:eastAsia="es-AR"/>
        </w:rPr>
        <w:t>7</w:t>
      </w:r>
      <w:r>
        <w:rPr>
          <w:rFonts w:eastAsia="Times New Roman"/>
          <w:sz w:val="24"/>
          <w:szCs w:val="24"/>
          <w:lang w:val="es-ES" w:eastAsia="es-AR"/>
        </w:rPr>
        <w:t xml:space="preserve">) y se debió a una articulación de dos procesos. Por una parte, el papel determinante –para todos los hogares, pero en especial para los de los quintiles inferiores– lo jugó el aumento del ingreso promedio por ocupado. Debe recordarse que la devaluación había implicado una importante reducción de ingresos, que fue recomponiéndose aceleradamente tras la crisis económica. Por otra parte, aumentó el número de ocupados promedio por hogar. </w:t>
      </w:r>
      <w:r w:rsidRPr="003F7057">
        <w:rPr>
          <w:sz w:val="24"/>
          <w:szCs w:val="24"/>
        </w:rPr>
        <w:t>Este aumento se inscrib</w:t>
      </w:r>
      <w:r>
        <w:rPr>
          <w:sz w:val="24"/>
          <w:szCs w:val="24"/>
        </w:rPr>
        <w:t>ió</w:t>
      </w:r>
      <w:r w:rsidRPr="003F7057">
        <w:rPr>
          <w:sz w:val="24"/>
          <w:szCs w:val="24"/>
        </w:rPr>
        <w:t xml:space="preserve"> en la recomposición de la demanda de empleo, principalmente de ocupaciones de baja calificación en el contexto de un “resurgimiento” de actividades económicas más protegidas por un nuevo esquema cambiario</w:t>
      </w:r>
      <w:r>
        <w:rPr>
          <w:sz w:val="24"/>
          <w:szCs w:val="24"/>
        </w:rPr>
        <w:t xml:space="preserve"> (</w:t>
      </w:r>
      <w:proofErr w:type="spellStart"/>
      <w:r>
        <w:rPr>
          <w:sz w:val="24"/>
          <w:szCs w:val="24"/>
        </w:rPr>
        <w:t>Beccaria</w:t>
      </w:r>
      <w:proofErr w:type="spellEnd"/>
      <w:r>
        <w:rPr>
          <w:sz w:val="24"/>
          <w:szCs w:val="24"/>
        </w:rPr>
        <w:t xml:space="preserve"> y </w:t>
      </w:r>
      <w:proofErr w:type="spellStart"/>
      <w:r>
        <w:rPr>
          <w:sz w:val="24"/>
          <w:szCs w:val="24"/>
        </w:rPr>
        <w:t>Maurizio</w:t>
      </w:r>
      <w:proofErr w:type="spellEnd"/>
      <w:r>
        <w:rPr>
          <w:sz w:val="24"/>
          <w:szCs w:val="24"/>
        </w:rPr>
        <w:t>, 2012). Este comportamiento permite entender que el incremento</w:t>
      </w:r>
      <w:r w:rsidRPr="003F7057">
        <w:rPr>
          <w:sz w:val="24"/>
          <w:szCs w:val="24"/>
        </w:rPr>
        <w:t xml:space="preserve"> del número de perceptores laborales </w:t>
      </w:r>
      <w:r w:rsidR="00B71BA8">
        <w:rPr>
          <w:sz w:val="24"/>
          <w:szCs w:val="24"/>
        </w:rPr>
        <w:t>haya sido</w:t>
      </w:r>
      <w:r>
        <w:rPr>
          <w:sz w:val="24"/>
          <w:szCs w:val="24"/>
        </w:rPr>
        <w:t xml:space="preserve"> más intenso entre </w:t>
      </w:r>
      <w:r w:rsidRPr="003F7057">
        <w:rPr>
          <w:sz w:val="24"/>
          <w:szCs w:val="24"/>
        </w:rPr>
        <w:t>los hogares de menores ingresos</w:t>
      </w:r>
      <w:r>
        <w:rPr>
          <w:sz w:val="24"/>
          <w:szCs w:val="24"/>
        </w:rPr>
        <w:t xml:space="preserve">. Vale decir que, a diferencia de lo ocurrido en las fases previas, el tipo de crecimiento permitió que el mercado laboral fuera un mecanismo positivo en términos de oportunidades de bienestar para los hogares.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8</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2014-2007</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01" w:type="dxa"/>
        <w:tblInd w:w="55" w:type="dxa"/>
        <w:tblCellMar>
          <w:left w:w="70" w:type="dxa"/>
          <w:right w:w="70" w:type="dxa"/>
        </w:tblCellMar>
        <w:tblLook w:val="04A0" w:firstRow="1" w:lastRow="0" w:firstColumn="1" w:lastColumn="0" w:noHBand="0" w:noVBand="1"/>
      </w:tblPr>
      <w:tblGrid>
        <w:gridCol w:w="1567"/>
        <w:gridCol w:w="770"/>
        <w:gridCol w:w="770"/>
        <w:gridCol w:w="770"/>
        <w:gridCol w:w="770"/>
        <w:gridCol w:w="772"/>
        <w:gridCol w:w="770"/>
        <w:gridCol w:w="770"/>
        <w:gridCol w:w="770"/>
        <w:gridCol w:w="772"/>
      </w:tblGrid>
      <w:tr w:rsidR="00433B67" w:rsidRPr="004B089E" w:rsidTr="005C0ED0">
        <w:trPr>
          <w:trHeight w:val="186"/>
        </w:trPr>
        <w:tc>
          <w:tcPr>
            <w:tcW w:w="1567"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ΔYTF</w:t>
            </w:r>
          </w:p>
        </w:tc>
        <w:tc>
          <w:tcPr>
            <w:tcW w:w="3082"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Laboral</w:t>
            </w:r>
          </w:p>
        </w:tc>
        <w:tc>
          <w:tcPr>
            <w:tcW w:w="308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8"/>
                <w:szCs w:val="16"/>
                <w:lang w:eastAsia="es-AR"/>
              </w:rPr>
            </w:pPr>
            <w:r w:rsidRPr="004B089E">
              <w:rPr>
                <w:rFonts w:eastAsia="Times New Roman"/>
                <w:b/>
                <w:bCs/>
                <w:color w:val="000000"/>
                <w:sz w:val="18"/>
                <w:szCs w:val="16"/>
                <w:lang w:eastAsia="es-AR"/>
              </w:rPr>
              <w:t>Ingreso No Laboral</w:t>
            </w:r>
          </w:p>
        </w:tc>
      </w:tr>
      <w:tr w:rsidR="00433B67" w:rsidRPr="004B089E" w:rsidTr="005C0ED0">
        <w:trPr>
          <w:trHeight w:val="350"/>
        </w:trPr>
        <w:tc>
          <w:tcPr>
            <w:tcW w:w="1567"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0"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b/>
                <w:bCs/>
                <w:sz w:val="18"/>
                <w:szCs w:val="16"/>
                <w:lang w:eastAsia="es-AR"/>
              </w:rPr>
            </w:pPr>
          </w:p>
        </w:tc>
        <w:tc>
          <w:tcPr>
            <w:tcW w:w="770"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0"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p>
        </w:tc>
        <w:tc>
          <w:tcPr>
            <w:tcW w:w="770"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1"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L</w:t>
            </w:r>
            <w:proofErr w:type="spellEnd"/>
          </w:p>
        </w:tc>
        <w:tc>
          <w:tcPr>
            <w:tcW w:w="770"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r w:rsidRPr="004B089E">
              <w:rPr>
                <w:rFonts w:eastAsia="Times New Roman"/>
                <w:b/>
                <w:bCs/>
                <w:sz w:val="18"/>
                <w:szCs w:val="16"/>
                <w:lang w:eastAsia="es-AR"/>
              </w:rPr>
              <w:t>Efecto ITF</w:t>
            </w:r>
          </w:p>
        </w:tc>
        <w:tc>
          <w:tcPr>
            <w:tcW w:w="770"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p>
        </w:tc>
        <w:tc>
          <w:tcPr>
            <w:tcW w:w="770"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c>
          <w:tcPr>
            <w:tcW w:w="771"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8"/>
                <w:szCs w:val="16"/>
                <w:lang w:eastAsia="es-AR"/>
              </w:rPr>
            </w:pPr>
            <w:proofErr w:type="spellStart"/>
            <w:r w:rsidRPr="004B089E">
              <w:rPr>
                <w:rFonts w:eastAsia="Times New Roman"/>
                <w:b/>
                <w:bCs/>
                <w:sz w:val="18"/>
                <w:szCs w:val="16"/>
                <w:lang w:eastAsia="es-AR"/>
              </w:rPr>
              <w:t>r</w:t>
            </w:r>
            <w:r w:rsidRPr="004B089E">
              <w:rPr>
                <w:rFonts w:eastAsia="Times New Roman"/>
                <w:b/>
                <w:bCs/>
                <w:sz w:val="18"/>
                <w:szCs w:val="16"/>
                <w:vertAlign w:val="subscript"/>
                <w:lang w:eastAsia="es-AR"/>
              </w:rPr>
              <w:t>NL</w:t>
            </w:r>
            <w:proofErr w:type="spellEnd"/>
            <w:r w:rsidRPr="004B089E">
              <w:rPr>
                <w:rFonts w:eastAsia="Times New Roman"/>
                <w:b/>
                <w:bCs/>
                <w:sz w:val="18"/>
                <w:szCs w:val="16"/>
                <w:lang w:eastAsia="es-AR"/>
              </w:rPr>
              <w:t>*</w:t>
            </w:r>
            <w:proofErr w:type="spellStart"/>
            <w:r w:rsidRPr="004B089E">
              <w:rPr>
                <w:rFonts w:eastAsia="Times New Roman"/>
                <w:b/>
                <w:bCs/>
                <w:sz w:val="18"/>
                <w:szCs w:val="16"/>
                <w:lang w:eastAsia="es-AR"/>
              </w:rPr>
              <w:t>p</w:t>
            </w:r>
            <w:r w:rsidRPr="004B089E">
              <w:rPr>
                <w:rFonts w:eastAsia="Times New Roman"/>
                <w:b/>
                <w:bCs/>
                <w:sz w:val="18"/>
                <w:szCs w:val="16"/>
                <w:vertAlign w:val="subscript"/>
                <w:lang w:eastAsia="es-AR"/>
              </w:rPr>
              <w:t>NL</w:t>
            </w:r>
            <w:proofErr w:type="spellEnd"/>
          </w:p>
        </w:tc>
      </w:tr>
      <w:tr w:rsidR="00433B67" w:rsidRPr="004B089E" w:rsidTr="005C0ED0">
        <w:trPr>
          <w:trHeight w:val="175"/>
        </w:trPr>
        <w:tc>
          <w:tcPr>
            <w:tcW w:w="1567"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29,6%</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17,3%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18,8%</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12,3%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10,8%</w:t>
            </w:r>
          </w:p>
        </w:tc>
        <w:tc>
          <w:tcPr>
            <w:tcW w:w="771"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0,5%</w:t>
            </w:r>
          </w:p>
        </w:tc>
      </w:tr>
      <w:tr w:rsidR="00433B67" w:rsidRPr="004B089E" w:rsidTr="005C0ED0">
        <w:trPr>
          <w:trHeight w:val="175"/>
        </w:trPr>
        <w:tc>
          <w:tcPr>
            <w:tcW w:w="1567"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26,3%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19,9%</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12,9%</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6,1%</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6,4%</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4,8%</w:t>
            </w:r>
          </w:p>
        </w:tc>
        <w:tc>
          <w:tcPr>
            <w:tcW w:w="771"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r>
      <w:tr w:rsidR="00433B67" w:rsidRPr="004B089E" w:rsidTr="005C0ED0">
        <w:trPr>
          <w:trHeight w:val="186"/>
        </w:trPr>
        <w:tc>
          <w:tcPr>
            <w:tcW w:w="1567"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8,6%</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3,0%</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7,1%</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5,7%</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2,7%</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2,6%</w:t>
            </w:r>
          </w:p>
        </w:tc>
        <w:tc>
          <w:tcPr>
            <w:tcW w:w="771"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0,4%</w:t>
            </w:r>
          </w:p>
        </w:tc>
      </w:tr>
      <w:tr w:rsidR="00433B67" w:rsidRPr="004B089E" w:rsidTr="005C0ED0">
        <w:trPr>
          <w:trHeight w:val="186"/>
        </w:trPr>
        <w:tc>
          <w:tcPr>
            <w:tcW w:w="1567"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4,4%</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1,8%</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6,0%</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-4,0%</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2,6%</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0,8%</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w:t>
            </w:r>
          </w:p>
        </w:tc>
        <w:tc>
          <w:tcPr>
            <w:tcW w:w="771"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0,1%</w:t>
            </w:r>
          </w:p>
        </w:tc>
      </w:tr>
      <w:tr w:rsidR="00433B67" w:rsidRPr="004B089E" w:rsidTr="005C0ED0">
        <w:trPr>
          <w:trHeight w:val="175"/>
        </w:trPr>
        <w:tc>
          <w:tcPr>
            <w:tcW w:w="1567"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-16,2%</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-17,7%</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-11,0%</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-7,7%</w:t>
            </w:r>
          </w:p>
        </w:tc>
        <w:tc>
          <w:tcPr>
            <w:tcW w:w="771"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1,4%</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w:t>
            </w:r>
          </w:p>
        </w:tc>
        <w:tc>
          <w:tcPr>
            <w:tcW w:w="770"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2,8%</w:t>
            </w:r>
          </w:p>
        </w:tc>
        <w:tc>
          <w:tcPr>
            <w:tcW w:w="771"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r>
      <w:tr w:rsidR="00433B67" w:rsidRPr="004B089E" w:rsidTr="005C0ED0">
        <w:trPr>
          <w:trHeight w:val="186"/>
        </w:trPr>
        <w:tc>
          <w:tcPr>
            <w:tcW w:w="1567"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0,7%</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-3,0%</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-0,7%</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-2,3%</w:t>
            </w:r>
          </w:p>
        </w:tc>
        <w:tc>
          <w:tcPr>
            <w:tcW w:w="771"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0,0%</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3,7%</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-0,1%</w:t>
            </w:r>
          </w:p>
        </w:tc>
        <w:tc>
          <w:tcPr>
            <w:tcW w:w="770"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3,8%</w:t>
            </w:r>
          </w:p>
        </w:tc>
        <w:tc>
          <w:tcPr>
            <w:tcW w:w="771"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0,0%</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sz w:val="24"/>
          <w:szCs w:val="24"/>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El aumento del ingreso no laboral fue parejo entre los quintiles, si bien se concentró también en los más bajos de la distribución. El papel más dinámico en esta etapa lo desempeñó el ingreso medio por perceptor de este tipo de fuentes, en tanto que el </w:t>
      </w:r>
      <w:r>
        <w:rPr>
          <w:rFonts w:eastAsia="Times New Roman"/>
          <w:sz w:val="24"/>
          <w:szCs w:val="24"/>
          <w:lang w:val="es-ES" w:eastAsia="es-AR"/>
        </w:rPr>
        <w:lastRenderedPageBreak/>
        <w:t xml:space="preserve">número de perceptores se redujo levemente en los quintiles más bajos y subió en los quintiles medios. Este proceso tuvo que ver con la “salida” de beneficiarios que percibían ingresos por el Plan Jefas y Jefes (lo que afectó a los quintiles más bajos) y con el aumento del número de jubilados y pensionados por la “moratoria” implementada a partir de 2005 (que afectó a los hogares del segundo, tercer y cuarto quintil).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Entre 2007 y 2014, la reducción del ingreso por perceptor laboral y del número promedio de perceptores laborales por hogar a nivel agregado jugaron en detrimento del bienestar económico (</w:t>
      </w:r>
      <w:r w:rsidRPr="00065574">
        <w:rPr>
          <w:rFonts w:eastAsia="Times New Roman"/>
          <w:sz w:val="24"/>
          <w:szCs w:val="24"/>
          <w:highlight w:val="yellow"/>
          <w:lang w:val="es-ES" w:eastAsia="es-AR"/>
        </w:rPr>
        <w:t xml:space="preserve">Cuadro </w:t>
      </w:r>
      <w:r w:rsidR="00065574">
        <w:rPr>
          <w:rFonts w:eastAsia="Times New Roman"/>
          <w:sz w:val="24"/>
          <w:szCs w:val="24"/>
          <w:highlight w:val="yellow"/>
          <w:lang w:val="es-ES" w:eastAsia="es-AR"/>
        </w:rPr>
        <w:t>8</w:t>
      </w:r>
      <w:r>
        <w:rPr>
          <w:rFonts w:eastAsia="Times New Roman"/>
          <w:sz w:val="24"/>
          <w:szCs w:val="24"/>
          <w:lang w:val="es-ES" w:eastAsia="es-AR"/>
        </w:rPr>
        <w:t>). Esta dinámica fue compensada por el aumento en el número de perceptores no laborales promedio por hogar, mientras que el ingreso por perceptor de este tipo de fuente</w:t>
      </w:r>
      <w:r w:rsidR="001643FB">
        <w:rPr>
          <w:rFonts w:eastAsia="Times New Roman"/>
          <w:sz w:val="24"/>
          <w:szCs w:val="24"/>
          <w:lang w:val="es-ES" w:eastAsia="es-AR"/>
        </w:rPr>
        <w:t xml:space="preserve"> </w:t>
      </w:r>
      <w:r w:rsidR="001643FB" w:rsidRPr="003B3F91">
        <w:rPr>
          <w:rFonts w:eastAsia="Times New Roman"/>
          <w:sz w:val="24"/>
          <w:szCs w:val="24"/>
          <w:lang w:val="es-ES" w:eastAsia="es-AR"/>
        </w:rPr>
        <w:t>no evidenció cambios significativos</w:t>
      </w:r>
      <w:r w:rsidRPr="003B3F91">
        <w:rPr>
          <w:rFonts w:eastAsia="Times New Roman"/>
          <w:sz w:val="24"/>
          <w:szCs w:val="24"/>
          <w:lang w:val="es-ES" w:eastAsia="es-AR"/>
        </w:rPr>
        <w:t>.</w:t>
      </w:r>
      <w:r>
        <w:rPr>
          <w:rFonts w:eastAsia="Times New Roman"/>
          <w:sz w:val="24"/>
          <w:szCs w:val="24"/>
          <w:lang w:val="es-ES" w:eastAsia="es-AR"/>
        </w:rPr>
        <w:t xml:space="preserve"> Ahora bien, los hogares de los quintiles inferiores lograron un incremento de su ingreso laboral por encima del promedio, principalmente como efecto de un aumento en el ingreso por perceptor y del número de perceptores por hogar. En cambio, los hogares del quintil más alto vieron reducido su ingreso laboral, tanto por un menor número de ocupados promedio (aspecto que puede estar asociado más a una retracción en el tamaño medio de los hogares que a una reducción del esfuerzo laboral) como del ingreso por perceptor. </w:t>
      </w: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9</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2014-2003</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83" w:type="dxa"/>
        <w:tblInd w:w="55" w:type="dxa"/>
        <w:tblCellMar>
          <w:left w:w="70" w:type="dxa"/>
          <w:right w:w="70" w:type="dxa"/>
        </w:tblCellMar>
        <w:tblLook w:val="04A0" w:firstRow="1" w:lastRow="0" w:firstColumn="1" w:lastColumn="0" w:noHBand="0" w:noVBand="1"/>
      </w:tblPr>
      <w:tblGrid>
        <w:gridCol w:w="1573"/>
        <w:gridCol w:w="798"/>
        <w:gridCol w:w="798"/>
        <w:gridCol w:w="773"/>
        <w:gridCol w:w="773"/>
        <w:gridCol w:w="774"/>
        <w:gridCol w:w="773"/>
        <w:gridCol w:w="773"/>
        <w:gridCol w:w="773"/>
        <w:gridCol w:w="775"/>
      </w:tblGrid>
      <w:tr w:rsidR="00433B67" w:rsidRPr="004B089E" w:rsidTr="005C0ED0">
        <w:trPr>
          <w:trHeight w:val="237"/>
        </w:trPr>
        <w:tc>
          <w:tcPr>
            <w:tcW w:w="1573"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9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ΔYTF</w:t>
            </w:r>
          </w:p>
        </w:tc>
        <w:tc>
          <w:tcPr>
            <w:tcW w:w="3118"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Laboral</w:t>
            </w:r>
          </w:p>
        </w:tc>
        <w:tc>
          <w:tcPr>
            <w:tcW w:w="309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No Laboral</w:t>
            </w:r>
          </w:p>
        </w:tc>
      </w:tr>
      <w:tr w:rsidR="00433B67" w:rsidRPr="004B089E" w:rsidTr="005C0ED0">
        <w:trPr>
          <w:trHeight w:val="443"/>
        </w:trPr>
        <w:tc>
          <w:tcPr>
            <w:tcW w:w="1573"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98"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6"/>
                <w:szCs w:val="16"/>
                <w:lang w:eastAsia="es-AR"/>
              </w:rPr>
            </w:pPr>
          </w:p>
        </w:tc>
        <w:tc>
          <w:tcPr>
            <w:tcW w:w="798"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4"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p>
        </w:tc>
        <w:tc>
          <w:tcPr>
            <w:tcW w:w="773"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c>
          <w:tcPr>
            <w:tcW w:w="775"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r>
      <w:tr w:rsidR="00433B67" w:rsidRPr="004B089E" w:rsidTr="005C0ED0">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140,7%</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111,8%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73,5%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18,7%</w:t>
            </w:r>
          </w:p>
        </w:tc>
        <w:tc>
          <w:tcPr>
            <w:tcW w:w="774"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19,7%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28,9%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13,1%</w:t>
            </w:r>
          </w:p>
        </w:tc>
        <w:tc>
          <w:tcPr>
            <w:tcW w:w="775"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4,8%</w:t>
            </w:r>
          </w:p>
        </w:tc>
      </w:tr>
      <w:tr w:rsidR="00433B67" w:rsidRPr="004B089E" w:rsidTr="005C0ED0">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91,8%</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75,2%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41,7%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22,2%</w:t>
            </w:r>
          </w:p>
        </w:tc>
        <w:tc>
          <w:tcPr>
            <w:tcW w:w="774"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16,6%</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10,2%</w:t>
            </w:r>
          </w:p>
        </w:tc>
        <w:tc>
          <w:tcPr>
            <w:tcW w:w="775"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w:t>
            </w:r>
          </w:p>
        </w:tc>
      </w:tr>
      <w:tr w:rsidR="00433B67" w:rsidRPr="004B089E" w:rsidTr="005C0ED0">
        <w:trPr>
          <w:trHeight w:val="237"/>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53,0%</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37,8%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35,0%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w:t>
            </w:r>
          </w:p>
        </w:tc>
        <w:tc>
          <w:tcPr>
            <w:tcW w:w="774"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15,3%</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5,7%</w:t>
            </w:r>
          </w:p>
        </w:tc>
        <w:tc>
          <w:tcPr>
            <w:tcW w:w="775"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2,1%</w:t>
            </w:r>
          </w:p>
        </w:tc>
      </w:tr>
      <w:tr w:rsidR="00433B67" w:rsidRPr="004B089E" w:rsidTr="005C0ED0">
        <w:trPr>
          <w:trHeight w:val="237"/>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44,9%</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35,2%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31,9%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2,4%</w:t>
            </w:r>
          </w:p>
        </w:tc>
        <w:tc>
          <w:tcPr>
            <w:tcW w:w="774"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9,7%</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4,4%</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4,2%</w:t>
            </w:r>
          </w:p>
        </w:tc>
        <w:tc>
          <w:tcPr>
            <w:tcW w:w="775"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w:t>
            </w:r>
          </w:p>
        </w:tc>
      </w:tr>
      <w:tr w:rsidR="00433B67" w:rsidRPr="004B089E" w:rsidTr="005C0ED0">
        <w:trPr>
          <w:trHeight w:val="222"/>
        </w:trPr>
        <w:tc>
          <w:tcPr>
            <w:tcW w:w="1573"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7,2%</w:t>
            </w:r>
          </w:p>
        </w:tc>
        <w:tc>
          <w:tcPr>
            <w:tcW w:w="79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3,2%</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1,6%</w:t>
            </w:r>
          </w:p>
        </w:tc>
        <w:tc>
          <w:tcPr>
            <w:tcW w:w="774"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0,0%</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4,1%</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1,8%</w:t>
            </w:r>
          </w:p>
        </w:tc>
        <w:tc>
          <w:tcPr>
            <w:tcW w:w="773"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2,0%</w:t>
            </w:r>
          </w:p>
        </w:tc>
        <w:tc>
          <w:tcPr>
            <w:tcW w:w="775"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r>
      <w:tr w:rsidR="00433B67" w:rsidRPr="004B089E" w:rsidTr="005C0ED0">
        <w:trPr>
          <w:trHeight w:val="237"/>
        </w:trPr>
        <w:tc>
          <w:tcPr>
            <w:tcW w:w="1573"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9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39,0%</w:t>
            </w:r>
          </w:p>
        </w:tc>
        <w:tc>
          <w:tcPr>
            <w:tcW w:w="79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29,2%</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18,5%</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8,8%</w:t>
            </w:r>
          </w:p>
        </w:tc>
        <w:tc>
          <w:tcPr>
            <w:tcW w:w="774"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2,0%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9,7%</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3,0%</w:t>
            </w:r>
          </w:p>
        </w:tc>
        <w:tc>
          <w:tcPr>
            <w:tcW w:w="773"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5,7%</w:t>
            </w:r>
          </w:p>
        </w:tc>
        <w:tc>
          <w:tcPr>
            <w:tcW w:w="775"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1,0%</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Pr="003F7057" w:rsidRDefault="00433B67" w:rsidP="00433B67">
      <w:pPr>
        <w:tabs>
          <w:tab w:val="left" w:pos="4069"/>
        </w:tabs>
        <w:spacing w:line="240" w:lineRule="auto"/>
        <w:jc w:val="both"/>
        <w:rPr>
          <w:sz w:val="24"/>
          <w:szCs w:val="24"/>
        </w:rPr>
      </w:pPr>
      <w:r>
        <w:rPr>
          <w:rFonts w:eastAsia="Times New Roman"/>
          <w:sz w:val="24"/>
          <w:szCs w:val="24"/>
          <w:lang w:val="es-ES" w:eastAsia="es-AR"/>
        </w:rPr>
        <w:t xml:space="preserve">Los ingresos no laborales desempeñaron un papel muy significativo, especialmente en los quintiles inferiores, en términos de bienestar. Este proceso quedó explicado por el aumento del número de perceptores por hogar de este tipo de fuente, en tanto que el ingreso por perceptor de este tipo de fuente se mantuvo prácticamente inalterado. </w:t>
      </w:r>
      <w:r w:rsidRPr="003F7057">
        <w:rPr>
          <w:sz w:val="24"/>
          <w:szCs w:val="24"/>
        </w:rPr>
        <w:t xml:space="preserve">Este patrón recoge una diversidad de medidas de política social relevantes </w:t>
      </w:r>
      <w:r>
        <w:rPr>
          <w:sz w:val="24"/>
          <w:szCs w:val="24"/>
        </w:rPr>
        <w:t>implementadas o expandidas en el período</w:t>
      </w:r>
      <w:r w:rsidRPr="003F7057">
        <w:rPr>
          <w:sz w:val="24"/>
          <w:szCs w:val="24"/>
        </w:rPr>
        <w:t xml:space="preserve">: la expansión de la cobertura jubilatoria, de las pensiones no contributivas (como se señaló en el </w:t>
      </w:r>
      <w:r w:rsidRPr="002E110F">
        <w:rPr>
          <w:sz w:val="24"/>
          <w:szCs w:val="24"/>
          <w:highlight w:val="yellow"/>
        </w:rPr>
        <w:t>capítulo 1</w:t>
      </w:r>
      <w:r w:rsidRPr="003F7057">
        <w:rPr>
          <w:sz w:val="24"/>
          <w:szCs w:val="24"/>
        </w:rPr>
        <w:t xml:space="preserve">) y, en particular, de un nuevo sistema de transferencias condicionadas de tipo </w:t>
      </w:r>
      <w:proofErr w:type="spellStart"/>
      <w:r w:rsidRPr="003F7057">
        <w:rPr>
          <w:i/>
          <w:sz w:val="24"/>
          <w:szCs w:val="24"/>
        </w:rPr>
        <w:t>welfare</w:t>
      </w:r>
      <w:proofErr w:type="spellEnd"/>
      <w:r w:rsidRPr="003F7057">
        <w:rPr>
          <w:sz w:val="24"/>
          <w:szCs w:val="24"/>
        </w:rPr>
        <w:t>, la Asignación Universal por Hijo</w:t>
      </w:r>
      <w:r>
        <w:rPr>
          <w:sz w:val="24"/>
          <w:szCs w:val="24"/>
        </w:rPr>
        <w:t xml:space="preserve"> (</w:t>
      </w:r>
      <w:r w:rsidRPr="000941B9">
        <w:rPr>
          <w:sz w:val="24"/>
          <w:szCs w:val="24"/>
          <w:highlight w:val="green"/>
        </w:rPr>
        <w:t xml:space="preserve">Cuadro </w:t>
      </w:r>
      <w:r w:rsidR="00AC68DF">
        <w:rPr>
          <w:sz w:val="24"/>
          <w:szCs w:val="24"/>
          <w:highlight w:val="green"/>
        </w:rPr>
        <w:t>8</w:t>
      </w:r>
      <w:r>
        <w:rPr>
          <w:sz w:val="24"/>
          <w:szCs w:val="24"/>
        </w:rPr>
        <w:t>)</w:t>
      </w:r>
      <w:r w:rsidRPr="003F7057">
        <w:rPr>
          <w:sz w:val="24"/>
          <w:szCs w:val="24"/>
        </w:rPr>
        <w:t xml:space="preserve">. </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De manera que, durante el ciclo de políticas heterodoxas, los principales cambios observados en el acceso al bienestar fueron: (a) se incrementó sostenidamente el ingreso laboral entre 2003 y 2007, que perdió dinamismo en 2007-2014. Los procesos que impulsaron la recomposición del ingreso de esta fuente fueron el aumento de perceptores ocupados por hogar y, principalmente, el aumento del ingreso promedio </w:t>
      </w:r>
      <w:r>
        <w:rPr>
          <w:rFonts w:eastAsia="Times New Roman"/>
          <w:sz w:val="24"/>
          <w:szCs w:val="24"/>
          <w:lang w:val="es-ES" w:eastAsia="es-AR"/>
        </w:rPr>
        <w:lastRenderedPageBreak/>
        <w:t xml:space="preserve">por ocupado, en un contexto expansivo del mercado de trabajo urbano; (b) los ingresos no laborales jugaron un papel moderado en la recomposición inicial de las condiciones de vida familiares (2003-2007) para adquirir, posteriormente, un papel protagónico cuando el nivel de dinamismo del mercado laboral menguó (2007-2014). En esta fuente, a diferencia de lo ocurrido en el mercado de trabajo, el rol principal en la mejora del ingreso lo desempeñó el aumento de perceptores no laborales, antes que la mejora del ingreso por perceptor; (c) un aspecto sostenido durante todo el ciclo post-reformas fue que la mejora de los ingresos fue más intensa en los quintiles más bajos de la distribución.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line="240" w:lineRule="auto"/>
        <w:jc w:val="center"/>
        <w:rPr>
          <w:color w:val="010101"/>
          <w:sz w:val="24"/>
          <w:szCs w:val="24"/>
          <w:u w:val="single"/>
          <w:lang w:eastAsia="es-MX"/>
        </w:rPr>
      </w:pPr>
      <w:r>
        <w:rPr>
          <w:color w:val="010101"/>
          <w:sz w:val="24"/>
          <w:szCs w:val="24"/>
          <w:u w:val="single"/>
          <w:lang w:eastAsia="es-MX"/>
        </w:rPr>
        <w:t>Un balance del período 1974-2014</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Al hacer un balance del período considerado, se advierte un conjunto de procesos sociales significativos. El ingreso familiar disponible se redujo considerablemente entre puntas, proceso asociado de manera directa a lo sucedido con el ingreso laboral (</w:t>
      </w:r>
      <w:r w:rsidRPr="007C219B">
        <w:rPr>
          <w:rFonts w:eastAsia="Times New Roman"/>
          <w:sz w:val="24"/>
          <w:szCs w:val="24"/>
          <w:highlight w:val="green"/>
          <w:lang w:val="es-ES" w:eastAsia="es-AR"/>
        </w:rPr>
        <w:t xml:space="preserve">Cuadro </w:t>
      </w:r>
      <w:r w:rsidR="00AB0DEA">
        <w:rPr>
          <w:rFonts w:eastAsia="Times New Roman"/>
          <w:sz w:val="24"/>
          <w:szCs w:val="24"/>
          <w:highlight w:val="green"/>
          <w:lang w:val="es-ES" w:eastAsia="es-AR"/>
        </w:rPr>
        <w:t>10</w:t>
      </w:r>
      <w:r w:rsidRPr="007C219B">
        <w:rPr>
          <w:rFonts w:eastAsia="Times New Roman"/>
          <w:sz w:val="24"/>
          <w:szCs w:val="24"/>
          <w:highlight w:val="green"/>
          <w:lang w:val="es-ES" w:eastAsia="es-AR"/>
        </w:rPr>
        <w:t>).</w:t>
      </w:r>
      <w:r>
        <w:rPr>
          <w:rFonts w:eastAsia="Times New Roman"/>
          <w:sz w:val="24"/>
          <w:szCs w:val="24"/>
          <w:lang w:val="es-ES" w:eastAsia="es-AR"/>
        </w:rPr>
        <w:t xml:space="preserve"> </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CA7EA4">
        <w:rPr>
          <w:rFonts w:eastAsia="Times New Roman"/>
          <w:b/>
          <w:sz w:val="24"/>
          <w:szCs w:val="24"/>
          <w:lang w:val="es-ES" w:eastAsia="es-AR"/>
        </w:rPr>
        <w:t xml:space="preserve">Cuadro </w:t>
      </w:r>
      <w:r w:rsidR="00177113">
        <w:rPr>
          <w:rFonts w:eastAsia="Times New Roman"/>
          <w:b/>
          <w:sz w:val="24"/>
          <w:szCs w:val="24"/>
          <w:lang w:val="es-ES" w:eastAsia="es-AR"/>
        </w:rPr>
        <w:t>10</w:t>
      </w:r>
      <w:r w:rsidRPr="00CA7EA4">
        <w:rPr>
          <w:rFonts w:eastAsia="Times New Roman"/>
          <w:b/>
          <w:sz w:val="24"/>
          <w:szCs w:val="24"/>
          <w:lang w:val="es-ES" w:eastAsia="es-AR"/>
        </w:rPr>
        <w:t xml:space="preserve">. Cambio en el ingreso total familiar y contribución de cada fuente de ingreso según quintil de ingreso per cápita familiar. Gran Buenos Aires, </w:t>
      </w:r>
      <w:r>
        <w:rPr>
          <w:rFonts w:eastAsia="Times New Roman"/>
          <w:b/>
          <w:sz w:val="24"/>
          <w:szCs w:val="24"/>
          <w:lang w:val="es-ES" w:eastAsia="es-AR"/>
        </w:rPr>
        <w:t>2014-1974</w:t>
      </w:r>
      <w:r w:rsidRPr="00CA7EA4">
        <w:rPr>
          <w:rFonts w:eastAsia="Times New Roman"/>
          <w:b/>
          <w:sz w:val="24"/>
          <w:szCs w:val="24"/>
          <w:lang w:val="es-ES" w:eastAsia="es-AR"/>
        </w:rPr>
        <w:t>.</w:t>
      </w: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En variación porcentual</w:t>
      </w:r>
    </w:p>
    <w:tbl>
      <w:tblPr>
        <w:tblW w:w="8584" w:type="dxa"/>
        <w:tblInd w:w="55" w:type="dxa"/>
        <w:tblCellMar>
          <w:left w:w="70" w:type="dxa"/>
          <w:right w:w="70" w:type="dxa"/>
        </w:tblCellMar>
        <w:tblLook w:val="04A0" w:firstRow="1" w:lastRow="0" w:firstColumn="1" w:lastColumn="0" w:noHBand="0" w:noVBand="1"/>
      </w:tblPr>
      <w:tblGrid>
        <w:gridCol w:w="1582"/>
        <w:gridCol w:w="778"/>
        <w:gridCol w:w="778"/>
        <w:gridCol w:w="778"/>
        <w:gridCol w:w="778"/>
        <w:gridCol w:w="778"/>
        <w:gridCol w:w="778"/>
        <w:gridCol w:w="778"/>
        <w:gridCol w:w="778"/>
        <w:gridCol w:w="778"/>
      </w:tblGrid>
      <w:tr w:rsidR="00433B67" w:rsidRPr="004B089E" w:rsidTr="00B71BA8">
        <w:trPr>
          <w:trHeight w:val="236"/>
        </w:trPr>
        <w:tc>
          <w:tcPr>
            <w:tcW w:w="1582"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 </w:t>
            </w:r>
          </w:p>
        </w:tc>
        <w:tc>
          <w:tcPr>
            <w:tcW w:w="77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ΔYTF</w:t>
            </w:r>
          </w:p>
        </w:tc>
        <w:tc>
          <w:tcPr>
            <w:tcW w:w="3112"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Laboral</w:t>
            </w:r>
          </w:p>
        </w:tc>
        <w:tc>
          <w:tcPr>
            <w:tcW w:w="311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Ingreso No Laboral</w:t>
            </w:r>
          </w:p>
        </w:tc>
      </w:tr>
      <w:tr w:rsidR="00433B67" w:rsidRPr="004B089E" w:rsidTr="00B71BA8">
        <w:trPr>
          <w:trHeight w:val="443"/>
        </w:trPr>
        <w:tc>
          <w:tcPr>
            <w:tcW w:w="1582"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rPr>
                <w:rFonts w:eastAsia="Times New Roman"/>
                <w:color w:val="000000"/>
                <w:sz w:val="16"/>
                <w:szCs w:val="16"/>
                <w:lang w:eastAsia="es-AR"/>
              </w:rPr>
            </w:pPr>
          </w:p>
        </w:tc>
        <w:tc>
          <w:tcPr>
            <w:tcW w:w="778" w:type="dxa"/>
            <w:vMerge/>
            <w:tcBorders>
              <w:top w:val="single" w:sz="8" w:space="0" w:color="auto"/>
              <w:left w:val="single" w:sz="8" w:space="0" w:color="auto"/>
              <w:bottom w:val="single" w:sz="4" w:space="0" w:color="000000"/>
              <w:right w:val="nil"/>
            </w:tcBorders>
            <w:vAlign w:val="center"/>
            <w:hideMark/>
          </w:tcPr>
          <w:p w:rsidR="00433B67" w:rsidRPr="004B089E" w:rsidRDefault="00433B67" w:rsidP="006732CD">
            <w:pPr>
              <w:spacing w:after="0" w:line="240" w:lineRule="auto"/>
              <w:jc w:val="center"/>
              <w:rPr>
                <w:rFonts w:eastAsia="Times New Roman"/>
                <w:b/>
                <w:bCs/>
                <w:sz w:val="16"/>
                <w:szCs w:val="16"/>
                <w:lang w:eastAsia="es-AR"/>
              </w:rPr>
            </w:pPr>
          </w:p>
        </w:tc>
        <w:tc>
          <w:tcPr>
            <w:tcW w:w="778" w:type="dxa"/>
            <w:tcBorders>
              <w:top w:val="nil"/>
              <w:left w:val="single" w:sz="4" w:space="0" w:color="auto"/>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r w:rsidRPr="004B089E">
              <w:rPr>
                <w:rFonts w:eastAsia="Times New Roman"/>
                <w:b/>
                <w:bCs/>
                <w:sz w:val="16"/>
                <w:szCs w:val="16"/>
                <w:lang w:eastAsia="es-AR"/>
              </w:rPr>
              <w:t>Efecto ITF</w:t>
            </w:r>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p>
        </w:tc>
        <w:tc>
          <w:tcPr>
            <w:tcW w:w="778" w:type="dxa"/>
            <w:tcBorders>
              <w:top w:val="nil"/>
              <w:left w:val="nil"/>
              <w:bottom w:val="single" w:sz="4" w:space="0" w:color="000000"/>
              <w:right w:val="single" w:sz="4"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c>
          <w:tcPr>
            <w:tcW w:w="778" w:type="dxa"/>
            <w:tcBorders>
              <w:top w:val="nil"/>
              <w:left w:val="nil"/>
              <w:bottom w:val="single" w:sz="4" w:space="0" w:color="000000"/>
              <w:right w:val="single" w:sz="8" w:space="0" w:color="auto"/>
            </w:tcBorders>
            <w:shd w:val="clear" w:color="auto" w:fill="auto"/>
            <w:vAlign w:val="center"/>
            <w:hideMark/>
          </w:tcPr>
          <w:p w:rsidR="00433B67" w:rsidRPr="004B089E" w:rsidRDefault="00433B67" w:rsidP="006732CD">
            <w:pPr>
              <w:spacing w:after="0" w:line="240" w:lineRule="auto"/>
              <w:jc w:val="center"/>
              <w:rPr>
                <w:rFonts w:eastAsia="Times New Roman"/>
                <w:b/>
                <w:bCs/>
                <w:sz w:val="16"/>
                <w:szCs w:val="16"/>
                <w:lang w:eastAsia="es-AR"/>
              </w:rPr>
            </w:pPr>
            <w:proofErr w:type="spellStart"/>
            <w:r w:rsidRPr="004B089E">
              <w:rPr>
                <w:rFonts w:eastAsia="Times New Roman"/>
                <w:b/>
                <w:bCs/>
                <w:sz w:val="16"/>
                <w:szCs w:val="16"/>
                <w:lang w:eastAsia="es-AR"/>
              </w:rPr>
              <w:t>r</w:t>
            </w:r>
            <w:r w:rsidRPr="004B089E">
              <w:rPr>
                <w:rFonts w:eastAsia="Times New Roman"/>
                <w:b/>
                <w:bCs/>
                <w:sz w:val="16"/>
                <w:szCs w:val="16"/>
                <w:vertAlign w:val="subscript"/>
                <w:lang w:eastAsia="es-AR"/>
              </w:rPr>
              <w:t>NL</w:t>
            </w:r>
            <w:proofErr w:type="spellEnd"/>
            <w:r w:rsidRPr="004B089E">
              <w:rPr>
                <w:rFonts w:eastAsia="Times New Roman"/>
                <w:b/>
                <w:bCs/>
                <w:sz w:val="16"/>
                <w:szCs w:val="16"/>
                <w:lang w:eastAsia="es-AR"/>
              </w:rPr>
              <w:t>*</w:t>
            </w:r>
            <w:proofErr w:type="spellStart"/>
            <w:r w:rsidRPr="004B089E">
              <w:rPr>
                <w:rFonts w:eastAsia="Times New Roman"/>
                <w:b/>
                <w:bCs/>
                <w:sz w:val="16"/>
                <w:szCs w:val="16"/>
                <w:lang w:eastAsia="es-AR"/>
              </w:rPr>
              <w:t>p</w:t>
            </w:r>
            <w:r w:rsidRPr="004B089E">
              <w:rPr>
                <w:rFonts w:eastAsia="Times New Roman"/>
                <w:b/>
                <w:bCs/>
                <w:sz w:val="16"/>
                <w:szCs w:val="16"/>
                <w:vertAlign w:val="subscript"/>
                <w:lang w:eastAsia="es-AR"/>
              </w:rPr>
              <w:t>NL</w:t>
            </w:r>
            <w:proofErr w:type="spellEnd"/>
          </w:p>
        </w:tc>
      </w:tr>
      <w:tr w:rsidR="00433B67" w:rsidRPr="004B089E" w:rsidTr="00B71BA8">
        <w:trPr>
          <w:trHeight w:val="221"/>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-39,9%</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-47,6%</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17,0%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-9,5%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-8,9%</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23,4%</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-14,3%</w:t>
            </w:r>
          </w:p>
        </w:tc>
      </w:tr>
      <w:tr w:rsidR="00433B67" w:rsidRPr="004B089E" w:rsidTr="00B71BA8">
        <w:trPr>
          <w:trHeight w:val="221"/>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-34,0%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-44,5%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21,2%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-10,7%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-6,8%</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15,3%</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-8,5%</w:t>
            </w:r>
          </w:p>
        </w:tc>
      </w:tr>
      <w:tr w:rsidR="00433B67" w:rsidRPr="004B089E" w:rsidTr="00B71BA8">
        <w:trPr>
          <w:trHeight w:val="236"/>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-40,9%</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-38,5%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-2,4%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-7,1%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8,6%</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-3,8%</w:t>
            </w:r>
          </w:p>
        </w:tc>
      </w:tr>
      <w:tr w:rsidR="00433B67" w:rsidRPr="004B089E" w:rsidTr="00B71BA8">
        <w:trPr>
          <w:trHeight w:val="236"/>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-31,6%</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-12,1%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0,0%</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4,8%</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-1,5%</w:t>
            </w:r>
          </w:p>
        </w:tc>
      </w:tr>
      <w:tr w:rsidR="00433B67" w:rsidRPr="004B089E" w:rsidTr="00B71BA8">
        <w:trPr>
          <w:trHeight w:val="221"/>
        </w:trPr>
        <w:tc>
          <w:tcPr>
            <w:tcW w:w="1582" w:type="dxa"/>
            <w:tcBorders>
              <w:top w:val="nil"/>
              <w:left w:val="single" w:sz="8" w:space="0" w:color="auto"/>
              <w:bottom w:val="nil"/>
              <w:right w:val="single" w:sz="8" w:space="0" w:color="auto"/>
            </w:tcBorders>
            <w:shd w:val="clear" w:color="auto" w:fill="auto"/>
            <w:noWrap/>
            <w:vAlign w:val="bottom"/>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Quintil 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-40,3%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-39,1%</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-31,5%</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-11,7%</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4,2%</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color w:val="000000"/>
                <w:sz w:val="16"/>
                <w:szCs w:val="16"/>
                <w:lang w:eastAsia="es-AR"/>
              </w:rPr>
            </w:pPr>
            <w:r w:rsidRPr="004B089E">
              <w:rPr>
                <w:rFonts w:eastAsia="Times New Roman"/>
                <w:b/>
                <w:color w:val="000000"/>
                <w:sz w:val="16"/>
                <w:szCs w:val="16"/>
                <w:lang w:eastAsia="es-AR"/>
              </w:rPr>
              <w:t>-1,3%</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-3,4%</w:t>
            </w:r>
          </w:p>
        </w:tc>
        <w:tc>
          <w:tcPr>
            <w:tcW w:w="778" w:type="dxa"/>
            <w:tcBorders>
              <w:top w:val="nil"/>
              <w:left w:val="nil"/>
              <w:bottom w:val="nil"/>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3,0%</w:t>
            </w:r>
          </w:p>
        </w:tc>
        <w:tc>
          <w:tcPr>
            <w:tcW w:w="778" w:type="dxa"/>
            <w:tcBorders>
              <w:top w:val="nil"/>
              <w:left w:val="nil"/>
              <w:bottom w:val="nil"/>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color w:val="000000"/>
                <w:sz w:val="16"/>
                <w:szCs w:val="16"/>
                <w:lang w:eastAsia="es-AR"/>
              </w:rPr>
            </w:pPr>
            <w:r w:rsidRPr="004B089E">
              <w:rPr>
                <w:rFonts w:eastAsia="Times New Roman"/>
                <w:color w:val="000000"/>
                <w:sz w:val="16"/>
                <w:szCs w:val="16"/>
                <w:lang w:eastAsia="es-AR"/>
              </w:rPr>
              <w:t>-0,9%</w:t>
            </w:r>
          </w:p>
        </w:tc>
      </w:tr>
      <w:tr w:rsidR="00433B67" w:rsidRPr="004B089E" w:rsidTr="00B71BA8">
        <w:trPr>
          <w:trHeight w:val="236"/>
        </w:trPr>
        <w:tc>
          <w:tcPr>
            <w:tcW w:w="1582" w:type="dxa"/>
            <w:tcBorders>
              <w:top w:val="nil"/>
              <w:left w:val="single" w:sz="8" w:space="0" w:color="auto"/>
              <w:bottom w:val="single" w:sz="8" w:space="0" w:color="auto"/>
              <w:right w:val="single" w:sz="8" w:space="0" w:color="auto"/>
            </w:tcBorders>
            <w:shd w:val="clear" w:color="auto" w:fill="auto"/>
            <w:noWrap/>
            <w:hideMark/>
          </w:tcPr>
          <w:p w:rsidR="00433B67" w:rsidRPr="004B089E" w:rsidRDefault="00433B67" w:rsidP="006732CD">
            <w:pPr>
              <w:spacing w:after="0" w:line="240" w:lineRule="auto"/>
              <w:rPr>
                <w:rFonts w:eastAsia="Times New Roman"/>
                <w:color w:val="000000"/>
                <w:sz w:val="16"/>
                <w:szCs w:val="16"/>
                <w:lang w:eastAsia="es-AR"/>
              </w:rPr>
            </w:pPr>
            <w:r w:rsidRPr="004B089E">
              <w:rPr>
                <w:rFonts w:eastAsia="Times New Roman"/>
                <w:color w:val="000000"/>
                <w:sz w:val="16"/>
                <w:szCs w:val="16"/>
                <w:lang w:eastAsia="es-AR"/>
              </w:rPr>
              <w:t>Total</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-39,3%</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-38,4%</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-38,5%</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0,2%</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-0,1%</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-0,9%</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-5,8%</w:t>
            </w:r>
          </w:p>
        </w:tc>
        <w:tc>
          <w:tcPr>
            <w:tcW w:w="778" w:type="dxa"/>
            <w:tcBorders>
              <w:top w:val="nil"/>
              <w:left w:val="nil"/>
              <w:bottom w:val="single" w:sz="8" w:space="0" w:color="auto"/>
              <w:right w:val="single" w:sz="4"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9,2%</w:t>
            </w:r>
          </w:p>
        </w:tc>
        <w:tc>
          <w:tcPr>
            <w:tcW w:w="778" w:type="dxa"/>
            <w:tcBorders>
              <w:top w:val="nil"/>
              <w:left w:val="nil"/>
              <w:bottom w:val="single" w:sz="8" w:space="0" w:color="auto"/>
              <w:right w:val="single" w:sz="8" w:space="0" w:color="auto"/>
            </w:tcBorders>
            <w:shd w:val="clear" w:color="auto" w:fill="auto"/>
            <w:noWrap/>
            <w:vAlign w:val="bottom"/>
            <w:hideMark/>
          </w:tcPr>
          <w:p w:rsidR="00433B67" w:rsidRPr="004B089E" w:rsidRDefault="00433B67" w:rsidP="006732CD">
            <w:pPr>
              <w:spacing w:after="0" w:line="240" w:lineRule="auto"/>
              <w:jc w:val="center"/>
              <w:rPr>
                <w:rFonts w:eastAsia="Times New Roman"/>
                <w:b/>
                <w:bCs/>
                <w:color w:val="000000"/>
                <w:sz w:val="16"/>
                <w:szCs w:val="16"/>
                <w:lang w:eastAsia="es-AR"/>
              </w:rPr>
            </w:pPr>
            <w:r w:rsidRPr="004B089E">
              <w:rPr>
                <w:rFonts w:eastAsia="Times New Roman"/>
                <w:b/>
                <w:bCs/>
                <w:color w:val="000000"/>
                <w:sz w:val="16"/>
                <w:szCs w:val="16"/>
                <w:lang w:eastAsia="es-AR"/>
              </w:rPr>
              <w:t>-4,3%</w:t>
            </w:r>
          </w:p>
        </w:tc>
      </w:tr>
    </w:tbl>
    <w:p w:rsidR="00433B67" w:rsidRPr="003F7057" w:rsidRDefault="00433B67" w:rsidP="00433B67">
      <w:pPr>
        <w:tabs>
          <w:tab w:val="left" w:pos="4069"/>
        </w:tabs>
        <w:spacing w:after="0" w:line="240" w:lineRule="auto"/>
        <w:jc w:val="both"/>
        <w:rPr>
          <w:sz w:val="18"/>
          <w:szCs w:val="24"/>
        </w:rPr>
      </w:pPr>
      <w:r w:rsidRPr="003F7057">
        <w:rPr>
          <w:sz w:val="18"/>
          <w:szCs w:val="24"/>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sz w:val="24"/>
          <w:szCs w:val="24"/>
          <w:lang w:val="es-ES" w:eastAsia="es-AR"/>
        </w:rPr>
      </w:pPr>
      <w:r>
        <w:rPr>
          <w:rFonts w:eastAsia="Times New Roman"/>
          <w:sz w:val="24"/>
          <w:szCs w:val="24"/>
          <w:lang w:val="es-ES" w:eastAsia="es-AR"/>
        </w:rPr>
        <w:t xml:space="preserve">En particular, se redujo el ingreso medio por perceptor ocupado. En este contexto, fueron los hogares los que desplegaron un mayor esfuerzo económico para disponer de un mayor número de ocupados, lo que permitió compensar la dinámica regresiva del mercado de trabajo. Este proceso fue mucho más intenso entre los hogares de los quintiles inferiores, que debieron aumentar sensiblemente su número de ocupados promedio. En tanto, los ingresos no laborales cambiaron su fisonomía. Entre los quintiles más bajos, el aumento del número de perceptores no laborales pasó a jugar un papel crecientemente importante para garantizar el acceso al bienestar en un contexto adverso del mercado de trabajo. En cambio, el ingreso medio por perceptor de fuentes no laborales jugó un papel mucho menos relevante en la estructura socioeconómica. </w:t>
      </w:r>
    </w:p>
    <w:p w:rsidR="00433B67" w:rsidRDefault="00433B67" w:rsidP="00433B67">
      <w:pPr>
        <w:tabs>
          <w:tab w:val="left" w:pos="4069"/>
        </w:tabs>
        <w:spacing w:after="0" w:line="240" w:lineRule="auto"/>
        <w:jc w:val="both"/>
        <w:rPr>
          <w:rFonts w:eastAsia="Times New Roman"/>
          <w:b/>
          <w:sz w:val="24"/>
          <w:szCs w:val="24"/>
          <w:lang w:val="es-ES" w:eastAsia="es-AR"/>
        </w:rPr>
      </w:pPr>
    </w:p>
    <w:p w:rsidR="00433B67" w:rsidRPr="003F7057" w:rsidRDefault="00876E75" w:rsidP="00433B67">
      <w:pPr>
        <w:tabs>
          <w:tab w:val="left" w:pos="4069"/>
        </w:tabs>
        <w:spacing w:after="0" w:line="240" w:lineRule="auto"/>
        <w:jc w:val="center"/>
        <w:rPr>
          <w:rFonts w:eastAsia="Times New Roman"/>
          <w:b/>
          <w:sz w:val="24"/>
          <w:szCs w:val="24"/>
          <w:lang w:val="es-ES" w:eastAsia="es-AR"/>
        </w:rPr>
      </w:pPr>
      <w:r>
        <w:rPr>
          <w:rFonts w:eastAsia="Times New Roman"/>
          <w:b/>
          <w:sz w:val="24"/>
          <w:szCs w:val="24"/>
          <w:highlight w:val="green"/>
          <w:lang w:val="es-ES" w:eastAsia="es-AR"/>
        </w:rPr>
        <w:t>3</w:t>
      </w:r>
      <w:r w:rsidR="00433B67" w:rsidRPr="002831AB">
        <w:rPr>
          <w:rFonts w:eastAsia="Times New Roman"/>
          <w:b/>
          <w:sz w:val="24"/>
          <w:szCs w:val="24"/>
          <w:highlight w:val="green"/>
          <w:lang w:val="es-ES" w:eastAsia="es-AR"/>
        </w:rPr>
        <w:t>.- Heterogeneidad estructural, mercado de trabajo y política social: los cambios en la desigualdad y su explicación</w:t>
      </w:r>
    </w:p>
    <w:p w:rsidR="00433B67" w:rsidRPr="003F7057" w:rsidRDefault="00433B67" w:rsidP="00433B67">
      <w:pPr>
        <w:tabs>
          <w:tab w:val="left" w:pos="4069"/>
        </w:tabs>
        <w:spacing w:after="0" w:line="240" w:lineRule="auto"/>
        <w:jc w:val="both"/>
        <w:rPr>
          <w:rFonts w:eastAsia="Times New Roman"/>
          <w:szCs w:val="24"/>
          <w:lang w:val="es-ES" w:eastAsia="es-AR"/>
        </w:rPr>
      </w:pPr>
    </w:p>
    <w:p w:rsidR="00433B67" w:rsidRDefault="00B027AF" w:rsidP="00B027AF">
      <w:pPr>
        <w:tabs>
          <w:tab w:val="left" w:pos="4069"/>
        </w:tabs>
        <w:spacing w:after="0" w:line="240" w:lineRule="auto"/>
        <w:jc w:val="both"/>
        <w:rPr>
          <w:rFonts w:eastAsia="Times New Roman"/>
          <w:sz w:val="24"/>
          <w:szCs w:val="24"/>
          <w:lang w:val="es-ES" w:eastAsia="es-AR"/>
        </w:rPr>
      </w:pPr>
      <w:r w:rsidRPr="00B027AF">
        <w:rPr>
          <w:rFonts w:eastAsia="Times New Roman"/>
          <w:color w:val="FF0000"/>
          <w:sz w:val="24"/>
          <w:szCs w:val="24"/>
          <w:lang w:val="es-ES" w:eastAsia="es-AR"/>
        </w:rPr>
        <w:t>En la sección anterior</w:t>
      </w:r>
      <w:r w:rsidR="00433B67" w:rsidRPr="00B027AF">
        <w:rPr>
          <w:rFonts w:eastAsia="Times New Roman"/>
          <w:color w:val="FF0000"/>
          <w:sz w:val="24"/>
          <w:szCs w:val="24"/>
          <w:lang w:val="es-ES" w:eastAsia="es-AR"/>
        </w:rPr>
        <w:t xml:space="preserve"> </w:t>
      </w:r>
      <w:r w:rsidRPr="00B027AF">
        <w:rPr>
          <w:rFonts w:eastAsia="Times New Roman"/>
          <w:color w:val="FF0000"/>
          <w:sz w:val="24"/>
          <w:szCs w:val="24"/>
          <w:lang w:val="es-ES" w:eastAsia="es-AR"/>
        </w:rPr>
        <w:t>se evaluaron los cambios ocurridos</w:t>
      </w:r>
      <w:r>
        <w:rPr>
          <w:rFonts w:eastAsia="Times New Roman"/>
          <w:color w:val="FF0000"/>
          <w:sz w:val="24"/>
          <w:szCs w:val="24"/>
          <w:lang w:val="es-ES" w:eastAsia="es-AR"/>
        </w:rPr>
        <w:t xml:space="preserve"> en el ingreso familiar </w:t>
      </w:r>
      <w:r w:rsidRPr="00B027AF">
        <w:rPr>
          <w:rFonts w:eastAsia="Times New Roman"/>
          <w:color w:val="FF0000"/>
          <w:sz w:val="24"/>
          <w:szCs w:val="24"/>
          <w:lang w:val="es-ES" w:eastAsia="es-AR"/>
        </w:rPr>
        <w:t xml:space="preserve">medio de los hogares del Gran Buenos Aires, considerando de modo articulado tanto el esfuerzo desplegado por los hogares como las retribuciones de mercado, de </w:t>
      </w:r>
      <w:r w:rsidRPr="00B027AF">
        <w:rPr>
          <w:rFonts w:eastAsia="Times New Roman"/>
          <w:color w:val="FF0000"/>
          <w:sz w:val="24"/>
          <w:szCs w:val="24"/>
          <w:lang w:val="es-ES" w:eastAsia="es-AR"/>
        </w:rPr>
        <w:lastRenderedPageBreak/>
        <w:t xml:space="preserve">transferencias estatales y de otras fuentes no laborales obtenidas por las unidades domésticas. </w:t>
      </w:r>
      <w:r w:rsidRPr="00E61D05">
        <w:rPr>
          <w:rFonts w:eastAsia="Times New Roman"/>
          <w:color w:val="000000" w:themeColor="text1"/>
          <w:sz w:val="24"/>
          <w:szCs w:val="24"/>
          <w:lang w:val="es-ES" w:eastAsia="es-AR"/>
        </w:rPr>
        <w:t>De este modo, desde la perspectiva propuesta</w:t>
      </w:r>
      <w:r w:rsidR="00433B67" w:rsidRPr="00E61D05">
        <w:rPr>
          <w:color w:val="000000" w:themeColor="text1"/>
          <w:sz w:val="24"/>
          <w:szCs w:val="24"/>
        </w:rPr>
        <w:t xml:space="preserve">, </w:t>
      </w:r>
      <w:r w:rsidR="00433B67" w:rsidRPr="003F7057">
        <w:rPr>
          <w:sz w:val="24"/>
          <w:szCs w:val="24"/>
        </w:rPr>
        <w:t>se analizó lo ocurrido con los ingresos por perceptor, por perceptor laboral y no laboral, así como en el número de perceptores de estas fuentes.</w:t>
      </w:r>
      <w:r>
        <w:rPr>
          <w:rFonts w:eastAsia="Times New Roman"/>
          <w:sz w:val="24"/>
          <w:szCs w:val="24"/>
          <w:lang w:val="es-ES" w:eastAsia="es-AR"/>
        </w:rPr>
        <w:t xml:space="preserve"> </w:t>
      </w:r>
      <w:r w:rsidR="00433B67" w:rsidRPr="003F7057">
        <w:rPr>
          <w:rFonts w:eastAsia="Times New Roman"/>
          <w:sz w:val="24"/>
          <w:szCs w:val="24"/>
          <w:lang w:val="es-ES" w:eastAsia="es-AR"/>
        </w:rPr>
        <w:t xml:space="preserve">El desarrollo hizo hincapié en las </w:t>
      </w:r>
      <w:r w:rsidR="00433B67">
        <w:rPr>
          <w:rFonts w:eastAsia="Times New Roman"/>
          <w:sz w:val="24"/>
          <w:szCs w:val="24"/>
          <w:lang w:val="es-ES" w:eastAsia="es-AR"/>
        </w:rPr>
        <w:t>diferentes</w:t>
      </w:r>
      <w:r w:rsidR="00433B67" w:rsidRPr="003F7057">
        <w:rPr>
          <w:rFonts w:eastAsia="Times New Roman"/>
          <w:sz w:val="24"/>
          <w:szCs w:val="24"/>
          <w:lang w:val="es-ES" w:eastAsia="es-AR"/>
        </w:rPr>
        <w:t xml:space="preserve"> tendencias ocurridas al interior de la estructura </w:t>
      </w:r>
      <w:proofErr w:type="spellStart"/>
      <w:r w:rsidR="00433B67" w:rsidRPr="003F7057">
        <w:rPr>
          <w:rFonts w:eastAsia="Times New Roman"/>
          <w:sz w:val="24"/>
          <w:szCs w:val="24"/>
          <w:lang w:val="es-ES" w:eastAsia="es-AR"/>
        </w:rPr>
        <w:t>quintílica</w:t>
      </w:r>
      <w:proofErr w:type="spellEnd"/>
      <w:r w:rsidR="00433B67">
        <w:rPr>
          <w:rFonts w:eastAsia="Times New Roman"/>
          <w:sz w:val="24"/>
          <w:szCs w:val="24"/>
          <w:lang w:val="es-ES" w:eastAsia="es-AR"/>
        </w:rPr>
        <w:t xml:space="preserve"> y, por lo tanto, permitió ofrecer </w:t>
      </w:r>
      <w:r w:rsidR="00433B67" w:rsidRPr="003F7057">
        <w:rPr>
          <w:rFonts w:eastAsia="Times New Roman"/>
          <w:sz w:val="24"/>
          <w:szCs w:val="24"/>
          <w:lang w:val="es-ES" w:eastAsia="es-AR"/>
        </w:rPr>
        <w:t xml:space="preserve">un marco de análisis para evaluar los distintos factores que incidieron en la desigualdad distributiva. </w:t>
      </w:r>
    </w:p>
    <w:p w:rsidR="00AE5564" w:rsidRDefault="00AE5564" w:rsidP="00B027AF">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sz w:val="24"/>
          <w:szCs w:val="24"/>
          <w:lang w:val="es-ES" w:eastAsia="es-AR"/>
        </w:rPr>
      </w:pPr>
      <w:r w:rsidRPr="002831AB">
        <w:rPr>
          <w:rFonts w:eastAsia="Times New Roman"/>
          <w:b/>
          <w:sz w:val="24"/>
          <w:szCs w:val="24"/>
          <w:lang w:val="es-ES" w:eastAsia="es-AR"/>
        </w:rPr>
        <w:t>Gráfica 1. Coeficiente de Gini del ingreso total familiar, del ingreso laboral y no laboral</w:t>
      </w:r>
      <w:r w:rsidRPr="002831AB">
        <w:rPr>
          <w:rFonts w:eastAsia="Times New Roman"/>
          <w:b/>
          <w:sz w:val="24"/>
          <w:szCs w:val="24"/>
          <w:vertAlign w:val="superscript"/>
          <w:lang w:val="es-ES" w:eastAsia="es-AR"/>
        </w:rPr>
        <w:t>1</w:t>
      </w:r>
      <w:r w:rsidRPr="002831AB">
        <w:rPr>
          <w:rFonts w:eastAsia="Times New Roman"/>
          <w:b/>
          <w:sz w:val="24"/>
          <w:szCs w:val="24"/>
          <w:lang w:val="es-ES" w:eastAsia="es-AR"/>
        </w:rPr>
        <w:t>. Gran Buenos Aires, 1974-2014.</w:t>
      </w:r>
    </w:p>
    <w:p w:rsidR="00B71BA8" w:rsidRPr="002831AB" w:rsidRDefault="00B71BA8" w:rsidP="00433B67">
      <w:pPr>
        <w:tabs>
          <w:tab w:val="left" w:pos="4069"/>
        </w:tabs>
        <w:spacing w:after="0" w:line="240" w:lineRule="auto"/>
        <w:jc w:val="both"/>
        <w:rPr>
          <w:rFonts w:eastAsia="Times New Roman"/>
          <w:b/>
          <w:sz w:val="24"/>
          <w:szCs w:val="24"/>
          <w:lang w:val="es-ES" w:eastAsia="es-AR"/>
        </w:rPr>
      </w:pPr>
    </w:p>
    <w:p w:rsidR="00433B67" w:rsidRPr="008E1061" w:rsidRDefault="00433B67" w:rsidP="00B71BA8">
      <w:pPr>
        <w:tabs>
          <w:tab w:val="left" w:pos="4069"/>
        </w:tabs>
        <w:spacing w:after="120" w:line="240" w:lineRule="auto"/>
        <w:jc w:val="center"/>
        <w:rPr>
          <w:rFonts w:eastAsia="Times New Roman"/>
          <w:sz w:val="24"/>
          <w:szCs w:val="24"/>
          <w:lang w:val="es-ES" w:eastAsia="es-AR"/>
        </w:rPr>
      </w:pPr>
      <w:r>
        <w:rPr>
          <w:rFonts w:eastAsia="Times New Roman"/>
          <w:noProof/>
          <w:sz w:val="24"/>
          <w:szCs w:val="24"/>
          <w:lang w:eastAsia="es-AR"/>
        </w:rPr>
        <w:drawing>
          <wp:inline distT="0" distB="0" distL="0" distR="0">
            <wp:extent cx="4947310" cy="2179254"/>
            <wp:effectExtent l="19050" t="0" r="56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324"/>
                    <a:stretch>
                      <a:fillRect/>
                    </a:stretch>
                  </pic:blipFill>
                  <pic:spPr bwMode="auto">
                    <a:xfrm>
                      <a:off x="0" y="0"/>
                      <a:ext cx="4949332" cy="2180145"/>
                    </a:xfrm>
                    <a:prstGeom prst="rect">
                      <a:avLst/>
                    </a:prstGeom>
                    <a:noFill/>
                  </pic:spPr>
                </pic:pic>
              </a:graphicData>
            </a:graphic>
          </wp:inline>
        </w:drawing>
      </w:r>
    </w:p>
    <w:p w:rsidR="00433B67" w:rsidRPr="008E1061" w:rsidRDefault="00433B67" w:rsidP="00433B67">
      <w:pPr>
        <w:spacing w:after="0" w:line="240" w:lineRule="auto"/>
        <w:jc w:val="both"/>
        <w:rPr>
          <w:sz w:val="18"/>
          <w:szCs w:val="24"/>
        </w:rPr>
      </w:pPr>
      <w:r w:rsidRPr="008E1061">
        <w:rPr>
          <w:sz w:val="18"/>
          <w:szCs w:val="24"/>
          <w:vertAlign w:val="superscript"/>
        </w:rPr>
        <w:t xml:space="preserve">1 </w:t>
      </w:r>
      <w:r w:rsidRPr="008E1061">
        <w:rPr>
          <w:sz w:val="18"/>
          <w:szCs w:val="24"/>
        </w:rPr>
        <w:t xml:space="preserve">Siguiendo el criterio señalado en la sección previa, los ingresos laborales </w:t>
      </w:r>
      <w:r w:rsidR="00B71BA8">
        <w:rPr>
          <w:sz w:val="18"/>
          <w:szCs w:val="24"/>
        </w:rPr>
        <w:t xml:space="preserve">aquí </w:t>
      </w:r>
      <w:r w:rsidRPr="008E1061">
        <w:rPr>
          <w:sz w:val="18"/>
          <w:szCs w:val="24"/>
        </w:rPr>
        <w:t xml:space="preserve">considerados son netos de planes sociales de empleo. Mientras que, por el contrario, los ingresos no laborales incluyen dichos planes de empleo. </w:t>
      </w:r>
    </w:p>
    <w:p w:rsidR="00433B67" w:rsidRPr="008E1061" w:rsidRDefault="00433B67" w:rsidP="00433B67">
      <w:pPr>
        <w:spacing w:after="120" w:line="240" w:lineRule="auto"/>
        <w:jc w:val="both"/>
        <w:rPr>
          <w:sz w:val="18"/>
          <w:szCs w:val="24"/>
        </w:rPr>
      </w:pPr>
      <w:r w:rsidRPr="008E1061">
        <w:rPr>
          <w:sz w:val="18"/>
          <w:szCs w:val="24"/>
        </w:rPr>
        <w:t>Fuente: Elaboración propia en base a microdatos de la EPH-INDEC para los períodos indicados. Disponibles en: &lt;www.indec.gov.ar&gt;</w:t>
      </w:r>
    </w:p>
    <w:p w:rsidR="00B71BA8" w:rsidRDefault="00B71BA8" w:rsidP="00433B67">
      <w:pPr>
        <w:tabs>
          <w:tab w:val="left" w:pos="4069"/>
        </w:tabs>
        <w:spacing w:after="120" w:line="240" w:lineRule="auto"/>
        <w:jc w:val="both"/>
        <w:rPr>
          <w:rFonts w:eastAsia="Times New Roman"/>
          <w:sz w:val="24"/>
          <w:szCs w:val="24"/>
          <w:lang w:val="es-ES" w:eastAsia="es-AR"/>
        </w:rPr>
      </w:pPr>
    </w:p>
    <w:p w:rsidR="00433B67" w:rsidRDefault="00433B67" w:rsidP="00433B67">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t xml:space="preserve">Una primera aproximación al rol que jugaron los ingresos laborales y no laborales en la desigualdad surge de examinar los coeficientes de concentración de Gini de cada una de dichas fuentes (Gráfica 1). Por su predominancia en los presupuestos familiares, lo sucedido con los ingresos laborales resultó central para la evolución de la desigualdad general. En correspondencia con los hallazgos de otros estudios (Cruces y </w:t>
      </w:r>
      <w:proofErr w:type="spellStart"/>
      <w:r>
        <w:rPr>
          <w:rFonts w:eastAsia="Times New Roman"/>
          <w:sz w:val="24"/>
          <w:szCs w:val="24"/>
          <w:lang w:val="es-ES" w:eastAsia="es-AR"/>
        </w:rPr>
        <w:t>Gasparini</w:t>
      </w:r>
      <w:proofErr w:type="spellEnd"/>
      <w:r>
        <w:rPr>
          <w:rFonts w:eastAsia="Times New Roman"/>
          <w:sz w:val="24"/>
          <w:szCs w:val="24"/>
          <w:lang w:val="es-ES" w:eastAsia="es-AR"/>
        </w:rPr>
        <w:t xml:space="preserve">, 2009; </w:t>
      </w:r>
      <w:proofErr w:type="spellStart"/>
      <w:r w:rsidRPr="00B82DA9">
        <w:rPr>
          <w:rFonts w:eastAsia="Times New Roman"/>
          <w:sz w:val="24"/>
          <w:szCs w:val="24"/>
          <w:highlight w:val="green"/>
          <w:lang w:val="es-ES" w:eastAsia="es-AR"/>
        </w:rPr>
        <w:t>Judzkik</w:t>
      </w:r>
      <w:proofErr w:type="spellEnd"/>
      <w:r w:rsidRPr="00B82DA9">
        <w:rPr>
          <w:rFonts w:eastAsia="Times New Roman"/>
          <w:sz w:val="24"/>
          <w:szCs w:val="24"/>
          <w:highlight w:val="green"/>
          <w:lang w:val="es-ES" w:eastAsia="es-AR"/>
        </w:rPr>
        <w:t>, Trujillo y Villafañe, 2017</w:t>
      </w:r>
      <w:r>
        <w:rPr>
          <w:rFonts w:eastAsia="Times New Roman"/>
          <w:sz w:val="24"/>
          <w:szCs w:val="24"/>
          <w:lang w:val="es-ES" w:eastAsia="es-AR"/>
        </w:rPr>
        <w:t>), se observa que la desigualdad de ingresos laborales tendió a crecer a partir de mediados de los setenta y, especialmente, en los años noventa. En contraste, la desigualdad de ingresos laborales se redujo en los años post-reformas estructurales. La desigualdad de ingresos no laborales tuvo una tendencia diferente: también se incrementó a partir de los años setenta, pero los niveles de inequidad en esta fuente se estabilizaron a partir de los años noventa y no hubo cambios significativos en el plano agregado que traduce esta medida sintética</w:t>
      </w:r>
      <w:r w:rsidRPr="001D28B2">
        <w:rPr>
          <w:rStyle w:val="Refdenotaalpie"/>
          <w:sz w:val="24"/>
          <w:szCs w:val="24"/>
          <w:highlight w:val="yellow"/>
        </w:rPr>
        <w:footnoteReference w:id="4"/>
      </w:r>
      <w:r>
        <w:rPr>
          <w:rFonts w:eastAsia="Times New Roman"/>
          <w:sz w:val="24"/>
          <w:szCs w:val="24"/>
          <w:lang w:val="es-ES" w:eastAsia="es-AR"/>
        </w:rPr>
        <w:t xml:space="preserve">. </w:t>
      </w:r>
    </w:p>
    <w:p w:rsidR="00433B67" w:rsidRPr="001440DC" w:rsidRDefault="00433B67" w:rsidP="00433B67">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lastRenderedPageBreak/>
        <w:t xml:space="preserve">En este punto, la introducción de un modelo de descomposición del cambio del coeficiente de Gini </w:t>
      </w:r>
      <w:r w:rsidR="00B71BA8">
        <w:rPr>
          <w:rFonts w:eastAsia="Times New Roman"/>
          <w:sz w:val="24"/>
          <w:szCs w:val="24"/>
          <w:lang w:val="es-ES" w:eastAsia="es-AR"/>
        </w:rPr>
        <w:t xml:space="preserve">ofrece </w:t>
      </w:r>
      <w:r>
        <w:rPr>
          <w:rFonts w:eastAsia="Times New Roman"/>
          <w:sz w:val="24"/>
          <w:szCs w:val="24"/>
          <w:lang w:val="es-ES" w:eastAsia="es-AR"/>
        </w:rPr>
        <w:t xml:space="preserve">elementos relevantes para entender cuáles fueron los procesos socioeconómicos –tanto laborales como referidos a la intervención social del Estado– que operaron detrás de las tendencias agregadas de la desigualdad e hicieron variar el patrón distributivo del ingreso familiar. El análisis se enriquece si, </w:t>
      </w:r>
      <w:r w:rsidRPr="001440DC">
        <w:rPr>
          <w:sz w:val="24"/>
          <w:szCs w:val="24"/>
          <w:highlight w:val="green"/>
        </w:rPr>
        <w:t xml:space="preserve">además de la desagregación empleada en la sección anterior entre ingresos laborales y no laborales, se busca una mayor especificación al interior de este tipo de fuentes. Retomando el planteo sobre la heterogeneidad estructural del sistema socio-ocupacional como elemento determinante de la distribución del ingreso –tal como se planteó en la Introducción y en el Capítulo 1 de este libro–, se distingue, dentro de los ingresos laborales, entre aquellos provenientes de ocupaciones en el </w:t>
      </w:r>
      <w:r w:rsidRPr="002831AB">
        <w:rPr>
          <w:i/>
          <w:sz w:val="24"/>
          <w:szCs w:val="24"/>
          <w:highlight w:val="green"/>
        </w:rPr>
        <w:t>sector formal público y privado</w:t>
      </w:r>
      <w:r w:rsidRPr="001440DC">
        <w:rPr>
          <w:sz w:val="24"/>
          <w:szCs w:val="24"/>
          <w:highlight w:val="green"/>
        </w:rPr>
        <w:t xml:space="preserve"> y del </w:t>
      </w:r>
      <w:r w:rsidRPr="002831AB">
        <w:rPr>
          <w:i/>
          <w:sz w:val="24"/>
          <w:szCs w:val="24"/>
          <w:highlight w:val="green"/>
        </w:rPr>
        <w:t>sector microempresario/informal</w:t>
      </w:r>
      <w:r w:rsidRPr="001440DC">
        <w:rPr>
          <w:sz w:val="24"/>
          <w:szCs w:val="24"/>
          <w:highlight w:val="green"/>
        </w:rPr>
        <w:t xml:space="preserve">. En segundo lugar, dentro de los ingresos no laborales, se diferencia entre los recursos monetarios provenientes de </w:t>
      </w:r>
      <w:r w:rsidRPr="002831AB">
        <w:rPr>
          <w:i/>
          <w:sz w:val="24"/>
          <w:szCs w:val="24"/>
          <w:highlight w:val="green"/>
        </w:rPr>
        <w:t>políticas sociales y sistema jubilatorio</w:t>
      </w:r>
      <w:r w:rsidRPr="001440DC">
        <w:rPr>
          <w:sz w:val="24"/>
          <w:szCs w:val="24"/>
          <w:highlight w:val="green"/>
        </w:rPr>
        <w:t xml:space="preserve"> y aquellos provenientes de </w:t>
      </w:r>
      <w:r w:rsidRPr="002831AB">
        <w:rPr>
          <w:i/>
          <w:sz w:val="24"/>
          <w:szCs w:val="24"/>
          <w:highlight w:val="green"/>
        </w:rPr>
        <w:t xml:space="preserve">otras fuentes no laborales </w:t>
      </w:r>
      <w:r w:rsidRPr="001440DC">
        <w:rPr>
          <w:sz w:val="24"/>
          <w:szCs w:val="24"/>
          <w:highlight w:val="green"/>
        </w:rPr>
        <w:t>(transferencias entre privados, rentas y utilidades, entre otros).</w:t>
      </w:r>
      <w:r w:rsidRPr="003F7057">
        <w:rPr>
          <w:sz w:val="24"/>
          <w:szCs w:val="24"/>
        </w:rPr>
        <w:t xml:space="preserve"> </w:t>
      </w:r>
      <w:r w:rsidRPr="001440DC">
        <w:rPr>
          <w:rFonts w:eastAsia="Times New Roman"/>
          <w:sz w:val="24"/>
          <w:szCs w:val="24"/>
          <w:lang w:val="es-ES" w:eastAsia="es-AR"/>
        </w:rPr>
        <w:t xml:space="preserve">Para responder a estos interrogantes, </w:t>
      </w:r>
      <w:r w:rsidRPr="001440DC">
        <w:rPr>
          <w:rFonts w:eastAsia="Times New Roman"/>
          <w:sz w:val="24"/>
          <w:szCs w:val="24"/>
          <w:lang w:val="es-ES" w:eastAsia="es-ES"/>
        </w:rPr>
        <w:t xml:space="preserve">se retoma el método descomposición del coeficiente de Gini desarrollado por </w:t>
      </w:r>
      <w:proofErr w:type="spellStart"/>
      <w:r w:rsidRPr="001440DC">
        <w:rPr>
          <w:rFonts w:eastAsia="Times New Roman"/>
          <w:sz w:val="24"/>
          <w:szCs w:val="24"/>
          <w:lang w:val="es-ES" w:eastAsia="es-ES"/>
        </w:rPr>
        <w:t>Leibbrandt</w:t>
      </w:r>
      <w:proofErr w:type="spellEnd"/>
      <w:r w:rsidRPr="001440DC">
        <w:rPr>
          <w:rFonts w:eastAsia="Times New Roman"/>
          <w:sz w:val="24"/>
          <w:szCs w:val="24"/>
          <w:lang w:val="es-ES" w:eastAsia="es-ES"/>
        </w:rPr>
        <w:t xml:space="preserve">, </w:t>
      </w:r>
      <w:proofErr w:type="spellStart"/>
      <w:r w:rsidRPr="001440DC">
        <w:rPr>
          <w:rFonts w:eastAsia="Times New Roman"/>
          <w:sz w:val="24"/>
          <w:szCs w:val="24"/>
          <w:lang w:val="es-ES" w:eastAsia="es-ES"/>
        </w:rPr>
        <w:t>Woolard</w:t>
      </w:r>
      <w:proofErr w:type="spellEnd"/>
      <w:r w:rsidRPr="001440DC">
        <w:rPr>
          <w:rFonts w:eastAsia="Times New Roman"/>
          <w:sz w:val="24"/>
          <w:szCs w:val="24"/>
          <w:lang w:val="es-ES" w:eastAsia="es-ES"/>
        </w:rPr>
        <w:t xml:space="preserve"> y </w:t>
      </w:r>
      <w:proofErr w:type="spellStart"/>
      <w:r w:rsidRPr="001440DC">
        <w:rPr>
          <w:rFonts w:eastAsia="Times New Roman"/>
          <w:sz w:val="24"/>
          <w:szCs w:val="24"/>
          <w:lang w:val="es-ES" w:eastAsia="es-ES"/>
        </w:rPr>
        <w:t>Woolard</w:t>
      </w:r>
      <w:proofErr w:type="spellEnd"/>
      <w:r w:rsidRPr="001440DC">
        <w:rPr>
          <w:rFonts w:eastAsia="Times New Roman"/>
          <w:sz w:val="24"/>
          <w:szCs w:val="24"/>
          <w:lang w:val="es-ES" w:eastAsia="es-ES"/>
        </w:rPr>
        <w:t xml:space="preserve"> (1996)</w:t>
      </w:r>
      <w:r w:rsidRPr="001440DC">
        <w:rPr>
          <w:rFonts w:eastAsia="Times New Roman"/>
          <w:sz w:val="24"/>
          <w:szCs w:val="24"/>
          <w:vertAlign w:val="superscript"/>
          <w:lang w:val="es-ES" w:eastAsia="es-ES"/>
        </w:rPr>
        <w:footnoteReference w:id="5"/>
      </w:r>
      <w:r w:rsidRPr="001440DC">
        <w:rPr>
          <w:rFonts w:eastAsia="Times New Roman"/>
          <w:sz w:val="24"/>
          <w:szCs w:val="24"/>
          <w:lang w:val="es-ES" w:eastAsia="es-ES"/>
        </w:rPr>
        <w:t xml:space="preserve">. </w:t>
      </w:r>
    </w:p>
    <w:p w:rsidR="00433B67" w:rsidRPr="003F7057" w:rsidRDefault="00433B67" w:rsidP="00433B67">
      <w:pPr>
        <w:tabs>
          <w:tab w:val="left" w:pos="4069"/>
        </w:tabs>
        <w:spacing w:line="240" w:lineRule="auto"/>
        <w:jc w:val="both"/>
        <w:rPr>
          <w:rFonts w:eastAsia="Times New Roman"/>
          <w:sz w:val="24"/>
          <w:szCs w:val="24"/>
          <w:lang w:val="es-ES" w:eastAsia="es-ES"/>
        </w:rPr>
      </w:pPr>
      <w:r w:rsidRPr="003F7057">
        <w:rPr>
          <w:rFonts w:eastAsia="Times New Roman"/>
          <w:sz w:val="24"/>
          <w:szCs w:val="24"/>
          <w:lang w:val="es-ES" w:eastAsia="es-ES"/>
        </w:rPr>
        <w:t xml:space="preserve">El método propuesto permite especificar el aporte que realizan diferentes fuentes de ingreso en el nivel de desigualdad total, así como también los comportamientos subyacentes que intervinieron en los cambios del patrón distributivo. El aporte que una determinada fuente de ingreso </w:t>
      </w:r>
      <w:r w:rsidRPr="003F7057">
        <w:rPr>
          <w:rFonts w:eastAsia="Times New Roman"/>
          <w:i/>
          <w:sz w:val="24"/>
          <w:szCs w:val="24"/>
          <w:lang w:val="es-ES" w:eastAsia="es-ES"/>
        </w:rPr>
        <w:t xml:space="preserve">k, </w:t>
      </w:r>
      <w:r w:rsidRPr="003F7057">
        <w:rPr>
          <w:rFonts w:eastAsia="Times New Roman"/>
          <w:sz w:val="24"/>
          <w:szCs w:val="24"/>
          <w:lang w:val="es-ES" w:eastAsia="es-ES"/>
        </w:rPr>
        <w:t xml:space="preserve">en un tiempo </w:t>
      </w:r>
      <w:r w:rsidRPr="003F7057">
        <w:rPr>
          <w:rFonts w:eastAsia="Times New Roman"/>
          <w:i/>
          <w:sz w:val="24"/>
          <w:szCs w:val="24"/>
          <w:lang w:val="es-ES" w:eastAsia="es-ES"/>
        </w:rPr>
        <w:t>t</w:t>
      </w:r>
      <w:r w:rsidRPr="003F7057">
        <w:rPr>
          <w:rFonts w:eastAsia="Times New Roman"/>
          <w:sz w:val="24"/>
          <w:szCs w:val="24"/>
          <w:lang w:val="es-ES" w:eastAsia="es-ES"/>
        </w:rPr>
        <w:t>, haga a la desigualdad general habrá de depender no sólo de cuánto participe ese tipo de ingreso en el ingreso total (</w:t>
      </w:r>
      <w:proofErr w:type="spellStart"/>
      <w:r w:rsidRPr="003F7057">
        <w:rPr>
          <w:rFonts w:eastAsia="Times New Roman"/>
          <w:sz w:val="24"/>
          <w:szCs w:val="24"/>
          <w:lang w:val="es-ES" w:eastAsia="es-ES"/>
        </w:rPr>
        <w:t>S</w:t>
      </w:r>
      <w:r w:rsidRPr="003F7057">
        <w:rPr>
          <w:rFonts w:eastAsia="Times New Roman"/>
          <w:sz w:val="24"/>
          <w:szCs w:val="24"/>
          <w:vertAlign w:val="subscript"/>
          <w:lang w:val="es-ES" w:eastAsia="es-ES"/>
        </w:rPr>
        <w:t>k</w:t>
      </w:r>
      <w:proofErr w:type="gramStart"/>
      <w:r w:rsidRPr="003F7057">
        <w:rPr>
          <w:rFonts w:eastAsia="Times New Roman"/>
          <w:sz w:val="24"/>
          <w:szCs w:val="24"/>
          <w:vertAlign w:val="subscript"/>
          <w:lang w:val="es-ES" w:eastAsia="es-ES"/>
        </w:rPr>
        <w:t>,t</w:t>
      </w:r>
      <w:proofErr w:type="spellEnd"/>
      <w:proofErr w:type="gramEnd"/>
      <w:r w:rsidRPr="003F7057">
        <w:rPr>
          <w:rFonts w:eastAsia="Times New Roman"/>
          <w:sz w:val="24"/>
          <w:szCs w:val="24"/>
          <w:lang w:val="es-ES" w:eastAsia="es-ES"/>
        </w:rPr>
        <w:t>), sino también de cuán desigual sea la distribución del ingreso de esa fuente (</w:t>
      </w:r>
      <w:proofErr w:type="spellStart"/>
      <w:r w:rsidRPr="003F7057">
        <w:rPr>
          <w:rFonts w:eastAsia="Times New Roman"/>
          <w:sz w:val="24"/>
          <w:szCs w:val="24"/>
          <w:lang w:val="es-ES" w:eastAsia="es-ES"/>
        </w:rPr>
        <w:t>G</w:t>
      </w:r>
      <w:r w:rsidRPr="003F7057">
        <w:rPr>
          <w:rFonts w:eastAsia="Times New Roman"/>
          <w:sz w:val="24"/>
          <w:szCs w:val="24"/>
          <w:vertAlign w:val="subscript"/>
          <w:lang w:val="es-ES" w:eastAsia="es-ES"/>
        </w:rPr>
        <w:t>k,t</w:t>
      </w:r>
      <w:proofErr w:type="spellEnd"/>
      <w:r w:rsidRPr="003F7057">
        <w:rPr>
          <w:rFonts w:eastAsia="Times New Roman"/>
          <w:sz w:val="24"/>
          <w:szCs w:val="24"/>
          <w:lang w:val="es-ES" w:eastAsia="es-ES"/>
        </w:rPr>
        <w:t>), y, por último, cuánto el ingreso generado en esa fuente se correlaciona ordinalmente con la posición relativa del hogar en la distribución general (</w:t>
      </w:r>
      <w:proofErr w:type="spellStart"/>
      <w:r w:rsidRPr="003F7057">
        <w:rPr>
          <w:rFonts w:eastAsia="Times New Roman"/>
          <w:sz w:val="24"/>
          <w:szCs w:val="24"/>
          <w:lang w:val="es-ES" w:eastAsia="es-ES"/>
        </w:rPr>
        <w:t>R</w:t>
      </w:r>
      <w:r w:rsidRPr="003F7057">
        <w:rPr>
          <w:rFonts w:eastAsia="Times New Roman"/>
          <w:sz w:val="24"/>
          <w:szCs w:val="24"/>
          <w:vertAlign w:val="subscript"/>
          <w:lang w:val="es-ES" w:eastAsia="es-ES"/>
        </w:rPr>
        <w:t>k,t</w:t>
      </w:r>
      <w:proofErr w:type="spellEnd"/>
      <w:r w:rsidRPr="003F7057">
        <w:rPr>
          <w:rFonts w:eastAsia="Times New Roman"/>
          <w:sz w:val="24"/>
          <w:szCs w:val="24"/>
          <w:lang w:val="es-ES" w:eastAsia="es-ES"/>
        </w:rPr>
        <w:t>)</w:t>
      </w:r>
      <w:r w:rsidRPr="003F7057">
        <w:rPr>
          <w:rFonts w:eastAsia="Times New Roman"/>
          <w:sz w:val="24"/>
          <w:szCs w:val="24"/>
          <w:vertAlign w:val="superscript"/>
          <w:lang w:val="es-ES" w:eastAsia="es-ES"/>
        </w:rPr>
        <w:footnoteReference w:id="6"/>
      </w:r>
      <w:r w:rsidRPr="003F7057">
        <w:rPr>
          <w:rFonts w:eastAsia="Times New Roman"/>
          <w:sz w:val="24"/>
          <w:szCs w:val="24"/>
          <w:lang w:val="es-ES" w:eastAsia="es-ES"/>
        </w:rPr>
        <w:t xml:space="preserve">. En el primer componente, una concentración más </w:t>
      </w:r>
      <w:r w:rsidRPr="003F7057">
        <w:rPr>
          <w:rFonts w:eastAsia="Times New Roman"/>
          <w:i/>
          <w:sz w:val="24"/>
          <w:szCs w:val="24"/>
          <w:lang w:val="es-ES" w:eastAsia="es-ES"/>
        </w:rPr>
        <w:t>alta / baja</w:t>
      </w:r>
      <w:r w:rsidRPr="003F7057">
        <w:rPr>
          <w:rFonts w:eastAsia="Times New Roman"/>
          <w:sz w:val="24"/>
          <w:szCs w:val="24"/>
          <w:lang w:val="es-ES" w:eastAsia="es-ES"/>
        </w:rPr>
        <w:t xml:space="preserve">  del ingreso en una fuente de ingreso habrá de favorecer una </w:t>
      </w:r>
      <w:r w:rsidRPr="003F7057">
        <w:rPr>
          <w:rFonts w:eastAsia="Times New Roman"/>
          <w:i/>
          <w:sz w:val="24"/>
          <w:szCs w:val="24"/>
          <w:lang w:val="es-ES" w:eastAsia="es-ES"/>
        </w:rPr>
        <w:t>mayor / menor</w:t>
      </w:r>
      <w:r w:rsidRPr="003F7057">
        <w:rPr>
          <w:rFonts w:eastAsia="Times New Roman"/>
          <w:sz w:val="24"/>
          <w:szCs w:val="24"/>
          <w:lang w:val="es-ES" w:eastAsia="es-ES"/>
        </w:rPr>
        <w:t xml:space="preserve"> desigualdad en la distribución. En el segundo componente, cuanto </w:t>
      </w:r>
      <w:r w:rsidRPr="003F7057">
        <w:rPr>
          <w:rFonts w:eastAsia="Times New Roman"/>
          <w:i/>
          <w:sz w:val="24"/>
          <w:szCs w:val="24"/>
          <w:lang w:val="es-ES" w:eastAsia="es-ES"/>
        </w:rPr>
        <w:t>menos / más</w:t>
      </w:r>
      <w:r w:rsidRPr="003F7057">
        <w:rPr>
          <w:rFonts w:eastAsia="Times New Roman"/>
          <w:sz w:val="24"/>
          <w:szCs w:val="24"/>
          <w:lang w:val="es-ES" w:eastAsia="es-ES"/>
        </w:rPr>
        <w:t xml:space="preserve"> equitativa sea la distribución del ingreso al interior de cada fuente, será </w:t>
      </w:r>
      <w:r w:rsidRPr="003F7057">
        <w:rPr>
          <w:rFonts w:eastAsia="Times New Roman"/>
          <w:i/>
          <w:sz w:val="24"/>
          <w:szCs w:val="24"/>
          <w:lang w:val="es-ES" w:eastAsia="es-ES"/>
        </w:rPr>
        <w:t>mayor / menor</w:t>
      </w:r>
      <w:r w:rsidRPr="003F7057">
        <w:rPr>
          <w:rFonts w:eastAsia="Times New Roman"/>
          <w:sz w:val="24"/>
          <w:szCs w:val="24"/>
          <w:lang w:val="es-ES" w:eastAsia="es-ES"/>
        </w:rPr>
        <w:t xml:space="preserve"> el aporte que hará la fuente a la desigualdad general. Por último, cuanta mayor correlación </w:t>
      </w:r>
      <w:r w:rsidRPr="003F7057">
        <w:rPr>
          <w:rFonts w:eastAsia="Times New Roman"/>
          <w:i/>
          <w:sz w:val="24"/>
          <w:szCs w:val="24"/>
          <w:lang w:val="es-ES" w:eastAsia="es-ES"/>
        </w:rPr>
        <w:t>positiva / negativa</w:t>
      </w:r>
      <w:r w:rsidRPr="003F7057">
        <w:rPr>
          <w:rFonts w:eastAsia="Times New Roman"/>
          <w:sz w:val="24"/>
          <w:szCs w:val="24"/>
          <w:lang w:val="es-ES" w:eastAsia="es-ES"/>
        </w:rPr>
        <w:t xml:space="preserve"> exista entre los ingresos por parte de una fuente y la distribución general, la fuente habrá de aportar de manera más </w:t>
      </w:r>
      <w:r w:rsidRPr="003F7057">
        <w:rPr>
          <w:rFonts w:eastAsia="Times New Roman"/>
          <w:i/>
          <w:sz w:val="24"/>
          <w:szCs w:val="24"/>
          <w:lang w:val="es-ES" w:eastAsia="es-ES"/>
        </w:rPr>
        <w:t>regresiva / progresiva</w:t>
      </w:r>
      <w:r w:rsidRPr="003F7057">
        <w:rPr>
          <w:rFonts w:eastAsia="Times New Roman"/>
          <w:sz w:val="24"/>
          <w:szCs w:val="24"/>
          <w:lang w:val="es-ES" w:eastAsia="es-ES"/>
        </w:rPr>
        <w:t xml:space="preserve"> a la desigualdad.</w:t>
      </w:r>
    </w:p>
    <w:p w:rsidR="00433B67" w:rsidRDefault="00433B67" w:rsidP="00433B67">
      <w:pPr>
        <w:spacing w:after="120" w:line="240" w:lineRule="auto"/>
        <w:jc w:val="both"/>
        <w:rPr>
          <w:rFonts w:eastAsia="Times New Roman"/>
          <w:color w:val="000000"/>
          <w:sz w:val="24"/>
          <w:szCs w:val="24"/>
          <w:lang w:val="es-ES" w:eastAsia="es-ES"/>
        </w:rPr>
      </w:pPr>
      <w:r>
        <w:rPr>
          <w:rFonts w:eastAsia="Times New Roman"/>
          <w:color w:val="000000"/>
          <w:sz w:val="24"/>
          <w:szCs w:val="24"/>
          <w:lang w:val="es-ES" w:eastAsia="es-ES"/>
        </w:rPr>
        <w:t>El coeficiente de Gini familiar puede expresarse del siguiente modo</w:t>
      </w:r>
      <w:r w:rsidRPr="003F7057">
        <w:rPr>
          <w:rFonts w:eastAsia="Times New Roman"/>
          <w:color w:val="000000"/>
          <w:sz w:val="24"/>
          <w:szCs w:val="24"/>
          <w:lang w:val="es-ES" w:eastAsia="es-ES"/>
        </w:rPr>
        <w:t xml:space="preserve">: </w:t>
      </w:r>
    </w:p>
    <w:p w:rsidR="00433B67" w:rsidRPr="003F7057" w:rsidRDefault="00433B67" w:rsidP="00433B67">
      <w:pPr>
        <w:spacing w:after="0" w:line="240" w:lineRule="auto"/>
        <w:jc w:val="both"/>
        <w:rPr>
          <w:rFonts w:eastAsia="Times New Roman"/>
          <w:color w:val="000000"/>
          <w:lang w:eastAsia="es-ES"/>
        </w:rPr>
      </w:pPr>
      <w:r w:rsidRPr="003F7057">
        <w:rPr>
          <w:rFonts w:eastAsia="Times New Roman"/>
          <w:color w:val="000000"/>
          <w:lang w:eastAsia="es-ES"/>
        </w:rPr>
        <w:t xml:space="preserve">                                                                              </w:t>
      </w:r>
      <m:oMath>
        <m:r>
          <m:rPr>
            <m:sty m:val="p"/>
          </m:rPr>
          <w:rPr>
            <w:rFonts w:ascii="Cambria Math" w:eastAsia="Times New Roman" w:hAnsi="Cambria Math"/>
            <w:color w:val="000000"/>
            <w:sz w:val="20"/>
            <w:szCs w:val="20"/>
            <w:lang w:eastAsia="es-ES"/>
          </w:rPr>
          <m:t xml:space="preserve">G= </m:t>
        </m:r>
        <m:nary>
          <m:naryPr>
            <m:chr m:val="∑"/>
            <m:limLoc m:val="undOvr"/>
            <m:ctrlPr>
              <w:rPr>
                <w:rFonts w:ascii="Cambria Math" w:eastAsia="Times New Roman" w:hAnsi="Cambria Math"/>
                <w:color w:val="000000"/>
                <w:sz w:val="20"/>
                <w:szCs w:val="20"/>
                <w:lang w:eastAsia="es-ES"/>
              </w:rPr>
            </m:ctrlPr>
          </m:naryPr>
          <m:sub>
            <m:r>
              <m:rPr>
                <m:sty m:val="p"/>
              </m:rPr>
              <w:rPr>
                <w:rFonts w:ascii="Cambria Math" w:eastAsia="Times New Roman" w:hAnsi="Cambria Math"/>
                <w:color w:val="000000"/>
                <w:sz w:val="20"/>
                <w:szCs w:val="20"/>
                <w:lang w:eastAsia="es-ES"/>
              </w:rPr>
              <m:t>k=1</m:t>
            </m:r>
          </m:sub>
          <m:sup>
            <m:r>
              <m:rPr>
                <m:sty m:val="p"/>
              </m:rPr>
              <w:rPr>
                <w:rFonts w:ascii="Cambria Math" w:eastAsia="Times New Roman" w:hAnsi="Cambria Math"/>
                <w:color w:val="000000"/>
                <w:sz w:val="20"/>
                <w:szCs w:val="20"/>
                <w:lang w:eastAsia="es-ES"/>
              </w:rPr>
              <m:t>k</m:t>
            </m:r>
          </m:sup>
          <m:e>
            <m:r>
              <m:rPr>
                <m:sty m:val="p"/>
              </m:rPr>
              <w:rPr>
                <w:rFonts w:ascii="Cambria Math" w:eastAsia="Times New Roman" w:hAnsi="Cambria Math"/>
                <w:color w:val="000000"/>
                <w:sz w:val="20"/>
                <w:szCs w:val="20"/>
                <w:lang w:eastAsia="es-ES"/>
              </w:rPr>
              <m:t>(</m:t>
            </m:r>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R</m:t>
                </m:r>
              </m:e>
              <m:sub>
                <m:r>
                  <m:rPr>
                    <m:sty m:val="p"/>
                  </m:rPr>
                  <w:rPr>
                    <w:rFonts w:ascii="Cambria Math" w:eastAsia="Times New Roman" w:hAnsi="Cambria Math"/>
                    <w:color w:val="000000"/>
                    <w:sz w:val="20"/>
                    <w:szCs w:val="20"/>
                    <w:lang w:eastAsia="es-ES"/>
                  </w:rPr>
                  <m:t>k</m:t>
                </m:r>
              </m:sub>
            </m:sSub>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G</m:t>
                </m:r>
              </m:e>
              <m:sub>
                <m:r>
                  <m:rPr>
                    <m:sty m:val="p"/>
                  </m:rPr>
                  <w:rPr>
                    <w:rFonts w:ascii="Cambria Math" w:eastAsia="Times New Roman" w:hAnsi="Cambria Math"/>
                    <w:color w:val="000000"/>
                    <w:sz w:val="20"/>
                    <w:szCs w:val="20"/>
                    <w:lang w:eastAsia="es-ES"/>
                  </w:rPr>
                  <m:t>k</m:t>
                </m:r>
              </m:sub>
            </m:sSub>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S</m:t>
                </m:r>
              </m:e>
              <m:sub>
                <m:r>
                  <m:rPr>
                    <m:sty m:val="p"/>
                  </m:rPr>
                  <w:rPr>
                    <w:rFonts w:ascii="Cambria Math" w:eastAsia="Times New Roman" w:hAnsi="Cambria Math"/>
                    <w:color w:val="000000"/>
                    <w:sz w:val="20"/>
                    <w:szCs w:val="20"/>
                    <w:lang w:eastAsia="es-ES"/>
                  </w:rPr>
                  <m:t>k</m:t>
                </m:r>
              </m:sub>
            </m:sSub>
          </m:e>
        </m:nary>
      </m:oMath>
      <w:r w:rsidRPr="001A5BF1">
        <w:rPr>
          <w:rFonts w:eastAsia="Times New Roman"/>
          <w:color w:val="000000"/>
          <w:sz w:val="20"/>
          <w:szCs w:val="20"/>
          <w:lang w:eastAsia="es-ES"/>
        </w:rPr>
        <w:t xml:space="preserve">)             </w:t>
      </w:r>
      <w:r w:rsidRPr="003F7057">
        <w:rPr>
          <w:rFonts w:eastAsia="Times New Roman"/>
          <w:color w:val="000000"/>
          <w:lang w:eastAsia="es-ES"/>
        </w:rPr>
        <w:t xml:space="preserve">                                      </w:t>
      </w:r>
      <w:r w:rsidRPr="003F7057">
        <w:rPr>
          <w:rFonts w:eastAsia="Times New Roman"/>
          <w:color w:val="000000"/>
          <w:lang w:val="es-ES" w:eastAsia="es-ES"/>
        </w:rPr>
        <w:t>(1)</w:t>
      </w:r>
    </w:p>
    <w:p w:rsidR="00433B67" w:rsidRDefault="00433B67" w:rsidP="00433B67">
      <w:pPr>
        <w:spacing w:after="0" w:line="240" w:lineRule="auto"/>
        <w:rPr>
          <w:rFonts w:eastAsia="Times New Roman"/>
          <w:sz w:val="24"/>
          <w:szCs w:val="24"/>
          <w:lang w:val="es-ES" w:eastAsia="es-ES"/>
        </w:rPr>
      </w:pPr>
    </w:p>
    <w:p w:rsidR="00433B67" w:rsidRPr="0099739E" w:rsidRDefault="00433B67" w:rsidP="00433B67">
      <w:pPr>
        <w:spacing w:after="0" w:line="240" w:lineRule="auto"/>
        <w:rPr>
          <w:rFonts w:eastAsia="Times New Roman"/>
          <w:color w:val="000000"/>
          <w:lang w:eastAsia="es-ES"/>
        </w:rPr>
      </w:pPr>
      <w:r w:rsidRPr="003F7057">
        <w:rPr>
          <w:rFonts w:eastAsia="Times New Roman"/>
          <w:sz w:val="24"/>
          <w:szCs w:val="24"/>
          <w:lang w:val="es-ES" w:eastAsia="es-ES"/>
        </w:rPr>
        <w:t>A partir de (1) y distinguiendo las fuentes de ingreso que son de interés aquí, el valor del coeficiente de Gini de ingresos de los hogares puede ser descompuesto de la siguiente forma:</w:t>
      </w:r>
    </w:p>
    <w:p w:rsidR="00433B67" w:rsidRDefault="00433B67" w:rsidP="00433B67">
      <w:pPr>
        <w:spacing w:after="0" w:line="240" w:lineRule="auto"/>
        <w:jc w:val="center"/>
        <w:rPr>
          <w:rFonts w:eastAsia="Times New Roman"/>
          <w:sz w:val="20"/>
          <w:lang w:val="en-US" w:eastAsia="es-ES"/>
        </w:rPr>
      </w:pPr>
      <w:r w:rsidRPr="001A5BF1">
        <w:rPr>
          <w:rFonts w:eastAsia="Times New Roman"/>
          <w:i/>
          <w:sz w:val="20"/>
          <w:lang w:val="en-US" w:eastAsia="es-ES"/>
        </w:rPr>
        <w:t>G</w:t>
      </w:r>
      <w:r w:rsidRPr="001A5BF1">
        <w:rPr>
          <w:rFonts w:eastAsia="Times New Roman"/>
          <w:i/>
          <w:sz w:val="20"/>
          <w:vertAlign w:val="subscript"/>
          <w:lang w:val="fr-FR" w:eastAsia="es-ES"/>
        </w:rPr>
        <w:t>t</w:t>
      </w:r>
      <w:r w:rsidRPr="001A5BF1">
        <w:rPr>
          <w:rFonts w:eastAsia="Times New Roman"/>
          <w:i/>
          <w:sz w:val="20"/>
          <w:lang w:val="en-US" w:eastAsia="es-ES"/>
        </w:rPr>
        <w:t xml:space="preserve">  </w:t>
      </w:r>
      <w:r w:rsidRPr="001A5BF1">
        <w:rPr>
          <w:rFonts w:eastAsia="Times New Roman"/>
          <w:sz w:val="20"/>
          <w:lang w:val="en-US" w:eastAsia="es-ES"/>
        </w:rPr>
        <w:t xml:space="preserve"> =   </w:t>
      </w:r>
      <w:proofErr w:type="gramStart"/>
      <w:r w:rsidRPr="001A5BF1">
        <w:rPr>
          <w:rFonts w:eastAsia="Times New Roman"/>
          <w:i/>
          <w:sz w:val="20"/>
          <w:lang w:val="en-US" w:eastAsia="es-ES"/>
        </w:rPr>
        <w:t>D</w:t>
      </w:r>
      <w:r w:rsidRPr="001A5BF1">
        <w:rPr>
          <w:rFonts w:eastAsia="Times New Roman"/>
          <w:i/>
          <w:sz w:val="20"/>
          <w:vertAlign w:val="subscript"/>
          <w:lang w:val="en-US" w:eastAsia="es-ES"/>
        </w:rPr>
        <w:t>IL</w:t>
      </w:r>
      <w:r w:rsidRPr="001A5BF1">
        <w:rPr>
          <w:rFonts w:eastAsia="Times New Roman"/>
          <w:i/>
          <w:sz w:val="20"/>
          <w:vertAlign w:val="subscript"/>
          <w:lang w:val="fr-FR" w:eastAsia="es-ES"/>
        </w:rPr>
        <w:t>t</w:t>
      </w:r>
      <w:r w:rsidRPr="001A5BF1">
        <w:rPr>
          <w:rFonts w:eastAsia="Times New Roman"/>
          <w:sz w:val="20"/>
          <w:lang w:val="en-US" w:eastAsia="es-ES"/>
        </w:rPr>
        <w:t xml:space="preserve">  +</w:t>
      </w:r>
      <w:proofErr w:type="gramEnd"/>
      <w:r w:rsidRPr="001A5BF1">
        <w:rPr>
          <w:rFonts w:eastAsia="Times New Roman"/>
          <w:sz w:val="20"/>
          <w:lang w:val="en-US" w:eastAsia="es-ES"/>
        </w:rPr>
        <w:t xml:space="preserve">  </w:t>
      </w:r>
      <w:r w:rsidRPr="001A5BF1">
        <w:rPr>
          <w:rFonts w:eastAsia="Times New Roman"/>
          <w:i/>
          <w:sz w:val="20"/>
          <w:lang w:val="en-US" w:eastAsia="es-ES"/>
        </w:rPr>
        <w:t>D</w:t>
      </w:r>
      <w:r w:rsidRPr="001A5BF1">
        <w:rPr>
          <w:rFonts w:eastAsia="Times New Roman"/>
          <w:i/>
          <w:sz w:val="20"/>
          <w:vertAlign w:val="subscript"/>
          <w:lang w:val="en-US" w:eastAsia="es-ES"/>
        </w:rPr>
        <w:t>INL</w:t>
      </w:r>
      <w:r w:rsidRPr="001A5BF1">
        <w:rPr>
          <w:rFonts w:eastAsia="Times New Roman"/>
          <w:i/>
          <w:sz w:val="20"/>
          <w:vertAlign w:val="subscript"/>
          <w:lang w:val="fr-FR" w:eastAsia="es-ES"/>
        </w:rPr>
        <w:t>t</w:t>
      </w:r>
      <w:r w:rsidRPr="001A5BF1">
        <w:rPr>
          <w:rFonts w:eastAsia="Times New Roman"/>
          <w:sz w:val="20"/>
          <w:lang w:val="en-US" w:eastAsia="es-ES"/>
        </w:rPr>
        <w:t xml:space="preserve"> </w:t>
      </w:r>
      <w:r>
        <w:rPr>
          <w:rFonts w:eastAsia="Times New Roman"/>
          <w:sz w:val="20"/>
          <w:lang w:val="en-US" w:eastAsia="es-ES"/>
        </w:rPr>
        <w:t xml:space="preserve">, </w:t>
      </w:r>
      <w:r w:rsidRPr="001A5BF1">
        <w:rPr>
          <w:rFonts w:eastAsia="Times New Roman"/>
          <w:sz w:val="20"/>
          <w:lang w:val="en-US" w:eastAsia="es-ES"/>
        </w:rPr>
        <w:t xml:space="preserve"> </w:t>
      </w:r>
    </w:p>
    <w:p w:rsidR="00433B67" w:rsidRPr="001A5BF1" w:rsidRDefault="00433B67" w:rsidP="00433B67">
      <w:pPr>
        <w:spacing w:after="0" w:line="240" w:lineRule="auto"/>
        <w:jc w:val="center"/>
        <w:rPr>
          <w:rFonts w:eastAsia="Times New Roman"/>
          <w:i/>
          <w:sz w:val="20"/>
          <w:vertAlign w:val="subscript"/>
          <w:lang w:val="fr-FR" w:eastAsia="es-ES"/>
        </w:rPr>
      </w:pPr>
      <w:r w:rsidRPr="005E2425">
        <w:rPr>
          <w:rFonts w:eastAsia="Times New Roman"/>
          <w:i/>
          <w:sz w:val="20"/>
          <w:highlight w:val="green"/>
          <w:lang w:val="en-US" w:eastAsia="es-ES"/>
        </w:rPr>
        <w:lastRenderedPageBreak/>
        <w:t>D</w:t>
      </w:r>
      <w:r w:rsidRPr="005E2425">
        <w:rPr>
          <w:rFonts w:eastAsia="Times New Roman"/>
          <w:i/>
          <w:sz w:val="20"/>
          <w:highlight w:val="green"/>
          <w:vertAlign w:val="subscript"/>
          <w:lang w:val="en-US" w:eastAsia="es-ES"/>
        </w:rPr>
        <w:t>IL</w:t>
      </w:r>
      <w:r w:rsidRPr="005E2425">
        <w:rPr>
          <w:rFonts w:eastAsia="Times New Roman"/>
          <w:i/>
          <w:sz w:val="20"/>
          <w:highlight w:val="green"/>
          <w:vertAlign w:val="subscript"/>
          <w:lang w:val="fr-FR" w:eastAsia="es-ES"/>
        </w:rPr>
        <w:t>t</w:t>
      </w:r>
      <w:r w:rsidRPr="005E2425">
        <w:rPr>
          <w:rFonts w:eastAsia="Times New Roman"/>
          <w:sz w:val="20"/>
          <w:highlight w:val="green"/>
          <w:lang w:val="en-US" w:eastAsia="es-ES"/>
        </w:rPr>
        <w:t xml:space="preserve"> = D</w:t>
      </w:r>
      <w:r w:rsidRPr="005E2425">
        <w:rPr>
          <w:rFonts w:eastAsia="Times New Roman"/>
          <w:i/>
          <w:sz w:val="20"/>
          <w:highlight w:val="green"/>
          <w:vertAlign w:val="subscript"/>
          <w:lang w:val="en-US" w:eastAsia="es-ES"/>
        </w:rPr>
        <w:t>ILSF</w:t>
      </w:r>
      <w:r w:rsidRPr="005E2425">
        <w:rPr>
          <w:rFonts w:eastAsia="Times New Roman"/>
          <w:i/>
          <w:sz w:val="20"/>
          <w:highlight w:val="green"/>
          <w:vertAlign w:val="subscript"/>
          <w:lang w:val="fr-FR" w:eastAsia="es-ES"/>
        </w:rPr>
        <w:t xml:space="preserve">t </w:t>
      </w:r>
      <w:r w:rsidRPr="005E2425">
        <w:rPr>
          <w:rFonts w:eastAsia="Times New Roman"/>
          <w:sz w:val="20"/>
          <w:highlight w:val="green"/>
          <w:lang w:val="en-US" w:eastAsia="es-ES"/>
        </w:rPr>
        <w:t>+ D</w:t>
      </w:r>
      <w:r w:rsidRPr="005E2425">
        <w:rPr>
          <w:rFonts w:eastAsia="Times New Roman"/>
          <w:i/>
          <w:sz w:val="20"/>
          <w:highlight w:val="green"/>
          <w:vertAlign w:val="subscript"/>
          <w:lang w:val="en-US" w:eastAsia="es-ES"/>
        </w:rPr>
        <w:t>ILSP</w:t>
      </w:r>
      <w:r w:rsidRPr="005E2425">
        <w:rPr>
          <w:rFonts w:eastAsia="Times New Roman"/>
          <w:i/>
          <w:sz w:val="20"/>
          <w:highlight w:val="green"/>
          <w:vertAlign w:val="subscript"/>
          <w:lang w:val="fr-FR" w:eastAsia="es-ES"/>
        </w:rPr>
        <w:t>t</w:t>
      </w:r>
      <w:r w:rsidRPr="005E2425">
        <w:rPr>
          <w:rFonts w:eastAsia="Times New Roman"/>
          <w:i/>
          <w:sz w:val="20"/>
          <w:highlight w:val="green"/>
          <w:lang w:val="en-US" w:eastAsia="es-ES"/>
        </w:rPr>
        <w:t xml:space="preserve"> </w:t>
      </w:r>
      <w:r w:rsidRPr="005E2425">
        <w:rPr>
          <w:rFonts w:eastAsia="Times New Roman"/>
          <w:sz w:val="20"/>
          <w:highlight w:val="green"/>
          <w:lang w:val="en-US" w:eastAsia="es-ES"/>
        </w:rPr>
        <w:t>+D</w:t>
      </w:r>
      <w:r w:rsidRPr="005E2425">
        <w:rPr>
          <w:rFonts w:eastAsia="Times New Roman"/>
          <w:i/>
          <w:sz w:val="20"/>
          <w:highlight w:val="green"/>
          <w:vertAlign w:val="subscript"/>
          <w:lang w:val="en-US" w:eastAsia="es-ES"/>
        </w:rPr>
        <w:t>ILSI</w:t>
      </w:r>
      <w:r w:rsidRPr="005E2425">
        <w:rPr>
          <w:rFonts w:eastAsia="Times New Roman"/>
          <w:i/>
          <w:sz w:val="20"/>
          <w:highlight w:val="green"/>
          <w:vertAlign w:val="subscript"/>
          <w:lang w:val="fr-FR" w:eastAsia="es-ES"/>
        </w:rPr>
        <w:t>t</w:t>
      </w:r>
      <w:r>
        <w:rPr>
          <w:rFonts w:eastAsia="Times New Roman"/>
          <w:sz w:val="20"/>
          <w:vertAlign w:val="subscript"/>
          <w:lang w:val="fr-FR" w:eastAsia="es-ES"/>
        </w:rPr>
        <w:t xml:space="preserve">, </w:t>
      </w:r>
      <w:r w:rsidRPr="001A5BF1">
        <w:rPr>
          <w:rFonts w:eastAsia="Times New Roman"/>
          <w:i/>
          <w:sz w:val="20"/>
          <w:lang w:val="en-US" w:eastAsia="es-ES"/>
        </w:rPr>
        <w:t xml:space="preserve"> </w:t>
      </w:r>
    </w:p>
    <w:p w:rsidR="00433B67" w:rsidRPr="001A5BF1" w:rsidRDefault="00433B67" w:rsidP="00433B67">
      <w:pPr>
        <w:spacing w:after="0" w:line="240" w:lineRule="auto"/>
        <w:jc w:val="center"/>
        <w:rPr>
          <w:rFonts w:eastAsia="Times New Roman"/>
          <w:i/>
          <w:sz w:val="20"/>
          <w:vertAlign w:val="subscript"/>
          <w:lang w:val="fr-FR" w:eastAsia="es-ES"/>
        </w:rPr>
      </w:pPr>
      <w:r w:rsidRPr="001A5BF1">
        <w:rPr>
          <w:rFonts w:eastAsia="Times New Roman"/>
          <w:i/>
          <w:sz w:val="20"/>
          <w:lang w:val="en-US" w:eastAsia="es-ES"/>
        </w:rPr>
        <w:t>D</w:t>
      </w:r>
      <w:r w:rsidRPr="001A5BF1">
        <w:rPr>
          <w:rFonts w:eastAsia="Times New Roman"/>
          <w:i/>
          <w:sz w:val="20"/>
          <w:vertAlign w:val="subscript"/>
          <w:lang w:val="en-US" w:eastAsia="es-ES"/>
        </w:rPr>
        <w:t>INL</w:t>
      </w:r>
      <w:r w:rsidRPr="001A5BF1">
        <w:rPr>
          <w:rFonts w:eastAsia="Times New Roman"/>
          <w:i/>
          <w:sz w:val="20"/>
          <w:vertAlign w:val="subscript"/>
          <w:lang w:val="fr-FR" w:eastAsia="es-ES"/>
        </w:rPr>
        <w:t>t</w:t>
      </w:r>
      <w:r w:rsidRPr="001A5BF1">
        <w:rPr>
          <w:rFonts w:eastAsia="Times New Roman"/>
          <w:sz w:val="20"/>
          <w:lang w:val="en-US" w:eastAsia="es-ES"/>
        </w:rPr>
        <w:t xml:space="preserve"> = D</w:t>
      </w:r>
      <w:r w:rsidRPr="001A5BF1">
        <w:rPr>
          <w:rFonts w:eastAsia="Times New Roman"/>
          <w:i/>
          <w:sz w:val="20"/>
          <w:vertAlign w:val="subscript"/>
          <w:lang w:val="en-US" w:eastAsia="es-ES"/>
        </w:rPr>
        <w:t>PS</w:t>
      </w:r>
      <w:r w:rsidRPr="001A5BF1">
        <w:rPr>
          <w:rFonts w:eastAsia="Times New Roman"/>
          <w:i/>
          <w:sz w:val="20"/>
          <w:vertAlign w:val="subscript"/>
          <w:lang w:val="fr-FR" w:eastAsia="es-ES"/>
        </w:rPr>
        <w:t xml:space="preserve">t </w:t>
      </w:r>
      <w:r w:rsidRPr="001A5BF1">
        <w:rPr>
          <w:rFonts w:eastAsia="Times New Roman"/>
          <w:sz w:val="20"/>
          <w:lang w:val="en-US" w:eastAsia="es-ES"/>
        </w:rPr>
        <w:t xml:space="preserve">+ </w:t>
      </w:r>
      <w:r w:rsidRPr="001A5BF1">
        <w:rPr>
          <w:rFonts w:eastAsia="Times New Roman"/>
          <w:i/>
          <w:sz w:val="20"/>
          <w:lang w:val="en-US" w:eastAsia="es-ES"/>
        </w:rPr>
        <w:t>D</w:t>
      </w:r>
      <w:r w:rsidRPr="001A5BF1">
        <w:rPr>
          <w:rFonts w:eastAsia="Times New Roman"/>
          <w:i/>
          <w:sz w:val="20"/>
          <w:vertAlign w:val="subscript"/>
          <w:lang w:val="en-US" w:eastAsia="es-ES"/>
        </w:rPr>
        <w:t>OINL</w:t>
      </w:r>
      <w:r w:rsidRPr="001A5BF1">
        <w:rPr>
          <w:rFonts w:eastAsia="Times New Roman"/>
          <w:i/>
          <w:sz w:val="20"/>
          <w:vertAlign w:val="subscript"/>
          <w:lang w:val="fr-FR" w:eastAsia="es-ES"/>
        </w:rPr>
        <w:t>t</w:t>
      </w:r>
    </w:p>
    <w:p w:rsidR="00433B67" w:rsidRPr="001A5BF1" w:rsidRDefault="00433B67" w:rsidP="00433B67">
      <w:pPr>
        <w:spacing w:after="0" w:line="240" w:lineRule="auto"/>
        <w:jc w:val="center"/>
        <w:rPr>
          <w:rFonts w:eastAsia="Times New Roman"/>
          <w:i/>
          <w:sz w:val="20"/>
          <w:lang w:val="en-US" w:eastAsia="es-ES"/>
        </w:rPr>
      </w:pPr>
      <w:proofErr w:type="spellStart"/>
      <w:r w:rsidRPr="001A5BF1">
        <w:rPr>
          <w:rFonts w:eastAsia="Times New Roman"/>
          <w:i/>
          <w:sz w:val="20"/>
          <w:lang w:val="en-US" w:eastAsia="es-ES"/>
        </w:rPr>
        <w:t>D</w:t>
      </w:r>
      <w:r w:rsidRPr="001A5BF1">
        <w:rPr>
          <w:rFonts w:eastAsia="Times New Roman"/>
          <w:i/>
          <w:sz w:val="20"/>
          <w:vertAlign w:val="subscript"/>
          <w:lang w:val="en-US" w:eastAsia="es-ES"/>
        </w:rPr>
        <w:t>PSt</w:t>
      </w:r>
      <w:proofErr w:type="spellEnd"/>
      <w:r w:rsidRPr="001A5BF1">
        <w:rPr>
          <w:rFonts w:eastAsia="Times New Roman"/>
          <w:i/>
          <w:sz w:val="20"/>
          <w:lang w:val="en-US" w:eastAsia="es-ES"/>
        </w:rPr>
        <w:t xml:space="preserve"> = </w:t>
      </w:r>
      <w:proofErr w:type="spellStart"/>
      <w:r w:rsidRPr="001A5BF1">
        <w:rPr>
          <w:rFonts w:eastAsia="Times New Roman"/>
          <w:i/>
          <w:sz w:val="20"/>
          <w:lang w:val="en-US" w:eastAsia="es-ES"/>
        </w:rPr>
        <w:t>D</w:t>
      </w:r>
      <w:r w:rsidRPr="001A5BF1">
        <w:rPr>
          <w:rFonts w:eastAsia="Times New Roman"/>
          <w:i/>
          <w:sz w:val="20"/>
          <w:vertAlign w:val="subscript"/>
          <w:lang w:val="en-US" w:eastAsia="es-ES"/>
        </w:rPr>
        <w:t>PEt</w:t>
      </w:r>
      <w:proofErr w:type="spellEnd"/>
      <w:r w:rsidRPr="001A5BF1">
        <w:rPr>
          <w:rFonts w:eastAsia="Times New Roman"/>
          <w:i/>
          <w:sz w:val="20"/>
          <w:vertAlign w:val="subscript"/>
          <w:lang w:val="en-US" w:eastAsia="es-ES"/>
        </w:rPr>
        <w:t xml:space="preserve"> </w:t>
      </w:r>
      <w:r w:rsidRPr="001A5BF1">
        <w:rPr>
          <w:rFonts w:eastAsia="Times New Roman"/>
          <w:i/>
          <w:sz w:val="20"/>
          <w:lang w:val="en-US" w:eastAsia="es-ES"/>
        </w:rPr>
        <w:t xml:space="preserve">+ </w:t>
      </w:r>
      <w:proofErr w:type="spellStart"/>
      <w:r w:rsidRPr="001A5BF1">
        <w:rPr>
          <w:rFonts w:eastAsia="Times New Roman"/>
          <w:i/>
          <w:sz w:val="20"/>
          <w:lang w:val="en-US" w:eastAsia="es-ES"/>
        </w:rPr>
        <w:t>D</w:t>
      </w:r>
      <w:r w:rsidRPr="001A5BF1">
        <w:rPr>
          <w:rFonts w:eastAsia="Times New Roman"/>
          <w:i/>
          <w:sz w:val="20"/>
          <w:vertAlign w:val="subscript"/>
          <w:lang w:val="en-US" w:eastAsia="es-ES"/>
        </w:rPr>
        <w:t>PTICt</w:t>
      </w:r>
      <w:proofErr w:type="spellEnd"/>
      <w:r w:rsidRPr="001A5BF1">
        <w:rPr>
          <w:rFonts w:eastAsia="Times New Roman"/>
          <w:i/>
          <w:sz w:val="20"/>
          <w:lang w:val="en-US" w:eastAsia="es-ES"/>
        </w:rPr>
        <w:t xml:space="preserve"> + </w:t>
      </w:r>
      <w:proofErr w:type="spellStart"/>
      <w:r w:rsidRPr="001A5BF1">
        <w:rPr>
          <w:rFonts w:eastAsia="Times New Roman"/>
          <w:i/>
          <w:sz w:val="20"/>
          <w:lang w:val="en-US" w:eastAsia="es-ES"/>
        </w:rPr>
        <w:t>D</w:t>
      </w:r>
      <w:r w:rsidRPr="001A5BF1">
        <w:rPr>
          <w:rFonts w:eastAsia="Times New Roman"/>
          <w:i/>
          <w:sz w:val="20"/>
          <w:vertAlign w:val="subscript"/>
          <w:lang w:val="en-US" w:eastAsia="es-ES"/>
        </w:rPr>
        <w:t>JPt</w:t>
      </w:r>
      <w:proofErr w:type="spellEnd"/>
    </w:p>
    <w:p w:rsidR="00433B67" w:rsidRPr="008E1061" w:rsidRDefault="00433B67" w:rsidP="00433B67">
      <w:pPr>
        <w:spacing w:after="0" w:line="240" w:lineRule="auto"/>
        <w:jc w:val="both"/>
        <w:rPr>
          <w:rFonts w:eastAsia="Times New Roman"/>
          <w:sz w:val="20"/>
          <w:lang w:eastAsia="es-ES"/>
        </w:rPr>
      </w:pPr>
      <w:r w:rsidRPr="001A5BF1">
        <w:rPr>
          <w:rFonts w:eastAsia="Times New Roman"/>
          <w:sz w:val="20"/>
          <w:lang w:val="en-US" w:eastAsia="es-ES"/>
        </w:rPr>
        <w:t xml:space="preserve">                                                                                                                                  </w:t>
      </w:r>
      <w:r w:rsidRPr="008E1061">
        <w:rPr>
          <w:rFonts w:eastAsia="Times New Roman"/>
          <w:sz w:val="20"/>
          <w:lang w:eastAsia="es-ES"/>
        </w:rPr>
        <w:t>(2)</w:t>
      </w:r>
    </w:p>
    <w:p w:rsidR="00433B67" w:rsidRPr="00CE2C48" w:rsidRDefault="00433B67" w:rsidP="00433B67">
      <w:pPr>
        <w:spacing w:after="0" w:line="240" w:lineRule="auto"/>
        <w:jc w:val="right"/>
        <w:rPr>
          <w:rFonts w:eastAsia="Times New Roman"/>
          <w:i/>
          <w:sz w:val="20"/>
          <w:lang w:eastAsia="es-ES"/>
        </w:rPr>
      </w:pPr>
      <w:r w:rsidRPr="00CE2C48">
        <w:rPr>
          <w:rFonts w:eastAsia="Times New Roman"/>
          <w:i/>
          <w:sz w:val="20"/>
          <w:lang w:eastAsia="es-ES"/>
        </w:rPr>
        <w:t>(t = 1974, 1988,……2014)</w:t>
      </w:r>
    </w:p>
    <w:p w:rsidR="00433B67" w:rsidRDefault="00433B67" w:rsidP="00433B67">
      <w:pPr>
        <w:spacing w:line="240" w:lineRule="auto"/>
        <w:jc w:val="both"/>
        <w:rPr>
          <w:rFonts w:eastAsia="Times New Roman"/>
          <w:sz w:val="24"/>
          <w:szCs w:val="24"/>
          <w:lang w:val="es-ES" w:eastAsia="es-ES"/>
        </w:rPr>
      </w:pPr>
    </w:p>
    <w:p w:rsidR="00433B67" w:rsidRPr="003F7057" w:rsidRDefault="00433B67" w:rsidP="00433B67">
      <w:pPr>
        <w:spacing w:line="240" w:lineRule="auto"/>
        <w:jc w:val="both"/>
        <w:rPr>
          <w:rFonts w:eastAsia="Times New Roman"/>
          <w:sz w:val="24"/>
          <w:szCs w:val="24"/>
          <w:lang w:val="es-ES" w:eastAsia="es-ES"/>
        </w:rPr>
      </w:pPr>
      <w:r w:rsidRPr="003F7057">
        <w:rPr>
          <w:rFonts w:eastAsia="Times New Roman"/>
          <w:sz w:val="24"/>
          <w:szCs w:val="24"/>
          <w:lang w:val="es-ES" w:eastAsia="es-ES"/>
        </w:rPr>
        <w:t xml:space="preserve">En donde </w:t>
      </w:r>
      <w:r w:rsidRPr="003F7057">
        <w:rPr>
          <w:rFonts w:eastAsia="Times New Roman"/>
          <w:i/>
          <w:sz w:val="24"/>
          <w:szCs w:val="24"/>
          <w:lang w:val="es-ES" w:eastAsia="es-ES"/>
        </w:rPr>
        <w:t>G</w:t>
      </w:r>
      <w:r w:rsidRPr="003F7057">
        <w:rPr>
          <w:rFonts w:eastAsia="Times New Roman"/>
          <w:sz w:val="24"/>
          <w:szCs w:val="24"/>
          <w:lang w:val="es-ES" w:eastAsia="es-ES"/>
        </w:rPr>
        <w:t xml:space="preserve"> representa el coeficiente de desigualdad de Gini de ingresos familiares.  </w:t>
      </w:r>
      <w:r w:rsidRPr="003F7057">
        <w:rPr>
          <w:rFonts w:eastAsia="Times New Roman"/>
          <w:i/>
          <w:sz w:val="24"/>
          <w:szCs w:val="24"/>
          <w:lang w:val="es-ES" w:eastAsia="es-ES"/>
        </w:rPr>
        <w:t>D</w:t>
      </w:r>
      <w:r w:rsidRPr="003F7057">
        <w:rPr>
          <w:rFonts w:eastAsia="Times New Roman"/>
          <w:i/>
          <w:sz w:val="24"/>
          <w:szCs w:val="24"/>
          <w:vertAlign w:val="subscript"/>
          <w:lang w:val="es-ES" w:eastAsia="es-ES"/>
        </w:rPr>
        <w:t>IL</w:t>
      </w:r>
      <w:r w:rsidRPr="003F7057">
        <w:rPr>
          <w:rFonts w:eastAsia="Times New Roman"/>
          <w:i/>
          <w:sz w:val="24"/>
          <w:szCs w:val="24"/>
          <w:vertAlign w:val="subscript"/>
          <w:lang w:val="fr-FR" w:eastAsia="es-ES"/>
        </w:rPr>
        <w:t>t</w:t>
      </w:r>
      <w:r w:rsidRPr="003F7057">
        <w:rPr>
          <w:rFonts w:eastAsia="Times New Roman"/>
          <w:sz w:val="24"/>
          <w:szCs w:val="24"/>
          <w:lang w:val="es-ES" w:eastAsia="es-ES"/>
        </w:rPr>
        <w:t xml:space="preserve"> simboliza la desigualdad generada por los ingresos del mercado de trabajo</w:t>
      </w:r>
      <w:r w:rsidRPr="005E2425">
        <w:rPr>
          <w:rFonts w:eastAsia="Times New Roman"/>
          <w:sz w:val="24"/>
          <w:szCs w:val="24"/>
          <w:highlight w:val="green"/>
          <w:lang w:val="es-ES" w:eastAsia="es-ES"/>
        </w:rPr>
        <w:t xml:space="preserve">. Dicha desigualdad se descompone en aquella que proviene de ingresos monetarios de perceptores ocupados en el sector formal privado </w:t>
      </w:r>
      <w:r w:rsidRPr="005E2425">
        <w:rPr>
          <w:rFonts w:eastAsia="Times New Roman"/>
          <w:sz w:val="24"/>
          <w:szCs w:val="24"/>
          <w:highlight w:val="green"/>
          <w:lang w:eastAsia="es-ES"/>
        </w:rPr>
        <w:t>–</w:t>
      </w:r>
      <w:proofErr w:type="spellStart"/>
      <w:r w:rsidRPr="005E2425">
        <w:rPr>
          <w:rFonts w:eastAsia="Times New Roman"/>
          <w:i/>
          <w:sz w:val="24"/>
          <w:szCs w:val="24"/>
          <w:highlight w:val="green"/>
          <w:lang w:eastAsia="es-ES"/>
        </w:rPr>
        <w:t>D</w:t>
      </w:r>
      <w:r w:rsidRPr="005E2425">
        <w:rPr>
          <w:rFonts w:eastAsia="Times New Roman"/>
          <w:i/>
          <w:sz w:val="24"/>
          <w:szCs w:val="24"/>
          <w:highlight w:val="green"/>
          <w:vertAlign w:val="subscript"/>
          <w:lang w:eastAsia="es-ES"/>
        </w:rPr>
        <w:t>ILSFt</w:t>
      </w:r>
      <w:proofErr w:type="spellEnd"/>
      <w:r w:rsidRPr="005E2425">
        <w:rPr>
          <w:rFonts w:eastAsia="Times New Roman"/>
          <w:sz w:val="24"/>
          <w:szCs w:val="24"/>
          <w:highlight w:val="green"/>
          <w:lang w:eastAsia="es-ES"/>
        </w:rPr>
        <w:t>–</w:t>
      </w:r>
      <w:r w:rsidRPr="005E2425">
        <w:rPr>
          <w:rFonts w:eastAsia="Times New Roman"/>
          <w:sz w:val="24"/>
          <w:szCs w:val="24"/>
          <w:highlight w:val="green"/>
          <w:lang w:val="es-ES" w:eastAsia="es-ES"/>
        </w:rPr>
        <w:t xml:space="preserve">, en el sector formal público </w:t>
      </w:r>
      <w:r w:rsidRPr="005E2425">
        <w:rPr>
          <w:rFonts w:eastAsia="Times New Roman"/>
          <w:sz w:val="24"/>
          <w:szCs w:val="24"/>
          <w:highlight w:val="green"/>
          <w:lang w:eastAsia="es-ES"/>
        </w:rPr>
        <w:t>–</w:t>
      </w:r>
      <w:proofErr w:type="spellStart"/>
      <w:r w:rsidRPr="005E2425">
        <w:rPr>
          <w:rFonts w:eastAsia="Times New Roman"/>
          <w:i/>
          <w:sz w:val="24"/>
          <w:szCs w:val="24"/>
          <w:highlight w:val="green"/>
          <w:lang w:eastAsia="es-ES"/>
        </w:rPr>
        <w:t>D</w:t>
      </w:r>
      <w:r w:rsidRPr="005E2425">
        <w:rPr>
          <w:rFonts w:eastAsia="Times New Roman"/>
          <w:i/>
          <w:sz w:val="24"/>
          <w:szCs w:val="24"/>
          <w:highlight w:val="green"/>
          <w:vertAlign w:val="subscript"/>
          <w:lang w:eastAsia="es-ES"/>
        </w:rPr>
        <w:t>ILSPt</w:t>
      </w:r>
      <w:proofErr w:type="spellEnd"/>
      <w:r w:rsidRPr="005E2425">
        <w:rPr>
          <w:rFonts w:eastAsia="Times New Roman"/>
          <w:sz w:val="24"/>
          <w:szCs w:val="24"/>
          <w:highlight w:val="green"/>
          <w:lang w:eastAsia="es-ES"/>
        </w:rPr>
        <w:t>–</w:t>
      </w:r>
      <w:r w:rsidRPr="005E2425">
        <w:rPr>
          <w:rFonts w:eastAsia="Times New Roman"/>
          <w:sz w:val="24"/>
          <w:szCs w:val="24"/>
          <w:highlight w:val="green"/>
          <w:lang w:val="es-ES" w:eastAsia="es-ES"/>
        </w:rPr>
        <w:t xml:space="preserve">, y en el sector privado microempresario / informal </w:t>
      </w:r>
      <w:r w:rsidRPr="005E2425">
        <w:rPr>
          <w:rFonts w:eastAsia="Times New Roman"/>
          <w:sz w:val="24"/>
          <w:szCs w:val="24"/>
          <w:highlight w:val="green"/>
          <w:lang w:eastAsia="es-ES"/>
        </w:rPr>
        <w:t>–</w:t>
      </w:r>
      <w:proofErr w:type="spellStart"/>
      <w:r w:rsidRPr="005E2425">
        <w:rPr>
          <w:rFonts w:eastAsia="Times New Roman"/>
          <w:i/>
          <w:sz w:val="24"/>
          <w:szCs w:val="24"/>
          <w:highlight w:val="green"/>
          <w:lang w:eastAsia="es-ES"/>
        </w:rPr>
        <w:t>D</w:t>
      </w:r>
      <w:r w:rsidRPr="005E2425">
        <w:rPr>
          <w:rFonts w:eastAsia="Times New Roman"/>
          <w:i/>
          <w:sz w:val="24"/>
          <w:szCs w:val="24"/>
          <w:highlight w:val="green"/>
          <w:vertAlign w:val="subscript"/>
          <w:lang w:eastAsia="es-ES"/>
        </w:rPr>
        <w:t>ILSIt</w:t>
      </w:r>
      <w:proofErr w:type="spellEnd"/>
      <w:r w:rsidRPr="005E2425">
        <w:rPr>
          <w:rFonts w:eastAsia="Times New Roman"/>
          <w:sz w:val="24"/>
          <w:szCs w:val="24"/>
          <w:highlight w:val="green"/>
          <w:lang w:eastAsia="es-ES"/>
        </w:rPr>
        <w:t>–</w:t>
      </w:r>
      <w:r w:rsidRPr="005E2425">
        <w:rPr>
          <w:rStyle w:val="Refdenotaalpie"/>
          <w:rFonts w:eastAsia="Times New Roman"/>
          <w:sz w:val="24"/>
          <w:szCs w:val="24"/>
          <w:highlight w:val="green"/>
          <w:lang w:eastAsia="es-ES"/>
        </w:rPr>
        <w:footnoteReference w:id="7"/>
      </w:r>
      <w:r w:rsidRPr="005E2425">
        <w:rPr>
          <w:rFonts w:eastAsia="Times New Roman"/>
          <w:sz w:val="24"/>
          <w:szCs w:val="24"/>
          <w:highlight w:val="green"/>
          <w:lang w:val="es-ES" w:eastAsia="es-ES"/>
        </w:rPr>
        <w:t>.</w:t>
      </w:r>
      <w:r>
        <w:rPr>
          <w:rFonts w:eastAsia="Times New Roman"/>
          <w:sz w:val="24"/>
          <w:szCs w:val="24"/>
          <w:lang w:val="es-ES" w:eastAsia="es-ES"/>
        </w:rPr>
        <w:t xml:space="preserve"> </w:t>
      </w:r>
      <w:r w:rsidRPr="003F7057">
        <w:rPr>
          <w:rFonts w:eastAsia="Times New Roman"/>
          <w:sz w:val="24"/>
          <w:szCs w:val="24"/>
          <w:lang w:val="es-ES" w:eastAsia="es-ES"/>
        </w:rPr>
        <w:t xml:space="preserve">A su vez, </w:t>
      </w:r>
      <w:r w:rsidRPr="003F7057">
        <w:rPr>
          <w:rFonts w:eastAsia="Times New Roman"/>
          <w:i/>
          <w:sz w:val="24"/>
          <w:szCs w:val="24"/>
          <w:lang w:eastAsia="es-ES"/>
        </w:rPr>
        <w:t>D</w:t>
      </w:r>
      <w:r w:rsidRPr="003F7057">
        <w:rPr>
          <w:rFonts w:eastAsia="Times New Roman"/>
          <w:i/>
          <w:sz w:val="24"/>
          <w:szCs w:val="24"/>
          <w:vertAlign w:val="subscript"/>
          <w:lang w:eastAsia="es-ES"/>
        </w:rPr>
        <w:t>INL</w:t>
      </w:r>
      <w:r w:rsidRPr="003F7057">
        <w:rPr>
          <w:rFonts w:eastAsia="Times New Roman"/>
          <w:i/>
          <w:sz w:val="24"/>
          <w:szCs w:val="24"/>
          <w:vertAlign w:val="subscript"/>
          <w:lang w:val="fr-FR" w:eastAsia="es-ES"/>
        </w:rPr>
        <w:t>t</w:t>
      </w:r>
      <w:r w:rsidRPr="003F7057">
        <w:rPr>
          <w:rFonts w:eastAsia="Times New Roman"/>
          <w:sz w:val="24"/>
          <w:szCs w:val="24"/>
          <w:lang w:eastAsia="es-ES"/>
        </w:rPr>
        <w:t xml:space="preserve"> representa la desigualdad proveniente de los ingresos no laborales. Esta última se desagregará</w:t>
      </w:r>
      <w:r>
        <w:rPr>
          <w:rFonts w:eastAsia="Times New Roman"/>
          <w:sz w:val="24"/>
          <w:szCs w:val="24"/>
          <w:lang w:eastAsia="es-ES"/>
        </w:rPr>
        <w:t xml:space="preserve"> </w:t>
      </w:r>
      <w:r w:rsidRPr="003F7057">
        <w:rPr>
          <w:rFonts w:eastAsia="Times New Roman"/>
          <w:sz w:val="24"/>
          <w:szCs w:val="24"/>
          <w:lang w:eastAsia="es-ES"/>
        </w:rPr>
        <w:t>en aquella desigualdad generada por recursos monetarios provenientes de políticas sociales y el sistema jubilatorio –D</w:t>
      </w:r>
      <w:r w:rsidRPr="003F7057">
        <w:rPr>
          <w:rFonts w:eastAsia="Times New Roman"/>
          <w:i/>
          <w:sz w:val="24"/>
          <w:szCs w:val="24"/>
          <w:vertAlign w:val="subscript"/>
          <w:lang w:eastAsia="es-ES"/>
        </w:rPr>
        <w:t>PS</w:t>
      </w:r>
      <w:r w:rsidRPr="003F7057">
        <w:rPr>
          <w:rFonts w:eastAsia="Times New Roman"/>
          <w:i/>
          <w:sz w:val="24"/>
          <w:szCs w:val="24"/>
          <w:vertAlign w:val="subscript"/>
          <w:lang w:val="fr-FR" w:eastAsia="es-ES"/>
        </w:rPr>
        <w:t xml:space="preserve">t </w:t>
      </w:r>
      <w:r w:rsidRPr="003F7057">
        <w:rPr>
          <w:rFonts w:eastAsia="Times New Roman"/>
          <w:sz w:val="24"/>
          <w:szCs w:val="24"/>
          <w:lang w:eastAsia="es-ES"/>
        </w:rPr>
        <w:t>– (entre las que se incluyen los programas de empleo –</w:t>
      </w:r>
      <w:proofErr w:type="spellStart"/>
      <w:r w:rsidRPr="003F7057">
        <w:rPr>
          <w:rFonts w:eastAsia="Times New Roman"/>
          <w:i/>
          <w:sz w:val="24"/>
          <w:szCs w:val="24"/>
          <w:lang w:eastAsia="es-ES"/>
        </w:rPr>
        <w:t>D</w:t>
      </w:r>
      <w:r w:rsidRPr="003F7057">
        <w:rPr>
          <w:rFonts w:eastAsia="Times New Roman"/>
          <w:i/>
          <w:sz w:val="24"/>
          <w:szCs w:val="24"/>
          <w:vertAlign w:val="subscript"/>
          <w:lang w:eastAsia="es-ES"/>
        </w:rPr>
        <w:t>PEt</w:t>
      </w:r>
      <w:proofErr w:type="spellEnd"/>
      <w:r w:rsidRPr="003F7057">
        <w:rPr>
          <w:rFonts w:eastAsia="Times New Roman"/>
          <w:i/>
          <w:sz w:val="24"/>
          <w:szCs w:val="24"/>
          <w:vertAlign w:val="subscript"/>
          <w:lang w:eastAsia="es-ES"/>
        </w:rPr>
        <w:t xml:space="preserve"> </w:t>
      </w:r>
      <w:r w:rsidRPr="003F7057">
        <w:rPr>
          <w:rFonts w:eastAsia="Times New Roman"/>
          <w:sz w:val="24"/>
          <w:szCs w:val="24"/>
          <w:lang w:eastAsia="es-ES"/>
        </w:rPr>
        <w:t>–, el conjunto de programas de transferencias de ingresos –</w:t>
      </w:r>
      <w:proofErr w:type="spellStart"/>
      <w:r w:rsidRPr="003F7057">
        <w:rPr>
          <w:rFonts w:eastAsia="Times New Roman"/>
          <w:i/>
          <w:sz w:val="24"/>
          <w:szCs w:val="24"/>
          <w:lang w:eastAsia="es-ES"/>
        </w:rPr>
        <w:t>D</w:t>
      </w:r>
      <w:r w:rsidRPr="003F7057">
        <w:rPr>
          <w:rFonts w:eastAsia="Times New Roman"/>
          <w:i/>
          <w:sz w:val="24"/>
          <w:szCs w:val="24"/>
          <w:vertAlign w:val="subscript"/>
          <w:lang w:eastAsia="es-ES"/>
        </w:rPr>
        <w:t>PTIt</w:t>
      </w:r>
      <w:proofErr w:type="spellEnd"/>
      <w:r w:rsidRPr="003F7057">
        <w:rPr>
          <w:rFonts w:eastAsia="Times New Roman"/>
          <w:i/>
          <w:sz w:val="24"/>
          <w:szCs w:val="24"/>
          <w:lang w:eastAsia="es-ES"/>
        </w:rPr>
        <w:t xml:space="preserve"> </w:t>
      </w:r>
      <w:r w:rsidRPr="003F7057">
        <w:rPr>
          <w:rFonts w:eastAsia="Times New Roman"/>
          <w:sz w:val="24"/>
          <w:szCs w:val="24"/>
          <w:lang w:eastAsia="es-ES"/>
        </w:rPr>
        <w:t>–</w:t>
      </w:r>
      <w:r w:rsidRPr="003F7057">
        <w:rPr>
          <w:rFonts w:eastAsia="Times New Roman"/>
          <w:i/>
          <w:sz w:val="24"/>
          <w:szCs w:val="24"/>
          <w:lang w:eastAsia="es-ES"/>
        </w:rPr>
        <w:t xml:space="preserve"> </w:t>
      </w:r>
      <w:r w:rsidRPr="003F7057">
        <w:rPr>
          <w:rFonts w:eastAsia="Times New Roman"/>
          <w:sz w:val="24"/>
          <w:szCs w:val="24"/>
          <w:lang w:eastAsia="es-ES"/>
        </w:rPr>
        <w:t>y el sistema de jubilaciones y pensiones –</w:t>
      </w:r>
      <w:proofErr w:type="spellStart"/>
      <w:r w:rsidRPr="003F7057">
        <w:rPr>
          <w:rFonts w:eastAsia="Times New Roman"/>
          <w:i/>
          <w:sz w:val="24"/>
          <w:szCs w:val="24"/>
          <w:lang w:eastAsia="es-ES"/>
        </w:rPr>
        <w:t>D</w:t>
      </w:r>
      <w:r w:rsidRPr="003F7057">
        <w:rPr>
          <w:rFonts w:eastAsia="Times New Roman"/>
          <w:i/>
          <w:sz w:val="24"/>
          <w:szCs w:val="24"/>
          <w:vertAlign w:val="subscript"/>
          <w:lang w:eastAsia="es-ES"/>
        </w:rPr>
        <w:t>JPt</w:t>
      </w:r>
      <w:proofErr w:type="spellEnd"/>
      <w:r w:rsidRPr="003F7057">
        <w:rPr>
          <w:rFonts w:eastAsia="Times New Roman"/>
          <w:i/>
          <w:sz w:val="24"/>
          <w:szCs w:val="24"/>
          <w:vertAlign w:val="subscript"/>
          <w:lang w:eastAsia="es-ES"/>
        </w:rPr>
        <w:t xml:space="preserve"> </w:t>
      </w:r>
      <w:r w:rsidRPr="003F7057">
        <w:rPr>
          <w:rFonts w:eastAsia="Times New Roman"/>
          <w:sz w:val="24"/>
          <w:szCs w:val="24"/>
          <w:lang w:eastAsia="es-ES"/>
        </w:rPr>
        <w:t>–</w:t>
      </w:r>
      <w:r w:rsidRPr="003F7057">
        <w:rPr>
          <w:rStyle w:val="Refdenotaalpie"/>
          <w:rFonts w:eastAsia="Times New Roman"/>
          <w:sz w:val="24"/>
          <w:szCs w:val="24"/>
          <w:lang w:eastAsia="es-ES"/>
        </w:rPr>
        <w:footnoteReference w:id="8"/>
      </w:r>
      <w:r w:rsidRPr="003F7057">
        <w:rPr>
          <w:rFonts w:eastAsia="Times New Roman"/>
          <w:sz w:val="24"/>
          <w:szCs w:val="24"/>
          <w:lang w:eastAsia="es-ES"/>
        </w:rPr>
        <w:t>) y la desigualdad originada por otros ingresos no laborales –</w:t>
      </w:r>
      <w:r w:rsidRPr="003F7057">
        <w:rPr>
          <w:rFonts w:eastAsia="Times New Roman"/>
          <w:i/>
          <w:sz w:val="24"/>
          <w:szCs w:val="24"/>
          <w:lang w:eastAsia="es-ES"/>
        </w:rPr>
        <w:t>D</w:t>
      </w:r>
      <w:r w:rsidRPr="003F7057">
        <w:rPr>
          <w:rFonts w:eastAsia="Times New Roman"/>
          <w:i/>
          <w:sz w:val="24"/>
          <w:szCs w:val="24"/>
          <w:vertAlign w:val="subscript"/>
          <w:lang w:eastAsia="es-ES"/>
        </w:rPr>
        <w:t>OINL</w:t>
      </w:r>
      <w:r w:rsidRPr="003F7057">
        <w:rPr>
          <w:rFonts w:eastAsia="Times New Roman"/>
          <w:i/>
          <w:sz w:val="24"/>
          <w:szCs w:val="24"/>
          <w:vertAlign w:val="subscript"/>
          <w:lang w:val="fr-FR" w:eastAsia="es-ES"/>
        </w:rPr>
        <w:t>t</w:t>
      </w:r>
      <w:r w:rsidRPr="003F7057">
        <w:rPr>
          <w:rFonts w:eastAsia="Times New Roman"/>
          <w:sz w:val="24"/>
          <w:szCs w:val="24"/>
          <w:lang w:eastAsia="es-ES"/>
        </w:rPr>
        <w:t>–.</w:t>
      </w:r>
      <w:r w:rsidRPr="003F7057">
        <w:rPr>
          <w:rFonts w:eastAsia="Times New Roman"/>
          <w:sz w:val="24"/>
          <w:szCs w:val="24"/>
          <w:lang w:val="es-ES" w:eastAsia="es-ES"/>
        </w:rPr>
        <w:t xml:space="preserve"> El subíndice </w:t>
      </w:r>
      <w:r w:rsidRPr="003F7057">
        <w:rPr>
          <w:rFonts w:eastAsia="Times New Roman"/>
          <w:i/>
          <w:sz w:val="24"/>
          <w:szCs w:val="24"/>
          <w:lang w:val="es-ES" w:eastAsia="es-ES"/>
        </w:rPr>
        <w:t>t</w:t>
      </w:r>
      <w:r w:rsidRPr="003F7057">
        <w:rPr>
          <w:rFonts w:eastAsia="Times New Roman"/>
          <w:sz w:val="24"/>
          <w:szCs w:val="24"/>
          <w:lang w:val="es-ES" w:eastAsia="es-ES"/>
        </w:rPr>
        <w:t xml:space="preserve"> simboliza el tiempo. </w:t>
      </w:r>
    </w:p>
    <w:p w:rsidR="00433B67" w:rsidRPr="003F7057" w:rsidRDefault="00433B67" w:rsidP="00433B67">
      <w:pPr>
        <w:spacing w:line="240" w:lineRule="auto"/>
        <w:jc w:val="both"/>
        <w:rPr>
          <w:rFonts w:eastAsia="Times New Roman"/>
          <w:sz w:val="24"/>
          <w:szCs w:val="24"/>
          <w:lang w:val="es-ES" w:eastAsia="es-ES"/>
        </w:rPr>
      </w:pPr>
      <w:r>
        <w:rPr>
          <w:rFonts w:eastAsia="Times New Roman"/>
          <w:sz w:val="24"/>
          <w:szCs w:val="24"/>
          <w:lang w:val="es-ES" w:eastAsia="es-ES"/>
        </w:rPr>
        <w:t xml:space="preserve">Este </w:t>
      </w:r>
      <w:r w:rsidRPr="003F7057">
        <w:rPr>
          <w:rFonts w:eastAsia="Times New Roman"/>
          <w:sz w:val="24"/>
          <w:szCs w:val="24"/>
          <w:lang w:val="es-ES" w:eastAsia="es-ES"/>
        </w:rPr>
        <w:t xml:space="preserve">método no sólo constituye una herramienta útil para estimar el sentido y nivel en que cada una de las fuentes de ingresos contribuye a determinar el coeficiente de Gini, sino también para explicar de manera dinámica los factores distributivos subyacentes que están detrás de un determinado valor del índice y de sus cambios en el tiempo.  </w:t>
      </w:r>
      <w:r>
        <w:rPr>
          <w:rFonts w:eastAsia="Times New Roman"/>
          <w:sz w:val="24"/>
          <w:szCs w:val="24"/>
          <w:lang w:val="es-ES" w:eastAsia="es-ES"/>
        </w:rPr>
        <w:t>D</w:t>
      </w:r>
      <w:r w:rsidRPr="003F7057">
        <w:rPr>
          <w:rFonts w:eastAsia="Times New Roman"/>
          <w:sz w:val="24"/>
          <w:szCs w:val="24"/>
          <w:lang w:val="es-ES" w:eastAsia="es-ES"/>
        </w:rPr>
        <w:t xml:space="preserve">ado que la ecuación de descomposición asume la forma expresada en (1), según demuestra Cortes (2000), el cambio entre dos índices de Gini que expresen diferencias temporales, uno referido al tiempo </w:t>
      </w:r>
      <w:r w:rsidRPr="003F7057">
        <w:rPr>
          <w:rFonts w:eastAsia="Times New Roman"/>
          <w:i/>
          <w:sz w:val="24"/>
          <w:szCs w:val="24"/>
          <w:lang w:val="es-ES" w:eastAsia="es-ES"/>
        </w:rPr>
        <w:t>t</w:t>
      </w:r>
      <w:r w:rsidRPr="003F7057">
        <w:rPr>
          <w:rFonts w:eastAsia="Times New Roman"/>
          <w:sz w:val="24"/>
          <w:szCs w:val="24"/>
          <w:lang w:val="es-ES" w:eastAsia="es-ES"/>
        </w:rPr>
        <w:t xml:space="preserve"> (</w:t>
      </w:r>
      <w:proofErr w:type="spellStart"/>
      <w:r w:rsidRPr="003F7057">
        <w:rPr>
          <w:rFonts w:eastAsia="Times New Roman"/>
          <w:sz w:val="24"/>
          <w:szCs w:val="24"/>
          <w:lang w:val="es-ES" w:eastAsia="es-ES"/>
        </w:rPr>
        <w:t>G</w:t>
      </w:r>
      <w:r w:rsidRPr="003F7057">
        <w:rPr>
          <w:rFonts w:eastAsia="Times New Roman"/>
          <w:sz w:val="24"/>
          <w:szCs w:val="24"/>
          <w:vertAlign w:val="subscript"/>
          <w:lang w:val="es-ES" w:eastAsia="es-ES"/>
        </w:rPr>
        <w:t>t</w:t>
      </w:r>
      <w:proofErr w:type="spellEnd"/>
      <w:r w:rsidRPr="003F7057">
        <w:rPr>
          <w:rFonts w:eastAsia="Times New Roman"/>
          <w:sz w:val="24"/>
          <w:szCs w:val="24"/>
          <w:lang w:val="es-ES" w:eastAsia="es-ES"/>
        </w:rPr>
        <w:t xml:space="preserve">) y otro al tiempo </w:t>
      </w:r>
      <w:r w:rsidRPr="003F7057">
        <w:rPr>
          <w:rFonts w:eastAsia="Times New Roman"/>
          <w:i/>
          <w:sz w:val="24"/>
          <w:szCs w:val="24"/>
          <w:lang w:val="es-ES" w:eastAsia="es-ES"/>
        </w:rPr>
        <w:t>0</w:t>
      </w:r>
      <w:r w:rsidRPr="003F7057">
        <w:rPr>
          <w:rFonts w:eastAsia="Times New Roman"/>
          <w:sz w:val="24"/>
          <w:szCs w:val="24"/>
          <w:lang w:val="es-ES" w:eastAsia="es-ES"/>
        </w:rPr>
        <w:t xml:space="preserve"> (G</w:t>
      </w:r>
      <w:r w:rsidRPr="003F7057">
        <w:rPr>
          <w:rFonts w:eastAsia="Times New Roman"/>
          <w:sz w:val="24"/>
          <w:szCs w:val="24"/>
          <w:vertAlign w:val="subscript"/>
          <w:lang w:val="es-ES" w:eastAsia="es-ES"/>
        </w:rPr>
        <w:t>0</w:t>
      </w:r>
      <w:r w:rsidRPr="003F7057">
        <w:rPr>
          <w:rFonts w:eastAsia="Times New Roman"/>
          <w:sz w:val="24"/>
          <w:szCs w:val="24"/>
          <w:lang w:val="es-ES" w:eastAsia="es-ES"/>
        </w:rPr>
        <w:t>), puede descomponerse de acuerdo con la siguiente ecuación</w:t>
      </w:r>
      <w:r w:rsidRPr="003F7057">
        <w:rPr>
          <w:rFonts w:eastAsia="Times New Roman"/>
          <w:sz w:val="24"/>
          <w:szCs w:val="24"/>
          <w:vertAlign w:val="superscript"/>
          <w:lang w:val="es-ES" w:eastAsia="es-ES"/>
        </w:rPr>
        <w:footnoteReference w:id="9"/>
      </w:r>
      <w:r w:rsidRPr="003F7057">
        <w:rPr>
          <w:rFonts w:eastAsia="Times New Roman"/>
          <w:sz w:val="24"/>
          <w:szCs w:val="24"/>
          <w:lang w:val="es-ES" w:eastAsia="es-ES"/>
        </w:rPr>
        <w:t xml:space="preserve">: </w:t>
      </w:r>
    </w:p>
    <w:p w:rsidR="00433B67" w:rsidRPr="001A5BF1" w:rsidRDefault="00433B67" w:rsidP="00433B67">
      <w:pPr>
        <w:spacing w:after="120" w:line="240" w:lineRule="auto"/>
        <w:jc w:val="center"/>
        <w:rPr>
          <w:rFonts w:eastAsia="Times New Roman"/>
          <w:lang w:val="es-ES" w:eastAsia="es-ES"/>
        </w:rPr>
      </w:pPr>
      <w:bookmarkStart w:id="0" w:name="OLE_LINK1"/>
      <m:oMath>
        <m:r>
          <w:rPr>
            <w:rFonts w:ascii="Cambria Math" w:eastAsia="Times New Roman" w:hAnsi="Cambria Math"/>
            <w:sz w:val="18"/>
            <w:lang w:eastAsia="es-ES"/>
          </w:rPr>
          <m:t>∆</m:t>
        </m:r>
        <m:r>
          <m:rPr>
            <m:sty m:val="p"/>
          </m:rPr>
          <w:rPr>
            <w:rFonts w:ascii="Cambria Math" w:eastAsia="Times New Roman" w:hAnsi="Cambria Math"/>
            <w:sz w:val="18"/>
            <w:lang w:eastAsia="es-ES"/>
          </w:rPr>
          <m:t>G=</m:t>
        </m:r>
        <m:sSub>
          <m:sSubPr>
            <m:ctrlPr>
              <w:rPr>
                <w:rFonts w:ascii="Cambria Math" w:eastAsia="Times New Roman" w:hAnsi="Cambria Math"/>
                <w:sz w:val="18"/>
                <w:lang w:eastAsia="es-ES"/>
              </w:rPr>
            </m:ctrlPr>
          </m:sSubPr>
          <m:e>
            <m:r>
              <m:rPr>
                <m:sty m:val="p"/>
              </m:rPr>
              <w:rPr>
                <w:rFonts w:ascii="Cambria Math" w:eastAsia="Times New Roman" w:hAnsi="Cambria Math"/>
                <w:sz w:val="18"/>
                <w:lang w:eastAsia="es-ES"/>
              </w:rPr>
              <m:t>G</m:t>
            </m:r>
          </m:e>
          <m:sub>
            <m:r>
              <m:rPr>
                <m:sty m:val="p"/>
              </m:rPr>
              <w:rPr>
                <w:rFonts w:ascii="Cambria Math" w:eastAsia="Times New Roman" w:hAnsi="Cambria Math"/>
                <w:sz w:val="18"/>
                <w:lang w:eastAsia="es-ES"/>
              </w:rPr>
              <m:t>t</m:t>
            </m:r>
          </m:sub>
        </m:sSub>
        <m:r>
          <m:rPr>
            <m:sty m:val="p"/>
          </m:rPr>
          <w:rPr>
            <w:rFonts w:ascii="Cambria Math" w:eastAsia="Times New Roman" w:hAnsi="Cambria Math"/>
            <w:sz w:val="18"/>
            <w:lang w:eastAsia="es-ES"/>
          </w:rPr>
          <m:t>-</m:t>
        </m:r>
        <m:sSub>
          <m:sSubPr>
            <m:ctrlPr>
              <w:rPr>
                <w:rFonts w:ascii="Cambria Math" w:eastAsia="Times New Roman" w:hAnsi="Cambria Math"/>
                <w:sz w:val="18"/>
                <w:lang w:eastAsia="es-ES"/>
              </w:rPr>
            </m:ctrlPr>
          </m:sSubPr>
          <m:e>
            <m:r>
              <m:rPr>
                <m:sty m:val="p"/>
              </m:rPr>
              <w:rPr>
                <w:rFonts w:ascii="Cambria Math" w:eastAsia="Times New Roman" w:hAnsi="Cambria Math"/>
                <w:sz w:val="18"/>
                <w:lang w:eastAsia="es-ES"/>
              </w:rPr>
              <m:t>G</m:t>
            </m:r>
          </m:e>
          <m:sub>
            <m:r>
              <m:rPr>
                <m:sty m:val="p"/>
              </m:rPr>
              <w:rPr>
                <w:rFonts w:ascii="Cambria Math" w:eastAsia="Times New Roman" w:hAnsi="Cambria Math"/>
                <w:sz w:val="18"/>
                <w:lang w:eastAsia="es-ES"/>
              </w:rPr>
              <m:t>0</m:t>
            </m:r>
          </m:sub>
        </m:sSub>
        <m:r>
          <m:rPr>
            <m:sty m:val="p"/>
          </m:rPr>
          <w:rPr>
            <w:rFonts w:ascii="Cambria Math" w:eastAsia="Times New Roman" w:hAnsi="Cambria Math"/>
            <w:sz w:val="18"/>
            <w:lang w:eastAsia="es-ES"/>
          </w:rPr>
          <m:t>=</m:t>
        </m:r>
        <m:nary>
          <m:naryPr>
            <m:chr m:val="∑"/>
            <m:limLoc m:val="undOvr"/>
            <m:ctrlPr>
              <w:rPr>
                <w:rFonts w:ascii="Cambria Math" w:eastAsia="Times New Roman" w:hAnsi="Cambria Math"/>
                <w:sz w:val="18"/>
                <w:lang w:eastAsia="es-ES"/>
              </w:rPr>
            </m:ctrlPr>
          </m:naryPr>
          <m:sub>
            <m:r>
              <m:rPr>
                <m:sty m:val="p"/>
              </m:rPr>
              <w:rPr>
                <w:rFonts w:ascii="Cambria Math" w:eastAsia="Times New Roman" w:hAnsi="Cambria Math"/>
                <w:sz w:val="18"/>
                <w:lang w:eastAsia="es-ES"/>
              </w:rPr>
              <m:t>k=1</m:t>
            </m:r>
          </m:sub>
          <m:sup>
            <m:r>
              <m:rPr>
                <m:sty m:val="p"/>
              </m:rPr>
              <w:rPr>
                <w:rFonts w:ascii="Cambria Math" w:eastAsia="Times New Roman" w:hAnsi="Cambria Math"/>
                <w:sz w:val="18"/>
                <w:lang w:eastAsia="es-ES"/>
              </w:rPr>
              <m:t>k</m:t>
            </m:r>
          </m:sup>
          <m:e>
            <m:sSub>
              <m:sSubPr>
                <m:ctrlPr>
                  <w:rPr>
                    <w:rFonts w:ascii="Cambria Math" w:eastAsia="Times New Roman" w:hAnsi="Cambria Math"/>
                    <w:sz w:val="18"/>
                    <w:lang w:eastAsia="es-ES"/>
                  </w:rPr>
                </m:ctrlPr>
              </m:sSubPr>
              <m:e>
                <m:r>
                  <m:rPr>
                    <m:sty m:val="p"/>
                  </m:rPr>
                  <w:rPr>
                    <w:rFonts w:ascii="Cambria Math" w:eastAsia="Times New Roman" w:hAnsi="Cambria Math"/>
                    <w:sz w:val="18"/>
                    <w:lang w:eastAsia="es-ES"/>
                  </w:rPr>
                  <m:t>R</m:t>
                </m:r>
              </m:e>
              <m:sub>
                <m:r>
                  <m:rPr>
                    <m:sty m:val="p"/>
                  </m:rPr>
                  <w:rPr>
                    <w:rFonts w:ascii="Cambria Math" w:eastAsia="Times New Roman" w:hAnsi="Cambria Math"/>
                    <w:sz w:val="18"/>
                    <w:lang w:eastAsia="es-ES"/>
                  </w:rPr>
                  <m:t>0,k</m:t>
                </m:r>
              </m:sub>
            </m:sSub>
          </m:e>
        </m:nary>
        <m:sSub>
          <m:sSubPr>
            <m:ctrlPr>
              <w:rPr>
                <w:rFonts w:ascii="Cambria Math" w:eastAsia="Times New Roman" w:hAnsi="Cambria Math"/>
                <w:sz w:val="18"/>
                <w:lang w:eastAsia="es-ES"/>
              </w:rPr>
            </m:ctrlPr>
          </m:sSubPr>
          <m:e>
            <m:r>
              <m:rPr>
                <m:sty m:val="p"/>
              </m:rPr>
              <w:rPr>
                <w:rFonts w:ascii="Cambria Math" w:eastAsia="Times New Roman" w:hAnsi="Cambria Math"/>
                <w:sz w:val="18"/>
                <w:lang w:eastAsia="es-ES"/>
              </w:rPr>
              <m:t>G</m:t>
            </m:r>
          </m:e>
          <m:sub>
            <m:r>
              <m:rPr>
                <m:sty m:val="p"/>
              </m:rPr>
              <w:rPr>
                <w:rFonts w:ascii="Cambria Math" w:eastAsia="Times New Roman" w:hAnsi="Cambria Math"/>
                <w:sz w:val="18"/>
                <w:lang w:eastAsia="es-ES"/>
              </w:rPr>
              <m:t>0,k</m:t>
            </m:r>
          </m:sub>
        </m:sSub>
        <m:sSub>
          <m:sSubPr>
            <m:ctrlPr>
              <w:rPr>
                <w:rFonts w:ascii="Cambria Math" w:eastAsia="Times New Roman" w:hAnsi="Cambria Math"/>
                <w:sz w:val="18"/>
                <w:lang w:eastAsia="es-ES"/>
              </w:rPr>
            </m:ctrlPr>
          </m:sSubPr>
          <m:e>
            <m:r>
              <m:rPr>
                <m:sty m:val="p"/>
              </m:rPr>
              <w:rPr>
                <w:rFonts w:ascii="Cambria Math" w:eastAsia="Times New Roman" w:hAnsi="Cambria Math"/>
                <w:sz w:val="18"/>
                <w:lang w:eastAsia="es-ES"/>
              </w:rPr>
              <m:t>S</m:t>
            </m:r>
          </m:e>
          <m:sub>
            <m:r>
              <m:rPr>
                <m:sty m:val="p"/>
              </m:rPr>
              <w:rPr>
                <w:rFonts w:ascii="Cambria Math" w:eastAsia="Times New Roman" w:hAnsi="Cambria Math"/>
                <w:sz w:val="18"/>
                <w:lang w:eastAsia="es-ES"/>
              </w:rPr>
              <m:t>0,k</m:t>
            </m:r>
          </m:sub>
        </m:sSub>
        <m:r>
          <m:rPr>
            <m:sty m:val="p"/>
          </m:rPr>
          <w:rPr>
            <w:rFonts w:ascii="Cambria Math" w:eastAsia="Times New Roman" w:hAnsi="Cambria Math"/>
            <w:sz w:val="18"/>
            <w:lang w:eastAsia="es-ES"/>
          </w:rPr>
          <m:t xml:space="preserve"> </m:t>
        </m:r>
        <m:r>
          <m:rPr>
            <m:sty m:val="p"/>
          </m:rPr>
          <w:rPr>
            <w:rFonts w:ascii="Cambria Math" w:eastAsia="Times New Roman" w:hAnsi="Cambria Math"/>
            <w:sz w:val="18"/>
            <w:lang w:val="es-ES" w:eastAsia="es-ES"/>
          </w:rPr>
          <m:t xml:space="preserve">[r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g</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s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m:t>
        </m:r>
      </m:oMath>
      <w:bookmarkEnd w:id="0"/>
      <w:r w:rsidRPr="001A5BF1">
        <w:rPr>
          <w:rFonts w:eastAsia="Times New Roman"/>
          <w:sz w:val="18"/>
          <w:lang w:val="es-ES" w:eastAsia="es-ES"/>
        </w:rPr>
        <w:t xml:space="preserve"> </w:t>
      </w:r>
      <w:r>
        <w:rPr>
          <w:rFonts w:eastAsia="Times New Roman"/>
          <w:sz w:val="18"/>
          <w:lang w:val="es-ES" w:eastAsia="es-ES"/>
        </w:rPr>
        <w:t xml:space="preserve">  (3)</w:t>
      </w:r>
    </w:p>
    <w:p w:rsidR="00433B67" w:rsidRPr="001A5BF1" w:rsidRDefault="00433B67" w:rsidP="00433B67">
      <w:pPr>
        <w:spacing w:after="0" w:line="240" w:lineRule="auto"/>
        <w:jc w:val="right"/>
        <w:rPr>
          <w:rFonts w:eastAsia="Times New Roman"/>
          <w:i/>
          <w:sz w:val="18"/>
          <w:lang w:val="es-ES" w:eastAsia="es-ES"/>
        </w:rPr>
      </w:pPr>
      <w:r w:rsidRPr="001A5BF1">
        <w:rPr>
          <w:rFonts w:eastAsia="Times New Roman"/>
          <w:i/>
          <w:sz w:val="18"/>
          <w:lang w:val="es-ES" w:eastAsia="es-ES"/>
        </w:rPr>
        <w:t>(k = 1, 2,...., K)</w:t>
      </w:r>
    </w:p>
    <w:p w:rsidR="00433B67" w:rsidRPr="001A5BF1" w:rsidRDefault="00433B67" w:rsidP="00433B67">
      <w:pPr>
        <w:spacing w:after="120" w:line="240" w:lineRule="auto"/>
        <w:jc w:val="right"/>
        <w:rPr>
          <w:rFonts w:eastAsia="Times New Roman"/>
          <w:i/>
          <w:sz w:val="18"/>
          <w:lang w:eastAsia="es-ES"/>
        </w:rPr>
      </w:pPr>
      <w:r w:rsidRPr="001A5BF1">
        <w:rPr>
          <w:rFonts w:eastAsia="Times New Roman"/>
          <w:i/>
          <w:sz w:val="18"/>
          <w:lang w:eastAsia="es-ES"/>
        </w:rPr>
        <w:t>(t = 1974, 1988,……2014)</w:t>
      </w:r>
    </w:p>
    <w:p w:rsidR="00433B67" w:rsidRDefault="00433B67" w:rsidP="00433B67">
      <w:pPr>
        <w:spacing w:after="120" w:line="240" w:lineRule="auto"/>
        <w:jc w:val="both"/>
        <w:rPr>
          <w:rFonts w:eastAsia="Times New Roman"/>
          <w:sz w:val="24"/>
          <w:szCs w:val="24"/>
          <w:lang w:val="es-ES" w:eastAsia="es-ES"/>
        </w:rPr>
      </w:pPr>
      <w:r w:rsidRPr="003F7057">
        <w:rPr>
          <w:rFonts w:eastAsia="Times New Roman"/>
          <w:sz w:val="24"/>
          <w:szCs w:val="24"/>
          <w:lang w:val="es-ES" w:eastAsia="es-ES"/>
        </w:rPr>
        <w:t xml:space="preserve">Según la ecuación (3) la contribución de una determinada fuente al cambio general de la desigualdad estará determinada por: (i) los cambios en la correlación entre la distribución del ingreso familiar de un determinado origen con respecto a la distribución total del ingreso (R); (ii) el cambio en la concentración relativa del ingreso por parte de cada fuente considerada (S); (iii) los cambios que registre la desigualdad al </w:t>
      </w:r>
      <w:r w:rsidRPr="003F7057">
        <w:rPr>
          <w:rFonts w:eastAsia="Times New Roman"/>
          <w:sz w:val="24"/>
          <w:szCs w:val="24"/>
          <w:lang w:val="es-ES" w:eastAsia="es-ES"/>
        </w:rPr>
        <w:lastRenderedPageBreak/>
        <w:t xml:space="preserve">interior de cada fuente (G); y (iv) el efecto de cada una de las correlaciones de primer y segundo orden entre estos factores. </w:t>
      </w:r>
      <w:r>
        <w:rPr>
          <w:rFonts w:eastAsia="Times New Roman"/>
          <w:sz w:val="24"/>
          <w:szCs w:val="24"/>
          <w:lang w:val="es-ES" w:eastAsia="es-ES"/>
        </w:rPr>
        <w:t>E</w:t>
      </w:r>
      <w:r w:rsidRPr="003F7057">
        <w:rPr>
          <w:rFonts w:eastAsia="Times New Roman"/>
          <w:sz w:val="24"/>
          <w:szCs w:val="24"/>
          <w:lang w:val="es-ES" w:eastAsia="es-ES"/>
        </w:rPr>
        <w:t>l factor común que reúne la suma (</w:t>
      </w:r>
      <w:r w:rsidRPr="003F7057">
        <w:rPr>
          <w:rFonts w:eastAsia="Times New Roman"/>
          <w:i/>
          <w:sz w:val="24"/>
          <w:szCs w:val="24"/>
          <w:lang w:val="es-ES" w:eastAsia="es-ES"/>
        </w:rPr>
        <w:t>R</w:t>
      </w:r>
      <w:r w:rsidRPr="003F7057">
        <w:rPr>
          <w:rFonts w:eastAsia="Times New Roman"/>
          <w:i/>
          <w:sz w:val="24"/>
          <w:szCs w:val="24"/>
          <w:vertAlign w:val="subscript"/>
          <w:lang w:val="es-ES" w:eastAsia="es-ES"/>
        </w:rPr>
        <w:t>0</w:t>
      </w:r>
      <w:proofErr w:type="gramStart"/>
      <w:r w:rsidRPr="003F7057">
        <w:rPr>
          <w:rFonts w:eastAsia="Times New Roman"/>
          <w:i/>
          <w:sz w:val="24"/>
          <w:szCs w:val="24"/>
          <w:vertAlign w:val="subscript"/>
          <w:lang w:val="es-ES" w:eastAsia="es-ES"/>
        </w:rPr>
        <w:t>,k</w:t>
      </w:r>
      <w:proofErr w:type="gramEnd"/>
      <w:r w:rsidRPr="003F7057">
        <w:rPr>
          <w:rFonts w:eastAsia="Times New Roman"/>
          <w:i/>
          <w:sz w:val="24"/>
          <w:szCs w:val="24"/>
          <w:lang w:val="es-ES" w:eastAsia="es-ES"/>
        </w:rPr>
        <w:t xml:space="preserve"> G</w:t>
      </w:r>
      <w:r w:rsidRPr="003F7057">
        <w:rPr>
          <w:rFonts w:eastAsia="Times New Roman"/>
          <w:i/>
          <w:sz w:val="24"/>
          <w:szCs w:val="24"/>
          <w:vertAlign w:val="subscript"/>
          <w:lang w:val="es-ES" w:eastAsia="es-ES"/>
        </w:rPr>
        <w:t xml:space="preserve">0,k  </w:t>
      </w:r>
      <w:r w:rsidRPr="003F7057">
        <w:rPr>
          <w:rFonts w:eastAsia="Times New Roman"/>
          <w:i/>
          <w:sz w:val="24"/>
          <w:szCs w:val="24"/>
          <w:lang w:val="es-ES" w:eastAsia="es-ES"/>
        </w:rPr>
        <w:t>S</w:t>
      </w:r>
      <w:r w:rsidRPr="003F7057">
        <w:rPr>
          <w:rFonts w:eastAsia="Times New Roman"/>
          <w:i/>
          <w:sz w:val="24"/>
          <w:szCs w:val="24"/>
          <w:vertAlign w:val="subscript"/>
          <w:lang w:val="es-ES" w:eastAsia="es-ES"/>
        </w:rPr>
        <w:t>0,k</w:t>
      </w:r>
      <w:r w:rsidRPr="003F7057">
        <w:rPr>
          <w:rFonts w:eastAsia="Times New Roman"/>
          <w:sz w:val="24"/>
          <w:szCs w:val="24"/>
          <w:lang w:val="es-ES" w:eastAsia="es-ES"/>
        </w:rPr>
        <w:t>) representa la magnitud del aporte de cada una de estos factores a la formación del índice de Gini del ingreso familiar en el tiempo base</w:t>
      </w:r>
      <w:r w:rsidRPr="003F7057">
        <w:rPr>
          <w:rStyle w:val="Refdenotaalpie"/>
          <w:rFonts w:eastAsia="Times New Roman"/>
          <w:sz w:val="24"/>
          <w:szCs w:val="24"/>
          <w:lang w:val="es-ES" w:eastAsia="es-ES"/>
        </w:rPr>
        <w:footnoteReference w:id="10"/>
      </w:r>
      <w:r w:rsidRPr="003F7057">
        <w:rPr>
          <w:rFonts w:eastAsia="Times New Roman"/>
          <w:sz w:val="24"/>
          <w:szCs w:val="24"/>
          <w:lang w:val="es-ES" w:eastAsia="es-ES"/>
        </w:rPr>
        <w:t xml:space="preserve">. Las variables </w:t>
      </w:r>
      <w:proofErr w:type="spellStart"/>
      <w:r w:rsidRPr="003F7057">
        <w:rPr>
          <w:rFonts w:eastAsia="Times New Roman"/>
          <w:i/>
          <w:sz w:val="24"/>
          <w:szCs w:val="24"/>
          <w:lang w:val="es-ES" w:eastAsia="es-ES"/>
        </w:rPr>
        <w:t>r</w:t>
      </w:r>
      <w:r w:rsidRPr="003F7057">
        <w:rPr>
          <w:rFonts w:eastAsia="Times New Roman"/>
          <w:i/>
          <w:sz w:val="24"/>
          <w:szCs w:val="24"/>
          <w:vertAlign w:val="subscript"/>
          <w:lang w:val="es-ES" w:eastAsia="es-ES"/>
        </w:rPr>
        <w:t>k</w:t>
      </w:r>
      <w:proofErr w:type="spellEnd"/>
      <w:proofErr w:type="gramStart"/>
      <w:r w:rsidRPr="003F7057">
        <w:rPr>
          <w:rFonts w:eastAsia="Times New Roman"/>
          <w:i/>
          <w:sz w:val="24"/>
          <w:szCs w:val="24"/>
          <w:vertAlign w:val="subscript"/>
          <w:lang w:val="es-ES" w:eastAsia="es-ES"/>
        </w:rPr>
        <w:t>,,</w:t>
      </w:r>
      <w:proofErr w:type="gramEnd"/>
      <w:r w:rsidRPr="003F7057">
        <w:rPr>
          <w:rFonts w:eastAsia="Times New Roman"/>
          <w:i/>
          <w:sz w:val="24"/>
          <w:szCs w:val="24"/>
          <w:vertAlign w:val="subscript"/>
          <w:lang w:val="es-ES" w:eastAsia="es-ES"/>
        </w:rPr>
        <w:t xml:space="preserve"> </w:t>
      </w:r>
      <w:proofErr w:type="spellStart"/>
      <w:r w:rsidRPr="003F7057">
        <w:rPr>
          <w:rFonts w:eastAsia="Times New Roman"/>
          <w:i/>
          <w:sz w:val="24"/>
          <w:szCs w:val="24"/>
          <w:lang w:val="es-ES" w:eastAsia="es-ES"/>
        </w:rPr>
        <w:t>g</w:t>
      </w:r>
      <w:r w:rsidRPr="003F7057">
        <w:rPr>
          <w:rFonts w:eastAsia="Times New Roman"/>
          <w:i/>
          <w:sz w:val="24"/>
          <w:szCs w:val="24"/>
          <w:vertAlign w:val="subscript"/>
          <w:lang w:val="es-ES" w:eastAsia="es-ES"/>
        </w:rPr>
        <w:t>k</w:t>
      </w:r>
      <w:proofErr w:type="spellEnd"/>
      <w:r w:rsidRPr="003F7057">
        <w:rPr>
          <w:rFonts w:eastAsia="Times New Roman"/>
          <w:i/>
          <w:sz w:val="24"/>
          <w:szCs w:val="24"/>
          <w:lang w:val="es-ES" w:eastAsia="es-ES"/>
        </w:rPr>
        <w:t xml:space="preserve"> </w:t>
      </w:r>
      <w:r w:rsidRPr="003F7057">
        <w:rPr>
          <w:rFonts w:eastAsia="Times New Roman"/>
          <w:sz w:val="24"/>
          <w:szCs w:val="24"/>
          <w:lang w:val="es-ES" w:eastAsia="es-ES"/>
        </w:rPr>
        <w:t>y</w:t>
      </w:r>
      <w:r w:rsidRPr="003F7057">
        <w:rPr>
          <w:rFonts w:eastAsia="Times New Roman"/>
          <w:i/>
          <w:sz w:val="24"/>
          <w:szCs w:val="24"/>
          <w:lang w:val="es-ES" w:eastAsia="es-ES"/>
        </w:rPr>
        <w:t xml:space="preserve"> </w:t>
      </w:r>
      <w:proofErr w:type="spellStart"/>
      <w:r w:rsidRPr="003F7057">
        <w:rPr>
          <w:rFonts w:eastAsia="Times New Roman"/>
          <w:i/>
          <w:sz w:val="24"/>
          <w:szCs w:val="24"/>
          <w:lang w:val="es-ES" w:eastAsia="es-ES"/>
        </w:rPr>
        <w:t>s</w:t>
      </w:r>
      <w:r w:rsidRPr="003F7057">
        <w:rPr>
          <w:rFonts w:eastAsia="Times New Roman"/>
          <w:i/>
          <w:sz w:val="24"/>
          <w:szCs w:val="24"/>
          <w:vertAlign w:val="subscript"/>
          <w:lang w:val="es-ES" w:eastAsia="es-ES"/>
        </w:rPr>
        <w:t>k</w:t>
      </w:r>
      <w:proofErr w:type="spellEnd"/>
      <w:r w:rsidRPr="003F7057">
        <w:rPr>
          <w:rFonts w:eastAsia="Times New Roman"/>
          <w:sz w:val="24"/>
          <w:szCs w:val="24"/>
          <w:lang w:val="es-ES" w:eastAsia="es-ES"/>
        </w:rPr>
        <w:t xml:space="preserve"> son las tasas de crecimiento lineales simples para cada fuente de la correlación de Gini, de los índices de </w:t>
      </w:r>
      <w:proofErr w:type="spellStart"/>
      <w:r w:rsidRPr="003F7057">
        <w:rPr>
          <w:rFonts w:eastAsia="Times New Roman"/>
          <w:sz w:val="24"/>
          <w:szCs w:val="24"/>
          <w:lang w:val="es-ES" w:eastAsia="es-ES"/>
        </w:rPr>
        <w:t>intradesigualdad</w:t>
      </w:r>
      <w:proofErr w:type="spellEnd"/>
      <w:r w:rsidRPr="003F7057">
        <w:rPr>
          <w:rFonts w:eastAsia="Times New Roman"/>
          <w:sz w:val="24"/>
          <w:szCs w:val="24"/>
          <w:lang w:val="es-ES" w:eastAsia="es-ES"/>
        </w:rPr>
        <w:t xml:space="preserve"> y de las participaciones de las fuentes en el ingreso monetario, respectivamente. </w:t>
      </w:r>
    </w:p>
    <w:p w:rsidR="00433B67" w:rsidRDefault="00433B67" w:rsidP="00433B67">
      <w:pPr>
        <w:spacing w:line="240" w:lineRule="auto"/>
        <w:jc w:val="center"/>
        <w:rPr>
          <w:rFonts w:eastAsia="Times New Roman"/>
          <w:sz w:val="24"/>
          <w:szCs w:val="24"/>
          <w:u w:val="single"/>
          <w:lang w:val="es-ES" w:eastAsia="es-AR"/>
        </w:rPr>
      </w:pPr>
      <w:r>
        <w:rPr>
          <w:rFonts w:eastAsia="Times New Roman"/>
          <w:sz w:val="24"/>
          <w:szCs w:val="24"/>
          <w:u w:val="single"/>
          <w:lang w:val="es-ES" w:eastAsia="es-AR"/>
        </w:rPr>
        <w:t>F</w:t>
      </w:r>
      <w:r w:rsidRPr="003F7057">
        <w:rPr>
          <w:rFonts w:eastAsia="Times New Roman"/>
          <w:sz w:val="24"/>
          <w:szCs w:val="24"/>
          <w:u w:val="single"/>
          <w:lang w:val="es-ES" w:eastAsia="es-AR"/>
        </w:rPr>
        <w:t>ase final del modelo sustitutivo e inicio del ajuste ortodoxo (1974-1988)</w:t>
      </w:r>
    </w:p>
    <w:p w:rsidR="00433B67" w:rsidRDefault="00433B67" w:rsidP="00433B67">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t>Entre 1974 y 1988, e</w:t>
      </w:r>
      <w:r w:rsidRPr="003F7057">
        <w:rPr>
          <w:rFonts w:eastAsia="Times New Roman"/>
          <w:sz w:val="24"/>
          <w:szCs w:val="24"/>
          <w:lang w:val="es-ES" w:eastAsia="es-AR"/>
        </w:rPr>
        <w:t>l coeficiente de Gini del ingreso familiar en el Gran Buenos Aires pasó de 0,3662 a 0,4400</w:t>
      </w:r>
      <w:r>
        <w:rPr>
          <w:rFonts w:eastAsia="Times New Roman"/>
          <w:sz w:val="24"/>
          <w:szCs w:val="24"/>
          <w:lang w:val="es-ES" w:eastAsia="es-AR"/>
        </w:rPr>
        <w:t xml:space="preserve"> (</w:t>
      </w:r>
      <w:r w:rsidRPr="00B74293">
        <w:rPr>
          <w:rFonts w:eastAsia="Times New Roman"/>
          <w:sz w:val="24"/>
          <w:szCs w:val="24"/>
          <w:highlight w:val="green"/>
          <w:lang w:val="es-ES" w:eastAsia="es-AR"/>
        </w:rPr>
        <w:t xml:space="preserve">Cuadro </w:t>
      </w:r>
      <w:r w:rsidR="00AB0DEA">
        <w:rPr>
          <w:rFonts w:eastAsia="Times New Roman"/>
          <w:sz w:val="24"/>
          <w:szCs w:val="24"/>
          <w:highlight w:val="green"/>
          <w:lang w:val="es-ES" w:eastAsia="es-AR"/>
        </w:rPr>
        <w:t>11</w:t>
      </w:r>
      <w:r>
        <w:rPr>
          <w:rFonts w:eastAsia="Times New Roman"/>
          <w:sz w:val="24"/>
          <w:szCs w:val="24"/>
          <w:lang w:val="es-ES" w:eastAsia="es-AR"/>
        </w:rPr>
        <w:t>)</w:t>
      </w:r>
      <w:r w:rsidRPr="003F7057">
        <w:rPr>
          <w:rFonts w:eastAsia="Times New Roman"/>
          <w:sz w:val="24"/>
          <w:szCs w:val="24"/>
          <w:lang w:val="es-ES" w:eastAsia="es-AR"/>
        </w:rPr>
        <w:t xml:space="preserve">, </w:t>
      </w:r>
      <w:r>
        <w:rPr>
          <w:rFonts w:eastAsia="Times New Roman"/>
          <w:sz w:val="24"/>
          <w:szCs w:val="24"/>
          <w:lang w:val="es-ES" w:eastAsia="es-AR"/>
        </w:rPr>
        <w:t xml:space="preserve">un deterioro significativo que expresó los </w:t>
      </w:r>
      <w:r w:rsidRPr="003F7057">
        <w:rPr>
          <w:rFonts w:eastAsia="Times New Roman"/>
          <w:sz w:val="24"/>
          <w:szCs w:val="24"/>
          <w:lang w:val="es-ES" w:eastAsia="es-AR"/>
        </w:rPr>
        <w:t xml:space="preserve">efectos del programa de ajuste militar </w:t>
      </w:r>
      <w:r>
        <w:rPr>
          <w:rFonts w:eastAsia="Times New Roman"/>
          <w:sz w:val="24"/>
          <w:szCs w:val="24"/>
          <w:lang w:val="es-ES" w:eastAsia="es-AR"/>
        </w:rPr>
        <w:t xml:space="preserve">y </w:t>
      </w:r>
      <w:r w:rsidRPr="003F7057">
        <w:rPr>
          <w:rFonts w:eastAsia="Times New Roman"/>
          <w:sz w:val="24"/>
          <w:szCs w:val="24"/>
          <w:lang w:val="es-ES" w:eastAsia="es-AR"/>
        </w:rPr>
        <w:t xml:space="preserve">de los </w:t>
      </w:r>
      <w:r>
        <w:rPr>
          <w:rFonts w:eastAsia="Times New Roman"/>
          <w:sz w:val="24"/>
          <w:szCs w:val="24"/>
          <w:lang w:val="es-ES" w:eastAsia="es-AR"/>
        </w:rPr>
        <w:t>progresivos</w:t>
      </w:r>
      <w:r w:rsidRPr="003F7057">
        <w:rPr>
          <w:rFonts w:eastAsia="Times New Roman"/>
          <w:sz w:val="24"/>
          <w:szCs w:val="24"/>
          <w:lang w:val="es-ES" w:eastAsia="es-AR"/>
        </w:rPr>
        <w:t xml:space="preserve"> shocks que profundizaron la heterogeneidad estructural e incrementaron el desempleo. A lo largo de este período, si bien las d</w:t>
      </w:r>
      <w:r>
        <w:rPr>
          <w:rFonts w:eastAsia="Times New Roman"/>
          <w:sz w:val="24"/>
          <w:szCs w:val="24"/>
          <w:lang w:val="es-ES" w:eastAsia="es-AR"/>
        </w:rPr>
        <w:t>istintas</w:t>
      </w:r>
      <w:r w:rsidRPr="003F7057">
        <w:rPr>
          <w:rFonts w:eastAsia="Times New Roman"/>
          <w:sz w:val="24"/>
          <w:szCs w:val="24"/>
          <w:lang w:val="es-ES" w:eastAsia="es-AR"/>
        </w:rPr>
        <w:t xml:space="preserve"> fuentes de ingresos consideradas incrementaron su contribución a la desigualdad en términos de puntos del Gini, la diferente intensidad de dichas variaciones entre los distintos tipos de ingreso alter</w:t>
      </w:r>
      <w:r>
        <w:rPr>
          <w:rFonts w:eastAsia="Times New Roman"/>
          <w:sz w:val="24"/>
          <w:szCs w:val="24"/>
          <w:lang w:val="es-ES" w:eastAsia="es-AR"/>
        </w:rPr>
        <w:t>ó</w:t>
      </w:r>
      <w:r w:rsidRPr="003F7057">
        <w:rPr>
          <w:rFonts w:eastAsia="Times New Roman"/>
          <w:sz w:val="24"/>
          <w:szCs w:val="24"/>
          <w:lang w:val="es-ES" w:eastAsia="es-AR"/>
        </w:rPr>
        <w:t xml:space="preserve"> –aunque muy levemente– la composición </w:t>
      </w:r>
      <w:r>
        <w:rPr>
          <w:rFonts w:eastAsia="Times New Roman"/>
          <w:sz w:val="24"/>
          <w:szCs w:val="24"/>
          <w:lang w:val="es-ES" w:eastAsia="es-AR"/>
        </w:rPr>
        <w:t>de la desigualdad. Específicamente, se observó que e</w:t>
      </w:r>
      <w:r w:rsidRPr="003F7057">
        <w:rPr>
          <w:rFonts w:eastAsia="Times New Roman"/>
          <w:sz w:val="24"/>
          <w:szCs w:val="24"/>
          <w:lang w:val="es-ES" w:eastAsia="es-AR"/>
        </w:rPr>
        <w:t xml:space="preserve">l aporte relativo de los ingresos laborales al coeficiente de Gini se redujo levemente (pasando de 96,6% a 95,6%) mientras que aumentó la participación de los ingresos no laborales (3,4% a 4,4%). </w:t>
      </w:r>
    </w:p>
    <w:p w:rsidR="00433B67" w:rsidRDefault="00433B67" w:rsidP="00433B67">
      <w:pPr>
        <w:tabs>
          <w:tab w:val="left" w:pos="4069"/>
        </w:tabs>
        <w:spacing w:after="120" w:line="240" w:lineRule="auto"/>
        <w:jc w:val="both"/>
        <w:rPr>
          <w:rFonts w:eastAsia="Times New Roman"/>
          <w:sz w:val="24"/>
          <w:szCs w:val="24"/>
          <w:lang w:val="es-ES" w:eastAsia="es-AR"/>
        </w:rPr>
      </w:pPr>
      <w:r w:rsidRPr="00001240">
        <w:rPr>
          <w:rFonts w:eastAsia="Times New Roman"/>
          <w:sz w:val="24"/>
          <w:szCs w:val="24"/>
          <w:highlight w:val="green"/>
          <w:lang w:val="es-ES" w:eastAsia="es-AR"/>
        </w:rPr>
        <w:t xml:space="preserve">La reducción del aporte relativo de los ingresos laborales se debió a </w:t>
      </w:r>
      <w:r>
        <w:rPr>
          <w:rFonts w:eastAsia="Times New Roman"/>
          <w:sz w:val="24"/>
          <w:szCs w:val="24"/>
          <w:highlight w:val="green"/>
          <w:lang w:val="es-ES" w:eastAsia="es-AR"/>
        </w:rPr>
        <w:t xml:space="preserve">la </w:t>
      </w:r>
      <w:r w:rsidRPr="00001240">
        <w:rPr>
          <w:rFonts w:eastAsia="Times New Roman"/>
          <w:sz w:val="24"/>
          <w:szCs w:val="24"/>
          <w:highlight w:val="green"/>
          <w:lang w:val="es-ES" w:eastAsia="es-AR"/>
        </w:rPr>
        <w:t>menor contribución de los ingresos reportados por las ocupaciones en el sector informal (22,5% a 21%).</w:t>
      </w:r>
      <w:r>
        <w:rPr>
          <w:rFonts w:eastAsia="Times New Roman"/>
          <w:sz w:val="24"/>
          <w:szCs w:val="24"/>
          <w:lang w:val="es-ES" w:eastAsia="es-AR"/>
        </w:rPr>
        <w:t xml:space="preserve"> Por su parte, el incremento de la participación de los ingresos no laborales </w:t>
      </w:r>
      <w:r w:rsidRPr="003F7057">
        <w:rPr>
          <w:rFonts w:eastAsia="Times New Roman"/>
          <w:sz w:val="24"/>
          <w:szCs w:val="24"/>
          <w:lang w:val="es-ES" w:eastAsia="es-AR"/>
        </w:rPr>
        <w:t xml:space="preserve">se explicó por el aumento exhibido en los ingresos por rentas, utilidades, remesas y préstamos familiares (1,8% a 2,8%) mientras que el aporte de ingresos provenientes de la seguridad social </w:t>
      </w:r>
      <w:r>
        <w:rPr>
          <w:rFonts w:eastAsia="Times New Roman"/>
          <w:sz w:val="24"/>
          <w:szCs w:val="24"/>
          <w:lang w:val="es-ES" w:eastAsia="es-AR"/>
        </w:rPr>
        <w:t>se mantuvo estable</w:t>
      </w:r>
      <w:r w:rsidRPr="003F7057">
        <w:rPr>
          <w:rFonts w:eastAsia="Times New Roman"/>
          <w:sz w:val="24"/>
          <w:szCs w:val="24"/>
          <w:lang w:val="es-ES" w:eastAsia="es-AR"/>
        </w:rPr>
        <w:t xml:space="preserve"> entre los años 1974 y 1988 (1,6%)</w:t>
      </w:r>
      <w:r w:rsidRPr="003F7057">
        <w:rPr>
          <w:rStyle w:val="Refdenotaalpie"/>
          <w:rFonts w:eastAsia="Times New Roman"/>
          <w:sz w:val="24"/>
          <w:szCs w:val="24"/>
          <w:lang w:val="es-ES" w:eastAsia="es-AR"/>
        </w:rPr>
        <w:footnoteReference w:id="11"/>
      </w:r>
      <w:r w:rsidRPr="003F7057">
        <w:rPr>
          <w:rFonts w:eastAsia="Times New Roman"/>
          <w:sz w:val="24"/>
          <w:szCs w:val="24"/>
          <w:lang w:val="es-ES" w:eastAsia="es-AR"/>
        </w:rPr>
        <w:t>.</w:t>
      </w:r>
    </w:p>
    <w:p w:rsidR="00433B67" w:rsidRDefault="00433B67" w:rsidP="00433B67">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t>Más allá de estas variaciones en los aportes relativos, e</w:t>
      </w:r>
      <w:r w:rsidRPr="003F7057">
        <w:rPr>
          <w:rFonts w:eastAsia="Times New Roman"/>
          <w:sz w:val="24"/>
          <w:szCs w:val="24"/>
          <w:lang w:val="es-ES" w:eastAsia="es-AR"/>
        </w:rPr>
        <w:t>l aumento de 0,0738 puntos en el coeficiente de Gini –el más alto de toda la serie histórica–</w:t>
      </w:r>
      <w:r>
        <w:rPr>
          <w:rFonts w:eastAsia="Times New Roman"/>
          <w:sz w:val="24"/>
          <w:szCs w:val="24"/>
          <w:lang w:val="es-ES" w:eastAsia="es-AR"/>
        </w:rPr>
        <w:t xml:space="preserve"> </w:t>
      </w:r>
      <w:r w:rsidRPr="003F7057">
        <w:rPr>
          <w:rFonts w:eastAsia="Times New Roman"/>
          <w:sz w:val="24"/>
          <w:szCs w:val="24"/>
          <w:lang w:val="es-ES" w:eastAsia="es-AR"/>
        </w:rPr>
        <w:t xml:space="preserve">entre 1974 y 1988 estuvo ligado principalmente (en un 90,7% de dicho incremento) a lo ocurrido con los ingresos laborales y </w:t>
      </w:r>
      <w:r>
        <w:rPr>
          <w:rFonts w:eastAsia="Times New Roman"/>
          <w:sz w:val="24"/>
          <w:szCs w:val="24"/>
          <w:lang w:val="es-ES" w:eastAsia="es-AR"/>
        </w:rPr>
        <w:t>en menor medida (</w:t>
      </w:r>
      <w:r w:rsidRPr="003F7057">
        <w:rPr>
          <w:rFonts w:eastAsia="Times New Roman"/>
          <w:sz w:val="24"/>
          <w:szCs w:val="24"/>
          <w:lang w:val="es-ES" w:eastAsia="es-AR"/>
        </w:rPr>
        <w:t>9,3%</w:t>
      </w:r>
      <w:r>
        <w:rPr>
          <w:rFonts w:eastAsia="Times New Roman"/>
          <w:sz w:val="24"/>
          <w:szCs w:val="24"/>
          <w:lang w:val="es-ES" w:eastAsia="es-AR"/>
        </w:rPr>
        <w:t>)</w:t>
      </w:r>
      <w:r w:rsidRPr="003F7057">
        <w:rPr>
          <w:rFonts w:eastAsia="Times New Roman"/>
          <w:sz w:val="24"/>
          <w:szCs w:val="24"/>
          <w:lang w:val="es-ES" w:eastAsia="es-AR"/>
        </w:rPr>
        <w:t xml:space="preserve"> con las fuentes no laborales. </w:t>
      </w:r>
      <w:r>
        <w:rPr>
          <w:rFonts w:eastAsia="Times New Roman"/>
          <w:sz w:val="24"/>
          <w:szCs w:val="24"/>
          <w:lang w:val="es-ES" w:eastAsia="es-AR"/>
        </w:rPr>
        <w:t>Al respecto, debe recordarse que el programa económico de la dictadura militar tuvo como uno de sus principales efectos el incremento de la</w:t>
      </w:r>
      <w:r w:rsidRPr="003F7057">
        <w:rPr>
          <w:rFonts w:eastAsia="Times New Roman"/>
          <w:sz w:val="24"/>
          <w:szCs w:val="24"/>
          <w:lang w:val="es-ES" w:eastAsia="es-AR"/>
        </w:rPr>
        <w:t xml:space="preserve"> inequidad salarial</w:t>
      </w:r>
      <w:r>
        <w:rPr>
          <w:rFonts w:eastAsia="Times New Roman"/>
          <w:sz w:val="24"/>
          <w:szCs w:val="24"/>
          <w:lang w:val="es-ES" w:eastAsia="es-AR"/>
        </w:rPr>
        <w:t xml:space="preserve">. Este aspecto había quedado recogido en la sección previa cuando se consideró la caída del ingreso por ocupado en </w:t>
      </w:r>
      <w:r>
        <w:rPr>
          <w:rFonts w:eastAsia="Times New Roman"/>
          <w:sz w:val="24"/>
          <w:szCs w:val="24"/>
          <w:lang w:val="es-ES" w:eastAsia="es-AR"/>
        </w:rPr>
        <w:lastRenderedPageBreak/>
        <w:t>los quintiles inferiores frente a la mejoría relativa de los ocupados de los quintiles más altos. Al mismo tiempo, se constata que t</w:t>
      </w:r>
      <w:r w:rsidRPr="0087540F">
        <w:rPr>
          <w:rFonts w:eastAsia="Times New Roman"/>
          <w:sz w:val="24"/>
          <w:szCs w:val="24"/>
          <w:highlight w:val="green"/>
          <w:lang w:val="es-ES" w:eastAsia="es-AR"/>
        </w:rPr>
        <w:t xml:space="preserve">anto </w:t>
      </w:r>
      <w:r>
        <w:rPr>
          <w:rFonts w:eastAsia="Times New Roman"/>
          <w:sz w:val="24"/>
          <w:szCs w:val="24"/>
          <w:highlight w:val="green"/>
          <w:lang w:val="es-ES" w:eastAsia="es-AR"/>
        </w:rPr>
        <w:t xml:space="preserve">los ingresos </w:t>
      </w:r>
      <w:r w:rsidRPr="0087540F">
        <w:rPr>
          <w:rFonts w:eastAsia="Times New Roman"/>
          <w:sz w:val="24"/>
          <w:szCs w:val="24"/>
          <w:highlight w:val="green"/>
          <w:lang w:val="es-ES" w:eastAsia="es-AR"/>
        </w:rPr>
        <w:t>provenientes del sector formal privado</w:t>
      </w:r>
      <w:r>
        <w:rPr>
          <w:rFonts w:eastAsia="Times New Roman"/>
          <w:sz w:val="24"/>
          <w:szCs w:val="24"/>
          <w:highlight w:val="green"/>
          <w:lang w:val="es-ES" w:eastAsia="es-AR"/>
        </w:rPr>
        <w:t xml:space="preserve"> (77%) como los del </w:t>
      </w:r>
      <w:r w:rsidRPr="0087540F">
        <w:rPr>
          <w:rFonts w:eastAsia="Times New Roman"/>
          <w:sz w:val="24"/>
          <w:szCs w:val="24"/>
          <w:highlight w:val="green"/>
          <w:lang w:val="es-ES" w:eastAsia="es-AR"/>
        </w:rPr>
        <w:t>sector micro/inform</w:t>
      </w:r>
      <w:r w:rsidR="006936C9">
        <w:rPr>
          <w:rFonts w:eastAsia="Times New Roman"/>
          <w:sz w:val="24"/>
          <w:szCs w:val="24"/>
          <w:highlight w:val="green"/>
          <w:lang w:val="es-ES" w:eastAsia="es-AR"/>
        </w:rPr>
        <w:t>al (13,7%)</w:t>
      </w:r>
      <w:r w:rsidRPr="0087540F">
        <w:rPr>
          <w:rFonts w:eastAsia="Times New Roman"/>
          <w:sz w:val="24"/>
          <w:szCs w:val="24"/>
          <w:highlight w:val="green"/>
          <w:lang w:val="es-ES" w:eastAsia="es-AR"/>
        </w:rPr>
        <w:t xml:space="preserve"> contribuyeron positi</w:t>
      </w:r>
      <w:r>
        <w:rPr>
          <w:rFonts w:eastAsia="Times New Roman"/>
          <w:sz w:val="24"/>
          <w:szCs w:val="24"/>
          <w:highlight w:val="green"/>
          <w:lang w:val="es-ES" w:eastAsia="es-AR"/>
        </w:rPr>
        <w:t>vamente a la desigualdad, pero fueron los primeros</w:t>
      </w:r>
      <w:r w:rsidRPr="0087540F">
        <w:rPr>
          <w:rFonts w:eastAsia="Times New Roman"/>
          <w:sz w:val="24"/>
          <w:szCs w:val="24"/>
          <w:highlight w:val="green"/>
          <w:lang w:val="es-ES" w:eastAsia="es-AR"/>
        </w:rPr>
        <w:t xml:space="preserve"> </w:t>
      </w:r>
      <w:r>
        <w:rPr>
          <w:rFonts w:eastAsia="Times New Roman"/>
          <w:sz w:val="24"/>
          <w:szCs w:val="24"/>
          <w:highlight w:val="green"/>
          <w:lang w:val="es-ES" w:eastAsia="es-AR"/>
        </w:rPr>
        <w:t>los que desempeñaron el rol dominante</w:t>
      </w:r>
      <w:r>
        <w:rPr>
          <w:rFonts w:eastAsia="Times New Roman"/>
          <w:sz w:val="24"/>
          <w:szCs w:val="24"/>
          <w:lang w:val="es-ES" w:eastAsia="es-AR"/>
        </w:rPr>
        <w:t xml:space="preserve">. En relación con los ingresos no laborales, su </w:t>
      </w:r>
      <w:r w:rsidRPr="003F7057">
        <w:rPr>
          <w:rFonts w:eastAsia="Times New Roman"/>
          <w:sz w:val="24"/>
          <w:szCs w:val="24"/>
          <w:lang w:val="es-ES" w:eastAsia="es-AR"/>
        </w:rPr>
        <w:t xml:space="preserve">comportamiento </w:t>
      </w:r>
      <w:r>
        <w:rPr>
          <w:rFonts w:eastAsia="Times New Roman"/>
          <w:sz w:val="24"/>
          <w:szCs w:val="24"/>
          <w:lang w:val="es-ES" w:eastAsia="es-AR"/>
        </w:rPr>
        <w:t xml:space="preserve">pro-inequidad provino principalmente de los </w:t>
      </w:r>
      <w:r w:rsidRPr="003F7057">
        <w:rPr>
          <w:rFonts w:eastAsia="Times New Roman"/>
          <w:sz w:val="24"/>
          <w:szCs w:val="24"/>
          <w:lang w:val="es-ES" w:eastAsia="es-AR"/>
        </w:rPr>
        <w:t xml:space="preserve">ingresos de rentas y utilidades (7,5%), en tanto que el papel de aquellos originados en las políticas sociales y el sistema jubilatorio fue menor (1,7%). </w:t>
      </w:r>
    </w:p>
    <w:p w:rsidR="00433B67" w:rsidRDefault="00177113" w:rsidP="00433B67">
      <w:pPr>
        <w:tabs>
          <w:tab w:val="left" w:pos="4069"/>
        </w:tabs>
        <w:spacing w:after="0" w:line="240" w:lineRule="auto"/>
        <w:jc w:val="both"/>
        <w:rPr>
          <w:rFonts w:eastAsia="Times New Roman"/>
          <w:b/>
          <w:bCs/>
          <w:color w:val="000000"/>
          <w:sz w:val="24"/>
          <w:lang w:eastAsia="es-AR"/>
        </w:rPr>
      </w:pPr>
      <w:r>
        <w:rPr>
          <w:rFonts w:eastAsia="Times New Roman"/>
          <w:b/>
          <w:bCs/>
          <w:color w:val="000000"/>
          <w:sz w:val="24"/>
          <w:lang w:eastAsia="es-AR"/>
        </w:rPr>
        <w:t>Cuadro 11</w:t>
      </w:r>
      <w:r w:rsidR="00433B67" w:rsidRPr="00B74293">
        <w:rPr>
          <w:rFonts w:eastAsia="Times New Roman"/>
          <w:b/>
          <w:bCs/>
          <w:color w:val="000000"/>
          <w:sz w:val="24"/>
          <w:lang w:eastAsia="es-AR"/>
        </w:rPr>
        <w:t>.</w:t>
      </w:r>
      <w:r w:rsidR="00433B67" w:rsidRPr="00B74293">
        <w:rPr>
          <w:rFonts w:eastAsia="Times New Roman"/>
          <w:sz w:val="18"/>
          <w:szCs w:val="16"/>
          <w:lang w:eastAsia="es-AR"/>
        </w:rPr>
        <w:t xml:space="preserve"> </w:t>
      </w:r>
      <w:r w:rsidR="00433B67" w:rsidRPr="00B74293">
        <w:rPr>
          <w:rFonts w:eastAsia="Times New Roman"/>
          <w:b/>
          <w:bCs/>
          <w:color w:val="000000"/>
          <w:sz w:val="24"/>
          <w:lang w:eastAsia="es-AR"/>
        </w:rPr>
        <w:t>Coeficiente de Gini familiar</w:t>
      </w:r>
      <w:r w:rsidR="00433B67">
        <w:rPr>
          <w:rFonts w:eastAsia="Times New Roman"/>
          <w:b/>
          <w:bCs/>
          <w:color w:val="000000"/>
          <w:sz w:val="24"/>
          <w:lang w:eastAsia="es-AR"/>
        </w:rPr>
        <w:t xml:space="preserve">, </w:t>
      </w:r>
      <w:r w:rsidR="00433B67" w:rsidRPr="00B74293">
        <w:rPr>
          <w:rFonts w:eastAsia="Times New Roman"/>
          <w:b/>
          <w:bCs/>
          <w:color w:val="000000"/>
          <w:sz w:val="24"/>
          <w:lang w:eastAsia="es-AR"/>
        </w:rPr>
        <w:t xml:space="preserve">descomposición según </w:t>
      </w:r>
      <w:r w:rsidR="00433B67">
        <w:rPr>
          <w:rFonts w:eastAsia="Times New Roman"/>
          <w:b/>
          <w:bCs/>
          <w:color w:val="000000"/>
          <w:sz w:val="24"/>
          <w:lang w:eastAsia="es-AR"/>
        </w:rPr>
        <w:t xml:space="preserve">aporte de cada </w:t>
      </w:r>
      <w:r w:rsidR="00433B67" w:rsidRPr="00B74293">
        <w:rPr>
          <w:rFonts w:eastAsia="Times New Roman"/>
          <w:b/>
          <w:bCs/>
          <w:color w:val="000000"/>
          <w:sz w:val="24"/>
          <w:lang w:eastAsia="es-AR"/>
        </w:rPr>
        <w:t>fuente de ingreso</w:t>
      </w:r>
      <w:r w:rsidR="00433B67">
        <w:rPr>
          <w:rFonts w:eastAsia="Times New Roman"/>
          <w:b/>
          <w:bCs/>
          <w:color w:val="000000"/>
          <w:sz w:val="24"/>
          <w:lang w:eastAsia="es-AR"/>
        </w:rPr>
        <w:t xml:space="preserve"> y contribución de cada fuente al cambio</w:t>
      </w:r>
      <w:r w:rsidR="00433B67" w:rsidRPr="00B74293">
        <w:rPr>
          <w:rFonts w:eastAsia="Times New Roman"/>
          <w:b/>
          <w:bCs/>
          <w:color w:val="000000"/>
          <w:sz w:val="24"/>
          <w:lang w:eastAsia="es-AR"/>
        </w:rPr>
        <w:t>. Gran Buenos Aires, 1974-</w:t>
      </w:r>
      <w:r w:rsidR="00433B67">
        <w:rPr>
          <w:rFonts w:eastAsia="Times New Roman"/>
          <w:b/>
          <w:bCs/>
          <w:color w:val="000000"/>
          <w:sz w:val="24"/>
          <w:lang w:eastAsia="es-AR"/>
        </w:rPr>
        <w:t>1988</w:t>
      </w:r>
      <w:r w:rsidR="00433B67" w:rsidRPr="00B74293">
        <w:rPr>
          <w:rFonts w:eastAsia="Times New Roman"/>
          <w:b/>
          <w:bCs/>
          <w:color w:val="000000"/>
          <w:sz w:val="24"/>
          <w:lang w:eastAsia="es-AR"/>
        </w:rPr>
        <w:t>.</w:t>
      </w:r>
    </w:p>
    <w:p w:rsidR="00433B67" w:rsidRPr="00B74293" w:rsidRDefault="00433B67" w:rsidP="00433B67">
      <w:pPr>
        <w:tabs>
          <w:tab w:val="left" w:pos="4069"/>
        </w:tabs>
        <w:spacing w:after="0" w:line="240" w:lineRule="auto"/>
        <w:jc w:val="both"/>
        <w:rPr>
          <w:rFonts w:eastAsia="Times New Roman"/>
          <w:bCs/>
          <w:color w:val="000000"/>
          <w:lang w:eastAsia="es-AR"/>
        </w:rPr>
      </w:pPr>
      <w:r>
        <w:rPr>
          <w:rFonts w:eastAsia="Times New Roman"/>
          <w:bCs/>
          <w:color w:val="000000"/>
          <w:sz w:val="24"/>
          <w:lang w:eastAsia="es-AR"/>
        </w:rPr>
        <w:t>En puntos del coeficiente de Gini y porcentaje respecto al total.</w:t>
      </w:r>
    </w:p>
    <w:tbl>
      <w:tblPr>
        <w:tblW w:w="8566" w:type="dxa"/>
        <w:tblInd w:w="55" w:type="dxa"/>
        <w:tblCellMar>
          <w:left w:w="70" w:type="dxa"/>
          <w:right w:w="70" w:type="dxa"/>
        </w:tblCellMar>
        <w:tblLook w:val="04A0" w:firstRow="1" w:lastRow="0" w:firstColumn="1" w:lastColumn="0" w:noHBand="0" w:noVBand="1"/>
      </w:tblPr>
      <w:tblGrid>
        <w:gridCol w:w="2435"/>
        <w:gridCol w:w="840"/>
        <w:gridCol w:w="693"/>
        <w:gridCol w:w="840"/>
        <w:gridCol w:w="693"/>
        <w:gridCol w:w="840"/>
        <w:gridCol w:w="693"/>
        <w:gridCol w:w="837"/>
        <w:gridCol w:w="695"/>
      </w:tblGrid>
      <w:tr w:rsidR="00433B67" w:rsidRPr="00B74293" w:rsidTr="006732CD">
        <w:trPr>
          <w:trHeight w:val="250"/>
        </w:trPr>
        <w:tc>
          <w:tcPr>
            <w:tcW w:w="2435"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rPr>
                <w:rFonts w:eastAsia="Times New Roman"/>
                <w:color w:val="000000"/>
                <w:sz w:val="17"/>
                <w:szCs w:val="17"/>
                <w:lang w:eastAsia="es-AR"/>
              </w:rPr>
            </w:pPr>
            <w:r w:rsidRPr="00B74293">
              <w:rPr>
                <w:rFonts w:eastAsia="Times New Roman"/>
                <w:color w:val="000000"/>
                <w:sz w:val="17"/>
                <w:szCs w:val="17"/>
                <w:lang w:eastAsia="es-AR"/>
              </w:rPr>
              <w:t> </w:t>
            </w:r>
          </w:p>
        </w:tc>
        <w:tc>
          <w:tcPr>
            <w:tcW w:w="1533" w:type="dxa"/>
            <w:gridSpan w:val="2"/>
            <w:tcBorders>
              <w:top w:val="single" w:sz="4" w:space="0" w:color="auto"/>
              <w:left w:val="nil"/>
              <w:bottom w:val="nil"/>
              <w:right w:val="single" w:sz="4" w:space="0" w:color="000000"/>
            </w:tcBorders>
            <w:shd w:val="clear" w:color="000000" w:fill="FFFFFF"/>
            <w:noWrap/>
            <w:vAlign w:val="bottom"/>
            <w:hideMark/>
          </w:tcPr>
          <w:p w:rsidR="00433B67"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1974</w:t>
            </w:r>
          </w:p>
          <w:p w:rsidR="00433B67" w:rsidRPr="00B74293" w:rsidRDefault="00433B67" w:rsidP="006732CD">
            <w:pPr>
              <w:spacing w:after="0" w:line="240" w:lineRule="auto"/>
              <w:jc w:val="center"/>
              <w:rPr>
                <w:rFonts w:eastAsia="Times New Roman"/>
                <w:color w:val="000000"/>
                <w:sz w:val="17"/>
                <w:szCs w:val="17"/>
                <w:lang w:eastAsia="es-AR"/>
              </w:rPr>
            </w:pPr>
            <w:r>
              <w:rPr>
                <w:rFonts w:eastAsia="Times New Roman"/>
                <w:color w:val="000000"/>
                <w:sz w:val="17"/>
                <w:szCs w:val="17"/>
                <w:lang w:eastAsia="es-AR"/>
              </w:rPr>
              <w:t>Oct</w:t>
            </w:r>
          </w:p>
        </w:tc>
        <w:tc>
          <w:tcPr>
            <w:tcW w:w="1533" w:type="dxa"/>
            <w:gridSpan w:val="2"/>
            <w:tcBorders>
              <w:top w:val="single" w:sz="4" w:space="0" w:color="auto"/>
              <w:left w:val="nil"/>
              <w:bottom w:val="nil"/>
              <w:right w:val="single" w:sz="4" w:space="0" w:color="000000"/>
            </w:tcBorders>
            <w:shd w:val="clear" w:color="000000" w:fill="FFFFFF"/>
            <w:noWrap/>
            <w:vAlign w:val="bottom"/>
            <w:hideMark/>
          </w:tcPr>
          <w:p w:rsidR="00433B67"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1980</w:t>
            </w:r>
          </w:p>
          <w:p w:rsidR="00433B67" w:rsidRPr="00B74293" w:rsidRDefault="00433B67" w:rsidP="006732CD">
            <w:pPr>
              <w:spacing w:after="0" w:line="240" w:lineRule="auto"/>
              <w:jc w:val="center"/>
              <w:rPr>
                <w:rFonts w:eastAsia="Times New Roman"/>
                <w:color w:val="000000"/>
                <w:sz w:val="17"/>
                <w:szCs w:val="17"/>
                <w:lang w:eastAsia="es-AR"/>
              </w:rPr>
            </w:pPr>
            <w:r>
              <w:rPr>
                <w:rFonts w:eastAsia="Times New Roman"/>
                <w:color w:val="000000"/>
                <w:sz w:val="17"/>
                <w:szCs w:val="17"/>
                <w:lang w:eastAsia="es-AR"/>
              </w:rPr>
              <w:t>Oct</w:t>
            </w:r>
          </w:p>
        </w:tc>
        <w:tc>
          <w:tcPr>
            <w:tcW w:w="1533" w:type="dxa"/>
            <w:gridSpan w:val="2"/>
            <w:tcBorders>
              <w:top w:val="single" w:sz="4" w:space="0" w:color="auto"/>
              <w:left w:val="nil"/>
              <w:bottom w:val="nil"/>
              <w:right w:val="single" w:sz="4" w:space="0" w:color="000000"/>
            </w:tcBorders>
            <w:shd w:val="clear" w:color="000000" w:fill="FFFFFF"/>
            <w:noWrap/>
            <w:vAlign w:val="bottom"/>
            <w:hideMark/>
          </w:tcPr>
          <w:p w:rsidR="00433B67"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1988</w:t>
            </w:r>
          </w:p>
          <w:p w:rsidR="00433B67" w:rsidRPr="00B74293" w:rsidRDefault="00433B67" w:rsidP="006732CD">
            <w:pPr>
              <w:spacing w:after="0" w:line="240" w:lineRule="auto"/>
              <w:jc w:val="center"/>
              <w:rPr>
                <w:rFonts w:eastAsia="Times New Roman"/>
                <w:color w:val="000000"/>
                <w:sz w:val="17"/>
                <w:szCs w:val="17"/>
                <w:lang w:eastAsia="es-AR"/>
              </w:rPr>
            </w:pPr>
            <w:r>
              <w:rPr>
                <w:rFonts w:eastAsia="Times New Roman"/>
                <w:color w:val="000000"/>
                <w:sz w:val="17"/>
                <w:szCs w:val="17"/>
                <w:lang w:eastAsia="es-AR"/>
              </w:rPr>
              <w:t>Oct</w:t>
            </w:r>
          </w:p>
        </w:tc>
        <w:tc>
          <w:tcPr>
            <w:tcW w:w="1532" w:type="dxa"/>
            <w:gridSpan w:val="2"/>
            <w:tcBorders>
              <w:top w:val="single" w:sz="4" w:space="0" w:color="auto"/>
              <w:left w:val="nil"/>
              <w:bottom w:val="nil"/>
              <w:right w:val="single" w:sz="4" w:space="0" w:color="000000"/>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1974-1988</w:t>
            </w:r>
          </w:p>
        </w:tc>
      </w:tr>
      <w:tr w:rsidR="00433B67" w:rsidRPr="00B74293" w:rsidTr="006732CD">
        <w:trPr>
          <w:trHeight w:val="250"/>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rPr>
                <w:rFonts w:eastAsia="Times New Roman"/>
                <w:color w:val="000000"/>
                <w:sz w:val="17"/>
                <w:szCs w:val="17"/>
                <w:lang w:eastAsia="es-AR"/>
              </w:rPr>
            </w:pPr>
            <w:r w:rsidRPr="00B74293">
              <w:rPr>
                <w:rFonts w:eastAsia="Times New Roman"/>
                <w:color w:val="000000"/>
                <w:sz w:val="17"/>
                <w:szCs w:val="17"/>
                <w:lang w:eastAsia="es-AR"/>
              </w:rPr>
              <w:t> </w:t>
            </w:r>
          </w:p>
        </w:tc>
        <w:tc>
          <w:tcPr>
            <w:tcW w:w="840" w:type="dxa"/>
            <w:tcBorders>
              <w:top w:val="single" w:sz="4" w:space="0" w:color="auto"/>
              <w:left w:val="nil"/>
              <w:bottom w:val="single" w:sz="4" w:space="0" w:color="auto"/>
              <w:right w:val="nil"/>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Aporte</w:t>
            </w:r>
          </w:p>
        </w:tc>
        <w:tc>
          <w:tcPr>
            <w:tcW w:w="693"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840" w:type="dxa"/>
            <w:tcBorders>
              <w:top w:val="single" w:sz="4" w:space="0" w:color="auto"/>
              <w:left w:val="nil"/>
              <w:bottom w:val="single" w:sz="4" w:space="0" w:color="auto"/>
              <w:right w:val="nil"/>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Aporte</w:t>
            </w:r>
          </w:p>
        </w:tc>
        <w:tc>
          <w:tcPr>
            <w:tcW w:w="693"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840" w:type="dxa"/>
            <w:tcBorders>
              <w:top w:val="single" w:sz="4" w:space="0" w:color="auto"/>
              <w:left w:val="nil"/>
              <w:bottom w:val="single" w:sz="4" w:space="0" w:color="auto"/>
              <w:right w:val="nil"/>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Aporte</w:t>
            </w:r>
          </w:p>
        </w:tc>
        <w:tc>
          <w:tcPr>
            <w:tcW w:w="693"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837" w:type="dxa"/>
            <w:tcBorders>
              <w:top w:val="single" w:sz="4" w:space="0" w:color="auto"/>
              <w:left w:val="nil"/>
              <w:bottom w:val="single" w:sz="4" w:space="0" w:color="auto"/>
              <w:right w:val="nil"/>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 xml:space="preserve">V. </w:t>
            </w:r>
            <w:proofErr w:type="spellStart"/>
            <w:r w:rsidRPr="00B74293">
              <w:rPr>
                <w:rFonts w:eastAsia="Times New Roman"/>
                <w:color w:val="000000"/>
                <w:sz w:val="17"/>
                <w:szCs w:val="17"/>
                <w:lang w:eastAsia="es-AR"/>
              </w:rPr>
              <w:t>Abs</w:t>
            </w:r>
            <w:proofErr w:type="spellEnd"/>
            <w:r w:rsidRPr="00B74293">
              <w:rPr>
                <w:rFonts w:eastAsia="Times New Roman"/>
                <w:color w:val="000000"/>
                <w:sz w:val="17"/>
                <w:szCs w:val="17"/>
                <w:lang w:eastAsia="es-AR"/>
              </w:rPr>
              <w:t>.</w:t>
            </w:r>
          </w:p>
        </w:tc>
        <w:tc>
          <w:tcPr>
            <w:tcW w:w="695"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rPr>
                <w:rFonts w:eastAsia="Times New Roman"/>
                <w:b/>
                <w:bCs/>
                <w:color w:val="000000"/>
                <w:sz w:val="17"/>
                <w:szCs w:val="17"/>
                <w:lang w:eastAsia="es-AR"/>
              </w:rPr>
            </w:pPr>
            <w:r w:rsidRPr="00B74293">
              <w:rPr>
                <w:rFonts w:eastAsia="Times New Roman"/>
                <w:b/>
                <w:bCs/>
                <w:color w:val="000000"/>
                <w:sz w:val="17"/>
                <w:szCs w:val="17"/>
                <w:lang w:eastAsia="es-AR"/>
              </w:rPr>
              <w:t>Ingresos laborales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0,3538</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96,6</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0,3884</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89,8</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0,4207</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95,6</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0,0669</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90,7</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100" w:firstLine="170"/>
              <w:rPr>
                <w:rFonts w:eastAsia="Times New Roman"/>
                <w:color w:val="000000"/>
                <w:sz w:val="17"/>
                <w:szCs w:val="17"/>
                <w:u w:val="single"/>
                <w:lang w:eastAsia="es-AR"/>
              </w:rPr>
            </w:pPr>
            <w:r w:rsidRPr="00B74293">
              <w:rPr>
                <w:rFonts w:eastAsia="Times New Roman"/>
                <w:color w:val="000000"/>
                <w:sz w:val="17"/>
                <w:szCs w:val="17"/>
                <w:u w:val="single"/>
                <w:lang w:eastAsia="es-AR"/>
              </w:rPr>
              <w:t>Sector formal público y privado</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0,2715</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74,1</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0,2755</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63,7</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0,3284</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74,6</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0,0569</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77,0</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200" w:firstLine="340"/>
              <w:rPr>
                <w:rFonts w:eastAsia="Times New Roman"/>
                <w:i/>
                <w:iCs/>
                <w:color w:val="000000"/>
                <w:sz w:val="17"/>
                <w:szCs w:val="17"/>
                <w:lang w:eastAsia="es-AR"/>
              </w:rPr>
            </w:pPr>
            <w:r w:rsidRPr="00B74293">
              <w:rPr>
                <w:rFonts w:eastAsia="Times New Roman"/>
                <w:i/>
                <w:iCs/>
                <w:color w:val="000000"/>
                <w:sz w:val="17"/>
                <w:szCs w:val="17"/>
                <w:lang w:eastAsia="es-AR"/>
              </w:rPr>
              <w:t>Sector formal privado</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200" w:firstLine="340"/>
              <w:rPr>
                <w:rFonts w:eastAsia="Times New Roman"/>
                <w:i/>
                <w:iCs/>
                <w:color w:val="000000"/>
                <w:sz w:val="17"/>
                <w:szCs w:val="17"/>
                <w:lang w:eastAsia="es-AR"/>
              </w:rPr>
            </w:pPr>
            <w:r w:rsidRPr="00B74293">
              <w:rPr>
                <w:rFonts w:eastAsia="Times New Roman"/>
                <w:i/>
                <w:iCs/>
                <w:color w:val="000000"/>
                <w:sz w:val="17"/>
                <w:szCs w:val="17"/>
                <w:lang w:eastAsia="es-AR"/>
              </w:rPr>
              <w:t>Sector público</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100" w:firstLine="170"/>
              <w:rPr>
                <w:rFonts w:eastAsia="Times New Roman"/>
                <w:color w:val="000000"/>
                <w:sz w:val="17"/>
                <w:szCs w:val="17"/>
                <w:u w:val="single"/>
                <w:lang w:eastAsia="es-AR"/>
              </w:rPr>
            </w:pPr>
            <w:r w:rsidRPr="00B74293">
              <w:rPr>
                <w:rFonts w:eastAsia="Times New Roman"/>
                <w:color w:val="000000"/>
                <w:sz w:val="17"/>
                <w:szCs w:val="17"/>
                <w:u w:val="single"/>
                <w:lang w:eastAsia="es-AR"/>
              </w:rPr>
              <w:t>Sector micro/informal</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0,0823</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22,5</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0,1129</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26,1</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0,0923</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21,0</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0,0101</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13,7</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rPr>
                <w:rFonts w:eastAsia="Times New Roman"/>
                <w:b/>
                <w:bCs/>
                <w:color w:val="000000"/>
                <w:sz w:val="17"/>
                <w:szCs w:val="17"/>
                <w:lang w:eastAsia="es-AR"/>
              </w:rPr>
            </w:pPr>
            <w:r w:rsidRPr="00B74293">
              <w:rPr>
                <w:rFonts w:eastAsia="Times New Roman"/>
                <w:b/>
                <w:bCs/>
                <w:color w:val="000000"/>
                <w:sz w:val="17"/>
                <w:szCs w:val="17"/>
                <w:lang w:eastAsia="es-AR"/>
              </w:rPr>
              <w:t>Ingresos no laborales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0,0124</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3,4</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0,0439</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10,2</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0,0193</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4,4</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0,0069</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9,3</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100" w:firstLine="170"/>
              <w:rPr>
                <w:rFonts w:eastAsia="Times New Roman"/>
                <w:color w:val="000000"/>
                <w:sz w:val="17"/>
                <w:szCs w:val="17"/>
                <w:u w:val="single"/>
                <w:lang w:eastAsia="es-AR"/>
              </w:rPr>
            </w:pPr>
            <w:r w:rsidRPr="00B74293">
              <w:rPr>
                <w:rFonts w:eastAsia="Times New Roman"/>
                <w:color w:val="000000"/>
                <w:sz w:val="17"/>
                <w:szCs w:val="17"/>
                <w:u w:val="single"/>
                <w:lang w:eastAsia="es-AR"/>
              </w:rPr>
              <w:t>Ingresos de políticas sociales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0,0058</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1,6</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0,0268</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6,2</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0,0071</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1,6</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0,0013</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1,7</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200" w:firstLine="340"/>
              <w:rPr>
                <w:rFonts w:eastAsia="Times New Roman"/>
                <w:i/>
                <w:iCs/>
                <w:color w:val="000000"/>
                <w:sz w:val="17"/>
                <w:szCs w:val="17"/>
                <w:lang w:eastAsia="es-AR"/>
              </w:rPr>
            </w:pPr>
            <w:r w:rsidRPr="00B74293">
              <w:rPr>
                <w:rFonts w:eastAsia="Times New Roman"/>
                <w:i/>
                <w:iCs/>
                <w:color w:val="000000"/>
                <w:sz w:val="17"/>
                <w:szCs w:val="17"/>
                <w:lang w:eastAsia="es-AR"/>
              </w:rPr>
              <w:t>Planes de empleo</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200" w:firstLine="340"/>
              <w:rPr>
                <w:rFonts w:eastAsia="Times New Roman"/>
                <w:i/>
                <w:iCs/>
                <w:color w:val="000000"/>
                <w:sz w:val="17"/>
                <w:szCs w:val="17"/>
                <w:lang w:eastAsia="es-AR"/>
              </w:rPr>
            </w:pPr>
            <w:r w:rsidRPr="00B74293">
              <w:rPr>
                <w:rFonts w:eastAsia="Times New Roman"/>
                <w:i/>
                <w:iCs/>
                <w:color w:val="000000"/>
                <w:sz w:val="17"/>
                <w:szCs w:val="17"/>
                <w:lang w:eastAsia="es-AR"/>
              </w:rPr>
              <w:t>Programas sociales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200" w:firstLine="340"/>
              <w:rPr>
                <w:rFonts w:eastAsia="Times New Roman"/>
                <w:i/>
                <w:iCs/>
                <w:color w:val="000000"/>
                <w:sz w:val="17"/>
                <w:szCs w:val="17"/>
                <w:lang w:eastAsia="es-AR"/>
              </w:rPr>
            </w:pPr>
            <w:r w:rsidRPr="00B74293">
              <w:rPr>
                <w:rFonts w:eastAsia="Times New Roman"/>
                <w:i/>
                <w:iCs/>
                <w:color w:val="000000"/>
                <w:sz w:val="17"/>
                <w:szCs w:val="17"/>
                <w:lang w:eastAsia="es-AR"/>
              </w:rPr>
              <w:t>Jubilaciones y pensiones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i/>
                <w:iCs/>
                <w:color w:val="000000"/>
                <w:sz w:val="17"/>
                <w:szCs w:val="17"/>
                <w:lang w:eastAsia="es-AR"/>
              </w:rPr>
            </w:pPr>
            <w:r w:rsidRPr="00B74293">
              <w:rPr>
                <w:rFonts w:eastAsia="Times New Roman"/>
                <w:i/>
                <w:iCs/>
                <w:color w:val="000000"/>
                <w:sz w:val="17"/>
                <w:szCs w:val="17"/>
                <w:lang w:eastAsia="es-AR"/>
              </w:rPr>
              <w:t>-</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lang w:eastAsia="es-AR"/>
              </w:rPr>
            </w:pPr>
            <w:r w:rsidRPr="00B74293">
              <w:rPr>
                <w:rFonts w:eastAsia="Times New Roman"/>
                <w:color w:val="000000"/>
                <w:sz w:val="17"/>
                <w:szCs w:val="17"/>
                <w:lang w:eastAsia="es-AR"/>
              </w:rPr>
              <w:t>-</w:t>
            </w:r>
          </w:p>
        </w:tc>
      </w:tr>
      <w:tr w:rsidR="00433B67" w:rsidRPr="00B74293" w:rsidTr="006732CD">
        <w:trPr>
          <w:trHeight w:val="250"/>
        </w:trPr>
        <w:tc>
          <w:tcPr>
            <w:tcW w:w="2435" w:type="dxa"/>
            <w:tcBorders>
              <w:top w:val="nil"/>
              <w:left w:val="single" w:sz="4" w:space="0" w:color="auto"/>
              <w:bottom w:val="nil"/>
              <w:right w:val="single" w:sz="4" w:space="0" w:color="auto"/>
            </w:tcBorders>
            <w:shd w:val="clear" w:color="000000" w:fill="FFFFFF"/>
            <w:noWrap/>
            <w:vAlign w:val="bottom"/>
            <w:hideMark/>
          </w:tcPr>
          <w:p w:rsidR="00433B67" w:rsidRPr="00B74293" w:rsidRDefault="00433B67" w:rsidP="006732CD">
            <w:pPr>
              <w:spacing w:after="0" w:line="240" w:lineRule="auto"/>
              <w:ind w:firstLineChars="100" w:firstLine="170"/>
              <w:rPr>
                <w:rFonts w:eastAsia="Times New Roman"/>
                <w:color w:val="000000"/>
                <w:sz w:val="17"/>
                <w:szCs w:val="17"/>
                <w:u w:val="single"/>
                <w:lang w:eastAsia="es-AR"/>
              </w:rPr>
            </w:pPr>
            <w:r w:rsidRPr="00B74293">
              <w:rPr>
                <w:rFonts w:eastAsia="Times New Roman"/>
                <w:color w:val="000000"/>
                <w:sz w:val="17"/>
                <w:szCs w:val="17"/>
                <w:u w:val="single"/>
                <w:lang w:eastAsia="es-AR"/>
              </w:rPr>
              <w:t>Otros ingresos no laborales</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0,0066</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1,8</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0,0171</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4,0</w:t>
            </w:r>
          </w:p>
        </w:tc>
        <w:tc>
          <w:tcPr>
            <w:tcW w:w="840"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0,0122</w:t>
            </w:r>
          </w:p>
        </w:tc>
        <w:tc>
          <w:tcPr>
            <w:tcW w:w="693"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2,8</w:t>
            </w:r>
          </w:p>
        </w:tc>
        <w:tc>
          <w:tcPr>
            <w:tcW w:w="837" w:type="dxa"/>
            <w:tcBorders>
              <w:top w:val="nil"/>
              <w:left w:val="nil"/>
              <w:bottom w:val="nil"/>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0,0056</w:t>
            </w:r>
          </w:p>
        </w:tc>
        <w:tc>
          <w:tcPr>
            <w:tcW w:w="695" w:type="dxa"/>
            <w:tcBorders>
              <w:top w:val="nil"/>
              <w:left w:val="nil"/>
              <w:bottom w:val="nil"/>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color w:val="000000"/>
                <w:sz w:val="17"/>
                <w:szCs w:val="17"/>
                <w:u w:val="single"/>
                <w:lang w:eastAsia="es-AR"/>
              </w:rPr>
            </w:pPr>
            <w:r w:rsidRPr="00B74293">
              <w:rPr>
                <w:rFonts w:eastAsia="Times New Roman"/>
                <w:color w:val="000000"/>
                <w:sz w:val="17"/>
                <w:szCs w:val="17"/>
                <w:u w:val="single"/>
                <w:lang w:eastAsia="es-AR"/>
              </w:rPr>
              <w:t>7,6</w:t>
            </w:r>
          </w:p>
        </w:tc>
      </w:tr>
      <w:tr w:rsidR="00433B67" w:rsidRPr="00B74293" w:rsidTr="006732CD">
        <w:trPr>
          <w:trHeight w:val="250"/>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B74293" w:rsidRDefault="00433B67" w:rsidP="006732CD">
            <w:pPr>
              <w:spacing w:after="0" w:line="240" w:lineRule="auto"/>
              <w:rPr>
                <w:rFonts w:eastAsia="Times New Roman"/>
                <w:b/>
                <w:bCs/>
                <w:color w:val="000000"/>
                <w:sz w:val="17"/>
                <w:szCs w:val="17"/>
                <w:lang w:eastAsia="es-AR"/>
              </w:rPr>
            </w:pPr>
            <w:r w:rsidRPr="00B74293">
              <w:rPr>
                <w:rFonts w:eastAsia="Times New Roman"/>
                <w:b/>
                <w:bCs/>
                <w:color w:val="000000"/>
                <w:sz w:val="17"/>
                <w:szCs w:val="17"/>
                <w:lang w:eastAsia="es-AR"/>
              </w:rPr>
              <w:t>Coeficiente de Gini familiar</w:t>
            </w:r>
          </w:p>
        </w:tc>
        <w:tc>
          <w:tcPr>
            <w:tcW w:w="840" w:type="dxa"/>
            <w:tcBorders>
              <w:top w:val="single" w:sz="4" w:space="0" w:color="auto"/>
              <w:left w:val="nil"/>
              <w:bottom w:val="single" w:sz="4" w:space="0" w:color="auto"/>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0,3662</w:t>
            </w:r>
          </w:p>
        </w:tc>
        <w:tc>
          <w:tcPr>
            <w:tcW w:w="693"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100,0</w:t>
            </w:r>
          </w:p>
        </w:tc>
        <w:tc>
          <w:tcPr>
            <w:tcW w:w="840" w:type="dxa"/>
            <w:tcBorders>
              <w:top w:val="single" w:sz="4" w:space="0" w:color="auto"/>
              <w:left w:val="nil"/>
              <w:bottom w:val="single" w:sz="4" w:space="0" w:color="auto"/>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0,4322</w:t>
            </w:r>
          </w:p>
        </w:tc>
        <w:tc>
          <w:tcPr>
            <w:tcW w:w="693"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100,0</w:t>
            </w:r>
          </w:p>
        </w:tc>
        <w:tc>
          <w:tcPr>
            <w:tcW w:w="840" w:type="dxa"/>
            <w:tcBorders>
              <w:top w:val="single" w:sz="4" w:space="0" w:color="auto"/>
              <w:left w:val="nil"/>
              <w:bottom w:val="single" w:sz="4" w:space="0" w:color="auto"/>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0,4400</w:t>
            </w:r>
          </w:p>
        </w:tc>
        <w:tc>
          <w:tcPr>
            <w:tcW w:w="693"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100,0</w:t>
            </w:r>
          </w:p>
        </w:tc>
        <w:tc>
          <w:tcPr>
            <w:tcW w:w="837" w:type="dxa"/>
            <w:tcBorders>
              <w:top w:val="single" w:sz="4" w:space="0" w:color="auto"/>
              <w:left w:val="nil"/>
              <w:bottom w:val="single" w:sz="4" w:space="0" w:color="auto"/>
              <w:right w:val="nil"/>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0,0738</w:t>
            </w:r>
          </w:p>
        </w:tc>
        <w:tc>
          <w:tcPr>
            <w:tcW w:w="695"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B74293" w:rsidRDefault="00433B67" w:rsidP="006732CD">
            <w:pPr>
              <w:spacing w:after="0" w:line="240" w:lineRule="auto"/>
              <w:jc w:val="center"/>
              <w:rPr>
                <w:rFonts w:eastAsia="Times New Roman"/>
                <w:b/>
                <w:bCs/>
                <w:color w:val="000000"/>
                <w:sz w:val="17"/>
                <w:szCs w:val="17"/>
                <w:lang w:eastAsia="es-AR"/>
              </w:rPr>
            </w:pPr>
            <w:r w:rsidRPr="00B74293">
              <w:rPr>
                <w:rFonts w:eastAsia="Times New Roman"/>
                <w:b/>
                <w:bCs/>
                <w:color w:val="000000"/>
                <w:sz w:val="17"/>
                <w:szCs w:val="17"/>
                <w:lang w:eastAsia="es-AR"/>
              </w:rPr>
              <w:t>100,0</w:t>
            </w:r>
          </w:p>
        </w:tc>
      </w:tr>
    </w:tbl>
    <w:p w:rsidR="00433B67" w:rsidRPr="00112979" w:rsidRDefault="00433B67" w:rsidP="00433B67">
      <w:pPr>
        <w:tabs>
          <w:tab w:val="left" w:pos="4069"/>
        </w:tabs>
        <w:spacing w:after="120" w:line="240" w:lineRule="auto"/>
        <w:jc w:val="both"/>
        <w:rPr>
          <w:rFonts w:eastAsia="Times New Roman"/>
          <w:sz w:val="18"/>
          <w:szCs w:val="16"/>
          <w:lang w:eastAsia="es-AR"/>
        </w:rPr>
      </w:pPr>
      <w:r w:rsidRPr="00112979">
        <w:rPr>
          <w:rFonts w:eastAsia="Times New Roman"/>
          <w:sz w:val="18"/>
          <w:szCs w:val="16"/>
          <w:lang w:eastAsia="es-AR"/>
        </w:rPr>
        <w:t>Fuente: Elaboración propia en base a microdatos de la EPH-INDEC para los períodos indicados. Disponibles en: &lt;www.indec.gov.ar&gt;</w:t>
      </w:r>
    </w:p>
    <w:p w:rsidR="00F87B46" w:rsidRDefault="00433B67" w:rsidP="00F87B46">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t>El modelo de descomposición propuesto permite examinar qué factores intervinieron sobre los cambios en la desigualdad (</w:t>
      </w:r>
      <w:r w:rsidRPr="00065A46">
        <w:rPr>
          <w:rFonts w:eastAsia="Times New Roman"/>
          <w:sz w:val="24"/>
          <w:szCs w:val="24"/>
          <w:highlight w:val="green"/>
          <w:lang w:val="es-ES" w:eastAsia="es-AR"/>
        </w:rPr>
        <w:t xml:space="preserve">Cuadro </w:t>
      </w:r>
      <w:r w:rsidR="004C71EF">
        <w:rPr>
          <w:rFonts w:eastAsia="Times New Roman"/>
          <w:sz w:val="24"/>
          <w:szCs w:val="24"/>
          <w:highlight w:val="green"/>
          <w:lang w:val="es-ES" w:eastAsia="es-AR"/>
        </w:rPr>
        <w:t>12</w:t>
      </w:r>
      <w:r>
        <w:rPr>
          <w:rFonts w:eastAsia="Times New Roman"/>
          <w:sz w:val="24"/>
          <w:szCs w:val="24"/>
          <w:highlight w:val="green"/>
          <w:lang w:val="es-ES" w:eastAsia="es-AR"/>
        </w:rPr>
        <w:t xml:space="preserve">). Entre 1974 y 1988, </w:t>
      </w:r>
      <w:r w:rsidRPr="00065A46">
        <w:rPr>
          <w:rFonts w:eastAsia="Times New Roman"/>
          <w:sz w:val="24"/>
          <w:szCs w:val="24"/>
          <w:highlight w:val="green"/>
          <w:lang w:val="es-ES" w:eastAsia="es-AR"/>
        </w:rPr>
        <w:t>los ingresos laborales redujeron su participación relativa</w:t>
      </w:r>
      <w:r>
        <w:rPr>
          <w:rFonts w:eastAsia="Times New Roman"/>
          <w:sz w:val="24"/>
          <w:szCs w:val="24"/>
          <w:highlight w:val="green"/>
          <w:lang w:val="es-ES" w:eastAsia="es-AR"/>
        </w:rPr>
        <w:t xml:space="preserve"> en el ingreso familiar</w:t>
      </w:r>
      <w:r w:rsidRPr="00065A46">
        <w:rPr>
          <w:rFonts w:eastAsia="Times New Roman"/>
          <w:sz w:val="24"/>
          <w:szCs w:val="24"/>
          <w:highlight w:val="green"/>
          <w:lang w:val="es-ES" w:eastAsia="es-AR"/>
        </w:rPr>
        <w:t xml:space="preserve"> </w:t>
      </w:r>
      <w:r>
        <w:rPr>
          <w:rFonts w:eastAsia="Times New Roman"/>
          <w:sz w:val="24"/>
          <w:szCs w:val="24"/>
          <w:highlight w:val="green"/>
          <w:lang w:val="es-ES" w:eastAsia="es-AR"/>
        </w:rPr>
        <w:t xml:space="preserve">pero se volvieron crecientemente desiguales a su interior, lo que explica su contribución a la desigualdad general. Los ingresos </w:t>
      </w:r>
      <w:r w:rsidRPr="00065A46">
        <w:rPr>
          <w:rFonts w:eastAsia="Times New Roman"/>
          <w:sz w:val="24"/>
          <w:szCs w:val="24"/>
          <w:highlight w:val="green"/>
          <w:lang w:val="es-ES" w:eastAsia="es-AR"/>
        </w:rPr>
        <w:t xml:space="preserve">provenientes de ocupaciones en el sector privado formal redujeron su participación en el ingreso total familiar, </w:t>
      </w:r>
      <w:r>
        <w:rPr>
          <w:rFonts w:eastAsia="Times New Roman"/>
          <w:sz w:val="24"/>
          <w:szCs w:val="24"/>
          <w:highlight w:val="green"/>
          <w:lang w:val="es-ES" w:eastAsia="es-AR"/>
        </w:rPr>
        <w:t xml:space="preserve">en tanto que se volvieron crecientemente desiguales y se correlacionaron con la distribución general de ingresos. Los ingresos del </w:t>
      </w:r>
      <w:r w:rsidRPr="00065A46">
        <w:rPr>
          <w:rFonts w:eastAsia="Times New Roman"/>
          <w:sz w:val="24"/>
          <w:szCs w:val="24"/>
          <w:highlight w:val="green"/>
          <w:lang w:val="es-ES" w:eastAsia="es-AR"/>
        </w:rPr>
        <w:t>sector informal tuvieron un comportamiento inverso</w:t>
      </w:r>
      <w:r>
        <w:rPr>
          <w:rFonts w:eastAsia="Times New Roman"/>
          <w:sz w:val="24"/>
          <w:szCs w:val="24"/>
          <w:highlight w:val="green"/>
          <w:lang w:val="es-ES" w:eastAsia="es-AR"/>
        </w:rPr>
        <w:t xml:space="preserve"> en términos de participación, pero también aumentaron su desigualdad interna y su correlación. Este fenómeno traduce dos procesos: </w:t>
      </w:r>
      <w:r w:rsidRPr="00065A46">
        <w:rPr>
          <w:rFonts w:eastAsia="Times New Roman"/>
          <w:sz w:val="24"/>
          <w:szCs w:val="24"/>
          <w:highlight w:val="green"/>
          <w:lang w:val="es-ES" w:eastAsia="es-AR"/>
        </w:rPr>
        <w:t>el rol “amortiguador” que el sector informal desempeñó en los años ’80 en el mercado laboral</w:t>
      </w:r>
      <w:r>
        <w:rPr>
          <w:rFonts w:eastAsia="Times New Roman"/>
          <w:sz w:val="24"/>
          <w:szCs w:val="24"/>
          <w:highlight w:val="green"/>
          <w:lang w:val="es-ES" w:eastAsia="es-AR"/>
        </w:rPr>
        <w:t xml:space="preserve"> y el hecho, destacado por la literatura, de que el sector informal no estaba únicamente asociado a la subsistencia (</w:t>
      </w:r>
      <w:proofErr w:type="spellStart"/>
      <w:r>
        <w:rPr>
          <w:rFonts w:eastAsia="Times New Roman"/>
          <w:sz w:val="24"/>
          <w:szCs w:val="24"/>
          <w:highlight w:val="green"/>
          <w:lang w:val="es-ES" w:eastAsia="es-AR"/>
        </w:rPr>
        <w:t>Beccaria</w:t>
      </w:r>
      <w:proofErr w:type="spellEnd"/>
      <w:r>
        <w:rPr>
          <w:rFonts w:eastAsia="Times New Roman"/>
          <w:sz w:val="24"/>
          <w:szCs w:val="24"/>
          <w:highlight w:val="green"/>
          <w:lang w:val="es-ES" w:eastAsia="es-AR"/>
        </w:rPr>
        <w:t xml:space="preserve">, Carpio y </w:t>
      </w:r>
      <w:proofErr w:type="spellStart"/>
      <w:r>
        <w:rPr>
          <w:rFonts w:eastAsia="Times New Roman"/>
          <w:sz w:val="24"/>
          <w:szCs w:val="24"/>
          <w:highlight w:val="green"/>
          <w:lang w:val="es-ES" w:eastAsia="es-AR"/>
        </w:rPr>
        <w:t>Orsatti</w:t>
      </w:r>
      <w:proofErr w:type="spellEnd"/>
      <w:r>
        <w:rPr>
          <w:rFonts w:eastAsia="Times New Roman"/>
          <w:sz w:val="24"/>
          <w:szCs w:val="24"/>
          <w:highlight w:val="green"/>
          <w:lang w:val="es-ES" w:eastAsia="es-AR"/>
        </w:rPr>
        <w:t>, 2000).</w:t>
      </w:r>
      <w:r w:rsidRPr="00A140B8">
        <w:rPr>
          <w:rFonts w:eastAsia="Times New Roman"/>
          <w:sz w:val="24"/>
          <w:szCs w:val="24"/>
          <w:highlight w:val="green"/>
          <w:lang w:val="es-ES" w:eastAsia="es-AR"/>
        </w:rPr>
        <w:t xml:space="preserve"> </w:t>
      </w:r>
    </w:p>
    <w:p w:rsidR="00433B67" w:rsidRDefault="00433B67" w:rsidP="00F87B46">
      <w:pPr>
        <w:tabs>
          <w:tab w:val="left" w:pos="4069"/>
        </w:tabs>
        <w:spacing w:after="120" w:line="240" w:lineRule="auto"/>
        <w:jc w:val="both"/>
        <w:rPr>
          <w:rFonts w:eastAsia="Times New Roman"/>
          <w:sz w:val="24"/>
          <w:szCs w:val="24"/>
          <w:lang w:val="es-ES" w:eastAsia="es-AR"/>
        </w:rPr>
      </w:pPr>
      <w:r>
        <w:rPr>
          <w:rFonts w:eastAsia="Times New Roman"/>
          <w:sz w:val="24"/>
          <w:szCs w:val="24"/>
          <w:lang w:val="es-ES" w:eastAsia="es-AR"/>
        </w:rPr>
        <w:t>Por su parte, l</w:t>
      </w:r>
      <w:r w:rsidRPr="003F7057">
        <w:rPr>
          <w:rFonts w:eastAsia="Times New Roman"/>
          <w:sz w:val="24"/>
          <w:szCs w:val="24"/>
          <w:lang w:val="es-ES" w:eastAsia="es-AR"/>
        </w:rPr>
        <w:t>os ingresos no laborales aumentaron su correlación con la distribución general (R), comportamiento que fue mucho más acentuado en el caso de los ingresos provenientes de rentas, utilidades y otras fuentes</w:t>
      </w:r>
      <w:r w:rsidRPr="003F7057">
        <w:rPr>
          <w:rStyle w:val="Refdenotaalpie"/>
          <w:rFonts w:eastAsia="Times New Roman"/>
          <w:sz w:val="24"/>
          <w:szCs w:val="24"/>
          <w:lang w:val="es-ES" w:eastAsia="es-AR"/>
        </w:rPr>
        <w:footnoteReference w:id="12"/>
      </w:r>
      <w:r w:rsidRPr="003F7057">
        <w:rPr>
          <w:rFonts w:eastAsia="Times New Roman"/>
          <w:sz w:val="24"/>
          <w:szCs w:val="24"/>
          <w:lang w:val="es-ES" w:eastAsia="es-AR"/>
        </w:rPr>
        <w:t xml:space="preserve"> que en el caso de los ingresos </w:t>
      </w:r>
      <w:r w:rsidRPr="003F7057">
        <w:rPr>
          <w:rFonts w:eastAsia="Times New Roman"/>
          <w:sz w:val="24"/>
          <w:szCs w:val="24"/>
          <w:lang w:val="es-ES" w:eastAsia="es-AR"/>
        </w:rPr>
        <w:lastRenderedPageBreak/>
        <w:t>provenientes de política social y el sistema jubilatorio. En este punto, puede conjeturarse que la crisis del sistema previsional de mediados de los años ochenta</w:t>
      </w:r>
      <w:r>
        <w:rPr>
          <w:rFonts w:eastAsia="Times New Roman"/>
          <w:sz w:val="24"/>
          <w:szCs w:val="24"/>
          <w:lang w:val="es-ES" w:eastAsia="es-AR"/>
        </w:rPr>
        <w:t xml:space="preserve"> y la</w:t>
      </w:r>
      <w:r w:rsidRPr="003F7057">
        <w:rPr>
          <w:rFonts w:eastAsia="Times New Roman"/>
          <w:sz w:val="24"/>
          <w:szCs w:val="24"/>
          <w:lang w:val="es-ES" w:eastAsia="es-AR"/>
        </w:rPr>
        <w:t xml:space="preserve"> homogeneización de la distribución de los haberes, podría explicar el reducido papel jugado por los </w:t>
      </w:r>
      <w:r>
        <w:rPr>
          <w:rFonts w:eastAsia="Times New Roman"/>
          <w:sz w:val="24"/>
          <w:szCs w:val="24"/>
          <w:lang w:val="es-ES" w:eastAsia="es-AR"/>
        </w:rPr>
        <w:t>d</w:t>
      </w:r>
      <w:r w:rsidRPr="003F7057">
        <w:rPr>
          <w:rFonts w:eastAsia="Times New Roman"/>
          <w:sz w:val="24"/>
          <w:szCs w:val="24"/>
          <w:lang w:val="es-ES" w:eastAsia="es-AR"/>
        </w:rPr>
        <w:t>el sistema previsional sobre la desigualdad. Precisamente, la reducción de la desigualdad interna de esta fuente (G) parece ofrecer elementos de juicio para corroborar esta hipótesis</w:t>
      </w:r>
      <w:r w:rsidRPr="003F7057">
        <w:rPr>
          <w:rStyle w:val="Refdenotaalpie"/>
          <w:rFonts w:eastAsia="Times New Roman"/>
          <w:sz w:val="24"/>
          <w:szCs w:val="24"/>
          <w:lang w:val="es-ES" w:eastAsia="es-AR"/>
        </w:rPr>
        <w:footnoteReference w:id="13"/>
      </w:r>
      <w:r w:rsidRPr="003F7057">
        <w:rPr>
          <w:rFonts w:eastAsia="Times New Roman"/>
          <w:sz w:val="24"/>
          <w:szCs w:val="24"/>
          <w:lang w:val="es-ES" w:eastAsia="es-AR"/>
        </w:rPr>
        <w:t>.</w:t>
      </w:r>
    </w:p>
    <w:p w:rsidR="00F87B46" w:rsidRDefault="00F87B46" w:rsidP="00433B67">
      <w:pPr>
        <w:tabs>
          <w:tab w:val="left" w:pos="4069"/>
        </w:tabs>
        <w:spacing w:after="0" w:line="240" w:lineRule="auto"/>
        <w:jc w:val="both"/>
        <w:rPr>
          <w:rFonts w:eastAsia="Times New Roman"/>
          <w:sz w:val="24"/>
          <w:szCs w:val="24"/>
          <w:lang w:val="es-ES" w:eastAsia="es-AR"/>
        </w:rPr>
      </w:pPr>
    </w:p>
    <w:p w:rsidR="00F87B46" w:rsidRPr="00F7768F" w:rsidRDefault="00177113" w:rsidP="00F87B46">
      <w:pPr>
        <w:spacing w:after="0" w:line="240" w:lineRule="auto"/>
        <w:jc w:val="both"/>
        <w:rPr>
          <w:rFonts w:eastAsia="Times New Roman"/>
          <w:b/>
          <w:bCs/>
          <w:color w:val="000000"/>
          <w:sz w:val="24"/>
          <w:szCs w:val="24"/>
          <w:lang w:eastAsia="es-AR"/>
        </w:rPr>
      </w:pPr>
      <w:r>
        <w:rPr>
          <w:rFonts w:eastAsia="Times New Roman"/>
          <w:b/>
          <w:bCs/>
          <w:color w:val="000000"/>
          <w:sz w:val="24"/>
          <w:szCs w:val="24"/>
          <w:lang w:eastAsia="es-AR"/>
        </w:rPr>
        <w:t>Cuadro 12</w:t>
      </w:r>
      <w:r w:rsidR="00F87B46" w:rsidRPr="00F7768F">
        <w:rPr>
          <w:rFonts w:eastAsia="Times New Roman"/>
          <w:b/>
          <w:bCs/>
          <w:color w:val="000000"/>
          <w:sz w:val="24"/>
          <w:szCs w:val="24"/>
          <w:lang w:eastAsia="es-AR"/>
        </w:rPr>
        <w:t>. Descomposición del cambio absoluto del coeficiente de Gini familiar según fuente de ingresos. Área Gran Buenos Aires, 1974-</w:t>
      </w:r>
      <w:r w:rsidR="00F87B46">
        <w:rPr>
          <w:rFonts w:eastAsia="Times New Roman"/>
          <w:b/>
          <w:bCs/>
          <w:color w:val="000000"/>
          <w:sz w:val="24"/>
          <w:szCs w:val="24"/>
          <w:lang w:eastAsia="es-AR"/>
        </w:rPr>
        <w:t>1988</w:t>
      </w:r>
      <w:r w:rsidR="00F87B46" w:rsidRPr="00F7768F">
        <w:rPr>
          <w:rFonts w:eastAsia="Times New Roman"/>
          <w:b/>
          <w:bCs/>
          <w:color w:val="000000"/>
          <w:sz w:val="24"/>
          <w:szCs w:val="24"/>
          <w:lang w:eastAsia="es-AR"/>
        </w:rPr>
        <w:t xml:space="preserve">. </w:t>
      </w:r>
    </w:p>
    <w:p w:rsidR="00F87B46" w:rsidRPr="00F7768F" w:rsidRDefault="00F87B46" w:rsidP="00F87B46">
      <w:pPr>
        <w:spacing w:after="0" w:line="240" w:lineRule="auto"/>
        <w:jc w:val="both"/>
        <w:rPr>
          <w:rFonts w:eastAsia="Times New Roman"/>
          <w:bCs/>
          <w:i/>
          <w:color w:val="000000"/>
          <w:sz w:val="24"/>
          <w:szCs w:val="24"/>
          <w:lang w:eastAsia="es-AR"/>
        </w:rPr>
      </w:pPr>
      <w:r w:rsidRPr="00F7768F">
        <w:rPr>
          <w:rFonts w:eastAsia="Times New Roman"/>
          <w:bCs/>
          <w:i/>
          <w:color w:val="000000"/>
          <w:sz w:val="24"/>
          <w:szCs w:val="24"/>
          <w:lang w:eastAsia="es-AR"/>
        </w:rPr>
        <w:t>Variación interanual en valores absolutos/puntos del coeficiente de Gini</w:t>
      </w:r>
    </w:p>
    <w:tbl>
      <w:tblPr>
        <w:tblW w:w="8601" w:type="dxa"/>
        <w:jc w:val="center"/>
        <w:tblInd w:w="432" w:type="dxa"/>
        <w:tblCellMar>
          <w:left w:w="70" w:type="dxa"/>
          <w:right w:w="70" w:type="dxa"/>
        </w:tblCellMar>
        <w:tblLook w:val="04A0" w:firstRow="1" w:lastRow="0" w:firstColumn="1" w:lastColumn="0" w:noHBand="0" w:noVBand="1"/>
      </w:tblPr>
      <w:tblGrid>
        <w:gridCol w:w="2201"/>
        <w:gridCol w:w="800"/>
        <w:gridCol w:w="800"/>
        <w:gridCol w:w="800"/>
        <w:gridCol w:w="800"/>
        <w:gridCol w:w="800"/>
        <w:gridCol w:w="800"/>
        <w:gridCol w:w="800"/>
        <w:gridCol w:w="800"/>
      </w:tblGrid>
      <w:tr w:rsidR="00F87B46" w:rsidRPr="00EE0425" w:rsidTr="00782142">
        <w:trPr>
          <w:trHeight w:val="239"/>
          <w:jc w:val="center"/>
        </w:trPr>
        <w:tc>
          <w:tcPr>
            <w:tcW w:w="2201" w:type="dxa"/>
            <w:tcBorders>
              <w:top w:val="single" w:sz="4" w:space="0" w:color="auto"/>
              <w:left w:val="single" w:sz="4" w:space="0" w:color="auto"/>
              <w:bottom w:val="single" w:sz="4" w:space="0" w:color="auto"/>
              <w:right w:val="nil"/>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Var. Gini</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r</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S</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r*s</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r*g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s*g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r*s*g</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rPr>
                <w:rFonts w:eastAsia="Times New Roman" w:cs="Calibri"/>
                <w:b/>
                <w:bCs/>
                <w:color w:val="000000"/>
                <w:sz w:val="15"/>
                <w:szCs w:val="15"/>
                <w:lang w:eastAsia="es-AR"/>
              </w:rPr>
            </w:pPr>
            <w:r w:rsidRPr="00EE0425">
              <w:rPr>
                <w:rFonts w:eastAsia="Times New Roman" w:cs="Calibri"/>
                <w:b/>
                <w:bCs/>
                <w:color w:val="000000"/>
                <w:sz w:val="15"/>
                <w:szCs w:val="15"/>
                <w:lang w:eastAsia="es-AR"/>
              </w:rPr>
              <w:t>Ingresos laborales</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0,0669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0,0014</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-0,0095</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0,0769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0,0003</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-0,0021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0,0000</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100" w:firstLine="150"/>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Sector formal público y privado</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0,0569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0,0233</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-0,0117</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0,0446</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-0,0010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0,0038</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-0,0019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-0,0002</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200" w:firstLine="300"/>
              <w:rPr>
                <w:rFonts w:eastAsia="Times New Roman" w:cs="Calibri"/>
                <w:i/>
                <w:iCs/>
                <w:color w:val="000000"/>
                <w:sz w:val="15"/>
                <w:szCs w:val="15"/>
                <w:lang w:eastAsia="es-AR"/>
              </w:rPr>
            </w:pPr>
            <w:r w:rsidRPr="00EE0425">
              <w:rPr>
                <w:rFonts w:eastAsia="Times New Roman" w:cs="Calibri"/>
                <w:i/>
                <w:iCs/>
                <w:color w:val="000000"/>
                <w:sz w:val="15"/>
                <w:szCs w:val="15"/>
                <w:lang w:eastAsia="es-AR"/>
              </w:rPr>
              <w:t>Sector formal privado</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200" w:firstLine="300"/>
              <w:rPr>
                <w:rFonts w:eastAsia="Times New Roman" w:cs="Calibri"/>
                <w:i/>
                <w:iCs/>
                <w:color w:val="000000"/>
                <w:sz w:val="15"/>
                <w:szCs w:val="15"/>
                <w:lang w:eastAsia="es-AR"/>
              </w:rPr>
            </w:pPr>
            <w:r w:rsidRPr="00EE0425">
              <w:rPr>
                <w:rFonts w:eastAsia="Times New Roman" w:cs="Calibri"/>
                <w:i/>
                <w:iCs/>
                <w:color w:val="000000"/>
                <w:sz w:val="15"/>
                <w:szCs w:val="15"/>
                <w:lang w:eastAsia="es-AR"/>
              </w:rPr>
              <w:t>Sector público</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100" w:firstLine="150"/>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Sector micro/informal</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0,0101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0,0076</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0,0013</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rPr>
                <w:rFonts w:eastAsia="Times New Roman" w:cs="Calibri"/>
                <w:b/>
                <w:bCs/>
                <w:color w:val="000000"/>
                <w:sz w:val="15"/>
                <w:szCs w:val="15"/>
                <w:lang w:eastAsia="es-AR"/>
              </w:rPr>
            </w:pPr>
            <w:r w:rsidRPr="00EE0425">
              <w:rPr>
                <w:rFonts w:eastAsia="Times New Roman" w:cs="Calibri"/>
                <w:b/>
                <w:bCs/>
                <w:color w:val="000000"/>
                <w:sz w:val="15"/>
                <w:szCs w:val="15"/>
                <w:lang w:eastAsia="es-AR"/>
              </w:rPr>
              <w:t>Ingresos no laborales</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0,0069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0,0041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0,0023</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-0,0002</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0,0008</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bCs/>
                <w:color w:val="000000"/>
                <w:sz w:val="15"/>
                <w:szCs w:val="15"/>
                <w:lang w:eastAsia="es-AR"/>
              </w:rPr>
            </w:pPr>
            <w:r w:rsidRPr="00EE0425">
              <w:rPr>
                <w:rFonts w:eastAsia="Times New Roman" w:cs="Calibri"/>
                <w:b/>
                <w:bCs/>
                <w:color w:val="000000"/>
                <w:sz w:val="15"/>
                <w:szCs w:val="15"/>
                <w:lang w:eastAsia="es-AR"/>
              </w:rPr>
              <w:t>0,0000</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100" w:firstLine="150"/>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 xml:space="preserve">Políticas sociales y </w:t>
            </w:r>
            <w:proofErr w:type="spellStart"/>
            <w:r w:rsidRPr="00EE0425">
              <w:rPr>
                <w:rFonts w:eastAsia="Times New Roman" w:cs="Calibri"/>
                <w:color w:val="000000"/>
                <w:sz w:val="15"/>
                <w:szCs w:val="15"/>
                <w:u w:val="single"/>
                <w:lang w:eastAsia="es-AR"/>
              </w:rPr>
              <w:t>sist</w:t>
            </w:r>
            <w:proofErr w:type="spellEnd"/>
            <w:r w:rsidRPr="00EE0425">
              <w:rPr>
                <w:rFonts w:eastAsia="Times New Roman" w:cs="Calibri"/>
                <w:color w:val="000000"/>
                <w:sz w:val="15"/>
                <w:szCs w:val="15"/>
                <w:u w:val="single"/>
                <w:lang w:eastAsia="es-AR"/>
              </w:rPr>
              <w:t>. jubilatorio</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0,0013</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0,0005</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-0,0002</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0,0001</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200" w:firstLine="300"/>
              <w:rPr>
                <w:rFonts w:eastAsia="Times New Roman" w:cs="Calibri"/>
                <w:i/>
                <w:iCs/>
                <w:color w:val="000000"/>
                <w:sz w:val="15"/>
                <w:szCs w:val="15"/>
                <w:lang w:eastAsia="es-AR"/>
              </w:rPr>
            </w:pPr>
            <w:r w:rsidRPr="00EE0425">
              <w:rPr>
                <w:rFonts w:eastAsia="Times New Roman" w:cs="Calibri"/>
                <w:i/>
                <w:iCs/>
                <w:color w:val="000000"/>
                <w:sz w:val="15"/>
                <w:szCs w:val="15"/>
                <w:lang w:eastAsia="es-AR"/>
              </w:rPr>
              <w:t>Planes de empleo</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200" w:firstLine="300"/>
              <w:rPr>
                <w:rFonts w:eastAsia="Times New Roman" w:cs="Calibri"/>
                <w:i/>
                <w:iCs/>
                <w:color w:val="000000"/>
                <w:sz w:val="15"/>
                <w:szCs w:val="15"/>
                <w:lang w:eastAsia="es-AR"/>
              </w:rPr>
            </w:pPr>
            <w:proofErr w:type="spellStart"/>
            <w:r w:rsidRPr="00EE0425">
              <w:rPr>
                <w:rFonts w:eastAsia="Times New Roman" w:cs="Calibri"/>
                <w:i/>
                <w:iCs/>
                <w:color w:val="000000"/>
                <w:sz w:val="15"/>
                <w:szCs w:val="15"/>
                <w:lang w:eastAsia="es-AR"/>
              </w:rPr>
              <w:t>Progr</w:t>
            </w:r>
            <w:proofErr w:type="spellEnd"/>
            <w:r w:rsidRPr="00EE0425">
              <w:rPr>
                <w:rFonts w:eastAsia="Times New Roman" w:cs="Calibri"/>
                <w:i/>
                <w:iCs/>
                <w:color w:val="000000"/>
                <w:sz w:val="15"/>
                <w:szCs w:val="15"/>
                <w:lang w:eastAsia="es-AR"/>
              </w:rPr>
              <w:t xml:space="preserve">. </w:t>
            </w:r>
            <w:proofErr w:type="spellStart"/>
            <w:r w:rsidRPr="00EE0425">
              <w:rPr>
                <w:rFonts w:eastAsia="Times New Roman" w:cs="Calibri"/>
                <w:i/>
                <w:iCs/>
                <w:color w:val="000000"/>
                <w:sz w:val="15"/>
                <w:szCs w:val="15"/>
                <w:lang w:eastAsia="es-AR"/>
              </w:rPr>
              <w:t>transf</w:t>
            </w:r>
            <w:proofErr w:type="spellEnd"/>
            <w:r w:rsidRPr="00EE0425">
              <w:rPr>
                <w:rFonts w:eastAsia="Times New Roman" w:cs="Calibri"/>
                <w:i/>
                <w:iCs/>
                <w:color w:val="000000"/>
                <w:sz w:val="15"/>
                <w:szCs w:val="15"/>
                <w:lang w:eastAsia="es-AR"/>
              </w:rPr>
              <w:t xml:space="preserve"> de ingresos</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200" w:firstLine="300"/>
              <w:rPr>
                <w:rFonts w:eastAsia="Times New Roman" w:cs="Calibri"/>
                <w:i/>
                <w:iCs/>
                <w:color w:val="000000"/>
                <w:sz w:val="15"/>
                <w:szCs w:val="15"/>
                <w:lang w:eastAsia="es-AR"/>
              </w:rPr>
            </w:pPr>
            <w:r w:rsidRPr="00EE0425">
              <w:rPr>
                <w:rFonts w:eastAsia="Times New Roman" w:cs="Calibri"/>
                <w:i/>
                <w:iCs/>
                <w:color w:val="000000"/>
                <w:sz w:val="15"/>
                <w:szCs w:val="15"/>
                <w:lang w:eastAsia="es-AR"/>
              </w:rPr>
              <w:t>Jubilaciones y pensiones</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i/>
                <w:iCs/>
                <w:color w:val="000000"/>
                <w:sz w:val="15"/>
                <w:szCs w:val="15"/>
                <w:lang w:eastAsia="es-AR"/>
              </w:rPr>
            </w:pPr>
            <w:r w:rsidRPr="00EE0425">
              <w:rPr>
                <w:rFonts w:eastAsia="Times New Roman" w:cs="Calibri"/>
                <w:i/>
                <w:iCs/>
                <w:color w:val="000000"/>
                <w:sz w:val="15"/>
                <w:szCs w:val="15"/>
                <w:lang w:eastAsia="es-AR"/>
              </w:rPr>
              <w:t>--</w:t>
            </w:r>
          </w:p>
        </w:tc>
      </w:tr>
      <w:tr w:rsidR="00F87B46" w:rsidRPr="00EE0425" w:rsidTr="00782142">
        <w:trPr>
          <w:trHeight w:val="239"/>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F87B46" w:rsidRPr="00EE0425" w:rsidRDefault="00F87B46" w:rsidP="00782142">
            <w:pPr>
              <w:spacing w:after="0" w:line="240" w:lineRule="auto"/>
              <w:ind w:firstLineChars="100" w:firstLine="150"/>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Otros no laborales</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0,0056</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0,0019</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0,0028</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0,0008</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u w:val="single"/>
                <w:lang w:eastAsia="es-AR"/>
              </w:rPr>
            </w:pPr>
            <w:r w:rsidRPr="00EE0425">
              <w:rPr>
                <w:rFonts w:eastAsia="Times New Roman" w:cs="Calibri"/>
                <w:color w:val="000000"/>
                <w:sz w:val="15"/>
                <w:szCs w:val="15"/>
                <w:u w:val="single"/>
                <w:lang w:eastAsia="es-AR"/>
              </w:rPr>
              <w:t>0,0000</w:t>
            </w:r>
          </w:p>
        </w:tc>
      </w:tr>
      <w:tr w:rsidR="00F87B46" w:rsidRPr="00EE0425" w:rsidTr="00782142">
        <w:trPr>
          <w:trHeight w:val="239"/>
          <w:jc w:val="center"/>
        </w:trPr>
        <w:tc>
          <w:tcPr>
            <w:tcW w:w="2201" w:type="dxa"/>
            <w:tcBorders>
              <w:top w:val="nil"/>
              <w:left w:val="single" w:sz="4" w:space="0" w:color="auto"/>
              <w:bottom w:val="single" w:sz="4" w:space="0" w:color="auto"/>
              <w:right w:val="nil"/>
            </w:tcBorders>
            <w:shd w:val="clear" w:color="000000" w:fill="FFFFFF"/>
            <w:noWrap/>
            <w:vAlign w:val="bottom"/>
            <w:hideMark/>
          </w:tcPr>
          <w:p w:rsidR="00F87B46" w:rsidRPr="00EE0425" w:rsidRDefault="00F87B46" w:rsidP="00782142">
            <w:pPr>
              <w:spacing w:after="0" w:line="240" w:lineRule="auto"/>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single" w:sz="4" w:space="0" w:color="auto"/>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b/>
                <w:color w:val="000000"/>
                <w:sz w:val="15"/>
                <w:szCs w:val="15"/>
                <w:lang w:eastAsia="es-AR"/>
              </w:rPr>
            </w:pPr>
            <w:r w:rsidRPr="00EE0425">
              <w:rPr>
                <w:rFonts w:eastAsia="Times New Roman" w:cs="Calibri"/>
                <w:b/>
                <w:color w:val="000000"/>
                <w:sz w:val="15"/>
                <w:szCs w:val="15"/>
                <w:lang w:eastAsia="es-AR"/>
              </w:rPr>
              <w:t>0,0738</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87B46" w:rsidRPr="00EE0425" w:rsidRDefault="00F87B46" w:rsidP="00782142">
            <w:pPr>
              <w:spacing w:after="0" w:line="240" w:lineRule="auto"/>
              <w:jc w:val="center"/>
              <w:rPr>
                <w:rFonts w:eastAsia="Times New Roman" w:cs="Calibri"/>
                <w:color w:val="000000"/>
                <w:sz w:val="15"/>
                <w:szCs w:val="15"/>
                <w:lang w:eastAsia="es-AR"/>
              </w:rPr>
            </w:pPr>
            <w:r w:rsidRPr="00EE0425">
              <w:rPr>
                <w:rFonts w:eastAsia="Times New Roman" w:cs="Calibri"/>
                <w:color w:val="000000"/>
                <w:sz w:val="15"/>
                <w:szCs w:val="15"/>
                <w:lang w:eastAsia="es-AR"/>
              </w:rPr>
              <w:t> </w:t>
            </w:r>
          </w:p>
        </w:tc>
      </w:tr>
    </w:tbl>
    <w:p w:rsidR="00F87B46" w:rsidRPr="00112979" w:rsidRDefault="00F87B46" w:rsidP="00F87B46">
      <w:pPr>
        <w:tabs>
          <w:tab w:val="left" w:pos="4069"/>
        </w:tabs>
        <w:spacing w:after="120" w:line="240" w:lineRule="auto"/>
        <w:jc w:val="both"/>
        <w:rPr>
          <w:rFonts w:eastAsia="Times New Roman"/>
          <w:sz w:val="18"/>
          <w:szCs w:val="16"/>
          <w:lang w:eastAsia="es-AR"/>
        </w:rPr>
      </w:pPr>
      <w:r w:rsidRPr="00112979">
        <w:rPr>
          <w:rFonts w:eastAsia="Times New Roman"/>
          <w:sz w:val="18"/>
          <w:szCs w:val="16"/>
          <w:lang w:eastAsia="es-AR"/>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b/>
          <w:bCs/>
          <w:color w:val="000000"/>
          <w:lang w:val="es-ES" w:eastAsia="es-AR"/>
        </w:rPr>
      </w:pPr>
    </w:p>
    <w:p w:rsidR="00433B67" w:rsidRDefault="00433B67" w:rsidP="00AE5564">
      <w:pPr>
        <w:tabs>
          <w:tab w:val="left" w:pos="4069"/>
        </w:tabs>
        <w:spacing w:after="0" w:line="240" w:lineRule="auto"/>
        <w:jc w:val="both"/>
        <w:rPr>
          <w:rFonts w:eastAsia="Times New Roman"/>
          <w:bCs/>
          <w:color w:val="000000"/>
          <w:sz w:val="24"/>
          <w:szCs w:val="24"/>
          <w:lang w:val="es-ES" w:eastAsia="es-AR"/>
        </w:rPr>
      </w:pPr>
      <w:r w:rsidRPr="00C805EB">
        <w:rPr>
          <w:rFonts w:eastAsia="Times New Roman"/>
          <w:bCs/>
          <w:color w:val="000000"/>
          <w:sz w:val="24"/>
          <w:szCs w:val="24"/>
          <w:lang w:val="es-ES" w:eastAsia="es-AR"/>
        </w:rPr>
        <w:t xml:space="preserve">En resumen, durante estos años, </w:t>
      </w:r>
      <w:r>
        <w:rPr>
          <w:rFonts w:eastAsia="Times New Roman"/>
          <w:bCs/>
          <w:color w:val="000000"/>
          <w:sz w:val="24"/>
          <w:szCs w:val="24"/>
          <w:lang w:val="es-ES" w:eastAsia="es-AR"/>
        </w:rPr>
        <w:t xml:space="preserve">tanto los ingresos laborales como los no laborales contribuyeron a aumentar la desigualdad, pero los primeros tuvieron un rol dominante. El principal factor explicativo de la mayor desigualdad en el Gran Buenos Aires fue que los ingresos laborales provenientes del sector formal se hicieron más inequitativos y, además, aumentaron su correlación con la distribución general. Los ingresos provenientes del sector micro-informal también aportaron a la desigualdad, principalmente por una mayor correlación con la distribución general. </w:t>
      </w:r>
    </w:p>
    <w:p w:rsidR="00AE5564" w:rsidRPr="00AE5564" w:rsidRDefault="00AE5564" w:rsidP="00AE5564">
      <w:pPr>
        <w:tabs>
          <w:tab w:val="left" w:pos="4069"/>
        </w:tabs>
        <w:spacing w:after="0" w:line="240" w:lineRule="auto"/>
        <w:jc w:val="both"/>
        <w:rPr>
          <w:rFonts w:eastAsia="Times New Roman"/>
          <w:bCs/>
          <w:color w:val="000000"/>
          <w:sz w:val="24"/>
          <w:szCs w:val="24"/>
          <w:lang w:val="es-ES" w:eastAsia="es-AR"/>
        </w:rPr>
      </w:pPr>
    </w:p>
    <w:p w:rsidR="00433B67" w:rsidRDefault="00433B67" w:rsidP="00433B67">
      <w:pPr>
        <w:tabs>
          <w:tab w:val="left" w:pos="4069"/>
        </w:tabs>
        <w:spacing w:line="240" w:lineRule="auto"/>
        <w:jc w:val="center"/>
        <w:rPr>
          <w:rFonts w:eastAsia="Times New Roman"/>
          <w:sz w:val="24"/>
          <w:szCs w:val="24"/>
          <w:lang w:val="es-ES" w:eastAsia="es-AR"/>
        </w:rPr>
      </w:pPr>
      <w:r>
        <w:rPr>
          <w:color w:val="010101"/>
          <w:sz w:val="24"/>
          <w:szCs w:val="24"/>
          <w:u w:val="single"/>
          <w:lang w:eastAsia="es-MX"/>
        </w:rPr>
        <w:t>R</w:t>
      </w:r>
      <w:r w:rsidRPr="003F7057">
        <w:rPr>
          <w:color w:val="010101"/>
          <w:sz w:val="24"/>
          <w:szCs w:val="24"/>
          <w:u w:val="single"/>
          <w:lang w:eastAsia="es-MX"/>
        </w:rPr>
        <w:t>eformas estructurales bajo un régimen de convertibilidad (1988-2003)</w:t>
      </w:r>
    </w:p>
    <w:p w:rsidR="00433B67" w:rsidRDefault="00433B67" w:rsidP="00433B67">
      <w:pPr>
        <w:tabs>
          <w:tab w:val="left" w:pos="4069"/>
        </w:tabs>
        <w:spacing w:after="120" w:line="240" w:lineRule="auto"/>
        <w:jc w:val="both"/>
        <w:rPr>
          <w:rFonts w:eastAsia="Times New Roman"/>
          <w:sz w:val="24"/>
          <w:szCs w:val="24"/>
          <w:lang w:val="es-ES" w:eastAsia="es-AR"/>
        </w:rPr>
      </w:pPr>
      <w:r>
        <w:rPr>
          <w:color w:val="010101"/>
          <w:sz w:val="24"/>
          <w:szCs w:val="24"/>
          <w:lang w:eastAsia="es-MX"/>
        </w:rPr>
        <w:t>Durante estos años, en los que se desarrolló</w:t>
      </w:r>
      <w:r w:rsidRPr="003F7057">
        <w:rPr>
          <w:rFonts w:eastAsia="Times New Roman"/>
          <w:sz w:val="24"/>
          <w:szCs w:val="24"/>
          <w:lang w:val="es-ES" w:eastAsia="es-AR"/>
        </w:rPr>
        <w:t xml:space="preserve"> el programa de reformas de carácter ortodoxo enmar</w:t>
      </w:r>
      <w:r>
        <w:rPr>
          <w:rFonts w:eastAsia="Times New Roman"/>
          <w:sz w:val="24"/>
          <w:szCs w:val="24"/>
          <w:lang w:val="es-ES" w:eastAsia="es-AR"/>
        </w:rPr>
        <w:t>cadas en el denominado “Consenso de Washington”, la</w:t>
      </w:r>
      <w:r w:rsidRPr="003F7057">
        <w:rPr>
          <w:rFonts w:eastAsia="Times New Roman"/>
          <w:sz w:val="24"/>
          <w:szCs w:val="24"/>
          <w:lang w:val="es-ES" w:eastAsia="es-AR"/>
        </w:rPr>
        <w:t xml:space="preserve"> apertura comercial</w:t>
      </w:r>
      <w:r>
        <w:rPr>
          <w:rFonts w:eastAsia="Times New Roman"/>
          <w:sz w:val="24"/>
          <w:szCs w:val="24"/>
          <w:lang w:val="es-ES" w:eastAsia="es-AR"/>
        </w:rPr>
        <w:t xml:space="preserve"> y la desregulación económica </w:t>
      </w:r>
      <w:r w:rsidRPr="003F7057">
        <w:rPr>
          <w:rFonts w:eastAsia="Times New Roman"/>
          <w:sz w:val="24"/>
          <w:szCs w:val="24"/>
          <w:lang w:val="es-ES" w:eastAsia="es-AR"/>
        </w:rPr>
        <w:t>volvieron a profundizar los desajustes estructurales</w:t>
      </w:r>
      <w:r>
        <w:rPr>
          <w:rFonts w:eastAsia="Times New Roman"/>
          <w:sz w:val="24"/>
          <w:szCs w:val="24"/>
          <w:lang w:val="es-ES" w:eastAsia="es-AR"/>
        </w:rPr>
        <w:t xml:space="preserve"> y, de manera más general,</w:t>
      </w:r>
      <w:r w:rsidRPr="003F7057">
        <w:rPr>
          <w:rFonts w:eastAsia="Times New Roman"/>
          <w:sz w:val="24"/>
          <w:szCs w:val="24"/>
          <w:lang w:val="es-ES" w:eastAsia="es-AR"/>
        </w:rPr>
        <w:t xml:space="preserve"> desfavore</w:t>
      </w:r>
      <w:r>
        <w:rPr>
          <w:rFonts w:eastAsia="Times New Roman"/>
          <w:sz w:val="24"/>
          <w:szCs w:val="24"/>
          <w:lang w:val="es-ES" w:eastAsia="es-AR"/>
        </w:rPr>
        <w:t>cieron</w:t>
      </w:r>
      <w:r w:rsidRPr="003F7057">
        <w:rPr>
          <w:rFonts w:eastAsia="Times New Roman"/>
          <w:sz w:val="24"/>
          <w:szCs w:val="24"/>
          <w:lang w:val="es-ES" w:eastAsia="es-AR"/>
        </w:rPr>
        <w:t xml:space="preserve"> la creación de empleo (</w:t>
      </w:r>
      <w:r>
        <w:rPr>
          <w:rFonts w:eastAsia="Times New Roman"/>
          <w:sz w:val="24"/>
          <w:szCs w:val="24"/>
          <w:lang w:val="es-ES" w:eastAsia="es-AR"/>
        </w:rPr>
        <w:t xml:space="preserve">véase el </w:t>
      </w:r>
      <w:r>
        <w:rPr>
          <w:rFonts w:eastAsia="Times New Roman"/>
          <w:sz w:val="24"/>
          <w:szCs w:val="24"/>
          <w:highlight w:val="yellow"/>
          <w:lang w:val="es-ES" w:eastAsia="es-AR"/>
        </w:rPr>
        <w:t>c</w:t>
      </w:r>
      <w:r w:rsidRPr="00147D36">
        <w:rPr>
          <w:rFonts w:eastAsia="Times New Roman"/>
          <w:sz w:val="24"/>
          <w:szCs w:val="24"/>
          <w:highlight w:val="yellow"/>
          <w:lang w:val="es-ES" w:eastAsia="es-AR"/>
        </w:rPr>
        <w:t>apítulo 1</w:t>
      </w:r>
      <w:r w:rsidRPr="003F7057">
        <w:rPr>
          <w:rFonts w:eastAsia="Times New Roman"/>
          <w:sz w:val="24"/>
          <w:szCs w:val="24"/>
          <w:lang w:val="es-ES" w:eastAsia="es-AR"/>
        </w:rPr>
        <w:t xml:space="preserve">). </w:t>
      </w:r>
      <w:r>
        <w:rPr>
          <w:rFonts w:eastAsia="Times New Roman"/>
          <w:sz w:val="24"/>
          <w:szCs w:val="24"/>
          <w:lang w:val="es-ES" w:eastAsia="es-AR"/>
        </w:rPr>
        <w:t xml:space="preserve">Expresión de este proceso fue la evolución seguida por el </w:t>
      </w:r>
      <w:r w:rsidRPr="003F7057">
        <w:rPr>
          <w:rFonts w:eastAsia="Times New Roman"/>
          <w:sz w:val="24"/>
          <w:szCs w:val="24"/>
          <w:lang w:val="es-ES" w:eastAsia="es-AR"/>
        </w:rPr>
        <w:t>coeficiente de Gini familiar</w:t>
      </w:r>
      <w:r>
        <w:rPr>
          <w:rFonts w:eastAsia="Times New Roman"/>
          <w:sz w:val="24"/>
          <w:szCs w:val="24"/>
          <w:lang w:val="es-ES" w:eastAsia="es-AR"/>
        </w:rPr>
        <w:t xml:space="preserve">, que </w:t>
      </w:r>
      <w:r w:rsidRPr="003F7057">
        <w:rPr>
          <w:rFonts w:eastAsia="Times New Roman"/>
          <w:sz w:val="24"/>
          <w:szCs w:val="24"/>
          <w:lang w:val="es-ES" w:eastAsia="es-AR"/>
        </w:rPr>
        <w:t xml:space="preserve"> pasó de 0,440 a 0,4867</w:t>
      </w:r>
      <w:r>
        <w:rPr>
          <w:rFonts w:eastAsia="Times New Roman"/>
          <w:sz w:val="24"/>
          <w:szCs w:val="24"/>
          <w:lang w:val="es-ES" w:eastAsia="es-AR"/>
        </w:rPr>
        <w:t xml:space="preserve"> (</w:t>
      </w:r>
      <w:r w:rsidRPr="00C805EB">
        <w:rPr>
          <w:rFonts w:eastAsia="Times New Roman"/>
          <w:sz w:val="24"/>
          <w:szCs w:val="24"/>
          <w:highlight w:val="green"/>
          <w:lang w:val="es-ES" w:eastAsia="es-AR"/>
        </w:rPr>
        <w:t xml:space="preserve">Cuadro </w:t>
      </w:r>
      <w:r w:rsidR="004C71EF">
        <w:rPr>
          <w:rFonts w:eastAsia="Times New Roman"/>
          <w:sz w:val="24"/>
          <w:szCs w:val="24"/>
          <w:highlight w:val="green"/>
          <w:lang w:val="es-ES" w:eastAsia="es-AR"/>
        </w:rPr>
        <w:t>13</w:t>
      </w:r>
      <w:r>
        <w:rPr>
          <w:rFonts w:eastAsia="Times New Roman"/>
          <w:sz w:val="24"/>
          <w:szCs w:val="24"/>
          <w:lang w:val="es-ES" w:eastAsia="es-AR"/>
        </w:rPr>
        <w:t>). El</w:t>
      </w:r>
      <w:r w:rsidRPr="003F7057">
        <w:rPr>
          <w:rFonts w:eastAsia="Times New Roman"/>
          <w:sz w:val="24"/>
          <w:szCs w:val="24"/>
          <w:lang w:val="es-ES" w:eastAsia="es-AR"/>
        </w:rPr>
        <w:t xml:space="preserve"> aporte </w:t>
      </w:r>
      <w:r w:rsidRPr="00282F2B">
        <w:rPr>
          <w:rFonts w:eastAsia="Times New Roman"/>
          <w:sz w:val="24"/>
          <w:szCs w:val="24"/>
          <w:lang w:val="es-ES" w:eastAsia="es-AR"/>
        </w:rPr>
        <w:t>absoluto</w:t>
      </w:r>
      <w:r w:rsidRPr="003F7057">
        <w:rPr>
          <w:rFonts w:eastAsia="Times New Roman"/>
          <w:sz w:val="24"/>
          <w:szCs w:val="24"/>
          <w:lang w:val="es-ES" w:eastAsia="es-AR"/>
        </w:rPr>
        <w:t xml:space="preserve"> tanto de las fuentes laborales como no laborales</w:t>
      </w:r>
      <w:r>
        <w:rPr>
          <w:rFonts w:eastAsia="Times New Roman"/>
          <w:sz w:val="24"/>
          <w:szCs w:val="24"/>
          <w:lang w:val="es-ES" w:eastAsia="es-AR"/>
        </w:rPr>
        <w:t xml:space="preserve"> a la desigualdad</w:t>
      </w:r>
      <w:r w:rsidRPr="003F7057">
        <w:rPr>
          <w:rFonts w:eastAsia="Times New Roman"/>
          <w:sz w:val="24"/>
          <w:szCs w:val="24"/>
          <w:lang w:val="es-ES" w:eastAsia="es-AR"/>
        </w:rPr>
        <w:t xml:space="preserve"> se incrementó entre 1988 y 2003. </w:t>
      </w:r>
      <w:r>
        <w:rPr>
          <w:rFonts w:eastAsia="Times New Roman"/>
          <w:sz w:val="24"/>
          <w:szCs w:val="24"/>
          <w:lang w:val="es-ES" w:eastAsia="es-AR"/>
        </w:rPr>
        <w:t xml:space="preserve">Sin embargo, cambió sensiblemente el aporte relativo de estas fuentes: los procesos vinculados con el mercado de trabajo </w:t>
      </w:r>
      <w:r w:rsidRPr="003F7057">
        <w:rPr>
          <w:rFonts w:eastAsia="Times New Roman"/>
          <w:sz w:val="24"/>
          <w:szCs w:val="24"/>
          <w:lang w:val="es-ES" w:eastAsia="es-AR"/>
        </w:rPr>
        <w:t>reduj</w:t>
      </w:r>
      <w:r>
        <w:rPr>
          <w:rFonts w:eastAsia="Times New Roman"/>
          <w:sz w:val="24"/>
          <w:szCs w:val="24"/>
          <w:lang w:val="es-ES" w:eastAsia="es-AR"/>
        </w:rPr>
        <w:t>eron su importancia</w:t>
      </w:r>
      <w:r w:rsidRPr="003F7057">
        <w:rPr>
          <w:rFonts w:eastAsia="Times New Roman"/>
          <w:sz w:val="24"/>
          <w:szCs w:val="24"/>
          <w:lang w:val="es-ES" w:eastAsia="es-AR"/>
        </w:rPr>
        <w:t xml:space="preserve"> de manera importante (pasando de 95,6% en 1988 a representar el 91,8% del coeficiente de Gini en </w:t>
      </w:r>
      <w:r>
        <w:rPr>
          <w:rFonts w:eastAsia="Times New Roman"/>
          <w:sz w:val="24"/>
          <w:szCs w:val="24"/>
          <w:lang w:val="es-ES" w:eastAsia="es-AR"/>
        </w:rPr>
        <w:t xml:space="preserve">mayo de </w:t>
      </w:r>
      <w:r w:rsidRPr="003F7057">
        <w:rPr>
          <w:rFonts w:eastAsia="Times New Roman"/>
          <w:sz w:val="24"/>
          <w:szCs w:val="24"/>
          <w:lang w:val="es-ES" w:eastAsia="es-AR"/>
        </w:rPr>
        <w:lastRenderedPageBreak/>
        <w:t xml:space="preserve">2003), mientras que lo inverso se verificó en el caso de los ingresos no laborales (4,4% a 8,2%). </w:t>
      </w:r>
    </w:p>
    <w:p w:rsidR="00433B67" w:rsidRPr="003F7057" w:rsidRDefault="00433B67" w:rsidP="00433B67">
      <w:pPr>
        <w:tabs>
          <w:tab w:val="left" w:pos="4069"/>
        </w:tabs>
        <w:spacing w:after="120" w:line="240" w:lineRule="auto"/>
        <w:jc w:val="both"/>
        <w:rPr>
          <w:rFonts w:eastAsia="Times New Roman"/>
          <w:sz w:val="24"/>
          <w:szCs w:val="24"/>
          <w:lang w:val="es-ES" w:eastAsia="es-AR"/>
        </w:rPr>
      </w:pPr>
      <w:r>
        <w:rPr>
          <w:rFonts w:eastAsia="Times New Roman"/>
          <w:sz w:val="24"/>
          <w:szCs w:val="24"/>
          <w:highlight w:val="green"/>
          <w:lang w:val="es-ES" w:eastAsia="es-AR"/>
        </w:rPr>
        <w:t>Ahora bien, la reducción del aporte relativo de las fuentes laborales al coeficiente de Gini se debió, principalmente,</w:t>
      </w:r>
      <w:r w:rsidRPr="00C9195D">
        <w:rPr>
          <w:rFonts w:eastAsia="Times New Roman"/>
          <w:sz w:val="24"/>
          <w:szCs w:val="24"/>
          <w:highlight w:val="green"/>
          <w:lang w:val="es-ES" w:eastAsia="es-AR"/>
        </w:rPr>
        <w:t xml:space="preserve"> a la retracción verificada por los ingresos provenientes del sector micro/informal (21% a 17,3% entre 1988 y 2003)</w:t>
      </w:r>
      <w:r>
        <w:rPr>
          <w:rFonts w:eastAsia="Times New Roman"/>
          <w:sz w:val="24"/>
          <w:szCs w:val="24"/>
          <w:highlight w:val="green"/>
          <w:lang w:val="es-ES" w:eastAsia="es-AR"/>
        </w:rPr>
        <w:t xml:space="preserve">. En contraste, </w:t>
      </w:r>
      <w:r w:rsidRPr="00C9195D">
        <w:rPr>
          <w:rFonts w:eastAsia="Times New Roman"/>
          <w:sz w:val="24"/>
          <w:szCs w:val="24"/>
          <w:highlight w:val="green"/>
          <w:lang w:val="es-ES" w:eastAsia="es-AR"/>
        </w:rPr>
        <w:t>el aporte de los ingresos del sector</w:t>
      </w:r>
      <w:r>
        <w:rPr>
          <w:rFonts w:eastAsia="Times New Roman"/>
          <w:sz w:val="24"/>
          <w:szCs w:val="24"/>
          <w:highlight w:val="green"/>
          <w:lang w:val="es-ES" w:eastAsia="es-AR"/>
        </w:rPr>
        <w:t xml:space="preserve"> privado</w:t>
      </w:r>
      <w:r w:rsidRPr="00C9195D">
        <w:rPr>
          <w:rFonts w:eastAsia="Times New Roman"/>
          <w:sz w:val="24"/>
          <w:szCs w:val="24"/>
          <w:highlight w:val="green"/>
          <w:lang w:val="es-ES" w:eastAsia="es-AR"/>
        </w:rPr>
        <w:t xml:space="preserve"> formal se mantuvo casi inalterado (74,6% y 74,4% entre puntas del período).</w:t>
      </w:r>
      <w:r>
        <w:rPr>
          <w:rFonts w:eastAsia="Times New Roman"/>
          <w:sz w:val="24"/>
          <w:szCs w:val="24"/>
          <w:lang w:val="es-ES" w:eastAsia="es-AR"/>
        </w:rPr>
        <w:t xml:space="preserve"> Con respecto a los ingresos no laborales, </w:t>
      </w:r>
      <w:r w:rsidRPr="003F7057">
        <w:rPr>
          <w:rFonts w:eastAsia="Times New Roman"/>
          <w:sz w:val="24"/>
          <w:szCs w:val="24"/>
          <w:lang w:val="es-ES" w:eastAsia="es-AR"/>
        </w:rPr>
        <w:t xml:space="preserve">cabe destacar el comportamiento de los ingresos provenientes de políticas sociales y sistema jubilatorio, </w:t>
      </w:r>
      <w:r>
        <w:rPr>
          <w:rFonts w:eastAsia="Times New Roman"/>
          <w:sz w:val="24"/>
          <w:szCs w:val="24"/>
          <w:lang w:val="es-ES" w:eastAsia="es-AR"/>
        </w:rPr>
        <w:t>que</w:t>
      </w:r>
      <w:r w:rsidRPr="003F7057">
        <w:rPr>
          <w:rFonts w:eastAsia="Times New Roman"/>
          <w:sz w:val="24"/>
          <w:szCs w:val="24"/>
          <w:lang w:val="es-ES" w:eastAsia="es-AR"/>
        </w:rPr>
        <w:t xml:space="preserve"> pasaron de una participación relativa del 1,6% en el nivel del Gini en el año 1988 a representar el 4,1% de la desigualdad existente en el 2003. </w:t>
      </w:r>
    </w:p>
    <w:p w:rsidR="00433B67" w:rsidRDefault="00433B67" w:rsidP="00433B67">
      <w:pPr>
        <w:tabs>
          <w:tab w:val="left" w:pos="4069"/>
        </w:tabs>
        <w:spacing w:after="0" w:line="240" w:lineRule="auto"/>
        <w:jc w:val="both"/>
        <w:rPr>
          <w:rFonts w:eastAsia="Times New Roman"/>
          <w:b/>
          <w:bCs/>
          <w:color w:val="000000"/>
          <w:sz w:val="24"/>
          <w:lang w:eastAsia="es-AR"/>
        </w:rPr>
      </w:pPr>
    </w:p>
    <w:p w:rsidR="00433B67" w:rsidRDefault="00433B67" w:rsidP="00433B67">
      <w:pPr>
        <w:tabs>
          <w:tab w:val="left" w:pos="4069"/>
        </w:tabs>
        <w:spacing w:after="0" w:line="240" w:lineRule="auto"/>
        <w:jc w:val="both"/>
        <w:rPr>
          <w:rFonts w:eastAsia="Times New Roman"/>
          <w:b/>
          <w:bCs/>
          <w:color w:val="000000"/>
          <w:sz w:val="24"/>
          <w:lang w:eastAsia="es-AR"/>
        </w:rPr>
      </w:pPr>
      <w:r w:rsidRPr="00B74293">
        <w:rPr>
          <w:rFonts w:eastAsia="Times New Roman"/>
          <w:b/>
          <w:bCs/>
          <w:color w:val="000000"/>
          <w:sz w:val="24"/>
          <w:lang w:eastAsia="es-AR"/>
        </w:rPr>
        <w:t>Cuadro 1</w:t>
      </w:r>
      <w:r w:rsidR="00177113">
        <w:rPr>
          <w:rFonts w:eastAsia="Times New Roman"/>
          <w:b/>
          <w:bCs/>
          <w:color w:val="000000"/>
          <w:sz w:val="24"/>
          <w:lang w:eastAsia="es-AR"/>
        </w:rPr>
        <w:t>3</w:t>
      </w:r>
      <w:r w:rsidRPr="00B74293">
        <w:rPr>
          <w:rFonts w:eastAsia="Times New Roman"/>
          <w:b/>
          <w:bCs/>
          <w:color w:val="000000"/>
          <w:sz w:val="24"/>
          <w:lang w:eastAsia="es-AR"/>
        </w:rPr>
        <w:t>.</w:t>
      </w:r>
      <w:r w:rsidRPr="00B74293">
        <w:rPr>
          <w:rFonts w:eastAsia="Times New Roman"/>
          <w:sz w:val="18"/>
          <w:szCs w:val="16"/>
          <w:lang w:eastAsia="es-AR"/>
        </w:rPr>
        <w:t xml:space="preserve"> </w:t>
      </w:r>
      <w:r w:rsidRPr="00B74293">
        <w:rPr>
          <w:rFonts w:eastAsia="Times New Roman"/>
          <w:b/>
          <w:bCs/>
          <w:color w:val="000000"/>
          <w:sz w:val="24"/>
          <w:lang w:eastAsia="es-AR"/>
        </w:rPr>
        <w:t>Coeficiente de Gini familiar</w:t>
      </w:r>
      <w:r>
        <w:rPr>
          <w:rFonts w:eastAsia="Times New Roman"/>
          <w:b/>
          <w:bCs/>
          <w:color w:val="000000"/>
          <w:sz w:val="24"/>
          <w:lang w:eastAsia="es-AR"/>
        </w:rPr>
        <w:t xml:space="preserve">, </w:t>
      </w:r>
      <w:r w:rsidRPr="00B74293">
        <w:rPr>
          <w:rFonts w:eastAsia="Times New Roman"/>
          <w:b/>
          <w:bCs/>
          <w:color w:val="000000"/>
          <w:sz w:val="24"/>
          <w:lang w:eastAsia="es-AR"/>
        </w:rPr>
        <w:t xml:space="preserve">descomposición según </w:t>
      </w:r>
      <w:r>
        <w:rPr>
          <w:rFonts w:eastAsia="Times New Roman"/>
          <w:b/>
          <w:bCs/>
          <w:color w:val="000000"/>
          <w:sz w:val="24"/>
          <w:lang w:eastAsia="es-AR"/>
        </w:rPr>
        <w:t xml:space="preserve">aporte de cada </w:t>
      </w:r>
      <w:r w:rsidRPr="00B74293">
        <w:rPr>
          <w:rFonts w:eastAsia="Times New Roman"/>
          <w:b/>
          <w:bCs/>
          <w:color w:val="000000"/>
          <w:sz w:val="24"/>
          <w:lang w:eastAsia="es-AR"/>
        </w:rPr>
        <w:t>fuente de ingreso</w:t>
      </w:r>
      <w:r>
        <w:rPr>
          <w:rFonts w:eastAsia="Times New Roman"/>
          <w:b/>
          <w:bCs/>
          <w:color w:val="000000"/>
          <w:sz w:val="24"/>
          <w:lang w:eastAsia="es-AR"/>
        </w:rPr>
        <w:t xml:space="preserve"> y contribución de cada fuente al cambio</w:t>
      </w:r>
      <w:r w:rsidRPr="00B74293">
        <w:rPr>
          <w:rFonts w:eastAsia="Times New Roman"/>
          <w:b/>
          <w:bCs/>
          <w:color w:val="000000"/>
          <w:sz w:val="24"/>
          <w:lang w:eastAsia="es-AR"/>
        </w:rPr>
        <w:t xml:space="preserve">. Gran Buenos Aires, </w:t>
      </w:r>
      <w:r>
        <w:rPr>
          <w:rFonts w:eastAsia="Times New Roman"/>
          <w:b/>
          <w:bCs/>
          <w:color w:val="000000"/>
          <w:sz w:val="24"/>
          <w:lang w:eastAsia="es-AR"/>
        </w:rPr>
        <w:t>1988-2003</w:t>
      </w:r>
      <w:r w:rsidRPr="00B74293">
        <w:rPr>
          <w:rFonts w:eastAsia="Times New Roman"/>
          <w:b/>
          <w:bCs/>
          <w:color w:val="000000"/>
          <w:sz w:val="24"/>
          <w:lang w:eastAsia="es-AR"/>
        </w:rPr>
        <w:t>.</w:t>
      </w:r>
    </w:p>
    <w:p w:rsidR="00433B67" w:rsidRPr="00B74293" w:rsidRDefault="00433B67" w:rsidP="00433B67">
      <w:pPr>
        <w:tabs>
          <w:tab w:val="left" w:pos="4069"/>
        </w:tabs>
        <w:spacing w:after="0" w:line="240" w:lineRule="auto"/>
        <w:jc w:val="both"/>
        <w:rPr>
          <w:rFonts w:eastAsia="Times New Roman"/>
          <w:bCs/>
          <w:color w:val="000000"/>
          <w:lang w:eastAsia="es-AR"/>
        </w:rPr>
      </w:pPr>
      <w:r>
        <w:rPr>
          <w:rFonts w:eastAsia="Times New Roman"/>
          <w:bCs/>
          <w:color w:val="000000"/>
          <w:sz w:val="24"/>
          <w:lang w:eastAsia="es-AR"/>
        </w:rPr>
        <w:t>En puntos del coeficiente de Gini y porcentaje respecto al total.</w:t>
      </w:r>
    </w:p>
    <w:tbl>
      <w:tblPr>
        <w:tblW w:w="8554" w:type="dxa"/>
        <w:tblInd w:w="55" w:type="dxa"/>
        <w:tblCellMar>
          <w:left w:w="70" w:type="dxa"/>
          <w:right w:w="70" w:type="dxa"/>
        </w:tblCellMar>
        <w:tblLook w:val="04A0" w:firstRow="1" w:lastRow="0" w:firstColumn="1" w:lastColumn="0" w:noHBand="0" w:noVBand="1"/>
      </w:tblPr>
      <w:tblGrid>
        <w:gridCol w:w="2365"/>
        <w:gridCol w:w="817"/>
        <w:gridCol w:w="672"/>
        <w:gridCol w:w="817"/>
        <w:gridCol w:w="672"/>
        <w:gridCol w:w="944"/>
        <w:gridCol w:w="778"/>
        <w:gridCol w:w="848"/>
        <w:gridCol w:w="641"/>
      </w:tblGrid>
      <w:tr w:rsidR="00433B67" w:rsidRPr="00EE0425" w:rsidTr="006732CD">
        <w:trPr>
          <w:trHeight w:val="249"/>
        </w:trPr>
        <w:tc>
          <w:tcPr>
            <w:tcW w:w="2365"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color w:val="000000"/>
                <w:sz w:val="15"/>
                <w:szCs w:val="15"/>
                <w:lang w:eastAsia="es-AR"/>
              </w:rPr>
            </w:pPr>
            <w:r w:rsidRPr="00EE0425">
              <w:rPr>
                <w:rFonts w:eastAsia="Times New Roman"/>
                <w:color w:val="000000"/>
                <w:sz w:val="15"/>
                <w:szCs w:val="15"/>
                <w:lang w:eastAsia="es-AR"/>
              </w:rPr>
              <w:t> </w:t>
            </w:r>
          </w:p>
        </w:tc>
        <w:tc>
          <w:tcPr>
            <w:tcW w:w="1489"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1988</w:t>
            </w:r>
          </w:p>
        </w:tc>
        <w:tc>
          <w:tcPr>
            <w:tcW w:w="1489"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1998</w:t>
            </w:r>
          </w:p>
        </w:tc>
        <w:tc>
          <w:tcPr>
            <w:tcW w:w="1721"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2003 (m)</w:t>
            </w:r>
          </w:p>
        </w:tc>
        <w:tc>
          <w:tcPr>
            <w:tcW w:w="1489"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1988-2003 (m)</w:t>
            </w:r>
          </w:p>
        </w:tc>
      </w:tr>
      <w:tr w:rsidR="00433B67" w:rsidRPr="00EE0425" w:rsidTr="006732CD">
        <w:trPr>
          <w:trHeight w:val="249"/>
        </w:trPr>
        <w:tc>
          <w:tcPr>
            <w:tcW w:w="2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color w:val="000000"/>
                <w:sz w:val="15"/>
                <w:szCs w:val="15"/>
                <w:lang w:eastAsia="es-AR"/>
              </w:rPr>
            </w:pPr>
            <w:r w:rsidRPr="00EE0425">
              <w:rPr>
                <w:rFonts w:eastAsia="Times New Roman"/>
                <w:color w:val="000000"/>
                <w:sz w:val="15"/>
                <w:szCs w:val="15"/>
                <w:lang w:eastAsia="es-AR"/>
              </w:rPr>
              <w:t> </w:t>
            </w:r>
          </w:p>
        </w:tc>
        <w:tc>
          <w:tcPr>
            <w:tcW w:w="817"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Aporte</w:t>
            </w:r>
          </w:p>
        </w:tc>
        <w:tc>
          <w:tcPr>
            <w:tcW w:w="672"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817"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Aporte</w:t>
            </w:r>
          </w:p>
        </w:tc>
        <w:tc>
          <w:tcPr>
            <w:tcW w:w="672"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944"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Aporte</w:t>
            </w:r>
          </w:p>
        </w:tc>
        <w:tc>
          <w:tcPr>
            <w:tcW w:w="778"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848"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 xml:space="preserve">V. </w:t>
            </w:r>
            <w:proofErr w:type="spellStart"/>
            <w:r w:rsidRPr="00EE0425">
              <w:rPr>
                <w:rFonts w:eastAsia="Times New Roman"/>
                <w:color w:val="000000"/>
                <w:sz w:val="15"/>
                <w:szCs w:val="15"/>
                <w:lang w:eastAsia="es-AR"/>
              </w:rPr>
              <w:t>Abs</w:t>
            </w:r>
            <w:proofErr w:type="spellEnd"/>
            <w:r w:rsidRPr="00EE0425">
              <w:rPr>
                <w:rFonts w:eastAsia="Times New Roman"/>
                <w:color w:val="000000"/>
                <w:sz w:val="15"/>
                <w:szCs w:val="15"/>
                <w:lang w:eastAsia="es-AR"/>
              </w:rPr>
              <w:t>.</w:t>
            </w:r>
          </w:p>
        </w:tc>
        <w:tc>
          <w:tcPr>
            <w:tcW w:w="641"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5"/>
                <w:szCs w:val="15"/>
                <w:lang w:eastAsia="es-AR"/>
              </w:rPr>
            </w:pPr>
            <w:r w:rsidRPr="00EE0425">
              <w:rPr>
                <w:rFonts w:eastAsia="Times New Roman"/>
                <w:b/>
                <w:bCs/>
                <w:color w:val="000000"/>
                <w:sz w:val="15"/>
                <w:szCs w:val="15"/>
                <w:lang w:eastAsia="es-AR"/>
              </w:rPr>
              <w:t>Ingresos laborales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0,4207</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95,6</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0,4518</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94,7</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0,4466</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91,8</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0,0259</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55,5</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50"/>
              <w:rPr>
                <w:rFonts w:eastAsia="Times New Roman"/>
                <w:color w:val="000000"/>
                <w:sz w:val="15"/>
                <w:szCs w:val="15"/>
                <w:u w:val="single"/>
                <w:lang w:eastAsia="es-AR"/>
              </w:rPr>
            </w:pPr>
            <w:r w:rsidRPr="00EE0425">
              <w:rPr>
                <w:rFonts w:eastAsia="Times New Roman"/>
                <w:color w:val="000000"/>
                <w:sz w:val="15"/>
                <w:szCs w:val="15"/>
                <w:u w:val="single"/>
                <w:lang w:eastAsia="es-AR"/>
              </w:rPr>
              <w:t>Sector formal público y privado</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0,3284</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74,6</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0,3618</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75,9</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0,3623</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74,4</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0,0339</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72,6</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300"/>
              <w:rPr>
                <w:rFonts w:eastAsia="Times New Roman"/>
                <w:i/>
                <w:iCs/>
                <w:color w:val="000000"/>
                <w:sz w:val="15"/>
                <w:szCs w:val="15"/>
                <w:lang w:eastAsia="es-AR"/>
              </w:rPr>
            </w:pPr>
            <w:r w:rsidRPr="00EE0425">
              <w:rPr>
                <w:rFonts w:eastAsia="Times New Roman"/>
                <w:i/>
                <w:iCs/>
                <w:color w:val="000000"/>
                <w:sz w:val="15"/>
                <w:szCs w:val="15"/>
                <w:lang w:eastAsia="es-AR"/>
              </w:rPr>
              <w:t>Sector formal privado</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0,2861</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60,0</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0,2719</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55,9</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300"/>
              <w:rPr>
                <w:rFonts w:eastAsia="Times New Roman"/>
                <w:i/>
                <w:iCs/>
                <w:color w:val="000000"/>
                <w:sz w:val="15"/>
                <w:szCs w:val="15"/>
                <w:lang w:eastAsia="es-AR"/>
              </w:rPr>
            </w:pPr>
            <w:r w:rsidRPr="00EE0425">
              <w:rPr>
                <w:rFonts w:eastAsia="Times New Roman"/>
                <w:i/>
                <w:iCs/>
                <w:color w:val="000000"/>
                <w:sz w:val="15"/>
                <w:szCs w:val="15"/>
                <w:lang w:eastAsia="es-AR"/>
              </w:rPr>
              <w:t>Sector público</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0,0757</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15,9</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0,0903</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18,6</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50"/>
              <w:rPr>
                <w:rFonts w:eastAsia="Times New Roman"/>
                <w:color w:val="000000"/>
                <w:sz w:val="15"/>
                <w:szCs w:val="15"/>
                <w:u w:val="single"/>
                <w:lang w:eastAsia="es-AR"/>
              </w:rPr>
            </w:pPr>
            <w:r w:rsidRPr="00EE0425">
              <w:rPr>
                <w:rFonts w:eastAsia="Times New Roman"/>
                <w:color w:val="000000"/>
                <w:sz w:val="15"/>
                <w:szCs w:val="15"/>
                <w:u w:val="single"/>
                <w:lang w:eastAsia="es-AR"/>
              </w:rPr>
              <w:t>Sector micro/informal</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0,0923</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21,0</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0,0900</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18,9</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0,0844</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17,3</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-0,0080</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-17,1</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5"/>
                <w:szCs w:val="15"/>
                <w:lang w:eastAsia="es-AR"/>
              </w:rPr>
            </w:pPr>
            <w:r w:rsidRPr="00EE0425">
              <w:rPr>
                <w:rFonts w:eastAsia="Times New Roman"/>
                <w:b/>
                <w:bCs/>
                <w:color w:val="000000"/>
                <w:sz w:val="15"/>
                <w:szCs w:val="15"/>
                <w:lang w:eastAsia="es-AR"/>
              </w:rPr>
              <w:t>Ingresos no laborales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0,0193</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4,4</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0,0251</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5,3</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0,0401</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8,2</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0,0208</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44,5</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50"/>
              <w:rPr>
                <w:rFonts w:eastAsia="Times New Roman"/>
                <w:color w:val="000000"/>
                <w:sz w:val="15"/>
                <w:szCs w:val="15"/>
                <w:u w:val="single"/>
                <w:lang w:eastAsia="es-AR"/>
              </w:rPr>
            </w:pPr>
            <w:r w:rsidRPr="00EE0425">
              <w:rPr>
                <w:rFonts w:eastAsia="Times New Roman"/>
                <w:color w:val="000000"/>
                <w:sz w:val="15"/>
                <w:szCs w:val="15"/>
                <w:u w:val="single"/>
                <w:lang w:eastAsia="es-AR"/>
              </w:rPr>
              <w:t>Ingresos de políticas sociales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0,0071</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1,6</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0,0131</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2,7</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0,0201</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4,1</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0,0129</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27,7</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300"/>
              <w:rPr>
                <w:rFonts w:eastAsia="Times New Roman"/>
                <w:i/>
                <w:iCs/>
                <w:color w:val="000000"/>
                <w:sz w:val="15"/>
                <w:szCs w:val="15"/>
                <w:lang w:eastAsia="es-AR"/>
              </w:rPr>
            </w:pPr>
            <w:r w:rsidRPr="00EE0425">
              <w:rPr>
                <w:rFonts w:eastAsia="Times New Roman"/>
                <w:i/>
                <w:iCs/>
                <w:color w:val="000000"/>
                <w:sz w:val="15"/>
                <w:szCs w:val="15"/>
                <w:lang w:eastAsia="es-AR"/>
              </w:rPr>
              <w:t>Planes de empleo</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300"/>
              <w:rPr>
                <w:rFonts w:eastAsia="Times New Roman"/>
                <w:i/>
                <w:iCs/>
                <w:color w:val="000000"/>
                <w:sz w:val="15"/>
                <w:szCs w:val="15"/>
                <w:lang w:eastAsia="es-AR"/>
              </w:rPr>
            </w:pPr>
            <w:r w:rsidRPr="00EE0425">
              <w:rPr>
                <w:rFonts w:eastAsia="Times New Roman"/>
                <w:i/>
                <w:iCs/>
                <w:color w:val="000000"/>
                <w:sz w:val="15"/>
                <w:szCs w:val="15"/>
                <w:lang w:eastAsia="es-AR"/>
              </w:rPr>
              <w:t>Programas sociales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300"/>
              <w:rPr>
                <w:rFonts w:eastAsia="Times New Roman"/>
                <w:i/>
                <w:iCs/>
                <w:color w:val="000000"/>
                <w:sz w:val="15"/>
                <w:szCs w:val="15"/>
                <w:lang w:eastAsia="es-AR"/>
              </w:rPr>
            </w:pPr>
            <w:r w:rsidRPr="00EE0425">
              <w:rPr>
                <w:rFonts w:eastAsia="Times New Roman"/>
                <w:i/>
                <w:iCs/>
                <w:color w:val="000000"/>
                <w:sz w:val="15"/>
                <w:szCs w:val="15"/>
                <w:lang w:eastAsia="es-AR"/>
              </w:rPr>
              <w:t>Jubilaciones y pensiones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5"/>
                <w:szCs w:val="15"/>
                <w:lang w:eastAsia="es-AR"/>
              </w:rPr>
            </w:pPr>
            <w:r w:rsidRPr="00EE0425">
              <w:rPr>
                <w:rFonts w:eastAsia="Times New Roman"/>
                <w:i/>
                <w:iCs/>
                <w:color w:val="000000"/>
                <w:sz w:val="15"/>
                <w:szCs w:val="15"/>
                <w:lang w:eastAsia="es-AR"/>
              </w:rPr>
              <w:t>-</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lang w:eastAsia="es-AR"/>
              </w:rPr>
            </w:pPr>
            <w:r w:rsidRPr="00EE0425">
              <w:rPr>
                <w:rFonts w:eastAsia="Times New Roman"/>
                <w:color w:val="000000"/>
                <w:sz w:val="15"/>
                <w:szCs w:val="15"/>
                <w:lang w:eastAsia="es-AR"/>
              </w:rPr>
              <w:t>-</w:t>
            </w:r>
          </w:p>
        </w:tc>
      </w:tr>
      <w:tr w:rsidR="00433B67" w:rsidRPr="00EE0425" w:rsidTr="006732CD">
        <w:trPr>
          <w:trHeight w:val="249"/>
        </w:trPr>
        <w:tc>
          <w:tcPr>
            <w:tcW w:w="2365"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50"/>
              <w:rPr>
                <w:rFonts w:eastAsia="Times New Roman"/>
                <w:color w:val="000000"/>
                <w:sz w:val="15"/>
                <w:szCs w:val="15"/>
                <w:u w:val="single"/>
                <w:lang w:eastAsia="es-AR"/>
              </w:rPr>
            </w:pPr>
            <w:r w:rsidRPr="00EE0425">
              <w:rPr>
                <w:rFonts w:eastAsia="Times New Roman"/>
                <w:color w:val="000000"/>
                <w:sz w:val="15"/>
                <w:szCs w:val="15"/>
                <w:u w:val="single"/>
                <w:lang w:eastAsia="es-AR"/>
              </w:rPr>
              <w:t>Otros ingresos no laborales</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0,0122</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2,8</w:t>
            </w:r>
          </w:p>
        </w:tc>
        <w:tc>
          <w:tcPr>
            <w:tcW w:w="817"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0,0120</w:t>
            </w:r>
          </w:p>
        </w:tc>
        <w:tc>
          <w:tcPr>
            <w:tcW w:w="672"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2,5</w:t>
            </w:r>
          </w:p>
        </w:tc>
        <w:tc>
          <w:tcPr>
            <w:tcW w:w="944"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0,0200</w:t>
            </w:r>
          </w:p>
        </w:tc>
        <w:tc>
          <w:tcPr>
            <w:tcW w:w="778"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4,1</w:t>
            </w:r>
          </w:p>
        </w:tc>
        <w:tc>
          <w:tcPr>
            <w:tcW w:w="84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0,0078</w:t>
            </w:r>
          </w:p>
        </w:tc>
        <w:tc>
          <w:tcPr>
            <w:tcW w:w="641"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5"/>
                <w:szCs w:val="15"/>
                <w:u w:val="single"/>
                <w:lang w:eastAsia="es-AR"/>
              </w:rPr>
            </w:pPr>
            <w:r w:rsidRPr="00EE0425">
              <w:rPr>
                <w:rFonts w:eastAsia="Times New Roman"/>
                <w:color w:val="000000"/>
                <w:sz w:val="15"/>
                <w:szCs w:val="15"/>
                <w:u w:val="single"/>
                <w:lang w:eastAsia="es-AR"/>
              </w:rPr>
              <w:t>16,8</w:t>
            </w:r>
          </w:p>
        </w:tc>
      </w:tr>
      <w:tr w:rsidR="00433B67" w:rsidRPr="00EE0425" w:rsidTr="006732CD">
        <w:trPr>
          <w:trHeight w:val="249"/>
        </w:trPr>
        <w:tc>
          <w:tcPr>
            <w:tcW w:w="2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5"/>
                <w:szCs w:val="15"/>
                <w:lang w:eastAsia="es-AR"/>
              </w:rPr>
            </w:pPr>
            <w:r w:rsidRPr="00EE0425">
              <w:rPr>
                <w:rFonts w:eastAsia="Times New Roman"/>
                <w:b/>
                <w:bCs/>
                <w:color w:val="000000"/>
                <w:sz w:val="15"/>
                <w:szCs w:val="15"/>
                <w:lang w:eastAsia="es-AR"/>
              </w:rPr>
              <w:t>Coeficiente de Gini familiar</w:t>
            </w:r>
          </w:p>
        </w:tc>
        <w:tc>
          <w:tcPr>
            <w:tcW w:w="817"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0,4400</w:t>
            </w:r>
          </w:p>
        </w:tc>
        <w:tc>
          <w:tcPr>
            <w:tcW w:w="672"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100,0</w:t>
            </w:r>
          </w:p>
        </w:tc>
        <w:tc>
          <w:tcPr>
            <w:tcW w:w="817"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0,4770</w:t>
            </w:r>
          </w:p>
        </w:tc>
        <w:tc>
          <w:tcPr>
            <w:tcW w:w="672"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100,0</w:t>
            </w:r>
          </w:p>
        </w:tc>
        <w:tc>
          <w:tcPr>
            <w:tcW w:w="944"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0,4867</w:t>
            </w:r>
          </w:p>
        </w:tc>
        <w:tc>
          <w:tcPr>
            <w:tcW w:w="778"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100,0</w:t>
            </w:r>
          </w:p>
        </w:tc>
        <w:tc>
          <w:tcPr>
            <w:tcW w:w="848"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0,0467</w:t>
            </w:r>
          </w:p>
        </w:tc>
        <w:tc>
          <w:tcPr>
            <w:tcW w:w="641"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5"/>
                <w:szCs w:val="15"/>
                <w:lang w:eastAsia="es-AR"/>
              </w:rPr>
            </w:pPr>
            <w:r w:rsidRPr="00EE0425">
              <w:rPr>
                <w:rFonts w:eastAsia="Times New Roman"/>
                <w:b/>
                <w:bCs/>
                <w:color w:val="000000"/>
                <w:sz w:val="15"/>
                <w:szCs w:val="15"/>
                <w:lang w:eastAsia="es-AR"/>
              </w:rPr>
              <w:t>100,0</w:t>
            </w:r>
          </w:p>
        </w:tc>
      </w:tr>
    </w:tbl>
    <w:p w:rsidR="00433B67" w:rsidRPr="00112979" w:rsidRDefault="00433B67" w:rsidP="00433B67">
      <w:pPr>
        <w:tabs>
          <w:tab w:val="left" w:pos="4069"/>
        </w:tabs>
        <w:spacing w:after="120" w:line="240" w:lineRule="auto"/>
        <w:jc w:val="both"/>
        <w:rPr>
          <w:rFonts w:eastAsia="Times New Roman"/>
          <w:sz w:val="18"/>
          <w:szCs w:val="16"/>
          <w:lang w:eastAsia="es-AR"/>
        </w:rPr>
      </w:pPr>
      <w:r w:rsidRPr="00112979">
        <w:rPr>
          <w:rFonts w:eastAsia="Times New Roman"/>
          <w:sz w:val="18"/>
          <w:szCs w:val="16"/>
          <w:lang w:eastAsia="es-AR"/>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b/>
          <w:bCs/>
          <w:color w:val="000000"/>
          <w:lang w:val="es-ES" w:eastAsia="es-AR"/>
        </w:rPr>
      </w:pPr>
    </w:p>
    <w:p w:rsidR="00433B67" w:rsidRDefault="00433B67" w:rsidP="00433B67">
      <w:pPr>
        <w:tabs>
          <w:tab w:val="left" w:pos="4069"/>
        </w:tabs>
        <w:spacing w:after="0" w:line="240" w:lineRule="auto"/>
        <w:jc w:val="both"/>
        <w:rPr>
          <w:rFonts w:eastAsia="Times New Roman"/>
          <w:b/>
          <w:bCs/>
          <w:color w:val="000000"/>
          <w:lang w:val="es-ES" w:eastAsia="es-AR"/>
        </w:rPr>
      </w:pPr>
      <w:r>
        <w:rPr>
          <w:rFonts w:eastAsia="Times New Roman"/>
          <w:sz w:val="24"/>
          <w:szCs w:val="24"/>
          <w:lang w:val="es-ES" w:eastAsia="es-AR"/>
        </w:rPr>
        <w:t>Como resultado de estos cambios, una parte importante de</w:t>
      </w:r>
      <w:r w:rsidRPr="003F7057">
        <w:rPr>
          <w:rFonts w:eastAsia="Times New Roman"/>
          <w:sz w:val="24"/>
          <w:szCs w:val="24"/>
          <w:lang w:val="es-ES" w:eastAsia="es-AR"/>
        </w:rPr>
        <w:t xml:space="preserve">l incremento de 0,0467 puntos del coeficiente de Gini familiar </w:t>
      </w:r>
      <w:r>
        <w:rPr>
          <w:rFonts w:eastAsia="Times New Roman"/>
          <w:sz w:val="24"/>
          <w:szCs w:val="24"/>
          <w:lang w:val="es-ES" w:eastAsia="es-AR"/>
        </w:rPr>
        <w:t xml:space="preserve">verificado entre 1988 y 2003 estuvo vinculada, a nivel agregado, a procesos externos al mercado de trabajo. Específicamente, </w:t>
      </w:r>
      <w:r w:rsidRPr="003F7057">
        <w:rPr>
          <w:rFonts w:eastAsia="Times New Roman"/>
          <w:sz w:val="24"/>
          <w:szCs w:val="24"/>
          <w:lang w:val="es-ES" w:eastAsia="es-AR"/>
        </w:rPr>
        <w:t xml:space="preserve">sólo un 55,7% </w:t>
      </w:r>
      <w:r>
        <w:rPr>
          <w:rFonts w:eastAsia="Times New Roman"/>
          <w:sz w:val="24"/>
          <w:szCs w:val="24"/>
          <w:lang w:val="es-ES" w:eastAsia="es-AR"/>
        </w:rPr>
        <w:t>se explicó</w:t>
      </w:r>
      <w:r w:rsidRPr="003F7057">
        <w:rPr>
          <w:rFonts w:eastAsia="Times New Roman"/>
          <w:sz w:val="24"/>
          <w:szCs w:val="24"/>
          <w:lang w:val="es-ES" w:eastAsia="es-AR"/>
        </w:rPr>
        <w:t xml:space="preserve"> por procesos</w:t>
      </w:r>
      <w:r>
        <w:rPr>
          <w:rFonts w:eastAsia="Times New Roman"/>
          <w:sz w:val="24"/>
          <w:szCs w:val="24"/>
          <w:lang w:val="es-ES" w:eastAsia="es-AR"/>
        </w:rPr>
        <w:t xml:space="preserve"> relativos a la estructura ocupacional (</w:t>
      </w:r>
      <w:r w:rsidRPr="00944433">
        <w:rPr>
          <w:rFonts w:eastAsia="Times New Roman"/>
          <w:sz w:val="24"/>
          <w:szCs w:val="24"/>
          <w:highlight w:val="yellow"/>
          <w:lang w:val="es-ES" w:eastAsia="es-AR"/>
        </w:rPr>
        <w:t xml:space="preserve">Cuadro </w:t>
      </w:r>
      <w:r w:rsidR="00030ECE">
        <w:rPr>
          <w:rFonts w:eastAsia="Times New Roman"/>
          <w:sz w:val="24"/>
          <w:szCs w:val="24"/>
          <w:highlight w:val="yellow"/>
          <w:lang w:val="es-ES" w:eastAsia="es-AR"/>
        </w:rPr>
        <w:t>13</w:t>
      </w:r>
      <w:r>
        <w:rPr>
          <w:rFonts w:eastAsia="Times New Roman"/>
          <w:sz w:val="24"/>
          <w:szCs w:val="24"/>
          <w:lang w:val="es-ES" w:eastAsia="es-AR"/>
        </w:rPr>
        <w:t>)</w:t>
      </w:r>
      <w:r>
        <w:rPr>
          <w:rStyle w:val="Refdenotaalpie"/>
          <w:rFonts w:eastAsia="Times New Roman"/>
          <w:sz w:val="24"/>
          <w:szCs w:val="24"/>
          <w:lang w:val="es-ES" w:eastAsia="es-AR"/>
        </w:rPr>
        <w:footnoteReference w:id="14"/>
      </w:r>
      <w:r w:rsidRPr="003F7057">
        <w:rPr>
          <w:rFonts w:eastAsia="Times New Roman"/>
          <w:sz w:val="24"/>
          <w:szCs w:val="24"/>
          <w:lang w:val="es-ES" w:eastAsia="es-AR"/>
        </w:rPr>
        <w:t xml:space="preserve">. </w:t>
      </w:r>
      <w:r>
        <w:rPr>
          <w:rFonts w:eastAsia="Times New Roman"/>
          <w:sz w:val="24"/>
          <w:szCs w:val="24"/>
          <w:lang w:val="es-ES" w:eastAsia="es-AR"/>
        </w:rPr>
        <w:t xml:space="preserve">No obstante, se registraron dos efectos inversos: los ingresos provenientes de ocupaciones en el sector formal privado aportaron significativamente a la desigualdad (72,6%), en tanto que </w:t>
      </w:r>
      <w:r w:rsidRPr="00291A46">
        <w:rPr>
          <w:rFonts w:eastAsia="Times New Roman"/>
          <w:sz w:val="24"/>
          <w:szCs w:val="24"/>
          <w:highlight w:val="green"/>
          <w:lang w:val="es-ES" w:eastAsia="es-AR"/>
        </w:rPr>
        <w:t xml:space="preserve">los ingresos provenientes de ocupaciones en el sector informal tuvieron un papel </w:t>
      </w:r>
      <w:r>
        <w:rPr>
          <w:rFonts w:eastAsia="Times New Roman"/>
          <w:sz w:val="24"/>
          <w:szCs w:val="24"/>
          <w:lang w:val="es-ES" w:eastAsia="es-AR"/>
        </w:rPr>
        <w:t xml:space="preserve">opuesto (-17,1%), que “amortiguó” el efecto </w:t>
      </w:r>
      <w:proofErr w:type="spellStart"/>
      <w:r>
        <w:rPr>
          <w:rFonts w:eastAsia="Times New Roman"/>
          <w:sz w:val="24"/>
          <w:szCs w:val="24"/>
          <w:lang w:val="es-ES" w:eastAsia="es-AR"/>
        </w:rPr>
        <w:t>desigualador</w:t>
      </w:r>
      <w:proofErr w:type="spellEnd"/>
      <w:r>
        <w:rPr>
          <w:rFonts w:eastAsia="Times New Roman"/>
          <w:sz w:val="24"/>
          <w:szCs w:val="24"/>
          <w:lang w:val="es-ES" w:eastAsia="es-AR"/>
        </w:rPr>
        <w:t xml:space="preserve"> del sector formal. En relación con los ingresos no laborales</w:t>
      </w:r>
      <w:r w:rsidRPr="003F7057">
        <w:rPr>
          <w:rFonts w:eastAsia="Times New Roman"/>
          <w:sz w:val="24"/>
          <w:szCs w:val="24"/>
          <w:lang w:val="es-ES" w:eastAsia="es-AR"/>
        </w:rPr>
        <w:t>, se observ</w:t>
      </w:r>
      <w:r>
        <w:rPr>
          <w:rFonts w:eastAsia="Times New Roman"/>
          <w:sz w:val="24"/>
          <w:szCs w:val="24"/>
          <w:lang w:val="es-ES" w:eastAsia="es-AR"/>
        </w:rPr>
        <w:t>ó</w:t>
      </w:r>
      <w:r w:rsidRPr="003F7057">
        <w:rPr>
          <w:rFonts w:eastAsia="Times New Roman"/>
          <w:sz w:val="24"/>
          <w:szCs w:val="24"/>
          <w:lang w:val="es-ES" w:eastAsia="es-AR"/>
        </w:rPr>
        <w:t xml:space="preserve"> que los ingresos provenientes de políticas sociales y del sistema jubilatorio explicaron el 27,</w:t>
      </w:r>
      <w:r>
        <w:rPr>
          <w:rFonts w:eastAsia="Times New Roman"/>
          <w:sz w:val="24"/>
          <w:szCs w:val="24"/>
          <w:lang w:val="es-ES" w:eastAsia="es-AR"/>
        </w:rPr>
        <w:t>7</w:t>
      </w:r>
      <w:r w:rsidRPr="003F7057">
        <w:rPr>
          <w:rFonts w:eastAsia="Times New Roman"/>
          <w:sz w:val="24"/>
          <w:szCs w:val="24"/>
          <w:lang w:val="es-ES" w:eastAsia="es-AR"/>
        </w:rPr>
        <w:t>% del incremento de la desigualdad.</w:t>
      </w:r>
    </w:p>
    <w:p w:rsidR="00433B67" w:rsidRDefault="00433B67" w:rsidP="00433B67">
      <w:pPr>
        <w:tabs>
          <w:tab w:val="left" w:pos="4069"/>
        </w:tabs>
        <w:spacing w:after="0" w:line="240" w:lineRule="auto"/>
        <w:jc w:val="both"/>
        <w:rPr>
          <w:rFonts w:eastAsia="Times New Roman"/>
          <w:b/>
          <w:bCs/>
          <w:color w:val="000000"/>
          <w:lang w:val="es-ES" w:eastAsia="es-AR"/>
        </w:rPr>
      </w:pPr>
    </w:p>
    <w:p w:rsidR="00433B67" w:rsidRDefault="00433B67" w:rsidP="00433B67">
      <w:pPr>
        <w:tabs>
          <w:tab w:val="left" w:pos="4069"/>
        </w:tabs>
        <w:spacing w:after="120" w:line="240" w:lineRule="auto"/>
        <w:jc w:val="both"/>
        <w:rPr>
          <w:rFonts w:eastAsia="Times New Roman"/>
          <w:b/>
          <w:bCs/>
          <w:color w:val="000000"/>
          <w:lang w:val="es-ES" w:eastAsia="es-AR"/>
        </w:rPr>
      </w:pPr>
      <w:r>
        <w:rPr>
          <w:rFonts w:eastAsia="Times New Roman"/>
          <w:sz w:val="24"/>
          <w:szCs w:val="24"/>
          <w:lang w:val="es-ES" w:eastAsia="es-AR"/>
        </w:rPr>
        <w:t>Se describió anteriormente el comportamiento adverso que el mercado de trabajo tuvo para los hogares durante los años de reforma estructural. L</w:t>
      </w:r>
      <w:r w:rsidRPr="003F7057">
        <w:rPr>
          <w:rFonts w:eastAsia="Times New Roman"/>
          <w:sz w:val="24"/>
          <w:szCs w:val="24"/>
          <w:lang w:val="es-ES" w:eastAsia="es-AR"/>
        </w:rPr>
        <w:t xml:space="preserve">os ingresos laborales aumentaron su contribución </w:t>
      </w:r>
      <w:r>
        <w:rPr>
          <w:rFonts w:eastAsia="Times New Roman"/>
          <w:sz w:val="24"/>
          <w:szCs w:val="24"/>
          <w:lang w:val="es-ES" w:eastAsia="es-AR"/>
        </w:rPr>
        <w:t>a la desigualdad</w:t>
      </w:r>
      <w:r w:rsidRPr="003F7057">
        <w:rPr>
          <w:rFonts w:eastAsia="Times New Roman"/>
          <w:sz w:val="24"/>
          <w:szCs w:val="24"/>
          <w:lang w:val="es-ES" w:eastAsia="es-AR"/>
        </w:rPr>
        <w:t>, principalmente,</w:t>
      </w:r>
      <w:r>
        <w:rPr>
          <w:rFonts w:eastAsia="Times New Roman"/>
          <w:sz w:val="24"/>
          <w:szCs w:val="24"/>
          <w:lang w:val="es-ES" w:eastAsia="es-AR"/>
        </w:rPr>
        <w:t xml:space="preserve"> porque se volvieron más inequitativos (</w:t>
      </w:r>
      <w:r w:rsidRPr="0076423F">
        <w:rPr>
          <w:rFonts w:eastAsia="Times New Roman"/>
          <w:sz w:val="24"/>
          <w:szCs w:val="24"/>
          <w:highlight w:val="yellow"/>
          <w:lang w:val="es-ES" w:eastAsia="es-AR"/>
        </w:rPr>
        <w:t xml:space="preserve">Cuadro </w:t>
      </w:r>
      <w:r w:rsidR="0076423F">
        <w:rPr>
          <w:rFonts w:eastAsia="Times New Roman"/>
          <w:sz w:val="24"/>
          <w:szCs w:val="24"/>
          <w:highlight w:val="yellow"/>
          <w:lang w:val="es-ES" w:eastAsia="es-AR"/>
        </w:rPr>
        <w:t>14</w:t>
      </w:r>
      <w:r>
        <w:rPr>
          <w:rFonts w:eastAsia="Times New Roman"/>
          <w:sz w:val="24"/>
          <w:szCs w:val="24"/>
          <w:lang w:val="es-ES" w:eastAsia="es-AR"/>
        </w:rPr>
        <w:t>)</w:t>
      </w:r>
      <w:r w:rsidRPr="003F7057">
        <w:rPr>
          <w:rFonts w:eastAsia="Times New Roman"/>
          <w:sz w:val="24"/>
          <w:szCs w:val="24"/>
          <w:lang w:val="es-ES" w:eastAsia="es-AR"/>
        </w:rPr>
        <w:t>.</w:t>
      </w:r>
      <w:r>
        <w:rPr>
          <w:rFonts w:eastAsia="Times New Roman"/>
          <w:sz w:val="24"/>
          <w:szCs w:val="24"/>
          <w:lang w:val="es-ES" w:eastAsia="es-AR"/>
        </w:rPr>
        <w:t xml:space="preserve"> Este proceso afectó, en particular, a los ingresos provenientes de ocupaciones en el sector formal privado. Es decir que, durante estos años, continuó un proceso precedente, que consistió en la expansión de desigualdades internas en el mercado laboral. Este proceso ya había sido advertido al señalar el desigual ritmo de mejora que tuvieron los ingresos por perceptor ocupado según la distribución </w:t>
      </w:r>
      <w:proofErr w:type="spellStart"/>
      <w:r>
        <w:rPr>
          <w:rFonts w:eastAsia="Times New Roman"/>
          <w:sz w:val="24"/>
          <w:szCs w:val="24"/>
          <w:lang w:val="es-ES" w:eastAsia="es-AR"/>
        </w:rPr>
        <w:t>quintílica</w:t>
      </w:r>
      <w:proofErr w:type="spellEnd"/>
      <w:r>
        <w:rPr>
          <w:rFonts w:eastAsia="Times New Roman"/>
          <w:sz w:val="24"/>
          <w:szCs w:val="24"/>
          <w:lang w:val="es-ES" w:eastAsia="es-AR"/>
        </w:rPr>
        <w:t xml:space="preserve"> del ingreso. </w:t>
      </w:r>
      <w:r>
        <w:rPr>
          <w:rFonts w:eastAsia="Times New Roman"/>
          <w:sz w:val="24"/>
          <w:szCs w:val="24"/>
          <w:highlight w:val="green"/>
          <w:lang w:val="es-ES" w:eastAsia="es-AR"/>
        </w:rPr>
        <w:t>Los ingresos provenientes de</w:t>
      </w:r>
      <w:r w:rsidRPr="005145AE">
        <w:rPr>
          <w:rFonts w:eastAsia="Times New Roman"/>
          <w:sz w:val="24"/>
          <w:szCs w:val="24"/>
          <w:highlight w:val="green"/>
          <w:lang w:val="es-ES" w:eastAsia="es-AR"/>
        </w:rPr>
        <w:t>l sector micro/informal</w:t>
      </w:r>
      <w:r>
        <w:rPr>
          <w:rFonts w:eastAsia="Times New Roman"/>
          <w:sz w:val="24"/>
          <w:szCs w:val="24"/>
          <w:highlight w:val="green"/>
          <w:lang w:val="es-ES" w:eastAsia="es-AR"/>
        </w:rPr>
        <w:t xml:space="preserve"> tuvieron una </w:t>
      </w:r>
      <w:r w:rsidRPr="005145AE">
        <w:rPr>
          <w:rFonts w:eastAsia="Times New Roman"/>
          <w:sz w:val="24"/>
          <w:szCs w:val="24"/>
          <w:highlight w:val="green"/>
          <w:lang w:val="es-ES" w:eastAsia="es-AR"/>
        </w:rPr>
        <w:t xml:space="preserve">contribución </w:t>
      </w:r>
      <w:r>
        <w:rPr>
          <w:rFonts w:eastAsia="Times New Roman"/>
          <w:sz w:val="24"/>
          <w:szCs w:val="24"/>
          <w:highlight w:val="green"/>
          <w:lang w:val="es-ES" w:eastAsia="es-AR"/>
        </w:rPr>
        <w:t>“</w:t>
      </w:r>
      <w:r w:rsidRPr="005145AE">
        <w:rPr>
          <w:rFonts w:eastAsia="Times New Roman"/>
          <w:sz w:val="24"/>
          <w:szCs w:val="24"/>
          <w:highlight w:val="green"/>
          <w:lang w:val="es-ES" w:eastAsia="es-AR"/>
        </w:rPr>
        <w:t>compensador</w:t>
      </w:r>
      <w:r>
        <w:rPr>
          <w:rFonts w:eastAsia="Times New Roman"/>
          <w:sz w:val="24"/>
          <w:szCs w:val="24"/>
          <w:highlight w:val="green"/>
          <w:lang w:val="es-ES" w:eastAsia="es-AR"/>
        </w:rPr>
        <w:t xml:space="preserve">a” de la desigualdad que derivó, principalmente, de su deterioro en términos de participación en el ingreso familiar. Es decir que, durante los años de reforma, el sector informal contribuyó a la equidad debido al </w:t>
      </w:r>
      <w:r w:rsidRPr="005145AE">
        <w:rPr>
          <w:rFonts w:eastAsia="Times New Roman"/>
          <w:sz w:val="24"/>
          <w:szCs w:val="24"/>
          <w:highlight w:val="green"/>
          <w:lang w:val="es-ES" w:eastAsia="es-AR"/>
        </w:rPr>
        <w:t xml:space="preserve">deterioro de </w:t>
      </w:r>
      <w:r>
        <w:rPr>
          <w:rFonts w:eastAsia="Times New Roman"/>
          <w:sz w:val="24"/>
          <w:szCs w:val="24"/>
          <w:highlight w:val="green"/>
          <w:lang w:val="es-ES" w:eastAsia="es-AR"/>
        </w:rPr>
        <w:t>actividades que, hasta los años ochenta, habían resultado lucrativas,</w:t>
      </w:r>
      <w:r w:rsidRPr="005145AE">
        <w:rPr>
          <w:rFonts w:eastAsia="Times New Roman"/>
          <w:sz w:val="24"/>
          <w:szCs w:val="24"/>
          <w:highlight w:val="green"/>
          <w:lang w:val="es-ES" w:eastAsia="es-AR"/>
        </w:rPr>
        <w:t xml:space="preserve"> y no por ganancias en productividad </w:t>
      </w:r>
      <w:r>
        <w:rPr>
          <w:rFonts w:eastAsia="Times New Roman"/>
          <w:sz w:val="24"/>
          <w:szCs w:val="24"/>
          <w:highlight w:val="green"/>
          <w:lang w:val="es-ES" w:eastAsia="es-AR"/>
        </w:rPr>
        <w:t xml:space="preserve">que llevaran a la convergencia sectorial </w:t>
      </w:r>
      <w:r w:rsidRPr="005145AE">
        <w:rPr>
          <w:rFonts w:eastAsia="Times New Roman"/>
          <w:sz w:val="24"/>
          <w:szCs w:val="24"/>
          <w:highlight w:val="green"/>
          <w:lang w:val="es-ES" w:eastAsia="es-AR"/>
        </w:rPr>
        <w:t>(Salvia y Vera, 2013).</w:t>
      </w:r>
      <w:r>
        <w:rPr>
          <w:rFonts w:eastAsia="Times New Roman"/>
          <w:sz w:val="24"/>
          <w:szCs w:val="24"/>
          <w:lang w:val="es-ES" w:eastAsia="es-AR"/>
        </w:rPr>
        <w:t xml:space="preserve"> Por último,</w:t>
      </w:r>
      <w:r w:rsidRPr="003F7057">
        <w:rPr>
          <w:rFonts w:eastAsia="Times New Roman"/>
          <w:sz w:val="24"/>
          <w:szCs w:val="24"/>
          <w:lang w:val="es-ES" w:eastAsia="es-AR"/>
        </w:rPr>
        <w:t xml:space="preserve"> los ingresos no laborales nuevamente –al igual que había ocurrido en la etapa anterior– aumentaron su correlación con la distribución general (R). Sin embargo, esta tendencia operó sólo en el caso de los ingresos provenientes de políticas sociales y sistema jubilatorio. Es decir que, durante una fase en que primaron los procesos de reformas estructurales, a la vez que la generación de recursos quedó cada vez más en correspondencia con el “libre” funcionamiento de los mercados, la percepción de haberes previsionales prevaleció en aquellos hogares mejor posicionados en la estructura distributiva. </w:t>
      </w:r>
      <w:r>
        <w:rPr>
          <w:rFonts w:eastAsia="Times New Roman"/>
          <w:sz w:val="24"/>
          <w:szCs w:val="24"/>
          <w:lang w:val="es-ES" w:eastAsia="es-AR"/>
        </w:rPr>
        <w:t>E</w:t>
      </w:r>
      <w:r w:rsidRPr="003F7057">
        <w:rPr>
          <w:rFonts w:eastAsia="Times New Roman"/>
          <w:sz w:val="24"/>
          <w:szCs w:val="24"/>
          <w:lang w:val="es-ES" w:eastAsia="es-AR"/>
        </w:rPr>
        <w:t>l cambio del sistema previsional –su privatización y el deterioro del sistema de reparto– condujo a un incremento de la desigualdad que impactó sobre la inequidad a nivel agregado</w:t>
      </w:r>
      <w:r w:rsidRPr="003F7057">
        <w:rPr>
          <w:rStyle w:val="Refdenotaalpie"/>
          <w:rFonts w:eastAsia="Times New Roman"/>
          <w:sz w:val="24"/>
          <w:szCs w:val="24"/>
          <w:lang w:val="es-ES" w:eastAsia="es-AR"/>
        </w:rPr>
        <w:footnoteReference w:id="15"/>
      </w:r>
      <w:r w:rsidRPr="003F7057">
        <w:rPr>
          <w:rFonts w:eastAsia="Times New Roman"/>
          <w:sz w:val="24"/>
          <w:szCs w:val="24"/>
          <w:lang w:val="es-ES" w:eastAsia="es-AR"/>
        </w:rPr>
        <w:t xml:space="preserve">. </w:t>
      </w:r>
    </w:p>
    <w:p w:rsidR="00433B67" w:rsidRPr="00961376" w:rsidRDefault="00177113" w:rsidP="00433B67">
      <w:pPr>
        <w:spacing w:after="0" w:line="240" w:lineRule="auto"/>
        <w:jc w:val="both"/>
        <w:rPr>
          <w:rFonts w:eastAsia="Times New Roman"/>
          <w:b/>
          <w:bCs/>
          <w:color w:val="000000"/>
          <w:sz w:val="24"/>
          <w:lang w:eastAsia="es-AR"/>
        </w:rPr>
      </w:pPr>
      <w:r>
        <w:rPr>
          <w:rFonts w:eastAsia="Times New Roman"/>
          <w:b/>
          <w:bCs/>
          <w:color w:val="000000"/>
          <w:sz w:val="24"/>
          <w:lang w:eastAsia="es-AR"/>
        </w:rPr>
        <w:t>Cuadro 14</w:t>
      </w:r>
      <w:r w:rsidR="00433B67" w:rsidRPr="00961376">
        <w:rPr>
          <w:rFonts w:eastAsia="Times New Roman"/>
          <w:b/>
          <w:bCs/>
          <w:color w:val="000000"/>
          <w:sz w:val="24"/>
          <w:lang w:eastAsia="es-AR"/>
        </w:rPr>
        <w:t xml:space="preserve">. Descomposición del cambio absoluto del coeficiente de Gini familiar según fuente de ingresos. Área Gran Buenos Aires, </w:t>
      </w:r>
      <w:r w:rsidR="00433B67">
        <w:rPr>
          <w:rFonts w:eastAsia="Times New Roman"/>
          <w:b/>
          <w:bCs/>
          <w:color w:val="000000"/>
          <w:sz w:val="24"/>
          <w:lang w:eastAsia="es-AR"/>
        </w:rPr>
        <w:t>1988</w:t>
      </w:r>
      <w:r w:rsidR="00433B67" w:rsidRPr="00961376">
        <w:rPr>
          <w:rFonts w:eastAsia="Times New Roman"/>
          <w:b/>
          <w:bCs/>
          <w:color w:val="000000"/>
          <w:sz w:val="24"/>
          <w:lang w:eastAsia="es-AR"/>
        </w:rPr>
        <w:t>-</w:t>
      </w:r>
      <w:r w:rsidR="00433B67">
        <w:rPr>
          <w:rFonts w:eastAsia="Times New Roman"/>
          <w:b/>
          <w:bCs/>
          <w:color w:val="000000"/>
          <w:sz w:val="24"/>
          <w:lang w:eastAsia="es-AR"/>
        </w:rPr>
        <w:t>2003</w:t>
      </w:r>
      <w:r w:rsidR="00433B67" w:rsidRPr="00961376">
        <w:rPr>
          <w:rFonts w:eastAsia="Times New Roman"/>
          <w:b/>
          <w:bCs/>
          <w:color w:val="000000"/>
          <w:sz w:val="24"/>
          <w:lang w:eastAsia="es-AR"/>
        </w:rPr>
        <w:t xml:space="preserve">. </w:t>
      </w:r>
    </w:p>
    <w:p w:rsidR="00433B67" w:rsidRDefault="00433B67" w:rsidP="00433B67">
      <w:pPr>
        <w:spacing w:after="0" w:line="240" w:lineRule="auto"/>
        <w:jc w:val="both"/>
        <w:rPr>
          <w:rFonts w:eastAsia="Times New Roman"/>
          <w:bCs/>
          <w:i/>
          <w:color w:val="000000"/>
          <w:sz w:val="20"/>
          <w:szCs w:val="20"/>
          <w:lang w:eastAsia="es-AR"/>
        </w:rPr>
      </w:pPr>
      <w:r w:rsidRPr="003F7057">
        <w:rPr>
          <w:rFonts w:eastAsia="Times New Roman"/>
          <w:bCs/>
          <w:i/>
          <w:color w:val="000000"/>
          <w:sz w:val="20"/>
          <w:szCs w:val="20"/>
          <w:lang w:eastAsia="es-AR"/>
        </w:rPr>
        <w:t>Variación interanual en valores absolutos/puntos del coeficiente de Gini</w:t>
      </w:r>
    </w:p>
    <w:tbl>
      <w:tblPr>
        <w:tblW w:w="8601" w:type="dxa"/>
        <w:jc w:val="center"/>
        <w:tblInd w:w="432" w:type="dxa"/>
        <w:tblCellMar>
          <w:left w:w="70" w:type="dxa"/>
          <w:right w:w="70" w:type="dxa"/>
        </w:tblCellMar>
        <w:tblLook w:val="04A0" w:firstRow="1" w:lastRow="0" w:firstColumn="1" w:lastColumn="0" w:noHBand="0" w:noVBand="1"/>
      </w:tblPr>
      <w:tblGrid>
        <w:gridCol w:w="2201"/>
        <w:gridCol w:w="800"/>
        <w:gridCol w:w="800"/>
        <w:gridCol w:w="800"/>
        <w:gridCol w:w="800"/>
        <w:gridCol w:w="800"/>
        <w:gridCol w:w="800"/>
        <w:gridCol w:w="800"/>
        <w:gridCol w:w="800"/>
      </w:tblGrid>
      <w:tr w:rsidR="00433B67" w:rsidRPr="001D57CE" w:rsidTr="006732CD">
        <w:trPr>
          <w:trHeight w:val="238"/>
          <w:jc w:val="center"/>
        </w:trPr>
        <w:tc>
          <w:tcPr>
            <w:tcW w:w="2201" w:type="dxa"/>
            <w:tcBorders>
              <w:top w:val="single" w:sz="4" w:space="0" w:color="auto"/>
              <w:left w:val="single" w:sz="4" w:space="0" w:color="auto"/>
              <w:bottom w:val="single" w:sz="4" w:space="0" w:color="auto"/>
              <w:right w:val="nil"/>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Var. Gini</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s*g</w:t>
            </w:r>
          </w:p>
        </w:tc>
        <w:tc>
          <w:tcPr>
            <w:tcW w:w="800"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r*s*g</w:t>
            </w:r>
          </w:p>
        </w:tc>
      </w:tr>
      <w:tr w:rsidR="00433B67" w:rsidRPr="001D57CE" w:rsidTr="006732CD">
        <w:trPr>
          <w:trHeight w:val="238"/>
          <w:jc w:val="center"/>
        </w:trPr>
        <w:tc>
          <w:tcPr>
            <w:tcW w:w="2201"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laborales</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0,0259</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-0,0084</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-0,0238</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0,0623</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0,0005</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-0,0012</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-0,0035</w:t>
            </w:r>
          </w:p>
        </w:tc>
        <w:tc>
          <w:tcPr>
            <w:tcW w:w="800"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0,0001</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formal público y privado</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0,0339</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0,0125</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-0,0097</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0,0313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-0,0004</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0,0012</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-0,0009</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formal privado</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público</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micro/informal</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-0,0080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-0,0107</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0,0027</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no laborales</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0,0208</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0,0124</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0,0062</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-0,0008</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0,0040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-0,0005</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-0,0002</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 xml:space="preserve">Políticas sociales y </w:t>
            </w:r>
            <w:proofErr w:type="spellStart"/>
            <w:r w:rsidRPr="001D57CE">
              <w:rPr>
                <w:rFonts w:eastAsia="Times New Roman" w:cs="Calibri"/>
                <w:color w:val="000000"/>
                <w:sz w:val="16"/>
                <w:szCs w:val="17"/>
                <w:u w:val="single"/>
                <w:lang w:eastAsia="es-AR"/>
              </w:rPr>
              <w:t>sist</w:t>
            </w:r>
            <w:proofErr w:type="spellEnd"/>
            <w:r w:rsidRPr="001D57CE">
              <w:rPr>
                <w:rFonts w:eastAsia="Times New Roman" w:cs="Calibri"/>
                <w:color w:val="000000"/>
                <w:sz w:val="16"/>
                <w:szCs w:val="17"/>
                <w:u w:val="single"/>
                <w:lang w:eastAsia="es-AR"/>
              </w:rPr>
              <w:t>. jubilatorio</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0,0129</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0,0113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0,0005</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0,0009</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Planes de empleo</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proofErr w:type="spellStart"/>
            <w:r w:rsidRPr="001D57CE">
              <w:rPr>
                <w:rFonts w:eastAsia="Times New Roman" w:cs="Calibri"/>
                <w:i/>
                <w:iCs/>
                <w:color w:val="000000"/>
                <w:sz w:val="16"/>
                <w:szCs w:val="17"/>
                <w:lang w:eastAsia="es-AR"/>
              </w:rPr>
              <w:t>Progr.transf</w:t>
            </w:r>
            <w:proofErr w:type="spellEnd"/>
            <w:r w:rsidRPr="001D57CE">
              <w:rPr>
                <w:rFonts w:eastAsia="Times New Roman" w:cs="Calibri"/>
                <w:i/>
                <w:iCs/>
                <w:color w:val="000000"/>
                <w:sz w:val="16"/>
                <w:szCs w:val="17"/>
                <w:lang w:eastAsia="es-AR"/>
              </w:rPr>
              <w:t xml:space="preserve"> de ingresos</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Jubilaciones y pensiones</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w:t>
            </w:r>
          </w:p>
        </w:tc>
      </w:tr>
      <w:tr w:rsidR="00433B67" w:rsidRPr="001D57CE" w:rsidTr="006732CD">
        <w:trPr>
          <w:trHeight w:val="238"/>
          <w:jc w:val="center"/>
        </w:trPr>
        <w:tc>
          <w:tcPr>
            <w:tcW w:w="2201"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Otros no laborales</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0,0078</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-0,0045</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0,0215</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-0,0007</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-0,0080</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0,0003</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-0,0012</w:t>
            </w:r>
          </w:p>
        </w:tc>
        <w:tc>
          <w:tcPr>
            <w:tcW w:w="800"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0,0004</w:t>
            </w:r>
          </w:p>
        </w:tc>
      </w:tr>
      <w:tr w:rsidR="00433B67" w:rsidRPr="001D57CE" w:rsidTr="006732CD">
        <w:trPr>
          <w:trHeight w:val="238"/>
          <w:jc w:val="center"/>
        </w:trPr>
        <w:tc>
          <w:tcPr>
            <w:tcW w:w="2201" w:type="dxa"/>
            <w:tcBorders>
              <w:top w:val="nil"/>
              <w:left w:val="single" w:sz="4" w:space="0" w:color="auto"/>
              <w:bottom w:val="single" w:sz="4" w:space="0" w:color="auto"/>
              <w:right w:val="nil"/>
            </w:tcBorders>
            <w:shd w:val="clear" w:color="000000" w:fill="FFFFFF"/>
            <w:noWrap/>
            <w:vAlign w:val="bottom"/>
            <w:hideMark/>
          </w:tcPr>
          <w:p w:rsidR="00433B67" w:rsidRPr="001D57CE" w:rsidRDefault="00433B67" w:rsidP="006732CD">
            <w:pPr>
              <w:spacing w:after="0" w:line="240" w:lineRule="auto"/>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single" w:sz="4" w:space="0" w:color="auto"/>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0,0467</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r>
    </w:tbl>
    <w:p w:rsidR="00433B67" w:rsidRPr="00112979" w:rsidRDefault="00433B67" w:rsidP="00433B67">
      <w:pPr>
        <w:tabs>
          <w:tab w:val="left" w:pos="4069"/>
        </w:tabs>
        <w:spacing w:after="120" w:line="240" w:lineRule="auto"/>
        <w:jc w:val="both"/>
        <w:rPr>
          <w:rFonts w:eastAsia="Times New Roman"/>
          <w:sz w:val="18"/>
          <w:szCs w:val="16"/>
          <w:lang w:eastAsia="es-AR"/>
        </w:rPr>
      </w:pPr>
      <w:r w:rsidRPr="00112979">
        <w:rPr>
          <w:rFonts w:eastAsia="Times New Roman"/>
          <w:sz w:val="18"/>
          <w:szCs w:val="16"/>
          <w:lang w:eastAsia="es-AR"/>
        </w:rPr>
        <w:t>Fuente: Elaboración propia en base a microdatos de la EPH-INDEC para los períodos indicados. Disponibles en: &lt;www.indec.gov.ar&gt;</w:t>
      </w:r>
    </w:p>
    <w:p w:rsidR="00433B67" w:rsidRDefault="00433B67" w:rsidP="00433B67">
      <w:pPr>
        <w:tabs>
          <w:tab w:val="left" w:pos="4069"/>
        </w:tabs>
        <w:spacing w:after="0"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bCs/>
          <w:color w:val="000000"/>
          <w:lang w:val="es-ES" w:eastAsia="es-AR"/>
        </w:rPr>
      </w:pPr>
      <w:r>
        <w:rPr>
          <w:rFonts w:eastAsia="Times New Roman"/>
          <w:sz w:val="24"/>
          <w:szCs w:val="24"/>
          <w:lang w:val="es-ES" w:eastAsia="es-AR"/>
        </w:rPr>
        <w:lastRenderedPageBreak/>
        <w:t xml:space="preserve">En suma, el aumento de la desigualdad durante el ciclo de reformas estructurales quedó explicado por procesos de mercado de trabajo y de factores externos. Un papel central le correspondió a una nueva etapa de inequidad en el ingreso laboral, especialmente de aquel proveniente del sector formal, lo que estuvo asociado a un incremento de las primas por calificación en contexto de intensificación del cambio tecnológico. El sector micro-informal aportó a la igualdad, pero por razones opuestas a un proceso auténtico de convergencia socioeconómica: por su empobrecimiento relativo y menor participación en el ingreso. Finalmente, los ingresos provenientes de políticas sociales –con la participación de los ingresos por jubilaciones y pensiones– ganaron participación y aumentaron su correlación con la distribución general, propendiendo a la mayor inequidad. </w:t>
      </w:r>
    </w:p>
    <w:p w:rsidR="00433B67" w:rsidRDefault="00433B67" w:rsidP="00433B67">
      <w:pPr>
        <w:tabs>
          <w:tab w:val="left" w:pos="4069"/>
        </w:tabs>
        <w:spacing w:after="0" w:line="240" w:lineRule="auto"/>
        <w:jc w:val="both"/>
        <w:rPr>
          <w:rFonts w:eastAsia="Times New Roman"/>
          <w:b/>
          <w:bCs/>
          <w:color w:val="000000"/>
          <w:lang w:val="es-ES" w:eastAsia="es-AR"/>
        </w:rPr>
      </w:pPr>
    </w:p>
    <w:p w:rsidR="00433B67" w:rsidRDefault="00433B67" w:rsidP="00433B67">
      <w:pPr>
        <w:jc w:val="center"/>
        <w:rPr>
          <w:color w:val="010101"/>
          <w:sz w:val="24"/>
          <w:szCs w:val="24"/>
          <w:u w:val="single"/>
          <w:lang w:eastAsia="es-MX"/>
        </w:rPr>
      </w:pPr>
      <w:r>
        <w:rPr>
          <w:color w:val="010101"/>
          <w:sz w:val="24"/>
          <w:szCs w:val="24"/>
          <w:u w:val="single"/>
          <w:lang w:eastAsia="es-MX"/>
        </w:rPr>
        <w:t>Crecimiento bajo políticas heterodoxas (2003-2014)</w:t>
      </w:r>
    </w:p>
    <w:p w:rsidR="00F87B46" w:rsidRDefault="00433B67" w:rsidP="00F87B46">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A</w:t>
      </w:r>
      <w:r w:rsidRPr="003F7057">
        <w:rPr>
          <w:rFonts w:eastAsia="Times New Roman"/>
          <w:sz w:val="24"/>
          <w:szCs w:val="24"/>
          <w:lang w:val="es-ES" w:eastAsia="es-AR"/>
        </w:rPr>
        <w:t xml:space="preserve"> diferencia de los períodos previos, </w:t>
      </w:r>
      <w:r>
        <w:rPr>
          <w:rFonts w:eastAsia="Times New Roman"/>
          <w:sz w:val="24"/>
          <w:szCs w:val="24"/>
          <w:lang w:val="es-ES" w:eastAsia="es-AR"/>
        </w:rPr>
        <w:t xml:space="preserve">este ciclo fue </w:t>
      </w:r>
      <w:r w:rsidRPr="003F7057">
        <w:rPr>
          <w:rFonts w:eastAsia="Times New Roman"/>
          <w:sz w:val="24"/>
          <w:szCs w:val="24"/>
          <w:lang w:val="es-ES" w:eastAsia="es-AR"/>
        </w:rPr>
        <w:t xml:space="preserve">el primero en el cual el coeficiente de desigualdad de Gini </w:t>
      </w:r>
      <w:r>
        <w:rPr>
          <w:rFonts w:eastAsia="Times New Roman"/>
          <w:sz w:val="24"/>
          <w:szCs w:val="24"/>
          <w:lang w:val="es-ES" w:eastAsia="es-AR"/>
        </w:rPr>
        <w:t>tuvo</w:t>
      </w:r>
      <w:r w:rsidRPr="003F7057">
        <w:rPr>
          <w:rFonts w:eastAsia="Times New Roman"/>
          <w:sz w:val="24"/>
          <w:szCs w:val="24"/>
          <w:lang w:val="es-ES" w:eastAsia="es-AR"/>
        </w:rPr>
        <w:t xml:space="preserve"> un </w:t>
      </w:r>
      <w:r>
        <w:rPr>
          <w:rFonts w:eastAsia="Times New Roman"/>
          <w:sz w:val="24"/>
          <w:szCs w:val="24"/>
          <w:lang w:val="es-ES" w:eastAsia="es-AR"/>
        </w:rPr>
        <w:t>comportamiento decreciente</w:t>
      </w:r>
      <w:r w:rsidRPr="003F7057">
        <w:rPr>
          <w:rFonts w:eastAsia="Times New Roman"/>
          <w:sz w:val="24"/>
          <w:szCs w:val="24"/>
          <w:lang w:val="es-ES" w:eastAsia="es-AR"/>
        </w:rPr>
        <w:t>, pasando de 0,</w:t>
      </w:r>
      <w:r>
        <w:rPr>
          <w:rFonts w:eastAsia="Times New Roman"/>
          <w:sz w:val="24"/>
          <w:szCs w:val="24"/>
          <w:lang w:val="es-ES" w:eastAsia="es-AR"/>
        </w:rPr>
        <w:t>4753 a 0,3851 (</w:t>
      </w:r>
      <w:r w:rsidRPr="00F7768F">
        <w:rPr>
          <w:rFonts w:eastAsia="Times New Roman"/>
          <w:sz w:val="24"/>
          <w:szCs w:val="24"/>
          <w:highlight w:val="green"/>
          <w:lang w:val="es-ES" w:eastAsia="es-AR"/>
        </w:rPr>
        <w:t xml:space="preserve">Cuadro </w:t>
      </w:r>
      <w:r w:rsidR="008605A6">
        <w:rPr>
          <w:rFonts w:eastAsia="Times New Roman"/>
          <w:sz w:val="24"/>
          <w:szCs w:val="24"/>
          <w:highlight w:val="green"/>
          <w:lang w:val="es-ES" w:eastAsia="es-AR"/>
        </w:rPr>
        <w:t>15</w:t>
      </w:r>
      <w:r>
        <w:rPr>
          <w:rFonts w:eastAsia="Times New Roman"/>
          <w:sz w:val="24"/>
          <w:szCs w:val="24"/>
          <w:lang w:val="es-ES" w:eastAsia="es-AR"/>
        </w:rPr>
        <w:t>). Este proceso estuvo muy influido por la recuperación de los principales indicadores del mercado de trabajo, una activa política laboral y de ingresos y una expansión de los diferentes componentes del sistema de política social y previsional (</w:t>
      </w:r>
      <w:r w:rsidRPr="00F7768F">
        <w:rPr>
          <w:rFonts w:eastAsia="Times New Roman"/>
          <w:sz w:val="24"/>
          <w:szCs w:val="24"/>
          <w:highlight w:val="green"/>
          <w:lang w:val="es-ES" w:eastAsia="es-AR"/>
        </w:rPr>
        <w:t>capítulo 1</w:t>
      </w:r>
      <w:r>
        <w:rPr>
          <w:rFonts w:eastAsia="Times New Roman"/>
          <w:sz w:val="24"/>
          <w:szCs w:val="24"/>
          <w:lang w:val="es-ES" w:eastAsia="es-AR"/>
        </w:rPr>
        <w:t xml:space="preserve">). </w:t>
      </w:r>
    </w:p>
    <w:p w:rsidR="00433B67" w:rsidRDefault="00433B67" w:rsidP="00F87B46">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 xml:space="preserve">Entre 2003 y 2007, </w:t>
      </w:r>
      <w:r w:rsidRPr="003F7057">
        <w:rPr>
          <w:rFonts w:eastAsia="Times New Roman"/>
          <w:sz w:val="24"/>
          <w:szCs w:val="24"/>
          <w:lang w:val="es-ES" w:eastAsia="es-AR"/>
        </w:rPr>
        <w:t>descendió el aporte absoluto tanto de los ingresos laborales como no laborales</w:t>
      </w:r>
      <w:r>
        <w:rPr>
          <w:rFonts w:eastAsia="Times New Roman"/>
          <w:sz w:val="24"/>
          <w:szCs w:val="24"/>
          <w:lang w:val="es-ES" w:eastAsia="es-AR"/>
        </w:rPr>
        <w:t xml:space="preserve"> a la desigualdad. En términos relativos, volvió a crecer el aporte de las fuentes laborales en detrimento de las no laborales (93,1% a 95,5% frente a 6,9% y 4,5%, respectivamente), lo que expresó la recomposición del mercado de trabajo durante este período. La recomposición de la contribución de los ingresos laborales a la desigualdad se debió, principalmente, al mayor aporte que hicieron los ingresos provenientes del sector micro-informal (17,8% a 20,6%) </w:t>
      </w:r>
      <w:r w:rsidR="00F87B46">
        <w:rPr>
          <w:rFonts w:eastAsia="Times New Roman"/>
          <w:sz w:val="24"/>
          <w:szCs w:val="24"/>
          <w:lang w:val="es-ES" w:eastAsia="es-AR"/>
        </w:rPr>
        <w:t xml:space="preserve">y del sector público </w:t>
      </w:r>
      <w:r>
        <w:rPr>
          <w:rFonts w:eastAsia="Times New Roman"/>
          <w:sz w:val="24"/>
          <w:szCs w:val="24"/>
          <w:lang w:val="es-ES" w:eastAsia="es-AR"/>
        </w:rPr>
        <w:t>(16,1% a 19,1%)</w:t>
      </w:r>
      <w:r w:rsidR="00F87B46">
        <w:rPr>
          <w:rFonts w:eastAsia="Times New Roman"/>
          <w:sz w:val="24"/>
          <w:szCs w:val="24"/>
          <w:lang w:val="es-ES" w:eastAsia="es-AR"/>
        </w:rPr>
        <w:t>, frente a una reducción de la contribución de los ingresos del sector privado formal (59,3% a 55,8%)</w:t>
      </w:r>
      <w:r>
        <w:rPr>
          <w:rFonts w:eastAsia="Times New Roman"/>
          <w:sz w:val="24"/>
          <w:szCs w:val="24"/>
          <w:lang w:val="es-ES" w:eastAsia="es-AR"/>
        </w:rPr>
        <w:t xml:space="preserve">. Por su parte, los ingresos no laborales </w:t>
      </w:r>
      <w:r w:rsidR="00F87B46">
        <w:rPr>
          <w:rFonts w:eastAsia="Times New Roman"/>
          <w:sz w:val="24"/>
          <w:szCs w:val="24"/>
          <w:lang w:val="es-ES" w:eastAsia="es-AR"/>
        </w:rPr>
        <w:t>redujeron</w:t>
      </w:r>
      <w:r>
        <w:rPr>
          <w:rFonts w:eastAsia="Times New Roman"/>
          <w:sz w:val="24"/>
          <w:szCs w:val="24"/>
          <w:lang w:val="es-ES" w:eastAsia="es-AR"/>
        </w:rPr>
        <w:t xml:space="preserve"> su contribución debido a</w:t>
      </w:r>
      <w:r w:rsidR="00F87B46">
        <w:rPr>
          <w:rFonts w:eastAsia="Times New Roman"/>
          <w:sz w:val="24"/>
          <w:szCs w:val="24"/>
          <w:lang w:val="es-ES" w:eastAsia="es-AR"/>
        </w:rPr>
        <w:t xml:space="preserve">l </w:t>
      </w:r>
      <w:r>
        <w:rPr>
          <w:rFonts w:eastAsia="Times New Roman"/>
          <w:sz w:val="24"/>
          <w:szCs w:val="24"/>
          <w:lang w:val="es-ES" w:eastAsia="es-AR"/>
        </w:rPr>
        <w:t xml:space="preserve">menor aporte de los ingresos de políticas sociales, especialmente de jubilaciones y pensiones. </w:t>
      </w:r>
    </w:p>
    <w:p w:rsidR="00F87B46" w:rsidRDefault="00433B67" w:rsidP="00433B67">
      <w:pPr>
        <w:tabs>
          <w:tab w:val="left" w:pos="4069"/>
        </w:tabs>
        <w:spacing w:line="240" w:lineRule="auto"/>
        <w:jc w:val="both"/>
        <w:rPr>
          <w:rFonts w:eastAsia="Times New Roman"/>
          <w:sz w:val="24"/>
          <w:szCs w:val="24"/>
          <w:lang w:val="es-ES" w:eastAsia="es-AR"/>
        </w:rPr>
      </w:pPr>
      <w:r>
        <w:rPr>
          <w:rFonts w:eastAsia="Times New Roman"/>
          <w:sz w:val="24"/>
          <w:szCs w:val="24"/>
          <w:lang w:val="es-ES" w:eastAsia="es-AR"/>
        </w:rPr>
        <w:t>Como correlato de estos cambios en la composición del coeficiente de Gini, entre 2003 y 2007 se modificó el rol de cada fuente en el cambio de la desigualdad. En este período, la reducción de 0,0336 puntos del coeficiente de Gini se explicó, en un 61,7%, por la contribución de los ingresos laborales, y un 38,4% por lo ocurrido con los ingresos no laborales. Ahora bien, los ingresos provenientes del sector público y del sector micro-informal contribuyeron a un aumento de la desigualdad (23,8% y 19,5%), en tanto que los provenientes del sector privado formal más que compensaron esta dinámica y propendieron a una mayor igualdad. Las jubilaciones y pensiones tuvieron un papel destacado</w:t>
      </w:r>
      <w:r w:rsidR="00F87B46">
        <w:rPr>
          <w:rFonts w:eastAsia="Times New Roman"/>
          <w:sz w:val="24"/>
          <w:szCs w:val="24"/>
          <w:lang w:val="es-ES" w:eastAsia="es-AR"/>
        </w:rPr>
        <w:t xml:space="preserve"> en</w:t>
      </w:r>
      <w:r>
        <w:rPr>
          <w:rFonts w:eastAsia="Times New Roman"/>
          <w:sz w:val="24"/>
          <w:szCs w:val="24"/>
          <w:lang w:val="es-ES" w:eastAsia="es-AR"/>
        </w:rPr>
        <w:t xml:space="preserve"> esta evolución y participaron </w:t>
      </w:r>
      <w:r w:rsidR="00F87B46">
        <w:rPr>
          <w:rFonts w:eastAsia="Times New Roman"/>
          <w:sz w:val="24"/>
          <w:szCs w:val="24"/>
          <w:lang w:val="es-ES" w:eastAsia="es-AR"/>
        </w:rPr>
        <w:t xml:space="preserve">intensamente </w:t>
      </w:r>
      <w:r>
        <w:rPr>
          <w:rFonts w:eastAsia="Times New Roman"/>
          <w:sz w:val="24"/>
          <w:szCs w:val="24"/>
          <w:lang w:val="es-ES" w:eastAsia="es-AR"/>
        </w:rPr>
        <w:t>en la reducción de la desigualdad (</w:t>
      </w:r>
      <w:r w:rsidRPr="006E0992">
        <w:rPr>
          <w:rFonts w:eastAsia="Times New Roman"/>
          <w:sz w:val="24"/>
          <w:szCs w:val="24"/>
          <w:highlight w:val="green"/>
          <w:lang w:val="es-ES" w:eastAsia="es-AR"/>
        </w:rPr>
        <w:t xml:space="preserve">Cuadro </w:t>
      </w:r>
      <w:r w:rsidR="007751B3">
        <w:rPr>
          <w:rFonts w:eastAsia="Times New Roman"/>
          <w:sz w:val="24"/>
          <w:szCs w:val="24"/>
          <w:highlight w:val="green"/>
          <w:lang w:val="es-ES" w:eastAsia="es-AR"/>
        </w:rPr>
        <w:t>15</w:t>
      </w:r>
      <w:r>
        <w:rPr>
          <w:rFonts w:eastAsia="Times New Roman"/>
          <w:sz w:val="24"/>
          <w:szCs w:val="24"/>
          <w:lang w:val="es-ES" w:eastAsia="es-AR"/>
        </w:rPr>
        <w:t xml:space="preserve">).  </w:t>
      </w:r>
    </w:p>
    <w:p w:rsidR="00045484" w:rsidRDefault="00045484" w:rsidP="00433B67">
      <w:pPr>
        <w:tabs>
          <w:tab w:val="left" w:pos="4069"/>
        </w:tabs>
        <w:spacing w:line="240" w:lineRule="auto"/>
        <w:jc w:val="both"/>
        <w:rPr>
          <w:rFonts w:eastAsia="Times New Roman"/>
          <w:sz w:val="24"/>
          <w:szCs w:val="24"/>
          <w:lang w:val="es-ES" w:eastAsia="es-AR"/>
        </w:rPr>
      </w:pPr>
    </w:p>
    <w:p w:rsidR="00045484" w:rsidRDefault="00045484" w:rsidP="00433B67">
      <w:pPr>
        <w:tabs>
          <w:tab w:val="left" w:pos="4069"/>
        </w:tabs>
        <w:spacing w:line="240" w:lineRule="auto"/>
        <w:jc w:val="both"/>
        <w:rPr>
          <w:rFonts w:eastAsia="Times New Roman"/>
          <w:sz w:val="24"/>
          <w:szCs w:val="24"/>
          <w:lang w:val="es-ES" w:eastAsia="es-AR"/>
        </w:rPr>
      </w:pPr>
    </w:p>
    <w:p w:rsidR="00045484" w:rsidRDefault="00045484" w:rsidP="00433B67">
      <w:pPr>
        <w:tabs>
          <w:tab w:val="left" w:pos="4069"/>
        </w:tabs>
        <w:spacing w:line="240" w:lineRule="auto"/>
        <w:jc w:val="both"/>
        <w:rPr>
          <w:rFonts w:eastAsia="Times New Roman"/>
          <w:sz w:val="24"/>
          <w:szCs w:val="24"/>
          <w:lang w:val="es-ES" w:eastAsia="es-AR"/>
        </w:rPr>
      </w:pPr>
    </w:p>
    <w:p w:rsidR="00433B67" w:rsidRDefault="00433B67" w:rsidP="00433B67">
      <w:pPr>
        <w:tabs>
          <w:tab w:val="left" w:pos="4069"/>
        </w:tabs>
        <w:spacing w:after="0" w:line="240" w:lineRule="auto"/>
        <w:jc w:val="both"/>
        <w:rPr>
          <w:rFonts w:eastAsia="Times New Roman"/>
          <w:b/>
          <w:bCs/>
          <w:color w:val="000000"/>
          <w:sz w:val="24"/>
          <w:lang w:eastAsia="es-AR"/>
        </w:rPr>
      </w:pPr>
      <w:r w:rsidRPr="00B74293">
        <w:rPr>
          <w:rFonts w:eastAsia="Times New Roman"/>
          <w:b/>
          <w:bCs/>
          <w:color w:val="000000"/>
          <w:sz w:val="24"/>
          <w:lang w:eastAsia="es-AR"/>
        </w:rPr>
        <w:lastRenderedPageBreak/>
        <w:t>Cuadro 1</w:t>
      </w:r>
      <w:r w:rsidR="00177113">
        <w:rPr>
          <w:rFonts w:eastAsia="Times New Roman"/>
          <w:b/>
          <w:bCs/>
          <w:color w:val="000000"/>
          <w:sz w:val="24"/>
          <w:lang w:eastAsia="es-AR"/>
        </w:rPr>
        <w:t>5</w:t>
      </w:r>
      <w:r w:rsidRPr="00B74293">
        <w:rPr>
          <w:rFonts w:eastAsia="Times New Roman"/>
          <w:b/>
          <w:bCs/>
          <w:color w:val="000000"/>
          <w:sz w:val="24"/>
          <w:lang w:eastAsia="es-AR"/>
        </w:rPr>
        <w:t>.</w:t>
      </w:r>
      <w:r w:rsidRPr="00B74293">
        <w:rPr>
          <w:rFonts w:eastAsia="Times New Roman"/>
          <w:sz w:val="18"/>
          <w:szCs w:val="16"/>
          <w:lang w:eastAsia="es-AR"/>
        </w:rPr>
        <w:t xml:space="preserve"> </w:t>
      </w:r>
      <w:r w:rsidRPr="00B74293">
        <w:rPr>
          <w:rFonts w:eastAsia="Times New Roman"/>
          <w:b/>
          <w:bCs/>
          <w:color w:val="000000"/>
          <w:sz w:val="24"/>
          <w:lang w:eastAsia="es-AR"/>
        </w:rPr>
        <w:t>Coeficiente de Gini familiar</w:t>
      </w:r>
      <w:r>
        <w:rPr>
          <w:rFonts w:eastAsia="Times New Roman"/>
          <w:b/>
          <w:bCs/>
          <w:color w:val="000000"/>
          <w:sz w:val="24"/>
          <w:lang w:eastAsia="es-AR"/>
        </w:rPr>
        <w:t xml:space="preserve">, </w:t>
      </w:r>
      <w:r w:rsidRPr="00B74293">
        <w:rPr>
          <w:rFonts w:eastAsia="Times New Roman"/>
          <w:b/>
          <w:bCs/>
          <w:color w:val="000000"/>
          <w:sz w:val="24"/>
          <w:lang w:eastAsia="es-AR"/>
        </w:rPr>
        <w:t xml:space="preserve">descomposición según </w:t>
      </w:r>
      <w:r>
        <w:rPr>
          <w:rFonts w:eastAsia="Times New Roman"/>
          <w:b/>
          <w:bCs/>
          <w:color w:val="000000"/>
          <w:sz w:val="24"/>
          <w:lang w:eastAsia="es-AR"/>
        </w:rPr>
        <w:t xml:space="preserve">aporte de cada </w:t>
      </w:r>
      <w:r w:rsidRPr="00B74293">
        <w:rPr>
          <w:rFonts w:eastAsia="Times New Roman"/>
          <w:b/>
          <w:bCs/>
          <w:color w:val="000000"/>
          <w:sz w:val="24"/>
          <w:lang w:eastAsia="es-AR"/>
        </w:rPr>
        <w:t>fuente de ingreso</w:t>
      </w:r>
      <w:r>
        <w:rPr>
          <w:rFonts w:eastAsia="Times New Roman"/>
          <w:b/>
          <w:bCs/>
          <w:color w:val="000000"/>
          <w:sz w:val="24"/>
          <w:lang w:eastAsia="es-AR"/>
        </w:rPr>
        <w:t xml:space="preserve"> y contribución de cada fuente al cambio</w:t>
      </w:r>
      <w:r w:rsidRPr="00B74293">
        <w:rPr>
          <w:rFonts w:eastAsia="Times New Roman"/>
          <w:b/>
          <w:bCs/>
          <w:color w:val="000000"/>
          <w:sz w:val="24"/>
          <w:lang w:eastAsia="es-AR"/>
        </w:rPr>
        <w:t xml:space="preserve">. Gran Buenos Aires, </w:t>
      </w:r>
      <w:r>
        <w:rPr>
          <w:rFonts w:eastAsia="Times New Roman"/>
          <w:b/>
          <w:bCs/>
          <w:color w:val="000000"/>
          <w:sz w:val="24"/>
          <w:lang w:eastAsia="es-AR"/>
        </w:rPr>
        <w:t>2014-2003</w:t>
      </w:r>
      <w:r w:rsidRPr="00B74293">
        <w:rPr>
          <w:rFonts w:eastAsia="Times New Roman"/>
          <w:b/>
          <w:bCs/>
          <w:color w:val="000000"/>
          <w:sz w:val="24"/>
          <w:lang w:eastAsia="es-AR"/>
        </w:rPr>
        <w:t>.</w:t>
      </w:r>
    </w:p>
    <w:p w:rsidR="00433B67" w:rsidRPr="00B74293" w:rsidRDefault="00433B67" w:rsidP="00433B67">
      <w:pPr>
        <w:tabs>
          <w:tab w:val="left" w:pos="4069"/>
        </w:tabs>
        <w:spacing w:after="0" w:line="240" w:lineRule="auto"/>
        <w:jc w:val="both"/>
        <w:rPr>
          <w:rFonts w:eastAsia="Times New Roman"/>
          <w:bCs/>
          <w:color w:val="000000"/>
          <w:lang w:eastAsia="es-AR"/>
        </w:rPr>
      </w:pPr>
      <w:r>
        <w:rPr>
          <w:rFonts w:eastAsia="Times New Roman"/>
          <w:bCs/>
          <w:color w:val="000000"/>
          <w:sz w:val="24"/>
          <w:lang w:eastAsia="es-AR"/>
        </w:rPr>
        <w:t>En puntos del coeficiente de Gini y porcentaje respecto al total.</w:t>
      </w:r>
    </w:p>
    <w:tbl>
      <w:tblPr>
        <w:tblW w:w="8533" w:type="dxa"/>
        <w:jc w:val="center"/>
        <w:tblInd w:w="55" w:type="dxa"/>
        <w:tblCellMar>
          <w:left w:w="70" w:type="dxa"/>
          <w:right w:w="70" w:type="dxa"/>
        </w:tblCellMar>
        <w:tblLook w:val="04A0" w:firstRow="1" w:lastRow="0" w:firstColumn="1" w:lastColumn="0" w:noHBand="0" w:noVBand="1"/>
      </w:tblPr>
      <w:tblGrid>
        <w:gridCol w:w="2058"/>
        <w:gridCol w:w="738"/>
        <w:gridCol w:w="557"/>
        <w:gridCol w:w="738"/>
        <w:gridCol w:w="557"/>
        <w:gridCol w:w="738"/>
        <w:gridCol w:w="557"/>
        <w:gridCol w:w="739"/>
        <w:gridCol w:w="556"/>
        <w:gridCol w:w="739"/>
        <w:gridCol w:w="556"/>
      </w:tblGrid>
      <w:tr w:rsidR="00433B67" w:rsidRPr="00EE0425" w:rsidTr="006732CD">
        <w:trPr>
          <w:trHeight w:val="238"/>
          <w:jc w:val="center"/>
        </w:trPr>
        <w:tc>
          <w:tcPr>
            <w:tcW w:w="2058"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color w:val="000000"/>
                <w:sz w:val="14"/>
                <w:szCs w:val="14"/>
                <w:lang w:eastAsia="es-AR"/>
              </w:rPr>
            </w:pPr>
            <w:r w:rsidRPr="00EE0425">
              <w:rPr>
                <w:rFonts w:eastAsia="Times New Roman"/>
                <w:color w:val="000000"/>
                <w:sz w:val="14"/>
                <w:szCs w:val="14"/>
                <w:lang w:eastAsia="es-AR"/>
              </w:rPr>
              <w:t> </w:t>
            </w:r>
          </w:p>
        </w:tc>
        <w:tc>
          <w:tcPr>
            <w:tcW w:w="1295"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2003</w:t>
            </w:r>
          </w:p>
        </w:tc>
        <w:tc>
          <w:tcPr>
            <w:tcW w:w="1295"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2007</w:t>
            </w:r>
          </w:p>
        </w:tc>
        <w:tc>
          <w:tcPr>
            <w:tcW w:w="1295"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2014</w:t>
            </w:r>
          </w:p>
        </w:tc>
        <w:tc>
          <w:tcPr>
            <w:tcW w:w="1295"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2003 (IV)-2007</w:t>
            </w:r>
          </w:p>
        </w:tc>
        <w:tc>
          <w:tcPr>
            <w:tcW w:w="1295" w:type="dxa"/>
            <w:gridSpan w:val="2"/>
            <w:tcBorders>
              <w:top w:val="single" w:sz="4" w:space="0" w:color="auto"/>
              <w:left w:val="nil"/>
              <w:bottom w:val="nil"/>
              <w:right w:val="single" w:sz="4" w:space="0" w:color="000000"/>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2007-2014</w:t>
            </w:r>
          </w:p>
        </w:tc>
      </w:tr>
      <w:tr w:rsidR="00433B67" w:rsidRPr="00EE0425" w:rsidTr="006732CD">
        <w:trPr>
          <w:trHeight w:val="238"/>
          <w:jc w:val="center"/>
        </w:trPr>
        <w:tc>
          <w:tcPr>
            <w:tcW w:w="2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color w:val="000000"/>
                <w:sz w:val="14"/>
                <w:szCs w:val="14"/>
                <w:lang w:eastAsia="es-AR"/>
              </w:rPr>
            </w:pPr>
            <w:r w:rsidRPr="00EE0425">
              <w:rPr>
                <w:rFonts w:eastAsia="Times New Roman"/>
                <w:color w:val="000000"/>
                <w:sz w:val="14"/>
                <w:szCs w:val="14"/>
                <w:lang w:eastAsia="es-AR"/>
              </w:rPr>
              <w:t> </w:t>
            </w:r>
          </w:p>
        </w:tc>
        <w:tc>
          <w:tcPr>
            <w:tcW w:w="738"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Aporte</w:t>
            </w:r>
          </w:p>
        </w:tc>
        <w:tc>
          <w:tcPr>
            <w:tcW w:w="557"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w:t>
            </w:r>
          </w:p>
        </w:tc>
        <w:tc>
          <w:tcPr>
            <w:tcW w:w="738"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Aporte</w:t>
            </w:r>
          </w:p>
        </w:tc>
        <w:tc>
          <w:tcPr>
            <w:tcW w:w="557"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w:t>
            </w:r>
          </w:p>
        </w:tc>
        <w:tc>
          <w:tcPr>
            <w:tcW w:w="738"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Aporte</w:t>
            </w:r>
          </w:p>
        </w:tc>
        <w:tc>
          <w:tcPr>
            <w:tcW w:w="557"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w:t>
            </w:r>
          </w:p>
        </w:tc>
        <w:tc>
          <w:tcPr>
            <w:tcW w:w="739"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 xml:space="preserve">V. </w:t>
            </w:r>
            <w:proofErr w:type="spellStart"/>
            <w:r w:rsidRPr="00EE0425">
              <w:rPr>
                <w:rFonts w:eastAsia="Times New Roman"/>
                <w:color w:val="000000"/>
                <w:sz w:val="14"/>
                <w:szCs w:val="14"/>
                <w:lang w:eastAsia="es-AR"/>
              </w:rPr>
              <w:t>Abs</w:t>
            </w:r>
            <w:proofErr w:type="spellEnd"/>
            <w:r w:rsidRPr="00EE0425">
              <w:rPr>
                <w:rFonts w:eastAsia="Times New Roman"/>
                <w:color w:val="000000"/>
                <w:sz w:val="14"/>
                <w:szCs w:val="14"/>
                <w:lang w:eastAsia="es-AR"/>
              </w:rPr>
              <w:t>.</w:t>
            </w:r>
          </w:p>
        </w:tc>
        <w:tc>
          <w:tcPr>
            <w:tcW w:w="556"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w:t>
            </w:r>
          </w:p>
        </w:tc>
        <w:tc>
          <w:tcPr>
            <w:tcW w:w="739" w:type="dxa"/>
            <w:tcBorders>
              <w:top w:val="single" w:sz="4" w:space="0" w:color="auto"/>
              <w:left w:val="nil"/>
              <w:bottom w:val="single" w:sz="4" w:space="0" w:color="auto"/>
              <w:right w:val="nil"/>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 xml:space="preserve">V. </w:t>
            </w:r>
            <w:proofErr w:type="spellStart"/>
            <w:r w:rsidRPr="00EE0425">
              <w:rPr>
                <w:rFonts w:eastAsia="Times New Roman"/>
                <w:color w:val="000000"/>
                <w:sz w:val="14"/>
                <w:szCs w:val="14"/>
                <w:lang w:eastAsia="es-AR"/>
              </w:rPr>
              <w:t>Abs</w:t>
            </w:r>
            <w:proofErr w:type="spellEnd"/>
            <w:r w:rsidRPr="00EE0425">
              <w:rPr>
                <w:rFonts w:eastAsia="Times New Roman"/>
                <w:color w:val="000000"/>
                <w:sz w:val="14"/>
                <w:szCs w:val="14"/>
                <w:lang w:eastAsia="es-AR"/>
              </w:rPr>
              <w:t>.</w:t>
            </w:r>
          </w:p>
        </w:tc>
        <w:tc>
          <w:tcPr>
            <w:tcW w:w="556"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jc w:val="center"/>
              <w:rPr>
                <w:rFonts w:eastAsia="Times New Roman"/>
                <w:color w:val="000000"/>
                <w:sz w:val="14"/>
                <w:szCs w:val="14"/>
                <w:lang w:eastAsia="es-AR"/>
              </w:rPr>
            </w:pPr>
            <w:r w:rsidRPr="00EE0425">
              <w:rPr>
                <w:rFonts w:eastAsia="Times New Roman"/>
                <w:color w:val="000000"/>
                <w:sz w:val="14"/>
                <w:szCs w:val="14"/>
                <w:lang w:eastAsia="es-AR"/>
              </w:rPr>
              <w:t>%</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4"/>
                <w:szCs w:val="14"/>
                <w:lang w:eastAsia="es-AR"/>
              </w:rPr>
            </w:pPr>
            <w:r w:rsidRPr="00EE0425">
              <w:rPr>
                <w:rFonts w:eastAsia="Times New Roman"/>
                <w:b/>
                <w:bCs/>
                <w:color w:val="000000"/>
                <w:sz w:val="14"/>
                <w:szCs w:val="14"/>
                <w:lang w:eastAsia="es-AR"/>
              </w:rPr>
              <w:t>Ingresos laborales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0,4426</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93,1</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0,4219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95,5</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0,3637</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94,4</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-0,0207</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61,7</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-0,0582</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102,9</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40"/>
              <w:rPr>
                <w:rFonts w:eastAsia="Times New Roman"/>
                <w:color w:val="000000"/>
                <w:sz w:val="14"/>
                <w:szCs w:val="14"/>
                <w:u w:val="single"/>
                <w:lang w:eastAsia="es-AR"/>
              </w:rPr>
            </w:pPr>
            <w:r w:rsidRPr="00EE0425">
              <w:rPr>
                <w:rFonts w:eastAsia="Times New Roman"/>
                <w:color w:val="000000"/>
                <w:sz w:val="14"/>
                <w:szCs w:val="14"/>
                <w:u w:val="single"/>
                <w:lang w:eastAsia="es-AR"/>
              </w:rPr>
              <w:t>Sector formal público y privado</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0,3582</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75,4</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0,3309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74,9</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0,3009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78,1</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-0,0273</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81,2</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-0,0300</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53,0</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280"/>
              <w:rPr>
                <w:rFonts w:eastAsia="Times New Roman"/>
                <w:i/>
                <w:iCs/>
                <w:color w:val="000000"/>
                <w:sz w:val="14"/>
                <w:szCs w:val="14"/>
                <w:lang w:eastAsia="es-AR"/>
              </w:rPr>
            </w:pPr>
            <w:r w:rsidRPr="00EE0425">
              <w:rPr>
                <w:rFonts w:eastAsia="Times New Roman"/>
                <w:i/>
                <w:iCs/>
                <w:color w:val="000000"/>
                <w:sz w:val="14"/>
                <w:szCs w:val="14"/>
                <w:lang w:eastAsia="es-AR"/>
              </w:rPr>
              <w:t>Sector formal privado</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0,2817</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59,3</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0,2464</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55,8</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0,2039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53,0</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-0,0353</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105,0</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-0,0425</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75,2</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280"/>
              <w:rPr>
                <w:rFonts w:eastAsia="Times New Roman"/>
                <w:i/>
                <w:iCs/>
                <w:color w:val="000000"/>
                <w:sz w:val="14"/>
                <w:szCs w:val="14"/>
                <w:lang w:eastAsia="es-AR"/>
              </w:rPr>
            </w:pPr>
            <w:r w:rsidRPr="00EE0425">
              <w:rPr>
                <w:rFonts w:eastAsia="Times New Roman"/>
                <w:i/>
                <w:iCs/>
                <w:color w:val="000000"/>
                <w:sz w:val="14"/>
                <w:szCs w:val="14"/>
                <w:lang w:eastAsia="es-AR"/>
              </w:rPr>
              <w:t>Sector público</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0,0764</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16,1</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0,0844</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19,1</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0,0970</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25,2</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0,0080</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-23,8</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0,0126</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-22,2</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40"/>
              <w:rPr>
                <w:rFonts w:eastAsia="Times New Roman"/>
                <w:color w:val="000000"/>
                <w:sz w:val="14"/>
                <w:szCs w:val="14"/>
                <w:u w:val="single"/>
                <w:lang w:eastAsia="es-AR"/>
              </w:rPr>
            </w:pPr>
            <w:r w:rsidRPr="00EE0425">
              <w:rPr>
                <w:rFonts w:eastAsia="Times New Roman"/>
                <w:color w:val="000000"/>
                <w:sz w:val="14"/>
                <w:szCs w:val="14"/>
                <w:u w:val="single"/>
                <w:lang w:eastAsia="es-AR"/>
              </w:rPr>
              <w:t>Sector micro/informal</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0,0844</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17,8</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0,0910</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20,6</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0,0627</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16,3</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0,0066</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-19,5</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-0,0283</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50,0</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4"/>
                <w:szCs w:val="14"/>
                <w:lang w:eastAsia="es-AR"/>
              </w:rPr>
            </w:pPr>
            <w:r w:rsidRPr="00EE0425">
              <w:rPr>
                <w:rFonts w:eastAsia="Times New Roman"/>
                <w:b/>
                <w:bCs/>
                <w:color w:val="000000"/>
                <w:sz w:val="14"/>
                <w:szCs w:val="14"/>
                <w:lang w:eastAsia="es-AR"/>
              </w:rPr>
              <w:t>Ingresos no laborales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0,0327</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6,9</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0,0198</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4,5</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0,0215</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5,6</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-0,0129</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38,4</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0,0017</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-3,0</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40"/>
              <w:rPr>
                <w:rFonts w:eastAsia="Times New Roman"/>
                <w:color w:val="000000"/>
                <w:sz w:val="14"/>
                <w:szCs w:val="14"/>
                <w:u w:val="single"/>
                <w:lang w:eastAsia="es-AR"/>
              </w:rPr>
            </w:pPr>
            <w:r w:rsidRPr="00EE0425">
              <w:rPr>
                <w:rFonts w:eastAsia="Times New Roman"/>
                <w:color w:val="000000"/>
                <w:sz w:val="14"/>
                <w:szCs w:val="14"/>
                <w:u w:val="single"/>
                <w:lang w:eastAsia="es-AR"/>
              </w:rPr>
              <w:t>Ingresos de políticas sociales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0,0176</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3,7</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-0,0002</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0,0103</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2,7</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-0,0178</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53,0</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0,0105</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-18,5</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280"/>
              <w:rPr>
                <w:rFonts w:eastAsia="Times New Roman"/>
                <w:i/>
                <w:iCs/>
                <w:color w:val="000000"/>
                <w:sz w:val="14"/>
                <w:szCs w:val="14"/>
                <w:lang w:eastAsia="es-AR"/>
              </w:rPr>
            </w:pPr>
            <w:r w:rsidRPr="00EE0425">
              <w:rPr>
                <w:rFonts w:eastAsia="Times New Roman"/>
                <w:i/>
                <w:iCs/>
                <w:color w:val="000000"/>
                <w:sz w:val="14"/>
                <w:szCs w:val="14"/>
                <w:lang w:eastAsia="es-AR"/>
              </w:rPr>
              <w:t>Planes de empleo</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-0,0039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-0,8</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-0,0003</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-0,1</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0,0001</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0,0036</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-10,6</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0,0004</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-0,6</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280"/>
              <w:rPr>
                <w:rFonts w:eastAsia="Times New Roman"/>
                <w:i/>
                <w:iCs/>
                <w:color w:val="000000"/>
                <w:sz w:val="14"/>
                <w:szCs w:val="14"/>
                <w:lang w:eastAsia="es-AR"/>
              </w:rPr>
            </w:pPr>
            <w:r w:rsidRPr="00EE0425">
              <w:rPr>
                <w:rFonts w:eastAsia="Times New Roman"/>
                <w:i/>
                <w:iCs/>
                <w:color w:val="000000"/>
                <w:sz w:val="14"/>
                <w:szCs w:val="14"/>
                <w:lang w:eastAsia="es-AR"/>
              </w:rPr>
              <w:t>Programas sociales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-0,0013</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-0,3</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-0,0008</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-0,2</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-0,0018</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-0,5</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0,0005</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-1,4</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-0,0011</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1,9</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200" w:firstLine="280"/>
              <w:rPr>
                <w:rFonts w:eastAsia="Times New Roman"/>
                <w:i/>
                <w:iCs/>
                <w:color w:val="000000"/>
                <w:sz w:val="14"/>
                <w:szCs w:val="14"/>
                <w:lang w:eastAsia="es-AR"/>
              </w:rPr>
            </w:pPr>
            <w:r w:rsidRPr="00EE0425">
              <w:rPr>
                <w:rFonts w:eastAsia="Times New Roman"/>
                <w:i/>
                <w:iCs/>
                <w:color w:val="000000"/>
                <w:sz w:val="14"/>
                <w:szCs w:val="14"/>
                <w:lang w:eastAsia="es-AR"/>
              </w:rPr>
              <w:t>Jubilaciones y pensiones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0,0228</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4,8</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0,0009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0,2</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0,0121</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3,1</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-0,0218</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65,0</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0,0112</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i/>
                <w:iCs/>
                <w:color w:val="000000"/>
                <w:sz w:val="14"/>
                <w:szCs w:val="14"/>
                <w:lang w:eastAsia="es-AR"/>
              </w:rPr>
            </w:pPr>
            <w:r w:rsidRPr="00EE0425">
              <w:rPr>
                <w:rFonts w:eastAsia="Times New Roman"/>
                <w:i/>
                <w:iCs/>
                <w:color w:val="000000"/>
                <w:sz w:val="14"/>
                <w:szCs w:val="14"/>
                <w:lang w:eastAsia="es-AR"/>
              </w:rPr>
              <w:t>-19,8</w:t>
            </w:r>
          </w:p>
        </w:tc>
      </w:tr>
      <w:tr w:rsidR="00433B67" w:rsidRPr="00EE0425" w:rsidTr="006732CD">
        <w:trPr>
          <w:trHeight w:val="238"/>
          <w:jc w:val="center"/>
        </w:trPr>
        <w:tc>
          <w:tcPr>
            <w:tcW w:w="2058" w:type="dxa"/>
            <w:tcBorders>
              <w:top w:val="nil"/>
              <w:left w:val="single" w:sz="4" w:space="0" w:color="auto"/>
              <w:bottom w:val="nil"/>
              <w:right w:val="single" w:sz="4" w:space="0" w:color="auto"/>
            </w:tcBorders>
            <w:shd w:val="clear" w:color="000000" w:fill="FFFFFF"/>
            <w:noWrap/>
            <w:vAlign w:val="bottom"/>
            <w:hideMark/>
          </w:tcPr>
          <w:p w:rsidR="00433B67" w:rsidRPr="00EE0425" w:rsidRDefault="00433B67" w:rsidP="006732CD">
            <w:pPr>
              <w:spacing w:after="0" w:line="240" w:lineRule="auto"/>
              <w:ind w:firstLineChars="100" w:firstLine="140"/>
              <w:rPr>
                <w:rFonts w:eastAsia="Times New Roman"/>
                <w:color w:val="000000"/>
                <w:sz w:val="14"/>
                <w:szCs w:val="14"/>
                <w:u w:val="single"/>
                <w:lang w:eastAsia="es-AR"/>
              </w:rPr>
            </w:pPr>
            <w:r w:rsidRPr="00EE0425">
              <w:rPr>
                <w:rFonts w:eastAsia="Times New Roman"/>
                <w:color w:val="000000"/>
                <w:sz w:val="14"/>
                <w:szCs w:val="14"/>
                <w:u w:val="single"/>
                <w:lang w:eastAsia="es-AR"/>
              </w:rPr>
              <w:t>Otros ingresos no laborales</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0,0150</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3,2</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0,0199</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4,5</w:t>
            </w:r>
          </w:p>
        </w:tc>
        <w:tc>
          <w:tcPr>
            <w:tcW w:w="738"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0,0111</w:t>
            </w:r>
          </w:p>
        </w:tc>
        <w:tc>
          <w:tcPr>
            <w:tcW w:w="557"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2,9</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0,0049</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-14,6</w:t>
            </w:r>
          </w:p>
        </w:tc>
        <w:tc>
          <w:tcPr>
            <w:tcW w:w="739" w:type="dxa"/>
            <w:tcBorders>
              <w:top w:val="nil"/>
              <w:left w:val="nil"/>
              <w:bottom w:val="nil"/>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-0,0088</w:t>
            </w:r>
          </w:p>
        </w:tc>
        <w:tc>
          <w:tcPr>
            <w:tcW w:w="556" w:type="dxa"/>
            <w:tcBorders>
              <w:top w:val="nil"/>
              <w:left w:val="nil"/>
              <w:bottom w:val="nil"/>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color w:val="000000"/>
                <w:sz w:val="14"/>
                <w:szCs w:val="14"/>
                <w:u w:val="single"/>
                <w:lang w:eastAsia="es-AR"/>
              </w:rPr>
            </w:pPr>
            <w:r w:rsidRPr="00EE0425">
              <w:rPr>
                <w:rFonts w:eastAsia="Times New Roman"/>
                <w:color w:val="000000"/>
                <w:sz w:val="14"/>
                <w:szCs w:val="14"/>
                <w:u w:val="single"/>
                <w:lang w:eastAsia="es-AR"/>
              </w:rPr>
              <w:t>15,6</w:t>
            </w:r>
          </w:p>
        </w:tc>
      </w:tr>
      <w:tr w:rsidR="00433B67" w:rsidRPr="00EE0425" w:rsidTr="006732CD">
        <w:trPr>
          <w:trHeight w:val="238"/>
          <w:jc w:val="center"/>
        </w:trPr>
        <w:tc>
          <w:tcPr>
            <w:tcW w:w="2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EE0425" w:rsidRDefault="00433B67" w:rsidP="006732CD">
            <w:pPr>
              <w:spacing w:after="0" w:line="240" w:lineRule="auto"/>
              <w:rPr>
                <w:rFonts w:eastAsia="Times New Roman"/>
                <w:b/>
                <w:bCs/>
                <w:color w:val="000000"/>
                <w:sz w:val="14"/>
                <w:szCs w:val="14"/>
                <w:lang w:eastAsia="es-AR"/>
              </w:rPr>
            </w:pPr>
            <w:r w:rsidRPr="00EE0425">
              <w:rPr>
                <w:rFonts w:eastAsia="Times New Roman"/>
                <w:b/>
                <w:bCs/>
                <w:color w:val="000000"/>
                <w:sz w:val="14"/>
                <w:szCs w:val="14"/>
                <w:lang w:eastAsia="es-AR"/>
              </w:rPr>
              <w:t>Coeficiente de Gini familiar</w:t>
            </w:r>
          </w:p>
        </w:tc>
        <w:tc>
          <w:tcPr>
            <w:tcW w:w="738"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0,4753</w:t>
            </w:r>
          </w:p>
        </w:tc>
        <w:tc>
          <w:tcPr>
            <w:tcW w:w="557"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100,0</w:t>
            </w:r>
          </w:p>
        </w:tc>
        <w:tc>
          <w:tcPr>
            <w:tcW w:w="738"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0,4416</w:t>
            </w:r>
          </w:p>
        </w:tc>
        <w:tc>
          <w:tcPr>
            <w:tcW w:w="557"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100,0</w:t>
            </w:r>
          </w:p>
        </w:tc>
        <w:tc>
          <w:tcPr>
            <w:tcW w:w="738"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0,3851</w:t>
            </w:r>
          </w:p>
        </w:tc>
        <w:tc>
          <w:tcPr>
            <w:tcW w:w="557"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100,0</w:t>
            </w:r>
          </w:p>
        </w:tc>
        <w:tc>
          <w:tcPr>
            <w:tcW w:w="739"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-0,0336</w:t>
            </w:r>
          </w:p>
        </w:tc>
        <w:tc>
          <w:tcPr>
            <w:tcW w:w="556"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100,0</w:t>
            </w:r>
          </w:p>
        </w:tc>
        <w:tc>
          <w:tcPr>
            <w:tcW w:w="739" w:type="dxa"/>
            <w:tcBorders>
              <w:top w:val="single" w:sz="4" w:space="0" w:color="auto"/>
              <w:left w:val="nil"/>
              <w:bottom w:val="single" w:sz="4" w:space="0" w:color="auto"/>
              <w:right w:val="nil"/>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-0,0566</w:t>
            </w:r>
          </w:p>
        </w:tc>
        <w:tc>
          <w:tcPr>
            <w:tcW w:w="556" w:type="dxa"/>
            <w:tcBorders>
              <w:top w:val="single" w:sz="4" w:space="0" w:color="auto"/>
              <w:left w:val="nil"/>
              <w:bottom w:val="single" w:sz="4" w:space="0" w:color="auto"/>
              <w:right w:val="single" w:sz="4" w:space="0" w:color="auto"/>
            </w:tcBorders>
            <w:shd w:val="clear" w:color="000000" w:fill="FFFFFF"/>
            <w:noWrap/>
            <w:vAlign w:val="center"/>
            <w:hideMark/>
          </w:tcPr>
          <w:p w:rsidR="00433B67" w:rsidRPr="00EE0425" w:rsidRDefault="00433B67" w:rsidP="006732CD">
            <w:pPr>
              <w:spacing w:after="0" w:line="240" w:lineRule="auto"/>
              <w:jc w:val="center"/>
              <w:rPr>
                <w:rFonts w:eastAsia="Times New Roman"/>
                <w:b/>
                <w:bCs/>
                <w:color w:val="000000"/>
                <w:sz w:val="14"/>
                <w:szCs w:val="14"/>
                <w:lang w:eastAsia="es-AR"/>
              </w:rPr>
            </w:pPr>
            <w:r w:rsidRPr="00EE0425">
              <w:rPr>
                <w:rFonts w:eastAsia="Times New Roman"/>
                <w:b/>
                <w:bCs/>
                <w:color w:val="000000"/>
                <w:sz w:val="14"/>
                <w:szCs w:val="14"/>
                <w:lang w:eastAsia="es-AR"/>
              </w:rPr>
              <w:t>100,0</w:t>
            </w:r>
          </w:p>
        </w:tc>
      </w:tr>
    </w:tbl>
    <w:p w:rsidR="00433B67" w:rsidRPr="00112979" w:rsidRDefault="00433B67" w:rsidP="00433B67">
      <w:pPr>
        <w:tabs>
          <w:tab w:val="left" w:pos="4069"/>
        </w:tabs>
        <w:spacing w:after="120" w:line="240" w:lineRule="auto"/>
        <w:jc w:val="both"/>
        <w:rPr>
          <w:rFonts w:eastAsia="Times New Roman"/>
          <w:sz w:val="18"/>
          <w:szCs w:val="16"/>
          <w:lang w:eastAsia="es-AR"/>
        </w:rPr>
      </w:pPr>
      <w:r w:rsidRPr="00112979">
        <w:rPr>
          <w:rFonts w:eastAsia="Times New Roman"/>
          <w:sz w:val="18"/>
          <w:szCs w:val="16"/>
          <w:lang w:eastAsia="es-AR"/>
        </w:rPr>
        <w:t>Fuente: Elaboración propia en base a microdatos de la EPH-INDEC para los períodos indicados. Disponibles en: &lt;www.indec.gov.ar&gt;</w:t>
      </w:r>
    </w:p>
    <w:p w:rsidR="00433B67" w:rsidRDefault="00433B67" w:rsidP="00433B67">
      <w:pPr>
        <w:spacing w:after="0" w:line="240" w:lineRule="auto"/>
        <w:jc w:val="both"/>
        <w:rPr>
          <w:rFonts w:eastAsia="Times New Roman"/>
          <w:bCs/>
          <w:color w:val="000000"/>
          <w:sz w:val="24"/>
          <w:szCs w:val="24"/>
          <w:lang w:val="es-ES" w:eastAsia="es-AR"/>
        </w:rPr>
      </w:pPr>
      <w:r>
        <w:rPr>
          <w:rFonts w:eastAsia="Times New Roman"/>
          <w:bCs/>
          <w:color w:val="000000"/>
          <w:sz w:val="24"/>
          <w:szCs w:val="24"/>
          <w:lang w:val="es-ES" w:eastAsia="es-AR"/>
        </w:rPr>
        <w:t>Entre 2003 y 2007, los ingresos laborales provenientes del sector formal privado contribuyeron a una reducción de la desigualdad principalmente porque redujeron su desigualdad interna y redujeron su correlación con la distribución general (</w:t>
      </w:r>
      <w:r w:rsidRPr="00CF23AC">
        <w:rPr>
          <w:rFonts w:eastAsia="Times New Roman"/>
          <w:bCs/>
          <w:color w:val="000000"/>
          <w:sz w:val="24"/>
          <w:szCs w:val="24"/>
          <w:highlight w:val="green"/>
          <w:lang w:val="es-ES" w:eastAsia="es-AR"/>
        </w:rPr>
        <w:t xml:space="preserve">Cuadro </w:t>
      </w:r>
      <w:r w:rsidR="00131568">
        <w:rPr>
          <w:rFonts w:eastAsia="Times New Roman"/>
          <w:bCs/>
          <w:color w:val="000000"/>
          <w:sz w:val="24"/>
          <w:szCs w:val="24"/>
          <w:highlight w:val="green"/>
          <w:lang w:val="es-ES" w:eastAsia="es-AR"/>
        </w:rPr>
        <w:t>16</w:t>
      </w:r>
      <w:r>
        <w:rPr>
          <w:rFonts w:eastAsia="Times New Roman"/>
          <w:bCs/>
          <w:color w:val="000000"/>
          <w:sz w:val="24"/>
          <w:szCs w:val="24"/>
          <w:lang w:val="es-ES" w:eastAsia="es-AR"/>
        </w:rPr>
        <w:t xml:space="preserve">). Es decir que, en estos años, se interrumpió un proceso prevaleciente, caracterizado por la expansión de la inequidad interna de ingresos en el sector más estructurado de la economía. En contraste, los ingresos del sector público contribuyeron a aumentar la desigualdad, por su mayor correlación con la distribución general y su mayor participación en el ingreso. </w:t>
      </w:r>
      <w:r w:rsidR="00D63B2B">
        <w:rPr>
          <w:rFonts w:eastAsia="Times New Roman"/>
          <w:bCs/>
          <w:color w:val="000000"/>
          <w:sz w:val="24"/>
          <w:szCs w:val="24"/>
          <w:lang w:val="es-ES" w:eastAsia="es-AR"/>
        </w:rPr>
        <w:t>L</w:t>
      </w:r>
      <w:r>
        <w:rPr>
          <w:rFonts w:eastAsia="Times New Roman"/>
          <w:bCs/>
          <w:color w:val="000000"/>
          <w:sz w:val="24"/>
          <w:szCs w:val="24"/>
          <w:lang w:val="es-ES" w:eastAsia="es-AR"/>
        </w:rPr>
        <w:t xml:space="preserve">os ingresos del sector micro-informal aportaron a la desigualdad centralmente porque incrementaron su correlación con la distribución general, lo que se </w:t>
      </w:r>
      <w:r w:rsidR="00D63B2B">
        <w:rPr>
          <w:rFonts w:eastAsia="Times New Roman"/>
          <w:bCs/>
          <w:color w:val="000000"/>
          <w:sz w:val="24"/>
          <w:szCs w:val="24"/>
          <w:lang w:val="es-ES" w:eastAsia="es-AR"/>
        </w:rPr>
        <w:t>debió</w:t>
      </w:r>
      <w:r>
        <w:rPr>
          <w:rFonts w:eastAsia="Times New Roman"/>
          <w:bCs/>
          <w:color w:val="000000"/>
          <w:sz w:val="24"/>
          <w:szCs w:val="24"/>
          <w:lang w:val="es-ES" w:eastAsia="es-AR"/>
        </w:rPr>
        <w:t xml:space="preserve"> a una recomposición de ingresos en este sector durante los años de salida de la crisis 2002-2003. </w:t>
      </w:r>
    </w:p>
    <w:p w:rsidR="00433B67" w:rsidRDefault="00433B67" w:rsidP="00433B67">
      <w:pPr>
        <w:spacing w:after="0" w:line="240" w:lineRule="auto"/>
        <w:jc w:val="both"/>
        <w:rPr>
          <w:rFonts w:eastAsia="Times New Roman"/>
          <w:bCs/>
          <w:color w:val="000000"/>
          <w:sz w:val="24"/>
          <w:szCs w:val="24"/>
          <w:lang w:val="es-ES" w:eastAsia="es-AR"/>
        </w:rPr>
      </w:pPr>
    </w:p>
    <w:p w:rsidR="00D63B2B" w:rsidRDefault="00433B67" w:rsidP="00433B67">
      <w:pPr>
        <w:spacing w:after="0" w:line="240" w:lineRule="auto"/>
        <w:jc w:val="both"/>
        <w:rPr>
          <w:rFonts w:asciiTheme="minorHAnsi" w:hAnsiTheme="minorHAnsi"/>
          <w:sz w:val="24"/>
          <w:szCs w:val="24"/>
        </w:rPr>
      </w:pPr>
      <w:r w:rsidRPr="00A463E4">
        <w:rPr>
          <w:rFonts w:asciiTheme="minorHAnsi" w:hAnsiTheme="minorHAnsi"/>
          <w:sz w:val="24"/>
          <w:szCs w:val="24"/>
        </w:rPr>
        <w:t xml:space="preserve">Por su parte, los ingresos de políticas sociales contribuyeron significativamente a la reducción de la desigualdad, pero este proceso no fue homogéneo </w:t>
      </w:r>
      <w:r w:rsidRPr="00A463E4">
        <w:rPr>
          <w:rFonts w:eastAsia="Times New Roman"/>
          <w:bCs/>
          <w:color w:val="000000"/>
          <w:sz w:val="24"/>
          <w:szCs w:val="24"/>
          <w:lang w:val="es-ES" w:eastAsia="es-AR"/>
        </w:rPr>
        <w:t>(</w:t>
      </w:r>
      <w:r w:rsidRPr="00A463E4">
        <w:rPr>
          <w:rFonts w:eastAsia="Times New Roman"/>
          <w:bCs/>
          <w:color w:val="000000"/>
          <w:sz w:val="24"/>
          <w:szCs w:val="24"/>
          <w:highlight w:val="green"/>
          <w:lang w:val="es-ES" w:eastAsia="es-AR"/>
        </w:rPr>
        <w:t xml:space="preserve">Cuadro </w:t>
      </w:r>
      <w:r w:rsidR="00891229">
        <w:rPr>
          <w:rFonts w:eastAsia="Times New Roman"/>
          <w:bCs/>
          <w:color w:val="000000"/>
          <w:sz w:val="24"/>
          <w:szCs w:val="24"/>
          <w:highlight w:val="green"/>
          <w:lang w:val="es-ES" w:eastAsia="es-AR"/>
        </w:rPr>
        <w:t>16</w:t>
      </w:r>
      <w:r w:rsidRPr="00A463E4">
        <w:rPr>
          <w:rFonts w:eastAsia="Times New Roman"/>
          <w:bCs/>
          <w:color w:val="000000"/>
          <w:sz w:val="24"/>
          <w:szCs w:val="24"/>
          <w:lang w:val="es-ES" w:eastAsia="es-AR"/>
        </w:rPr>
        <w:t>)</w:t>
      </w:r>
      <w:r w:rsidRPr="00A463E4">
        <w:rPr>
          <w:rFonts w:asciiTheme="minorHAnsi" w:hAnsiTheme="minorHAnsi"/>
          <w:sz w:val="24"/>
          <w:szCs w:val="24"/>
        </w:rPr>
        <w:t xml:space="preserve">. Los  </w:t>
      </w:r>
      <w:r w:rsidR="00D63B2B">
        <w:rPr>
          <w:rFonts w:asciiTheme="minorHAnsi" w:hAnsiTheme="minorHAnsi"/>
          <w:sz w:val="24"/>
          <w:szCs w:val="24"/>
        </w:rPr>
        <w:t>planes</w:t>
      </w:r>
      <w:r w:rsidRPr="00A463E4">
        <w:rPr>
          <w:rFonts w:asciiTheme="minorHAnsi" w:hAnsiTheme="minorHAnsi"/>
          <w:sz w:val="24"/>
          <w:szCs w:val="24"/>
        </w:rPr>
        <w:t xml:space="preserve"> de empleo</w:t>
      </w:r>
      <w:r w:rsidR="00D63B2B">
        <w:rPr>
          <w:rFonts w:asciiTheme="minorHAnsi" w:hAnsiTheme="minorHAnsi"/>
          <w:sz w:val="24"/>
          <w:szCs w:val="24"/>
        </w:rPr>
        <w:t xml:space="preserve"> y las transferencias de ingresos mantuvieron una contribución negativa al coeficiente de Gini (Cuadros AE6 y AE7) en 2003 y 2007, pero dicha contribución se redujo en el tiempo</w:t>
      </w:r>
      <w:r w:rsidR="0065650A">
        <w:rPr>
          <w:rFonts w:asciiTheme="minorHAnsi" w:hAnsiTheme="minorHAnsi"/>
          <w:sz w:val="24"/>
          <w:szCs w:val="24"/>
        </w:rPr>
        <w:t xml:space="preserve">. Esto implicó </w:t>
      </w:r>
      <w:r w:rsidR="00D63B2B">
        <w:rPr>
          <w:rFonts w:asciiTheme="minorHAnsi" w:hAnsiTheme="minorHAnsi"/>
          <w:sz w:val="24"/>
          <w:szCs w:val="24"/>
        </w:rPr>
        <w:t>–en términos de análisis dinámico– que no contribuyer</w:t>
      </w:r>
      <w:r w:rsidR="0065650A">
        <w:rPr>
          <w:rFonts w:asciiTheme="minorHAnsi" w:hAnsiTheme="minorHAnsi"/>
          <w:sz w:val="24"/>
          <w:szCs w:val="24"/>
        </w:rPr>
        <w:t>a</w:t>
      </w:r>
      <w:r w:rsidR="00D63B2B">
        <w:rPr>
          <w:rFonts w:asciiTheme="minorHAnsi" w:hAnsiTheme="minorHAnsi"/>
          <w:sz w:val="24"/>
          <w:szCs w:val="24"/>
        </w:rPr>
        <w:t>n positivamente a la reducción del coeficiente de Gini</w:t>
      </w:r>
      <w:r w:rsidR="007F2260" w:rsidRPr="00F87B46">
        <w:rPr>
          <w:rStyle w:val="Refdenotaalpie"/>
          <w:rFonts w:asciiTheme="minorHAnsi" w:eastAsia="Times New Roman" w:hAnsiTheme="minorHAnsi" w:cstheme="minorHAnsi"/>
          <w:sz w:val="24"/>
          <w:szCs w:val="24"/>
          <w:lang w:val="es-ES" w:eastAsia="es-AR"/>
        </w:rPr>
        <w:footnoteReference w:id="16"/>
      </w:r>
      <w:r w:rsidR="00D63B2B">
        <w:rPr>
          <w:rFonts w:asciiTheme="minorHAnsi" w:hAnsiTheme="minorHAnsi"/>
          <w:sz w:val="24"/>
          <w:szCs w:val="24"/>
        </w:rPr>
        <w:t xml:space="preserve">. </w:t>
      </w:r>
      <w:r w:rsidR="00D63B2B">
        <w:rPr>
          <w:rFonts w:asciiTheme="minorHAnsi" w:eastAsia="Times New Roman" w:hAnsiTheme="minorHAnsi" w:cstheme="minorHAnsi"/>
          <w:sz w:val="24"/>
          <w:szCs w:val="24"/>
          <w:lang w:val="es-ES" w:eastAsia="es-AR"/>
        </w:rPr>
        <w:t>Ello</w:t>
      </w:r>
      <w:r w:rsidR="00D63B2B" w:rsidRPr="00F87B46">
        <w:rPr>
          <w:rFonts w:asciiTheme="minorHAnsi" w:eastAsia="Times New Roman" w:hAnsiTheme="minorHAnsi" w:cstheme="minorHAnsi"/>
          <w:sz w:val="24"/>
          <w:szCs w:val="24"/>
          <w:lang w:val="es-ES" w:eastAsia="es-AR"/>
        </w:rPr>
        <w:t xml:space="preserve"> se debió a que</w:t>
      </w:r>
      <w:r w:rsidR="00D63B2B">
        <w:rPr>
          <w:rFonts w:asciiTheme="minorHAnsi" w:eastAsia="Times New Roman" w:hAnsiTheme="minorHAnsi" w:cstheme="minorHAnsi"/>
          <w:sz w:val="24"/>
          <w:szCs w:val="24"/>
          <w:lang w:val="es-ES" w:eastAsia="es-AR"/>
        </w:rPr>
        <w:t>, entre 2003 y 2007,</w:t>
      </w:r>
      <w:r w:rsidR="00D63B2B" w:rsidRPr="00F87B46">
        <w:rPr>
          <w:rFonts w:asciiTheme="minorHAnsi" w:eastAsia="Times New Roman" w:hAnsiTheme="minorHAnsi" w:cstheme="minorHAnsi"/>
          <w:sz w:val="24"/>
          <w:szCs w:val="24"/>
          <w:lang w:val="es-ES" w:eastAsia="es-AR"/>
        </w:rPr>
        <w:t xml:space="preserve"> los planes de empleo</w:t>
      </w:r>
      <w:r w:rsidR="007F2260" w:rsidRPr="00F87B46">
        <w:rPr>
          <w:rStyle w:val="Refdenotaalpie"/>
          <w:rFonts w:asciiTheme="minorHAnsi" w:eastAsia="Times New Roman" w:hAnsiTheme="minorHAnsi" w:cstheme="minorHAnsi"/>
          <w:sz w:val="24"/>
          <w:szCs w:val="24"/>
          <w:lang w:val="es-ES" w:eastAsia="es-AR"/>
        </w:rPr>
        <w:footnoteReference w:id="17"/>
      </w:r>
      <w:r w:rsidR="00D63B2B" w:rsidRPr="00F87B46">
        <w:rPr>
          <w:rFonts w:asciiTheme="minorHAnsi" w:eastAsia="Times New Roman" w:hAnsiTheme="minorHAnsi" w:cstheme="minorHAnsi"/>
          <w:sz w:val="24"/>
          <w:szCs w:val="24"/>
          <w:lang w:val="es-ES" w:eastAsia="es-AR"/>
        </w:rPr>
        <w:t xml:space="preserve"> </w:t>
      </w:r>
      <w:r w:rsidR="00D63B2B">
        <w:rPr>
          <w:rFonts w:asciiTheme="minorHAnsi" w:eastAsia="Times New Roman" w:hAnsiTheme="minorHAnsi" w:cstheme="minorHAnsi"/>
          <w:sz w:val="24"/>
          <w:szCs w:val="24"/>
          <w:lang w:val="es-ES" w:eastAsia="es-AR"/>
        </w:rPr>
        <w:t xml:space="preserve">y los programas de transferencias monetarias </w:t>
      </w:r>
      <w:r w:rsidR="0065650A">
        <w:rPr>
          <w:rFonts w:asciiTheme="minorHAnsi" w:eastAsia="Times New Roman" w:hAnsiTheme="minorHAnsi" w:cstheme="minorHAnsi"/>
          <w:sz w:val="24"/>
          <w:szCs w:val="24"/>
          <w:lang w:val="es-ES" w:eastAsia="es-AR"/>
        </w:rPr>
        <w:t xml:space="preserve">perdieron peso en el ingreso familiar y </w:t>
      </w:r>
      <w:r w:rsidR="00D63B2B" w:rsidRPr="00F87B46">
        <w:rPr>
          <w:rFonts w:asciiTheme="minorHAnsi" w:eastAsia="Times New Roman" w:hAnsiTheme="minorHAnsi" w:cstheme="minorHAnsi"/>
          <w:sz w:val="24"/>
          <w:szCs w:val="24"/>
          <w:lang w:val="es-ES" w:eastAsia="es-AR"/>
        </w:rPr>
        <w:t xml:space="preserve">se concentraron </w:t>
      </w:r>
      <w:r w:rsidR="00D63B2B" w:rsidRPr="00F87B46">
        <w:rPr>
          <w:rFonts w:asciiTheme="minorHAnsi" w:eastAsia="Times New Roman" w:hAnsiTheme="minorHAnsi" w:cstheme="minorHAnsi"/>
          <w:sz w:val="24"/>
          <w:szCs w:val="24"/>
          <w:lang w:val="es-ES" w:eastAsia="es-AR"/>
        </w:rPr>
        <w:lastRenderedPageBreak/>
        <w:t>menos en los más pobres</w:t>
      </w:r>
      <w:r w:rsidR="0065650A">
        <w:rPr>
          <w:rFonts w:asciiTheme="minorHAnsi" w:eastAsia="Times New Roman" w:hAnsiTheme="minorHAnsi" w:cstheme="minorHAnsi"/>
          <w:sz w:val="24"/>
          <w:szCs w:val="24"/>
          <w:lang w:val="es-ES" w:eastAsia="es-AR"/>
        </w:rPr>
        <w:t xml:space="preserve"> (perdieron focalización)</w:t>
      </w:r>
      <w:r w:rsidR="00D63B2B">
        <w:rPr>
          <w:rFonts w:asciiTheme="minorHAnsi" w:eastAsia="Times New Roman" w:hAnsiTheme="minorHAnsi" w:cstheme="minorHAnsi"/>
          <w:sz w:val="24"/>
          <w:szCs w:val="24"/>
          <w:lang w:val="es-ES" w:eastAsia="es-AR"/>
        </w:rPr>
        <w:t>, aumentando su correlación con la distribución general</w:t>
      </w:r>
      <w:r w:rsidR="00D63B2B" w:rsidRPr="00F87B46">
        <w:rPr>
          <w:rFonts w:asciiTheme="minorHAnsi" w:eastAsia="Times New Roman" w:hAnsiTheme="minorHAnsi" w:cstheme="minorHAnsi"/>
          <w:sz w:val="24"/>
          <w:szCs w:val="24"/>
          <w:lang w:val="es-ES" w:eastAsia="es-AR"/>
        </w:rPr>
        <w:t xml:space="preserve"> (Cuadros AE6 y AE</w:t>
      </w:r>
      <w:r w:rsidR="00D63B2B">
        <w:rPr>
          <w:rFonts w:asciiTheme="minorHAnsi" w:eastAsia="Times New Roman" w:hAnsiTheme="minorHAnsi" w:cstheme="minorHAnsi"/>
          <w:sz w:val="24"/>
          <w:szCs w:val="24"/>
          <w:lang w:val="es-ES" w:eastAsia="es-AR"/>
        </w:rPr>
        <w:t>7</w:t>
      </w:r>
      <w:r w:rsidR="00D63B2B" w:rsidRPr="00F87B46">
        <w:rPr>
          <w:rFonts w:asciiTheme="minorHAnsi" w:eastAsia="Times New Roman" w:hAnsiTheme="minorHAnsi" w:cstheme="minorHAnsi"/>
          <w:sz w:val="24"/>
          <w:szCs w:val="24"/>
          <w:lang w:val="es-ES" w:eastAsia="es-AR"/>
        </w:rPr>
        <w:t>)</w:t>
      </w:r>
      <w:r w:rsidR="0065650A">
        <w:rPr>
          <w:rFonts w:asciiTheme="minorHAnsi" w:eastAsia="Times New Roman" w:hAnsiTheme="minorHAnsi" w:cstheme="minorHAnsi"/>
          <w:sz w:val="24"/>
          <w:szCs w:val="24"/>
          <w:lang w:val="es-ES" w:eastAsia="es-AR"/>
        </w:rPr>
        <w:t>.</w:t>
      </w:r>
      <w:r w:rsidR="00D63B2B">
        <w:rPr>
          <w:rFonts w:asciiTheme="minorHAnsi" w:hAnsiTheme="minorHAnsi"/>
          <w:sz w:val="24"/>
          <w:szCs w:val="24"/>
        </w:rPr>
        <w:t xml:space="preserve"> </w:t>
      </w:r>
    </w:p>
    <w:p w:rsidR="00D63B2B" w:rsidRDefault="00D63B2B" w:rsidP="00433B67">
      <w:pPr>
        <w:spacing w:after="0" w:line="240" w:lineRule="auto"/>
        <w:jc w:val="both"/>
        <w:rPr>
          <w:rFonts w:asciiTheme="minorHAnsi" w:hAnsiTheme="minorHAnsi"/>
          <w:sz w:val="24"/>
          <w:szCs w:val="24"/>
        </w:rPr>
      </w:pPr>
    </w:p>
    <w:p w:rsidR="0065650A" w:rsidRPr="00A463E4" w:rsidRDefault="0065650A" w:rsidP="0065650A">
      <w:pPr>
        <w:spacing w:after="0" w:line="240" w:lineRule="auto"/>
        <w:jc w:val="both"/>
        <w:rPr>
          <w:rFonts w:asciiTheme="minorHAnsi" w:hAnsiTheme="minorHAnsi"/>
          <w:sz w:val="24"/>
          <w:szCs w:val="24"/>
        </w:rPr>
      </w:pPr>
      <w:r>
        <w:rPr>
          <w:rFonts w:asciiTheme="minorHAnsi" w:hAnsiTheme="minorHAnsi"/>
          <w:sz w:val="24"/>
          <w:szCs w:val="24"/>
        </w:rPr>
        <w:t>Los ingresos por</w:t>
      </w:r>
      <w:r w:rsidRPr="00A463E4">
        <w:rPr>
          <w:rFonts w:asciiTheme="minorHAnsi" w:hAnsiTheme="minorHAnsi"/>
          <w:sz w:val="24"/>
          <w:szCs w:val="24"/>
        </w:rPr>
        <w:t xml:space="preserve"> jubilaciones y pensiones contribuyeron a reducir la desigualdad de manera muy importante, y lo hicieron, principalmente, porque redujeron su correlación con la distribución general.</w:t>
      </w:r>
      <w:r>
        <w:rPr>
          <w:rFonts w:asciiTheme="minorHAnsi" w:hAnsiTheme="minorHAnsi"/>
          <w:sz w:val="24"/>
          <w:szCs w:val="24"/>
        </w:rPr>
        <w:t xml:space="preserve"> </w:t>
      </w:r>
      <w:r>
        <w:rPr>
          <w:rFonts w:eastAsia="Times New Roman"/>
          <w:sz w:val="24"/>
          <w:szCs w:val="24"/>
          <w:lang w:val="es-ES" w:eastAsia="es-AR"/>
        </w:rPr>
        <w:t>Esto estuvo asociado a que d</w:t>
      </w:r>
      <w:r w:rsidRPr="003F7057">
        <w:rPr>
          <w:rFonts w:eastAsia="Times New Roman"/>
          <w:sz w:val="24"/>
          <w:szCs w:val="24"/>
          <w:lang w:val="es-ES" w:eastAsia="es-AR"/>
        </w:rPr>
        <w:t>urante la fase de políticas heterodoxas</w:t>
      </w:r>
      <w:r>
        <w:rPr>
          <w:rFonts w:eastAsia="Times New Roman"/>
          <w:sz w:val="24"/>
          <w:szCs w:val="24"/>
          <w:lang w:val="es-ES" w:eastAsia="es-AR"/>
        </w:rPr>
        <w:t xml:space="preserve"> tuvo</w:t>
      </w:r>
      <w:r w:rsidRPr="003F7057">
        <w:rPr>
          <w:rFonts w:eastAsia="Times New Roman"/>
          <w:sz w:val="24"/>
          <w:szCs w:val="24"/>
          <w:lang w:val="es-ES" w:eastAsia="es-AR"/>
        </w:rPr>
        <w:t xml:space="preserve"> lugar </w:t>
      </w:r>
      <w:r>
        <w:rPr>
          <w:rFonts w:eastAsia="Times New Roman"/>
          <w:sz w:val="24"/>
          <w:szCs w:val="24"/>
          <w:lang w:val="es-ES" w:eastAsia="es-AR"/>
        </w:rPr>
        <w:t>–</w:t>
      </w:r>
      <w:r w:rsidRPr="003F7057">
        <w:rPr>
          <w:rFonts w:eastAsia="Times New Roman"/>
          <w:sz w:val="24"/>
          <w:szCs w:val="24"/>
          <w:lang w:val="es-ES" w:eastAsia="es-AR"/>
        </w:rPr>
        <w:t>siguiendo</w:t>
      </w:r>
      <w:r>
        <w:rPr>
          <w:rFonts w:eastAsia="Times New Roman"/>
          <w:sz w:val="24"/>
          <w:szCs w:val="24"/>
          <w:lang w:val="es-ES" w:eastAsia="es-AR"/>
        </w:rPr>
        <w:t xml:space="preserve"> </w:t>
      </w:r>
      <w:r w:rsidRPr="003F7057">
        <w:rPr>
          <w:rFonts w:eastAsia="Times New Roman"/>
          <w:sz w:val="24"/>
          <w:szCs w:val="24"/>
          <w:lang w:val="es-ES" w:eastAsia="es-AR"/>
        </w:rPr>
        <w:t xml:space="preserve">a </w:t>
      </w:r>
      <w:proofErr w:type="spellStart"/>
      <w:r w:rsidRPr="003F7057">
        <w:rPr>
          <w:rFonts w:eastAsia="Times New Roman"/>
          <w:sz w:val="24"/>
          <w:szCs w:val="24"/>
          <w:lang w:val="es-ES" w:eastAsia="es-AR"/>
        </w:rPr>
        <w:t>Danani</w:t>
      </w:r>
      <w:proofErr w:type="spellEnd"/>
      <w:r w:rsidRPr="003F7057">
        <w:rPr>
          <w:rFonts w:eastAsia="Times New Roman"/>
          <w:sz w:val="24"/>
          <w:szCs w:val="24"/>
          <w:lang w:val="es-ES" w:eastAsia="es-AR"/>
        </w:rPr>
        <w:t xml:space="preserve"> y </w:t>
      </w:r>
      <w:proofErr w:type="spellStart"/>
      <w:r w:rsidRPr="003F7057">
        <w:rPr>
          <w:rFonts w:eastAsia="Times New Roman"/>
          <w:sz w:val="24"/>
          <w:szCs w:val="24"/>
          <w:lang w:val="es-ES" w:eastAsia="es-AR"/>
        </w:rPr>
        <w:t>Beccaria</w:t>
      </w:r>
      <w:proofErr w:type="spellEnd"/>
      <w:r w:rsidRPr="003F7057">
        <w:rPr>
          <w:rFonts w:eastAsia="Times New Roman"/>
          <w:sz w:val="24"/>
          <w:szCs w:val="24"/>
          <w:lang w:val="es-ES" w:eastAsia="es-AR"/>
        </w:rPr>
        <w:t xml:space="preserve"> (201</w:t>
      </w:r>
      <w:r>
        <w:rPr>
          <w:rFonts w:eastAsia="Times New Roman"/>
          <w:sz w:val="24"/>
          <w:szCs w:val="24"/>
          <w:lang w:val="es-ES" w:eastAsia="es-AR"/>
        </w:rPr>
        <w:t>3</w:t>
      </w:r>
      <w:proofErr w:type="gramStart"/>
      <w:r w:rsidRPr="003F7057">
        <w:rPr>
          <w:rFonts w:eastAsia="Times New Roman"/>
          <w:sz w:val="24"/>
          <w:szCs w:val="24"/>
          <w:lang w:val="es-ES" w:eastAsia="es-AR"/>
        </w:rPr>
        <w:t>)</w:t>
      </w:r>
      <w:r>
        <w:rPr>
          <w:rFonts w:eastAsia="Times New Roman"/>
          <w:sz w:val="24"/>
          <w:szCs w:val="24"/>
          <w:lang w:val="es-ES" w:eastAsia="es-AR"/>
        </w:rPr>
        <w:t>–</w:t>
      </w:r>
      <w:proofErr w:type="gramEnd"/>
      <w:r w:rsidRPr="003F7057">
        <w:rPr>
          <w:rFonts w:eastAsia="Times New Roman"/>
          <w:sz w:val="24"/>
          <w:szCs w:val="24"/>
          <w:lang w:val="es-ES" w:eastAsia="es-AR"/>
        </w:rPr>
        <w:t xml:space="preserve"> un proceso de contra-reforma del sistema previsional</w:t>
      </w:r>
      <w:r>
        <w:rPr>
          <w:rFonts w:eastAsia="Times New Roman"/>
          <w:sz w:val="24"/>
          <w:szCs w:val="24"/>
          <w:lang w:val="es-ES" w:eastAsia="es-AR"/>
        </w:rPr>
        <w:t>, uno de cuyos hitos fue la “moratoria” previsional a partir de 2005</w:t>
      </w:r>
      <w:r w:rsidRPr="003F7057">
        <w:rPr>
          <w:rFonts w:eastAsia="Times New Roman"/>
          <w:sz w:val="24"/>
          <w:szCs w:val="24"/>
          <w:lang w:val="es-ES" w:eastAsia="es-AR"/>
        </w:rPr>
        <w:t>.</w:t>
      </w:r>
      <w:r>
        <w:rPr>
          <w:rFonts w:eastAsia="Times New Roman"/>
          <w:sz w:val="24"/>
          <w:szCs w:val="24"/>
          <w:lang w:val="es-ES" w:eastAsia="es-AR"/>
        </w:rPr>
        <w:t xml:space="preserve"> </w:t>
      </w:r>
      <w:r>
        <w:rPr>
          <w:rFonts w:asciiTheme="minorHAnsi" w:eastAsia="Times New Roman" w:hAnsiTheme="minorHAnsi" w:cstheme="minorHAnsi"/>
          <w:sz w:val="24"/>
          <w:szCs w:val="24"/>
          <w:lang w:val="es-ES" w:eastAsia="es-AR"/>
        </w:rPr>
        <w:t>Además,</w:t>
      </w:r>
      <w:r w:rsidRPr="00232B16">
        <w:rPr>
          <w:rFonts w:asciiTheme="minorHAnsi" w:eastAsia="Times New Roman" w:hAnsiTheme="minorHAnsi" w:cstheme="minorHAnsi"/>
          <w:sz w:val="24"/>
          <w:szCs w:val="24"/>
          <w:lang w:val="es-ES" w:eastAsia="es-AR"/>
        </w:rPr>
        <w:t xml:space="preserve"> </w:t>
      </w:r>
      <w:r>
        <w:rPr>
          <w:rFonts w:asciiTheme="minorHAnsi" w:eastAsia="Times New Roman" w:hAnsiTheme="minorHAnsi" w:cstheme="minorHAnsi"/>
          <w:sz w:val="24"/>
          <w:szCs w:val="24"/>
          <w:lang w:val="es-ES" w:eastAsia="es-AR"/>
        </w:rPr>
        <w:t>tuvo lugar un</w:t>
      </w:r>
      <w:r w:rsidRPr="00232B16">
        <w:rPr>
          <w:rFonts w:asciiTheme="minorHAnsi" w:eastAsia="Times New Roman" w:hAnsiTheme="minorHAnsi" w:cstheme="minorHAnsi"/>
          <w:sz w:val="24"/>
          <w:szCs w:val="24"/>
          <w:lang w:val="es-ES" w:eastAsia="es-AR"/>
        </w:rPr>
        <w:t xml:space="preserve"> </w:t>
      </w:r>
      <w:r>
        <w:rPr>
          <w:rFonts w:asciiTheme="minorHAnsi" w:eastAsia="Times New Roman" w:hAnsiTheme="minorHAnsi" w:cstheme="minorHAnsi"/>
          <w:sz w:val="24"/>
          <w:szCs w:val="24"/>
          <w:lang w:val="es-ES" w:eastAsia="es-AR"/>
        </w:rPr>
        <w:t xml:space="preserve">mayor </w:t>
      </w:r>
      <w:r w:rsidRPr="00232B16">
        <w:rPr>
          <w:rFonts w:asciiTheme="minorHAnsi" w:eastAsia="Times New Roman" w:hAnsiTheme="minorHAnsi" w:cstheme="minorHAnsi"/>
          <w:sz w:val="24"/>
          <w:szCs w:val="24"/>
          <w:lang w:val="es-ES" w:eastAsia="es-AR"/>
        </w:rPr>
        <w:t xml:space="preserve">aumento relativo de </w:t>
      </w:r>
      <w:r>
        <w:rPr>
          <w:rFonts w:asciiTheme="minorHAnsi" w:eastAsia="Times New Roman" w:hAnsiTheme="minorHAnsi" w:cstheme="minorHAnsi"/>
          <w:sz w:val="24"/>
          <w:szCs w:val="24"/>
          <w:lang w:val="es-ES" w:eastAsia="es-AR"/>
        </w:rPr>
        <w:t xml:space="preserve">las </w:t>
      </w:r>
      <w:r w:rsidRPr="00232B16">
        <w:rPr>
          <w:rFonts w:asciiTheme="minorHAnsi" w:eastAsia="Times New Roman" w:hAnsiTheme="minorHAnsi" w:cstheme="minorHAnsi"/>
          <w:sz w:val="24"/>
          <w:szCs w:val="24"/>
          <w:lang w:val="es-ES" w:eastAsia="es-AR"/>
        </w:rPr>
        <w:t>prestaciones mínimas</w:t>
      </w:r>
      <w:r>
        <w:rPr>
          <w:rFonts w:asciiTheme="minorHAnsi" w:eastAsia="Times New Roman" w:hAnsiTheme="minorHAnsi" w:cstheme="minorHAnsi"/>
          <w:sz w:val="24"/>
          <w:szCs w:val="24"/>
          <w:lang w:val="es-ES" w:eastAsia="es-AR"/>
        </w:rPr>
        <w:t xml:space="preserve">, lo que produjo </w:t>
      </w:r>
      <w:r w:rsidRPr="00232B16">
        <w:rPr>
          <w:rFonts w:asciiTheme="minorHAnsi" w:eastAsia="Times New Roman" w:hAnsiTheme="minorHAnsi" w:cstheme="minorHAnsi"/>
          <w:sz w:val="24"/>
          <w:szCs w:val="24"/>
          <w:lang w:val="es-ES" w:eastAsia="es-AR"/>
        </w:rPr>
        <w:t>la reducción de la distancia entre éstas y las jubilaciones de mayor ingreso (</w:t>
      </w:r>
      <w:proofErr w:type="spellStart"/>
      <w:r w:rsidRPr="00232B16">
        <w:rPr>
          <w:rFonts w:asciiTheme="minorHAnsi" w:eastAsia="Times New Roman" w:hAnsiTheme="minorHAnsi" w:cstheme="minorHAnsi"/>
          <w:sz w:val="24"/>
          <w:szCs w:val="24"/>
          <w:lang w:val="es-ES" w:eastAsia="es-AR"/>
        </w:rPr>
        <w:t>Bertranou</w:t>
      </w:r>
      <w:proofErr w:type="spellEnd"/>
      <w:r w:rsidRPr="00232B16">
        <w:rPr>
          <w:rFonts w:asciiTheme="minorHAnsi" w:eastAsia="Times New Roman" w:hAnsiTheme="minorHAnsi" w:cstheme="minorHAnsi"/>
          <w:sz w:val="24"/>
          <w:szCs w:val="24"/>
          <w:lang w:val="es-ES" w:eastAsia="es-AR"/>
        </w:rPr>
        <w:t xml:space="preserve"> et al., 2012)</w:t>
      </w:r>
      <w:r>
        <w:rPr>
          <w:rFonts w:asciiTheme="minorHAnsi" w:eastAsia="Times New Roman" w:hAnsiTheme="minorHAnsi" w:cstheme="minorHAnsi"/>
          <w:sz w:val="24"/>
          <w:szCs w:val="24"/>
          <w:lang w:val="es-ES" w:eastAsia="es-AR"/>
        </w:rPr>
        <w:t>.</w:t>
      </w:r>
      <w:r w:rsidRPr="003F7057">
        <w:rPr>
          <w:rFonts w:eastAsia="Times New Roman"/>
          <w:sz w:val="24"/>
          <w:szCs w:val="24"/>
          <w:lang w:val="es-ES" w:eastAsia="es-AR"/>
        </w:rPr>
        <w:t xml:space="preserve"> </w:t>
      </w:r>
      <w:r w:rsidRPr="00A463E4">
        <w:rPr>
          <w:rFonts w:asciiTheme="minorHAnsi" w:hAnsiTheme="minorHAnsi"/>
          <w:sz w:val="24"/>
          <w:szCs w:val="24"/>
        </w:rPr>
        <w:t>El resto de los ingresos no laborales contribuyó a aumentar la desigualdad, tanto por una correlación más alta con la distribución general como por una mayor participación en el ingreso familiar.</w:t>
      </w:r>
    </w:p>
    <w:p w:rsidR="00D63B2B" w:rsidRDefault="00D63B2B" w:rsidP="00433B67">
      <w:pPr>
        <w:spacing w:after="0" w:line="240" w:lineRule="auto"/>
        <w:jc w:val="both"/>
        <w:rPr>
          <w:rFonts w:asciiTheme="minorHAnsi" w:hAnsiTheme="minorHAnsi"/>
          <w:sz w:val="24"/>
          <w:szCs w:val="24"/>
        </w:rPr>
      </w:pPr>
    </w:p>
    <w:p w:rsidR="00433B67" w:rsidRPr="00961376" w:rsidRDefault="00433B67" w:rsidP="00433B67">
      <w:pPr>
        <w:spacing w:after="0" w:line="240" w:lineRule="auto"/>
        <w:jc w:val="both"/>
        <w:rPr>
          <w:rFonts w:eastAsia="Times New Roman"/>
          <w:b/>
          <w:bCs/>
          <w:color w:val="000000"/>
          <w:sz w:val="24"/>
          <w:lang w:eastAsia="es-AR"/>
        </w:rPr>
      </w:pPr>
      <w:r w:rsidRPr="00961376">
        <w:rPr>
          <w:rFonts w:eastAsia="Times New Roman"/>
          <w:b/>
          <w:bCs/>
          <w:color w:val="000000"/>
          <w:sz w:val="24"/>
          <w:lang w:eastAsia="es-AR"/>
        </w:rPr>
        <w:t>Cuadro 1</w:t>
      </w:r>
      <w:r w:rsidR="00177113">
        <w:rPr>
          <w:rFonts w:eastAsia="Times New Roman"/>
          <w:b/>
          <w:bCs/>
          <w:color w:val="000000"/>
          <w:sz w:val="24"/>
          <w:lang w:eastAsia="es-AR"/>
        </w:rPr>
        <w:t>6</w:t>
      </w:r>
      <w:r w:rsidRPr="00961376">
        <w:rPr>
          <w:rFonts w:eastAsia="Times New Roman"/>
          <w:b/>
          <w:bCs/>
          <w:color w:val="000000"/>
          <w:sz w:val="24"/>
          <w:lang w:eastAsia="es-AR"/>
        </w:rPr>
        <w:t xml:space="preserve">. Descomposición del cambio absoluto del coeficiente de Gini familiar según fuente de ingresos. Área Gran Buenos Aires, </w:t>
      </w:r>
      <w:r>
        <w:rPr>
          <w:rFonts w:eastAsia="Times New Roman"/>
          <w:b/>
          <w:bCs/>
          <w:color w:val="000000"/>
          <w:sz w:val="24"/>
          <w:lang w:eastAsia="es-AR"/>
        </w:rPr>
        <w:t>2007-2003</w:t>
      </w:r>
      <w:r w:rsidRPr="00961376">
        <w:rPr>
          <w:rFonts w:eastAsia="Times New Roman"/>
          <w:b/>
          <w:bCs/>
          <w:color w:val="000000"/>
          <w:sz w:val="24"/>
          <w:lang w:eastAsia="es-AR"/>
        </w:rPr>
        <w:t xml:space="preserve">. </w:t>
      </w:r>
    </w:p>
    <w:p w:rsidR="00433B67" w:rsidRDefault="00433B67" w:rsidP="00433B67">
      <w:pPr>
        <w:spacing w:after="0" w:line="240" w:lineRule="auto"/>
        <w:jc w:val="both"/>
        <w:rPr>
          <w:rFonts w:eastAsia="Times New Roman"/>
          <w:bCs/>
          <w:i/>
          <w:color w:val="000000"/>
          <w:sz w:val="20"/>
          <w:szCs w:val="20"/>
          <w:lang w:eastAsia="es-AR"/>
        </w:rPr>
      </w:pPr>
      <w:r w:rsidRPr="003F7057">
        <w:rPr>
          <w:rFonts w:eastAsia="Times New Roman"/>
          <w:bCs/>
          <w:i/>
          <w:color w:val="000000"/>
          <w:sz w:val="20"/>
          <w:szCs w:val="20"/>
          <w:lang w:eastAsia="es-AR"/>
        </w:rPr>
        <w:t>Variación interanual en valores absolutos/puntos del coeficiente de Gini</w:t>
      </w:r>
    </w:p>
    <w:tbl>
      <w:tblPr>
        <w:tblW w:w="8534" w:type="dxa"/>
        <w:jc w:val="center"/>
        <w:tblInd w:w="432" w:type="dxa"/>
        <w:tblCellMar>
          <w:left w:w="70" w:type="dxa"/>
          <w:right w:w="70" w:type="dxa"/>
        </w:tblCellMar>
        <w:tblLook w:val="04A0" w:firstRow="1" w:lastRow="0" w:firstColumn="1" w:lastColumn="0" w:noHBand="0" w:noVBand="1"/>
      </w:tblPr>
      <w:tblGrid>
        <w:gridCol w:w="2182"/>
        <w:gridCol w:w="794"/>
        <w:gridCol w:w="794"/>
        <w:gridCol w:w="794"/>
        <w:gridCol w:w="794"/>
        <w:gridCol w:w="794"/>
        <w:gridCol w:w="794"/>
        <w:gridCol w:w="794"/>
        <w:gridCol w:w="794"/>
      </w:tblGrid>
      <w:tr w:rsidR="00433B67" w:rsidRPr="001D57CE" w:rsidTr="006732CD">
        <w:trPr>
          <w:trHeight w:val="248"/>
          <w:jc w:val="center"/>
        </w:trPr>
        <w:tc>
          <w:tcPr>
            <w:tcW w:w="2182" w:type="dxa"/>
            <w:tcBorders>
              <w:top w:val="single" w:sz="4" w:space="0" w:color="auto"/>
              <w:left w:val="single" w:sz="4" w:space="0" w:color="auto"/>
              <w:bottom w:val="single" w:sz="4" w:space="0" w:color="auto"/>
              <w:right w:val="nil"/>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Var. Gini</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r*s*g</w:t>
            </w:r>
          </w:p>
        </w:tc>
      </w:tr>
      <w:tr w:rsidR="00433B67" w:rsidRPr="001D57CE" w:rsidTr="006732CD">
        <w:trPr>
          <w:trHeight w:val="248"/>
          <w:jc w:val="center"/>
        </w:trPr>
        <w:tc>
          <w:tcPr>
            <w:tcW w:w="2182"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laborales</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-0,0207</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0,0033</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0,0073</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-0,0306</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0,0001</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-0,0002</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-0,0005</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formal público y privado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-0,0273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-0,0093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0,0077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-0,0256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formal privado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-0,0353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-0,0194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-0,0166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público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0,0080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0,0079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micro/informal</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0,0066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0,0055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no laborales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-0,0129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-0,0112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-0,0026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 xml:space="preserve">Políticas sociales y </w:t>
            </w:r>
            <w:proofErr w:type="spellStart"/>
            <w:r w:rsidRPr="001D57CE">
              <w:rPr>
                <w:rFonts w:eastAsia="Times New Roman" w:cs="Calibri"/>
                <w:color w:val="000000"/>
                <w:sz w:val="16"/>
                <w:szCs w:val="17"/>
                <w:u w:val="single"/>
                <w:lang w:eastAsia="es-AR"/>
              </w:rPr>
              <w:t>sist</w:t>
            </w:r>
            <w:proofErr w:type="spellEnd"/>
            <w:r w:rsidRPr="001D57CE">
              <w:rPr>
                <w:rFonts w:eastAsia="Times New Roman" w:cs="Calibri"/>
                <w:color w:val="000000"/>
                <w:sz w:val="16"/>
                <w:szCs w:val="17"/>
                <w:u w:val="single"/>
                <w:lang w:eastAsia="es-AR"/>
              </w:rPr>
              <w:t>. jubilatorio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-0,0178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-0,0178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-0,0028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0,0028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Planes de empleo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0,0036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0,0023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0,0032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proofErr w:type="spellStart"/>
            <w:r w:rsidRPr="001D57CE">
              <w:rPr>
                <w:rFonts w:eastAsia="Times New Roman" w:cs="Calibri"/>
                <w:i/>
                <w:iCs/>
                <w:color w:val="000000"/>
                <w:sz w:val="16"/>
                <w:szCs w:val="17"/>
                <w:lang w:eastAsia="es-AR"/>
              </w:rPr>
              <w:t>Progr.transf</w:t>
            </w:r>
            <w:proofErr w:type="spellEnd"/>
            <w:r w:rsidRPr="001D57CE">
              <w:rPr>
                <w:rFonts w:eastAsia="Times New Roman" w:cs="Calibri"/>
                <w:i/>
                <w:iCs/>
                <w:color w:val="000000"/>
                <w:sz w:val="16"/>
                <w:szCs w:val="17"/>
                <w:lang w:eastAsia="es-AR"/>
              </w:rPr>
              <w:t xml:space="preserve"> de ingresos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Jubilaciones y pensiones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-0,0218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-0,0217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-0,0021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0,0020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Otros no laborales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0,0049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0,0010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0,0037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single" w:sz="4" w:space="0" w:color="auto"/>
              <w:right w:val="nil"/>
            </w:tcBorders>
            <w:shd w:val="clear" w:color="000000" w:fill="FFFFFF"/>
            <w:noWrap/>
            <w:vAlign w:val="bottom"/>
            <w:hideMark/>
          </w:tcPr>
          <w:p w:rsidR="00433B67" w:rsidRPr="001D57CE" w:rsidRDefault="00433B67" w:rsidP="006732CD">
            <w:pPr>
              <w:spacing w:after="0" w:line="240" w:lineRule="auto"/>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single" w:sz="4" w:space="0" w:color="auto"/>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-0,0336</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r>
    </w:tbl>
    <w:p w:rsidR="00433B67" w:rsidRPr="00A1789D" w:rsidRDefault="00433B67" w:rsidP="00433B67">
      <w:pPr>
        <w:spacing w:after="0" w:line="240" w:lineRule="auto"/>
        <w:jc w:val="both"/>
        <w:rPr>
          <w:rFonts w:eastAsia="Times New Roman"/>
          <w:sz w:val="18"/>
          <w:szCs w:val="16"/>
          <w:lang w:eastAsia="es-AR"/>
        </w:rPr>
      </w:pPr>
      <w:r w:rsidRPr="00A1789D">
        <w:rPr>
          <w:rFonts w:eastAsia="Times New Roman"/>
          <w:sz w:val="18"/>
          <w:szCs w:val="16"/>
          <w:lang w:eastAsia="es-AR"/>
        </w:rPr>
        <w:t>Fuente: Elaboración propia en base a microdatos de la EPH-INDEC para los períodos indicados. Disponibles en: &lt;www.indec.gov.ar&gt;</w:t>
      </w:r>
    </w:p>
    <w:p w:rsidR="00433B67" w:rsidRDefault="00433B67" w:rsidP="00433B67">
      <w:pPr>
        <w:spacing w:after="0" w:line="240" w:lineRule="auto"/>
        <w:jc w:val="both"/>
        <w:rPr>
          <w:rFonts w:eastAsia="Times New Roman"/>
          <w:b/>
          <w:bCs/>
          <w:color w:val="000000"/>
          <w:lang w:eastAsia="es-AR"/>
        </w:rPr>
      </w:pPr>
    </w:p>
    <w:p w:rsidR="00433B67" w:rsidRPr="00F87B46" w:rsidRDefault="00433B67" w:rsidP="00433B67">
      <w:pPr>
        <w:spacing w:line="240" w:lineRule="auto"/>
        <w:jc w:val="both"/>
        <w:rPr>
          <w:rFonts w:asciiTheme="minorHAnsi" w:hAnsiTheme="minorHAnsi"/>
          <w:sz w:val="24"/>
          <w:szCs w:val="24"/>
        </w:rPr>
      </w:pPr>
      <w:r w:rsidRPr="00F87B46">
        <w:rPr>
          <w:rFonts w:asciiTheme="minorHAnsi" w:hAnsiTheme="minorHAnsi"/>
          <w:sz w:val="24"/>
          <w:szCs w:val="24"/>
        </w:rPr>
        <w:t>Entre 2007 y 2014, se redujo el aporte absoluto de los ingresos laborales a la desigualdad, en tanto que se incrementó la contribución de los ingresos no laborales (</w:t>
      </w:r>
      <w:r w:rsidRPr="006312FE">
        <w:rPr>
          <w:rFonts w:asciiTheme="minorHAnsi" w:hAnsiTheme="minorHAnsi"/>
          <w:sz w:val="24"/>
          <w:szCs w:val="24"/>
          <w:highlight w:val="yellow"/>
        </w:rPr>
        <w:t xml:space="preserve">Cuadro </w:t>
      </w:r>
      <w:r w:rsidR="005F65CF">
        <w:rPr>
          <w:rFonts w:asciiTheme="minorHAnsi" w:hAnsiTheme="minorHAnsi"/>
          <w:sz w:val="24"/>
          <w:szCs w:val="24"/>
          <w:highlight w:val="yellow"/>
        </w:rPr>
        <w:t>15</w:t>
      </w:r>
      <w:r w:rsidRPr="00F87B46">
        <w:rPr>
          <w:rFonts w:asciiTheme="minorHAnsi" w:hAnsiTheme="minorHAnsi"/>
          <w:sz w:val="24"/>
          <w:szCs w:val="24"/>
        </w:rPr>
        <w:t xml:space="preserve">). En términos relativos, cayó la contribución de los ingresos laborales al Gini y se incrementó –de manera consecuente– la contribución de los no laborales. La leve reducción del aporte relativo de las fuentes laborales obedeció a una reducción de la contribución de los ingresos provenientes del sector formal (55,8% a 53%) y del sector informal (20,6% a 16,3%), en tanto que los del sector público incrementaron su contribución (19,1% a 25,2%). La mayor contribución de los ingresos no laborales, en tanto, se debió a una mayor participación de los ingresos por jubilaciones y pensiones 0,2% a 3,1%). </w:t>
      </w:r>
    </w:p>
    <w:p w:rsidR="00433B67" w:rsidRPr="00F87B46" w:rsidRDefault="00433B67" w:rsidP="00433B67">
      <w:pPr>
        <w:spacing w:line="240" w:lineRule="auto"/>
        <w:jc w:val="both"/>
        <w:rPr>
          <w:rFonts w:eastAsia="Times New Roman"/>
          <w:sz w:val="24"/>
          <w:szCs w:val="24"/>
          <w:lang w:eastAsia="es-AR"/>
        </w:rPr>
      </w:pPr>
      <w:r w:rsidRPr="00F87B46">
        <w:rPr>
          <w:rFonts w:asciiTheme="minorHAnsi" w:hAnsiTheme="minorHAnsi"/>
          <w:sz w:val="24"/>
          <w:szCs w:val="24"/>
        </w:rPr>
        <w:t xml:space="preserve">Una consecuencia de estos cambios relativos en la contribución de cada fuente de ingreso al coeficiente de Gini fue el efecto que tuvieron sobre el cambio de la desigualdad. En la reducción de 0,0566 puntos del coeficiente de Gini entre 2007 y 2014, los ingresos provenientes del sector formal privado nuevamente tuvieron un papel significativo (explicaron 75% de la caída del coeficiente), en tanto que ahora </w:t>
      </w:r>
      <w:r w:rsidRPr="00F87B46">
        <w:rPr>
          <w:rFonts w:asciiTheme="minorHAnsi" w:hAnsiTheme="minorHAnsi"/>
          <w:sz w:val="24"/>
          <w:szCs w:val="24"/>
        </w:rPr>
        <w:lastRenderedPageBreak/>
        <w:t>también los ingresos del sector micro-informal aportaron a una menor desigualdad (50%)</w:t>
      </w:r>
      <w:r w:rsidR="0065650A">
        <w:rPr>
          <w:rFonts w:asciiTheme="minorHAnsi" w:hAnsiTheme="minorHAnsi"/>
          <w:sz w:val="24"/>
          <w:szCs w:val="24"/>
        </w:rPr>
        <w:t>. L</w:t>
      </w:r>
      <w:r w:rsidRPr="00F87B46">
        <w:rPr>
          <w:rFonts w:asciiTheme="minorHAnsi" w:hAnsiTheme="minorHAnsi"/>
          <w:sz w:val="24"/>
          <w:szCs w:val="24"/>
        </w:rPr>
        <w:t>os ingresos del sector público mantuvieron su comportamiento pro-inequidad (</w:t>
      </w:r>
      <w:r w:rsidRPr="005F65CF">
        <w:rPr>
          <w:rFonts w:asciiTheme="minorHAnsi" w:hAnsiTheme="minorHAnsi"/>
          <w:sz w:val="24"/>
          <w:szCs w:val="24"/>
          <w:highlight w:val="yellow"/>
        </w:rPr>
        <w:t xml:space="preserve">Cuadro </w:t>
      </w:r>
      <w:r w:rsidR="005F65CF">
        <w:rPr>
          <w:rFonts w:asciiTheme="minorHAnsi" w:hAnsiTheme="minorHAnsi"/>
          <w:sz w:val="24"/>
          <w:szCs w:val="24"/>
          <w:highlight w:val="yellow"/>
        </w:rPr>
        <w:t>15</w:t>
      </w:r>
      <w:r w:rsidRPr="00F87B46">
        <w:rPr>
          <w:rFonts w:asciiTheme="minorHAnsi" w:hAnsiTheme="minorHAnsi"/>
          <w:sz w:val="24"/>
          <w:szCs w:val="24"/>
        </w:rPr>
        <w:t xml:space="preserve">). En contraste, los ingresos del sistema de jubilaciones y pensiones pasaron a tener, entre 2007 y 2014, un papel negativo en términos de la desigualdad (19,8%), y los ingresos por transferencias monetarias tuvieron un papel positivo, aunque de escasa magnitud, en la reducción del coeficiente de Gini. </w:t>
      </w:r>
    </w:p>
    <w:p w:rsidR="00433B67" w:rsidRPr="00F87B46" w:rsidRDefault="0065650A" w:rsidP="00433B67">
      <w:pPr>
        <w:spacing w:line="240" w:lineRule="auto"/>
        <w:jc w:val="both"/>
        <w:rPr>
          <w:rFonts w:eastAsia="Times New Roman"/>
          <w:b/>
          <w:bCs/>
          <w:lang w:eastAsia="es-AR"/>
        </w:rPr>
      </w:pPr>
      <w:r>
        <w:rPr>
          <w:rFonts w:asciiTheme="minorHAnsi" w:hAnsiTheme="minorHAnsi"/>
          <w:sz w:val="24"/>
          <w:szCs w:val="24"/>
        </w:rPr>
        <w:t>Entre 2007 y 2014, l</w:t>
      </w:r>
      <w:r w:rsidR="00433B67" w:rsidRPr="00F87B46">
        <w:rPr>
          <w:rFonts w:asciiTheme="minorHAnsi" w:hAnsiTheme="minorHAnsi"/>
          <w:sz w:val="24"/>
          <w:szCs w:val="24"/>
        </w:rPr>
        <w:t>os ingresos del sector formal</w:t>
      </w:r>
      <w:r>
        <w:rPr>
          <w:rFonts w:asciiTheme="minorHAnsi" w:hAnsiTheme="minorHAnsi"/>
          <w:sz w:val="24"/>
          <w:szCs w:val="24"/>
        </w:rPr>
        <w:t xml:space="preserve"> privado</w:t>
      </w:r>
      <w:r w:rsidR="00433B67" w:rsidRPr="00F87B46">
        <w:rPr>
          <w:rFonts w:asciiTheme="minorHAnsi" w:hAnsiTheme="minorHAnsi"/>
          <w:sz w:val="24"/>
          <w:szCs w:val="24"/>
        </w:rPr>
        <w:t xml:space="preserve"> aportaron a la reducción de la desigualdad por </w:t>
      </w:r>
      <w:r>
        <w:rPr>
          <w:rFonts w:asciiTheme="minorHAnsi" w:hAnsiTheme="minorHAnsi"/>
          <w:sz w:val="24"/>
          <w:szCs w:val="24"/>
        </w:rPr>
        <w:t xml:space="preserve">una </w:t>
      </w:r>
      <w:r w:rsidR="00433B67" w:rsidRPr="00F87B46">
        <w:rPr>
          <w:rFonts w:asciiTheme="minorHAnsi" w:hAnsiTheme="minorHAnsi"/>
          <w:sz w:val="24"/>
          <w:szCs w:val="24"/>
        </w:rPr>
        <w:t xml:space="preserve">menor correlación con la distribución general y </w:t>
      </w:r>
      <w:r>
        <w:rPr>
          <w:rFonts w:asciiTheme="minorHAnsi" w:hAnsiTheme="minorHAnsi"/>
          <w:sz w:val="24"/>
          <w:szCs w:val="24"/>
        </w:rPr>
        <w:t xml:space="preserve">una </w:t>
      </w:r>
      <w:r w:rsidR="00433B67" w:rsidRPr="00F87B46">
        <w:rPr>
          <w:rFonts w:asciiTheme="minorHAnsi" w:hAnsiTheme="minorHAnsi"/>
          <w:sz w:val="24"/>
          <w:szCs w:val="24"/>
        </w:rPr>
        <w:t>menor inequidad interna, lo que significa que la reducción de las “primas” por califi</w:t>
      </w:r>
      <w:r>
        <w:rPr>
          <w:rFonts w:asciiTheme="minorHAnsi" w:hAnsiTheme="minorHAnsi"/>
          <w:sz w:val="24"/>
          <w:szCs w:val="24"/>
        </w:rPr>
        <w:t>cación se mantuvo en esta etapa y que aumentaron relativamente más los ingresos de</w:t>
      </w:r>
      <w:r w:rsidR="00433B67" w:rsidRPr="00F87B46">
        <w:rPr>
          <w:rFonts w:asciiTheme="minorHAnsi" w:hAnsiTheme="minorHAnsi"/>
          <w:sz w:val="24"/>
          <w:szCs w:val="24"/>
        </w:rPr>
        <w:t xml:space="preserve"> los estratos más bajos de la distribución (</w:t>
      </w:r>
      <w:proofErr w:type="spellStart"/>
      <w:r w:rsidR="00433B67" w:rsidRPr="00F87B46">
        <w:rPr>
          <w:rFonts w:asciiTheme="minorHAnsi" w:hAnsiTheme="minorHAnsi"/>
          <w:sz w:val="24"/>
          <w:szCs w:val="24"/>
        </w:rPr>
        <w:t>Beccaria</w:t>
      </w:r>
      <w:proofErr w:type="spellEnd"/>
      <w:r w:rsidR="00433B67" w:rsidRPr="00F87B46">
        <w:rPr>
          <w:rFonts w:asciiTheme="minorHAnsi" w:hAnsiTheme="minorHAnsi"/>
          <w:sz w:val="24"/>
          <w:szCs w:val="24"/>
        </w:rPr>
        <w:t xml:space="preserve"> y </w:t>
      </w:r>
      <w:proofErr w:type="spellStart"/>
      <w:r w:rsidR="00433B67" w:rsidRPr="00F87B46">
        <w:rPr>
          <w:rFonts w:asciiTheme="minorHAnsi" w:hAnsiTheme="minorHAnsi"/>
          <w:sz w:val="24"/>
          <w:szCs w:val="24"/>
        </w:rPr>
        <w:t>Maurizio</w:t>
      </w:r>
      <w:proofErr w:type="spellEnd"/>
      <w:r w:rsidR="00433B67" w:rsidRPr="00F87B46">
        <w:rPr>
          <w:rFonts w:asciiTheme="minorHAnsi" w:hAnsiTheme="minorHAnsi"/>
          <w:sz w:val="24"/>
          <w:szCs w:val="24"/>
        </w:rPr>
        <w:t>, 2012). En contraste, el sector micro-informal aportó a una reducción de la desigualdad pero</w:t>
      </w:r>
      <w:r w:rsidR="00102650">
        <w:rPr>
          <w:rFonts w:asciiTheme="minorHAnsi" w:hAnsiTheme="minorHAnsi"/>
          <w:sz w:val="24"/>
          <w:szCs w:val="24"/>
        </w:rPr>
        <w:t>, principalmente,</w:t>
      </w:r>
      <w:r w:rsidR="00433B67" w:rsidRPr="00F87B46">
        <w:rPr>
          <w:rFonts w:asciiTheme="minorHAnsi" w:hAnsiTheme="minorHAnsi"/>
          <w:sz w:val="24"/>
          <w:szCs w:val="24"/>
        </w:rPr>
        <w:t xml:space="preserve"> porque perdió peso en el ingreso familiar y redujo su</w:t>
      </w:r>
      <w:r>
        <w:rPr>
          <w:rFonts w:asciiTheme="minorHAnsi" w:hAnsiTheme="minorHAnsi"/>
          <w:sz w:val="24"/>
          <w:szCs w:val="24"/>
        </w:rPr>
        <w:t xml:space="preserve"> correlación con la distribución</w:t>
      </w:r>
      <w:r w:rsidR="007F2260">
        <w:rPr>
          <w:rFonts w:asciiTheme="minorHAnsi" w:hAnsiTheme="minorHAnsi"/>
          <w:sz w:val="24"/>
          <w:szCs w:val="24"/>
        </w:rPr>
        <w:t>. Es decir que</w:t>
      </w:r>
      <w:r>
        <w:rPr>
          <w:rFonts w:asciiTheme="minorHAnsi" w:hAnsiTheme="minorHAnsi"/>
          <w:sz w:val="24"/>
          <w:szCs w:val="24"/>
        </w:rPr>
        <w:t xml:space="preserve"> cabe inferir un proceso de empobrecimiento relativo de este sector en esta etapa </w:t>
      </w:r>
      <w:r w:rsidR="007F2260">
        <w:rPr>
          <w:rFonts w:asciiTheme="minorHAnsi" w:hAnsiTheme="minorHAnsi"/>
          <w:sz w:val="24"/>
          <w:szCs w:val="24"/>
        </w:rPr>
        <w:t>del ciclo</w:t>
      </w:r>
      <w:r>
        <w:rPr>
          <w:rFonts w:asciiTheme="minorHAnsi" w:hAnsiTheme="minorHAnsi"/>
          <w:sz w:val="24"/>
          <w:szCs w:val="24"/>
        </w:rPr>
        <w:t xml:space="preserve"> económico</w:t>
      </w:r>
      <w:r w:rsidR="00433B67" w:rsidRPr="00F87B46">
        <w:rPr>
          <w:rFonts w:asciiTheme="minorHAnsi" w:hAnsiTheme="minorHAnsi"/>
          <w:sz w:val="24"/>
          <w:szCs w:val="24"/>
        </w:rPr>
        <w:t>. Por último, el sector público aportó positivamente a la desigualdad, tanto por</w:t>
      </w:r>
      <w:r>
        <w:rPr>
          <w:rFonts w:asciiTheme="minorHAnsi" w:hAnsiTheme="minorHAnsi"/>
          <w:sz w:val="24"/>
          <w:szCs w:val="24"/>
        </w:rPr>
        <w:t>que siguió</w:t>
      </w:r>
      <w:r w:rsidR="00433B67" w:rsidRPr="00F87B46">
        <w:rPr>
          <w:rFonts w:asciiTheme="minorHAnsi" w:hAnsiTheme="minorHAnsi"/>
          <w:sz w:val="24"/>
          <w:szCs w:val="24"/>
        </w:rPr>
        <w:t xml:space="preserve"> </w:t>
      </w:r>
      <w:r>
        <w:rPr>
          <w:rFonts w:asciiTheme="minorHAnsi" w:hAnsiTheme="minorHAnsi"/>
          <w:sz w:val="24"/>
          <w:szCs w:val="24"/>
        </w:rPr>
        <w:t xml:space="preserve">ganando </w:t>
      </w:r>
      <w:r w:rsidR="00433B67" w:rsidRPr="00F87B46">
        <w:rPr>
          <w:rFonts w:asciiTheme="minorHAnsi" w:hAnsiTheme="minorHAnsi"/>
          <w:sz w:val="24"/>
          <w:szCs w:val="24"/>
        </w:rPr>
        <w:t>participación en el ingreso</w:t>
      </w:r>
      <w:r>
        <w:rPr>
          <w:rFonts w:asciiTheme="minorHAnsi" w:hAnsiTheme="minorHAnsi"/>
          <w:sz w:val="24"/>
          <w:szCs w:val="24"/>
        </w:rPr>
        <w:t>,</w:t>
      </w:r>
      <w:r w:rsidR="00433B67" w:rsidRPr="00F87B46">
        <w:rPr>
          <w:rFonts w:asciiTheme="minorHAnsi" w:hAnsiTheme="minorHAnsi"/>
          <w:sz w:val="24"/>
          <w:szCs w:val="24"/>
        </w:rPr>
        <w:t xml:space="preserve"> como por </w:t>
      </w:r>
      <w:r>
        <w:rPr>
          <w:rFonts w:asciiTheme="minorHAnsi" w:hAnsiTheme="minorHAnsi"/>
          <w:sz w:val="24"/>
          <w:szCs w:val="24"/>
        </w:rPr>
        <w:t xml:space="preserve">la </w:t>
      </w:r>
      <w:r w:rsidR="00433B67" w:rsidRPr="00F87B46">
        <w:rPr>
          <w:rFonts w:asciiTheme="minorHAnsi" w:hAnsiTheme="minorHAnsi"/>
          <w:sz w:val="24"/>
          <w:szCs w:val="24"/>
        </w:rPr>
        <w:t xml:space="preserve">mayor correlación </w:t>
      </w:r>
      <w:r>
        <w:rPr>
          <w:rFonts w:asciiTheme="minorHAnsi" w:hAnsiTheme="minorHAnsi"/>
          <w:sz w:val="24"/>
          <w:szCs w:val="24"/>
        </w:rPr>
        <w:t xml:space="preserve">de esta fuente </w:t>
      </w:r>
      <w:r w:rsidR="00433B67" w:rsidRPr="00F87B46">
        <w:rPr>
          <w:rFonts w:asciiTheme="minorHAnsi" w:hAnsiTheme="minorHAnsi"/>
          <w:sz w:val="24"/>
          <w:szCs w:val="24"/>
        </w:rPr>
        <w:t xml:space="preserve">con la distribución general. </w:t>
      </w:r>
    </w:p>
    <w:p w:rsidR="00433B67" w:rsidRPr="00961376" w:rsidRDefault="00433B67" w:rsidP="00433B67">
      <w:pPr>
        <w:spacing w:after="0" w:line="240" w:lineRule="auto"/>
        <w:jc w:val="both"/>
        <w:rPr>
          <w:rFonts w:eastAsia="Times New Roman"/>
          <w:b/>
          <w:bCs/>
          <w:color w:val="000000"/>
          <w:sz w:val="24"/>
          <w:lang w:eastAsia="es-AR"/>
        </w:rPr>
      </w:pPr>
      <w:r w:rsidRPr="00961376">
        <w:rPr>
          <w:rFonts w:eastAsia="Times New Roman"/>
          <w:b/>
          <w:bCs/>
          <w:color w:val="000000"/>
          <w:sz w:val="24"/>
          <w:lang w:eastAsia="es-AR"/>
        </w:rPr>
        <w:t xml:space="preserve">Cuadro </w:t>
      </w:r>
      <w:r w:rsidR="00177113">
        <w:rPr>
          <w:rFonts w:eastAsia="Times New Roman"/>
          <w:b/>
          <w:bCs/>
          <w:color w:val="000000"/>
          <w:sz w:val="24"/>
          <w:lang w:eastAsia="es-AR"/>
        </w:rPr>
        <w:t>17</w:t>
      </w:r>
      <w:r w:rsidRPr="00961376">
        <w:rPr>
          <w:rFonts w:eastAsia="Times New Roman"/>
          <w:b/>
          <w:bCs/>
          <w:color w:val="000000"/>
          <w:sz w:val="24"/>
          <w:lang w:eastAsia="es-AR"/>
        </w:rPr>
        <w:t xml:space="preserve">. Descomposición del cambio absoluto del coeficiente de Gini familiar según fuente de ingresos. Área Gran Buenos Aires, </w:t>
      </w:r>
      <w:r>
        <w:rPr>
          <w:rFonts w:eastAsia="Times New Roman"/>
          <w:b/>
          <w:bCs/>
          <w:color w:val="000000"/>
          <w:sz w:val="24"/>
          <w:lang w:eastAsia="es-AR"/>
        </w:rPr>
        <w:t>2014-2007</w:t>
      </w:r>
      <w:r w:rsidRPr="00961376">
        <w:rPr>
          <w:rFonts w:eastAsia="Times New Roman"/>
          <w:b/>
          <w:bCs/>
          <w:color w:val="000000"/>
          <w:sz w:val="24"/>
          <w:lang w:eastAsia="es-AR"/>
        </w:rPr>
        <w:t xml:space="preserve">. </w:t>
      </w:r>
    </w:p>
    <w:p w:rsidR="00433B67" w:rsidRDefault="00433B67" w:rsidP="00433B67">
      <w:pPr>
        <w:spacing w:after="0" w:line="240" w:lineRule="auto"/>
        <w:jc w:val="both"/>
        <w:rPr>
          <w:rFonts w:eastAsia="Times New Roman"/>
          <w:bCs/>
          <w:i/>
          <w:color w:val="000000"/>
          <w:sz w:val="20"/>
          <w:szCs w:val="20"/>
          <w:lang w:eastAsia="es-AR"/>
        </w:rPr>
      </w:pPr>
      <w:r w:rsidRPr="003F7057">
        <w:rPr>
          <w:rFonts w:eastAsia="Times New Roman"/>
          <w:bCs/>
          <w:i/>
          <w:color w:val="000000"/>
          <w:sz w:val="20"/>
          <w:szCs w:val="20"/>
          <w:lang w:eastAsia="es-AR"/>
        </w:rPr>
        <w:t>Variación interanual en valores absolutos/puntos del coeficiente de Gini</w:t>
      </w:r>
    </w:p>
    <w:tbl>
      <w:tblPr>
        <w:tblW w:w="8534" w:type="dxa"/>
        <w:jc w:val="center"/>
        <w:tblInd w:w="432" w:type="dxa"/>
        <w:tblCellMar>
          <w:left w:w="70" w:type="dxa"/>
          <w:right w:w="70" w:type="dxa"/>
        </w:tblCellMar>
        <w:tblLook w:val="04A0" w:firstRow="1" w:lastRow="0" w:firstColumn="1" w:lastColumn="0" w:noHBand="0" w:noVBand="1"/>
      </w:tblPr>
      <w:tblGrid>
        <w:gridCol w:w="2182"/>
        <w:gridCol w:w="794"/>
        <w:gridCol w:w="794"/>
        <w:gridCol w:w="794"/>
        <w:gridCol w:w="794"/>
        <w:gridCol w:w="794"/>
        <w:gridCol w:w="794"/>
        <w:gridCol w:w="794"/>
        <w:gridCol w:w="794"/>
      </w:tblGrid>
      <w:tr w:rsidR="00433B67" w:rsidRPr="001D57CE" w:rsidTr="006732CD">
        <w:trPr>
          <w:trHeight w:val="248"/>
          <w:jc w:val="center"/>
        </w:trPr>
        <w:tc>
          <w:tcPr>
            <w:tcW w:w="2182" w:type="dxa"/>
            <w:tcBorders>
              <w:top w:val="single" w:sz="4" w:space="0" w:color="auto"/>
              <w:left w:val="single" w:sz="4" w:space="0" w:color="auto"/>
              <w:bottom w:val="single" w:sz="4" w:space="0" w:color="auto"/>
              <w:right w:val="nil"/>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Var. Gini</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s*g</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433B67" w:rsidRPr="0046031B" w:rsidRDefault="00433B67" w:rsidP="006732CD">
            <w:pPr>
              <w:spacing w:after="0" w:line="240" w:lineRule="auto"/>
              <w:jc w:val="center"/>
              <w:rPr>
                <w:rFonts w:eastAsia="Times New Roman" w:cs="Calibri"/>
                <w:b/>
                <w:color w:val="000000"/>
                <w:sz w:val="16"/>
                <w:szCs w:val="17"/>
                <w:lang w:eastAsia="es-AR"/>
              </w:rPr>
            </w:pPr>
            <w:r w:rsidRPr="0046031B">
              <w:rPr>
                <w:rFonts w:eastAsia="Times New Roman" w:cs="Calibri"/>
                <w:b/>
                <w:color w:val="000000"/>
                <w:sz w:val="16"/>
                <w:szCs w:val="17"/>
                <w:lang w:eastAsia="es-AR"/>
              </w:rPr>
              <w:t>r*s*g</w:t>
            </w:r>
          </w:p>
        </w:tc>
      </w:tr>
      <w:tr w:rsidR="00433B67" w:rsidRPr="001D57CE" w:rsidTr="006732CD">
        <w:trPr>
          <w:trHeight w:val="248"/>
          <w:jc w:val="center"/>
        </w:trPr>
        <w:tc>
          <w:tcPr>
            <w:tcW w:w="2182" w:type="dxa"/>
            <w:tcBorders>
              <w:top w:val="single" w:sz="4" w:space="0" w:color="auto"/>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laborales</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-0,0582</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-0,0135</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-0,0178</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-0,0296</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0,0006</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0,0009</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0,0013</w:t>
            </w:r>
          </w:p>
        </w:tc>
        <w:tc>
          <w:tcPr>
            <w:tcW w:w="794" w:type="dxa"/>
            <w:tcBorders>
              <w:top w:val="single" w:sz="4" w:space="0" w:color="auto"/>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formal público y privado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-0,0300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-0,0197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formal privado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-0,0425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-0,0199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-0,0091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-0,0160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Sector público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0,0126</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0,0032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0,0091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Sector micro/informal</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-0,0283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-0,0191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-0,0120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0,0025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rPr>
                <w:rFonts w:eastAsia="Times New Roman" w:cs="Calibri"/>
                <w:b/>
                <w:bCs/>
                <w:color w:val="000000"/>
                <w:sz w:val="16"/>
                <w:szCs w:val="17"/>
                <w:lang w:eastAsia="es-AR"/>
              </w:rPr>
            </w:pPr>
            <w:r w:rsidRPr="001D57CE">
              <w:rPr>
                <w:rFonts w:eastAsia="Times New Roman" w:cs="Calibri"/>
                <w:b/>
                <w:bCs/>
                <w:color w:val="000000"/>
                <w:sz w:val="16"/>
                <w:szCs w:val="17"/>
                <w:lang w:eastAsia="es-AR"/>
              </w:rPr>
              <w:t>Ingresos no laborales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0,0017</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-0,0011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0,0045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-0,0012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b/>
                <w:bCs/>
                <w:color w:val="000000"/>
                <w:sz w:val="16"/>
                <w:szCs w:val="17"/>
                <w:lang w:eastAsia="es-AR"/>
              </w:rPr>
            </w:pPr>
            <w:r w:rsidRPr="001D57CE">
              <w:rPr>
                <w:rFonts w:eastAsia="Times New Roman" w:cs="Calibri"/>
                <w:b/>
                <w:b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 xml:space="preserve">Políticas sociales y </w:t>
            </w:r>
            <w:proofErr w:type="spellStart"/>
            <w:r w:rsidRPr="001D57CE">
              <w:rPr>
                <w:rFonts w:eastAsia="Times New Roman" w:cs="Calibri"/>
                <w:color w:val="000000"/>
                <w:sz w:val="16"/>
                <w:szCs w:val="17"/>
                <w:u w:val="single"/>
                <w:lang w:eastAsia="es-AR"/>
              </w:rPr>
              <w:t>sist</w:t>
            </w:r>
            <w:proofErr w:type="spellEnd"/>
            <w:r w:rsidRPr="001D57CE">
              <w:rPr>
                <w:rFonts w:eastAsia="Times New Roman" w:cs="Calibri"/>
                <w:color w:val="000000"/>
                <w:sz w:val="16"/>
                <w:szCs w:val="17"/>
                <w:u w:val="single"/>
                <w:lang w:eastAsia="es-AR"/>
              </w:rPr>
              <w:t>. jubilatorio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0,0105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0,0080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0,0032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-0,0005</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-0,0002</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Planes de empleo</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proofErr w:type="spellStart"/>
            <w:r w:rsidRPr="001D57CE">
              <w:rPr>
                <w:rFonts w:eastAsia="Times New Roman" w:cs="Calibri"/>
                <w:i/>
                <w:iCs/>
                <w:color w:val="000000"/>
                <w:sz w:val="16"/>
                <w:szCs w:val="17"/>
                <w:lang w:eastAsia="es-AR"/>
              </w:rPr>
              <w:t>Progr.transf</w:t>
            </w:r>
            <w:proofErr w:type="spellEnd"/>
            <w:r w:rsidRPr="001D57CE">
              <w:rPr>
                <w:rFonts w:eastAsia="Times New Roman" w:cs="Calibri"/>
                <w:i/>
                <w:iCs/>
                <w:color w:val="000000"/>
                <w:sz w:val="16"/>
                <w:szCs w:val="17"/>
                <w:lang w:eastAsia="es-AR"/>
              </w:rPr>
              <w:t xml:space="preserve"> de ingresos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-0,0014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200" w:firstLine="320"/>
              <w:rPr>
                <w:rFonts w:eastAsia="Times New Roman" w:cs="Calibri"/>
                <w:i/>
                <w:iCs/>
                <w:color w:val="000000"/>
                <w:sz w:val="16"/>
                <w:szCs w:val="17"/>
                <w:lang w:eastAsia="es-AR"/>
              </w:rPr>
            </w:pPr>
            <w:r w:rsidRPr="001D57CE">
              <w:rPr>
                <w:rFonts w:eastAsia="Times New Roman" w:cs="Calibri"/>
                <w:i/>
                <w:iCs/>
                <w:color w:val="000000"/>
                <w:sz w:val="16"/>
                <w:szCs w:val="17"/>
                <w:lang w:eastAsia="es-AR"/>
              </w:rPr>
              <w:t>Jubilaciones y pensiones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0,0112</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0,0084</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0,0029</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i/>
                <w:iCs/>
                <w:color w:val="000000"/>
                <w:sz w:val="16"/>
                <w:szCs w:val="17"/>
                <w:lang w:eastAsia="es-AR"/>
              </w:rPr>
            </w:pPr>
            <w:r w:rsidRPr="001D57CE">
              <w:rPr>
                <w:rFonts w:eastAsia="Times New Roman" w:cs="Calibri"/>
                <w:i/>
                <w:iCs/>
                <w:color w:val="000000"/>
                <w:sz w:val="16"/>
                <w:szCs w:val="17"/>
                <w:lang w:eastAsia="es-AR"/>
              </w:rPr>
              <w:t>-0,0001</w:t>
            </w:r>
          </w:p>
        </w:tc>
      </w:tr>
      <w:tr w:rsidR="00433B67" w:rsidRPr="001D57CE" w:rsidTr="006732CD">
        <w:trPr>
          <w:trHeight w:val="248"/>
          <w:jc w:val="center"/>
        </w:trPr>
        <w:tc>
          <w:tcPr>
            <w:tcW w:w="2182" w:type="dxa"/>
            <w:tcBorders>
              <w:top w:val="nil"/>
              <w:left w:val="single" w:sz="4" w:space="0" w:color="auto"/>
              <w:bottom w:val="nil"/>
              <w:right w:val="single" w:sz="4" w:space="0" w:color="auto"/>
            </w:tcBorders>
            <w:shd w:val="clear" w:color="000000" w:fill="FFFFFF"/>
            <w:noWrap/>
            <w:vAlign w:val="bottom"/>
            <w:hideMark/>
          </w:tcPr>
          <w:p w:rsidR="00433B67" w:rsidRPr="001D57CE" w:rsidRDefault="00433B67" w:rsidP="006732CD">
            <w:pPr>
              <w:spacing w:after="0" w:line="240" w:lineRule="auto"/>
              <w:ind w:firstLineChars="100" w:firstLine="160"/>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Otros no laborales</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-0,0088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-0,0048</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-0,0053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-0,0001</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0,0013</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c>
          <w:tcPr>
            <w:tcW w:w="794" w:type="dxa"/>
            <w:tcBorders>
              <w:top w:val="nil"/>
              <w:left w:val="nil"/>
              <w:bottom w:val="nil"/>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u w:val="single"/>
                <w:lang w:eastAsia="es-AR"/>
              </w:rPr>
            </w:pPr>
            <w:r w:rsidRPr="001D57CE">
              <w:rPr>
                <w:rFonts w:eastAsia="Times New Roman" w:cs="Calibri"/>
                <w:color w:val="000000"/>
                <w:sz w:val="16"/>
                <w:szCs w:val="17"/>
                <w:u w:val="single"/>
                <w:lang w:eastAsia="es-AR"/>
              </w:rPr>
              <w:t>0,0000</w:t>
            </w:r>
          </w:p>
        </w:tc>
      </w:tr>
      <w:tr w:rsidR="00433B67" w:rsidRPr="001D57CE" w:rsidTr="006732CD">
        <w:trPr>
          <w:trHeight w:val="248"/>
          <w:jc w:val="center"/>
        </w:trPr>
        <w:tc>
          <w:tcPr>
            <w:tcW w:w="2182" w:type="dxa"/>
            <w:tcBorders>
              <w:top w:val="nil"/>
              <w:left w:val="single" w:sz="4" w:space="0" w:color="auto"/>
              <w:bottom w:val="single" w:sz="4" w:space="0" w:color="auto"/>
              <w:right w:val="nil"/>
            </w:tcBorders>
            <w:shd w:val="clear" w:color="000000" w:fill="FFFFFF"/>
            <w:noWrap/>
            <w:vAlign w:val="bottom"/>
            <w:hideMark/>
          </w:tcPr>
          <w:p w:rsidR="00433B67" w:rsidRPr="001D57CE" w:rsidRDefault="00433B67" w:rsidP="006732CD">
            <w:pPr>
              <w:spacing w:after="0" w:line="240" w:lineRule="auto"/>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single" w:sz="4" w:space="0" w:color="auto"/>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-0,0565</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433B67" w:rsidRPr="001D57CE" w:rsidRDefault="00433B67" w:rsidP="006732CD">
            <w:pPr>
              <w:spacing w:after="0" w:line="240" w:lineRule="auto"/>
              <w:jc w:val="center"/>
              <w:rPr>
                <w:rFonts w:eastAsia="Times New Roman" w:cs="Calibri"/>
                <w:color w:val="000000"/>
                <w:sz w:val="16"/>
                <w:szCs w:val="17"/>
                <w:lang w:eastAsia="es-AR"/>
              </w:rPr>
            </w:pPr>
            <w:r w:rsidRPr="001D57CE">
              <w:rPr>
                <w:rFonts w:eastAsia="Times New Roman" w:cs="Calibri"/>
                <w:color w:val="000000"/>
                <w:sz w:val="16"/>
                <w:szCs w:val="17"/>
                <w:lang w:eastAsia="es-AR"/>
              </w:rPr>
              <w:t> </w:t>
            </w:r>
          </w:p>
        </w:tc>
      </w:tr>
    </w:tbl>
    <w:p w:rsidR="00433B67" w:rsidRPr="00A1789D" w:rsidRDefault="00433B67" w:rsidP="00433B67">
      <w:pPr>
        <w:spacing w:after="0" w:line="240" w:lineRule="auto"/>
        <w:jc w:val="both"/>
        <w:rPr>
          <w:rFonts w:eastAsia="Times New Roman"/>
          <w:sz w:val="18"/>
          <w:szCs w:val="16"/>
          <w:lang w:eastAsia="es-AR"/>
        </w:rPr>
      </w:pPr>
      <w:r w:rsidRPr="00A1789D">
        <w:rPr>
          <w:rFonts w:eastAsia="Times New Roman"/>
          <w:sz w:val="18"/>
          <w:szCs w:val="16"/>
          <w:lang w:eastAsia="es-AR"/>
        </w:rPr>
        <w:t>Fuente: Elaboración propia en base a microdatos de la EPH-INDEC para los períodos indicados. Disponibles en: &lt;www.indec.gov.ar&gt;</w:t>
      </w:r>
    </w:p>
    <w:p w:rsidR="007F2260" w:rsidRDefault="007F2260" w:rsidP="00433B67">
      <w:pPr>
        <w:spacing w:line="240" w:lineRule="auto"/>
        <w:jc w:val="both"/>
        <w:rPr>
          <w:rFonts w:asciiTheme="minorHAnsi" w:hAnsiTheme="minorHAnsi"/>
          <w:sz w:val="24"/>
          <w:szCs w:val="24"/>
        </w:rPr>
      </w:pPr>
    </w:p>
    <w:p w:rsidR="00433B67" w:rsidRDefault="00433B67" w:rsidP="00433B67">
      <w:pPr>
        <w:spacing w:line="240" w:lineRule="auto"/>
        <w:jc w:val="both"/>
        <w:rPr>
          <w:rFonts w:asciiTheme="minorHAnsi" w:eastAsia="Times New Roman" w:hAnsiTheme="minorHAnsi" w:cstheme="minorHAnsi"/>
          <w:sz w:val="24"/>
          <w:szCs w:val="24"/>
          <w:lang w:val="es-ES" w:eastAsia="es-AR"/>
        </w:rPr>
      </w:pPr>
      <w:r w:rsidRPr="00F87B46">
        <w:rPr>
          <w:rFonts w:asciiTheme="minorHAnsi" w:hAnsiTheme="minorHAnsi"/>
          <w:sz w:val="24"/>
          <w:szCs w:val="24"/>
        </w:rPr>
        <w:t xml:space="preserve">En el caso de los ingresos no laborales, la contribución positiva a la desigualdad tuvo que ver, centralmente, con un aumento de la correlación de esta fuente con la distribución general, lo que se debió principalmente a lo sucedido con las jubilaciones y pensiones. </w:t>
      </w:r>
      <w:r w:rsidR="007F2260">
        <w:rPr>
          <w:rFonts w:asciiTheme="minorHAnsi" w:hAnsiTheme="minorHAnsi"/>
          <w:sz w:val="24"/>
          <w:szCs w:val="24"/>
        </w:rPr>
        <w:t>L</w:t>
      </w:r>
      <w:r w:rsidRPr="00F87B46">
        <w:rPr>
          <w:rFonts w:asciiTheme="minorHAnsi" w:hAnsiTheme="minorHAnsi"/>
          <w:sz w:val="24"/>
          <w:szCs w:val="24"/>
        </w:rPr>
        <w:t>os ingresos de programas de transferencias monetarias condicionadas tuvieron un papel positivo en la reducción de la desigualdad</w:t>
      </w:r>
      <w:r w:rsidR="007F2260">
        <w:rPr>
          <w:rFonts w:asciiTheme="minorHAnsi" w:hAnsiTheme="minorHAnsi"/>
          <w:sz w:val="24"/>
          <w:szCs w:val="24"/>
        </w:rPr>
        <w:t>, tanto porque redujeron su desigualdad interna como porque aumentaron su participación en el ingreso (Cuadros AE7 y AE8)</w:t>
      </w:r>
      <w:r w:rsidRPr="00F87B46">
        <w:rPr>
          <w:rFonts w:asciiTheme="minorHAnsi" w:hAnsiTheme="minorHAnsi"/>
          <w:sz w:val="24"/>
          <w:szCs w:val="24"/>
        </w:rPr>
        <w:t xml:space="preserve">. </w:t>
      </w:r>
      <w:r w:rsidR="007F2260">
        <w:rPr>
          <w:rFonts w:asciiTheme="minorHAnsi" w:hAnsiTheme="minorHAnsi"/>
          <w:sz w:val="24"/>
          <w:szCs w:val="24"/>
        </w:rPr>
        <w:t xml:space="preserve">Nuevamente, los planes de empleo no contribuyeron positivamente al cambio en la desigualdad. Ello se debió, principalmente, a una mayor </w:t>
      </w:r>
      <w:r w:rsidR="007F2260">
        <w:rPr>
          <w:rFonts w:asciiTheme="minorHAnsi" w:hAnsiTheme="minorHAnsi"/>
          <w:sz w:val="24"/>
          <w:szCs w:val="24"/>
        </w:rPr>
        <w:lastRenderedPageBreak/>
        <w:t xml:space="preserve">correlación con la distribución general de los ingresos </w:t>
      </w:r>
      <w:r w:rsidRPr="00F87B46">
        <w:rPr>
          <w:rFonts w:asciiTheme="minorHAnsi" w:eastAsia="Times New Roman" w:hAnsiTheme="minorHAnsi" w:cstheme="minorHAnsi"/>
          <w:sz w:val="24"/>
          <w:szCs w:val="24"/>
          <w:lang w:val="es-ES" w:eastAsia="es-AR"/>
        </w:rPr>
        <w:t>(</w:t>
      </w:r>
      <w:r w:rsidR="007F2260" w:rsidRPr="005B1A74">
        <w:rPr>
          <w:rFonts w:asciiTheme="minorHAnsi" w:eastAsia="Times New Roman" w:hAnsiTheme="minorHAnsi" w:cstheme="minorHAnsi"/>
          <w:sz w:val="24"/>
          <w:szCs w:val="24"/>
          <w:highlight w:val="yellow"/>
          <w:lang w:val="es-ES" w:eastAsia="es-AR"/>
        </w:rPr>
        <w:t xml:space="preserve">Cuadro </w:t>
      </w:r>
      <w:r w:rsidR="005B1A74">
        <w:rPr>
          <w:rFonts w:asciiTheme="minorHAnsi" w:eastAsia="Times New Roman" w:hAnsiTheme="minorHAnsi" w:cstheme="minorHAnsi"/>
          <w:sz w:val="24"/>
          <w:szCs w:val="24"/>
          <w:highlight w:val="yellow"/>
          <w:lang w:val="es-ES" w:eastAsia="es-AR"/>
        </w:rPr>
        <w:t>17</w:t>
      </w:r>
      <w:r w:rsidR="007F2260">
        <w:rPr>
          <w:rFonts w:asciiTheme="minorHAnsi" w:eastAsia="Times New Roman" w:hAnsiTheme="minorHAnsi" w:cstheme="minorHAnsi"/>
          <w:sz w:val="24"/>
          <w:szCs w:val="24"/>
          <w:lang w:val="es-ES" w:eastAsia="es-AR"/>
        </w:rPr>
        <w:t xml:space="preserve"> y Cuadros AE7 y AE8</w:t>
      </w:r>
      <w:r w:rsidRPr="00F87B46">
        <w:rPr>
          <w:rFonts w:asciiTheme="minorHAnsi" w:eastAsia="Times New Roman" w:hAnsiTheme="minorHAnsi" w:cstheme="minorHAnsi"/>
          <w:sz w:val="24"/>
          <w:szCs w:val="24"/>
          <w:lang w:val="es-ES" w:eastAsia="es-AR"/>
        </w:rPr>
        <w:t>)</w:t>
      </w:r>
      <w:r w:rsidRPr="00F87B46">
        <w:rPr>
          <w:rStyle w:val="Refdenotaalpie"/>
          <w:rFonts w:asciiTheme="minorHAnsi" w:eastAsia="Times New Roman" w:hAnsiTheme="minorHAnsi" w:cstheme="minorHAnsi"/>
          <w:sz w:val="24"/>
          <w:szCs w:val="24"/>
          <w:lang w:val="es-ES" w:eastAsia="es-AR"/>
        </w:rPr>
        <w:footnoteReference w:id="18"/>
      </w:r>
      <w:r w:rsidRPr="00F87B46">
        <w:rPr>
          <w:rFonts w:asciiTheme="minorHAnsi" w:eastAsia="Times New Roman" w:hAnsiTheme="minorHAnsi" w:cstheme="minorHAnsi"/>
          <w:sz w:val="24"/>
          <w:szCs w:val="24"/>
          <w:lang w:val="es-ES" w:eastAsia="es-AR"/>
        </w:rPr>
        <w:t xml:space="preserve">. </w:t>
      </w:r>
    </w:p>
    <w:p w:rsidR="00AF4DC1" w:rsidRPr="00F87B46" w:rsidRDefault="00AF4DC1" w:rsidP="00433B67">
      <w:pPr>
        <w:spacing w:line="240" w:lineRule="auto"/>
        <w:jc w:val="both"/>
        <w:rPr>
          <w:rFonts w:asciiTheme="minorHAnsi" w:eastAsia="Times New Roman" w:hAnsiTheme="minorHAnsi" w:cstheme="minorHAnsi"/>
          <w:sz w:val="24"/>
          <w:szCs w:val="24"/>
          <w:lang w:val="es-ES" w:eastAsia="es-AR"/>
        </w:rPr>
      </w:pPr>
      <w:r>
        <w:rPr>
          <w:rFonts w:asciiTheme="minorHAnsi" w:eastAsia="Times New Roman" w:hAnsiTheme="minorHAnsi" w:cstheme="minorHAnsi"/>
          <w:sz w:val="24"/>
          <w:szCs w:val="24"/>
          <w:lang w:val="es-ES" w:eastAsia="es-AR"/>
        </w:rPr>
        <w:t xml:space="preserve">En resumen, la reducción de la desigualdad durante el período de políticas heterodoxas se centró en una articulación de procesos vinculados con el mercado de trabajo y con la intervención social del Estado. A nivel del mercado de trabajo, el sector privado formal contribuyó a reducir la desigualdad, principalmente como resultado de la menor inequidad interna de estos ingresos y su menor correlación con la distribución general, mientras que el sector público contribuyó negativamente, propiciando una mayor desigualdad. El sector micro-informal tuvo un comportamiento diferencial según la fase del ciclo, pero aportó a una reducción de la desigualdad por su pérdida de ingresos y su menor correlación con la distribución. Por su parte, los ingresos de políticas sociales propendieron a una menor desigualdad. En esta dirección, fue clave el papel progresivo jugado por la expansión del sistema de jubilaciones y pensiones y por los programas de transferencias monetarias condicionadas (como la Asignación Universal por Hijo). </w:t>
      </w:r>
    </w:p>
    <w:p w:rsidR="005F6F3A" w:rsidRPr="0024174A" w:rsidRDefault="00876E75" w:rsidP="00232B16">
      <w:pPr>
        <w:tabs>
          <w:tab w:val="left" w:pos="4069"/>
        </w:tabs>
        <w:spacing w:after="120" w:line="240" w:lineRule="auto"/>
        <w:jc w:val="center"/>
        <w:rPr>
          <w:rFonts w:eastAsia="Times New Roman"/>
          <w:b/>
          <w:color w:val="FF0000"/>
          <w:sz w:val="24"/>
          <w:szCs w:val="24"/>
          <w:lang w:val="es-ES" w:eastAsia="es-AR"/>
        </w:rPr>
      </w:pPr>
      <w:r>
        <w:rPr>
          <w:rFonts w:eastAsia="Times New Roman"/>
          <w:b/>
          <w:sz w:val="24"/>
          <w:szCs w:val="24"/>
          <w:highlight w:val="green"/>
          <w:lang w:val="es-ES" w:eastAsia="es-AR"/>
        </w:rPr>
        <w:t>4</w:t>
      </w:r>
      <w:r w:rsidR="005F6F3A" w:rsidRPr="0024174A">
        <w:rPr>
          <w:rFonts w:eastAsia="Times New Roman"/>
          <w:b/>
          <w:sz w:val="24"/>
          <w:szCs w:val="24"/>
          <w:highlight w:val="green"/>
          <w:lang w:val="es-ES" w:eastAsia="es-AR"/>
        </w:rPr>
        <w:t xml:space="preserve">.- </w:t>
      </w:r>
      <w:r w:rsidR="002E7DF7" w:rsidRPr="0024174A">
        <w:rPr>
          <w:rFonts w:eastAsia="Times New Roman"/>
          <w:b/>
          <w:sz w:val="24"/>
          <w:szCs w:val="24"/>
          <w:highlight w:val="green"/>
          <w:lang w:val="es-ES" w:eastAsia="es-AR"/>
        </w:rPr>
        <w:t>Síntesis de hallazgos y reflexiones finales</w:t>
      </w:r>
    </w:p>
    <w:p w:rsidR="00F54FA1" w:rsidRPr="00232B16" w:rsidRDefault="00F54FA1" w:rsidP="00232B16">
      <w:pPr>
        <w:spacing w:line="240" w:lineRule="auto"/>
        <w:jc w:val="both"/>
        <w:rPr>
          <w:sz w:val="24"/>
          <w:szCs w:val="24"/>
          <w:lang w:eastAsia="es-MX"/>
        </w:rPr>
      </w:pPr>
      <w:r w:rsidRPr="00232B16">
        <w:rPr>
          <w:sz w:val="24"/>
          <w:szCs w:val="24"/>
          <w:lang w:eastAsia="es-MX"/>
        </w:rPr>
        <w:t>E</w:t>
      </w:r>
      <w:r w:rsidR="00782142">
        <w:rPr>
          <w:sz w:val="24"/>
          <w:szCs w:val="24"/>
          <w:lang w:eastAsia="es-MX"/>
        </w:rPr>
        <w:t>ste</w:t>
      </w:r>
      <w:r w:rsidRPr="00232B16">
        <w:rPr>
          <w:sz w:val="24"/>
          <w:szCs w:val="24"/>
          <w:lang w:eastAsia="es-MX"/>
        </w:rPr>
        <w:t xml:space="preserve"> </w:t>
      </w:r>
      <w:r w:rsidR="00232B16" w:rsidRPr="00232B16">
        <w:rPr>
          <w:sz w:val="24"/>
          <w:szCs w:val="24"/>
          <w:lang w:eastAsia="es-MX"/>
        </w:rPr>
        <w:t>capítulo</w:t>
      </w:r>
      <w:r w:rsidRPr="00232B16">
        <w:rPr>
          <w:sz w:val="24"/>
          <w:szCs w:val="24"/>
          <w:lang w:eastAsia="es-MX"/>
        </w:rPr>
        <w:t xml:space="preserve"> centró sus preocupaciones en el análisis de los cambios ocurridos en </w:t>
      </w:r>
      <w:r w:rsidR="005D3777" w:rsidRPr="00232B16">
        <w:rPr>
          <w:sz w:val="24"/>
          <w:szCs w:val="24"/>
          <w:lang w:eastAsia="es-MX"/>
        </w:rPr>
        <w:t xml:space="preserve">las características de la estructura distributiva y en </w:t>
      </w:r>
      <w:r w:rsidRPr="00232B16">
        <w:rPr>
          <w:sz w:val="24"/>
          <w:szCs w:val="24"/>
          <w:lang w:eastAsia="es-MX"/>
        </w:rPr>
        <w:t>el nivel de desigualdad de ingresos de los hogares del Gran Buenos Aires</w:t>
      </w:r>
      <w:r w:rsidR="005D3777" w:rsidRPr="00232B16">
        <w:rPr>
          <w:sz w:val="24"/>
          <w:szCs w:val="24"/>
          <w:lang w:eastAsia="es-MX"/>
        </w:rPr>
        <w:t>, y buscó describir</w:t>
      </w:r>
      <w:r w:rsidRPr="00232B16">
        <w:rPr>
          <w:sz w:val="24"/>
          <w:szCs w:val="24"/>
          <w:lang w:eastAsia="es-MX"/>
        </w:rPr>
        <w:t xml:space="preserve"> los factores que incidieron en </w:t>
      </w:r>
      <w:r w:rsidR="005D3777" w:rsidRPr="00232B16">
        <w:rPr>
          <w:sz w:val="24"/>
          <w:szCs w:val="24"/>
          <w:lang w:eastAsia="es-MX"/>
        </w:rPr>
        <w:t xml:space="preserve">los </w:t>
      </w:r>
      <w:r w:rsidRPr="00232B16">
        <w:rPr>
          <w:sz w:val="24"/>
          <w:szCs w:val="24"/>
          <w:lang w:eastAsia="es-MX"/>
        </w:rPr>
        <w:t>mismo</w:t>
      </w:r>
      <w:r w:rsidR="005D3777" w:rsidRPr="00232B16">
        <w:rPr>
          <w:sz w:val="24"/>
          <w:szCs w:val="24"/>
          <w:lang w:eastAsia="es-MX"/>
        </w:rPr>
        <w:t>s</w:t>
      </w:r>
      <w:r w:rsidRPr="00232B16">
        <w:rPr>
          <w:sz w:val="24"/>
          <w:szCs w:val="24"/>
          <w:lang w:eastAsia="es-MX"/>
        </w:rPr>
        <w:t xml:space="preserve"> durante distintos períodos político-económicos. </w:t>
      </w:r>
      <w:r w:rsidR="00782142">
        <w:rPr>
          <w:sz w:val="24"/>
          <w:szCs w:val="24"/>
          <w:lang w:eastAsia="es-MX"/>
        </w:rPr>
        <w:t xml:space="preserve">Se </w:t>
      </w:r>
      <w:r w:rsidRPr="00232B16">
        <w:rPr>
          <w:sz w:val="24"/>
          <w:szCs w:val="24"/>
          <w:lang w:eastAsia="es-MX"/>
        </w:rPr>
        <w:t xml:space="preserve">partió del supuesto de que los cambios en el patrón de distribución del ingreso deben entenderse reconociendo las mediaciones generadas por el mercado laboral, las políticas públicas y las estrategias de los hogares. </w:t>
      </w:r>
    </w:p>
    <w:p w:rsidR="00F54FA1" w:rsidRPr="00782142" w:rsidRDefault="00F54FA1" w:rsidP="00232B16">
      <w:pPr>
        <w:spacing w:line="240" w:lineRule="auto"/>
        <w:jc w:val="both"/>
        <w:rPr>
          <w:sz w:val="24"/>
          <w:szCs w:val="24"/>
        </w:rPr>
      </w:pPr>
      <w:r w:rsidRPr="002E7DF7">
        <w:rPr>
          <w:sz w:val="24"/>
          <w:szCs w:val="24"/>
          <w:lang w:val="es-ES"/>
        </w:rPr>
        <w:t>En un contexto de desindustrialización e incremento de los niveles de desempleo y subempleo que tuvo lugar entre mediados de los años setenta y fines de los años ochenta (1974-1988)</w:t>
      </w:r>
      <w:r w:rsidRPr="00232B16">
        <w:rPr>
          <w:sz w:val="24"/>
          <w:szCs w:val="24"/>
          <w:lang w:val="es-ES"/>
        </w:rPr>
        <w:t>, se evidencia</w:t>
      </w:r>
      <w:r w:rsidR="002E7DF7">
        <w:rPr>
          <w:sz w:val="24"/>
          <w:szCs w:val="24"/>
          <w:lang w:val="es-ES"/>
        </w:rPr>
        <w:t>ro</w:t>
      </w:r>
      <w:r w:rsidRPr="00232B16">
        <w:rPr>
          <w:sz w:val="24"/>
          <w:szCs w:val="24"/>
          <w:lang w:val="es-ES"/>
        </w:rPr>
        <w:t xml:space="preserve">n cambios regresivos sobre la estructura productiva y el mercado de trabajo </w:t>
      </w:r>
      <w:r w:rsidR="00782142">
        <w:rPr>
          <w:sz w:val="24"/>
          <w:szCs w:val="24"/>
          <w:lang w:val="es-ES"/>
        </w:rPr>
        <w:t>que repercutieron en los ingresos familiares. Se observó que, en esta fase, el deterioro socioeconómico experimentado por los hogares estuvo muy ligado a la retracción absoluta de los ingresos de los ocupados, significativamente más intensa en los estratos más bajos de la estructura social</w:t>
      </w:r>
      <w:r w:rsidRPr="00232B16">
        <w:rPr>
          <w:sz w:val="24"/>
          <w:szCs w:val="24"/>
          <w:lang w:val="es-ES"/>
        </w:rPr>
        <w:t xml:space="preserve">. </w:t>
      </w:r>
      <w:r w:rsidR="00782142">
        <w:rPr>
          <w:sz w:val="24"/>
          <w:szCs w:val="24"/>
          <w:lang w:val="es-ES"/>
        </w:rPr>
        <w:t xml:space="preserve">El análisis de descomposición del coeficiente de Gini implementado permitió advertir que el </w:t>
      </w:r>
      <w:r w:rsidR="00782142">
        <w:rPr>
          <w:sz w:val="24"/>
          <w:szCs w:val="24"/>
        </w:rPr>
        <w:t xml:space="preserve">importante y sostenido incremento </w:t>
      </w:r>
      <w:r w:rsidRPr="00232B16">
        <w:rPr>
          <w:sz w:val="24"/>
          <w:szCs w:val="24"/>
        </w:rPr>
        <w:t xml:space="preserve">de la desigualdad </w:t>
      </w:r>
      <w:r w:rsidR="00782142">
        <w:rPr>
          <w:sz w:val="24"/>
          <w:szCs w:val="24"/>
        </w:rPr>
        <w:t>distributiva</w:t>
      </w:r>
      <w:r w:rsidRPr="00232B16">
        <w:rPr>
          <w:sz w:val="24"/>
          <w:szCs w:val="24"/>
        </w:rPr>
        <w:t>, se explic</w:t>
      </w:r>
      <w:r w:rsidR="00782142">
        <w:rPr>
          <w:sz w:val="24"/>
          <w:szCs w:val="24"/>
        </w:rPr>
        <w:t>ó</w:t>
      </w:r>
      <w:r w:rsidR="002E7DF7">
        <w:rPr>
          <w:sz w:val="24"/>
          <w:szCs w:val="24"/>
        </w:rPr>
        <w:t xml:space="preserve"> </w:t>
      </w:r>
      <w:r w:rsidRPr="00232B16">
        <w:rPr>
          <w:sz w:val="24"/>
          <w:szCs w:val="24"/>
        </w:rPr>
        <w:t>fundamentalmente por</w:t>
      </w:r>
      <w:r w:rsidR="00782142">
        <w:rPr>
          <w:sz w:val="24"/>
          <w:szCs w:val="24"/>
        </w:rPr>
        <w:t xml:space="preserve">que los ingresos laborales se hicieron más inequitativos, siendo dominante al respecto lo ocurrido con los ingresos provenientes del sector formal público y privado. </w:t>
      </w:r>
    </w:p>
    <w:p w:rsidR="00FD4E07" w:rsidRDefault="00F54FA1" w:rsidP="00332B69">
      <w:pPr>
        <w:spacing w:line="240" w:lineRule="auto"/>
        <w:jc w:val="both"/>
        <w:rPr>
          <w:rFonts w:eastAsia="Times New Roman"/>
          <w:sz w:val="24"/>
          <w:szCs w:val="24"/>
          <w:lang w:val="es-ES" w:eastAsia="es-AR"/>
        </w:rPr>
      </w:pPr>
      <w:r w:rsidRPr="002E7DF7">
        <w:rPr>
          <w:sz w:val="24"/>
          <w:szCs w:val="24"/>
          <w:lang w:val="es-ES"/>
        </w:rPr>
        <w:t xml:space="preserve">En segundo término, </w:t>
      </w:r>
      <w:r w:rsidRPr="002E7DF7">
        <w:rPr>
          <w:sz w:val="24"/>
          <w:szCs w:val="24"/>
        </w:rPr>
        <w:t xml:space="preserve">la reestructuración económica </w:t>
      </w:r>
      <w:r w:rsidR="00332B69">
        <w:rPr>
          <w:sz w:val="24"/>
          <w:szCs w:val="24"/>
        </w:rPr>
        <w:t xml:space="preserve">bajo el ciclo neoliberal </w:t>
      </w:r>
      <w:r w:rsidRPr="00232B16">
        <w:rPr>
          <w:sz w:val="24"/>
          <w:szCs w:val="24"/>
        </w:rPr>
        <w:t>tuvo un fuerte impacto sobre el mercado laboral</w:t>
      </w:r>
      <w:r w:rsidR="00332B69">
        <w:rPr>
          <w:sz w:val="24"/>
          <w:szCs w:val="24"/>
        </w:rPr>
        <w:t>, en términos de</w:t>
      </w:r>
      <w:r w:rsidRPr="00232B16">
        <w:rPr>
          <w:sz w:val="24"/>
          <w:szCs w:val="24"/>
        </w:rPr>
        <w:t xml:space="preserve"> intensificación de</w:t>
      </w:r>
      <w:r w:rsidR="00332B69">
        <w:rPr>
          <w:sz w:val="24"/>
          <w:szCs w:val="24"/>
        </w:rPr>
        <w:t xml:space="preserve"> la heterogeneidad estructural, aumento de la precariedad y baja demanda de empleo</w:t>
      </w:r>
      <w:r w:rsidRPr="00232B16">
        <w:rPr>
          <w:sz w:val="24"/>
          <w:szCs w:val="24"/>
        </w:rPr>
        <w:t>. En este contexto</w:t>
      </w:r>
      <w:r w:rsidRPr="00232B16">
        <w:rPr>
          <w:color w:val="010101"/>
          <w:sz w:val="24"/>
          <w:szCs w:val="24"/>
          <w:lang w:eastAsia="es-MX"/>
        </w:rPr>
        <w:t xml:space="preserve">, </w:t>
      </w:r>
      <w:r w:rsidR="00332B69">
        <w:rPr>
          <w:color w:val="010101"/>
          <w:sz w:val="24"/>
          <w:szCs w:val="24"/>
          <w:lang w:eastAsia="es-MX"/>
        </w:rPr>
        <w:t xml:space="preserve">la década de reformas (1988-2003) reconoce dos etapas diferenciadas. Inicialmente, hasta 1998, </w:t>
      </w:r>
      <w:r w:rsidRPr="00232B16">
        <w:rPr>
          <w:color w:val="010101"/>
          <w:sz w:val="24"/>
          <w:szCs w:val="24"/>
          <w:lang w:eastAsia="es-MX"/>
        </w:rPr>
        <w:t>el volumen de ingresos laborales y no laborales exhibió un</w:t>
      </w:r>
      <w:r w:rsidR="00332B69">
        <w:rPr>
          <w:color w:val="010101"/>
          <w:sz w:val="24"/>
          <w:szCs w:val="24"/>
          <w:lang w:eastAsia="es-MX"/>
        </w:rPr>
        <w:t xml:space="preserve">a </w:t>
      </w:r>
      <w:r w:rsidR="00332B69">
        <w:rPr>
          <w:color w:val="010101"/>
          <w:sz w:val="24"/>
          <w:szCs w:val="24"/>
          <w:lang w:eastAsia="es-MX"/>
        </w:rPr>
        <w:lastRenderedPageBreak/>
        <w:t>significativa</w:t>
      </w:r>
      <w:r w:rsidRPr="00232B16">
        <w:rPr>
          <w:color w:val="010101"/>
          <w:sz w:val="24"/>
          <w:szCs w:val="24"/>
          <w:lang w:eastAsia="es-MX"/>
        </w:rPr>
        <w:t xml:space="preserve"> </w:t>
      </w:r>
      <w:r w:rsidR="00332B69">
        <w:rPr>
          <w:color w:val="010101"/>
          <w:sz w:val="24"/>
          <w:szCs w:val="24"/>
          <w:lang w:eastAsia="es-MX"/>
        </w:rPr>
        <w:t>recuperación</w:t>
      </w:r>
      <w:r w:rsidRPr="00232B16">
        <w:rPr>
          <w:color w:val="010101"/>
          <w:sz w:val="24"/>
          <w:szCs w:val="24"/>
          <w:lang w:eastAsia="es-MX"/>
        </w:rPr>
        <w:t xml:space="preserve">, </w:t>
      </w:r>
      <w:r w:rsidR="00332B69">
        <w:rPr>
          <w:color w:val="010101"/>
          <w:sz w:val="24"/>
          <w:szCs w:val="24"/>
          <w:lang w:eastAsia="es-MX"/>
        </w:rPr>
        <w:t xml:space="preserve">mucho más intensa </w:t>
      </w:r>
      <w:r w:rsidRPr="00232B16">
        <w:rPr>
          <w:color w:val="010101"/>
          <w:sz w:val="24"/>
          <w:szCs w:val="24"/>
          <w:lang w:eastAsia="es-MX"/>
        </w:rPr>
        <w:t xml:space="preserve">entre los quintiles más altos. </w:t>
      </w:r>
      <w:r w:rsidR="00332B69">
        <w:rPr>
          <w:color w:val="010101"/>
          <w:sz w:val="24"/>
          <w:szCs w:val="24"/>
          <w:lang w:eastAsia="es-MX"/>
        </w:rPr>
        <w:t xml:space="preserve">El principal papel de la recomposición, en esta etapa, estuvo en los ingresos medios por perceptor ocupado. En una segunda etapa </w:t>
      </w:r>
      <w:r w:rsidR="00332B69">
        <w:rPr>
          <w:rFonts w:eastAsia="Times New Roman"/>
          <w:sz w:val="24"/>
          <w:szCs w:val="24"/>
          <w:lang w:val="es-ES" w:eastAsia="es-AR"/>
        </w:rPr>
        <w:t>(</w:t>
      </w:r>
      <w:r w:rsidR="00332B69" w:rsidRPr="002E7DF7">
        <w:rPr>
          <w:rFonts w:eastAsia="Times New Roman"/>
          <w:sz w:val="24"/>
          <w:szCs w:val="24"/>
          <w:lang w:val="es-ES" w:eastAsia="es-AR"/>
        </w:rPr>
        <w:t>1998 y 2003</w:t>
      </w:r>
      <w:r w:rsidR="00332B69">
        <w:rPr>
          <w:rFonts w:eastAsia="Times New Roman"/>
          <w:sz w:val="24"/>
          <w:szCs w:val="24"/>
          <w:lang w:val="es-ES" w:eastAsia="es-AR"/>
        </w:rPr>
        <w:t>)</w:t>
      </w:r>
      <w:r w:rsidR="00332B69" w:rsidRPr="002E7DF7">
        <w:rPr>
          <w:rFonts w:eastAsia="Times New Roman"/>
          <w:sz w:val="24"/>
          <w:szCs w:val="24"/>
          <w:lang w:val="es-ES" w:eastAsia="es-AR"/>
        </w:rPr>
        <w:t xml:space="preserve">, </w:t>
      </w:r>
      <w:r w:rsidR="00332B69">
        <w:rPr>
          <w:rFonts w:eastAsia="Times New Roman"/>
          <w:sz w:val="24"/>
          <w:szCs w:val="24"/>
          <w:lang w:val="es-ES" w:eastAsia="es-AR"/>
        </w:rPr>
        <w:t xml:space="preserve">la economía entró en una fase recesiva, y nuevamente los ingresos laborales declinaron, más intensamente en los estratos más bajos. </w:t>
      </w:r>
      <w:r w:rsidR="00FD4E07">
        <w:rPr>
          <w:rFonts w:eastAsia="Times New Roman"/>
          <w:sz w:val="24"/>
          <w:szCs w:val="24"/>
          <w:lang w:val="es-ES" w:eastAsia="es-AR"/>
        </w:rPr>
        <w:t xml:space="preserve">Un papel compensador importante lo desempeñó, en esta etapa crítica, la expansión del ingreso no laboral en el quintil más bajo, asociada a la implementación del Plan Jefas y Jefes de Hogar. </w:t>
      </w:r>
    </w:p>
    <w:p w:rsidR="00FD4E07" w:rsidRDefault="00332B69" w:rsidP="00581C30">
      <w:pPr>
        <w:spacing w:line="240" w:lineRule="auto"/>
        <w:jc w:val="both"/>
        <w:rPr>
          <w:rFonts w:eastAsia="Times New Roman"/>
          <w:sz w:val="24"/>
          <w:szCs w:val="24"/>
          <w:lang w:val="es-ES" w:eastAsia="es-AR"/>
        </w:rPr>
      </w:pPr>
      <w:r w:rsidRPr="00232B16">
        <w:rPr>
          <w:rFonts w:eastAsia="Times New Roman"/>
          <w:sz w:val="24"/>
          <w:szCs w:val="24"/>
          <w:lang w:val="es-ES" w:eastAsia="es-AR"/>
        </w:rPr>
        <w:t xml:space="preserve">Al evaluar los factores subyacentes al aumento de la desigualdad </w:t>
      </w:r>
      <w:r w:rsidR="00FD4E07">
        <w:rPr>
          <w:rFonts w:eastAsia="Times New Roman"/>
          <w:sz w:val="24"/>
          <w:szCs w:val="24"/>
          <w:lang w:val="es-ES" w:eastAsia="es-AR"/>
        </w:rPr>
        <w:t>durante el ciclo de reforma estructural –</w:t>
      </w:r>
      <w:r w:rsidRPr="00232B16">
        <w:rPr>
          <w:rFonts w:eastAsia="Times New Roman"/>
          <w:sz w:val="24"/>
          <w:szCs w:val="24"/>
          <w:lang w:val="es-ES" w:eastAsia="es-AR"/>
        </w:rPr>
        <w:t>a</w:t>
      </w:r>
      <w:r w:rsidR="00FD4E07">
        <w:rPr>
          <w:rFonts w:eastAsia="Times New Roman"/>
          <w:sz w:val="24"/>
          <w:szCs w:val="24"/>
          <w:lang w:val="es-ES" w:eastAsia="es-AR"/>
        </w:rPr>
        <w:t xml:space="preserve"> </w:t>
      </w:r>
      <w:r w:rsidRPr="00232B16">
        <w:rPr>
          <w:rFonts w:eastAsia="Times New Roman"/>
          <w:sz w:val="24"/>
          <w:szCs w:val="24"/>
          <w:lang w:val="es-ES" w:eastAsia="es-AR"/>
        </w:rPr>
        <w:t>través del ejercicio de descomposición</w:t>
      </w:r>
      <w:r w:rsidR="00FD4E07">
        <w:rPr>
          <w:rFonts w:eastAsia="Times New Roman"/>
          <w:sz w:val="24"/>
          <w:szCs w:val="24"/>
          <w:lang w:val="es-ES" w:eastAsia="es-AR"/>
        </w:rPr>
        <w:t xml:space="preserve"> de Gini</w:t>
      </w:r>
      <w:r w:rsidRPr="00232B16">
        <w:rPr>
          <w:rFonts w:eastAsia="Times New Roman"/>
          <w:sz w:val="24"/>
          <w:szCs w:val="24"/>
          <w:lang w:val="es-ES" w:eastAsia="es-AR"/>
        </w:rPr>
        <w:t xml:space="preserve"> propuesto</w:t>
      </w:r>
      <w:r w:rsidR="00FD4E07">
        <w:rPr>
          <w:rFonts w:eastAsia="Times New Roman"/>
          <w:sz w:val="24"/>
          <w:szCs w:val="24"/>
          <w:lang w:val="es-ES" w:eastAsia="es-AR"/>
        </w:rPr>
        <w:t>–</w:t>
      </w:r>
      <w:r w:rsidRPr="00232B16">
        <w:rPr>
          <w:rFonts w:eastAsia="Times New Roman"/>
          <w:sz w:val="24"/>
          <w:szCs w:val="24"/>
          <w:lang w:val="es-ES" w:eastAsia="es-AR"/>
        </w:rPr>
        <w:t xml:space="preserve">, se evidenció que los ingresos laborales descendieron su aporte al coeficiente de Gini mientras que, por otro lado, los ingresos no laborales actuaron en el sentido contrario. </w:t>
      </w:r>
      <w:r w:rsidR="00FD4E07">
        <w:rPr>
          <w:rFonts w:eastAsia="Times New Roman"/>
          <w:sz w:val="24"/>
          <w:szCs w:val="24"/>
          <w:lang w:val="es-ES" w:eastAsia="es-AR"/>
        </w:rPr>
        <w:t xml:space="preserve">Al examinar lo ocurrido en el mercado de trabajo, se advirtió sobre la intensificación de la heterogeneidad estructural promovida por el ciclo de reformas: en tanto que los ingresos del sector formal promovieron intensamente la desigualdad (por su mayor inequidad interna), los ingresos del sector informal compensaron este proceso por el empobrecimiento que atravesaron estas ocupaciones. A estos procesos se añade lo ocurrido con los ingresos no laborales: </w:t>
      </w:r>
      <w:r w:rsidR="00581C30">
        <w:rPr>
          <w:rFonts w:eastAsia="Times New Roman"/>
          <w:sz w:val="24"/>
          <w:szCs w:val="24"/>
          <w:lang w:val="es-ES" w:eastAsia="es-AR"/>
        </w:rPr>
        <w:t>g</w:t>
      </w:r>
      <w:r w:rsidR="00FD4E07">
        <w:rPr>
          <w:rFonts w:eastAsia="Times New Roman"/>
          <w:sz w:val="24"/>
          <w:szCs w:val="24"/>
          <w:lang w:val="es-ES" w:eastAsia="es-AR"/>
        </w:rPr>
        <w:t xml:space="preserve">anaron participación </w:t>
      </w:r>
      <w:r w:rsidR="00581C30">
        <w:rPr>
          <w:rFonts w:eastAsia="Times New Roman"/>
          <w:sz w:val="24"/>
          <w:szCs w:val="24"/>
          <w:lang w:val="es-ES" w:eastAsia="es-AR"/>
        </w:rPr>
        <w:t xml:space="preserve">en el ingreso familiar, pero </w:t>
      </w:r>
      <w:r w:rsidR="00FD4E07">
        <w:rPr>
          <w:rFonts w:eastAsia="Times New Roman"/>
          <w:sz w:val="24"/>
          <w:szCs w:val="24"/>
          <w:lang w:val="es-ES" w:eastAsia="es-AR"/>
        </w:rPr>
        <w:t>aumentaron su correlación con la distribución general, propendiendo a la mayor inequidad.</w:t>
      </w:r>
      <w:r w:rsidR="00581C30">
        <w:rPr>
          <w:rFonts w:eastAsia="Times New Roman"/>
          <w:sz w:val="24"/>
          <w:szCs w:val="24"/>
          <w:lang w:val="es-ES" w:eastAsia="es-AR"/>
        </w:rPr>
        <w:t xml:space="preserve"> </w:t>
      </w:r>
    </w:p>
    <w:p w:rsidR="000078C2" w:rsidRDefault="00232B16" w:rsidP="00232B16">
      <w:pPr>
        <w:spacing w:line="240" w:lineRule="auto"/>
        <w:jc w:val="both"/>
        <w:rPr>
          <w:rFonts w:asciiTheme="minorHAnsi" w:hAnsiTheme="minorHAnsi" w:cstheme="minorHAnsi"/>
          <w:sz w:val="24"/>
          <w:szCs w:val="24"/>
          <w:lang w:eastAsia="es-MX"/>
        </w:rPr>
      </w:pPr>
      <w:r w:rsidRPr="002E7DF7">
        <w:rPr>
          <w:rFonts w:asciiTheme="minorHAnsi" w:hAnsiTheme="minorHAnsi" w:cstheme="minorHAnsi"/>
          <w:sz w:val="24"/>
          <w:szCs w:val="24"/>
          <w:lang w:eastAsia="es-MX"/>
        </w:rPr>
        <w:t>La etapa de crecimiento bajo políticas heterodoxas (</w:t>
      </w:r>
      <w:r>
        <w:rPr>
          <w:rFonts w:asciiTheme="minorHAnsi" w:hAnsiTheme="minorHAnsi" w:cstheme="minorHAnsi"/>
          <w:sz w:val="24"/>
          <w:szCs w:val="24"/>
          <w:lang w:eastAsia="es-MX"/>
        </w:rPr>
        <w:t xml:space="preserve">2003-2014) dio lugar a </w:t>
      </w:r>
      <w:r w:rsidRPr="00232B16">
        <w:rPr>
          <w:rFonts w:asciiTheme="minorHAnsi" w:hAnsiTheme="minorHAnsi" w:cstheme="minorHAnsi"/>
          <w:sz w:val="24"/>
          <w:szCs w:val="24"/>
          <w:lang w:eastAsia="es-MX"/>
        </w:rPr>
        <w:t xml:space="preserve">una reversión en la tendencia ascendente de la desigualdad distributiva iniciada en los años setenta. </w:t>
      </w:r>
      <w:r w:rsidR="000078C2">
        <w:rPr>
          <w:rFonts w:asciiTheme="minorHAnsi" w:hAnsiTheme="minorHAnsi" w:cstheme="minorHAnsi"/>
          <w:sz w:val="24"/>
          <w:szCs w:val="24"/>
          <w:lang w:eastAsia="es-MX"/>
        </w:rPr>
        <w:t>E</w:t>
      </w:r>
      <w:r w:rsidR="002E7DF7">
        <w:rPr>
          <w:rFonts w:asciiTheme="minorHAnsi" w:hAnsiTheme="minorHAnsi" w:cstheme="minorHAnsi"/>
          <w:sz w:val="24"/>
          <w:szCs w:val="24"/>
          <w:lang w:eastAsia="es-MX"/>
        </w:rPr>
        <w:t xml:space="preserve">n el caso </w:t>
      </w:r>
      <w:r w:rsidR="000078C2">
        <w:rPr>
          <w:rFonts w:asciiTheme="minorHAnsi" w:hAnsiTheme="minorHAnsi" w:cstheme="minorHAnsi"/>
          <w:sz w:val="24"/>
          <w:szCs w:val="24"/>
          <w:lang w:eastAsia="es-MX"/>
        </w:rPr>
        <w:t>aquí analizado</w:t>
      </w:r>
      <w:r w:rsidRPr="00232B16">
        <w:rPr>
          <w:rFonts w:asciiTheme="minorHAnsi" w:hAnsiTheme="minorHAnsi" w:cstheme="minorHAnsi"/>
          <w:sz w:val="24"/>
          <w:szCs w:val="24"/>
          <w:lang w:eastAsia="es-MX"/>
        </w:rPr>
        <w:t>, la trama de factores macro y micro sociales</w:t>
      </w:r>
      <w:r>
        <w:rPr>
          <w:rFonts w:asciiTheme="minorHAnsi" w:hAnsiTheme="minorHAnsi" w:cstheme="minorHAnsi"/>
          <w:sz w:val="24"/>
          <w:szCs w:val="24"/>
          <w:lang w:eastAsia="es-MX"/>
        </w:rPr>
        <w:t xml:space="preserve"> </w:t>
      </w:r>
      <w:r w:rsidR="000078C2">
        <w:rPr>
          <w:rFonts w:asciiTheme="minorHAnsi" w:hAnsiTheme="minorHAnsi" w:cstheme="minorHAnsi"/>
          <w:sz w:val="24"/>
          <w:szCs w:val="24"/>
          <w:lang w:eastAsia="es-MX"/>
        </w:rPr>
        <w:t>que dio lugar a este proceso supuso</w:t>
      </w:r>
      <w:r w:rsidRPr="00232B16">
        <w:rPr>
          <w:rFonts w:asciiTheme="minorHAnsi" w:hAnsiTheme="minorHAnsi" w:cstheme="minorHAnsi"/>
          <w:sz w:val="24"/>
          <w:szCs w:val="24"/>
          <w:lang w:eastAsia="es-MX"/>
        </w:rPr>
        <w:t xml:space="preserve">: (i) una demanda laboral que incluyó posiciones de baja calificación permitió a los hogares volcar un mayor número de </w:t>
      </w:r>
      <w:r w:rsidR="000078C2">
        <w:rPr>
          <w:rFonts w:asciiTheme="minorHAnsi" w:hAnsiTheme="minorHAnsi" w:cstheme="minorHAnsi"/>
          <w:sz w:val="24"/>
          <w:szCs w:val="24"/>
          <w:lang w:eastAsia="es-MX"/>
        </w:rPr>
        <w:t xml:space="preserve">ocupados </w:t>
      </w:r>
      <w:r w:rsidRPr="00232B16">
        <w:rPr>
          <w:rFonts w:asciiTheme="minorHAnsi" w:hAnsiTheme="minorHAnsi" w:cstheme="minorHAnsi"/>
          <w:sz w:val="24"/>
          <w:szCs w:val="24"/>
          <w:lang w:eastAsia="es-MX"/>
        </w:rPr>
        <w:t xml:space="preserve">al mercado de trabajo; </w:t>
      </w:r>
      <w:r w:rsidR="000078C2">
        <w:rPr>
          <w:rFonts w:asciiTheme="minorHAnsi" w:hAnsiTheme="minorHAnsi" w:cstheme="minorHAnsi"/>
          <w:sz w:val="24"/>
          <w:szCs w:val="24"/>
          <w:lang w:eastAsia="es-MX"/>
        </w:rPr>
        <w:t xml:space="preserve">(ii) </w:t>
      </w:r>
      <w:r w:rsidR="000078C2" w:rsidRPr="00232B16">
        <w:rPr>
          <w:rFonts w:asciiTheme="minorHAnsi" w:hAnsiTheme="minorHAnsi" w:cstheme="minorHAnsi"/>
          <w:sz w:val="24"/>
          <w:szCs w:val="24"/>
          <w:lang w:eastAsia="es-MX"/>
        </w:rPr>
        <w:t xml:space="preserve">tras un punto de partida muy bajo (resultante de la devaluación en 2002), fue posible que los ingresos promedio por </w:t>
      </w:r>
      <w:r w:rsidR="000078C2">
        <w:rPr>
          <w:rFonts w:asciiTheme="minorHAnsi" w:hAnsiTheme="minorHAnsi" w:cstheme="minorHAnsi"/>
          <w:sz w:val="24"/>
          <w:szCs w:val="24"/>
          <w:lang w:eastAsia="es-MX"/>
        </w:rPr>
        <w:t>ocupado</w:t>
      </w:r>
      <w:r w:rsidR="000078C2" w:rsidRPr="00232B16">
        <w:rPr>
          <w:rFonts w:asciiTheme="minorHAnsi" w:hAnsiTheme="minorHAnsi" w:cstheme="minorHAnsi"/>
          <w:sz w:val="24"/>
          <w:szCs w:val="24"/>
          <w:lang w:eastAsia="es-MX"/>
        </w:rPr>
        <w:t xml:space="preserve"> se incrementaran sostenidamente</w:t>
      </w:r>
      <w:r w:rsidR="000078C2">
        <w:rPr>
          <w:rFonts w:asciiTheme="minorHAnsi" w:hAnsiTheme="minorHAnsi" w:cstheme="minorHAnsi"/>
          <w:sz w:val="24"/>
          <w:szCs w:val="24"/>
          <w:lang w:eastAsia="es-MX"/>
        </w:rPr>
        <w:t xml:space="preserve">;  </w:t>
      </w:r>
      <w:r w:rsidRPr="00232B16">
        <w:rPr>
          <w:rFonts w:asciiTheme="minorHAnsi" w:hAnsiTheme="minorHAnsi" w:cstheme="minorHAnsi"/>
          <w:sz w:val="24"/>
          <w:szCs w:val="24"/>
          <w:lang w:eastAsia="es-MX"/>
        </w:rPr>
        <w:t>(i</w:t>
      </w:r>
      <w:r w:rsidR="000078C2">
        <w:rPr>
          <w:rFonts w:asciiTheme="minorHAnsi" w:hAnsiTheme="minorHAnsi" w:cstheme="minorHAnsi"/>
          <w:sz w:val="24"/>
          <w:szCs w:val="24"/>
          <w:lang w:eastAsia="es-MX"/>
        </w:rPr>
        <w:t>i</w:t>
      </w:r>
      <w:r w:rsidRPr="00232B16">
        <w:rPr>
          <w:rFonts w:asciiTheme="minorHAnsi" w:hAnsiTheme="minorHAnsi" w:cstheme="minorHAnsi"/>
          <w:sz w:val="24"/>
          <w:szCs w:val="24"/>
          <w:lang w:eastAsia="es-MX"/>
        </w:rPr>
        <w:t xml:space="preserve">i) </w:t>
      </w:r>
      <w:r w:rsidR="000078C2">
        <w:rPr>
          <w:rFonts w:asciiTheme="minorHAnsi" w:hAnsiTheme="minorHAnsi" w:cstheme="minorHAnsi"/>
          <w:sz w:val="24"/>
          <w:szCs w:val="24"/>
          <w:lang w:eastAsia="es-MX"/>
        </w:rPr>
        <w:t>la</w:t>
      </w:r>
      <w:r w:rsidRPr="00232B16">
        <w:rPr>
          <w:rFonts w:asciiTheme="minorHAnsi" w:hAnsiTheme="minorHAnsi" w:cstheme="minorHAnsi"/>
          <w:sz w:val="24"/>
          <w:szCs w:val="24"/>
          <w:lang w:eastAsia="es-MX"/>
        </w:rPr>
        <w:t xml:space="preserve"> modificación del sistema de política social que extendió su cobertura amplió las oportunidades de los hogares de incrementar su número de perceptores en estas fuentes; (</w:t>
      </w:r>
      <w:r w:rsidR="000078C2">
        <w:rPr>
          <w:rFonts w:asciiTheme="minorHAnsi" w:hAnsiTheme="minorHAnsi" w:cstheme="minorHAnsi"/>
          <w:sz w:val="24"/>
          <w:szCs w:val="24"/>
          <w:lang w:eastAsia="es-MX"/>
        </w:rPr>
        <w:t>iv</w:t>
      </w:r>
      <w:r w:rsidRPr="00232B16">
        <w:rPr>
          <w:rFonts w:asciiTheme="minorHAnsi" w:hAnsiTheme="minorHAnsi" w:cstheme="minorHAnsi"/>
          <w:sz w:val="24"/>
          <w:szCs w:val="24"/>
          <w:lang w:eastAsia="es-MX"/>
        </w:rPr>
        <w:t xml:space="preserve">) </w:t>
      </w:r>
      <w:r w:rsidR="000078C2">
        <w:rPr>
          <w:rFonts w:asciiTheme="minorHAnsi" w:hAnsiTheme="minorHAnsi" w:cstheme="minorHAnsi"/>
          <w:sz w:val="24"/>
          <w:szCs w:val="24"/>
          <w:lang w:eastAsia="es-MX"/>
        </w:rPr>
        <w:t>en contraste con lo sucedido en las fases anteriores,</w:t>
      </w:r>
      <w:r w:rsidRPr="00232B16">
        <w:rPr>
          <w:rFonts w:asciiTheme="minorHAnsi" w:hAnsiTheme="minorHAnsi" w:cstheme="minorHAnsi"/>
          <w:sz w:val="24"/>
          <w:szCs w:val="24"/>
          <w:lang w:eastAsia="es-MX"/>
        </w:rPr>
        <w:t xml:space="preserve"> el incremento </w:t>
      </w:r>
      <w:r w:rsidR="000078C2">
        <w:rPr>
          <w:rFonts w:asciiTheme="minorHAnsi" w:hAnsiTheme="minorHAnsi" w:cstheme="minorHAnsi"/>
          <w:sz w:val="24"/>
          <w:szCs w:val="24"/>
          <w:lang w:eastAsia="es-MX"/>
        </w:rPr>
        <w:t>d</w:t>
      </w:r>
      <w:r w:rsidRPr="00232B16">
        <w:rPr>
          <w:rFonts w:asciiTheme="minorHAnsi" w:hAnsiTheme="minorHAnsi" w:cstheme="minorHAnsi"/>
          <w:sz w:val="24"/>
          <w:szCs w:val="24"/>
          <w:lang w:eastAsia="es-MX"/>
        </w:rPr>
        <w:t xml:space="preserve">el número de perceptores </w:t>
      </w:r>
      <w:r w:rsidR="000078C2">
        <w:rPr>
          <w:rFonts w:asciiTheme="minorHAnsi" w:hAnsiTheme="minorHAnsi" w:cstheme="minorHAnsi"/>
          <w:sz w:val="24"/>
          <w:szCs w:val="24"/>
          <w:lang w:eastAsia="es-MX"/>
        </w:rPr>
        <w:t xml:space="preserve">y del ingreso medio por ocupado </w:t>
      </w:r>
      <w:r w:rsidRPr="00232B16">
        <w:rPr>
          <w:rFonts w:asciiTheme="minorHAnsi" w:hAnsiTheme="minorHAnsi" w:cstheme="minorHAnsi"/>
          <w:sz w:val="24"/>
          <w:szCs w:val="24"/>
          <w:lang w:eastAsia="es-MX"/>
        </w:rPr>
        <w:t>fue mayor en los estratos más bajos</w:t>
      </w:r>
    </w:p>
    <w:p w:rsidR="00232B16" w:rsidRPr="00232B16" w:rsidRDefault="000078C2" w:rsidP="00232B16">
      <w:pPr>
        <w:spacing w:line="240" w:lineRule="auto"/>
        <w:jc w:val="both"/>
        <w:rPr>
          <w:rFonts w:asciiTheme="minorHAnsi" w:eastAsia="Times New Roman" w:hAnsiTheme="minorHAnsi" w:cstheme="minorHAnsi"/>
          <w:sz w:val="24"/>
          <w:szCs w:val="24"/>
          <w:lang w:val="es-ES" w:eastAsia="es-AR"/>
        </w:rPr>
      </w:pPr>
      <w:r>
        <w:rPr>
          <w:rFonts w:asciiTheme="minorHAnsi" w:eastAsia="Times New Roman" w:hAnsiTheme="minorHAnsi" w:cstheme="minorHAnsi"/>
          <w:sz w:val="24"/>
          <w:szCs w:val="24"/>
          <w:lang w:val="es-ES" w:eastAsia="es-AR"/>
        </w:rPr>
        <w:t>A</w:t>
      </w:r>
      <w:r w:rsidR="00232B16" w:rsidRPr="00232B16">
        <w:rPr>
          <w:rFonts w:asciiTheme="minorHAnsi" w:eastAsia="Times New Roman" w:hAnsiTheme="minorHAnsi" w:cstheme="minorHAnsi"/>
          <w:sz w:val="24"/>
          <w:szCs w:val="24"/>
          <w:lang w:val="es-ES" w:eastAsia="es-AR"/>
        </w:rPr>
        <w:t xml:space="preserve"> través de </w:t>
      </w:r>
      <w:r w:rsidR="00232B16">
        <w:rPr>
          <w:rFonts w:asciiTheme="minorHAnsi" w:eastAsia="Times New Roman" w:hAnsiTheme="minorHAnsi" w:cstheme="minorHAnsi"/>
          <w:sz w:val="24"/>
          <w:szCs w:val="24"/>
          <w:lang w:val="es-ES" w:eastAsia="es-AR"/>
        </w:rPr>
        <w:t>la</w:t>
      </w:r>
      <w:r w:rsidR="00232B16" w:rsidRPr="00232B16">
        <w:rPr>
          <w:rFonts w:asciiTheme="minorHAnsi" w:eastAsia="Times New Roman" w:hAnsiTheme="minorHAnsi" w:cstheme="minorHAnsi"/>
          <w:sz w:val="24"/>
          <w:szCs w:val="24"/>
          <w:lang w:val="es-ES" w:eastAsia="es-AR"/>
        </w:rPr>
        <w:t xml:space="preserve"> mirada sintética </w:t>
      </w:r>
      <w:r>
        <w:rPr>
          <w:rFonts w:asciiTheme="minorHAnsi" w:eastAsia="Times New Roman" w:hAnsiTheme="minorHAnsi" w:cstheme="minorHAnsi"/>
          <w:sz w:val="24"/>
          <w:szCs w:val="24"/>
          <w:lang w:val="es-ES" w:eastAsia="es-AR"/>
        </w:rPr>
        <w:t>que ofrece</w:t>
      </w:r>
      <w:r w:rsidR="00232B16" w:rsidRPr="00232B16">
        <w:rPr>
          <w:rFonts w:asciiTheme="minorHAnsi" w:eastAsia="Times New Roman" w:hAnsiTheme="minorHAnsi" w:cstheme="minorHAnsi"/>
          <w:sz w:val="24"/>
          <w:szCs w:val="24"/>
          <w:lang w:val="es-ES" w:eastAsia="es-AR"/>
        </w:rPr>
        <w:t xml:space="preserve"> la </w:t>
      </w:r>
      <w:r w:rsidR="00232B16">
        <w:rPr>
          <w:rFonts w:asciiTheme="minorHAnsi" w:eastAsia="Times New Roman" w:hAnsiTheme="minorHAnsi" w:cstheme="minorHAnsi"/>
          <w:sz w:val="24"/>
          <w:szCs w:val="24"/>
          <w:lang w:val="es-ES" w:eastAsia="es-AR"/>
        </w:rPr>
        <w:t>descomposición</w:t>
      </w:r>
      <w:r w:rsidR="00232B16" w:rsidRPr="00232B16">
        <w:rPr>
          <w:rFonts w:asciiTheme="minorHAnsi" w:eastAsia="Times New Roman" w:hAnsiTheme="minorHAnsi" w:cstheme="minorHAnsi"/>
          <w:sz w:val="24"/>
          <w:szCs w:val="24"/>
          <w:lang w:val="es-ES" w:eastAsia="es-AR"/>
        </w:rPr>
        <w:t xml:space="preserve"> del coeficiente de Gini, pudieron a</w:t>
      </w:r>
      <w:r w:rsidR="00F67E79">
        <w:rPr>
          <w:rFonts w:asciiTheme="minorHAnsi" w:eastAsia="Times New Roman" w:hAnsiTheme="minorHAnsi" w:cstheme="minorHAnsi"/>
          <w:sz w:val="24"/>
          <w:szCs w:val="24"/>
          <w:lang w:val="es-ES" w:eastAsia="es-AR"/>
        </w:rPr>
        <w:t>dvertirse rasgos complementarios. L</w:t>
      </w:r>
      <w:r w:rsidR="00232B16" w:rsidRPr="00232B16">
        <w:rPr>
          <w:rFonts w:asciiTheme="minorHAnsi" w:eastAsia="Times New Roman" w:hAnsiTheme="minorHAnsi" w:cstheme="minorHAnsi"/>
          <w:sz w:val="24"/>
          <w:szCs w:val="24"/>
          <w:lang w:val="es-ES" w:eastAsia="es-AR"/>
        </w:rPr>
        <w:t xml:space="preserve">os ingresos de fuentes laborales redujeron su contribución absoluta a la desigualdad </w:t>
      </w:r>
      <w:r w:rsidR="00F67E79">
        <w:rPr>
          <w:rFonts w:asciiTheme="minorHAnsi" w:eastAsia="Times New Roman" w:hAnsiTheme="minorHAnsi" w:cstheme="minorHAnsi"/>
          <w:sz w:val="24"/>
          <w:szCs w:val="24"/>
          <w:lang w:val="es-ES" w:eastAsia="es-AR"/>
        </w:rPr>
        <w:t>en esta etapa. Pero esto no fue un proceso homogéneo. Los ingresos provenientes del sector formal aportaron a la reducción de la desigualdad por su menor inequidad interna. Los ingresos del sector informal aportaron a la reducción de la desigualdad, pero por pérdida relativa de ingresos y menor correlación con la distribución general. En tanto, los ingresos del sector público aportaron sostenidamente al aumento de la desigualdad. Entre 2003 y 2014, e</w:t>
      </w:r>
      <w:r w:rsidR="00232B16" w:rsidRPr="00232B16">
        <w:rPr>
          <w:rFonts w:asciiTheme="minorHAnsi" w:eastAsia="Times New Roman" w:hAnsiTheme="minorHAnsi" w:cstheme="minorHAnsi"/>
          <w:sz w:val="24"/>
          <w:szCs w:val="24"/>
          <w:lang w:val="es-ES" w:eastAsia="es-AR"/>
        </w:rPr>
        <w:t xml:space="preserve">l descenso del aporte de los ingresos no laborales devino principalmente de la disminución de la correlación de los ingresos por políticas sociales y sistema jubilatorio con la distribución general, lo que tuvo que ver con la mayor cobertura previsional y su mayor homogeneidad, así como con el crecimiento del gasto en programas de asistencia social y seguridad social no contributiva. </w:t>
      </w:r>
    </w:p>
    <w:p w:rsidR="00F54FA1" w:rsidRPr="00AE5564" w:rsidRDefault="00F54FA1" w:rsidP="00AE5564">
      <w:pPr>
        <w:spacing w:line="240" w:lineRule="auto"/>
        <w:jc w:val="both"/>
        <w:rPr>
          <w:sz w:val="24"/>
          <w:szCs w:val="24"/>
        </w:rPr>
      </w:pPr>
      <w:r w:rsidRPr="002E7DF7">
        <w:rPr>
          <w:sz w:val="24"/>
          <w:szCs w:val="24"/>
        </w:rPr>
        <w:lastRenderedPageBreak/>
        <w:t>En términos de balance histórico,</w:t>
      </w:r>
      <w:r w:rsidRPr="00232B16">
        <w:rPr>
          <w:sz w:val="24"/>
          <w:szCs w:val="24"/>
        </w:rPr>
        <w:t xml:space="preserve"> los datos presentados revelan que el patrón de distribución de ingresos de los hogares del Gran Buenos Aires cont</w:t>
      </w:r>
      <w:r w:rsidR="007907D7" w:rsidRPr="00232B16">
        <w:rPr>
          <w:sz w:val="24"/>
          <w:szCs w:val="24"/>
        </w:rPr>
        <w:t>inúa siendo más regresivo aún que</w:t>
      </w:r>
      <w:r w:rsidRPr="00232B16">
        <w:rPr>
          <w:sz w:val="24"/>
          <w:szCs w:val="24"/>
        </w:rPr>
        <w:t xml:space="preserve"> los niveles alcanzados a mediados de los años setenta</w:t>
      </w:r>
      <w:r w:rsidR="00F67E79">
        <w:rPr>
          <w:sz w:val="24"/>
          <w:szCs w:val="24"/>
        </w:rPr>
        <w:t>. Esto da</w:t>
      </w:r>
      <w:r w:rsidRPr="00232B16">
        <w:rPr>
          <w:sz w:val="24"/>
          <w:szCs w:val="24"/>
        </w:rPr>
        <w:t xml:space="preserve"> cuenta de un particular proceso de empobrecimiento y polarización de la estructura social entre los años 1974 y 2014 que </w:t>
      </w:r>
      <w:r w:rsidR="007526A0">
        <w:rPr>
          <w:sz w:val="24"/>
          <w:szCs w:val="24"/>
        </w:rPr>
        <w:t>parece encontrar</w:t>
      </w:r>
      <w:r w:rsidRPr="00232B16">
        <w:rPr>
          <w:sz w:val="24"/>
          <w:szCs w:val="24"/>
        </w:rPr>
        <w:t xml:space="preserve"> un “piso estructural” difícil de revertir de manera significativa y sostenida. El factor explicativo central</w:t>
      </w:r>
      <w:r w:rsidR="00F67E79">
        <w:rPr>
          <w:sz w:val="24"/>
          <w:szCs w:val="24"/>
        </w:rPr>
        <w:t xml:space="preserve"> de esta dinámica </w:t>
      </w:r>
      <w:r w:rsidRPr="00232B16">
        <w:rPr>
          <w:sz w:val="24"/>
          <w:szCs w:val="24"/>
        </w:rPr>
        <w:t>parec</w:t>
      </w:r>
      <w:r w:rsidR="00323929" w:rsidRPr="00232B16">
        <w:rPr>
          <w:sz w:val="24"/>
          <w:szCs w:val="24"/>
        </w:rPr>
        <w:t>e</w:t>
      </w:r>
      <w:r w:rsidRPr="00232B16">
        <w:rPr>
          <w:sz w:val="24"/>
          <w:szCs w:val="24"/>
        </w:rPr>
        <w:t xml:space="preserve"> encontrarse en el deterioro que registr</w:t>
      </w:r>
      <w:r w:rsidR="00323929" w:rsidRPr="00232B16">
        <w:rPr>
          <w:sz w:val="24"/>
          <w:szCs w:val="24"/>
        </w:rPr>
        <w:t>aron las retribuciones laborales y no laborales</w:t>
      </w:r>
      <w:r w:rsidR="00195119">
        <w:rPr>
          <w:sz w:val="24"/>
          <w:szCs w:val="24"/>
        </w:rPr>
        <w:t xml:space="preserve"> de los hogares</w:t>
      </w:r>
      <w:r w:rsidR="00323929" w:rsidRPr="00232B16">
        <w:rPr>
          <w:sz w:val="24"/>
          <w:szCs w:val="24"/>
        </w:rPr>
        <w:t xml:space="preserve">, incluyendo entre estas últimas a las </w:t>
      </w:r>
      <w:r w:rsidRPr="00232B16">
        <w:rPr>
          <w:sz w:val="24"/>
          <w:szCs w:val="24"/>
        </w:rPr>
        <w:t>políticas sociales.</w:t>
      </w:r>
      <w:r w:rsidR="009B6F9C">
        <w:rPr>
          <w:sz w:val="24"/>
          <w:szCs w:val="24"/>
        </w:rPr>
        <w:t xml:space="preserve"> </w:t>
      </w:r>
      <w:r w:rsidR="00195119">
        <w:rPr>
          <w:sz w:val="24"/>
          <w:szCs w:val="24"/>
        </w:rPr>
        <w:t>L</w:t>
      </w:r>
      <w:r w:rsidRPr="00232B16">
        <w:rPr>
          <w:sz w:val="24"/>
          <w:szCs w:val="24"/>
        </w:rPr>
        <w:t>a evidencia presentada</w:t>
      </w:r>
      <w:r w:rsidR="00323929" w:rsidRPr="00232B16">
        <w:rPr>
          <w:sz w:val="24"/>
          <w:szCs w:val="24"/>
        </w:rPr>
        <w:t xml:space="preserve"> en este capítulo ha permitido dar cuenta</w:t>
      </w:r>
      <w:r w:rsidR="004345AF" w:rsidRPr="00232B16">
        <w:rPr>
          <w:sz w:val="24"/>
          <w:szCs w:val="24"/>
        </w:rPr>
        <w:t>, entre otros aspectos,</w:t>
      </w:r>
      <w:r w:rsidRPr="00232B16">
        <w:rPr>
          <w:sz w:val="24"/>
          <w:szCs w:val="24"/>
        </w:rPr>
        <w:t xml:space="preserve"> de </w:t>
      </w:r>
      <w:r w:rsidR="004345AF" w:rsidRPr="00232B16">
        <w:rPr>
          <w:sz w:val="24"/>
          <w:szCs w:val="24"/>
        </w:rPr>
        <w:t xml:space="preserve">algunos de </w:t>
      </w:r>
      <w:r w:rsidRPr="00232B16">
        <w:rPr>
          <w:sz w:val="24"/>
          <w:szCs w:val="24"/>
        </w:rPr>
        <w:t xml:space="preserve">los límites que enfrentan las políticas sociales para resolver por sí solas las desigualdades estructurales que </w:t>
      </w:r>
      <w:r w:rsidR="00323929" w:rsidRPr="00232B16">
        <w:rPr>
          <w:sz w:val="24"/>
          <w:szCs w:val="24"/>
        </w:rPr>
        <w:t>genera</w:t>
      </w:r>
      <w:r w:rsidRPr="00232B16">
        <w:rPr>
          <w:sz w:val="24"/>
          <w:szCs w:val="24"/>
        </w:rPr>
        <w:t xml:space="preserve"> el sistema productivo y el mercado de trabajo. </w:t>
      </w:r>
      <w:r w:rsidR="004345AF" w:rsidRPr="00232B16">
        <w:rPr>
          <w:sz w:val="24"/>
          <w:szCs w:val="24"/>
        </w:rPr>
        <w:t xml:space="preserve">En varias oportunidades durante el período estudiado, tales intervenciones sociales parecen haber tendido a operar principalmente como mecanismos compensatorios de aquellas. </w:t>
      </w:r>
      <w:r w:rsidR="00195119">
        <w:rPr>
          <w:sz w:val="24"/>
          <w:szCs w:val="24"/>
        </w:rPr>
        <w:t>L</w:t>
      </w:r>
      <w:r w:rsidR="004345AF" w:rsidRPr="00232B16">
        <w:rPr>
          <w:sz w:val="24"/>
          <w:szCs w:val="24"/>
        </w:rPr>
        <w:t xml:space="preserve">a modificación del patrón de distribución de ingresos laborales </w:t>
      </w:r>
      <w:r w:rsidR="00195119">
        <w:rPr>
          <w:sz w:val="24"/>
          <w:szCs w:val="24"/>
        </w:rPr>
        <w:t>emerge</w:t>
      </w:r>
      <w:r w:rsidR="004345AF" w:rsidRPr="00232B16">
        <w:rPr>
          <w:sz w:val="24"/>
          <w:szCs w:val="24"/>
        </w:rPr>
        <w:t xml:space="preserve"> ser un mecanismo fundamental en las posibilidades de alcanzar mayor</w:t>
      </w:r>
      <w:r w:rsidR="007526A0">
        <w:rPr>
          <w:sz w:val="24"/>
          <w:szCs w:val="24"/>
        </w:rPr>
        <w:t>es niveles de bienestar y</w:t>
      </w:r>
      <w:r w:rsidR="004345AF" w:rsidRPr="00232B16">
        <w:rPr>
          <w:sz w:val="24"/>
          <w:szCs w:val="24"/>
        </w:rPr>
        <w:t xml:space="preserve"> convergencia social.  </w:t>
      </w:r>
    </w:p>
    <w:p w:rsidR="009B6F9C" w:rsidRPr="009B6F9C" w:rsidRDefault="009B6F9C" w:rsidP="009B6F9C">
      <w:pPr>
        <w:spacing w:line="360" w:lineRule="auto"/>
        <w:jc w:val="center"/>
        <w:rPr>
          <w:b/>
          <w:sz w:val="24"/>
          <w:szCs w:val="24"/>
        </w:rPr>
      </w:pPr>
      <w:r w:rsidRPr="009B6F9C">
        <w:rPr>
          <w:b/>
          <w:sz w:val="24"/>
          <w:szCs w:val="24"/>
        </w:rPr>
        <w:t>6.- Bibliografía citada</w:t>
      </w:r>
    </w:p>
    <w:p w:rsidR="009B6F9C" w:rsidRDefault="009B6F9C" w:rsidP="009B6F9C">
      <w:pPr>
        <w:spacing w:after="0" w:line="240" w:lineRule="auto"/>
        <w:ind w:left="426" w:hanging="426"/>
        <w:jc w:val="both"/>
        <w:rPr>
          <w:rFonts w:asciiTheme="minorHAnsi" w:eastAsia="Times New Roman" w:hAnsiTheme="minorHAnsi" w:cstheme="minorHAnsi"/>
          <w:sz w:val="24"/>
          <w:szCs w:val="24"/>
          <w:lang w:eastAsia="es-AR"/>
        </w:rPr>
      </w:pPr>
      <w:proofErr w:type="spellStart"/>
      <w:r w:rsidRPr="009B6F9C">
        <w:rPr>
          <w:rFonts w:asciiTheme="minorHAnsi" w:eastAsia="Times New Roman" w:hAnsiTheme="minorHAnsi" w:cstheme="minorHAnsi"/>
          <w:sz w:val="24"/>
          <w:szCs w:val="24"/>
          <w:lang w:eastAsia="es-AR"/>
        </w:rPr>
        <w:t>Agú</w:t>
      </w:r>
      <w:proofErr w:type="spellEnd"/>
      <w:r w:rsidRPr="009B6F9C">
        <w:rPr>
          <w:rFonts w:asciiTheme="minorHAnsi" w:eastAsia="Times New Roman" w:hAnsiTheme="minorHAnsi" w:cstheme="minorHAnsi"/>
          <w:sz w:val="24"/>
          <w:szCs w:val="24"/>
          <w:lang w:eastAsia="es-AR"/>
        </w:rPr>
        <w:t xml:space="preserve">, E. (2015) ¿En qué medida colaboraron los cambios normativos del SIPA para disminuir la desigualdad de ingresos entre los adultos mayores?, Ponencia a las </w:t>
      </w:r>
      <w:r w:rsidRPr="009B6F9C">
        <w:rPr>
          <w:rFonts w:asciiTheme="minorHAnsi" w:eastAsia="Times New Roman" w:hAnsiTheme="minorHAnsi" w:cstheme="minorHAnsi"/>
          <w:i/>
          <w:sz w:val="24"/>
          <w:szCs w:val="24"/>
          <w:lang w:eastAsia="es-AR"/>
        </w:rPr>
        <w:t xml:space="preserve">VIII Jornadas de Jóvenes Investigadores del Instituto de Investigaciones Gino </w:t>
      </w:r>
      <w:proofErr w:type="spellStart"/>
      <w:r w:rsidRPr="009B6F9C">
        <w:rPr>
          <w:rFonts w:asciiTheme="minorHAnsi" w:eastAsia="Times New Roman" w:hAnsiTheme="minorHAnsi" w:cstheme="minorHAnsi"/>
          <w:i/>
          <w:sz w:val="24"/>
          <w:szCs w:val="24"/>
          <w:lang w:eastAsia="es-AR"/>
        </w:rPr>
        <w:t>Germani</w:t>
      </w:r>
      <w:proofErr w:type="spellEnd"/>
      <w:r w:rsidRPr="009B6F9C">
        <w:rPr>
          <w:rFonts w:asciiTheme="minorHAnsi" w:eastAsia="Times New Roman" w:hAnsiTheme="minorHAnsi" w:cstheme="minorHAnsi"/>
          <w:sz w:val="24"/>
          <w:szCs w:val="24"/>
          <w:lang w:eastAsia="es-AR"/>
        </w:rPr>
        <w:t>.</w:t>
      </w:r>
    </w:p>
    <w:p w:rsidR="000B33B5" w:rsidRDefault="000B33B5" w:rsidP="000B33B5">
      <w:pPr>
        <w:spacing w:after="120" w:line="240" w:lineRule="auto"/>
        <w:ind w:left="426" w:hanging="426"/>
        <w:jc w:val="both"/>
        <w:rPr>
          <w:rFonts w:asciiTheme="minorHAnsi" w:hAnsiTheme="minorHAnsi" w:cstheme="minorHAnsi"/>
          <w:sz w:val="24"/>
          <w:szCs w:val="24"/>
        </w:rPr>
      </w:pPr>
      <w:proofErr w:type="spellStart"/>
      <w:r>
        <w:rPr>
          <w:rFonts w:asciiTheme="minorHAnsi" w:hAnsiTheme="minorHAnsi" w:cstheme="minorHAnsi"/>
          <w:sz w:val="24"/>
          <w:szCs w:val="24"/>
        </w:rPr>
        <w:t>Altimir</w:t>
      </w:r>
      <w:proofErr w:type="spellEnd"/>
      <w:r>
        <w:rPr>
          <w:rFonts w:asciiTheme="minorHAnsi" w:hAnsiTheme="minorHAnsi" w:cstheme="minorHAnsi"/>
          <w:sz w:val="24"/>
          <w:szCs w:val="24"/>
        </w:rPr>
        <w:t xml:space="preserve">, O.; </w:t>
      </w:r>
      <w:proofErr w:type="spellStart"/>
      <w:r>
        <w:rPr>
          <w:rFonts w:asciiTheme="minorHAnsi" w:hAnsiTheme="minorHAnsi" w:cstheme="minorHAnsi"/>
          <w:sz w:val="24"/>
          <w:szCs w:val="24"/>
        </w:rPr>
        <w:t>Beccaria</w:t>
      </w:r>
      <w:proofErr w:type="spellEnd"/>
      <w:r>
        <w:rPr>
          <w:rFonts w:asciiTheme="minorHAnsi" w:hAnsiTheme="minorHAnsi" w:cstheme="minorHAnsi"/>
          <w:sz w:val="24"/>
          <w:szCs w:val="24"/>
        </w:rPr>
        <w:t xml:space="preserve">, L.A. y González Rozada, M. (2002) ‘Distribución del ingreso en la Argentina, 1974-2000’, </w:t>
      </w:r>
      <w:proofErr w:type="spellStart"/>
      <w:r>
        <w:rPr>
          <w:rFonts w:asciiTheme="minorHAnsi" w:hAnsiTheme="minorHAnsi" w:cstheme="minorHAnsi"/>
          <w:sz w:val="24"/>
          <w:szCs w:val="24"/>
        </w:rPr>
        <w:t>Cepal</w:t>
      </w:r>
      <w:proofErr w:type="spellEnd"/>
      <w:r>
        <w:rPr>
          <w:rFonts w:asciiTheme="minorHAnsi" w:hAnsiTheme="minorHAnsi" w:cstheme="minorHAnsi"/>
          <w:sz w:val="24"/>
          <w:szCs w:val="24"/>
        </w:rPr>
        <w:t xml:space="preserve"> 78: 53-82.</w:t>
      </w:r>
    </w:p>
    <w:p w:rsidR="009B6F9C" w:rsidRPr="009B6F9C" w:rsidRDefault="009B6F9C" w:rsidP="009B6F9C">
      <w:pPr>
        <w:spacing w:after="0" w:line="240" w:lineRule="auto"/>
        <w:ind w:left="426" w:hanging="426"/>
        <w:jc w:val="both"/>
        <w:rPr>
          <w:rFonts w:asciiTheme="minorHAnsi" w:hAnsiTheme="minorHAnsi" w:cstheme="minorHAnsi"/>
          <w:sz w:val="24"/>
          <w:szCs w:val="24"/>
          <w:lang w:val="pt-BR"/>
        </w:rPr>
      </w:pPr>
      <w:r w:rsidRPr="009B6F9C">
        <w:rPr>
          <w:rFonts w:asciiTheme="minorHAnsi" w:hAnsiTheme="minorHAnsi" w:cstheme="minorHAnsi"/>
          <w:sz w:val="24"/>
          <w:szCs w:val="24"/>
        </w:rPr>
        <w:t>Arza, C. (2010). “La política previsional: de la estratificación ocupacional a la individualización de los beneficios”, en: S. Torrado (</w:t>
      </w:r>
      <w:proofErr w:type="spellStart"/>
      <w:r w:rsidRPr="009B6F9C">
        <w:rPr>
          <w:rFonts w:asciiTheme="minorHAnsi" w:hAnsiTheme="minorHAnsi" w:cstheme="minorHAnsi"/>
          <w:sz w:val="24"/>
          <w:szCs w:val="24"/>
        </w:rPr>
        <w:t>dir.</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 xml:space="preserve">El costo social del ajuste. </w:t>
      </w:r>
      <w:r w:rsidRPr="009B6F9C">
        <w:rPr>
          <w:rFonts w:asciiTheme="minorHAnsi" w:hAnsiTheme="minorHAnsi" w:cstheme="minorHAnsi"/>
          <w:i/>
          <w:sz w:val="24"/>
          <w:szCs w:val="24"/>
          <w:lang w:val="pt-BR"/>
        </w:rPr>
        <w:t>Argentina (1976-2002)</w:t>
      </w:r>
      <w:r w:rsidRPr="009B6F9C">
        <w:rPr>
          <w:rFonts w:asciiTheme="minorHAnsi" w:hAnsiTheme="minorHAnsi" w:cstheme="minorHAnsi"/>
          <w:sz w:val="24"/>
          <w:szCs w:val="24"/>
          <w:lang w:val="pt-BR"/>
        </w:rPr>
        <w:t xml:space="preserve">, T. 2, pp. 257-300, Buenos Aires: EDHASA. </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Basualdo</w:t>
      </w:r>
      <w:proofErr w:type="spellEnd"/>
      <w:r w:rsidRPr="009B6F9C">
        <w:rPr>
          <w:rFonts w:asciiTheme="minorHAnsi" w:hAnsiTheme="minorHAnsi" w:cstheme="minorHAnsi"/>
          <w:sz w:val="24"/>
          <w:szCs w:val="24"/>
        </w:rPr>
        <w:t xml:space="preserve">, E. (2010) </w:t>
      </w:r>
      <w:r w:rsidRPr="009B6F9C">
        <w:rPr>
          <w:rFonts w:asciiTheme="minorHAnsi" w:hAnsiTheme="minorHAnsi" w:cstheme="minorHAnsi"/>
          <w:i/>
          <w:sz w:val="24"/>
          <w:szCs w:val="24"/>
        </w:rPr>
        <w:t>Estudios de historia económica argentina</w:t>
      </w:r>
      <w:r w:rsidRPr="009B6F9C">
        <w:rPr>
          <w:rFonts w:asciiTheme="minorHAnsi" w:hAnsiTheme="minorHAnsi" w:cstheme="minorHAnsi"/>
          <w:sz w:val="24"/>
          <w:szCs w:val="24"/>
        </w:rPr>
        <w:t xml:space="preserve">, Buenos Aires, Siglo XXI. </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Bertranou</w:t>
      </w:r>
      <w:proofErr w:type="spellEnd"/>
      <w:r w:rsidRPr="009B6F9C">
        <w:rPr>
          <w:rFonts w:asciiTheme="minorHAnsi" w:hAnsiTheme="minorHAnsi" w:cstheme="minorHAnsi"/>
          <w:sz w:val="24"/>
          <w:szCs w:val="24"/>
        </w:rPr>
        <w:t xml:space="preserve">, F., </w:t>
      </w:r>
      <w:proofErr w:type="spellStart"/>
      <w:r w:rsidRPr="009B6F9C">
        <w:rPr>
          <w:rFonts w:asciiTheme="minorHAnsi" w:hAnsiTheme="minorHAnsi" w:cstheme="minorHAnsi"/>
          <w:sz w:val="24"/>
          <w:szCs w:val="24"/>
        </w:rPr>
        <w:t>Cetrángolo</w:t>
      </w:r>
      <w:proofErr w:type="spellEnd"/>
      <w:r w:rsidRPr="009B6F9C">
        <w:rPr>
          <w:rFonts w:asciiTheme="minorHAnsi" w:hAnsiTheme="minorHAnsi" w:cstheme="minorHAnsi"/>
          <w:sz w:val="24"/>
          <w:szCs w:val="24"/>
        </w:rPr>
        <w:t xml:space="preserve">, O., </w:t>
      </w:r>
      <w:proofErr w:type="spellStart"/>
      <w:r w:rsidRPr="009B6F9C">
        <w:rPr>
          <w:rFonts w:asciiTheme="minorHAnsi" w:hAnsiTheme="minorHAnsi" w:cstheme="minorHAnsi"/>
          <w:sz w:val="24"/>
          <w:szCs w:val="24"/>
        </w:rPr>
        <w:t>Grushka</w:t>
      </w:r>
      <w:proofErr w:type="spellEnd"/>
      <w:r w:rsidRPr="009B6F9C">
        <w:rPr>
          <w:rFonts w:asciiTheme="minorHAnsi" w:hAnsiTheme="minorHAnsi" w:cstheme="minorHAnsi"/>
          <w:sz w:val="24"/>
          <w:szCs w:val="24"/>
        </w:rPr>
        <w:t xml:space="preserve">, C. y Casanova, L. (2012). “Más allá de la privatización y la </w:t>
      </w:r>
      <w:proofErr w:type="spellStart"/>
      <w:r w:rsidRPr="009B6F9C">
        <w:rPr>
          <w:rFonts w:asciiTheme="minorHAnsi" w:hAnsiTheme="minorHAnsi" w:cstheme="minorHAnsi"/>
          <w:sz w:val="24"/>
          <w:szCs w:val="24"/>
        </w:rPr>
        <w:t>reestatización</w:t>
      </w:r>
      <w:proofErr w:type="spellEnd"/>
      <w:r w:rsidRPr="009B6F9C">
        <w:rPr>
          <w:rFonts w:asciiTheme="minorHAnsi" w:hAnsiTheme="minorHAnsi" w:cstheme="minorHAnsi"/>
          <w:sz w:val="24"/>
          <w:szCs w:val="24"/>
        </w:rPr>
        <w:t xml:space="preserve"> del sistema previsional de Argentina: cobertura, fragmentación y sostenibilidad”. </w:t>
      </w:r>
      <w:r w:rsidRPr="009B6F9C">
        <w:rPr>
          <w:rFonts w:asciiTheme="minorHAnsi" w:hAnsiTheme="minorHAnsi" w:cstheme="minorHAnsi"/>
          <w:i/>
          <w:sz w:val="24"/>
          <w:szCs w:val="24"/>
        </w:rPr>
        <w:t>Desarrollo Económico</w:t>
      </w:r>
      <w:r w:rsidRPr="009B6F9C">
        <w:rPr>
          <w:rFonts w:asciiTheme="minorHAnsi" w:hAnsiTheme="minorHAnsi" w:cstheme="minorHAnsi"/>
          <w:sz w:val="24"/>
          <w:szCs w:val="24"/>
        </w:rPr>
        <w:t xml:space="preserve">, 52 (205), pp. 3-30. </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Cortés, F. (2000), </w:t>
      </w:r>
      <w:r w:rsidRPr="009B6F9C">
        <w:rPr>
          <w:rFonts w:asciiTheme="minorHAnsi" w:hAnsiTheme="minorHAnsi" w:cstheme="minorHAnsi"/>
          <w:i/>
          <w:sz w:val="24"/>
          <w:szCs w:val="24"/>
        </w:rPr>
        <w:t>La distribución de la riqueza en México en épocas de estabilización y reformas económicas</w:t>
      </w:r>
      <w:r w:rsidRPr="009B6F9C">
        <w:rPr>
          <w:rFonts w:asciiTheme="minorHAnsi" w:hAnsiTheme="minorHAnsi" w:cstheme="minorHAnsi"/>
          <w:sz w:val="24"/>
          <w:szCs w:val="24"/>
        </w:rPr>
        <w:t xml:space="preserve">. México D. F.: M. A. </w:t>
      </w:r>
      <w:proofErr w:type="spellStart"/>
      <w:r w:rsidRPr="009B6F9C">
        <w:rPr>
          <w:rFonts w:asciiTheme="minorHAnsi" w:hAnsiTheme="minorHAnsi" w:cstheme="minorHAnsi"/>
          <w:sz w:val="24"/>
          <w:szCs w:val="24"/>
        </w:rPr>
        <w:t>Porrua</w:t>
      </w:r>
      <w:proofErr w:type="spellEnd"/>
      <w:r w:rsidRPr="009B6F9C">
        <w:rPr>
          <w:rFonts w:asciiTheme="minorHAnsi" w:hAnsiTheme="minorHAnsi" w:cstheme="minorHAnsi"/>
          <w:sz w:val="24"/>
          <w:szCs w:val="24"/>
        </w:rPr>
        <w:t xml:space="preserve"> Grupo Editorial. Cortés, 2000</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Cortés, R. y Marshall, A. (1991). “Estrategias económicas, intervención social del Estado y regulación de la fuerza de trabajo”. </w:t>
      </w:r>
      <w:r w:rsidRPr="009B6F9C">
        <w:rPr>
          <w:rFonts w:asciiTheme="minorHAnsi" w:hAnsiTheme="minorHAnsi" w:cstheme="minorHAnsi"/>
          <w:i/>
          <w:sz w:val="24"/>
          <w:szCs w:val="24"/>
        </w:rPr>
        <w:t>Estudios del trabajo</w:t>
      </w:r>
      <w:r w:rsidRPr="009B6F9C">
        <w:rPr>
          <w:rFonts w:asciiTheme="minorHAnsi" w:hAnsiTheme="minorHAnsi" w:cstheme="minorHAnsi"/>
          <w:sz w:val="24"/>
          <w:szCs w:val="24"/>
        </w:rPr>
        <w:t>, 1, pp. 21-46.</w:t>
      </w:r>
    </w:p>
    <w:p w:rsidR="000B33B5" w:rsidRPr="000B33B5" w:rsidRDefault="000B33B5" w:rsidP="000B33B5">
      <w:pPr>
        <w:spacing w:after="0" w:line="240" w:lineRule="auto"/>
        <w:ind w:left="426" w:hanging="426"/>
        <w:jc w:val="both"/>
        <w:rPr>
          <w:rFonts w:asciiTheme="minorHAnsi" w:hAnsiTheme="minorHAnsi" w:cstheme="minorHAnsi"/>
          <w:sz w:val="24"/>
          <w:szCs w:val="24"/>
          <w:lang w:eastAsia="es-MX"/>
        </w:rPr>
      </w:pPr>
      <w:r w:rsidRPr="000B33B5">
        <w:rPr>
          <w:rFonts w:asciiTheme="minorHAnsi" w:hAnsiTheme="minorHAnsi" w:cstheme="minorHAnsi"/>
          <w:sz w:val="24"/>
          <w:szCs w:val="24"/>
          <w:lang w:eastAsia="es-MX"/>
        </w:rPr>
        <w:t xml:space="preserve">Cruces, G., y </w:t>
      </w:r>
      <w:proofErr w:type="spellStart"/>
      <w:r w:rsidRPr="000B33B5">
        <w:rPr>
          <w:rFonts w:asciiTheme="minorHAnsi" w:hAnsiTheme="minorHAnsi" w:cstheme="minorHAnsi"/>
          <w:sz w:val="24"/>
          <w:szCs w:val="24"/>
          <w:lang w:eastAsia="es-MX"/>
        </w:rPr>
        <w:t>Gasparini</w:t>
      </w:r>
      <w:proofErr w:type="spellEnd"/>
      <w:r w:rsidRPr="000B33B5">
        <w:rPr>
          <w:rFonts w:asciiTheme="minorHAnsi" w:hAnsiTheme="minorHAnsi" w:cstheme="minorHAnsi"/>
          <w:sz w:val="24"/>
          <w:szCs w:val="24"/>
          <w:lang w:eastAsia="es-MX"/>
        </w:rPr>
        <w:t xml:space="preserve">, L. (2009). </w:t>
      </w:r>
      <w:r>
        <w:rPr>
          <w:rFonts w:asciiTheme="minorHAnsi" w:hAnsiTheme="minorHAnsi" w:cstheme="minorHAnsi"/>
          <w:sz w:val="24"/>
          <w:szCs w:val="24"/>
          <w:lang w:eastAsia="es-MX"/>
        </w:rPr>
        <w:t>“</w:t>
      </w:r>
      <w:r w:rsidRPr="000B33B5">
        <w:rPr>
          <w:rFonts w:asciiTheme="minorHAnsi" w:hAnsiTheme="minorHAnsi" w:cstheme="minorHAnsi"/>
          <w:sz w:val="24"/>
          <w:szCs w:val="24"/>
          <w:lang w:eastAsia="es-MX"/>
        </w:rPr>
        <w:t>Los determinantes de los cambios en la desig</w:t>
      </w:r>
      <w:r>
        <w:rPr>
          <w:rFonts w:asciiTheme="minorHAnsi" w:hAnsiTheme="minorHAnsi" w:cstheme="minorHAnsi"/>
          <w:sz w:val="24"/>
          <w:szCs w:val="24"/>
          <w:lang w:eastAsia="es-MX"/>
        </w:rPr>
        <w:t xml:space="preserve">ualdad de ingresos en Argentina”, </w:t>
      </w:r>
      <w:r w:rsidRPr="000B33B5">
        <w:rPr>
          <w:rFonts w:asciiTheme="minorHAnsi" w:hAnsiTheme="minorHAnsi" w:cstheme="minorHAnsi"/>
          <w:sz w:val="24"/>
          <w:szCs w:val="24"/>
          <w:lang w:eastAsia="es-MX"/>
        </w:rPr>
        <w:t>Documentos de Trabajo sobre Políticas Sociales</w:t>
      </w:r>
      <w:r>
        <w:rPr>
          <w:rFonts w:asciiTheme="minorHAnsi" w:hAnsiTheme="minorHAnsi" w:cstheme="minorHAnsi"/>
          <w:sz w:val="24"/>
          <w:szCs w:val="24"/>
          <w:lang w:eastAsia="es-MX"/>
        </w:rPr>
        <w:t xml:space="preserve"> 5, Banco Mundial: </w:t>
      </w:r>
      <w:r w:rsidRPr="000B33B5">
        <w:rPr>
          <w:rFonts w:asciiTheme="minorHAnsi" w:hAnsiTheme="minorHAnsi" w:cstheme="minorHAnsi"/>
          <w:sz w:val="24"/>
          <w:szCs w:val="24"/>
          <w:lang w:eastAsia="es-MX"/>
        </w:rPr>
        <w:t>Buenos Aires</w:t>
      </w:r>
    </w:p>
    <w:p w:rsidR="000B33B5" w:rsidRPr="000B33B5" w:rsidRDefault="000B33B5" w:rsidP="000B33B5">
      <w:pPr>
        <w:spacing w:after="0" w:line="240" w:lineRule="auto"/>
        <w:ind w:left="426" w:hanging="426"/>
        <w:jc w:val="both"/>
        <w:rPr>
          <w:rFonts w:asciiTheme="minorHAnsi" w:hAnsiTheme="minorHAnsi" w:cstheme="minorHAnsi"/>
          <w:sz w:val="24"/>
          <w:szCs w:val="24"/>
          <w:lang w:eastAsia="es-MX"/>
        </w:rPr>
      </w:pPr>
      <w:r w:rsidRPr="000B33B5">
        <w:rPr>
          <w:rFonts w:asciiTheme="minorHAnsi" w:hAnsiTheme="minorHAnsi" w:cstheme="minorHAnsi"/>
          <w:sz w:val="24"/>
          <w:szCs w:val="24"/>
          <w:lang w:eastAsia="es-MX"/>
        </w:rPr>
        <w:t xml:space="preserve">Cruces, G. y L. </w:t>
      </w:r>
      <w:proofErr w:type="spellStart"/>
      <w:r w:rsidRPr="000B33B5">
        <w:rPr>
          <w:rFonts w:asciiTheme="minorHAnsi" w:hAnsiTheme="minorHAnsi" w:cstheme="minorHAnsi"/>
          <w:sz w:val="24"/>
          <w:szCs w:val="24"/>
          <w:lang w:eastAsia="es-MX"/>
        </w:rPr>
        <w:t>Gasparini</w:t>
      </w:r>
      <w:proofErr w:type="spellEnd"/>
      <w:r w:rsidRPr="000B33B5">
        <w:rPr>
          <w:rFonts w:asciiTheme="minorHAnsi" w:hAnsiTheme="minorHAnsi" w:cstheme="minorHAnsi"/>
          <w:sz w:val="24"/>
          <w:szCs w:val="24"/>
          <w:lang w:eastAsia="es-MX"/>
        </w:rPr>
        <w:t xml:space="preserve"> (2009), “Desigualdad en Argentina. Una revisión de la evidencia empírica”, en Desarrollo Económico Nº 192, vol. 42, enero-marzo 2009, IDES, Buenos Aires.</w:t>
      </w:r>
    </w:p>
    <w:p w:rsidR="009B6F9C" w:rsidRPr="009B6F9C" w:rsidRDefault="009B6F9C" w:rsidP="000B33B5">
      <w:pPr>
        <w:spacing w:after="120" w:line="240" w:lineRule="auto"/>
        <w:jc w:val="both"/>
        <w:rPr>
          <w:rFonts w:asciiTheme="minorHAnsi" w:hAnsiTheme="minorHAnsi" w:cstheme="minorHAnsi"/>
          <w:sz w:val="24"/>
          <w:szCs w:val="24"/>
        </w:rPr>
      </w:pPr>
      <w:proofErr w:type="spellStart"/>
      <w:r w:rsidRPr="009B6F9C">
        <w:rPr>
          <w:rFonts w:asciiTheme="minorHAnsi" w:hAnsiTheme="minorHAnsi" w:cstheme="minorHAnsi"/>
          <w:sz w:val="24"/>
          <w:szCs w:val="24"/>
        </w:rPr>
        <w:t>Curcio</w:t>
      </w:r>
      <w:proofErr w:type="spellEnd"/>
      <w:r w:rsidRPr="009B6F9C">
        <w:rPr>
          <w:rFonts w:asciiTheme="minorHAnsi" w:hAnsiTheme="minorHAnsi" w:cstheme="minorHAnsi"/>
          <w:sz w:val="24"/>
          <w:szCs w:val="24"/>
        </w:rPr>
        <w:t xml:space="preserve">, J. y </w:t>
      </w:r>
      <w:proofErr w:type="spellStart"/>
      <w:r w:rsidRPr="009B6F9C">
        <w:rPr>
          <w:rFonts w:asciiTheme="minorHAnsi" w:hAnsiTheme="minorHAnsi" w:cstheme="minorHAnsi"/>
          <w:sz w:val="24"/>
          <w:szCs w:val="24"/>
        </w:rPr>
        <w:t>Beccaria</w:t>
      </w:r>
      <w:proofErr w:type="spellEnd"/>
      <w:r w:rsidRPr="009B6F9C">
        <w:rPr>
          <w:rFonts w:asciiTheme="minorHAnsi" w:hAnsiTheme="minorHAnsi" w:cstheme="minorHAnsi"/>
          <w:sz w:val="24"/>
          <w:szCs w:val="24"/>
        </w:rPr>
        <w:t xml:space="preserve">, A. (2013). “Sistema de Seguridad Social y mercado de trabajo. Evolución de la cobertura en la Argentina entre 1990 y 2010”, en: C. </w:t>
      </w:r>
      <w:proofErr w:type="spellStart"/>
      <w:r w:rsidRPr="009B6F9C">
        <w:rPr>
          <w:rFonts w:asciiTheme="minorHAnsi" w:hAnsiTheme="minorHAnsi" w:cstheme="minorHAnsi"/>
          <w:sz w:val="24"/>
          <w:szCs w:val="24"/>
        </w:rPr>
        <w:t>Danani</w:t>
      </w:r>
      <w:proofErr w:type="spellEnd"/>
      <w:r w:rsidRPr="009B6F9C">
        <w:rPr>
          <w:rFonts w:asciiTheme="minorHAnsi" w:hAnsiTheme="minorHAnsi" w:cstheme="minorHAnsi"/>
          <w:sz w:val="24"/>
          <w:szCs w:val="24"/>
        </w:rPr>
        <w:t xml:space="preserve"> y S. </w:t>
      </w:r>
      <w:proofErr w:type="spellStart"/>
      <w:r w:rsidRPr="009B6F9C">
        <w:rPr>
          <w:rFonts w:asciiTheme="minorHAnsi" w:hAnsiTheme="minorHAnsi" w:cstheme="minorHAnsi"/>
          <w:sz w:val="24"/>
          <w:szCs w:val="24"/>
        </w:rPr>
        <w:t>Hintze</w:t>
      </w:r>
      <w:proofErr w:type="spellEnd"/>
      <w:r w:rsidRPr="009B6F9C">
        <w:rPr>
          <w:rFonts w:asciiTheme="minorHAnsi" w:hAnsiTheme="minorHAnsi" w:cstheme="minorHAnsi"/>
          <w:sz w:val="24"/>
          <w:szCs w:val="24"/>
        </w:rPr>
        <w:t xml:space="preserve"> (</w:t>
      </w:r>
      <w:proofErr w:type="spellStart"/>
      <w:r w:rsidRPr="009B6F9C">
        <w:rPr>
          <w:rFonts w:asciiTheme="minorHAnsi" w:hAnsiTheme="minorHAnsi" w:cstheme="minorHAnsi"/>
          <w:sz w:val="24"/>
          <w:szCs w:val="24"/>
        </w:rPr>
        <w:t>coords</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Protecciones y desprotecciones: la seguridad social en la Argentina (1990-2010)</w:t>
      </w:r>
      <w:r w:rsidRPr="009B6F9C">
        <w:rPr>
          <w:rFonts w:asciiTheme="minorHAnsi" w:hAnsiTheme="minorHAnsi" w:cstheme="minorHAnsi"/>
          <w:sz w:val="24"/>
          <w:szCs w:val="24"/>
        </w:rPr>
        <w:t xml:space="preserve">, tomo 1, Los Polvorines, UNGS. </w:t>
      </w:r>
    </w:p>
    <w:p w:rsidR="009B6F9C" w:rsidRPr="009B6F9C" w:rsidRDefault="009B6F9C" w:rsidP="009B6F9C">
      <w:pPr>
        <w:tabs>
          <w:tab w:val="left" w:pos="142"/>
        </w:tabs>
        <w:spacing w:after="0" w:line="240" w:lineRule="auto"/>
        <w:ind w:left="426" w:hanging="426"/>
        <w:jc w:val="both"/>
        <w:rPr>
          <w:rFonts w:asciiTheme="minorHAnsi" w:hAnsiTheme="minorHAnsi" w:cstheme="minorHAnsi"/>
          <w:color w:val="FF0000"/>
          <w:sz w:val="24"/>
          <w:szCs w:val="24"/>
          <w:highlight w:val="yellow"/>
        </w:rPr>
      </w:pPr>
      <w:proofErr w:type="spellStart"/>
      <w:r w:rsidRPr="009B6F9C">
        <w:rPr>
          <w:rFonts w:asciiTheme="minorHAnsi" w:hAnsiTheme="minorHAnsi" w:cstheme="minorHAnsi"/>
          <w:sz w:val="24"/>
          <w:szCs w:val="24"/>
        </w:rPr>
        <w:lastRenderedPageBreak/>
        <w:t>Danani</w:t>
      </w:r>
      <w:proofErr w:type="spellEnd"/>
      <w:r w:rsidRPr="009B6F9C">
        <w:rPr>
          <w:rFonts w:asciiTheme="minorHAnsi" w:hAnsiTheme="minorHAnsi" w:cstheme="minorHAnsi"/>
          <w:sz w:val="24"/>
          <w:szCs w:val="24"/>
        </w:rPr>
        <w:t xml:space="preserve">, C y </w:t>
      </w:r>
      <w:proofErr w:type="spellStart"/>
      <w:r w:rsidRPr="009B6F9C">
        <w:rPr>
          <w:rFonts w:asciiTheme="minorHAnsi" w:hAnsiTheme="minorHAnsi" w:cstheme="minorHAnsi"/>
          <w:sz w:val="24"/>
          <w:szCs w:val="24"/>
        </w:rPr>
        <w:t>Beccaria</w:t>
      </w:r>
      <w:proofErr w:type="spellEnd"/>
      <w:r w:rsidRPr="009B6F9C">
        <w:rPr>
          <w:rFonts w:asciiTheme="minorHAnsi" w:hAnsiTheme="minorHAnsi" w:cstheme="minorHAnsi"/>
          <w:sz w:val="24"/>
          <w:szCs w:val="24"/>
        </w:rPr>
        <w:t xml:space="preserve">, A (2013), “La (contra) reforma previsional argentina 2004-2008: aspectos institucionales y político-culturales del proceso de transformación de la protección”, en </w:t>
      </w:r>
      <w:proofErr w:type="spellStart"/>
      <w:r w:rsidRPr="009B6F9C">
        <w:rPr>
          <w:rFonts w:asciiTheme="minorHAnsi" w:hAnsiTheme="minorHAnsi" w:cstheme="minorHAnsi"/>
          <w:sz w:val="24"/>
          <w:szCs w:val="24"/>
        </w:rPr>
        <w:t>Danani</w:t>
      </w:r>
      <w:proofErr w:type="spellEnd"/>
      <w:r w:rsidRPr="009B6F9C">
        <w:rPr>
          <w:rFonts w:asciiTheme="minorHAnsi" w:hAnsiTheme="minorHAnsi" w:cstheme="minorHAnsi"/>
          <w:sz w:val="24"/>
          <w:szCs w:val="24"/>
        </w:rPr>
        <w:t xml:space="preserve">, C y S. </w:t>
      </w:r>
      <w:proofErr w:type="spellStart"/>
      <w:r w:rsidRPr="009B6F9C">
        <w:rPr>
          <w:rFonts w:asciiTheme="minorHAnsi" w:hAnsiTheme="minorHAnsi" w:cstheme="minorHAnsi"/>
          <w:sz w:val="24"/>
          <w:szCs w:val="24"/>
        </w:rPr>
        <w:t>Hintze</w:t>
      </w:r>
      <w:proofErr w:type="spellEnd"/>
      <w:r w:rsidRPr="009B6F9C">
        <w:rPr>
          <w:rFonts w:asciiTheme="minorHAnsi" w:hAnsiTheme="minorHAnsi" w:cstheme="minorHAnsi"/>
          <w:sz w:val="24"/>
          <w:szCs w:val="24"/>
        </w:rPr>
        <w:t xml:space="preserve"> (</w:t>
      </w:r>
      <w:proofErr w:type="spellStart"/>
      <w:r w:rsidRPr="009B6F9C">
        <w:rPr>
          <w:rFonts w:asciiTheme="minorHAnsi" w:hAnsiTheme="minorHAnsi" w:cstheme="minorHAnsi"/>
          <w:sz w:val="24"/>
          <w:szCs w:val="24"/>
        </w:rPr>
        <w:t>coords</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Protecciones y desprotecciones: la seguridad social en la Argentina (1990-2010)</w:t>
      </w:r>
      <w:r w:rsidRPr="009B6F9C">
        <w:rPr>
          <w:rFonts w:asciiTheme="minorHAnsi" w:hAnsiTheme="minorHAnsi" w:cstheme="minorHAnsi"/>
          <w:sz w:val="24"/>
          <w:szCs w:val="24"/>
        </w:rPr>
        <w:t>, tomo 1, Los Polvorines, UNGS.</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Donza</w:t>
      </w:r>
      <w:proofErr w:type="spellEnd"/>
      <w:r w:rsidRPr="009B6F9C">
        <w:rPr>
          <w:rFonts w:asciiTheme="minorHAnsi" w:hAnsiTheme="minorHAnsi" w:cstheme="minorHAnsi"/>
          <w:sz w:val="24"/>
          <w:szCs w:val="24"/>
        </w:rPr>
        <w:t xml:space="preserve">, E. (2015). “Cambios en las capacidades de consumo en la estructura social urbana” En </w:t>
      </w:r>
      <w:proofErr w:type="spellStart"/>
      <w:r w:rsidRPr="009B6F9C">
        <w:rPr>
          <w:rFonts w:asciiTheme="minorHAnsi" w:hAnsiTheme="minorHAnsi" w:cstheme="minorHAnsi"/>
          <w:sz w:val="24"/>
          <w:szCs w:val="24"/>
        </w:rPr>
        <w:t>Lindenboim</w:t>
      </w:r>
      <w:proofErr w:type="spellEnd"/>
      <w:r w:rsidRPr="009B6F9C">
        <w:rPr>
          <w:rFonts w:asciiTheme="minorHAnsi" w:hAnsiTheme="minorHAnsi" w:cstheme="minorHAnsi"/>
          <w:sz w:val="24"/>
          <w:szCs w:val="24"/>
        </w:rPr>
        <w:t>, J. y Salvia, A. (</w:t>
      </w:r>
      <w:proofErr w:type="spellStart"/>
      <w:r w:rsidRPr="009B6F9C">
        <w:rPr>
          <w:rFonts w:asciiTheme="minorHAnsi" w:hAnsiTheme="minorHAnsi" w:cstheme="minorHAnsi"/>
          <w:sz w:val="24"/>
          <w:szCs w:val="24"/>
        </w:rPr>
        <w:t>coords</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Hora de balance: proceso de acumulación, mercado de trabajo y bienestar. Argentina, 2002-2014</w:t>
      </w:r>
      <w:r w:rsidRPr="009B6F9C">
        <w:rPr>
          <w:rFonts w:asciiTheme="minorHAnsi" w:hAnsiTheme="minorHAnsi" w:cstheme="minorHAnsi"/>
          <w:sz w:val="24"/>
          <w:szCs w:val="24"/>
        </w:rPr>
        <w:t>, Buenos Aires: EUDEBA.</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Groisman</w:t>
      </w:r>
      <w:proofErr w:type="spellEnd"/>
      <w:r w:rsidRPr="009B6F9C">
        <w:rPr>
          <w:rFonts w:asciiTheme="minorHAnsi" w:hAnsiTheme="minorHAnsi" w:cstheme="minorHAnsi"/>
          <w:sz w:val="24"/>
          <w:szCs w:val="24"/>
        </w:rPr>
        <w:t xml:space="preserve">, F. (2014). “Empleo, salarios y desigualdad en Argentina: análisis de los determinantes distributivos”, </w:t>
      </w:r>
      <w:r w:rsidRPr="009B6F9C">
        <w:rPr>
          <w:rFonts w:asciiTheme="minorHAnsi" w:hAnsiTheme="minorHAnsi" w:cstheme="minorHAnsi"/>
          <w:i/>
          <w:sz w:val="24"/>
          <w:szCs w:val="24"/>
        </w:rPr>
        <w:t>Problemas del Desarrollo</w:t>
      </w:r>
      <w:r w:rsidRPr="009B6F9C">
        <w:rPr>
          <w:rFonts w:asciiTheme="minorHAnsi" w:hAnsiTheme="minorHAnsi" w:cstheme="minorHAnsi"/>
          <w:sz w:val="24"/>
          <w:szCs w:val="24"/>
        </w:rPr>
        <w:t>, vol. 117, núm. 45, México, UNAM-IIEC, abril-junio.</w:t>
      </w:r>
    </w:p>
    <w:p w:rsidR="009B6F9C" w:rsidRPr="009B6F9C" w:rsidRDefault="009B6F9C" w:rsidP="009B6F9C">
      <w:pPr>
        <w:autoSpaceDE w:val="0"/>
        <w:autoSpaceDN w:val="0"/>
        <w:adjustRightInd w:val="0"/>
        <w:spacing w:after="0" w:line="240" w:lineRule="auto"/>
        <w:ind w:left="426" w:hanging="426"/>
        <w:jc w:val="both"/>
        <w:rPr>
          <w:rFonts w:asciiTheme="minorHAnsi" w:hAnsiTheme="minorHAnsi" w:cstheme="minorHAnsi"/>
          <w:sz w:val="24"/>
          <w:szCs w:val="24"/>
          <w:lang w:eastAsia="es-ES"/>
        </w:rPr>
      </w:pPr>
      <w:r w:rsidRPr="009B6F9C">
        <w:rPr>
          <w:rFonts w:asciiTheme="minorHAnsi" w:hAnsiTheme="minorHAnsi" w:cstheme="minorHAnsi"/>
          <w:sz w:val="24"/>
          <w:szCs w:val="24"/>
          <w:lang w:eastAsia="es-ES"/>
        </w:rPr>
        <w:t xml:space="preserve">Instituto Nacional de Estadística y Censos [INDEC] (2003). </w:t>
      </w:r>
      <w:r w:rsidRPr="009B6F9C">
        <w:rPr>
          <w:rFonts w:asciiTheme="minorHAnsi" w:hAnsiTheme="minorHAnsi" w:cstheme="minorHAnsi"/>
          <w:i/>
          <w:iCs/>
          <w:sz w:val="24"/>
          <w:szCs w:val="24"/>
          <w:lang w:eastAsia="es-ES"/>
        </w:rPr>
        <w:t>La nueva Encuesta Permanente de Hogares de Argentina. 2003</w:t>
      </w:r>
      <w:r w:rsidRPr="009B6F9C">
        <w:rPr>
          <w:rFonts w:asciiTheme="minorHAnsi" w:hAnsiTheme="minorHAnsi" w:cstheme="minorHAnsi"/>
          <w:sz w:val="24"/>
          <w:szCs w:val="24"/>
          <w:lang w:eastAsia="es-ES"/>
        </w:rPr>
        <w:t>. Buenos Aires, Ministerio de Economía y Producción/Secretaría de Política Económica, Instituto Nacional de Estadística y Censos.</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Isuani</w:t>
      </w:r>
      <w:proofErr w:type="spellEnd"/>
      <w:r w:rsidRPr="009B6F9C">
        <w:rPr>
          <w:rFonts w:asciiTheme="minorHAnsi" w:hAnsiTheme="minorHAnsi" w:cstheme="minorHAnsi"/>
          <w:sz w:val="24"/>
          <w:szCs w:val="24"/>
        </w:rPr>
        <w:t>, A. (2008). “La política social argentina en perspectiva”</w:t>
      </w:r>
      <w:r w:rsidRPr="009B6F9C">
        <w:rPr>
          <w:rFonts w:asciiTheme="minorHAnsi" w:hAnsiTheme="minorHAnsi" w:cstheme="minorHAnsi"/>
          <w:color w:val="545454"/>
          <w:sz w:val="24"/>
          <w:szCs w:val="24"/>
          <w:shd w:val="clear" w:color="auto" w:fill="FFFFFF"/>
        </w:rPr>
        <w:t xml:space="preserve">, </w:t>
      </w:r>
      <w:r w:rsidRPr="009B6F9C">
        <w:rPr>
          <w:rFonts w:asciiTheme="minorHAnsi" w:hAnsiTheme="minorHAnsi" w:cstheme="minorHAnsi"/>
          <w:sz w:val="24"/>
          <w:szCs w:val="24"/>
          <w:shd w:val="clear" w:color="auto" w:fill="FFFFFF"/>
        </w:rPr>
        <w:t>e</w:t>
      </w:r>
      <w:r w:rsidRPr="009B6F9C">
        <w:rPr>
          <w:rFonts w:asciiTheme="minorHAnsi" w:hAnsiTheme="minorHAnsi" w:cstheme="minorHAnsi"/>
          <w:sz w:val="24"/>
          <w:szCs w:val="24"/>
        </w:rPr>
        <w:t xml:space="preserve">n Cruces, G., </w:t>
      </w:r>
      <w:proofErr w:type="spellStart"/>
      <w:r w:rsidRPr="009B6F9C">
        <w:rPr>
          <w:rFonts w:asciiTheme="minorHAnsi" w:hAnsiTheme="minorHAnsi" w:cstheme="minorHAnsi"/>
          <w:sz w:val="24"/>
          <w:szCs w:val="24"/>
        </w:rPr>
        <w:t>Ringold</w:t>
      </w:r>
      <w:proofErr w:type="spellEnd"/>
      <w:r w:rsidRPr="009B6F9C">
        <w:rPr>
          <w:rFonts w:asciiTheme="minorHAnsi" w:hAnsiTheme="minorHAnsi" w:cstheme="minorHAnsi"/>
          <w:sz w:val="24"/>
          <w:szCs w:val="24"/>
        </w:rPr>
        <w:t xml:space="preserve">, D. y </w:t>
      </w:r>
      <w:proofErr w:type="spellStart"/>
      <w:r w:rsidRPr="009B6F9C">
        <w:rPr>
          <w:rFonts w:asciiTheme="minorHAnsi" w:hAnsiTheme="minorHAnsi" w:cstheme="minorHAnsi"/>
          <w:sz w:val="24"/>
          <w:szCs w:val="24"/>
        </w:rPr>
        <w:t>Rofman</w:t>
      </w:r>
      <w:proofErr w:type="spellEnd"/>
      <w:r w:rsidRPr="009B6F9C">
        <w:rPr>
          <w:rFonts w:asciiTheme="minorHAnsi" w:hAnsiTheme="minorHAnsi" w:cstheme="minorHAnsi"/>
          <w:sz w:val="24"/>
          <w:szCs w:val="24"/>
        </w:rPr>
        <w:t xml:space="preserve">, R. (eds.), </w:t>
      </w:r>
      <w:r w:rsidRPr="009B6F9C">
        <w:rPr>
          <w:rFonts w:asciiTheme="minorHAnsi" w:hAnsiTheme="minorHAnsi" w:cstheme="minorHAnsi"/>
          <w:i/>
          <w:sz w:val="24"/>
          <w:szCs w:val="24"/>
        </w:rPr>
        <w:t>Los programas sociales en Argentina hacia el Bicentenario. Visiones y perspectivas</w:t>
      </w:r>
      <w:r w:rsidRPr="009B6F9C">
        <w:rPr>
          <w:rFonts w:asciiTheme="minorHAnsi" w:hAnsiTheme="minorHAnsi" w:cstheme="minorHAnsi"/>
          <w:sz w:val="24"/>
          <w:szCs w:val="24"/>
        </w:rPr>
        <w:t xml:space="preserve">, Buenos Aires, </w:t>
      </w:r>
      <w:r w:rsidRPr="009B6F9C">
        <w:rPr>
          <w:rFonts w:asciiTheme="minorHAnsi" w:hAnsiTheme="minorHAnsi" w:cstheme="minorHAnsi"/>
          <w:sz w:val="24"/>
          <w:szCs w:val="24"/>
          <w:shd w:val="clear" w:color="auto" w:fill="FFFFFF"/>
        </w:rPr>
        <w:t>Banco Mundial.</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lang w:val="pt-BR"/>
        </w:rPr>
        <w:t>Isuani</w:t>
      </w:r>
      <w:proofErr w:type="spellEnd"/>
      <w:r w:rsidRPr="009B6F9C">
        <w:rPr>
          <w:rFonts w:asciiTheme="minorHAnsi" w:hAnsiTheme="minorHAnsi" w:cstheme="minorHAnsi"/>
          <w:sz w:val="24"/>
          <w:szCs w:val="24"/>
          <w:lang w:val="pt-BR"/>
        </w:rPr>
        <w:t xml:space="preserve">, A. (2008). </w:t>
      </w:r>
      <w:r w:rsidRPr="009B6F9C">
        <w:rPr>
          <w:rFonts w:asciiTheme="minorHAnsi" w:hAnsiTheme="minorHAnsi" w:cstheme="minorHAnsi"/>
          <w:sz w:val="24"/>
          <w:szCs w:val="24"/>
        </w:rPr>
        <w:t>La política social argentina en perspectiva</w:t>
      </w:r>
      <w:r w:rsidRPr="009B6F9C">
        <w:rPr>
          <w:rFonts w:asciiTheme="minorHAnsi" w:hAnsiTheme="minorHAnsi" w:cstheme="minorHAnsi"/>
          <w:color w:val="545454"/>
          <w:sz w:val="24"/>
          <w:szCs w:val="24"/>
          <w:shd w:val="clear" w:color="auto" w:fill="FFFFFF"/>
        </w:rPr>
        <w:t>. E</w:t>
      </w:r>
      <w:r w:rsidRPr="009B6F9C">
        <w:rPr>
          <w:rFonts w:asciiTheme="minorHAnsi" w:hAnsiTheme="minorHAnsi" w:cstheme="minorHAnsi"/>
          <w:sz w:val="24"/>
          <w:szCs w:val="24"/>
        </w:rPr>
        <w:t xml:space="preserve">n Cruces, G., </w:t>
      </w:r>
      <w:proofErr w:type="spellStart"/>
      <w:r w:rsidRPr="009B6F9C">
        <w:rPr>
          <w:rFonts w:asciiTheme="minorHAnsi" w:hAnsiTheme="minorHAnsi" w:cstheme="minorHAnsi"/>
          <w:sz w:val="24"/>
          <w:szCs w:val="24"/>
        </w:rPr>
        <w:t>Ringold</w:t>
      </w:r>
      <w:proofErr w:type="spellEnd"/>
      <w:r w:rsidRPr="009B6F9C">
        <w:rPr>
          <w:rFonts w:asciiTheme="minorHAnsi" w:hAnsiTheme="minorHAnsi" w:cstheme="minorHAnsi"/>
          <w:sz w:val="24"/>
          <w:szCs w:val="24"/>
        </w:rPr>
        <w:t xml:space="preserve">, D. y </w:t>
      </w:r>
      <w:proofErr w:type="spellStart"/>
      <w:r w:rsidRPr="009B6F9C">
        <w:rPr>
          <w:rFonts w:asciiTheme="minorHAnsi" w:hAnsiTheme="minorHAnsi" w:cstheme="minorHAnsi"/>
          <w:sz w:val="24"/>
          <w:szCs w:val="24"/>
        </w:rPr>
        <w:t>Rofman</w:t>
      </w:r>
      <w:proofErr w:type="spellEnd"/>
      <w:r w:rsidRPr="009B6F9C">
        <w:rPr>
          <w:rFonts w:asciiTheme="minorHAnsi" w:hAnsiTheme="minorHAnsi" w:cstheme="minorHAnsi"/>
          <w:sz w:val="24"/>
          <w:szCs w:val="24"/>
        </w:rPr>
        <w:t xml:space="preserve">, R. (eds.), </w:t>
      </w:r>
      <w:r w:rsidRPr="009B6F9C">
        <w:rPr>
          <w:rFonts w:asciiTheme="minorHAnsi" w:hAnsiTheme="minorHAnsi" w:cstheme="minorHAnsi"/>
          <w:i/>
          <w:sz w:val="24"/>
          <w:szCs w:val="24"/>
        </w:rPr>
        <w:t>Los programas sociales en Argentina hacia el Bicentenario. Visiones y perspectivas</w:t>
      </w:r>
      <w:r w:rsidRPr="009B6F9C">
        <w:rPr>
          <w:rFonts w:asciiTheme="minorHAnsi" w:hAnsiTheme="minorHAnsi" w:cstheme="minorHAnsi"/>
          <w:sz w:val="24"/>
          <w:szCs w:val="24"/>
        </w:rPr>
        <w:t xml:space="preserve">, (pp. 169-198), Buenos Aires: </w:t>
      </w:r>
      <w:r w:rsidRPr="009B6F9C">
        <w:rPr>
          <w:rFonts w:asciiTheme="minorHAnsi" w:hAnsiTheme="minorHAnsi" w:cstheme="minorHAnsi"/>
          <w:sz w:val="24"/>
          <w:szCs w:val="24"/>
          <w:shd w:val="clear" w:color="auto" w:fill="FFFFFF"/>
        </w:rPr>
        <w:t>Banco Mundial.</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Isuani</w:t>
      </w:r>
      <w:proofErr w:type="spellEnd"/>
      <w:r w:rsidRPr="009B6F9C">
        <w:rPr>
          <w:rFonts w:asciiTheme="minorHAnsi" w:hAnsiTheme="minorHAnsi" w:cstheme="minorHAnsi"/>
          <w:sz w:val="24"/>
          <w:szCs w:val="24"/>
        </w:rPr>
        <w:t xml:space="preserve">, A., </w:t>
      </w:r>
      <w:proofErr w:type="spellStart"/>
      <w:r w:rsidRPr="009B6F9C">
        <w:rPr>
          <w:rFonts w:asciiTheme="minorHAnsi" w:hAnsiTheme="minorHAnsi" w:cstheme="minorHAnsi"/>
          <w:sz w:val="24"/>
          <w:szCs w:val="24"/>
        </w:rPr>
        <w:t>Tenti</w:t>
      </w:r>
      <w:proofErr w:type="spellEnd"/>
      <w:r w:rsidRPr="009B6F9C">
        <w:rPr>
          <w:rFonts w:asciiTheme="minorHAnsi" w:hAnsiTheme="minorHAnsi" w:cstheme="minorHAnsi"/>
          <w:sz w:val="24"/>
          <w:szCs w:val="24"/>
        </w:rPr>
        <w:t xml:space="preserve"> </w:t>
      </w:r>
      <w:proofErr w:type="spellStart"/>
      <w:r w:rsidRPr="009B6F9C">
        <w:rPr>
          <w:rFonts w:asciiTheme="minorHAnsi" w:hAnsiTheme="minorHAnsi" w:cstheme="minorHAnsi"/>
          <w:sz w:val="24"/>
          <w:szCs w:val="24"/>
        </w:rPr>
        <w:t>Fanfani</w:t>
      </w:r>
      <w:proofErr w:type="spellEnd"/>
      <w:r w:rsidRPr="009B6F9C">
        <w:rPr>
          <w:rFonts w:asciiTheme="minorHAnsi" w:hAnsiTheme="minorHAnsi" w:cstheme="minorHAnsi"/>
          <w:sz w:val="24"/>
          <w:szCs w:val="24"/>
        </w:rPr>
        <w:t xml:space="preserve">, E. y Lo </w:t>
      </w:r>
      <w:proofErr w:type="spellStart"/>
      <w:r w:rsidRPr="009B6F9C">
        <w:rPr>
          <w:rFonts w:asciiTheme="minorHAnsi" w:hAnsiTheme="minorHAnsi" w:cstheme="minorHAnsi"/>
          <w:sz w:val="24"/>
          <w:szCs w:val="24"/>
        </w:rPr>
        <w:t>Vuolo</w:t>
      </w:r>
      <w:proofErr w:type="spellEnd"/>
      <w:r w:rsidRPr="009B6F9C">
        <w:rPr>
          <w:rFonts w:asciiTheme="minorHAnsi" w:hAnsiTheme="minorHAnsi" w:cstheme="minorHAnsi"/>
          <w:sz w:val="24"/>
          <w:szCs w:val="24"/>
        </w:rPr>
        <w:t xml:space="preserve">, R. (1991) </w:t>
      </w:r>
      <w:r w:rsidRPr="009B6F9C">
        <w:rPr>
          <w:rFonts w:asciiTheme="minorHAnsi" w:hAnsiTheme="minorHAnsi" w:cstheme="minorHAnsi"/>
          <w:i/>
          <w:sz w:val="24"/>
          <w:szCs w:val="24"/>
        </w:rPr>
        <w:t xml:space="preserve">El estado benefactor: un paradigma en crisis, </w:t>
      </w:r>
      <w:r w:rsidRPr="009B6F9C">
        <w:rPr>
          <w:rFonts w:asciiTheme="minorHAnsi" w:hAnsiTheme="minorHAnsi" w:cstheme="minorHAnsi"/>
          <w:sz w:val="24"/>
          <w:szCs w:val="24"/>
        </w:rPr>
        <w:t>Buenos Aires: Miño y Dávila/CIEPP.</w:t>
      </w:r>
    </w:p>
    <w:p w:rsidR="009B6F9C" w:rsidRPr="009B6F9C" w:rsidRDefault="009B6F9C" w:rsidP="009B6F9C">
      <w:pPr>
        <w:pStyle w:val="Sinespaciad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Lindenboim</w:t>
      </w:r>
      <w:proofErr w:type="spellEnd"/>
      <w:r w:rsidRPr="009B6F9C">
        <w:rPr>
          <w:rFonts w:asciiTheme="minorHAnsi" w:hAnsiTheme="minorHAnsi" w:cstheme="minorHAnsi"/>
          <w:sz w:val="24"/>
          <w:szCs w:val="24"/>
        </w:rPr>
        <w:t xml:space="preserve">, J. (2012). "La pobreza: una tensión social más allá de la metrópolis", en L. </w:t>
      </w:r>
      <w:proofErr w:type="spellStart"/>
      <w:r w:rsidRPr="009B6F9C">
        <w:rPr>
          <w:rFonts w:asciiTheme="minorHAnsi" w:hAnsiTheme="minorHAnsi" w:cstheme="minorHAnsi"/>
          <w:sz w:val="24"/>
          <w:szCs w:val="24"/>
        </w:rPr>
        <w:t>Ainstein</w:t>
      </w:r>
      <w:proofErr w:type="spellEnd"/>
      <w:r w:rsidRPr="009B6F9C">
        <w:rPr>
          <w:rFonts w:asciiTheme="minorHAnsi" w:hAnsiTheme="minorHAnsi" w:cstheme="minorHAnsi"/>
          <w:sz w:val="24"/>
          <w:szCs w:val="24"/>
        </w:rPr>
        <w:t xml:space="preserve"> (</w:t>
      </w:r>
      <w:proofErr w:type="spellStart"/>
      <w:r w:rsidRPr="009B6F9C">
        <w:rPr>
          <w:rFonts w:asciiTheme="minorHAnsi" w:hAnsiTheme="minorHAnsi" w:cstheme="minorHAnsi"/>
          <w:sz w:val="24"/>
          <w:szCs w:val="24"/>
        </w:rPr>
        <w:t>comp.</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 xml:space="preserve">Estructuración urbana, institucionalidad y sustentabilidad de ciudades metropolitanas y regiones difusas. Miradas comparadas sobre Buenos Aires, Londres, Los </w:t>
      </w:r>
      <w:proofErr w:type="spellStart"/>
      <w:r w:rsidRPr="009B6F9C">
        <w:rPr>
          <w:rFonts w:asciiTheme="minorHAnsi" w:hAnsiTheme="minorHAnsi" w:cstheme="minorHAnsi"/>
          <w:i/>
          <w:sz w:val="24"/>
          <w:szCs w:val="24"/>
        </w:rPr>
        <w:t>Angeles</w:t>
      </w:r>
      <w:proofErr w:type="spellEnd"/>
      <w:r w:rsidRPr="009B6F9C">
        <w:rPr>
          <w:rFonts w:asciiTheme="minorHAnsi" w:hAnsiTheme="minorHAnsi" w:cstheme="minorHAnsi"/>
          <w:i/>
          <w:sz w:val="24"/>
          <w:szCs w:val="24"/>
        </w:rPr>
        <w:t>, Paris, Tokio y Toronto</w:t>
      </w:r>
      <w:r w:rsidRPr="009B6F9C">
        <w:rPr>
          <w:rFonts w:asciiTheme="minorHAnsi" w:hAnsiTheme="minorHAnsi" w:cstheme="minorHAnsi"/>
          <w:sz w:val="24"/>
          <w:szCs w:val="24"/>
        </w:rPr>
        <w:t xml:space="preserve">. Buenos Aires, </w:t>
      </w:r>
      <w:proofErr w:type="spellStart"/>
      <w:r w:rsidRPr="009B6F9C">
        <w:rPr>
          <w:rFonts w:asciiTheme="minorHAnsi" w:hAnsiTheme="minorHAnsi" w:cstheme="minorHAnsi"/>
          <w:sz w:val="24"/>
          <w:szCs w:val="24"/>
        </w:rPr>
        <w:t>Eudeba</w:t>
      </w:r>
      <w:proofErr w:type="spellEnd"/>
      <w:r w:rsidRPr="009B6F9C">
        <w:rPr>
          <w:rFonts w:asciiTheme="minorHAnsi" w:hAnsiTheme="minorHAnsi" w:cstheme="minorHAnsi"/>
          <w:sz w:val="24"/>
          <w:szCs w:val="24"/>
        </w:rPr>
        <w:t>.</w:t>
      </w:r>
    </w:p>
    <w:p w:rsidR="009B6F9C" w:rsidRPr="009B6F9C" w:rsidRDefault="009B6F9C" w:rsidP="009B6F9C">
      <w:pPr>
        <w:autoSpaceDE w:val="0"/>
        <w:autoSpaceDN w:val="0"/>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Medina, F. y Galván, M. (2008). Crecimiento económico, pobreza y distribución del ingreso. Fundamentos teóricos y evidencia empírica para América Latina, 1997-2007</w:t>
      </w:r>
      <w:r w:rsidRPr="009B6F9C">
        <w:rPr>
          <w:rFonts w:asciiTheme="minorHAnsi" w:hAnsiTheme="minorHAnsi" w:cstheme="minorHAnsi"/>
          <w:color w:val="545454"/>
          <w:sz w:val="24"/>
          <w:szCs w:val="24"/>
          <w:shd w:val="clear" w:color="auto" w:fill="FFFFFF"/>
        </w:rPr>
        <w:t xml:space="preserve">, </w:t>
      </w:r>
      <w:r w:rsidRPr="009B6F9C">
        <w:rPr>
          <w:rFonts w:asciiTheme="minorHAnsi" w:hAnsiTheme="minorHAnsi" w:cstheme="minorHAnsi"/>
          <w:i/>
          <w:sz w:val="24"/>
          <w:szCs w:val="24"/>
        </w:rPr>
        <w:t>Serie de Estudios Estadísticos</w:t>
      </w:r>
      <w:r w:rsidRPr="009B6F9C">
        <w:rPr>
          <w:rFonts w:asciiTheme="minorHAnsi" w:hAnsiTheme="minorHAnsi" w:cstheme="minorHAnsi"/>
          <w:sz w:val="24"/>
          <w:szCs w:val="24"/>
        </w:rPr>
        <w:t>. Santiago de Chile: CEPAL.</w:t>
      </w:r>
    </w:p>
    <w:p w:rsidR="009B6F9C" w:rsidRPr="009B6F9C" w:rsidRDefault="009B6F9C" w:rsidP="009B6F9C">
      <w:pPr>
        <w:autoSpaceDE w:val="0"/>
        <w:autoSpaceDN w:val="0"/>
        <w:adjustRightInd w:val="0"/>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Poy, S., Vera, J. y Salvia, A. (2015). “Cambios en la distribución del ingreso y en los patrones de reproducción social de los hogares del Gran Buenos Aires (1974-2014)”, Ponencia a las XII Jornadas Argentinas de Estudios de Población, Salta, 16-18 de septiembre de 2015.</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Rofman</w:t>
      </w:r>
      <w:proofErr w:type="spellEnd"/>
      <w:r w:rsidRPr="009B6F9C">
        <w:rPr>
          <w:rFonts w:asciiTheme="minorHAnsi" w:hAnsiTheme="minorHAnsi" w:cstheme="minorHAnsi"/>
          <w:sz w:val="24"/>
          <w:szCs w:val="24"/>
        </w:rPr>
        <w:t xml:space="preserve">, R. y </w:t>
      </w:r>
      <w:proofErr w:type="spellStart"/>
      <w:r w:rsidRPr="009B6F9C">
        <w:rPr>
          <w:rFonts w:asciiTheme="minorHAnsi" w:hAnsiTheme="minorHAnsi" w:cstheme="minorHAnsi"/>
          <w:sz w:val="24"/>
          <w:szCs w:val="24"/>
        </w:rPr>
        <w:t>Oliveri</w:t>
      </w:r>
      <w:proofErr w:type="spellEnd"/>
      <w:r w:rsidRPr="009B6F9C">
        <w:rPr>
          <w:rFonts w:asciiTheme="minorHAnsi" w:hAnsiTheme="minorHAnsi" w:cstheme="minorHAnsi"/>
          <w:sz w:val="24"/>
          <w:szCs w:val="24"/>
        </w:rPr>
        <w:t xml:space="preserve">, L. (2012). “Un repaso sobre las políticas de protección social y la distribución del ingreso en la Argentina”. </w:t>
      </w:r>
      <w:r w:rsidRPr="009B6F9C">
        <w:rPr>
          <w:rFonts w:asciiTheme="minorHAnsi" w:hAnsiTheme="minorHAnsi" w:cstheme="minorHAnsi"/>
          <w:i/>
          <w:sz w:val="24"/>
          <w:szCs w:val="24"/>
        </w:rPr>
        <w:t>Económica</w:t>
      </w:r>
      <w:r w:rsidRPr="009B6F9C">
        <w:rPr>
          <w:rFonts w:asciiTheme="minorHAnsi" w:hAnsiTheme="minorHAnsi" w:cstheme="minorHAnsi"/>
          <w:sz w:val="24"/>
          <w:szCs w:val="24"/>
        </w:rPr>
        <w:t xml:space="preserve">, 58, pp. 97-128 </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Salvia, A. y Vera, J. (2013) “Heterogeneidad estructural y distribución de los ingresos familiares en el Gran Buenos Aires (1992-2010)”, </w:t>
      </w:r>
      <w:r w:rsidRPr="009B6F9C">
        <w:rPr>
          <w:rFonts w:asciiTheme="minorHAnsi" w:hAnsiTheme="minorHAnsi" w:cstheme="minorHAnsi"/>
          <w:i/>
          <w:sz w:val="24"/>
          <w:szCs w:val="24"/>
        </w:rPr>
        <w:t>Desarrollo Económico</w:t>
      </w:r>
      <w:r w:rsidRPr="009B6F9C">
        <w:rPr>
          <w:rFonts w:asciiTheme="minorHAnsi" w:hAnsiTheme="minorHAnsi" w:cstheme="minorHAnsi"/>
          <w:sz w:val="24"/>
          <w:szCs w:val="24"/>
        </w:rPr>
        <w:t>, vol. 52, núm. 207, Buenos Aires, IDES, octubre-marzo.</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Salvia, A. (2012). </w:t>
      </w:r>
      <w:r w:rsidRPr="009B6F9C">
        <w:rPr>
          <w:rFonts w:asciiTheme="minorHAnsi" w:hAnsiTheme="minorHAnsi" w:cstheme="minorHAnsi"/>
          <w:i/>
          <w:sz w:val="24"/>
          <w:szCs w:val="24"/>
        </w:rPr>
        <w:t>La trampa neoliberal. Un estudio sobre los cambios en la heterogeneidad estructural y la distribución del ingreso en la Argentina: 1990-2003</w:t>
      </w:r>
      <w:r w:rsidRPr="009B6F9C">
        <w:rPr>
          <w:rFonts w:asciiTheme="minorHAnsi" w:hAnsiTheme="minorHAnsi" w:cstheme="minorHAnsi"/>
          <w:sz w:val="24"/>
          <w:szCs w:val="24"/>
        </w:rPr>
        <w:t xml:space="preserve">. Buenos Aires: </w:t>
      </w:r>
      <w:proofErr w:type="spellStart"/>
      <w:r w:rsidRPr="009B6F9C">
        <w:rPr>
          <w:rFonts w:asciiTheme="minorHAnsi" w:hAnsiTheme="minorHAnsi" w:cstheme="minorHAnsi"/>
          <w:sz w:val="24"/>
          <w:szCs w:val="24"/>
        </w:rPr>
        <w:t>Eudeba</w:t>
      </w:r>
      <w:proofErr w:type="spellEnd"/>
      <w:r w:rsidRPr="009B6F9C">
        <w:rPr>
          <w:rFonts w:asciiTheme="minorHAnsi" w:hAnsiTheme="minorHAnsi" w:cstheme="minorHAnsi"/>
          <w:sz w:val="24"/>
          <w:szCs w:val="24"/>
        </w:rPr>
        <w:t xml:space="preserve">. </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Salvia, A. y </w:t>
      </w:r>
      <w:proofErr w:type="spellStart"/>
      <w:r w:rsidRPr="009B6F9C">
        <w:rPr>
          <w:rFonts w:asciiTheme="minorHAnsi" w:hAnsiTheme="minorHAnsi" w:cstheme="minorHAnsi"/>
          <w:sz w:val="24"/>
          <w:szCs w:val="24"/>
        </w:rPr>
        <w:t>Donza</w:t>
      </w:r>
      <w:proofErr w:type="spellEnd"/>
      <w:r w:rsidRPr="009B6F9C">
        <w:rPr>
          <w:rFonts w:asciiTheme="minorHAnsi" w:hAnsiTheme="minorHAnsi" w:cstheme="minorHAnsi"/>
          <w:sz w:val="24"/>
          <w:szCs w:val="24"/>
        </w:rPr>
        <w:t xml:space="preserve">, E. (1999). “Problemas de medición y sesgos de estimación derivados de la no respuesta completa a la pregunta de ingresos de la EPH (1990-1999)” en: </w:t>
      </w:r>
      <w:r w:rsidRPr="009B6F9C">
        <w:rPr>
          <w:rFonts w:asciiTheme="minorHAnsi" w:hAnsiTheme="minorHAnsi" w:cstheme="minorHAnsi"/>
          <w:i/>
          <w:sz w:val="24"/>
          <w:szCs w:val="24"/>
        </w:rPr>
        <w:t>Revista Estudios del Trabajo</w:t>
      </w:r>
      <w:r w:rsidRPr="009B6F9C">
        <w:rPr>
          <w:rFonts w:asciiTheme="minorHAnsi" w:hAnsiTheme="minorHAnsi" w:cstheme="minorHAnsi"/>
          <w:sz w:val="24"/>
          <w:szCs w:val="24"/>
        </w:rPr>
        <w:t>, 18.</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lastRenderedPageBreak/>
        <w:t xml:space="preserve">Salvia, A. y Vera, J. (2013) Heterogeneidad estructural y distribución de los ingresos familiares en el Gran Buenos Aires (1992-2010), </w:t>
      </w:r>
      <w:r w:rsidRPr="009B6F9C">
        <w:rPr>
          <w:rFonts w:asciiTheme="minorHAnsi" w:hAnsiTheme="minorHAnsi" w:cstheme="minorHAnsi"/>
          <w:i/>
          <w:sz w:val="24"/>
          <w:szCs w:val="24"/>
        </w:rPr>
        <w:t>Desarrollo Económico</w:t>
      </w:r>
      <w:r w:rsidRPr="009B6F9C">
        <w:rPr>
          <w:rFonts w:asciiTheme="minorHAnsi" w:hAnsiTheme="minorHAnsi" w:cstheme="minorHAnsi"/>
          <w:sz w:val="24"/>
          <w:szCs w:val="24"/>
        </w:rPr>
        <w:t>, 52 (207), 427-462.</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Salvia, A., Poy, S. y Vera, J. (201</w:t>
      </w:r>
      <w:r w:rsidR="008A7AE7">
        <w:rPr>
          <w:rFonts w:asciiTheme="minorHAnsi" w:hAnsiTheme="minorHAnsi" w:cstheme="minorHAnsi"/>
          <w:sz w:val="24"/>
          <w:szCs w:val="24"/>
        </w:rPr>
        <w:t>5</w:t>
      </w:r>
      <w:r w:rsidRPr="009B6F9C">
        <w:rPr>
          <w:rFonts w:asciiTheme="minorHAnsi" w:hAnsiTheme="minorHAnsi" w:cstheme="minorHAnsi"/>
          <w:sz w:val="24"/>
          <w:szCs w:val="24"/>
        </w:rPr>
        <w:t xml:space="preserve">). “La política social y sus efectos sobre la pobreza durante distintas etapas macroeconómicas. Argentina, 1992-2012”. </w:t>
      </w:r>
      <w:r w:rsidRPr="009B6F9C">
        <w:rPr>
          <w:rFonts w:asciiTheme="minorHAnsi" w:hAnsiTheme="minorHAnsi" w:cstheme="minorHAnsi"/>
          <w:i/>
          <w:sz w:val="24"/>
          <w:szCs w:val="24"/>
        </w:rPr>
        <w:t>Desarrollo y Sociedad</w:t>
      </w:r>
      <w:r w:rsidRPr="009B6F9C">
        <w:rPr>
          <w:rFonts w:asciiTheme="minorHAnsi" w:hAnsiTheme="minorHAnsi" w:cstheme="minorHAnsi"/>
          <w:sz w:val="24"/>
          <w:szCs w:val="24"/>
        </w:rPr>
        <w:t>, 76, pp. 11-49.</w:t>
      </w:r>
    </w:p>
    <w:p w:rsidR="009B6F9C" w:rsidRPr="009B6F9C" w:rsidRDefault="009B6F9C" w:rsidP="009B6F9C">
      <w:pPr>
        <w:spacing w:after="0" w:line="240" w:lineRule="auto"/>
        <w:ind w:left="426" w:hanging="426"/>
        <w:jc w:val="both"/>
        <w:rPr>
          <w:rFonts w:asciiTheme="minorHAnsi" w:hAnsiTheme="minorHAnsi" w:cstheme="minorHAnsi"/>
          <w:sz w:val="24"/>
          <w:szCs w:val="24"/>
        </w:rPr>
      </w:pPr>
      <w:proofErr w:type="spellStart"/>
      <w:r w:rsidRPr="009B6F9C">
        <w:rPr>
          <w:rFonts w:asciiTheme="minorHAnsi" w:hAnsiTheme="minorHAnsi" w:cstheme="minorHAnsi"/>
          <w:sz w:val="24"/>
          <w:szCs w:val="24"/>
        </w:rPr>
        <w:t>Soldano</w:t>
      </w:r>
      <w:proofErr w:type="spellEnd"/>
      <w:r w:rsidRPr="009B6F9C">
        <w:rPr>
          <w:rFonts w:asciiTheme="minorHAnsi" w:hAnsiTheme="minorHAnsi" w:cstheme="minorHAnsi"/>
          <w:sz w:val="24"/>
          <w:szCs w:val="24"/>
        </w:rPr>
        <w:t xml:space="preserve">, D y </w:t>
      </w:r>
      <w:proofErr w:type="spellStart"/>
      <w:r w:rsidRPr="009B6F9C">
        <w:rPr>
          <w:rFonts w:asciiTheme="minorHAnsi" w:hAnsiTheme="minorHAnsi" w:cstheme="minorHAnsi"/>
          <w:sz w:val="24"/>
          <w:szCs w:val="24"/>
        </w:rPr>
        <w:t>Andrenacci</w:t>
      </w:r>
      <w:proofErr w:type="spellEnd"/>
      <w:r w:rsidRPr="009B6F9C">
        <w:rPr>
          <w:rFonts w:asciiTheme="minorHAnsi" w:hAnsiTheme="minorHAnsi" w:cstheme="minorHAnsi"/>
          <w:sz w:val="24"/>
          <w:szCs w:val="24"/>
        </w:rPr>
        <w:t xml:space="preserve">, L. (2005). “Aproximación a las teorías de la política social a partir del caso argentino”, en: L. </w:t>
      </w:r>
      <w:proofErr w:type="spellStart"/>
      <w:r w:rsidRPr="009B6F9C">
        <w:rPr>
          <w:rFonts w:asciiTheme="minorHAnsi" w:hAnsiTheme="minorHAnsi" w:cstheme="minorHAnsi"/>
          <w:sz w:val="24"/>
          <w:szCs w:val="24"/>
        </w:rPr>
        <w:t>Andrenacci</w:t>
      </w:r>
      <w:proofErr w:type="spellEnd"/>
      <w:r w:rsidRPr="009B6F9C">
        <w:rPr>
          <w:rFonts w:asciiTheme="minorHAnsi" w:hAnsiTheme="minorHAnsi" w:cstheme="minorHAnsi"/>
          <w:sz w:val="24"/>
          <w:szCs w:val="24"/>
        </w:rPr>
        <w:t xml:space="preserve"> (</w:t>
      </w:r>
      <w:proofErr w:type="spellStart"/>
      <w:r w:rsidRPr="009B6F9C">
        <w:rPr>
          <w:rFonts w:asciiTheme="minorHAnsi" w:hAnsiTheme="minorHAnsi" w:cstheme="minorHAnsi"/>
          <w:sz w:val="24"/>
          <w:szCs w:val="24"/>
        </w:rPr>
        <w:t>comp.</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Problemas de política social en la Argentina contemporánea</w:t>
      </w:r>
      <w:r w:rsidRPr="009B6F9C">
        <w:rPr>
          <w:rFonts w:asciiTheme="minorHAnsi" w:hAnsiTheme="minorHAnsi" w:cstheme="minorHAnsi"/>
          <w:sz w:val="24"/>
          <w:szCs w:val="24"/>
        </w:rPr>
        <w:t xml:space="preserve">, Buenos Aires: UNGS-Prometeo. </w:t>
      </w:r>
    </w:p>
    <w:p w:rsidR="009B6F9C" w:rsidRPr="009B6F9C" w:rsidRDefault="009B6F9C" w:rsidP="009B6F9C">
      <w:pPr>
        <w:widowControl w:val="0"/>
        <w:autoSpaceDE w:val="0"/>
        <w:autoSpaceDN w:val="0"/>
        <w:adjustRightInd w:val="0"/>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Salvia, A., Vera, J. y Poy S. (2015). “Cambios y continuidades en la estructura ocupacional urbana argentina”. En J. </w:t>
      </w:r>
      <w:proofErr w:type="spellStart"/>
      <w:r w:rsidRPr="009B6F9C">
        <w:rPr>
          <w:rFonts w:asciiTheme="minorHAnsi" w:hAnsiTheme="minorHAnsi" w:cstheme="minorHAnsi"/>
          <w:sz w:val="24"/>
          <w:szCs w:val="24"/>
        </w:rPr>
        <w:t>Lindenboim</w:t>
      </w:r>
      <w:proofErr w:type="spellEnd"/>
      <w:r w:rsidRPr="009B6F9C">
        <w:rPr>
          <w:rFonts w:asciiTheme="minorHAnsi" w:hAnsiTheme="minorHAnsi" w:cstheme="minorHAnsi"/>
          <w:sz w:val="24"/>
          <w:szCs w:val="24"/>
        </w:rPr>
        <w:t xml:space="preserve"> y A. Salvia (</w:t>
      </w:r>
      <w:proofErr w:type="spellStart"/>
      <w:r w:rsidRPr="009B6F9C">
        <w:rPr>
          <w:rFonts w:asciiTheme="minorHAnsi" w:hAnsiTheme="minorHAnsi" w:cstheme="minorHAnsi"/>
          <w:sz w:val="24"/>
          <w:szCs w:val="24"/>
        </w:rPr>
        <w:t>coords</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Hora de balance: proceso de acumulación, mercado de trabajo y bienestar. Argentina 2002-2014.</w:t>
      </w:r>
      <w:r w:rsidRPr="009B6F9C">
        <w:rPr>
          <w:rFonts w:asciiTheme="minorHAnsi" w:hAnsiTheme="minorHAnsi" w:cstheme="minorHAnsi"/>
          <w:sz w:val="24"/>
          <w:szCs w:val="24"/>
        </w:rPr>
        <w:t xml:space="preserve"> Buenos Aires, </w:t>
      </w:r>
      <w:proofErr w:type="spellStart"/>
      <w:r w:rsidRPr="009B6F9C">
        <w:rPr>
          <w:rFonts w:asciiTheme="minorHAnsi" w:hAnsiTheme="minorHAnsi" w:cstheme="minorHAnsi"/>
          <w:sz w:val="24"/>
          <w:szCs w:val="24"/>
        </w:rPr>
        <w:t>Eudeba</w:t>
      </w:r>
      <w:proofErr w:type="spellEnd"/>
      <w:r w:rsidRPr="009B6F9C">
        <w:rPr>
          <w:rFonts w:asciiTheme="minorHAnsi" w:hAnsiTheme="minorHAnsi" w:cstheme="minorHAnsi"/>
          <w:sz w:val="24"/>
          <w:szCs w:val="24"/>
        </w:rPr>
        <w:t>.</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Torrado, S. (2010), “Modelos de acumulación, regímenes de gobierno y estructura social”, en S. Torrado (</w:t>
      </w:r>
      <w:proofErr w:type="spellStart"/>
      <w:r w:rsidRPr="009B6F9C">
        <w:rPr>
          <w:rFonts w:asciiTheme="minorHAnsi" w:hAnsiTheme="minorHAnsi" w:cstheme="minorHAnsi"/>
          <w:sz w:val="24"/>
          <w:szCs w:val="24"/>
        </w:rPr>
        <w:t>dir.</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El costo social del ajuste</w:t>
      </w:r>
      <w:r w:rsidRPr="009B6F9C">
        <w:rPr>
          <w:rFonts w:asciiTheme="minorHAnsi" w:hAnsiTheme="minorHAnsi" w:cstheme="minorHAnsi"/>
          <w:sz w:val="24"/>
          <w:szCs w:val="24"/>
        </w:rPr>
        <w:t>, Tomo I, Buenos Aires, EDHASA.</w:t>
      </w:r>
    </w:p>
    <w:p w:rsidR="009B6F9C" w:rsidRPr="009B6F9C" w:rsidRDefault="009B6F9C" w:rsidP="009B6F9C">
      <w:pPr>
        <w:spacing w:after="0" w:line="240" w:lineRule="auto"/>
        <w:ind w:left="426" w:hanging="426"/>
        <w:jc w:val="both"/>
        <w:rPr>
          <w:rFonts w:asciiTheme="minorHAnsi" w:hAnsiTheme="minorHAnsi" w:cstheme="minorHAnsi"/>
          <w:sz w:val="24"/>
          <w:szCs w:val="24"/>
        </w:rPr>
      </w:pPr>
      <w:r w:rsidRPr="009B6F9C">
        <w:rPr>
          <w:rFonts w:asciiTheme="minorHAnsi" w:hAnsiTheme="minorHAnsi" w:cstheme="minorHAnsi"/>
          <w:sz w:val="24"/>
          <w:szCs w:val="24"/>
        </w:rPr>
        <w:t xml:space="preserve">Trujillo, L. y Villafañe, S. (2011). Dinámica distributiva y políticas públicas: dos décadas de contrastes en la argentina contemporánea, en: </w:t>
      </w:r>
      <w:proofErr w:type="spellStart"/>
      <w:r w:rsidRPr="009B6F9C">
        <w:rPr>
          <w:rFonts w:asciiTheme="minorHAnsi" w:hAnsiTheme="minorHAnsi" w:cstheme="minorHAnsi"/>
          <w:sz w:val="24"/>
          <w:szCs w:val="24"/>
        </w:rPr>
        <w:t>Novick</w:t>
      </w:r>
      <w:proofErr w:type="spellEnd"/>
      <w:r w:rsidRPr="009B6F9C">
        <w:rPr>
          <w:rFonts w:asciiTheme="minorHAnsi" w:hAnsiTheme="minorHAnsi" w:cstheme="minorHAnsi"/>
          <w:sz w:val="24"/>
          <w:szCs w:val="24"/>
        </w:rPr>
        <w:t>, M. y Villafañe, S. (</w:t>
      </w:r>
      <w:proofErr w:type="spellStart"/>
      <w:r w:rsidRPr="009B6F9C">
        <w:rPr>
          <w:rFonts w:asciiTheme="minorHAnsi" w:hAnsiTheme="minorHAnsi" w:cstheme="minorHAnsi"/>
          <w:sz w:val="24"/>
          <w:szCs w:val="24"/>
        </w:rPr>
        <w:t>comps</w:t>
      </w:r>
      <w:proofErr w:type="spellEnd"/>
      <w:r w:rsidRPr="009B6F9C">
        <w:rPr>
          <w:rFonts w:asciiTheme="minorHAnsi" w:hAnsiTheme="minorHAnsi" w:cstheme="minorHAnsi"/>
          <w:sz w:val="24"/>
          <w:szCs w:val="24"/>
        </w:rPr>
        <w:t xml:space="preserve">.) </w:t>
      </w:r>
      <w:r w:rsidRPr="009B6F9C">
        <w:rPr>
          <w:rFonts w:asciiTheme="minorHAnsi" w:hAnsiTheme="minorHAnsi" w:cstheme="minorHAnsi"/>
          <w:i/>
          <w:sz w:val="24"/>
          <w:szCs w:val="24"/>
        </w:rPr>
        <w:t>Distribución del ingreso. Enfoques y políticas públicas desde el Sur</w:t>
      </w:r>
      <w:r w:rsidRPr="009B6F9C">
        <w:rPr>
          <w:rFonts w:asciiTheme="minorHAnsi" w:hAnsiTheme="minorHAnsi" w:cstheme="minorHAnsi"/>
          <w:sz w:val="24"/>
          <w:szCs w:val="24"/>
        </w:rPr>
        <w:t>, Buenos Aires, MTEYSS-PNUD.</w:t>
      </w:r>
    </w:p>
    <w:p w:rsidR="000C5E48" w:rsidRPr="003F7057" w:rsidRDefault="000C5E48" w:rsidP="002A25A6">
      <w:pPr>
        <w:tabs>
          <w:tab w:val="left" w:pos="142"/>
        </w:tabs>
        <w:spacing w:after="0" w:line="360" w:lineRule="auto"/>
        <w:ind w:firstLine="284"/>
        <w:jc w:val="both"/>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8F7A5C" w:rsidRDefault="008F7A5C" w:rsidP="00F54FA1">
      <w:pPr>
        <w:tabs>
          <w:tab w:val="left" w:pos="4069"/>
        </w:tabs>
        <w:spacing w:after="0" w:line="240" w:lineRule="auto"/>
        <w:jc w:val="center"/>
        <w:rPr>
          <w:rFonts w:eastAsia="Times New Roman"/>
          <w:b/>
          <w:sz w:val="24"/>
          <w:szCs w:val="24"/>
          <w:highlight w:val="green"/>
          <w:lang w:val="pt-BR" w:eastAsia="es-AR"/>
        </w:rPr>
      </w:pPr>
    </w:p>
    <w:p w:rsidR="00F54FA1" w:rsidRPr="0024174A" w:rsidRDefault="00F54FA1" w:rsidP="00F54FA1">
      <w:pPr>
        <w:tabs>
          <w:tab w:val="left" w:pos="4069"/>
        </w:tabs>
        <w:spacing w:after="0" w:line="240" w:lineRule="auto"/>
        <w:jc w:val="center"/>
        <w:rPr>
          <w:rFonts w:eastAsia="Times New Roman"/>
          <w:b/>
          <w:color w:val="FF0000"/>
          <w:sz w:val="24"/>
          <w:szCs w:val="24"/>
          <w:lang w:val="pt-BR" w:eastAsia="es-AR"/>
        </w:rPr>
      </w:pPr>
      <w:r w:rsidRPr="0024174A">
        <w:rPr>
          <w:rFonts w:eastAsia="Times New Roman"/>
          <w:b/>
          <w:sz w:val="24"/>
          <w:szCs w:val="24"/>
          <w:highlight w:val="green"/>
          <w:lang w:val="pt-BR" w:eastAsia="es-AR"/>
        </w:rPr>
        <w:lastRenderedPageBreak/>
        <w:t xml:space="preserve">ANEXO </w:t>
      </w:r>
      <w:r w:rsidR="002339EF" w:rsidRPr="0024174A">
        <w:rPr>
          <w:rFonts w:eastAsia="Times New Roman"/>
          <w:b/>
          <w:sz w:val="24"/>
          <w:szCs w:val="24"/>
          <w:highlight w:val="green"/>
          <w:lang w:val="pt-BR" w:eastAsia="es-AR"/>
        </w:rPr>
        <w:t>ESTADÍSTICO</w:t>
      </w:r>
      <w:r w:rsidR="0024174A">
        <w:rPr>
          <w:rFonts w:eastAsia="Times New Roman"/>
          <w:b/>
          <w:sz w:val="24"/>
          <w:szCs w:val="24"/>
          <w:lang w:val="pt-BR" w:eastAsia="es-AR"/>
        </w:rPr>
        <w:t xml:space="preserve"> </w:t>
      </w:r>
    </w:p>
    <w:p w:rsidR="001111DB" w:rsidRDefault="001111DB" w:rsidP="0053557B">
      <w:pPr>
        <w:spacing w:after="0" w:line="240" w:lineRule="auto"/>
        <w:jc w:val="both"/>
        <w:rPr>
          <w:rFonts w:ascii="Times New Roman" w:hAnsi="Times New Roman"/>
          <w:b/>
          <w:sz w:val="20"/>
          <w:szCs w:val="20"/>
        </w:rPr>
      </w:pPr>
    </w:p>
    <w:p w:rsidR="00195119" w:rsidRPr="008F7A5C" w:rsidRDefault="0053557B" w:rsidP="00195119">
      <w:pPr>
        <w:spacing w:after="0" w:line="240" w:lineRule="auto"/>
        <w:jc w:val="both"/>
        <w:rPr>
          <w:rFonts w:asciiTheme="minorHAnsi" w:hAnsiTheme="minorHAnsi"/>
          <w:b/>
          <w:sz w:val="20"/>
          <w:szCs w:val="16"/>
        </w:rPr>
      </w:pPr>
      <w:r w:rsidRPr="008F7A5C">
        <w:rPr>
          <w:rFonts w:asciiTheme="minorHAnsi" w:hAnsiTheme="minorHAnsi"/>
          <w:b/>
          <w:sz w:val="20"/>
          <w:szCs w:val="16"/>
        </w:rPr>
        <w:t xml:space="preserve">Tabla AE.1. Componentes determinantes del coeficiente de Gini y descomposición del índice según fuentes de ingreso seleccionadas. </w:t>
      </w:r>
      <w:r w:rsidRPr="008F7A5C">
        <w:rPr>
          <w:rFonts w:asciiTheme="minorHAnsi" w:hAnsiTheme="minorHAnsi"/>
          <w:b/>
          <w:bCs/>
          <w:color w:val="000000"/>
          <w:sz w:val="20"/>
          <w:szCs w:val="16"/>
          <w:lang w:eastAsia="es-AR"/>
        </w:rPr>
        <w:t xml:space="preserve">Área  Gran Buenos Aires, </w:t>
      </w:r>
      <w:r w:rsidRPr="008F7A5C">
        <w:rPr>
          <w:rFonts w:asciiTheme="minorHAnsi" w:hAnsiTheme="minorHAnsi"/>
          <w:b/>
          <w:sz w:val="20"/>
          <w:szCs w:val="16"/>
        </w:rPr>
        <w:t>1974 –en puntos del Gini–.</w:t>
      </w:r>
    </w:p>
    <w:tbl>
      <w:tblPr>
        <w:tblW w:w="8240" w:type="dxa"/>
        <w:tblInd w:w="55" w:type="dxa"/>
        <w:tblCellMar>
          <w:left w:w="70" w:type="dxa"/>
          <w:right w:w="70" w:type="dxa"/>
        </w:tblCellMar>
        <w:tblLook w:val="04A0" w:firstRow="1" w:lastRow="0" w:firstColumn="1" w:lastColumn="0" w:noHBand="0" w:noVBand="1"/>
      </w:tblPr>
      <w:tblGrid>
        <w:gridCol w:w="2625"/>
        <w:gridCol w:w="1057"/>
        <w:gridCol w:w="1057"/>
        <w:gridCol w:w="1057"/>
        <w:gridCol w:w="1137"/>
        <w:gridCol w:w="1307"/>
      </w:tblGrid>
      <w:tr w:rsidR="00195119" w:rsidRPr="00195119" w:rsidTr="008F7A5C">
        <w:trPr>
          <w:trHeight w:val="17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0,8742</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0,9343</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0,4331</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0,3538</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0,966</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0,6120</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0,7573</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0,5858</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0,2715</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0,741</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0,2622</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0,4205</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0,7461</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0,0823</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0,225</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0,1258</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0,1253</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0,7896</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0,0124</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0,034</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0,1105</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0,0658</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0,8044</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0,0058</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0,016</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0,0153</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0,4424</w:t>
            </w:r>
          </w:p>
        </w:tc>
        <w:tc>
          <w:tcPr>
            <w:tcW w:w="105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0,9771</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0,0066</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0,018</w:t>
            </w:r>
          </w:p>
        </w:tc>
      </w:tr>
      <w:tr w:rsidR="00195119" w:rsidRPr="00195119" w:rsidTr="008F7A5C">
        <w:trPr>
          <w:trHeight w:val="170"/>
        </w:trPr>
        <w:tc>
          <w:tcPr>
            <w:tcW w:w="2625"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3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0,3662</w:t>
            </w:r>
          </w:p>
        </w:tc>
        <w:tc>
          <w:tcPr>
            <w:tcW w:w="130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r>
    </w:tbl>
    <w:p w:rsidR="008F7A5C" w:rsidRPr="00195119" w:rsidRDefault="008F7A5C" w:rsidP="008F7A5C">
      <w:pPr>
        <w:spacing w:after="0" w:line="240" w:lineRule="auto"/>
        <w:jc w:val="both"/>
        <w:rPr>
          <w:rFonts w:asciiTheme="minorHAnsi" w:hAnsiTheme="minorHAnsi"/>
          <w:b/>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8F7A5C" w:rsidRDefault="008F7A5C" w:rsidP="00195119">
      <w:pPr>
        <w:spacing w:after="0" w:line="240" w:lineRule="auto"/>
        <w:jc w:val="both"/>
        <w:rPr>
          <w:rFonts w:asciiTheme="minorHAnsi" w:hAnsiTheme="minorHAnsi"/>
          <w:b/>
          <w:sz w:val="16"/>
          <w:szCs w:val="16"/>
        </w:rPr>
      </w:pPr>
    </w:p>
    <w:p w:rsidR="008F7A5C" w:rsidRPr="008F7A5C" w:rsidRDefault="008F7A5C" w:rsidP="00195119">
      <w:pPr>
        <w:spacing w:after="0" w:line="240" w:lineRule="auto"/>
        <w:jc w:val="both"/>
        <w:rPr>
          <w:rFonts w:asciiTheme="minorHAnsi" w:hAnsiTheme="minorHAnsi"/>
          <w:b/>
          <w:sz w:val="20"/>
          <w:szCs w:val="16"/>
        </w:rPr>
      </w:pPr>
    </w:p>
    <w:p w:rsidR="00195119" w:rsidRPr="008F7A5C" w:rsidRDefault="004E2D48" w:rsidP="00195119">
      <w:pPr>
        <w:spacing w:after="0" w:line="240" w:lineRule="auto"/>
        <w:jc w:val="both"/>
        <w:rPr>
          <w:rFonts w:asciiTheme="minorHAnsi" w:hAnsiTheme="minorHAnsi"/>
          <w:b/>
          <w:sz w:val="20"/>
          <w:szCs w:val="16"/>
        </w:rPr>
      </w:pPr>
      <w:r w:rsidRPr="008F7A5C">
        <w:rPr>
          <w:rFonts w:asciiTheme="minorHAnsi" w:hAnsiTheme="minorHAnsi"/>
          <w:b/>
          <w:sz w:val="20"/>
          <w:szCs w:val="16"/>
        </w:rPr>
        <w:t xml:space="preserve">Tabla AE.2. Componentes determinantes del coeficiente de Gini y descomposición del índice según fuentes de ingreso seleccionadas. </w:t>
      </w:r>
      <w:r w:rsidRPr="008F7A5C">
        <w:rPr>
          <w:rFonts w:asciiTheme="minorHAnsi" w:hAnsiTheme="minorHAnsi"/>
          <w:b/>
          <w:bCs/>
          <w:color w:val="000000"/>
          <w:sz w:val="20"/>
          <w:szCs w:val="16"/>
          <w:lang w:eastAsia="es-AR"/>
        </w:rPr>
        <w:t xml:space="preserve">Área  Gran Buenos Aires, </w:t>
      </w:r>
      <w:r w:rsidRPr="008F7A5C">
        <w:rPr>
          <w:rFonts w:asciiTheme="minorHAnsi" w:hAnsiTheme="minorHAnsi"/>
          <w:b/>
          <w:sz w:val="20"/>
          <w:szCs w:val="16"/>
        </w:rPr>
        <w:t>1980 –en puntos del Gini–.</w:t>
      </w:r>
    </w:p>
    <w:tbl>
      <w:tblPr>
        <w:tblW w:w="7971" w:type="dxa"/>
        <w:tblInd w:w="55" w:type="dxa"/>
        <w:tblCellMar>
          <w:left w:w="70" w:type="dxa"/>
          <w:right w:w="70" w:type="dxa"/>
        </w:tblCellMar>
        <w:tblLook w:val="04A0" w:firstRow="1" w:lastRow="0" w:firstColumn="1" w:lastColumn="0" w:noHBand="0" w:noVBand="1"/>
      </w:tblPr>
      <w:tblGrid>
        <w:gridCol w:w="2613"/>
        <w:gridCol w:w="1052"/>
        <w:gridCol w:w="1052"/>
        <w:gridCol w:w="1052"/>
        <w:gridCol w:w="1137"/>
        <w:gridCol w:w="1307"/>
      </w:tblGrid>
      <w:tr w:rsidR="00195119" w:rsidRPr="00195119" w:rsidTr="00195119">
        <w:trPr>
          <w:trHeight w:val="173"/>
        </w:trPr>
        <w:tc>
          <w:tcPr>
            <w:tcW w:w="2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0,8344</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0,9259</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0,5027</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0,3884</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0,898</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0,5459</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0,7636</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0,6609</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0,2755</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0,637</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0,2884</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0,5204</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0,7519</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0,1129</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0,261</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0,1656</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0,3291</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0,8051</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0,0439</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0,102</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0,1371</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0,2405</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0,8118</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0,0268</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0,062</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0,0286</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0,6164</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0,9726</w:t>
            </w:r>
          </w:p>
        </w:tc>
        <w:tc>
          <w:tcPr>
            <w:tcW w:w="105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0,0171</w:t>
            </w:r>
          </w:p>
        </w:tc>
        <w:tc>
          <w:tcPr>
            <w:tcW w:w="1150"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0,040</w:t>
            </w:r>
          </w:p>
        </w:tc>
      </w:tr>
      <w:tr w:rsidR="00195119" w:rsidRPr="00195119" w:rsidTr="00195119">
        <w:trPr>
          <w:trHeight w:val="173"/>
        </w:trPr>
        <w:tc>
          <w:tcPr>
            <w:tcW w:w="2613"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5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5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0,4322</w:t>
            </w:r>
          </w:p>
        </w:tc>
        <w:tc>
          <w:tcPr>
            <w:tcW w:w="1150"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b/>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53557B" w:rsidRPr="00195119" w:rsidRDefault="0053557B" w:rsidP="0053557B">
      <w:pPr>
        <w:spacing w:after="0" w:line="240" w:lineRule="auto"/>
        <w:jc w:val="both"/>
        <w:rPr>
          <w:rFonts w:asciiTheme="minorHAnsi" w:hAnsiTheme="minorHAnsi"/>
          <w:b/>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t>Tabla AE.3</w:t>
      </w:r>
      <w:r w:rsidR="0053557B" w:rsidRPr="008F7A5C">
        <w:rPr>
          <w:rFonts w:asciiTheme="minorHAnsi" w:hAnsiTheme="minorHAnsi"/>
          <w:b/>
          <w:sz w:val="20"/>
          <w:szCs w:val="16"/>
        </w:rPr>
        <w:t xml:space="preserve">. Componentes determinantes del coeficiente de Gini y descomposición del índice según fuentes de ingreso seleccionadas. </w:t>
      </w:r>
      <w:r w:rsidR="0053557B" w:rsidRPr="008F7A5C">
        <w:rPr>
          <w:rFonts w:asciiTheme="minorHAnsi" w:hAnsiTheme="minorHAnsi"/>
          <w:b/>
          <w:bCs/>
          <w:color w:val="000000"/>
          <w:sz w:val="20"/>
          <w:szCs w:val="16"/>
          <w:lang w:eastAsia="es-AR"/>
        </w:rPr>
        <w:t xml:space="preserve">Área  Gran Buenos Aires, </w:t>
      </w:r>
      <w:r w:rsidR="0053557B" w:rsidRPr="008F7A5C">
        <w:rPr>
          <w:rFonts w:asciiTheme="minorHAnsi" w:hAnsiTheme="minorHAnsi"/>
          <w:b/>
          <w:sz w:val="20"/>
          <w:szCs w:val="16"/>
        </w:rPr>
        <w:t>1988 –en puntos del Gini–.</w:t>
      </w:r>
    </w:p>
    <w:tbl>
      <w:tblPr>
        <w:tblW w:w="8152" w:type="dxa"/>
        <w:tblInd w:w="55" w:type="dxa"/>
        <w:tblCellMar>
          <w:left w:w="70" w:type="dxa"/>
          <w:right w:w="70" w:type="dxa"/>
        </w:tblCellMar>
        <w:tblLook w:val="04A0" w:firstRow="1" w:lastRow="0" w:firstColumn="1" w:lastColumn="0" w:noHBand="0" w:noVBand="1"/>
      </w:tblPr>
      <w:tblGrid>
        <w:gridCol w:w="2585"/>
        <w:gridCol w:w="1041"/>
        <w:gridCol w:w="1041"/>
        <w:gridCol w:w="1041"/>
        <w:gridCol w:w="1137"/>
        <w:gridCol w:w="1307"/>
      </w:tblGrid>
      <w:tr w:rsidR="00195119" w:rsidRPr="00195119" w:rsidTr="008F7A5C">
        <w:trPr>
          <w:trHeight w:val="170"/>
        </w:trPr>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0,8506</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0,9379</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0,5273</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0,4207</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0,956</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0,5856</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0,8222</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0,6819</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0,3284</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0,746</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0,2650</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0,4595</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0,7582</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0,0923</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0,210</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0,1494</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0,1670</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0,7739</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0,0193</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0,044</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0,1277</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0,0716</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0,7802</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0,0071</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0,016</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0,0217</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0,5720</w:t>
            </w:r>
          </w:p>
        </w:tc>
        <w:tc>
          <w:tcPr>
            <w:tcW w:w="104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0,9833</w:t>
            </w:r>
          </w:p>
        </w:tc>
        <w:tc>
          <w:tcPr>
            <w:tcW w:w="113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0,0122</w:t>
            </w:r>
          </w:p>
        </w:tc>
        <w:tc>
          <w:tcPr>
            <w:tcW w:w="1307"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0,028</w:t>
            </w:r>
          </w:p>
        </w:tc>
      </w:tr>
      <w:tr w:rsidR="00195119" w:rsidRPr="00195119" w:rsidTr="008F7A5C">
        <w:trPr>
          <w:trHeight w:val="170"/>
        </w:trPr>
        <w:tc>
          <w:tcPr>
            <w:tcW w:w="2585"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4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4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0,4400</w:t>
            </w:r>
          </w:p>
        </w:tc>
        <w:tc>
          <w:tcPr>
            <w:tcW w:w="1307"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b/>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1111DB" w:rsidRDefault="001111DB" w:rsidP="0053557B">
      <w:pPr>
        <w:spacing w:after="0" w:line="240" w:lineRule="auto"/>
        <w:jc w:val="both"/>
        <w:rPr>
          <w:rFonts w:asciiTheme="minorHAnsi" w:hAnsiTheme="minorHAnsi"/>
          <w:b/>
          <w:sz w:val="16"/>
          <w:szCs w:val="16"/>
        </w:rPr>
      </w:pPr>
    </w:p>
    <w:p w:rsidR="008F7A5C" w:rsidRDefault="008F7A5C" w:rsidP="0053557B">
      <w:pPr>
        <w:spacing w:after="0" w:line="240" w:lineRule="auto"/>
        <w:jc w:val="both"/>
        <w:rPr>
          <w:rFonts w:asciiTheme="minorHAnsi" w:hAnsiTheme="minorHAnsi"/>
          <w:b/>
          <w:sz w:val="16"/>
          <w:szCs w:val="16"/>
        </w:rPr>
      </w:pPr>
    </w:p>
    <w:p w:rsidR="008F7A5C" w:rsidRDefault="008F7A5C" w:rsidP="0053557B">
      <w:pPr>
        <w:spacing w:after="0" w:line="240" w:lineRule="auto"/>
        <w:jc w:val="both"/>
        <w:rPr>
          <w:rFonts w:asciiTheme="minorHAnsi" w:hAnsiTheme="minorHAnsi"/>
          <w:b/>
          <w:sz w:val="16"/>
          <w:szCs w:val="16"/>
        </w:rPr>
      </w:pPr>
    </w:p>
    <w:p w:rsidR="008F7A5C" w:rsidRPr="00195119" w:rsidRDefault="008F7A5C" w:rsidP="0053557B">
      <w:pPr>
        <w:spacing w:after="0" w:line="240" w:lineRule="auto"/>
        <w:jc w:val="both"/>
        <w:rPr>
          <w:rFonts w:asciiTheme="minorHAnsi" w:hAnsiTheme="minorHAnsi"/>
          <w:b/>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lastRenderedPageBreak/>
        <w:t>Tabla AE.4</w:t>
      </w:r>
      <w:r w:rsidR="0053557B" w:rsidRPr="008F7A5C">
        <w:rPr>
          <w:rFonts w:asciiTheme="minorHAnsi" w:hAnsiTheme="minorHAnsi"/>
          <w:b/>
          <w:sz w:val="20"/>
          <w:szCs w:val="16"/>
        </w:rPr>
        <w:t xml:space="preserve">. Componentes determinantes del coeficiente de Gini y descomposición del índice según fuentes de ingreso seleccionadas. </w:t>
      </w:r>
      <w:r w:rsidR="0053557B" w:rsidRPr="008F7A5C">
        <w:rPr>
          <w:rFonts w:asciiTheme="minorHAnsi" w:hAnsiTheme="minorHAnsi"/>
          <w:b/>
          <w:bCs/>
          <w:color w:val="000000"/>
          <w:sz w:val="20"/>
          <w:szCs w:val="16"/>
          <w:lang w:eastAsia="es-AR"/>
        </w:rPr>
        <w:t xml:space="preserve">Área  Gran Buenos Aires, </w:t>
      </w:r>
      <w:r w:rsidR="0053557B" w:rsidRPr="008F7A5C">
        <w:rPr>
          <w:rFonts w:asciiTheme="minorHAnsi" w:hAnsiTheme="minorHAnsi"/>
          <w:b/>
          <w:sz w:val="20"/>
          <w:szCs w:val="16"/>
        </w:rPr>
        <w:t>1998 –en puntos del Gini–.</w:t>
      </w:r>
    </w:p>
    <w:tbl>
      <w:tblPr>
        <w:tblW w:w="8433" w:type="dxa"/>
        <w:tblInd w:w="55" w:type="dxa"/>
        <w:tblCellMar>
          <w:left w:w="70" w:type="dxa"/>
          <w:right w:w="70" w:type="dxa"/>
        </w:tblCellMar>
        <w:tblLook w:val="04A0" w:firstRow="1" w:lastRow="0" w:firstColumn="1" w:lastColumn="0" w:noHBand="0" w:noVBand="1"/>
      </w:tblPr>
      <w:tblGrid>
        <w:gridCol w:w="2765"/>
        <w:gridCol w:w="1113"/>
        <w:gridCol w:w="1113"/>
        <w:gridCol w:w="1113"/>
        <w:gridCol w:w="1137"/>
        <w:gridCol w:w="1307"/>
      </w:tblGrid>
      <w:tr w:rsidR="00195119" w:rsidRPr="00195119" w:rsidTr="008F7A5C">
        <w:trPr>
          <w:trHeight w:val="170"/>
        </w:trPr>
        <w:tc>
          <w:tcPr>
            <w:tcW w:w="2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0,8514</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0,9313</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0,5698</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0,4518</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0,947</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0,6011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0,8451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0,7121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0,3618</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0,759</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0,4761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0,7872</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0,7634</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0,2861</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0,600</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0,1250</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0,6565</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0,9217</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0,0757</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0,159</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0,2503</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0,4661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0,7718</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0,0900</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0,189</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0,1486</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0,2130</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0,7943</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0,0251</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0,053</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0,1089</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0,1454</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0,8278</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0,0131</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0,027</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0,0397</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0,3203</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0,9471</w:t>
            </w:r>
          </w:p>
        </w:tc>
        <w:tc>
          <w:tcPr>
            <w:tcW w:w="111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0,0120</w:t>
            </w:r>
          </w:p>
        </w:tc>
        <w:tc>
          <w:tcPr>
            <w:tcW w:w="121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0,025</w:t>
            </w:r>
          </w:p>
        </w:tc>
      </w:tr>
      <w:tr w:rsidR="00195119" w:rsidRPr="00195119" w:rsidTr="008F7A5C">
        <w:trPr>
          <w:trHeight w:val="170"/>
        </w:trPr>
        <w:tc>
          <w:tcPr>
            <w:tcW w:w="2765"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3"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3"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3"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3"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0,4770</w:t>
            </w:r>
          </w:p>
        </w:tc>
        <w:tc>
          <w:tcPr>
            <w:tcW w:w="1216"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b/>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53557B" w:rsidRPr="00195119" w:rsidRDefault="0053557B" w:rsidP="0053557B">
      <w:pPr>
        <w:spacing w:after="0" w:line="240" w:lineRule="auto"/>
        <w:jc w:val="both"/>
        <w:rPr>
          <w:rFonts w:asciiTheme="minorHAnsi" w:hAnsiTheme="minorHAnsi"/>
          <w:b/>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t>Tabla AE.5</w:t>
      </w:r>
      <w:r w:rsidR="0053557B" w:rsidRPr="008F7A5C">
        <w:rPr>
          <w:rFonts w:asciiTheme="minorHAnsi" w:hAnsiTheme="minorHAnsi"/>
          <w:b/>
          <w:sz w:val="20"/>
          <w:szCs w:val="16"/>
        </w:rPr>
        <w:t>. Componentes</w:t>
      </w:r>
      <w:bookmarkStart w:id="1" w:name="_GoBack"/>
      <w:bookmarkEnd w:id="1"/>
      <w:r w:rsidR="0053557B" w:rsidRPr="008F7A5C">
        <w:rPr>
          <w:rFonts w:asciiTheme="minorHAnsi" w:hAnsiTheme="minorHAnsi"/>
          <w:b/>
          <w:sz w:val="20"/>
          <w:szCs w:val="16"/>
        </w:rPr>
        <w:t xml:space="preserve"> determinantes del coeficiente de Gini y descomposición del índice según fuentes de ingreso seleccionadas. </w:t>
      </w:r>
      <w:r w:rsidR="0053557B" w:rsidRPr="008F7A5C">
        <w:rPr>
          <w:rFonts w:asciiTheme="minorHAnsi" w:hAnsiTheme="minorHAnsi"/>
          <w:b/>
          <w:bCs/>
          <w:color w:val="000000"/>
          <w:sz w:val="20"/>
          <w:szCs w:val="16"/>
          <w:lang w:eastAsia="es-AR"/>
        </w:rPr>
        <w:t xml:space="preserve">Área  Gran Buenos Aires, </w:t>
      </w:r>
      <w:r w:rsidR="0053557B" w:rsidRPr="008F7A5C">
        <w:rPr>
          <w:rFonts w:asciiTheme="minorHAnsi" w:hAnsiTheme="minorHAnsi"/>
          <w:b/>
          <w:sz w:val="20"/>
          <w:szCs w:val="16"/>
        </w:rPr>
        <w:t>2003 (m) –en puntos del Gini–.</w:t>
      </w:r>
    </w:p>
    <w:tbl>
      <w:tblPr>
        <w:tblW w:w="8590" w:type="dxa"/>
        <w:tblInd w:w="55" w:type="dxa"/>
        <w:tblCellMar>
          <w:left w:w="70" w:type="dxa"/>
          <w:right w:w="70" w:type="dxa"/>
        </w:tblCellMar>
        <w:tblLook w:val="04A0" w:firstRow="1" w:lastRow="0" w:firstColumn="1" w:lastColumn="0" w:noHBand="0" w:noVBand="1"/>
      </w:tblPr>
      <w:tblGrid>
        <w:gridCol w:w="2782"/>
        <w:gridCol w:w="1122"/>
        <w:gridCol w:w="1121"/>
        <w:gridCol w:w="1121"/>
        <w:gridCol w:w="1137"/>
        <w:gridCol w:w="1307"/>
      </w:tblGrid>
      <w:tr w:rsidR="00195119" w:rsidRPr="00195119" w:rsidTr="008F7A5C">
        <w:trPr>
          <w:trHeight w:val="170"/>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0,8026</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0,9193</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0,6054</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0,4466</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0,918</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0,5683</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0,8535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0,7470</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0,3623</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0,744</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0,4337</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0,7901</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0,7936</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0,2719</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0,559</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0,1345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0,7239</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0,9276</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0,0903</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0,186</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0,2343</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0,4611</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0,7807</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0,0844</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0,173</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0,1974</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0,2743</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0,7405</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0,0401</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0,082</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0,1375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0,1850</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0,7888</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0,0201</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0,041</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 </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12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0,0599</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0,3598</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0,9288</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center"/>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0,0200</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0,041</w:t>
            </w:r>
          </w:p>
        </w:tc>
      </w:tr>
      <w:tr w:rsidR="00195119" w:rsidRPr="00195119" w:rsidTr="008F7A5C">
        <w:trPr>
          <w:trHeight w:val="170"/>
        </w:trPr>
        <w:tc>
          <w:tcPr>
            <w:tcW w:w="2784"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2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6"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0,4867</w:t>
            </w:r>
          </w:p>
        </w:tc>
        <w:tc>
          <w:tcPr>
            <w:tcW w:w="1306"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53557B" w:rsidRPr="00195119" w:rsidRDefault="0053557B" w:rsidP="0053557B">
      <w:pPr>
        <w:spacing w:after="0" w:line="240" w:lineRule="auto"/>
        <w:rPr>
          <w:rFonts w:asciiTheme="minorHAnsi" w:hAnsiTheme="minorHAnsi"/>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t>Tabla AE.6</w:t>
      </w:r>
      <w:r w:rsidR="0053557B" w:rsidRPr="008F7A5C">
        <w:rPr>
          <w:rFonts w:asciiTheme="minorHAnsi" w:hAnsiTheme="minorHAnsi"/>
          <w:b/>
          <w:sz w:val="20"/>
          <w:szCs w:val="16"/>
        </w:rPr>
        <w:t xml:space="preserve">. Componentes determinantes del coeficiente de Gini y descomposición del índice según fuentes de ingreso seleccionadas. </w:t>
      </w:r>
      <w:r w:rsidR="0053557B" w:rsidRPr="008F7A5C">
        <w:rPr>
          <w:rFonts w:asciiTheme="minorHAnsi" w:hAnsiTheme="minorHAnsi"/>
          <w:b/>
          <w:bCs/>
          <w:color w:val="000000"/>
          <w:sz w:val="20"/>
          <w:szCs w:val="16"/>
          <w:lang w:eastAsia="es-AR"/>
        </w:rPr>
        <w:t xml:space="preserve">Área  Gran Buenos Aires, </w:t>
      </w:r>
      <w:r w:rsidR="0053557B" w:rsidRPr="008F7A5C">
        <w:rPr>
          <w:rFonts w:asciiTheme="minorHAnsi" w:hAnsiTheme="minorHAnsi"/>
          <w:b/>
          <w:sz w:val="20"/>
          <w:szCs w:val="16"/>
        </w:rPr>
        <w:t>2003 (IV) –en puntos del Gini–.</w:t>
      </w:r>
    </w:p>
    <w:tbl>
      <w:tblPr>
        <w:tblW w:w="8590" w:type="dxa"/>
        <w:tblInd w:w="55" w:type="dxa"/>
        <w:tblCellMar>
          <w:left w:w="70" w:type="dxa"/>
          <w:right w:w="70" w:type="dxa"/>
        </w:tblCellMar>
        <w:tblLook w:val="04A0" w:firstRow="1" w:lastRow="0" w:firstColumn="1" w:lastColumn="0" w:noHBand="0" w:noVBand="1"/>
      </w:tblPr>
      <w:tblGrid>
        <w:gridCol w:w="2783"/>
        <w:gridCol w:w="1121"/>
        <w:gridCol w:w="1121"/>
        <w:gridCol w:w="1121"/>
        <w:gridCol w:w="1137"/>
        <w:gridCol w:w="1307"/>
      </w:tblGrid>
      <w:tr w:rsidR="00195119" w:rsidRPr="00195119" w:rsidTr="008F7A5C">
        <w:trPr>
          <w:trHeight w:val="218"/>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0,8292</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0,9271</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0,5757</w:t>
            </w:r>
          </w:p>
        </w:tc>
        <w:tc>
          <w:tcPr>
            <w:tcW w:w="1136"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0,4426</w:t>
            </w:r>
          </w:p>
        </w:tc>
        <w:tc>
          <w:tcPr>
            <w:tcW w:w="1306"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0,931</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0,5720</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0,8550</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0,7324</w:t>
            </w:r>
          </w:p>
        </w:tc>
        <w:tc>
          <w:tcPr>
            <w:tcW w:w="113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0,3582</w:t>
            </w:r>
          </w:p>
        </w:tc>
        <w:tc>
          <w:tcPr>
            <w:tcW w:w="130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0,7536</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0,4469</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0,8031</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0,7850</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0,2817</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0,593</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0,1251</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0,6595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0,9265</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0,0764</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0,161</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0,2573</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0,4381</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0,7493</w:t>
            </w:r>
          </w:p>
        </w:tc>
        <w:tc>
          <w:tcPr>
            <w:tcW w:w="113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0,0844</w:t>
            </w:r>
          </w:p>
        </w:tc>
        <w:tc>
          <w:tcPr>
            <w:tcW w:w="130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0,178</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0,1708</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0,2500</w:t>
            </w:r>
          </w:p>
        </w:tc>
        <w:tc>
          <w:tcPr>
            <w:tcW w:w="112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0,7653</w:t>
            </w:r>
          </w:p>
        </w:tc>
        <w:tc>
          <w:tcPr>
            <w:tcW w:w="1136"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0,0327</w:t>
            </w:r>
          </w:p>
        </w:tc>
        <w:tc>
          <w:tcPr>
            <w:tcW w:w="1306"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0,069</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0,1379</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0,1626</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0,7871</w:t>
            </w:r>
          </w:p>
        </w:tc>
        <w:tc>
          <w:tcPr>
            <w:tcW w:w="113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0,0176</w:t>
            </w:r>
          </w:p>
        </w:tc>
        <w:tc>
          <w:tcPr>
            <w:tcW w:w="130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0,037</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0,0119</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-0,3495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0,9276</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-0,0039</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-0,008</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0,0055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-0,2355</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0,9701</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-0,0013</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-0,003</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0,1204</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0,2256</w:t>
            </w:r>
          </w:p>
        </w:tc>
        <w:tc>
          <w:tcPr>
            <w:tcW w:w="112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0,8380</w:t>
            </w:r>
          </w:p>
        </w:tc>
        <w:tc>
          <w:tcPr>
            <w:tcW w:w="113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0,0228</w:t>
            </w:r>
          </w:p>
        </w:tc>
        <w:tc>
          <w:tcPr>
            <w:tcW w:w="1306"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0,048</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0,0329</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0,4762</w:t>
            </w:r>
          </w:p>
        </w:tc>
        <w:tc>
          <w:tcPr>
            <w:tcW w:w="112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0,9598</w:t>
            </w:r>
          </w:p>
        </w:tc>
        <w:tc>
          <w:tcPr>
            <w:tcW w:w="113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0,0150</w:t>
            </w:r>
          </w:p>
        </w:tc>
        <w:tc>
          <w:tcPr>
            <w:tcW w:w="1306"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0,032</w:t>
            </w:r>
          </w:p>
        </w:tc>
      </w:tr>
      <w:tr w:rsidR="00195119" w:rsidRPr="00195119" w:rsidTr="008F7A5C">
        <w:trPr>
          <w:trHeight w:val="218"/>
        </w:trPr>
        <w:tc>
          <w:tcPr>
            <w:tcW w:w="2785"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2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2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36"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0,4753</w:t>
            </w:r>
          </w:p>
        </w:tc>
        <w:tc>
          <w:tcPr>
            <w:tcW w:w="1306"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1111DB" w:rsidRPr="00195119" w:rsidRDefault="001111DB" w:rsidP="0053557B">
      <w:pPr>
        <w:spacing w:after="0" w:line="240" w:lineRule="auto"/>
        <w:rPr>
          <w:rFonts w:asciiTheme="minorHAnsi" w:hAnsiTheme="minorHAnsi"/>
          <w:sz w:val="16"/>
          <w:szCs w:val="16"/>
        </w:rPr>
      </w:pPr>
    </w:p>
    <w:p w:rsidR="008F7A5C" w:rsidRDefault="008F7A5C" w:rsidP="00195119">
      <w:pPr>
        <w:spacing w:after="0" w:line="240" w:lineRule="auto"/>
        <w:jc w:val="both"/>
        <w:rPr>
          <w:rFonts w:asciiTheme="minorHAnsi" w:hAnsiTheme="minorHAnsi"/>
          <w:b/>
          <w:sz w:val="16"/>
          <w:szCs w:val="16"/>
        </w:rPr>
      </w:pPr>
    </w:p>
    <w:p w:rsidR="008F7A5C" w:rsidRDefault="008F7A5C" w:rsidP="00195119">
      <w:pPr>
        <w:spacing w:after="0" w:line="240" w:lineRule="auto"/>
        <w:jc w:val="both"/>
        <w:rPr>
          <w:rFonts w:asciiTheme="minorHAnsi" w:hAnsiTheme="minorHAnsi"/>
          <w:b/>
          <w:sz w:val="16"/>
          <w:szCs w:val="16"/>
        </w:rPr>
      </w:pPr>
    </w:p>
    <w:p w:rsidR="008F7A5C" w:rsidRDefault="008F7A5C" w:rsidP="00195119">
      <w:pPr>
        <w:spacing w:after="0" w:line="240" w:lineRule="auto"/>
        <w:jc w:val="both"/>
        <w:rPr>
          <w:rFonts w:asciiTheme="minorHAnsi" w:hAnsiTheme="minorHAnsi"/>
          <w:b/>
          <w:sz w:val="16"/>
          <w:szCs w:val="16"/>
        </w:rPr>
      </w:pPr>
    </w:p>
    <w:p w:rsidR="008F7A5C" w:rsidRDefault="008F7A5C" w:rsidP="00195119">
      <w:pPr>
        <w:spacing w:after="0" w:line="240" w:lineRule="auto"/>
        <w:jc w:val="both"/>
        <w:rPr>
          <w:rFonts w:asciiTheme="minorHAnsi" w:hAnsiTheme="minorHAnsi"/>
          <w:b/>
          <w:sz w:val="16"/>
          <w:szCs w:val="16"/>
        </w:rPr>
      </w:pPr>
    </w:p>
    <w:p w:rsidR="008F7A5C" w:rsidRDefault="008F7A5C" w:rsidP="00195119">
      <w:pPr>
        <w:spacing w:after="0" w:line="240" w:lineRule="auto"/>
        <w:jc w:val="both"/>
        <w:rPr>
          <w:rFonts w:asciiTheme="minorHAnsi" w:hAnsiTheme="minorHAnsi"/>
          <w:b/>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lastRenderedPageBreak/>
        <w:t>Tabla AE.7</w:t>
      </w:r>
      <w:r w:rsidR="00B77D71" w:rsidRPr="008F7A5C">
        <w:rPr>
          <w:rFonts w:asciiTheme="minorHAnsi" w:hAnsiTheme="minorHAnsi"/>
          <w:b/>
          <w:sz w:val="20"/>
          <w:szCs w:val="16"/>
        </w:rPr>
        <w:t xml:space="preserve">. Componentes determinantes del coeficiente de Gini y descomposición del índice según fuentes de ingreso seleccionadas. </w:t>
      </w:r>
      <w:r w:rsidR="00B77D71" w:rsidRPr="008F7A5C">
        <w:rPr>
          <w:rFonts w:asciiTheme="minorHAnsi" w:hAnsiTheme="minorHAnsi"/>
          <w:b/>
          <w:bCs/>
          <w:color w:val="000000"/>
          <w:sz w:val="20"/>
          <w:szCs w:val="16"/>
          <w:lang w:eastAsia="es-AR"/>
        </w:rPr>
        <w:t xml:space="preserve">Área  Gran Buenos Aires, </w:t>
      </w:r>
      <w:r w:rsidR="00B77D71" w:rsidRPr="008F7A5C">
        <w:rPr>
          <w:rFonts w:asciiTheme="minorHAnsi" w:hAnsiTheme="minorHAnsi"/>
          <w:b/>
          <w:sz w:val="20"/>
          <w:szCs w:val="16"/>
        </w:rPr>
        <w:t>2007 –en puntos del Gini–.</w:t>
      </w:r>
    </w:p>
    <w:tbl>
      <w:tblPr>
        <w:tblW w:w="8590" w:type="dxa"/>
        <w:tblInd w:w="55" w:type="dxa"/>
        <w:tblCellMar>
          <w:left w:w="70" w:type="dxa"/>
          <w:right w:w="70" w:type="dxa"/>
        </w:tblCellMar>
        <w:tblLook w:val="04A0" w:firstRow="1" w:lastRow="0" w:firstColumn="1" w:lastColumn="0" w:noHBand="0" w:noVBand="1"/>
      </w:tblPr>
      <w:tblGrid>
        <w:gridCol w:w="2961"/>
        <w:gridCol w:w="1034"/>
        <w:gridCol w:w="1035"/>
        <w:gridCol w:w="1062"/>
        <w:gridCol w:w="1191"/>
        <w:gridCol w:w="1307"/>
      </w:tblGrid>
      <w:tr w:rsidR="00195119" w:rsidRPr="00195119" w:rsidTr="008F7A5C">
        <w:trPr>
          <w:trHeight w:val="218"/>
        </w:trPr>
        <w:tc>
          <w:tcPr>
            <w:tcW w:w="2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035"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0,8429</w:t>
            </w:r>
          </w:p>
        </w:tc>
        <w:tc>
          <w:tcPr>
            <w:tcW w:w="1035"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0,9340</w:t>
            </w:r>
          </w:p>
        </w:tc>
        <w:tc>
          <w:tcPr>
            <w:tcW w:w="1062"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0,5359</w:t>
            </w:r>
          </w:p>
        </w:tc>
        <w:tc>
          <w:tcPr>
            <w:tcW w:w="119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0,4219</w:t>
            </w:r>
          </w:p>
        </w:tc>
        <w:tc>
          <w:tcPr>
            <w:tcW w:w="1304"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0,955</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0,5842</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0,8328</w:t>
            </w:r>
          </w:p>
        </w:tc>
        <w:tc>
          <w:tcPr>
            <w:tcW w:w="1062"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0,6800</w:t>
            </w:r>
          </w:p>
        </w:tc>
        <w:tc>
          <w:tcPr>
            <w:tcW w:w="119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0,3309</w:t>
            </w:r>
          </w:p>
        </w:tc>
        <w:tc>
          <w:tcPr>
            <w:tcW w:w="1304"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0,7492</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0,4462</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0,7478</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0,7386</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0,2464</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0,558</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0,1380</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0,6711</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0,9115</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0,0844</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0,191</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0,2586</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0,4664</w:t>
            </w:r>
          </w:p>
        </w:tc>
        <w:tc>
          <w:tcPr>
            <w:tcW w:w="1062"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0,7544</w:t>
            </w:r>
          </w:p>
        </w:tc>
        <w:tc>
          <w:tcPr>
            <w:tcW w:w="119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0,0910</w:t>
            </w:r>
          </w:p>
        </w:tc>
        <w:tc>
          <w:tcPr>
            <w:tcW w:w="1304"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0,206</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035"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0,1571</w:t>
            </w:r>
          </w:p>
        </w:tc>
        <w:tc>
          <w:tcPr>
            <w:tcW w:w="1035"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0,1646</w:t>
            </w:r>
          </w:p>
        </w:tc>
        <w:tc>
          <w:tcPr>
            <w:tcW w:w="1062"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0,7640</w:t>
            </w:r>
          </w:p>
        </w:tc>
        <w:tc>
          <w:tcPr>
            <w:tcW w:w="1191"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0,0198</w:t>
            </w:r>
          </w:p>
        </w:tc>
        <w:tc>
          <w:tcPr>
            <w:tcW w:w="1304"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0,045</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0,1161</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-0,0019</w:t>
            </w:r>
          </w:p>
        </w:tc>
        <w:tc>
          <w:tcPr>
            <w:tcW w:w="1062"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0,7796</w:t>
            </w:r>
          </w:p>
        </w:tc>
        <w:tc>
          <w:tcPr>
            <w:tcW w:w="119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-0,0002</w:t>
            </w:r>
          </w:p>
        </w:tc>
        <w:tc>
          <w:tcPr>
            <w:tcW w:w="1304"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0,0022</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-0,1381</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0,9908</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-0,0003</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-0,001</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0,0043</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-0,1907</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0,9580</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-0,0008</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-0,002</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0,1096</w:t>
            </w:r>
          </w:p>
        </w:tc>
        <w:tc>
          <w:tcPr>
            <w:tcW w:w="1035"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0,0105</w:t>
            </w:r>
          </w:p>
        </w:tc>
        <w:tc>
          <w:tcPr>
            <w:tcW w:w="1062"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0,8002</w:t>
            </w:r>
          </w:p>
        </w:tc>
        <w:tc>
          <w:tcPr>
            <w:tcW w:w="1191"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0,0009</w:t>
            </w:r>
          </w:p>
        </w:tc>
        <w:tc>
          <w:tcPr>
            <w:tcW w:w="1304"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0,002</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0,0411</w:t>
            </w:r>
          </w:p>
        </w:tc>
        <w:tc>
          <w:tcPr>
            <w:tcW w:w="1035"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0,5077</w:t>
            </w:r>
          </w:p>
        </w:tc>
        <w:tc>
          <w:tcPr>
            <w:tcW w:w="1062"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0,9567</w:t>
            </w:r>
          </w:p>
        </w:tc>
        <w:tc>
          <w:tcPr>
            <w:tcW w:w="1191"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0,0199</w:t>
            </w:r>
          </w:p>
        </w:tc>
        <w:tc>
          <w:tcPr>
            <w:tcW w:w="1304"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0,045</w:t>
            </w:r>
          </w:p>
        </w:tc>
      </w:tr>
      <w:tr w:rsidR="00195119" w:rsidRPr="00195119" w:rsidTr="008F7A5C">
        <w:trPr>
          <w:trHeight w:val="218"/>
        </w:trPr>
        <w:tc>
          <w:tcPr>
            <w:tcW w:w="2963"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035"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35"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062"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91"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0,4416</w:t>
            </w:r>
          </w:p>
        </w:tc>
        <w:tc>
          <w:tcPr>
            <w:tcW w:w="1304"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r>
    </w:tbl>
    <w:p w:rsidR="0053557B" w:rsidRPr="00195119" w:rsidRDefault="000C5E48" w:rsidP="00195119">
      <w:pPr>
        <w:spacing w:after="0" w:line="240" w:lineRule="auto"/>
        <w:jc w:val="both"/>
        <w:rPr>
          <w:rFonts w:asciiTheme="minorHAnsi" w:hAnsiTheme="minorHAnsi"/>
          <w:sz w:val="16"/>
          <w:szCs w:val="16"/>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53557B" w:rsidRPr="00195119" w:rsidRDefault="0053557B" w:rsidP="0053557B">
      <w:pPr>
        <w:spacing w:after="0" w:line="240" w:lineRule="auto"/>
        <w:rPr>
          <w:rFonts w:asciiTheme="minorHAnsi" w:hAnsiTheme="minorHAnsi"/>
          <w:sz w:val="16"/>
          <w:szCs w:val="16"/>
        </w:rPr>
      </w:pPr>
    </w:p>
    <w:p w:rsidR="00195119" w:rsidRPr="008F7A5C" w:rsidRDefault="0039566E" w:rsidP="00195119">
      <w:pPr>
        <w:spacing w:after="0" w:line="240" w:lineRule="auto"/>
        <w:jc w:val="both"/>
        <w:rPr>
          <w:rFonts w:asciiTheme="minorHAnsi" w:hAnsiTheme="minorHAnsi"/>
          <w:b/>
          <w:sz w:val="20"/>
          <w:szCs w:val="16"/>
        </w:rPr>
      </w:pPr>
      <w:r w:rsidRPr="008F7A5C">
        <w:rPr>
          <w:rFonts w:asciiTheme="minorHAnsi" w:hAnsiTheme="minorHAnsi"/>
          <w:b/>
          <w:sz w:val="20"/>
          <w:szCs w:val="16"/>
        </w:rPr>
        <w:t>Tabla AE.8</w:t>
      </w:r>
      <w:r w:rsidR="0053557B" w:rsidRPr="008F7A5C">
        <w:rPr>
          <w:rFonts w:asciiTheme="minorHAnsi" w:hAnsiTheme="minorHAnsi"/>
          <w:b/>
          <w:sz w:val="20"/>
          <w:szCs w:val="16"/>
        </w:rPr>
        <w:t xml:space="preserve">. Componentes determinantes del coeficiente de Gini y descomposición del índice según fuentes de ingreso seleccionadas. </w:t>
      </w:r>
      <w:r w:rsidR="0053557B" w:rsidRPr="008F7A5C">
        <w:rPr>
          <w:rFonts w:asciiTheme="minorHAnsi" w:hAnsiTheme="minorHAnsi"/>
          <w:b/>
          <w:bCs/>
          <w:color w:val="000000"/>
          <w:sz w:val="20"/>
          <w:szCs w:val="16"/>
          <w:lang w:eastAsia="es-AR"/>
        </w:rPr>
        <w:t xml:space="preserve">Área  Gran Buenos Aires, </w:t>
      </w:r>
      <w:r w:rsidR="0053557B" w:rsidRPr="008F7A5C">
        <w:rPr>
          <w:rFonts w:asciiTheme="minorHAnsi" w:hAnsiTheme="minorHAnsi"/>
          <w:b/>
          <w:sz w:val="20"/>
          <w:szCs w:val="16"/>
        </w:rPr>
        <w:t>2014 –en puntos del Gini–.</w:t>
      </w:r>
    </w:p>
    <w:tbl>
      <w:tblPr>
        <w:tblW w:w="8479" w:type="dxa"/>
        <w:tblInd w:w="55" w:type="dxa"/>
        <w:tblCellMar>
          <w:left w:w="70" w:type="dxa"/>
          <w:right w:w="70" w:type="dxa"/>
        </w:tblCellMar>
        <w:tblLook w:val="04A0" w:firstRow="1" w:lastRow="0" w:firstColumn="1" w:lastColumn="0" w:noHBand="0" w:noVBand="1"/>
      </w:tblPr>
      <w:tblGrid>
        <w:gridCol w:w="2780"/>
        <w:gridCol w:w="1119"/>
        <w:gridCol w:w="1119"/>
        <w:gridCol w:w="1119"/>
        <w:gridCol w:w="1137"/>
        <w:gridCol w:w="1307"/>
      </w:tblGrid>
      <w:tr w:rsidR="00195119" w:rsidRPr="00195119" w:rsidTr="008F7A5C">
        <w:trPr>
          <w:trHeight w:val="17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Income</w:t>
            </w:r>
            <w:proofErr w:type="spellEnd"/>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Gini</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Absolute</w:t>
            </w:r>
            <w:proofErr w:type="spellEnd"/>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Relative</w:t>
            </w:r>
            <w:proofErr w:type="spellEnd"/>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 </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Share</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Correlation</w:t>
            </w:r>
            <w:proofErr w:type="spellEnd"/>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Index</w:t>
            </w:r>
            <w:proofErr w:type="spellEnd"/>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color w:val="000000"/>
                <w:sz w:val="16"/>
                <w:szCs w:val="16"/>
                <w:lang w:eastAsia="es-AR"/>
              </w:rPr>
            </w:pPr>
            <w:proofErr w:type="spellStart"/>
            <w:r w:rsidRPr="00195119">
              <w:rPr>
                <w:rFonts w:asciiTheme="minorHAnsi" w:eastAsia="Times New Roman" w:hAnsiTheme="minorHAnsi" w:cs="Arial"/>
                <w:color w:val="000000"/>
                <w:sz w:val="16"/>
                <w:szCs w:val="16"/>
                <w:lang w:eastAsia="es-AR"/>
              </w:rPr>
              <w:t>Contribution</w:t>
            </w:r>
            <w:proofErr w:type="spellEnd"/>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S_k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R_k</w:t>
            </w:r>
            <w:proofErr w:type="spellEnd"/>
            <w:r w:rsidRPr="00195119">
              <w:rPr>
                <w:rFonts w:asciiTheme="minorHAnsi" w:eastAsia="Times New Roman" w:hAnsiTheme="minorHAnsi" w:cs="Arial"/>
                <w:b/>
                <w:bCs/>
                <w:color w:val="000000"/>
                <w:sz w:val="16"/>
                <w:szCs w:val="16"/>
                <w:lang w:eastAsia="es-AR"/>
              </w:rPr>
              <w:t>*</w:t>
            </w:r>
            <w:proofErr w:type="spellStart"/>
            <w:r w:rsidRPr="00195119">
              <w:rPr>
                <w:rFonts w:asciiTheme="minorHAnsi" w:eastAsia="Times New Roman" w:hAnsiTheme="minorHAnsi" w:cs="Arial"/>
                <w:b/>
                <w:bCs/>
                <w:color w:val="000000"/>
                <w:sz w:val="16"/>
                <w:szCs w:val="16"/>
                <w:lang w:eastAsia="es-AR"/>
              </w:rPr>
              <w:t>G_k</w:t>
            </w:r>
            <w:proofErr w:type="spellEnd"/>
            <w:r w:rsidRPr="00195119">
              <w:rPr>
                <w:rFonts w:asciiTheme="minorHAnsi" w:eastAsia="Times New Roman" w:hAnsiTheme="minorHAnsi" w:cs="Arial"/>
                <w:b/>
                <w:bCs/>
                <w:color w:val="000000"/>
                <w:sz w:val="16"/>
                <w:szCs w:val="16"/>
                <w:lang w:eastAsia="es-AR"/>
              </w:rPr>
              <w:t>/G)</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laborales</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0,8072</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0,9042</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0,4982</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0,3637</w:t>
            </w:r>
          </w:p>
        </w:tc>
        <w:tc>
          <w:tcPr>
            <w:tcW w:w="1223"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0,944</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formal público y privado</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0,5826</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0,8077</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0,6395</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0,3009</w:t>
            </w:r>
          </w:p>
        </w:tc>
        <w:tc>
          <w:tcPr>
            <w:tcW w:w="1223"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0,7814</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formal privado</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0,4297</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0,6873</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0,6905</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0,2039</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0,529</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Sector público</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0,1529</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0,6964</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0,9108</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0,0970</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0,252</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Sector micro/informal</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0,2247</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0,3686</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0,7578</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0,0627</w:t>
            </w:r>
          </w:p>
        </w:tc>
        <w:tc>
          <w:tcPr>
            <w:tcW w:w="1223"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0,163</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Ingresos no laborales</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0,1928</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0,1555</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0,7157</w:t>
            </w:r>
          </w:p>
        </w:tc>
        <w:tc>
          <w:tcPr>
            <w:tcW w:w="1119"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0,0215</w:t>
            </w:r>
          </w:p>
        </w:tc>
        <w:tc>
          <w:tcPr>
            <w:tcW w:w="1223" w:type="dxa"/>
            <w:tcBorders>
              <w:top w:val="nil"/>
              <w:left w:val="nil"/>
              <w:bottom w:val="single" w:sz="4" w:space="0" w:color="auto"/>
              <w:right w:val="single" w:sz="4" w:space="0" w:color="auto"/>
            </w:tcBorders>
            <w:shd w:val="clear" w:color="000000" w:fill="D9D9D9"/>
            <w:noWrap/>
            <w:vAlign w:val="bottom"/>
            <w:hideMark/>
          </w:tcPr>
          <w:p w:rsidR="00195119" w:rsidRPr="00195119" w:rsidRDefault="00195119" w:rsidP="00195119">
            <w:pPr>
              <w:spacing w:after="0" w:line="240" w:lineRule="auto"/>
              <w:jc w:val="right"/>
              <w:rPr>
                <w:rFonts w:asciiTheme="minorHAnsi" w:eastAsia="Times New Roman" w:hAnsiTheme="minorHAnsi" w:cs="Arial"/>
                <w:color w:val="000000"/>
                <w:sz w:val="16"/>
                <w:szCs w:val="16"/>
                <w:lang w:eastAsia="es-AR"/>
              </w:rPr>
            </w:pPr>
            <w:r w:rsidRPr="00195119">
              <w:rPr>
                <w:rFonts w:asciiTheme="minorHAnsi" w:eastAsia="Times New Roman" w:hAnsiTheme="minorHAnsi" w:cs="Arial"/>
                <w:color w:val="000000"/>
                <w:sz w:val="16"/>
                <w:szCs w:val="16"/>
                <w:lang w:eastAsia="es-AR"/>
              </w:rPr>
              <w:t>0,056</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Políticas sociales</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0,1626</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0,0863</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0,7354</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0,0103</w:t>
            </w:r>
          </w:p>
        </w:tc>
        <w:tc>
          <w:tcPr>
            <w:tcW w:w="1223"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0,027</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Planes de empleo</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0,0029</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0,0193</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0,9910</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0,0001</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0,000</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Programas sociales</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0,0121</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-0,1652</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0,9216</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-0,0018</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-0,005</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ind w:firstLineChars="100" w:firstLine="160"/>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Jubilaciones y pensiones</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0,1475</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0,1060</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0,7744</w:t>
            </w:r>
          </w:p>
        </w:tc>
        <w:tc>
          <w:tcPr>
            <w:tcW w:w="1119"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0,0121</w:t>
            </w:r>
          </w:p>
        </w:tc>
        <w:tc>
          <w:tcPr>
            <w:tcW w:w="1223" w:type="dxa"/>
            <w:tcBorders>
              <w:top w:val="nil"/>
              <w:left w:val="nil"/>
              <w:bottom w:val="single" w:sz="4" w:space="0" w:color="auto"/>
              <w:right w:val="single" w:sz="4" w:space="0" w:color="auto"/>
            </w:tcBorders>
            <w:shd w:val="clear" w:color="auto" w:fill="auto"/>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0,031</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ind w:firstLineChars="100" w:firstLine="161"/>
              <w:rPr>
                <w:rFonts w:asciiTheme="minorHAnsi" w:eastAsia="Times New Roman" w:hAnsiTheme="minorHAnsi" w:cs="Arial"/>
                <w:b/>
                <w:bCs/>
                <w:i/>
                <w:iCs/>
                <w:color w:val="000000"/>
                <w:sz w:val="16"/>
                <w:szCs w:val="16"/>
                <w:lang w:eastAsia="es-AR"/>
              </w:rPr>
            </w:pPr>
            <w:r w:rsidRPr="00195119">
              <w:rPr>
                <w:rFonts w:asciiTheme="minorHAnsi" w:eastAsia="Times New Roman" w:hAnsiTheme="minorHAnsi" w:cs="Arial"/>
                <w:b/>
                <w:bCs/>
                <w:i/>
                <w:iCs/>
                <w:color w:val="000000"/>
                <w:sz w:val="16"/>
                <w:szCs w:val="16"/>
                <w:lang w:eastAsia="es-AR"/>
              </w:rPr>
              <w:t>Otros no laborales</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0,0302</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0,3867</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0,9540</w:t>
            </w:r>
          </w:p>
        </w:tc>
        <w:tc>
          <w:tcPr>
            <w:tcW w:w="1119"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0,0111</w:t>
            </w:r>
          </w:p>
        </w:tc>
        <w:tc>
          <w:tcPr>
            <w:tcW w:w="1223" w:type="dxa"/>
            <w:tcBorders>
              <w:top w:val="nil"/>
              <w:left w:val="nil"/>
              <w:bottom w:val="single" w:sz="4" w:space="0" w:color="auto"/>
              <w:right w:val="single" w:sz="4" w:space="0" w:color="auto"/>
            </w:tcBorders>
            <w:shd w:val="clear" w:color="000000" w:fill="F2F2F2"/>
            <w:noWrap/>
            <w:vAlign w:val="bottom"/>
            <w:hideMark/>
          </w:tcPr>
          <w:p w:rsidR="00195119" w:rsidRPr="00195119" w:rsidRDefault="00195119" w:rsidP="00195119">
            <w:pPr>
              <w:spacing w:after="0" w:line="240" w:lineRule="auto"/>
              <w:jc w:val="right"/>
              <w:rPr>
                <w:rFonts w:asciiTheme="minorHAnsi" w:eastAsia="Times New Roman" w:hAnsiTheme="minorHAnsi" w:cs="Arial"/>
                <w:i/>
                <w:iCs/>
                <w:color w:val="000000"/>
                <w:sz w:val="16"/>
                <w:szCs w:val="16"/>
                <w:lang w:eastAsia="es-AR"/>
              </w:rPr>
            </w:pPr>
            <w:r w:rsidRPr="00195119">
              <w:rPr>
                <w:rFonts w:asciiTheme="minorHAnsi" w:eastAsia="Times New Roman" w:hAnsiTheme="minorHAnsi" w:cs="Arial"/>
                <w:i/>
                <w:iCs/>
                <w:color w:val="000000"/>
                <w:sz w:val="16"/>
                <w:szCs w:val="16"/>
                <w:lang w:eastAsia="es-AR"/>
              </w:rPr>
              <w:t>0,029</w:t>
            </w:r>
          </w:p>
        </w:tc>
      </w:tr>
      <w:tr w:rsidR="00195119" w:rsidRPr="00195119" w:rsidTr="008F7A5C">
        <w:trPr>
          <w:trHeight w:val="170"/>
        </w:trPr>
        <w:tc>
          <w:tcPr>
            <w:tcW w:w="2780" w:type="dxa"/>
            <w:tcBorders>
              <w:top w:val="nil"/>
              <w:left w:val="single" w:sz="4" w:space="0" w:color="auto"/>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9"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9"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9"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center"/>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c>
          <w:tcPr>
            <w:tcW w:w="1119"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jc w:val="right"/>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0,3851</w:t>
            </w:r>
          </w:p>
        </w:tc>
        <w:tc>
          <w:tcPr>
            <w:tcW w:w="1223" w:type="dxa"/>
            <w:tcBorders>
              <w:top w:val="nil"/>
              <w:left w:val="nil"/>
              <w:bottom w:val="single" w:sz="4" w:space="0" w:color="auto"/>
              <w:right w:val="single" w:sz="4" w:space="0" w:color="auto"/>
            </w:tcBorders>
            <w:shd w:val="clear" w:color="000000" w:fill="808080"/>
            <w:noWrap/>
            <w:vAlign w:val="bottom"/>
            <w:hideMark/>
          </w:tcPr>
          <w:p w:rsidR="00195119" w:rsidRPr="00195119" w:rsidRDefault="00195119" w:rsidP="00195119">
            <w:pPr>
              <w:spacing w:after="0" w:line="240" w:lineRule="auto"/>
              <w:rPr>
                <w:rFonts w:asciiTheme="minorHAnsi" w:eastAsia="Times New Roman" w:hAnsiTheme="minorHAnsi" w:cs="Arial"/>
                <w:b/>
                <w:bCs/>
                <w:color w:val="000000"/>
                <w:sz w:val="16"/>
                <w:szCs w:val="16"/>
                <w:lang w:eastAsia="es-AR"/>
              </w:rPr>
            </w:pPr>
            <w:r w:rsidRPr="00195119">
              <w:rPr>
                <w:rFonts w:asciiTheme="minorHAnsi" w:eastAsia="Times New Roman" w:hAnsiTheme="minorHAnsi" w:cs="Arial"/>
                <w:b/>
                <w:bCs/>
                <w:color w:val="000000"/>
                <w:sz w:val="16"/>
                <w:szCs w:val="16"/>
                <w:lang w:eastAsia="es-AR"/>
              </w:rPr>
              <w:t> </w:t>
            </w:r>
          </w:p>
        </w:tc>
      </w:tr>
    </w:tbl>
    <w:p w:rsidR="0053557B" w:rsidRPr="00195119" w:rsidRDefault="000C5E48" w:rsidP="00195119">
      <w:pPr>
        <w:spacing w:after="0" w:line="240" w:lineRule="auto"/>
        <w:jc w:val="both"/>
        <w:rPr>
          <w:rFonts w:asciiTheme="minorHAnsi" w:eastAsia="Times New Roman" w:hAnsiTheme="minorHAnsi"/>
          <w:sz w:val="16"/>
          <w:szCs w:val="16"/>
          <w:lang w:val="es-ES" w:eastAsia="es-AR"/>
        </w:rPr>
      </w:pPr>
      <w:r w:rsidRPr="00195119">
        <w:rPr>
          <w:rFonts w:asciiTheme="minorHAnsi" w:eastAsia="Times New Roman" w:hAnsiTheme="minorHAnsi"/>
          <w:color w:val="000000"/>
          <w:sz w:val="16"/>
          <w:szCs w:val="16"/>
          <w:lang w:eastAsia="es-AR"/>
        </w:rPr>
        <w:t>Fuente: Elaboración propia en base a microdatos de la EPH-INDEC para los períodos indicados. Disponibles en: &lt;</w:t>
      </w:r>
      <w:r w:rsidRPr="00195119">
        <w:rPr>
          <w:rFonts w:asciiTheme="minorHAnsi" w:eastAsia="Times New Roman" w:hAnsiTheme="minorHAnsi"/>
          <w:color w:val="000000"/>
          <w:sz w:val="16"/>
          <w:szCs w:val="16"/>
          <w:u w:val="single"/>
          <w:lang w:eastAsia="es-AR"/>
        </w:rPr>
        <w:t>www.indec.gov.ar</w:t>
      </w:r>
      <w:r w:rsidRPr="00195119">
        <w:rPr>
          <w:rFonts w:asciiTheme="minorHAnsi" w:eastAsia="Times New Roman" w:hAnsiTheme="minorHAnsi"/>
          <w:color w:val="000000"/>
          <w:sz w:val="16"/>
          <w:szCs w:val="16"/>
          <w:lang w:eastAsia="es-AR"/>
        </w:rPr>
        <w:t>&gt;</w:t>
      </w:r>
    </w:p>
    <w:p w:rsidR="0053557B" w:rsidRPr="00195119" w:rsidRDefault="0053557B" w:rsidP="0053557B">
      <w:pPr>
        <w:tabs>
          <w:tab w:val="left" w:pos="4069"/>
        </w:tabs>
        <w:spacing w:after="0" w:line="240" w:lineRule="auto"/>
        <w:jc w:val="both"/>
        <w:rPr>
          <w:rFonts w:asciiTheme="minorHAnsi" w:eastAsia="Times New Roman" w:hAnsiTheme="minorHAnsi"/>
          <w:sz w:val="16"/>
          <w:szCs w:val="16"/>
          <w:lang w:val="es-ES" w:eastAsia="es-AR"/>
        </w:rPr>
      </w:pPr>
    </w:p>
    <w:p w:rsidR="0053557B" w:rsidRPr="00195119" w:rsidRDefault="0053557B" w:rsidP="0053557B">
      <w:pPr>
        <w:tabs>
          <w:tab w:val="left" w:pos="4069"/>
        </w:tabs>
        <w:spacing w:after="0" w:line="240" w:lineRule="auto"/>
        <w:jc w:val="both"/>
        <w:rPr>
          <w:rFonts w:asciiTheme="minorHAnsi" w:eastAsia="Times New Roman" w:hAnsiTheme="minorHAnsi"/>
          <w:sz w:val="16"/>
          <w:szCs w:val="16"/>
          <w:lang w:val="es-ES" w:eastAsia="es-AR"/>
        </w:rPr>
      </w:pPr>
    </w:p>
    <w:p w:rsidR="00113FA5" w:rsidRPr="00195119" w:rsidRDefault="00113FA5" w:rsidP="002339EF">
      <w:pPr>
        <w:spacing w:after="0" w:line="240" w:lineRule="auto"/>
        <w:jc w:val="both"/>
        <w:rPr>
          <w:rFonts w:asciiTheme="minorHAnsi" w:hAnsiTheme="minorHAnsi"/>
          <w:b/>
          <w:sz w:val="16"/>
          <w:szCs w:val="16"/>
        </w:rPr>
      </w:pPr>
    </w:p>
    <w:sectPr w:rsidR="00113FA5" w:rsidRPr="00195119" w:rsidSect="004E2D48">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96" w:rsidRDefault="00082D96" w:rsidP="00AB2BF0">
      <w:pPr>
        <w:spacing w:after="0" w:line="240" w:lineRule="auto"/>
      </w:pPr>
      <w:r>
        <w:separator/>
      </w:r>
    </w:p>
  </w:endnote>
  <w:endnote w:type="continuationSeparator" w:id="0">
    <w:p w:rsidR="00082D96" w:rsidRDefault="00082D96" w:rsidP="00AB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19" w:rsidRPr="008E4B84" w:rsidRDefault="00195119">
    <w:pPr>
      <w:pStyle w:val="Piedepgina"/>
      <w:jc w:val="center"/>
      <w:rPr>
        <w:sz w:val="22"/>
        <w:lang w:val="es-ES"/>
      </w:rPr>
    </w:pPr>
    <w:r w:rsidRPr="008E4B84">
      <w:rPr>
        <w:sz w:val="22"/>
      </w:rPr>
      <w:fldChar w:fldCharType="begin"/>
    </w:r>
    <w:r w:rsidRPr="008E4B84">
      <w:rPr>
        <w:sz w:val="22"/>
      </w:rPr>
      <w:instrText xml:space="preserve"> PAGE   \* MERGEFORMAT </w:instrText>
    </w:r>
    <w:r w:rsidRPr="008E4B84">
      <w:rPr>
        <w:sz w:val="22"/>
      </w:rPr>
      <w:fldChar w:fldCharType="separate"/>
    </w:r>
    <w:r w:rsidR="008F7A5C">
      <w:rPr>
        <w:noProof/>
        <w:sz w:val="22"/>
      </w:rPr>
      <w:t>1</w:t>
    </w:r>
    <w:r w:rsidRPr="008E4B84">
      <w:rPr>
        <w:sz w:val="22"/>
      </w:rPr>
      <w:fldChar w:fldCharType="end"/>
    </w:r>
  </w:p>
  <w:p w:rsidR="00195119" w:rsidRPr="008B455B" w:rsidRDefault="00195119">
    <w:pPr>
      <w:pStyle w:val="Piedepgin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96" w:rsidRDefault="00082D96" w:rsidP="00AB2BF0">
      <w:pPr>
        <w:spacing w:after="0" w:line="240" w:lineRule="auto"/>
      </w:pPr>
      <w:r>
        <w:separator/>
      </w:r>
    </w:p>
  </w:footnote>
  <w:footnote w:type="continuationSeparator" w:id="0">
    <w:p w:rsidR="00082D96" w:rsidRDefault="00082D96" w:rsidP="00AB2BF0">
      <w:pPr>
        <w:spacing w:after="0" w:line="240" w:lineRule="auto"/>
      </w:pPr>
      <w:r>
        <w:continuationSeparator/>
      </w:r>
    </w:p>
  </w:footnote>
  <w:footnote w:id="1">
    <w:p w:rsidR="00195119" w:rsidRDefault="00195119" w:rsidP="0076050C">
      <w:pPr>
        <w:pStyle w:val="Textonotapie"/>
        <w:spacing w:after="120"/>
        <w:jc w:val="both"/>
      </w:pPr>
      <w:r w:rsidRPr="00DF59EF">
        <w:rPr>
          <w:rStyle w:val="Refdenotaalpie"/>
          <w:rFonts w:cs="Calibri"/>
          <w:sz w:val="18"/>
          <w:szCs w:val="18"/>
        </w:rPr>
        <w:sym w:font="Symbol" w:char="F02A"/>
      </w:r>
      <w:r w:rsidRPr="00DF59EF">
        <w:rPr>
          <w:rFonts w:cs="Calibri"/>
          <w:sz w:val="18"/>
          <w:szCs w:val="18"/>
        </w:rPr>
        <w:t xml:space="preserve"> Este trabajo </w:t>
      </w:r>
      <w:r>
        <w:rPr>
          <w:rFonts w:cs="Calibri"/>
          <w:sz w:val="18"/>
          <w:szCs w:val="18"/>
          <w:lang w:val="es-ES"/>
        </w:rPr>
        <w:t>fue</w:t>
      </w:r>
      <w:r>
        <w:rPr>
          <w:rFonts w:cs="Calibri"/>
          <w:sz w:val="18"/>
          <w:szCs w:val="18"/>
        </w:rPr>
        <w:t xml:space="preserve"> producido en</w:t>
      </w:r>
      <w:r w:rsidRPr="00DF59EF">
        <w:rPr>
          <w:rFonts w:cs="Calibri"/>
          <w:sz w:val="18"/>
          <w:szCs w:val="18"/>
        </w:rPr>
        <w:t xml:space="preserve"> el marco </w:t>
      </w:r>
      <w:r>
        <w:rPr>
          <w:rFonts w:cs="Calibri"/>
          <w:sz w:val="18"/>
          <w:szCs w:val="18"/>
          <w:lang w:val="es-ES"/>
        </w:rPr>
        <w:t>de</w:t>
      </w:r>
      <w:r w:rsidRPr="00DF59EF">
        <w:rPr>
          <w:rFonts w:cs="Calibri"/>
          <w:sz w:val="18"/>
          <w:szCs w:val="18"/>
          <w:lang w:val="es-ES"/>
        </w:rPr>
        <w:t xml:space="preserve"> </w:t>
      </w:r>
      <w:r>
        <w:rPr>
          <w:rFonts w:cs="Calibri"/>
          <w:sz w:val="18"/>
          <w:szCs w:val="18"/>
        </w:rPr>
        <w:t>las</w:t>
      </w:r>
      <w:r>
        <w:rPr>
          <w:rFonts w:cs="Calibri"/>
          <w:sz w:val="18"/>
          <w:szCs w:val="18"/>
          <w:lang w:val="es-ES"/>
        </w:rPr>
        <w:t xml:space="preserve"> </w:t>
      </w:r>
      <w:r w:rsidRPr="00DF59EF">
        <w:rPr>
          <w:rFonts w:cs="Calibri"/>
          <w:sz w:val="18"/>
          <w:szCs w:val="18"/>
          <w:lang w:val="es-ES"/>
        </w:rPr>
        <w:t xml:space="preserve">investigaciones </w:t>
      </w:r>
      <w:r>
        <w:rPr>
          <w:rFonts w:cs="Calibri"/>
          <w:sz w:val="18"/>
          <w:szCs w:val="18"/>
          <w:lang w:val="es-ES"/>
        </w:rPr>
        <w:t xml:space="preserve">que realiza el </w:t>
      </w:r>
      <w:r w:rsidRPr="00DF59EF">
        <w:rPr>
          <w:rFonts w:cs="Calibri"/>
          <w:sz w:val="18"/>
          <w:szCs w:val="18"/>
        </w:rPr>
        <w:t>Programa Cambio Estructural y Desigualdad Social</w:t>
      </w:r>
      <w:r>
        <w:rPr>
          <w:rFonts w:cs="Calibri"/>
          <w:sz w:val="18"/>
          <w:szCs w:val="18"/>
        </w:rPr>
        <w:t xml:space="preserve">, con sede en el Instituto de Investigaciones Gino </w:t>
      </w:r>
      <w:proofErr w:type="spellStart"/>
      <w:r>
        <w:rPr>
          <w:rFonts w:cs="Calibri"/>
          <w:sz w:val="18"/>
          <w:szCs w:val="18"/>
        </w:rPr>
        <w:t>Germani</w:t>
      </w:r>
      <w:proofErr w:type="spellEnd"/>
      <w:r>
        <w:rPr>
          <w:rFonts w:cs="Calibri"/>
          <w:sz w:val="18"/>
          <w:szCs w:val="18"/>
        </w:rPr>
        <w:t xml:space="preserve"> de</w:t>
      </w:r>
      <w:r>
        <w:rPr>
          <w:rFonts w:cs="Calibri"/>
          <w:sz w:val="18"/>
          <w:szCs w:val="18"/>
          <w:lang w:val="es-ES"/>
        </w:rPr>
        <w:t xml:space="preserve"> la Universidad de Buenos Aires </w:t>
      </w:r>
      <w:r w:rsidRPr="00DF59EF">
        <w:rPr>
          <w:rFonts w:cs="Calibri"/>
          <w:sz w:val="18"/>
          <w:szCs w:val="18"/>
        </w:rPr>
        <w:t>(FSOC-UBA</w:t>
      </w:r>
      <w:r>
        <w:rPr>
          <w:rFonts w:cs="Calibri"/>
          <w:sz w:val="18"/>
          <w:szCs w:val="18"/>
        </w:rPr>
        <w:t>), y</w:t>
      </w:r>
      <w:r w:rsidRPr="00DF59EF">
        <w:rPr>
          <w:rFonts w:cs="Calibri"/>
          <w:sz w:val="18"/>
          <w:szCs w:val="18"/>
          <w:lang w:val="es-ES"/>
        </w:rPr>
        <w:t xml:space="preserve"> el </w:t>
      </w:r>
      <w:r w:rsidRPr="00DF59EF">
        <w:rPr>
          <w:rFonts w:cs="Calibri"/>
          <w:sz w:val="18"/>
          <w:szCs w:val="18"/>
        </w:rPr>
        <w:t>Observatorio de la Deuda Social Argentina</w:t>
      </w:r>
      <w:r>
        <w:rPr>
          <w:rFonts w:cs="Calibri"/>
          <w:sz w:val="18"/>
          <w:szCs w:val="18"/>
        </w:rPr>
        <w:t>, con sede en la Universidad Católica Argentina</w:t>
      </w:r>
      <w:r w:rsidRPr="00DF59EF">
        <w:rPr>
          <w:rFonts w:cs="Calibri"/>
          <w:sz w:val="18"/>
          <w:szCs w:val="18"/>
        </w:rPr>
        <w:t xml:space="preserve"> (UCA)</w:t>
      </w:r>
      <w:r>
        <w:rPr>
          <w:rFonts w:cs="Calibri"/>
          <w:sz w:val="18"/>
          <w:szCs w:val="18"/>
        </w:rPr>
        <w:t xml:space="preserve">, en ambos casos bajo </w:t>
      </w:r>
      <w:r w:rsidRPr="00DF59EF">
        <w:rPr>
          <w:rFonts w:cs="Calibri"/>
          <w:sz w:val="18"/>
          <w:szCs w:val="18"/>
        </w:rPr>
        <w:t>la dirección de Agustín Salvia</w:t>
      </w:r>
      <w:r w:rsidRPr="00DF59EF">
        <w:rPr>
          <w:rFonts w:cs="Calibri"/>
          <w:sz w:val="18"/>
          <w:szCs w:val="18"/>
          <w:lang w:val="es-ES"/>
        </w:rPr>
        <w:t>.</w:t>
      </w:r>
      <w:r>
        <w:rPr>
          <w:rFonts w:cs="Calibri"/>
          <w:sz w:val="18"/>
          <w:szCs w:val="18"/>
        </w:rPr>
        <w:t xml:space="preserve"> </w:t>
      </w:r>
    </w:p>
  </w:footnote>
  <w:footnote w:id="2">
    <w:p w:rsidR="00195119" w:rsidRPr="001111DB" w:rsidRDefault="00195119" w:rsidP="0031511F">
      <w:pPr>
        <w:pStyle w:val="Textonotapie"/>
        <w:jc w:val="both"/>
        <w:rPr>
          <w:sz w:val="18"/>
          <w:szCs w:val="18"/>
        </w:rPr>
      </w:pPr>
      <w:r w:rsidRPr="001111DB">
        <w:rPr>
          <w:rStyle w:val="Refdenotaalpie"/>
          <w:sz w:val="18"/>
          <w:szCs w:val="18"/>
        </w:rPr>
        <w:footnoteRef/>
      </w:r>
      <w:r w:rsidRPr="001111DB">
        <w:rPr>
          <w:sz w:val="18"/>
          <w:szCs w:val="18"/>
        </w:rPr>
        <w:t xml:space="preserve"> La intervención del Estado incluye un vasto conjunto de campos de actividad, entre los que cabe incluir la provisión de servicios de carácter universal, las transferencias monetarias a los hogares y la acción regulatoria que condiciona el ciclo económico y la reproducción de la fuerza de trabajo (Cortés y Marshall, 1991). Sin embargo, en este capítulo, se entiende a las “políticas sociales” en un sentido más estrecho, como el conjunto de dispositivos a partir de los cuales el Estado interviene de manera directa en la redistribución secundaria del ingreso, en oposición a la distribución primaria que está dominada por el funcionamiento de los mercados (</w:t>
      </w:r>
      <w:proofErr w:type="spellStart"/>
      <w:r w:rsidRPr="001111DB">
        <w:rPr>
          <w:sz w:val="18"/>
          <w:szCs w:val="18"/>
          <w:lang w:val="es-ES"/>
        </w:rPr>
        <w:t>Danani</w:t>
      </w:r>
      <w:proofErr w:type="spellEnd"/>
      <w:r w:rsidRPr="001111DB">
        <w:rPr>
          <w:sz w:val="18"/>
          <w:szCs w:val="18"/>
          <w:lang w:val="es-ES"/>
        </w:rPr>
        <w:t xml:space="preserve">, 2006; </w:t>
      </w:r>
      <w:proofErr w:type="spellStart"/>
      <w:r w:rsidRPr="001111DB">
        <w:rPr>
          <w:sz w:val="18"/>
          <w:szCs w:val="18"/>
        </w:rPr>
        <w:t>Isuani</w:t>
      </w:r>
      <w:proofErr w:type="spellEnd"/>
      <w:r w:rsidRPr="001111DB">
        <w:rPr>
          <w:sz w:val="18"/>
          <w:szCs w:val="18"/>
        </w:rPr>
        <w:t xml:space="preserve">, Lo </w:t>
      </w:r>
      <w:proofErr w:type="spellStart"/>
      <w:r w:rsidRPr="001111DB">
        <w:rPr>
          <w:sz w:val="18"/>
          <w:szCs w:val="18"/>
        </w:rPr>
        <w:t>Vuolo</w:t>
      </w:r>
      <w:proofErr w:type="spellEnd"/>
      <w:r w:rsidRPr="001111DB">
        <w:rPr>
          <w:sz w:val="18"/>
          <w:szCs w:val="18"/>
        </w:rPr>
        <w:t xml:space="preserve">, </w:t>
      </w:r>
      <w:proofErr w:type="spellStart"/>
      <w:r w:rsidRPr="001111DB">
        <w:rPr>
          <w:sz w:val="18"/>
          <w:szCs w:val="18"/>
        </w:rPr>
        <w:t>Tenti</w:t>
      </w:r>
      <w:proofErr w:type="spellEnd"/>
      <w:r w:rsidRPr="001111DB">
        <w:rPr>
          <w:sz w:val="18"/>
          <w:szCs w:val="18"/>
        </w:rPr>
        <w:t xml:space="preserve"> </w:t>
      </w:r>
      <w:proofErr w:type="spellStart"/>
      <w:r w:rsidRPr="001111DB">
        <w:rPr>
          <w:sz w:val="18"/>
          <w:szCs w:val="18"/>
        </w:rPr>
        <w:t>Fanfani</w:t>
      </w:r>
      <w:proofErr w:type="spellEnd"/>
      <w:r w:rsidRPr="001111DB">
        <w:rPr>
          <w:sz w:val="18"/>
          <w:szCs w:val="18"/>
        </w:rPr>
        <w:t xml:space="preserve">, 1989; </w:t>
      </w:r>
      <w:proofErr w:type="spellStart"/>
      <w:r w:rsidRPr="001111DB">
        <w:rPr>
          <w:sz w:val="18"/>
          <w:szCs w:val="18"/>
        </w:rPr>
        <w:t>Isuani</w:t>
      </w:r>
      <w:proofErr w:type="spellEnd"/>
      <w:r w:rsidRPr="001111DB">
        <w:rPr>
          <w:sz w:val="18"/>
          <w:szCs w:val="18"/>
        </w:rPr>
        <w:t>, 2008).</w:t>
      </w:r>
    </w:p>
  </w:footnote>
  <w:footnote w:id="3">
    <w:p w:rsidR="00195119" w:rsidRPr="001111DB" w:rsidRDefault="00195119" w:rsidP="00AC76A3">
      <w:pPr>
        <w:pStyle w:val="Textonotapie"/>
        <w:jc w:val="both"/>
        <w:rPr>
          <w:lang w:val="es-ES"/>
        </w:rPr>
      </w:pPr>
      <w:r w:rsidRPr="001111DB">
        <w:rPr>
          <w:rStyle w:val="Refdenotaalpie"/>
          <w:sz w:val="18"/>
        </w:rPr>
        <w:footnoteRef/>
      </w:r>
      <w:r w:rsidRPr="001111DB">
        <w:rPr>
          <w:sz w:val="18"/>
        </w:rPr>
        <w:t xml:space="preserve"> </w:t>
      </w:r>
      <w:r w:rsidRPr="001111DB">
        <w:rPr>
          <w:kern w:val="22"/>
          <w:sz w:val="18"/>
        </w:rPr>
        <w:t>La información presentada en este capítulo</w:t>
      </w:r>
      <w:r w:rsidRPr="001111DB">
        <w:rPr>
          <w:kern w:val="22"/>
          <w:sz w:val="18"/>
          <w:lang w:val="es-ES"/>
        </w:rPr>
        <w:t xml:space="preserve">, al igual que en el </w:t>
      </w:r>
      <w:r w:rsidRPr="008A7AE7">
        <w:rPr>
          <w:kern w:val="22"/>
          <w:sz w:val="18"/>
          <w:highlight w:val="yellow"/>
          <w:lang w:val="es-ES"/>
        </w:rPr>
        <w:t>capítulo 2,</w:t>
      </w:r>
      <w:r w:rsidRPr="001111DB">
        <w:rPr>
          <w:kern w:val="22"/>
          <w:sz w:val="18"/>
          <w:lang w:val="es-ES"/>
        </w:rPr>
        <w:t xml:space="preserve"> </w:t>
      </w:r>
      <w:r w:rsidRPr="001111DB">
        <w:rPr>
          <w:kern w:val="22"/>
          <w:sz w:val="18"/>
        </w:rPr>
        <w:t xml:space="preserve">se construyó a partir de los microdatos de la Encuesta Permanente de Hogares (EPH) que releva el </w:t>
      </w:r>
      <w:r w:rsidRPr="001111DB">
        <w:rPr>
          <w:kern w:val="22"/>
          <w:sz w:val="18"/>
          <w:lang w:val="es-ES"/>
        </w:rPr>
        <w:t>Instituto Nacional de Estadística y Censos</w:t>
      </w:r>
      <w:r w:rsidRPr="001111DB">
        <w:rPr>
          <w:kern w:val="22"/>
          <w:sz w:val="18"/>
        </w:rPr>
        <w:t xml:space="preserve"> desde el año 197</w:t>
      </w:r>
      <w:r w:rsidRPr="001111DB">
        <w:rPr>
          <w:kern w:val="22"/>
          <w:sz w:val="18"/>
          <w:lang w:val="es-ES"/>
        </w:rPr>
        <w:t>2</w:t>
      </w:r>
      <w:r w:rsidRPr="001111DB">
        <w:rPr>
          <w:kern w:val="22"/>
          <w:sz w:val="18"/>
        </w:rPr>
        <w:t>. Por razones de disponibilidad de información, el análisis se restringe al aglomerado Gran Buenos Aires, para un conjunto de años tomados como ventana de observación. Operacionalmente, el ingreso mensual relevado por la EPH corresponde al “ingreso corriente de bolsillo” (es decir, neto de obligaciones fiscales) proveniente de fuentes laborales (salarios de obreros y empleados, remuneraciones al trabajo por cuenta propia y utilidades patronales) y no laborales (rentas e intereses, jubilaciones y otros ingresos de fuentes públicas y privadas)</w:t>
      </w:r>
      <w:r w:rsidRPr="001111DB">
        <w:rPr>
          <w:kern w:val="22"/>
          <w:sz w:val="18"/>
          <w:lang w:val="es-ES"/>
        </w:rPr>
        <w:t xml:space="preserve">. </w:t>
      </w:r>
      <w:r w:rsidRPr="001111DB">
        <w:rPr>
          <w:sz w:val="18"/>
          <w:szCs w:val="18"/>
        </w:rPr>
        <w:t xml:space="preserve">A lo largo de la serie, la </w:t>
      </w:r>
      <w:r w:rsidRPr="001111DB">
        <w:rPr>
          <w:sz w:val="18"/>
          <w:szCs w:val="18"/>
          <w:lang w:val="es-MX"/>
        </w:rPr>
        <w:t>EPH</w:t>
      </w:r>
      <w:r w:rsidRPr="001111DB">
        <w:rPr>
          <w:sz w:val="18"/>
          <w:szCs w:val="18"/>
        </w:rPr>
        <w:t xml:space="preserve"> tuvo diversos cambios metodológicos. Entre los más relevantes, cabe consignar el que tuvo lugar a partir del segundo semestre de 2003, cuando </w:t>
      </w:r>
      <w:r w:rsidRPr="001111DB">
        <w:rPr>
          <w:sz w:val="18"/>
          <w:szCs w:val="18"/>
          <w:lang w:val="es-MX"/>
        </w:rPr>
        <w:t>se abandonó</w:t>
      </w:r>
      <w:r w:rsidRPr="001111DB">
        <w:rPr>
          <w:sz w:val="18"/>
          <w:szCs w:val="18"/>
        </w:rPr>
        <w:t xml:space="preserve"> la modalidad “puntual” (dos relevamientos anuales) a la “continua” (cuatro relevamientos y cambios en la estructura de solapamiento)</w:t>
      </w:r>
      <w:r w:rsidRPr="001111DB">
        <w:rPr>
          <w:sz w:val="18"/>
          <w:szCs w:val="18"/>
          <w:lang w:val="es-MX"/>
        </w:rPr>
        <w:t>. Para más información, véase INDEC (2003).</w:t>
      </w:r>
    </w:p>
  </w:footnote>
  <w:footnote w:id="4">
    <w:p w:rsidR="00195119" w:rsidRDefault="00195119" w:rsidP="00433B67">
      <w:pPr>
        <w:pStyle w:val="Prrafodelista"/>
        <w:spacing w:after="0" w:line="240" w:lineRule="auto"/>
        <w:ind w:left="0"/>
        <w:jc w:val="both"/>
      </w:pPr>
      <w:r w:rsidRPr="00DF552E">
        <w:rPr>
          <w:sz w:val="18"/>
          <w:szCs w:val="18"/>
          <w:highlight w:val="yellow"/>
          <w:vertAlign w:val="superscript"/>
        </w:rPr>
        <w:footnoteRef/>
      </w:r>
      <w:r w:rsidRPr="00DF552E">
        <w:rPr>
          <w:sz w:val="18"/>
          <w:szCs w:val="18"/>
          <w:highlight w:val="yellow"/>
        </w:rPr>
        <w:t xml:space="preserve"> Cabe recordar la decisión teórica-metodológica adoptada en el presente trabajo de incluir a los planes sociales de empleo en la categoría de ingresos no laborales. Tal como se mencionó anteriormente, la inclusión de los planes de empleo como fuente de ingreso no laboral nos permite analizar de manera conjunta el efecto de programas de empleo, transferencias de ingresos, política jubilatoria, así como otros ingresos ajenos al mercado de trabajo desvinculados de la acción estatal. Es esta decisión teórica-metodológica la que explicaría una evolución relativamente constante del coeficiente de Gini de ingresos no laborales familiares durante el período 2003-2014, al incluir </w:t>
      </w:r>
      <w:r>
        <w:rPr>
          <w:sz w:val="18"/>
          <w:szCs w:val="18"/>
          <w:highlight w:val="yellow"/>
        </w:rPr>
        <w:t>en dicha categoría</w:t>
      </w:r>
      <w:r w:rsidRPr="00DF552E">
        <w:rPr>
          <w:sz w:val="18"/>
          <w:szCs w:val="18"/>
          <w:highlight w:val="yellow"/>
        </w:rPr>
        <w:t xml:space="preserve"> los ingresos provenientes de la ampliación masiva de los programas de empleo durante el período 2002-2003 (el llamado Plan Jefas y Jefes de Hogar Desocupados).</w:t>
      </w:r>
      <w:r>
        <w:rPr>
          <w:sz w:val="18"/>
          <w:szCs w:val="18"/>
        </w:rPr>
        <w:t xml:space="preserve"> </w:t>
      </w:r>
    </w:p>
  </w:footnote>
  <w:footnote w:id="5">
    <w:p w:rsidR="00195119" w:rsidRPr="001111DB" w:rsidRDefault="00195119" w:rsidP="00433B67">
      <w:pPr>
        <w:pStyle w:val="Textonotapie"/>
        <w:jc w:val="both"/>
        <w:rPr>
          <w:sz w:val="18"/>
          <w:szCs w:val="18"/>
        </w:rPr>
      </w:pPr>
      <w:r w:rsidRPr="001111DB">
        <w:rPr>
          <w:rStyle w:val="Refdenotaalpie"/>
          <w:sz w:val="18"/>
          <w:szCs w:val="18"/>
        </w:rPr>
        <w:footnoteRef/>
      </w:r>
      <w:r w:rsidRPr="001111DB">
        <w:rPr>
          <w:sz w:val="18"/>
          <w:szCs w:val="18"/>
        </w:rPr>
        <w:t xml:space="preserve"> Siguiendo este modelo, Cortés (2000) analiza el papel de las diferentes fuentes de ingreso en la evolución de la desigualdad en México y Medina y Galván (2008) lo desarrollan para distintos países de América Latina. A nivel nacional, Trujillo y Villafañe (2011), Salvia (2012) y Salvia y Vera (201</w:t>
      </w:r>
      <w:r>
        <w:rPr>
          <w:sz w:val="18"/>
          <w:szCs w:val="18"/>
        </w:rPr>
        <w:t>3</w:t>
      </w:r>
      <w:r w:rsidRPr="001111DB">
        <w:rPr>
          <w:sz w:val="18"/>
          <w:szCs w:val="18"/>
        </w:rPr>
        <w:t xml:space="preserve">) retoman esta metodología.  </w:t>
      </w:r>
    </w:p>
  </w:footnote>
  <w:footnote w:id="6">
    <w:p w:rsidR="00195119" w:rsidRPr="001111DB" w:rsidRDefault="00195119" w:rsidP="00433B67">
      <w:pPr>
        <w:pStyle w:val="Textonotapie"/>
        <w:jc w:val="both"/>
        <w:rPr>
          <w:rFonts w:ascii="Times New Roman" w:hAnsi="Times New Roman"/>
          <w:sz w:val="18"/>
          <w:szCs w:val="18"/>
        </w:rPr>
      </w:pPr>
      <w:r w:rsidRPr="001111DB">
        <w:rPr>
          <w:rStyle w:val="Refdenotaalpie"/>
          <w:sz w:val="18"/>
          <w:szCs w:val="18"/>
        </w:rPr>
        <w:footnoteRef/>
      </w:r>
      <w:r w:rsidRPr="001111DB">
        <w:rPr>
          <w:sz w:val="18"/>
          <w:szCs w:val="18"/>
        </w:rPr>
        <w:t xml:space="preserve"> El último aspecto mencionado refiere a la correlación entre la posición de un hogar en el ordenamiento según ingresos totales y la posición del mismo en el ordenamiento según un ingreso determinado. Es decir, si los hogares mejor ubicados en la distribución general son aquellos que más reciben ingresos de un determinada fuente, entonces la fuente correspondiente tiene una correlación positiva con la distribución general y, por ende, es de esperar que la misma aporte de forma relevante a los niveles de desigualdad existentes.</w:t>
      </w:r>
    </w:p>
  </w:footnote>
  <w:footnote w:id="7">
    <w:p w:rsidR="00195119" w:rsidRPr="00CE2C48" w:rsidRDefault="00195119" w:rsidP="00433B67">
      <w:pPr>
        <w:pStyle w:val="Textonotapie"/>
        <w:jc w:val="both"/>
        <w:rPr>
          <w:lang w:val="es-ES"/>
        </w:rPr>
      </w:pPr>
      <w:r w:rsidRPr="00BD0B89">
        <w:rPr>
          <w:rStyle w:val="Refdenotaalpie"/>
          <w:sz w:val="18"/>
          <w:szCs w:val="18"/>
          <w:highlight w:val="green"/>
        </w:rPr>
        <w:footnoteRef/>
      </w:r>
      <w:r w:rsidRPr="00BD0B89">
        <w:rPr>
          <w:highlight w:val="green"/>
        </w:rPr>
        <w:t xml:space="preserve"> </w:t>
      </w:r>
      <w:r w:rsidRPr="00BD0B89">
        <w:rPr>
          <w:sz w:val="18"/>
          <w:szCs w:val="18"/>
          <w:highlight w:val="green"/>
          <w:lang w:val="es-ES"/>
        </w:rPr>
        <w:t xml:space="preserve">Utilizamos aquí </w:t>
      </w:r>
      <w:r>
        <w:rPr>
          <w:sz w:val="18"/>
          <w:szCs w:val="18"/>
          <w:highlight w:val="green"/>
          <w:lang w:val="es-ES"/>
        </w:rPr>
        <w:t>una</w:t>
      </w:r>
      <w:r w:rsidRPr="00BD0B89">
        <w:rPr>
          <w:sz w:val="18"/>
          <w:szCs w:val="18"/>
          <w:highlight w:val="green"/>
          <w:lang w:val="es-ES"/>
        </w:rPr>
        <w:t xml:space="preserve"> orientación teórico-metodológica propuesta investigaciones previas (Salvia, 2012) que retoma el planteo de PREALC-OIT (1978). Operativamente, el </w:t>
      </w:r>
      <w:r w:rsidRPr="00BD0B89">
        <w:rPr>
          <w:i/>
          <w:sz w:val="18"/>
          <w:szCs w:val="18"/>
          <w:highlight w:val="green"/>
          <w:lang w:val="es-ES"/>
        </w:rPr>
        <w:t>sector microempresario / informal</w:t>
      </w:r>
      <w:r w:rsidRPr="00BD0B89">
        <w:rPr>
          <w:sz w:val="18"/>
          <w:szCs w:val="18"/>
          <w:highlight w:val="green"/>
          <w:lang w:val="es-ES"/>
        </w:rPr>
        <w:t xml:space="preserve"> incluye a los trabajadores independientes no profesionales (patrones y cuentapropistas) y a los ocupados en empresas de hasta cinco trabajadores. El </w:t>
      </w:r>
      <w:r w:rsidRPr="00BD0B89">
        <w:rPr>
          <w:i/>
          <w:sz w:val="18"/>
          <w:szCs w:val="18"/>
          <w:highlight w:val="green"/>
          <w:lang w:val="es-ES"/>
        </w:rPr>
        <w:t>sector formal privado</w:t>
      </w:r>
      <w:r w:rsidRPr="00BD0B89">
        <w:rPr>
          <w:sz w:val="18"/>
          <w:szCs w:val="18"/>
          <w:highlight w:val="green"/>
          <w:lang w:val="es-ES"/>
        </w:rPr>
        <w:t xml:space="preserve"> involucra a trabajadores independientes profesionales y a patrones y asalariados de establecimientos de más de 5 ocupados. Por último, el </w:t>
      </w:r>
      <w:r w:rsidRPr="00BD0B89">
        <w:rPr>
          <w:i/>
          <w:sz w:val="18"/>
          <w:szCs w:val="18"/>
          <w:highlight w:val="green"/>
          <w:lang w:val="es-ES"/>
        </w:rPr>
        <w:t>sector formal público</w:t>
      </w:r>
      <w:r w:rsidRPr="00BD0B89">
        <w:rPr>
          <w:sz w:val="18"/>
          <w:szCs w:val="18"/>
          <w:highlight w:val="green"/>
          <w:lang w:val="es-ES"/>
        </w:rPr>
        <w:t xml:space="preserve"> incluye a los ocupados en establecimientos estatales. Por restricciones en la fuente de datos, sólo se distingue el sector público para los años </w:t>
      </w:r>
      <w:proofErr w:type="gramStart"/>
      <w:r w:rsidRPr="00BD0B89">
        <w:rPr>
          <w:sz w:val="18"/>
          <w:szCs w:val="18"/>
          <w:highlight w:val="green"/>
          <w:lang w:val="es-ES"/>
        </w:rPr>
        <w:t>ventana posteriores</w:t>
      </w:r>
      <w:proofErr w:type="gramEnd"/>
      <w:r w:rsidRPr="00BD0B89">
        <w:rPr>
          <w:sz w:val="18"/>
          <w:szCs w:val="18"/>
          <w:highlight w:val="green"/>
          <w:lang w:val="es-ES"/>
        </w:rPr>
        <w:t xml:space="preserve"> a 1988. Dado que la EPH no pregunta por las características de ocupaciones secundarias, los ingresos provenientes de éstas se asignaron a la ocupación principal de los entrevistados.</w:t>
      </w:r>
      <w:r>
        <w:rPr>
          <w:sz w:val="18"/>
          <w:szCs w:val="18"/>
          <w:lang w:val="es-ES"/>
        </w:rPr>
        <w:t xml:space="preserve"> </w:t>
      </w:r>
    </w:p>
  </w:footnote>
  <w:footnote w:id="8">
    <w:p w:rsidR="00195119" w:rsidRPr="001111DB" w:rsidRDefault="00195119" w:rsidP="00433B67">
      <w:pPr>
        <w:pStyle w:val="Textonotapie"/>
        <w:jc w:val="both"/>
        <w:rPr>
          <w:lang w:val="es-ES"/>
        </w:rPr>
      </w:pPr>
      <w:r w:rsidRPr="001111DB">
        <w:rPr>
          <w:sz w:val="18"/>
          <w:szCs w:val="18"/>
          <w:vertAlign w:val="superscript"/>
        </w:rPr>
        <w:footnoteRef/>
      </w:r>
      <w:r w:rsidRPr="001111DB">
        <w:rPr>
          <w:sz w:val="18"/>
          <w:szCs w:val="18"/>
        </w:rPr>
        <w:t xml:space="preserve"> La distinción al interior de los ingresos de políticas sociales y sistema jubilatorio entre los tres componentes mencionados: planes de empleo, programas de transferencias de ingreso y sistema de jubilaciones y pensiones se realiza únicamente para el período 2003-2014 debido a las limitaciones existentes en los años previos para la captación de esos tres componentes de manera desagregada.</w:t>
      </w:r>
      <w:r w:rsidRPr="001111DB">
        <w:rPr>
          <w:lang w:val="es-ES"/>
        </w:rPr>
        <w:t xml:space="preserve">  </w:t>
      </w:r>
    </w:p>
  </w:footnote>
  <w:footnote w:id="9">
    <w:p w:rsidR="00195119" w:rsidRPr="001111DB" w:rsidRDefault="00195119" w:rsidP="00433B67">
      <w:pPr>
        <w:pStyle w:val="Textonotapie"/>
        <w:jc w:val="both"/>
        <w:rPr>
          <w:sz w:val="18"/>
          <w:szCs w:val="18"/>
        </w:rPr>
      </w:pPr>
      <w:r w:rsidRPr="001111DB">
        <w:rPr>
          <w:rStyle w:val="Refdenotaalpie"/>
          <w:sz w:val="18"/>
          <w:szCs w:val="18"/>
        </w:rPr>
        <w:footnoteRef/>
      </w:r>
      <w:r w:rsidRPr="001111DB">
        <w:rPr>
          <w:sz w:val="18"/>
          <w:szCs w:val="18"/>
        </w:rPr>
        <w:t xml:space="preserve"> Este modelo de descomposición temporal que permite calcular la contribución de los componentes </w:t>
      </w:r>
      <w:proofErr w:type="spellStart"/>
      <w:r w:rsidRPr="001111DB">
        <w:rPr>
          <w:sz w:val="18"/>
          <w:szCs w:val="18"/>
        </w:rPr>
        <w:t>R</w:t>
      </w:r>
      <w:r w:rsidRPr="001111DB">
        <w:rPr>
          <w:sz w:val="18"/>
          <w:szCs w:val="18"/>
          <w:vertAlign w:val="subscript"/>
        </w:rPr>
        <w:t>k</w:t>
      </w:r>
      <w:proofErr w:type="spellEnd"/>
      <w:r w:rsidRPr="001111DB">
        <w:rPr>
          <w:sz w:val="18"/>
          <w:szCs w:val="18"/>
        </w:rPr>
        <w:t xml:space="preserve">, </w:t>
      </w:r>
      <w:proofErr w:type="spellStart"/>
      <w:r w:rsidRPr="001111DB">
        <w:rPr>
          <w:sz w:val="18"/>
          <w:szCs w:val="18"/>
        </w:rPr>
        <w:t>S</w:t>
      </w:r>
      <w:r w:rsidRPr="001111DB">
        <w:rPr>
          <w:sz w:val="18"/>
          <w:szCs w:val="18"/>
          <w:vertAlign w:val="subscript"/>
        </w:rPr>
        <w:t>k</w:t>
      </w:r>
      <w:proofErr w:type="spellEnd"/>
      <w:r w:rsidRPr="001111DB">
        <w:rPr>
          <w:sz w:val="18"/>
          <w:szCs w:val="18"/>
        </w:rPr>
        <w:t xml:space="preserve"> y </w:t>
      </w:r>
      <w:proofErr w:type="spellStart"/>
      <w:r w:rsidRPr="001111DB">
        <w:rPr>
          <w:sz w:val="18"/>
          <w:szCs w:val="18"/>
        </w:rPr>
        <w:t>G</w:t>
      </w:r>
      <w:r w:rsidRPr="001111DB">
        <w:rPr>
          <w:sz w:val="18"/>
          <w:szCs w:val="18"/>
          <w:vertAlign w:val="subscript"/>
        </w:rPr>
        <w:t>k</w:t>
      </w:r>
      <w:proofErr w:type="spellEnd"/>
      <w:r w:rsidRPr="001111DB">
        <w:rPr>
          <w:sz w:val="18"/>
          <w:szCs w:val="18"/>
        </w:rPr>
        <w:t xml:space="preserve"> al cambio temporal del coeficiente de Gini fue desarrollado por Cortés (2000) con el objetivo de analizar los cambios ocurridos en la distribución del ingreso en México en épocas de estabilización y reforma económica. Este mismo modelo de descomposición temporal fue aplicado por Salvia (2012) para el caso argentino. </w:t>
      </w:r>
    </w:p>
  </w:footnote>
  <w:footnote w:id="10">
    <w:p w:rsidR="00195119" w:rsidRPr="001111DB" w:rsidRDefault="00195119" w:rsidP="00433B67">
      <w:pPr>
        <w:pStyle w:val="Textonotapie"/>
        <w:jc w:val="both"/>
        <w:rPr>
          <w:b/>
          <w:sz w:val="18"/>
          <w:szCs w:val="18"/>
        </w:rPr>
      </w:pPr>
      <w:r w:rsidRPr="001111DB">
        <w:rPr>
          <w:rStyle w:val="Refdenotaalpie"/>
          <w:sz w:val="18"/>
          <w:szCs w:val="18"/>
          <w:highlight w:val="yellow"/>
        </w:rPr>
        <w:footnoteRef/>
      </w:r>
      <w:r w:rsidRPr="001111DB">
        <w:rPr>
          <w:sz w:val="18"/>
          <w:szCs w:val="18"/>
          <w:highlight w:val="yellow"/>
        </w:rPr>
        <w:t xml:space="preserve">  Tal como se desprende de la ecuación (3), los efectos (i) a (iv) estarán influidos por el signo del aporte de la fuente a la desigualdad en t</w:t>
      </w:r>
      <w:r w:rsidRPr="001111DB">
        <w:rPr>
          <w:sz w:val="18"/>
          <w:szCs w:val="18"/>
          <w:highlight w:val="yellow"/>
          <w:vertAlign w:val="subscript"/>
        </w:rPr>
        <w:t>0</w:t>
      </w:r>
      <w:r w:rsidRPr="001111DB">
        <w:rPr>
          <w:sz w:val="18"/>
          <w:szCs w:val="18"/>
          <w:highlight w:val="yellow"/>
        </w:rPr>
        <w:t xml:space="preserve"> (R</w:t>
      </w:r>
      <w:r w:rsidRPr="001111DB">
        <w:rPr>
          <w:sz w:val="18"/>
          <w:szCs w:val="18"/>
          <w:highlight w:val="yellow"/>
          <w:vertAlign w:val="subscript"/>
        </w:rPr>
        <w:t xml:space="preserve">0,k </w:t>
      </w:r>
      <w:r w:rsidRPr="001111DB">
        <w:rPr>
          <w:sz w:val="18"/>
          <w:szCs w:val="18"/>
          <w:highlight w:val="yellow"/>
        </w:rPr>
        <w:t>G</w:t>
      </w:r>
      <w:r w:rsidRPr="001111DB">
        <w:rPr>
          <w:sz w:val="18"/>
          <w:szCs w:val="18"/>
          <w:highlight w:val="yellow"/>
          <w:vertAlign w:val="subscript"/>
        </w:rPr>
        <w:t>0,k</w:t>
      </w:r>
      <w:r w:rsidRPr="001111DB">
        <w:rPr>
          <w:sz w:val="18"/>
          <w:szCs w:val="18"/>
          <w:highlight w:val="yellow"/>
        </w:rPr>
        <w:t xml:space="preserve"> S</w:t>
      </w:r>
      <w:r w:rsidRPr="001111DB">
        <w:rPr>
          <w:sz w:val="18"/>
          <w:szCs w:val="18"/>
          <w:highlight w:val="yellow"/>
          <w:vertAlign w:val="subscript"/>
        </w:rPr>
        <w:t>0,k)</w:t>
      </w:r>
      <w:r w:rsidRPr="001111DB">
        <w:rPr>
          <w:sz w:val="18"/>
          <w:szCs w:val="18"/>
          <w:highlight w:val="yellow"/>
        </w:rPr>
        <w:t>. Mientras S</w:t>
      </w:r>
      <w:r w:rsidRPr="001111DB">
        <w:rPr>
          <w:sz w:val="18"/>
          <w:szCs w:val="18"/>
          <w:highlight w:val="yellow"/>
          <w:vertAlign w:val="subscript"/>
        </w:rPr>
        <w:t>0,k</w:t>
      </w:r>
      <w:r w:rsidRPr="001111DB">
        <w:rPr>
          <w:sz w:val="18"/>
          <w:szCs w:val="18"/>
          <w:highlight w:val="yellow"/>
        </w:rPr>
        <w:t xml:space="preserve"> y G</w:t>
      </w:r>
      <w:r w:rsidRPr="001111DB">
        <w:rPr>
          <w:sz w:val="18"/>
          <w:szCs w:val="18"/>
          <w:highlight w:val="yellow"/>
          <w:vertAlign w:val="subscript"/>
        </w:rPr>
        <w:t>0,k</w:t>
      </w:r>
      <w:r w:rsidRPr="001111DB">
        <w:rPr>
          <w:sz w:val="18"/>
          <w:szCs w:val="18"/>
          <w:highlight w:val="yellow"/>
        </w:rPr>
        <w:t xml:space="preserve"> son siempre positivos y menores a 1, R</w:t>
      </w:r>
      <w:r w:rsidRPr="001111DB">
        <w:rPr>
          <w:sz w:val="18"/>
          <w:szCs w:val="18"/>
          <w:highlight w:val="yellow"/>
          <w:vertAlign w:val="subscript"/>
        </w:rPr>
        <w:t>0,k</w:t>
      </w:r>
      <w:r w:rsidRPr="001111DB">
        <w:rPr>
          <w:sz w:val="18"/>
          <w:szCs w:val="18"/>
          <w:highlight w:val="yellow"/>
        </w:rPr>
        <w:t xml:space="preserve"> puede tomar valores dentro del intervalo (-1, 1). Si la correlación de una fuente k toma valor negativo (i.e., la ordenación de los hogares según el ingreso total y la ordenación según la fuente específica de ingresos es inversa) las interpretaciones de los efectos señalados en la ecuación (3) cambiarán de signo. En ese caso, los datos que surgen de la aplicación de la ecuación (que se presentan en el </w:t>
      </w:r>
      <w:r w:rsidRPr="00781506">
        <w:rPr>
          <w:color w:val="FF0000"/>
          <w:sz w:val="18"/>
          <w:szCs w:val="18"/>
          <w:highlight w:val="yellow"/>
        </w:rPr>
        <w:t xml:space="preserve">Cuadro </w:t>
      </w:r>
      <w:r>
        <w:rPr>
          <w:color w:val="FF0000"/>
          <w:sz w:val="18"/>
          <w:szCs w:val="18"/>
          <w:highlight w:val="yellow"/>
        </w:rPr>
        <w:t>9</w:t>
      </w:r>
      <w:r w:rsidRPr="001111DB">
        <w:rPr>
          <w:sz w:val="18"/>
          <w:szCs w:val="18"/>
          <w:highlight w:val="yellow"/>
        </w:rPr>
        <w:t>) requerirán aclaraciones adicionales para la comprensión de los procesos involucrados. Es el caso de los ingresos por planes de empleo y por transferencias de ingresos en el período post-reformas, dado que la correlación de dichas fuentes en el año 2003 evidencian signo negativo. Véase Tabla AE.6 del Anexo Estadístico.</w:t>
      </w:r>
    </w:p>
  </w:footnote>
  <w:footnote w:id="11">
    <w:p w:rsidR="00195119" w:rsidRPr="001111DB" w:rsidRDefault="00195119" w:rsidP="00433B67">
      <w:pPr>
        <w:pStyle w:val="Textonotapie"/>
        <w:jc w:val="both"/>
        <w:rPr>
          <w:rFonts w:ascii="Times New Roman" w:hAnsi="Times New Roman"/>
          <w:sz w:val="18"/>
          <w:szCs w:val="18"/>
        </w:rPr>
      </w:pPr>
      <w:r w:rsidRPr="00EE70DB">
        <w:rPr>
          <w:sz w:val="18"/>
          <w:szCs w:val="18"/>
          <w:vertAlign w:val="superscript"/>
        </w:rPr>
        <w:footnoteRef/>
      </w:r>
      <w:r w:rsidRPr="00EE70DB">
        <w:rPr>
          <w:sz w:val="18"/>
          <w:szCs w:val="18"/>
          <w:vertAlign w:val="superscript"/>
        </w:rPr>
        <w:t xml:space="preserve"> </w:t>
      </w:r>
      <w:r w:rsidRPr="00EE70DB">
        <w:rPr>
          <w:sz w:val="18"/>
          <w:szCs w:val="18"/>
        </w:rPr>
        <w:t>Cabe señalar que en estos años la mayor parte de los ingresos correspondientes a políticas sociales y sistema previsional corresponde al sistema de jubilaciones y pensiones, debido a la existencia de una muy débil política de protección social vía programas de empleo y transferencias de ingresos durante estos años. Asimismo, el fuerte aumento del</w:t>
      </w:r>
      <w:r>
        <w:rPr>
          <w:sz w:val="18"/>
          <w:szCs w:val="18"/>
          <w:lang w:val="es-ES"/>
        </w:rPr>
        <w:t xml:space="preserve"> aporte al Gini proveniente </w:t>
      </w:r>
      <w:r w:rsidRPr="00EE70DB">
        <w:rPr>
          <w:sz w:val="18"/>
          <w:szCs w:val="18"/>
          <w:lang w:val="es-ES"/>
        </w:rPr>
        <w:t xml:space="preserve">de políticas sociales y previsión social entre los </w:t>
      </w:r>
      <w:r w:rsidRPr="00EE70DB">
        <w:rPr>
          <w:sz w:val="18"/>
          <w:szCs w:val="18"/>
        </w:rPr>
        <w:t xml:space="preserve">años 1974 y 1980 se </w:t>
      </w:r>
      <w:r>
        <w:rPr>
          <w:sz w:val="18"/>
          <w:szCs w:val="18"/>
        </w:rPr>
        <w:t>debió</w:t>
      </w:r>
      <w:r w:rsidRPr="00EE70DB">
        <w:rPr>
          <w:sz w:val="18"/>
          <w:szCs w:val="18"/>
        </w:rPr>
        <w:t xml:space="preserve"> a un </w:t>
      </w:r>
      <w:r>
        <w:rPr>
          <w:sz w:val="18"/>
          <w:szCs w:val="18"/>
        </w:rPr>
        <w:t>incremento</w:t>
      </w:r>
      <w:r w:rsidRPr="00EE70DB">
        <w:rPr>
          <w:sz w:val="18"/>
          <w:szCs w:val="18"/>
        </w:rPr>
        <w:t xml:space="preserve"> de la correlación del sistema jubilatorio durante dicho período (Cuadros AE.1 y AE.2 de Anexo Estadístico).</w:t>
      </w:r>
    </w:p>
  </w:footnote>
  <w:footnote w:id="12">
    <w:p w:rsidR="00195119" w:rsidRPr="001111DB" w:rsidRDefault="00195119" w:rsidP="00433B67">
      <w:pPr>
        <w:pStyle w:val="Textonotapie"/>
        <w:jc w:val="both"/>
        <w:rPr>
          <w:sz w:val="18"/>
          <w:szCs w:val="18"/>
          <w:lang w:val="es-ES"/>
        </w:rPr>
      </w:pPr>
      <w:r w:rsidRPr="001111DB">
        <w:rPr>
          <w:sz w:val="18"/>
          <w:szCs w:val="18"/>
          <w:vertAlign w:val="superscript"/>
        </w:rPr>
        <w:footnoteRef/>
      </w:r>
      <w:r w:rsidRPr="001111DB">
        <w:rPr>
          <w:sz w:val="18"/>
          <w:szCs w:val="18"/>
        </w:rPr>
        <w:t xml:space="preserve"> Al aumento de la correlación de los otros ingresos no laborales con la distribución general debe sumarse el incremento de la concentración que habría exhibido esta fuente entre los años 1974 y 1988. Es decir, no sólo cada vez con mayor intensidad </w:t>
      </w:r>
      <w:r w:rsidRPr="001111DB">
        <w:rPr>
          <w:sz w:val="18"/>
          <w:szCs w:val="18"/>
          <w:lang w:val="es-ES"/>
        </w:rPr>
        <w:t>-</w:t>
      </w:r>
      <w:r w:rsidRPr="001111DB">
        <w:rPr>
          <w:sz w:val="18"/>
          <w:szCs w:val="18"/>
        </w:rPr>
        <w:t>en dicho período</w:t>
      </w:r>
      <w:r w:rsidRPr="001111DB">
        <w:rPr>
          <w:sz w:val="18"/>
          <w:szCs w:val="18"/>
          <w:lang w:val="es-ES"/>
        </w:rPr>
        <w:t>-</w:t>
      </w:r>
      <w:r w:rsidRPr="001111DB">
        <w:rPr>
          <w:sz w:val="18"/>
          <w:szCs w:val="18"/>
        </w:rPr>
        <w:t xml:space="preserve"> los hogares mejor ubicados en la distribución general son aquellos que más recibieron ingresos provenientes de rentas, utilidades y otras fuentes</w:t>
      </w:r>
      <w:r w:rsidRPr="001111DB">
        <w:rPr>
          <w:sz w:val="18"/>
          <w:szCs w:val="18"/>
          <w:lang w:val="es-ES"/>
        </w:rPr>
        <w:t xml:space="preserve">, sino que también esta fuente experimentó un aumento de la participación en el volumen de ingresos entre los años 1974 y 1988. </w:t>
      </w:r>
    </w:p>
  </w:footnote>
  <w:footnote w:id="13">
    <w:p w:rsidR="00195119" w:rsidRPr="001111DB" w:rsidRDefault="00195119" w:rsidP="00433B67">
      <w:pPr>
        <w:pStyle w:val="Textonotapie"/>
        <w:jc w:val="both"/>
        <w:rPr>
          <w:rFonts w:ascii="Times New Roman" w:hAnsi="Times New Roman"/>
          <w:sz w:val="18"/>
          <w:szCs w:val="18"/>
        </w:rPr>
      </w:pPr>
      <w:r w:rsidRPr="001111DB">
        <w:rPr>
          <w:rStyle w:val="Refdenotaalpie"/>
          <w:sz w:val="18"/>
          <w:szCs w:val="18"/>
        </w:rPr>
        <w:footnoteRef/>
      </w:r>
      <w:r w:rsidRPr="001111DB">
        <w:rPr>
          <w:sz w:val="18"/>
          <w:szCs w:val="18"/>
        </w:rPr>
        <w:t xml:space="preserve"> Estos datos son compatibles con el análisis presentado por Arza (2010). Por su parte, para un análisis detallado del comportamiento del sistema previsional en una clave histórica, véase </w:t>
      </w:r>
      <w:proofErr w:type="spellStart"/>
      <w:r w:rsidRPr="001111DB">
        <w:rPr>
          <w:sz w:val="18"/>
          <w:szCs w:val="18"/>
        </w:rPr>
        <w:t>Bertranou</w:t>
      </w:r>
      <w:proofErr w:type="spellEnd"/>
      <w:r w:rsidRPr="001111DB">
        <w:rPr>
          <w:sz w:val="18"/>
          <w:szCs w:val="18"/>
        </w:rPr>
        <w:t xml:space="preserve">, </w:t>
      </w:r>
      <w:proofErr w:type="spellStart"/>
      <w:r w:rsidRPr="001111DB">
        <w:rPr>
          <w:sz w:val="18"/>
          <w:szCs w:val="18"/>
        </w:rPr>
        <w:t>Cetrángolo</w:t>
      </w:r>
      <w:proofErr w:type="spellEnd"/>
      <w:r w:rsidRPr="001111DB">
        <w:rPr>
          <w:sz w:val="18"/>
          <w:szCs w:val="18"/>
        </w:rPr>
        <w:t xml:space="preserve">, </w:t>
      </w:r>
      <w:proofErr w:type="spellStart"/>
      <w:r w:rsidRPr="001111DB">
        <w:rPr>
          <w:sz w:val="18"/>
          <w:szCs w:val="18"/>
        </w:rPr>
        <w:t>Grushka</w:t>
      </w:r>
      <w:proofErr w:type="spellEnd"/>
      <w:r w:rsidRPr="001111DB">
        <w:rPr>
          <w:sz w:val="18"/>
          <w:szCs w:val="18"/>
        </w:rPr>
        <w:t xml:space="preserve"> y Casanova (2012).</w:t>
      </w:r>
      <w:r w:rsidRPr="001111DB">
        <w:rPr>
          <w:rFonts w:ascii="Times New Roman" w:hAnsi="Times New Roman"/>
          <w:sz w:val="18"/>
          <w:szCs w:val="18"/>
        </w:rPr>
        <w:t xml:space="preserve"> </w:t>
      </w:r>
    </w:p>
  </w:footnote>
  <w:footnote w:id="14">
    <w:p w:rsidR="00195119" w:rsidRPr="00147D36" w:rsidRDefault="00195119" w:rsidP="00433B67">
      <w:pPr>
        <w:pStyle w:val="Textonotapie"/>
        <w:jc w:val="both"/>
      </w:pPr>
      <w:r w:rsidRPr="000B33B5">
        <w:rPr>
          <w:rStyle w:val="Refdenotaalpie"/>
          <w:sz w:val="18"/>
        </w:rPr>
        <w:footnoteRef/>
      </w:r>
      <w:r w:rsidRPr="000B33B5">
        <w:rPr>
          <w:sz w:val="18"/>
        </w:rPr>
        <w:t xml:space="preserve"> Como se discutió en el </w:t>
      </w:r>
      <w:r w:rsidRPr="000B33B5">
        <w:rPr>
          <w:sz w:val="18"/>
          <w:highlight w:val="yellow"/>
        </w:rPr>
        <w:t>capítulo 2</w:t>
      </w:r>
      <w:r w:rsidRPr="000B33B5">
        <w:rPr>
          <w:sz w:val="18"/>
        </w:rPr>
        <w:t>, durante los años más intensos del período de reformas estructurales (es decir, hasta 1998), los cambios en el mercado de trabajo jugaron un papel importante en el aumento del coeficiente de Gini. En particular, se señalan los efectos que tuvieron los procesos de flexibilización del mercado de trabajo, la liberalización de las importaciones y la vigencia de un tipo de cambio sobrevaluado, lo cual deterioró el entramado productivo local y afectó particularmente al sector menos competitivo de la economía (</w:t>
      </w:r>
      <w:proofErr w:type="spellStart"/>
      <w:r w:rsidRPr="000B33B5">
        <w:rPr>
          <w:sz w:val="18"/>
        </w:rPr>
        <w:t>Altimir</w:t>
      </w:r>
      <w:proofErr w:type="spellEnd"/>
      <w:r w:rsidRPr="000B33B5">
        <w:rPr>
          <w:sz w:val="18"/>
        </w:rPr>
        <w:t xml:space="preserve">, </w:t>
      </w:r>
      <w:proofErr w:type="spellStart"/>
      <w:r w:rsidRPr="000B33B5">
        <w:rPr>
          <w:sz w:val="18"/>
        </w:rPr>
        <w:t>Beccaria</w:t>
      </w:r>
      <w:proofErr w:type="spellEnd"/>
      <w:r w:rsidRPr="000B33B5">
        <w:rPr>
          <w:sz w:val="18"/>
        </w:rPr>
        <w:t xml:space="preserve"> y González Rozada, 200</w:t>
      </w:r>
      <w:r>
        <w:rPr>
          <w:sz w:val="18"/>
        </w:rPr>
        <w:t>2</w:t>
      </w:r>
      <w:r w:rsidRPr="000B33B5">
        <w:rPr>
          <w:sz w:val="18"/>
        </w:rPr>
        <w:t>; Salvia, 2012). Todo ello promovió la desigualdad salarial e incrementó los “retornos” educativos a la fuerza de trabajo más calificada</w:t>
      </w:r>
      <w:r>
        <w:rPr>
          <w:sz w:val="18"/>
        </w:rPr>
        <w:t xml:space="preserve"> y tuvo un efecto significativo en la evolución de la desigualdad (Cruces y </w:t>
      </w:r>
      <w:proofErr w:type="spellStart"/>
      <w:r>
        <w:rPr>
          <w:sz w:val="18"/>
        </w:rPr>
        <w:t>Gasparini</w:t>
      </w:r>
      <w:proofErr w:type="spellEnd"/>
      <w:r>
        <w:rPr>
          <w:sz w:val="18"/>
        </w:rPr>
        <w:t>, 2009).</w:t>
      </w:r>
    </w:p>
  </w:footnote>
  <w:footnote w:id="15">
    <w:p w:rsidR="00195119" w:rsidRPr="001111DB" w:rsidRDefault="00195119" w:rsidP="00433B67">
      <w:pPr>
        <w:pStyle w:val="Textonotapie"/>
        <w:jc w:val="both"/>
        <w:rPr>
          <w:sz w:val="18"/>
          <w:szCs w:val="18"/>
        </w:rPr>
      </w:pPr>
      <w:r w:rsidRPr="001111DB">
        <w:rPr>
          <w:vertAlign w:val="superscript"/>
        </w:rPr>
        <w:footnoteRef/>
      </w:r>
      <w:r w:rsidRPr="001111DB">
        <w:rPr>
          <w:sz w:val="18"/>
          <w:szCs w:val="18"/>
        </w:rPr>
        <w:t xml:space="preserve"> </w:t>
      </w:r>
      <w:r w:rsidRPr="00EE70DB">
        <w:rPr>
          <w:sz w:val="18"/>
          <w:szCs w:val="18"/>
        </w:rPr>
        <w:t>Un sentido contrapuesto habría tenido la ampliación masiva de los programas de empleo durante el período 2002-2003 (el llamado Plan Jefas y Jefes de Hogar Desocupados), el cual habría amortiguado muy levemente el proceso de intensificación de la desigualdad previamente mencionado. Sin embargo, este efecto queda oculto en la información aquí presentada debido al fuerte y más significativo componente regresivo del sistema previsional durante este período. Para un análisis de los efectos de este programa véase</w:t>
      </w:r>
      <w:r>
        <w:rPr>
          <w:sz w:val="18"/>
          <w:szCs w:val="18"/>
        </w:rPr>
        <w:t xml:space="preserve"> Salvia y Vera (2013</w:t>
      </w:r>
      <w:r w:rsidRPr="00EE70DB">
        <w:rPr>
          <w:sz w:val="18"/>
          <w:szCs w:val="18"/>
        </w:rPr>
        <w:t>).</w:t>
      </w:r>
    </w:p>
  </w:footnote>
  <w:footnote w:id="16">
    <w:p w:rsidR="00195119" w:rsidRPr="00EE70DB" w:rsidRDefault="00195119" w:rsidP="007F2260">
      <w:pPr>
        <w:pStyle w:val="Textonotapie"/>
        <w:jc w:val="both"/>
      </w:pPr>
      <w:r w:rsidRPr="00EE70DB">
        <w:rPr>
          <w:rStyle w:val="Refdenotaalpie"/>
          <w:sz w:val="18"/>
        </w:rPr>
        <w:footnoteRef/>
      </w:r>
      <w:r w:rsidRPr="00EE70DB">
        <w:rPr>
          <w:sz w:val="18"/>
        </w:rPr>
        <w:t xml:space="preserve"> Tal como se mencionó anteriormente, si la correlación de una fuente </w:t>
      </w:r>
      <w:r w:rsidRPr="00EE70DB">
        <w:rPr>
          <w:i/>
          <w:sz w:val="18"/>
        </w:rPr>
        <w:t>k</w:t>
      </w:r>
      <w:r w:rsidRPr="00EE70DB">
        <w:rPr>
          <w:sz w:val="18"/>
        </w:rPr>
        <w:t xml:space="preserve"> toma valor negativo en el momento cero (dado que la ordenación de los hogares según el ingreso total y la ordenación según la fuente específica de ingresos es inversa) las interpretaciones de los efectos señalados en la ecuación (3) cambiarán de signo. En este caso, los datos dinámicos presentados en el </w:t>
      </w:r>
      <w:r w:rsidRPr="00114CA4">
        <w:rPr>
          <w:sz w:val="18"/>
          <w:highlight w:val="yellow"/>
        </w:rPr>
        <w:t xml:space="preserve">cuadro </w:t>
      </w:r>
      <w:r>
        <w:rPr>
          <w:sz w:val="18"/>
          <w:highlight w:val="yellow"/>
        </w:rPr>
        <w:t>16</w:t>
      </w:r>
      <w:r w:rsidRPr="00EE70DB">
        <w:rPr>
          <w:sz w:val="18"/>
        </w:rPr>
        <w:t xml:space="preserve"> requieren ser complementados con los resultados </w:t>
      </w:r>
      <w:r>
        <w:rPr>
          <w:sz w:val="18"/>
        </w:rPr>
        <w:t>puntuales presentados en el Anexo Estadístico</w:t>
      </w:r>
      <w:r w:rsidRPr="00EE70DB">
        <w:rPr>
          <w:sz w:val="18"/>
        </w:rPr>
        <w:t>.</w:t>
      </w:r>
    </w:p>
  </w:footnote>
  <w:footnote w:id="17">
    <w:p w:rsidR="00195119" w:rsidRPr="000B33B5" w:rsidRDefault="00195119" w:rsidP="007F2260">
      <w:pPr>
        <w:pStyle w:val="Textonotapie"/>
        <w:jc w:val="both"/>
      </w:pPr>
      <w:r w:rsidRPr="002E7DF7">
        <w:rPr>
          <w:rStyle w:val="Refdenotaalpie"/>
          <w:sz w:val="18"/>
        </w:rPr>
        <w:footnoteRef/>
      </w:r>
      <w:r w:rsidRPr="002E7DF7">
        <w:rPr>
          <w:sz w:val="18"/>
        </w:rPr>
        <w:t xml:space="preserve"> A una conclusión similar llegan Trujillo y Villafañe (2011). </w:t>
      </w:r>
      <w:r>
        <w:rPr>
          <w:sz w:val="18"/>
        </w:rPr>
        <w:t>Al respecto, d</w:t>
      </w:r>
      <w:r w:rsidRPr="002E7DF7">
        <w:rPr>
          <w:sz w:val="18"/>
        </w:rPr>
        <w:t xml:space="preserve">ebe destacarse que los estudios que tematizan los efectos de las políticas sociales durante el ciclo de políticas heterodoxas a partir de la EPH son sensibles a las decisiones metodológicas en cuanto a la operacionalización de las fuentes de ingreso. En efecto, en 2003, los ingresos provenientes del Plan Jefas y Jefes de Hogar Desocupados se computaban como “ingresos laborales” en la EPH. En cambio, al término del período las transferencias como la AUH se computan como “ingresos no laborales”. De no adoptar un criterio homogéneo en ambos momentos, se corre el riesgo de no advertir efectos de la política social durante la crisis de 2001-2002; o, como reverso, sobre-estimar los efectos de la política social en la segunda fase de los años de políticas heterodoxas. </w:t>
      </w:r>
    </w:p>
  </w:footnote>
  <w:footnote w:id="18">
    <w:p w:rsidR="00195119" w:rsidRPr="00232B16" w:rsidRDefault="00195119" w:rsidP="00433B67">
      <w:pPr>
        <w:pStyle w:val="Textonotapie"/>
        <w:jc w:val="both"/>
      </w:pPr>
      <w:r w:rsidRPr="00232B16">
        <w:rPr>
          <w:rStyle w:val="Refdenotaalpie"/>
          <w:sz w:val="18"/>
        </w:rPr>
        <w:footnoteRef/>
      </w:r>
      <w:r w:rsidRPr="00232B16">
        <w:rPr>
          <w:sz w:val="18"/>
        </w:rPr>
        <w:t xml:space="preserve"> De modo similar a lo mencionado para los programas de empleo, la correlación de los ingresos por transferencias toma valor negativo en el año 2003, lo cual hace alterar el signo de los efectos señalados en la ecuación (3) y el </w:t>
      </w:r>
      <w:r w:rsidRPr="005B1A74">
        <w:rPr>
          <w:sz w:val="18"/>
          <w:highlight w:val="yellow"/>
        </w:rPr>
        <w:t xml:space="preserve">Cuadro </w:t>
      </w:r>
      <w:r>
        <w:rPr>
          <w:sz w:val="18"/>
          <w:highlight w:val="yellow"/>
        </w:rPr>
        <w:t>17</w:t>
      </w:r>
      <w:r w:rsidRPr="00232B16">
        <w:rPr>
          <w:sz w:val="18"/>
        </w:rPr>
        <w:t>. Por lo cual, los datos presentados requieren ser complementados con las Cuadros AE.</w:t>
      </w:r>
      <w:r>
        <w:rPr>
          <w:sz w:val="18"/>
        </w:rPr>
        <w:t>6</w:t>
      </w:r>
      <w:r w:rsidRPr="00232B16">
        <w:rPr>
          <w:sz w:val="18"/>
        </w:rPr>
        <w:t xml:space="preserve"> y AE.</w:t>
      </w:r>
      <w:r>
        <w:rPr>
          <w:sz w:val="18"/>
        </w:rPr>
        <w:t>8</w:t>
      </w:r>
      <w:r w:rsidRPr="00232B16">
        <w:rPr>
          <w:sz w:val="18"/>
        </w:rPr>
        <w:t xml:space="preserve"> del Anexo Estadístico para una más sencilla interpretación de los procesos distributivos ocurridos en dicho período.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058DD"/>
    <w:multiLevelType w:val="hybridMultilevel"/>
    <w:tmpl w:val="C9267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D27375D"/>
    <w:multiLevelType w:val="hybridMultilevel"/>
    <w:tmpl w:val="F7CAA6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44C31BA"/>
    <w:multiLevelType w:val="hybridMultilevel"/>
    <w:tmpl w:val="7E5403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23"/>
    <w:rsid w:val="00001240"/>
    <w:rsid w:val="000078C2"/>
    <w:rsid w:val="000100F9"/>
    <w:rsid w:val="000105EE"/>
    <w:rsid w:val="00015683"/>
    <w:rsid w:val="00016B1D"/>
    <w:rsid w:val="00020FE2"/>
    <w:rsid w:val="00021550"/>
    <w:rsid w:val="00021AF7"/>
    <w:rsid w:val="00022BA0"/>
    <w:rsid w:val="00022D44"/>
    <w:rsid w:val="000255FD"/>
    <w:rsid w:val="00025ABD"/>
    <w:rsid w:val="00030ECE"/>
    <w:rsid w:val="000332F7"/>
    <w:rsid w:val="000372A9"/>
    <w:rsid w:val="0004001F"/>
    <w:rsid w:val="0004219C"/>
    <w:rsid w:val="00045484"/>
    <w:rsid w:val="000455A5"/>
    <w:rsid w:val="000570BF"/>
    <w:rsid w:val="000605BC"/>
    <w:rsid w:val="00065574"/>
    <w:rsid w:val="00065A46"/>
    <w:rsid w:val="000748EC"/>
    <w:rsid w:val="000758E7"/>
    <w:rsid w:val="00076DE0"/>
    <w:rsid w:val="000818E9"/>
    <w:rsid w:val="00082D96"/>
    <w:rsid w:val="000839BE"/>
    <w:rsid w:val="000844CD"/>
    <w:rsid w:val="000859D9"/>
    <w:rsid w:val="0008659B"/>
    <w:rsid w:val="00097F8B"/>
    <w:rsid w:val="000A0A86"/>
    <w:rsid w:val="000A37F8"/>
    <w:rsid w:val="000B33B5"/>
    <w:rsid w:val="000B3EEC"/>
    <w:rsid w:val="000B5991"/>
    <w:rsid w:val="000B7418"/>
    <w:rsid w:val="000C111F"/>
    <w:rsid w:val="000C4764"/>
    <w:rsid w:val="000C5E48"/>
    <w:rsid w:val="000C7A38"/>
    <w:rsid w:val="000D14F7"/>
    <w:rsid w:val="000D1D26"/>
    <w:rsid w:val="000D4E11"/>
    <w:rsid w:val="000E3AAE"/>
    <w:rsid w:val="000E7D48"/>
    <w:rsid w:val="00102650"/>
    <w:rsid w:val="001044CF"/>
    <w:rsid w:val="00107227"/>
    <w:rsid w:val="001111DB"/>
    <w:rsid w:val="00113FA5"/>
    <w:rsid w:val="001140A9"/>
    <w:rsid w:val="001142BF"/>
    <w:rsid w:val="00114CA4"/>
    <w:rsid w:val="00120715"/>
    <w:rsid w:val="00124100"/>
    <w:rsid w:val="00131568"/>
    <w:rsid w:val="00131AF4"/>
    <w:rsid w:val="00134BF9"/>
    <w:rsid w:val="00142E9D"/>
    <w:rsid w:val="001440DC"/>
    <w:rsid w:val="00147D36"/>
    <w:rsid w:val="00152E17"/>
    <w:rsid w:val="00154A9C"/>
    <w:rsid w:val="00156028"/>
    <w:rsid w:val="001643FB"/>
    <w:rsid w:val="00164744"/>
    <w:rsid w:val="00167126"/>
    <w:rsid w:val="00171070"/>
    <w:rsid w:val="0017238A"/>
    <w:rsid w:val="00177113"/>
    <w:rsid w:val="00183DBC"/>
    <w:rsid w:val="00186B44"/>
    <w:rsid w:val="00190FDD"/>
    <w:rsid w:val="0019332F"/>
    <w:rsid w:val="00195119"/>
    <w:rsid w:val="001964CF"/>
    <w:rsid w:val="00196B99"/>
    <w:rsid w:val="00196FBB"/>
    <w:rsid w:val="001979BA"/>
    <w:rsid w:val="001A5BF1"/>
    <w:rsid w:val="001A61ED"/>
    <w:rsid w:val="001A7DAF"/>
    <w:rsid w:val="001B4B7D"/>
    <w:rsid w:val="001B534F"/>
    <w:rsid w:val="001C4CDB"/>
    <w:rsid w:val="001D06AB"/>
    <w:rsid w:val="001D0E3C"/>
    <w:rsid w:val="001D2A91"/>
    <w:rsid w:val="001D51D1"/>
    <w:rsid w:val="001D57CE"/>
    <w:rsid w:val="001D77D9"/>
    <w:rsid w:val="001E2190"/>
    <w:rsid w:val="001E4224"/>
    <w:rsid w:val="001E556B"/>
    <w:rsid w:val="001F458A"/>
    <w:rsid w:val="002007FC"/>
    <w:rsid w:val="00201E5E"/>
    <w:rsid w:val="002122E3"/>
    <w:rsid w:val="00213F28"/>
    <w:rsid w:val="00214623"/>
    <w:rsid w:val="00214DA9"/>
    <w:rsid w:val="0022028C"/>
    <w:rsid w:val="00231631"/>
    <w:rsid w:val="00232B16"/>
    <w:rsid w:val="002339EF"/>
    <w:rsid w:val="0024174A"/>
    <w:rsid w:val="00251DFD"/>
    <w:rsid w:val="00253CF1"/>
    <w:rsid w:val="00255759"/>
    <w:rsid w:val="00256790"/>
    <w:rsid w:val="00257F8C"/>
    <w:rsid w:val="00261972"/>
    <w:rsid w:val="00270DB2"/>
    <w:rsid w:val="002762C6"/>
    <w:rsid w:val="00276C20"/>
    <w:rsid w:val="002819C6"/>
    <w:rsid w:val="00281E5F"/>
    <w:rsid w:val="00282BED"/>
    <w:rsid w:val="00283D97"/>
    <w:rsid w:val="0028433C"/>
    <w:rsid w:val="00291A46"/>
    <w:rsid w:val="00292D7E"/>
    <w:rsid w:val="00293A81"/>
    <w:rsid w:val="00294562"/>
    <w:rsid w:val="002A0EDF"/>
    <w:rsid w:val="002A25A6"/>
    <w:rsid w:val="002A4179"/>
    <w:rsid w:val="002A5723"/>
    <w:rsid w:val="002B5F20"/>
    <w:rsid w:val="002C25EC"/>
    <w:rsid w:val="002C2FFF"/>
    <w:rsid w:val="002C5652"/>
    <w:rsid w:val="002C7928"/>
    <w:rsid w:val="002D2344"/>
    <w:rsid w:val="002D3EB8"/>
    <w:rsid w:val="002D508D"/>
    <w:rsid w:val="002D545E"/>
    <w:rsid w:val="002E110F"/>
    <w:rsid w:val="002E271C"/>
    <w:rsid w:val="002E4A01"/>
    <w:rsid w:val="002E5F6D"/>
    <w:rsid w:val="002E7DF7"/>
    <w:rsid w:val="002F0808"/>
    <w:rsid w:val="002F0B1B"/>
    <w:rsid w:val="002F106A"/>
    <w:rsid w:val="002F2F8E"/>
    <w:rsid w:val="002F418C"/>
    <w:rsid w:val="003038E3"/>
    <w:rsid w:val="00304339"/>
    <w:rsid w:val="003070C1"/>
    <w:rsid w:val="00307D95"/>
    <w:rsid w:val="0031316B"/>
    <w:rsid w:val="0031496A"/>
    <w:rsid w:val="003149D5"/>
    <w:rsid w:val="0031511F"/>
    <w:rsid w:val="00322EA0"/>
    <w:rsid w:val="00323929"/>
    <w:rsid w:val="00326252"/>
    <w:rsid w:val="00332B69"/>
    <w:rsid w:val="0033764D"/>
    <w:rsid w:val="00343977"/>
    <w:rsid w:val="003445FF"/>
    <w:rsid w:val="00347B89"/>
    <w:rsid w:val="003518CA"/>
    <w:rsid w:val="00353A4D"/>
    <w:rsid w:val="00357EAA"/>
    <w:rsid w:val="00360189"/>
    <w:rsid w:val="003611BA"/>
    <w:rsid w:val="00363716"/>
    <w:rsid w:val="0036731C"/>
    <w:rsid w:val="00376327"/>
    <w:rsid w:val="0037682D"/>
    <w:rsid w:val="00377D22"/>
    <w:rsid w:val="0039038E"/>
    <w:rsid w:val="003921F8"/>
    <w:rsid w:val="00392B0D"/>
    <w:rsid w:val="0039566E"/>
    <w:rsid w:val="0039677B"/>
    <w:rsid w:val="003A3325"/>
    <w:rsid w:val="003A3923"/>
    <w:rsid w:val="003B3F91"/>
    <w:rsid w:val="003D4228"/>
    <w:rsid w:val="003D4E52"/>
    <w:rsid w:val="003D7C97"/>
    <w:rsid w:val="003E432A"/>
    <w:rsid w:val="003F07A7"/>
    <w:rsid w:val="003F563F"/>
    <w:rsid w:val="003F7057"/>
    <w:rsid w:val="00402AB9"/>
    <w:rsid w:val="00403E35"/>
    <w:rsid w:val="004235FE"/>
    <w:rsid w:val="0042375B"/>
    <w:rsid w:val="004257E8"/>
    <w:rsid w:val="004278D3"/>
    <w:rsid w:val="00427E24"/>
    <w:rsid w:val="00433B67"/>
    <w:rsid w:val="004345AF"/>
    <w:rsid w:val="00434D9A"/>
    <w:rsid w:val="00445659"/>
    <w:rsid w:val="0044648B"/>
    <w:rsid w:val="0045162C"/>
    <w:rsid w:val="00454A59"/>
    <w:rsid w:val="00461431"/>
    <w:rsid w:val="00463AF7"/>
    <w:rsid w:val="00463CB3"/>
    <w:rsid w:val="00475D27"/>
    <w:rsid w:val="004760BB"/>
    <w:rsid w:val="00482ECA"/>
    <w:rsid w:val="00483170"/>
    <w:rsid w:val="004832E8"/>
    <w:rsid w:val="00486824"/>
    <w:rsid w:val="00486EAE"/>
    <w:rsid w:val="004876ED"/>
    <w:rsid w:val="004959F3"/>
    <w:rsid w:val="0049723B"/>
    <w:rsid w:val="00497DA0"/>
    <w:rsid w:val="004A2F92"/>
    <w:rsid w:val="004A3489"/>
    <w:rsid w:val="004A3EE6"/>
    <w:rsid w:val="004A4AEC"/>
    <w:rsid w:val="004A7639"/>
    <w:rsid w:val="004B22B4"/>
    <w:rsid w:val="004B5F06"/>
    <w:rsid w:val="004C1A44"/>
    <w:rsid w:val="004C71EF"/>
    <w:rsid w:val="004D2250"/>
    <w:rsid w:val="004D3575"/>
    <w:rsid w:val="004D506B"/>
    <w:rsid w:val="004D6F73"/>
    <w:rsid w:val="004D700F"/>
    <w:rsid w:val="004E23A3"/>
    <w:rsid w:val="004E25FE"/>
    <w:rsid w:val="004E2D48"/>
    <w:rsid w:val="004E3156"/>
    <w:rsid w:val="004E3C5D"/>
    <w:rsid w:val="004E4B13"/>
    <w:rsid w:val="004F4152"/>
    <w:rsid w:val="004F65EE"/>
    <w:rsid w:val="00502019"/>
    <w:rsid w:val="00510FA6"/>
    <w:rsid w:val="005145AE"/>
    <w:rsid w:val="005164B3"/>
    <w:rsid w:val="00522EC0"/>
    <w:rsid w:val="00523327"/>
    <w:rsid w:val="0053213B"/>
    <w:rsid w:val="0053557B"/>
    <w:rsid w:val="005607D3"/>
    <w:rsid w:val="00560A92"/>
    <w:rsid w:val="00561D37"/>
    <w:rsid w:val="00580D6B"/>
    <w:rsid w:val="00580D83"/>
    <w:rsid w:val="0058164E"/>
    <w:rsid w:val="00581C30"/>
    <w:rsid w:val="00581E41"/>
    <w:rsid w:val="00583662"/>
    <w:rsid w:val="005849D0"/>
    <w:rsid w:val="005879E2"/>
    <w:rsid w:val="00592B1C"/>
    <w:rsid w:val="005A2A5C"/>
    <w:rsid w:val="005A5637"/>
    <w:rsid w:val="005B02F4"/>
    <w:rsid w:val="005B0F25"/>
    <w:rsid w:val="005B1A74"/>
    <w:rsid w:val="005B3C88"/>
    <w:rsid w:val="005C0ED0"/>
    <w:rsid w:val="005C3230"/>
    <w:rsid w:val="005D042F"/>
    <w:rsid w:val="005D129E"/>
    <w:rsid w:val="005D2F7A"/>
    <w:rsid w:val="005D3777"/>
    <w:rsid w:val="005E2425"/>
    <w:rsid w:val="005E33C0"/>
    <w:rsid w:val="005E3F62"/>
    <w:rsid w:val="005E537D"/>
    <w:rsid w:val="005E5460"/>
    <w:rsid w:val="005E5C1B"/>
    <w:rsid w:val="005F3B5F"/>
    <w:rsid w:val="005F65CF"/>
    <w:rsid w:val="005F6F3A"/>
    <w:rsid w:val="005F73DF"/>
    <w:rsid w:val="006005E5"/>
    <w:rsid w:val="00602EDA"/>
    <w:rsid w:val="00610006"/>
    <w:rsid w:val="006105EE"/>
    <w:rsid w:val="00610ADF"/>
    <w:rsid w:val="00611D9F"/>
    <w:rsid w:val="00617F23"/>
    <w:rsid w:val="006312FE"/>
    <w:rsid w:val="0063235B"/>
    <w:rsid w:val="0063572C"/>
    <w:rsid w:val="0063689E"/>
    <w:rsid w:val="00646FEA"/>
    <w:rsid w:val="00647102"/>
    <w:rsid w:val="00647717"/>
    <w:rsid w:val="00650C2D"/>
    <w:rsid w:val="006552D1"/>
    <w:rsid w:val="0065650A"/>
    <w:rsid w:val="006602B1"/>
    <w:rsid w:val="00660E12"/>
    <w:rsid w:val="00661F15"/>
    <w:rsid w:val="00663FDC"/>
    <w:rsid w:val="00671992"/>
    <w:rsid w:val="006732CD"/>
    <w:rsid w:val="00673CA1"/>
    <w:rsid w:val="006858B9"/>
    <w:rsid w:val="0069335A"/>
    <w:rsid w:val="006936C9"/>
    <w:rsid w:val="006A19E0"/>
    <w:rsid w:val="006B073C"/>
    <w:rsid w:val="006B3098"/>
    <w:rsid w:val="006C4D29"/>
    <w:rsid w:val="006C6C88"/>
    <w:rsid w:val="006D1900"/>
    <w:rsid w:val="006D3203"/>
    <w:rsid w:val="006D41E0"/>
    <w:rsid w:val="006E44B7"/>
    <w:rsid w:val="006E637B"/>
    <w:rsid w:val="006F096E"/>
    <w:rsid w:val="006F13BF"/>
    <w:rsid w:val="006F79A2"/>
    <w:rsid w:val="007023F4"/>
    <w:rsid w:val="007024AB"/>
    <w:rsid w:val="00703553"/>
    <w:rsid w:val="007039A1"/>
    <w:rsid w:val="00713A0C"/>
    <w:rsid w:val="00714B3B"/>
    <w:rsid w:val="007162F3"/>
    <w:rsid w:val="00717A6D"/>
    <w:rsid w:val="00725D88"/>
    <w:rsid w:val="0073199F"/>
    <w:rsid w:val="007345F3"/>
    <w:rsid w:val="007451B7"/>
    <w:rsid w:val="00751502"/>
    <w:rsid w:val="007526A0"/>
    <w:rsid w:val="00755641"/>
    <w:rsid w:val="0076050C"/>
    <w:rsid w:val="0076423F"/>
    <w:rsid w:val="0076546A"/>
    <w:rsid w:val="00767D52"/>
    <w:rsid w:val="00767F54"/>
    <w:rsid w:val="00771D6C"/>
    <w:rsid w:val="007720FC"/>
    <w:rsid w:val="00772973"/>
    <w:rsid w:val="007751B3"/>
    <w:rsid w:val="007766C9"/>
    <w:rsid w:val="00781506"/>
    <w:rsid w:val="00782142"/>
    <w:rsid w:val="00782B5F"/>
    <w:rsid w:val="00786855"/>
    <w:rsid w:val="00787C96"/>
    <w:rsid w:val="0079038C"/>
    <w:rsid w:val="007907D7"/>
    <w:rsid w:val="00791BBB"/>
    <w:rsid w:val="00792157"/>
    <w:rsid w:val="00792C5B"/>
    <w:rsid w:val="00793202"/>
    <w:rsid w:val="007A2B41"/>
    <w:rsid w:val="007A42DD"/>
    <w:rsid w:val="007A5C82"/>
    <w:rsid w:val="007B49B4"/>
    <w:rsid w:val="007C29A8"/>
    <w:rsid w:val="007D2899"/>
    <w:rsid w:val="007D336C"/>
    <w:rsid w:val="007D74FC"/>
    <w:rsid w:val="007E04BC"/>
    <w:rsid w:val="007E4311"/>
    <w:rsid w:val="007E5261"/>
    <w:rsid w:val="007F0417"/>
    <w:rsid w:val="007F2260"/>
    <w:rsid w:val="007F4822"/>
    <w:rsid w:val="00800163"/>
    <w:rsid w:val="008001BC"/>
    <w:rsid w:val="00802743"/>
    <w:rsid w:val="00802F13"/>
    <w:rsid w:val="00803B7A"/>
    <w:rsid w:val="00804674"/>
    <w:rsid w:val="00815A33"/>
    <w:rsid w:val="008227A3"/>
    <w:rsid w:val="00831760"/>
    <w:rsid w:val="008327A0"/>
    <w:rsid w:val="0083714C"/>
    <w:rsid w:val="00844186"/>
    <w:rsid w:val="008453BB"/>
    <w:rsid w:val="00853755"/>
    <w:rsid w:val="00854171"/>
    <w:rsid w:val="008605A6"/>
    <w:rsid w:val="00866D96"/>
    <w:rsid w:val="00871AAB"/>
    <w:rsid w:val="0087540F"/>
    <w:rsid w:val="00876E75"/>
    <w:rsid w:val="00880425"/>
    <w:rsid w:val="0088064A"/>
    <w:rsid w:val="00884F0A"/>
    <w:rsid w:val="00885AC4"/>
    <w:rsid w:val="00886241"/>
    <w:rsid w:val="00891229"/>
    <w:rsid w:val="0089203B"/>
    <w:rsid w:val="00893F79"/>
    <w:rsid w:val="008A18DA"/>
    <w:rsid w:val="008A7AE7"/>
    <w:rsid w:val="008B2F0C"/>
    <w:rsid w:val="008B455B"/>
    <w:rsid w:val="008C031B"/>
    <w:rsid w:val="008C03AE"/>
    <w:rsid w:val="008C1C54"/>
    <w:rsid w:val="008C5E46"/>
    <w:rsid w:val="008D1EC7"/>
    <w:rsid w:val="008D37A1"/>
    <w:rsid w:val="008D689F"/>
    <w:rsid w:val="008D705F"/>
    <w:rsid w:val="008E1061"/>
    <w:rsid w:val="008E1D2D"/>
    <w:rsid w:val="008E4B84"/>
    <w:rsid w:val="008F1B68"/>
    <w:rsid w:val="008F7A5C"/>
    <w:rsid w:val="009054E0"/>
    <w:rsid w:val="00907C12"/>
    <w:rsid w:val="009119CF"/>
    <w:rsid w:val="00915234"/>
    <w:rsid w:val="0092254B"/>
    <w:rsid w:val="009245E3"/>
    <w:rsid w:val="00924E07"/>
    <w:rsid w:val="0092741E"/>
    <w:rsid w:val="00937900"/>
    <w:rsid w:val="00944433"/>
    <w:rsid w:val="009446F1"/>
    <w:rsid w:val="009478CC"/>
    <w:rsid w:val="009564E9"/>
    <w:rsid w:val="0097134D"/>
    <w:rsid w:val="00971717"/>
    <w:rsid w:val="00972664"/>
    <w:rsid w:val="00975DEB"/>
    <w:rsid w:val="00976E8C"/>
    <w:rsid w:val="0098367E"/>
    <w:rsid w:val="00985FB6"/>
    <w:rsid w:val="009913EE"/>
    <w:rsid w:val="00991A59"/>
    <w:rsid w:val="0099739E"/>
    <w:rsid w:val="009B55A8"/>
    <w:rsid w:val="009B65EA"/>
    <w:rsid w:val="009B6F9C"/>
    <w:rsid w:val="009B7D0C"/>
    <w:rsid w:val="009C2373"/>
    <w:rsid w:val="009C7EAD"/>
    <w:rsid w:val="009D21CC"/>
    <w:rsid w:val="009D6860"/>
    <w:rsid w:val="009D7350"/>
    <w:rsid w:val="009E450C"/>
    <w:rsid w:val="009E6A53"/>
    <w:rsid w:val="009F02B0"/>
    <w:rsid w:val="009F0727"/>
    <w:rsid w:val="00A00A78"/>
    <w:rsid w:val="00A01BCB"/>
    <w:rsid w:val="00A10395"/>
    <w:rsid w:val="00A10CF0"/>
    <w:rsid w:val="00A10FB5"/>
    <w:rsid w:val="00A11323"/>
    <w:rsid w:val="00A140B8"/>
    <w:rsid w:val="00A22FA9"/>
    <w:rsid w:val="00A23E04"/>
    <w:rsid w:val="00A27FD4"/>
    <w:rsid w:val="00A30A30"/>
    <w:rsid w:val="00A34C6A"/>
    <w:rsid w:val="00A41BA8"/>
    <w:rsid w:val="00A41BD4"/>
    <w:rsid w:val="00A41D2D"/>
    <w:rsid w:val="00A42E46"/>
    <w:rsid w:val="00A60A50"/>
    <w:rsid w:val="00A617BA"/>
    <w:rsid w:val="00A73097"/>
    <w:rsid w:val="00A73384"/>
    <w:rsid w:val="00A75915"/>
    <w:rsid w:val="00A829BB"/>
    <w:rsid w:val="00A841F3"/>
    <w:rsid w:val="00A95119"/>
    <w:rsid w:val="00A96952"/>
    <w:rsid w:val="00AA3C91"/>
    <w:rsid w:val="00AA7F2F"/>
    <w:rsid w:val="00AB0DEA"/>
    <w:rsid w:val="00AB2BF0"/>
    <w:rsid w:val="00AB3815"/>
    <w:rsid w:val="00AB5AE6"/>
    <w:rsid w:val="00AC036C"/>
    <w:rsid w:val="00AC13FF"/>
    <w:rsid w:val="00AC68DF"/>
    <w:rsid w:val="00AC76A3"/>
    <w:rsid w:val="00AD00E8"/>
    <w:rsid w:val="00AD34D0"/>
    <w:rsid w:val="00AD52E6"/>
    <w:rsid w:val="00AD7D1E"/>
    <w:rsid w:val="00AE5564"/>
    <w:rsid w:val="00AF136F"/>
    <w:rsid w:val="00AF152A"/>
    <w:rsid w:val="00AF1CD5"/>
    <w:rsid w:val="00AF1E18"/>
    <w:rsid w:val="00AF4DC1"/>
    <w:rsid w:val="00B027AF"/>
    <w:rsid w:val="00B0368E"/>
    <w:rsid w:val="00B04606"/>
    <w:rsid w:val="00B06BA9"/>
    <w:rsid w:val="00B06E5F"/>
    <w:rsid w:val="00B10E5B"/>
    <w:rsid w:val="00B1202E"/>
    <w:rsid w:val="00B13854"/>
    <w:rsid w:val="00B149C5"/>
    <w:rsid w:val="00B1595B"/>
    <w:rsid w:val="00B16954"/>
    <w:rsid w:val="00B255FE"/>
    <w:rsid w:val="00B26074"/>
    <w:rsid w:val="00B27892"/>
    <w:rsid w:val="00B30E22"/>
    <w:rsid w:val="00B324A5"/>
    <w:rsid w:val="00B37679"/>
    <w:rsid w:val="00B40198"/>
    <w:rsid w:val="00B40B4D"/>
    <w:rsid w:val="00B5209B"/>
    <w:rsid w:val="00B57C80"/>
    <w:rsid w:val="00B65C68"/>
    <w:rsid w:val="00B71BA8"/>
    <w:rsid w:val="00B72513"/>
    <w:rsid w:val="00B74D37"/>
    <w:rsid w:val="00B77D71"/>
    <w:rsid w:val="00B811BD"/>
    <w:rsid w:val="00B82DA9"/>
    <w:rsid w:val="00B83980"/>
    <w:rsid w:val="00BA10D3"/>
    <w:rsid w:val="00BA3121"/>
    <w:rsid w:val="00BA5147"/>
    <w:rsid w:val="00BA6169"/>
    <w:rsid w:val="00BB419D"/>
    <w:rsid w:val="00BB4FEB"/>
    <w:rsid w:val="00BD0B89"/>
    <w:rsid w:val="00BD0BF2"/>
    <w:rsid w:val="00BD3E08"/>
    <w:rsid w:val="00BD5DC9"/>
    <w:rsid w:val="00BD642B"/>
    <w:rsid w:val="00BD7B85"/>
    <w:rsid w:val="00BE174E"/>
    <w:rsid w:val="00BE31FB"/>
    <w:rsid w:val="00BE7F76"/>
    <w:rsid w:val="00BF0896"/>
    <w:rsid w:val="00C03C41"/>
    <w:rsid w:val="00C0600E"/>
    <w:rsid w:val="00C07744"/>
    <w:rsid w:val="00C102B2"/>
    <w:rsid w:val="00C124CD"/>
    <w:rsid w:val="00C22F27"/>
    <w:rsid w:val="00C24064"/>
    <w:rsid w:val="00C25246"/>
    <w:rsid w:val="00C30C80"/>
    <w:rsid w:val="00C33784"/>
    <w:rsid w:val="00C345A9"/>
    <w:rsid w:val="00C348F2"/>
    <w:rsid w:val="00C42932"/>
    <w:rsid w:val="00C45458"/>
    <w:rsid w:val="00C47A4B"/>
    <w:rsid w:val="00C5613C"/>
    <w:rsid w:val="00C56AE2"/>
    <w:rsid w:val="00C63BF3"/>
    <w:rsid w:val="00C641E0"/>
    <w:rsid w:val="00C6750F"/>
    <w:rsid w:val="00C677CB"/>
    <w:rsid w:val="00C754EE"/>
    <w:rsid w:val="00C8763D"/>
    <w:rsid w:val="00C9195D"/>
    <w:rsid w:val="00C91A77"/>
    <w:rsid w:val="00C939AA"/>
    <w:rsid w:val="00C973FD"/>
    <w:rsid w:val="00CA3753"/>
    <w:rsid w:val="00CA4CA4"/>
    <w:rsid w:val="00CB19A1"/>
    <w:rsid w:val="00CB53CB"/>
    <w:rsid w:val="00CC0F4B"/>
    <w:rsid w:val="00CD1CBA"/>
    <w:rsid w:val="00CE2C48"/>
    <w:rsid w:val="00CE2FAE"/>
    <w:rsid w:val="00CE4F21"/>
    <w:rsid w:val="00CE56FB"/>
    <w:rsid w:val="00CE6426"/>
    <w:rsid w:val="00CE7159"/>
    <w:rsid w:val="00CF0CB4"/>
    <w:rsid w:val="00CF2C65"/>
    <w:rsid w:val="00CF458A"/>
    <w:rsid w:val="00D00A60"/>
    <w:rsid w:val="00D0359A"/>
    <w:rsid w:val="00D060A5"/>
    <w:rsid w:val="00D072A5"/>
    <w:rsid w:val="00D115F8"/>
    <w:rsid w:val="00D177AA"/>
    <w:rsid w:val="00D21802"/>
    <w:rsid w:val="00D22FE8"/>
    <w:rsid w:val="00D251E3"/>
    <w:rsid w:val="00D25FCB"/>
    <w:rsid w:val="00D30704"/>
    <w:rsid w:val="00D33ACF"/>
    <w:rsid w:val="00D46244"/>
    <w:rsid w:val="00D47B69"/>
    <w:rsid w:val="00D55933"/>
    <w:rsid w:val="00D63B2B"/>
    <w:rsid w:val="00D7026B"/>
    <w:rsid w:val="00D74B68"/>
    <w:rsid w:val="00D759DA"/>
    <w:rsid w:val="00D76373"/>
    <w:rsid w:val="00D91B2A"/>
    <w:rsid w:val="00D94BEA"/>
    <w:rsid w:val="00D94F8D"/>
    <w:rsid w:val="00DA26A6"/>
    <w:rsid w:val="00DA4FBD"/>
    <w:rsid w:val="00DA648A"/>
    <w:rsid w:val="00DB2D19"/>
    <w:rsid w:val="00DB578E"/>
    <w:rsid w:val="00DB5A8E"/>
    <w:rsid w:val="00DB637F"/>
    <w:rsid w:val="00DB669F"/>
    <w:rsid w:val="00DC00BC"/>
    <w:rsid w:val="00DC1321"/>
    <w:rsid w:val="00DC144E"/>
    <w:rsid w:val="00DC1573"/>
    <w:rsid w:val="00DC2F53"/>
    <w:rsid w:val="00DC491B"/>
    <w:rsid w:val="00DD0BE6"/>
    <w:rsid w:val="00DD3D3E"/>
    <w:rsid w:val="00DD79C8"/>
    <w:rsid w:val="00DE351E"/>
    <w:rsid w:val="00DE5CA0"/>
    <w:rsid w:val="00DE733F"/>
    <w:rsid w:val="00DF552E"/>
    <w:rsid w:val="00DF6916"/>
    <w:rsid w:val="00E001E7"/>
    <w:rsid w:val="00E03A2F"/>
    <w:rsid w:val="00E108E6"/>
    <w:rsid w:val="00E12FC9"/>
    <w:rsid w:val="00E233F4"/>
    <w:rsid w:val="00E2473F"/>
    <w:rsid w:val="00E24B2D"/>
    <w:rsid w:val="00E378AD"/>
    <w:rsid w:val="00E53640"/>
    <w:rsid w:val="00E541D0"/>
    <w:rsid w:val="00E554C4"/>
    <w:rsid w:val="00E5598A"/>
    <w:rsid w:val="00E61D05"/>
    <w:rsid w:val="00E66042"/>
    <w:rsid w:val="00E6742F"/>
    <w:rsid w:val="00E70C9B"/>
    <w:rsid w:val="00E766D2"/>
    <w:rsid w:val="00E8118E"/>
    <w:rsid w:val="00E82506"/>
    <w:rsid w:val="00E8486D"/>
    <w:rsid w:val="00E85FFB"/>
    <w:rsid w:val="00E903E8"/>
    <w:rsid w:val="00E93439"/>
    <w:rsid w:val="00EA0E9B"/>
    <w:rsid w:val="00EA14E5"/>
    <w:rsid w:val="00EA2DF2"/>
    <w:rsid w:val="00EB1108"/>
    <w:rsid w:val="00EB2BE3"/>
    <w:rsid w:val="00EB5D11"/>
    <w:rsid w:val="00EC1DDD"/>
    <w:rsid w:val="00ED05F6"/>
    <w:rsid w:val="00ED08C6"/>
    <w:rsid w:val="00ED2C33"/>
    <w:rsid w:val="00ED3190"/>
    <w:rsid w:val="00ED432E"/>
    <w:rsid w:val="00ED5186"/>
    <w:rsid w:val="00ED538E"/>
    <w:rsid w:val="00EE009E"/>
    <w:rsid w:val="00EE6D62"/>
    <w:rsid w:val="00EE70DB"/>
    <w:rsid w:val="00EF0AD1"/>
    <w:rsid w:val="00EF5054"/>
    <w:rsid w:val="00EF56F8"/>
    <w:rsid w:val="00F01EA4"/>
    <w:rsid w:val="00F03AFC"/>
    <w:rsid w:val="00F04773"/>
    <w:rsid w:val="00F16FFD"/>
    <w:rsid w:val="00F236C0"/>
    <w:rsid w:val="00F24BD4"/>
    <w:rsid w:val="00F32FD3"/>
    <w:rsid w:val="00F355D3"/>
    <w:rsid w:val="00F45940"/>
    <w:rsid w:val="00F54FA1"/>
    <w:rsid w:val="00F56066"/>
    <w:rsid w:val="00F60B32"/>
    <w:rsid w:val="00F63BE0"/>
    <w:rsid w:val="00F67E79"/>
    <w:rsid w:val="00F70311"/>
    <w:rsid w:val="00F75A82"/>
    <w:rsid w:val="00F75CB6"/>
    <w:rsid w:val="00F807F5"/>
    <w:rsid w:val="00F80FD0"/>
    <w:rsid w:val="00F871E0"/>
    <w:rsid w:val="00F87B46"/>
    <w:rsid w:val="00F94AEC"/>
    <w:rsid w:val="00FA1F0A"/>
    <w:rsid w:val="00FA235E"/>
    <w:rsid w:val="00FA4253"/>
    <w:rsid w:val="00FA5054"/>
    <w:rsid w:val="00FA738A"/>
    <w:rsid w:val="00FA7A08"/>
    <w:rsid w:val="00FB2B05"/>
    <w:rsid w:val="00FB62D6"/>
    <w:rsid w:val="00FB7559"/>
    <w:rsid w:val="00FC612A"/>
    <w:rsid w:val="00FD23C4"/>
    <w:rsid w:val="00FD3F9C"/>
    <w:rsid w:val="00FD4E07"/>
    <w:rsid w:val="00FD596F"/>
    <w:rsid w:val="00FD638F"/>
    <w:rsid w:val="00FF05E9"/>
    <w:rsid w:val="00FF6F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6A"/>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06A"/>
    <w:pPr>
      <w:ind w:left="720"/>
      <w:contextualSpacing/>
    </w:pPr>
  </w:style>
  <w:style w:type="paragraph" w:styleId="Textonotapie">
    <w:name w:val="footnote text"/>
    <w:aliases w:val="Car3 Car, Car3 Car, Car2,Car3, Car3,Car2,Geneva 9,Font: Geneva 9,Boston 10,f,Times Roman 9,Car,Car Car, Car,Texto nota pie1"/>
    <w:basedOn w:val="Normal"/>
    <w:link w:val="TextonotapieCar"/>
    <w:uiPriority w:val="99"/>
    <w:unhideWhenUsed/>
    <w:rsid w:val="00AB2BF0"/>
    <w:pPr>
      <w:spacing w:after="0" w:line="240" w:lineRule="auto"/>
    </w:pPr>
    <w:rPr>
      <w:sz w:val="20"/>
      <w:szCs w:val="20"/>
      <w:lang w:val="x-none" w:eastAsia="x-none"/>
    </w:rPr>
  </w:style>
  <w:style w:type="character" w:customStyle="1" w:styleId="TextonotapieCar">
    <w:name w:val="Texto nota pie Car"/>
    <w:aliases w:val="Car3 Car Car, Car3 Car Car, Car2 Car,Car3 Car1, Car3 Car1,Car2 Car,Geneva 9 Car,Font: Geneva 9 Car,Boston 10 Car,f Car,Times Roman 9 Car,Car Car1,Car Car Car, Car Car,Texto nota pie1 Car"/>
    <w:link w:val="Textonotapie"/>
    <w:uiPriority w:val="99"/>
    <w:rsid w:val="00AB2BF0"/>
    <w:rPr>
      <w:rFonts w:ascii="Calibri" w:eastAsia="Calibri" w:hAnsi="Calibri" w:cs="Times New Roman"/>
      <w:sz w:val="20"/>
      <w:szCs w:val="20"/>
    </w:rPr>
  </w:style>
  <w:style w:type="character" w:styleId="Refdenotaalpie">
    <w:name w:val="footnote reference"/>
    <w:aliases w:val="normal,Normal1,Ref,de nota al pie"/>
    <w:uiPriority w:val="99"/>
    <w:unhideWhenUsed/>
    <w:rsid w:val="00AB2BF0"/>
    <w:rPr>
      <w:vertAlign w:val="superscript"/>
    </w:rPr>
  </w:style>
  <w:style w:type="paragraph" w:styleId="NormalWeb">
    <w:name w:val="Normal (Web)"/>
    <w:basedOn w:val="Normal"/>
    <w:unhideWhenUsed/>
    <w:rsid w:val="006D1900"/>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8B455B"/>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8B455B"/>
    <w:rPr>
      <w:rFonts w:ascii="Calibri" w:eastAsia="Calibri" w:hAnsi="Calibri" w:cs="Times New Roman"/>
    </w:rPr>
  </w:style>
  <w:style w:type="paragraph" w:styleId="Piedepgina">
    <w:name w:val="footer"/>
    <w:basedOn w:val="Normal"/>
    <w:link w:val="PiedepginaCar"/>
    <w:uiPriority w:val="99"/>
    <w:unhideWhenUsed/>
    <w:rsid w:val="008B455B"/>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8B455B"/>
    <w:rPr>
      <w:rFonts w:ascii="Calibri" w:eastAsia="Calibri" w:hAnsi="Calibri" w:cs="Times New Roman"/>
    </w:rPr>
  </w:style>
  <w:style w:type="character" w:styleId="Refdecomentario">
    <w:name w:val="annotation reference"/>
    <w:uiPriority w:val="99"/>
    <w:semiHidden/>
    <w:unhideWhenUsed/>
    <w:rsid w:val="003F07A7"/>
    <w:rPr>
      <w:sz w:val="16"/>
      <w:szCs w:val="16"/>
    </w:rPr>
  </w:style>
  <w:style w:type="paragraph" w:styleId="Textocomentario">
    <w:name w:val="annotation text"/>
    <w:basedOn w:val="Normal"/>
    <w:link w:val="TextocomentarioCar"/>
    <w:uiPriority w:val="99"/>
    <w:semiHidden/>
    <w:unhideWhenUsed/>
    <w:rsid w:val="003F07A7"/>
    <w:pPr>
      <w:spacing w:line="240" w:lineRule="auto"/>
    </w:pPr>
    <w:rPr>
      <w:sz w:val="20"/>
      <w:szCs w:val="20"/>
      <w:lang w:val="x-none" w:eastAsia="x-none"/>
    </w:rPr>
  </w:style>
  <w:style w:type="character" w:customStyle="1" w:styleId="TextocomentarioCar">
    <w:name w:val="Texto comentario Car"/>
    <w:link w:val="Textocomentario"/>
    <w:uiPriority w:val="99"/>
    <w:semiHidden/>
    <w:rsid w:val="003F07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07A7"/>
    <w:rPr>
      <w:b/>
      <w:bCs/>
    </w:rPr>
  </w:style>
  <w:style w:type="character" w:customStyle="1" w:styleId="AsuntodelcomentarioCar">
    <w:name w:val="Asunto del comentario Car"/>
    <w:link w:val="Asuntodelcomentario"/>
    <w:uiPriority w:val="99"/>
    <w:semiHidden/>
    <w:rsid w:val="003F07A7"/>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F07A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F07A7"/>
    <w:rPr>
      <w:rFonts w:ascii="Tahoma" w:eastAsia="Calibri" w:hAnsi="Tahoma" w:cs="Tahoma"/>
      <w:sz w:val="16"/>
      <w:szCs w:val="16"/>
    </w:rPr>
  </w:style>
  <w:style w:type="character" w:styleId="Hipervnculo">
    <w:name w:val="Hyperlink"/>
    <w:uiPriority w:val="99"/>
    <w:unhideWhenUsed/>
    <w:rsid w:val="000C5E48"/>
    <w:rPr>
      <w:color w:val="0000FF"/>
      <w:u w:val="single"/>
    </w:rPr>
  </w:style>
  <w:style w:type="character" w:styleId="Textodelmarcadordeposicin">
    <w:name w:val="Placeholder Text"/>
    <w:basedOn w:val="Fuentedeprrafopredeter"/>
    <w:uiPriority w:val="99"/>
    <w:semiHidden/>
    <w:rsid w:val="00792157"/>
    <w:rPr>
      <w:color w:val="808080"/>
    </w:rPr>
  </w:style>
  <w:style w:type="paragraph" w:styleId="Textonotaalfinal">
    <w:name w:val="endnote text"/>
    <w:basedOn w:val="Normal"/>
    <w:link w:val="TextonotaalfinalCar"/>
    <w:uiPriority w:val="99"/>
    <w:semiHidden/>
    <w:unhideWhenUsed/>
    <w:rsid w:val="00EE70DB"/>
    <w:rPr>
      <w:sz w:val="20"/>
      <w:szCs w:val="20"/>
    </w:rPr>
  </w:style>
  <w:style w:type="character" w:customStyle="1" w:styleId="TextonotaalfinalCar">
    <w:name w:val="Texto nota al final Car"/>
    <w:basedOn w:val="Fuentedeprrafopredeter"/>
    <w:link w:val="Textonotaalfinal"/>
    <w:uiPriority w:val="99"/>
    <w:semiHidden/>
    <w:rsid w:val="00EE70DB"/>
    <w:rPr>
      <w:rFonts w:ascii="Calibri" w:hAnsi="Calibri"/>
      <w:lang w:eastAsia="en-US"/>
    </w:rPr>
  </w:style>
  <w:style w:type="character" w:styleId="Refdenotaalfinal">
    <w:name w:val="endnote reference"/>
    <w:basedOn w:val="Fuentedeprrafopredeter"/>
    <w:uiPriority w:val="99"/>
    <w:semiHidden/>
    <w:unhideWhenUsed/>
    <w:rsid w:val="00EE70DB"/>
    <w:rPr>
      <w:vertAlign w:val="superscript"/>
    </w:rPr>
  </w:style>
  <w:style w:type="paragraph" w:styleId="Sinespaciado">
    <w:name w:val="No Spacing"/>
    <w:uiPriority w:val="99"/>
    <w:qFormat/>
    <w:rsid w:val="009B6F9C"/>
    <w:rPr>
      <w:rFonts w:ascii="Arial" w:hAnsi="Arial"/>
      <w:sz w:val="22"/>
      <w:szCs w:val="22"/>
      <w:lang w:eastAsia="en-US"/>
    </w:rPr>
  </w:style>
  <w:style w:type="paragraph" w:customStyle="1" w:styleId="Logro">
    <w:name w:val="Logro"/>
    <w:basedOn w:val="Textoindependiente"/>
    <w:rsid w:val="009B6F9C"/>
    <w:pPr>
      <w:overflowPunct w:val="0"/>
      <w:autoSpaceDE w:val="0"/>
      <w:autoSpaceDN w:val="0"/>
      <w:adjustRightInd w:val="0"/>
      <w:spacing w:after="60" w:line="220" w:lineRule="atLeast"/>
      <w:ind w:left="240" w:hanging="240"/>
      <w:jc w:val="both"/>
      <w:textAlignment w:val="baseline"/>
    </w:pPr>
    <w:rPr>
      <w:rFonts w:ascii="Arial" w:eastAsia="Times New Roman" w:hAnsi="Arial"/>
      <w:spacing w:val="-5"/>
      <w:sz w:val="20"/>
      <w:szCs w:val="20"/>
      <w:lang w:val="es-ES_tradnl" w:eastAsia="es-ES"/>
    </w:rPr>
  </w:style>
  <w:style w:type="paragraph" w:styleId="Textoindependiente">
    <w:name w:val="Body Text"/>
    <w:basedOn w:val="Normal"/>
    <w:link w:val="TextoindependienteCar"/>
    <w:uiPriority w:val="99"/>
    <w:unhideWhenUsed/>
    <w:rsid w:val="009B6F9C"/>
    <w:pPr>
      <w:spacing w:after="120"/>
    </w:pPr>
  </w:style>
  <w:style w:type="character" w:customStyle="1" w:styleId="TextoindependienteCar">
    <w:name w:val="Texto independiente Car"/>
    <w:basedOn w:val="Fuentedeprrafopredeter"/>
    <w:link w:val="Textoindependiente"/>
    <w:uiPriority w:val="99"/>
    <w:rsid w:val="009B6F9C"/>
    <w:rPr>
      <w:rFonts w:ascii="Calibri" w:hAnsi="Calibri"/>
      <w:sz w:val="22"/>
      <w:szCs w:val="22"/>
      <w:lang w:eastAsia="en-US"/>
    </w:rPr>
  </w:style>
  <w:style w:type="paragraph" w:styleId="Lista">
    <w:name w:val="List"/>
    <w:basedOn w:val="Normal"/>
    <w:uiPriority w:val="99"/>
    <w:unhideWhenUsed/>
    <w:rsid w:val="00433B67"/>
    <w:pPr>
      <w:ind w:left="283" w:hanging="283"/>
      <w:contextualSpacing/>
    </w:pPr>
  </w:style>
  <w:style w:type="paragraph" w:styleId="Saludo">
    <w:name w:val="Salutation"/>
    <w:basedOn w:val="Normal"/>
    <w:next w:val="Normal"/>
    <w:link w:val="SaludoCar"/>
    <w:uiPriority w:val="99"/>
    <w:unhideWhenUsed/>
    <w:rsid w:val="00433B67"/>
  </w:style>
  <w:style w:type="character" w:customStyle="1" w:styleId="SaludoCar">
    <w:name w:val="Saludo Car"/>
    <w:basedOn w:val="Fuentedeprrafopredeter"/>
    <w:link w:val="Saludo"/>
    <w:uiPriority w:val="99"/>
    <w:rsid w:val="00433B67"/>
    <w:rPr>
      <w:rFonts w:ascii="Calibri" w:hAnsi="Calibri"/>
      <w:sz w:val="22"/>
      <w:szCs w:val="22"/>
      <w:lang w:eastAsia="en-US"/>
    </w:rPr>
  </w:style>
  <w:style w:type="paragraph" w:styleId="Epgrafe">
    <w:name w:val="caption"/>
    <w:basedOn w:val="Normal"/>
    <w:next w:val="Normal"/>
    <w:uiPriority w:val="35"/>
    <w:unhideWhenUsed/>
    <w:qFormat/>
    <w:rsid w:val="00433B67"/>
    <w:pPr>
      <w:spacing w:line="240" w:lineRule="auto"/>
    </w:pPr>
    <w:rPr>
      <w:b/>
      <w:bCs/>
      <w:color w:val="5B9BD5" w:themeColor="accent1"/>
      <w:sz w:val="18"/>
      <w:szCs w:val="18"/>
    </w:rPr>
  </w:style>
  <w:style w:type="paragraph" w:styleId="Sangradetextonormal">
    <w:name w:val="Body Text Indent"/>
    <w:basedOn w:val="Normal"/>
    <w:link w:val="SangradetextonormalCar"/>
    <w:uiPriority w:val="99"/>
    <w:unhideWhenUsed/>
    <w:rsid w:val="00433B67"/>
    <w:pPr>
      <w:spacing w:after="120"/>
      <w:ind w:left="283"/>
    </w:pPr>
  </w:style>
  <w:style w:type="character" w:customStyle="1" w:styleId="SangradetextonormalCar">
    <w:name w:val="Sangría de texto normal Car"/>
    <w:basedOn w:val="Fuentedeprrafopredeter"/>
    <w:link w:val="Sangradetextonormal"/>
    <w:uiPriority w:val="99"/>
    <w:rsid w:val="00433B67"/>
    <w:rPr>
      <w:rFonts w:ascii="Calibri" w:hAnsi="Calibri"/>
      <w:sz w:val="22"/>
      <w:szCs w:val="22"/>
      <w:lang w:eastAsia="en-US"/>
    </w:rPr>
  </w:style>
  <w:style w:type="paragraph" w:styleId="Textoindependienteprimerasangra">
    <w:name w:val="Body Text First Indent"/>
    <w:basedOn w:val="Textoindependiente"/>
    <w:link w:val="TextoindependienteprimerasangraCar"/>
    <w:uiPriority w:val="99"/>
    <w:unhideWhenUsed/>
    <w:rsid w:val="00433B6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33B67"/>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6A"/>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06A"/>
    <w:pPr>
      <w:ind w:left="720"/>
      <w:contextualSpacing/>
    </w:pPr>
  </w:style>
  <w:style w:type="paragraph" w:styleId="Textonotapie">
    <w:name w:val="footnote text"/>
    <w:aliases w:val="Car3 Car, Car3 Car, Car2,Car3, Car3,Car2,Geneva 9,Font: Geneva 9,Boston 10,f,Times Roman 9,Car,Car Car, Car,Texto nota pie1"/>
    <w:basedOn w:val="Normal"/>
    <w:link w:val="TextonotapieCar"/>
    <w:uiPriority w:val="99"/>
    <w:unhideWhenUsed/>
    <w:rsid w:val="00AB2BF0"/>
    <w:pPr>
      <w:spacing w:after="0" w:line="240" w:lineRule="auto"/>
    </w:pPr>
    <w:rPr>
      <w:sz w:val="20"/>
      <w:szCs w:val="20"/>
      <w:lang w:val="x-none" w:eastAsia="x-none"/>
    </w:rPr>
  </w:style>
  <w:style w:type="character" w:customStyle="1" w:styleId="TextonotapieCar">
    <w:name w:val="Texto nota pie Car"/>
    <w:aliases w:val="Car3 Car Car, Car3 Car Car, Car2 Car,Car3 Car1, Car3 Car1,Car2 Car,Geneva 9 Car,Font: Geneva 9 Car,Boston 10 Car,f Car,Times Roman 9 Car,Car Car1,Car Car Car, Car Car,Texto nota pie1 Car"/>
    <w:link w:val="Textonotapie"/>
    <w:uiPriority w:val="99"/>
    <w:rsid w:val="00AB2BF0"/>
    <w:rPr>
      <w:rFonts w:ascii="Calibri" w:eastAsia="Calibri" w:hAnsi="Calibri" w:cs="Times New Roman"/>
      <w:sz w:val="20"/>
      <w:szCs w:val="20"/>
    </w:rPr>
  </w:style>
  <w:style w:type="character" w:styleId="Refdenotaalpie">
    <w:name w:val="footnote reference"/>
    <w:aliases w:val="normal,Normal1,Ref,de nota al pie"/>
    <w:uiPriority w:val="99"/>
    <w:unhideWhenUsed/>
    <w:rsid w:val="00AB2BF0"/>
    <w:rPr>
      <w:vertAlign w:val="superscript"/>
    </w:rPr>
  </w:style>
  <w:style w:type="paragraph" w:styleId="NormalWeb">
    <w:name w:val="Normal (Web)"/>
    <w:basedOn w:val="Normal"/>
    <w:unhideWhenUsed/>
    <w:rsid w:val="006D1900"/>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8B455B"/>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8B455B"/>
    <w:rPr>
      <w:rFonts w:ascii="Calibri" w:eastAsia="Calibri" w:hAnsi="Calibri" w:cs="Times New Roman"/>
    </w:rPr>
  </w:style>
  <w:style w:type="paragraph" w:styleId="Piedepgina">
    <w:name w:val="footer"/>
    <w:basedOn w:val="Normal"/>
    <w:link w:val="PiedepginaCar"/>
    <w:uiPriority w:val="99"/>
    <w:unhideWhenUsed/>
    <w:rsid w:val="008B455B"/>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8B455B"/>
    <w:rPr>
      <w:rFonts w:ascii="Calibri" w:eastAsia="Calibri" w:hAnsi="Calibri" w:cs="Times New Roman"/>
    </w:rPr>
  </w:style>
  <w:style w:type="character" w:styleId="Refdecomentario">
    <w:name w:val="annotation reference"/>
    <w:uiPriority w:val="99"/>
    <w:semiHidden/>
    <w:unhideWhenUsed/>
    <w:rsid w:val="003F07A7"/>
    <w:rPr>
      <w:sz w:val="16"/>
      <w:szCs w:val="16"/>
    </w:rPr>
  </w:style>
  <w:style w:type="paragraph" w:styleId="Textocomentario">
    <w:name w:val="annotation text"/>
    <w:basedOn w:val="Normal"/>
    <w:link w:val="TextocomentarioCar"/>
    <w:uiPriority w:val="99"/>
    <w:semiHidden/>
    <w:unhideWhenUsed/>
    <w:rsid w:val="003F07A7"/>
    <w:pPr>
      <w:spacing w:line="240" w:lineRule="auto"/>
    </w:pPr>
    <w:rPr>
      <w:sz w:val="20"/>
      <w:szCs w:val="20"/>
      <w:lang w:val="x-none" w:eastAsia="x-none"/>
    </w:rPr>
  </w:style>
  <w:style w:type="character" w:customStyle="1" w:styleId="TextocomentarioCar">
    <w:name w:val="Texto comentario Car"/>
    <w:link w:val="Textocomentario"/>
    <w:uiPriority w:val="99"/>
    <w:semiHidden/>
    <w:rsid w:val="003F07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07A7"/>
    <w:rPr>
      <w:b/>
      <w:bCs/>
    </w:rPr>
  </w:style>
  <w:style w:type="character" w:customStyle="1" w:styleId="AsuntodelcomentarioCar">
    <w:name w:val="Asunto del comentario Car"/>
    <w:link w:val="Asuntodelcomentario"/>
    <w:uiPriority w:val="99"/>
    <w:semiHidden/>
    <w:rsid w:val="003F07A7"/>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F07A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F07A7"/>
    <w:rPr>
      <w:rFonts w:ascii="Tahoma" w:eastAsia="Calibri" w:hAnsi="Tahoma" w:cs="Tahoma"/>
      <w:sz w:val="16"/>
      <w:szCs w:val="16"/>
    </w:rPr>
  </w:style>
  <w:style w:type="character" w:styleId="Hipervnculo">
    <w:name w:val="Hyperlink"/>
    <w:uiPriority w:val="99"/>
    <w:unhideWhenUsed/>
    <w:rsid w:val="000C5E48"/>
    <w:rPr>
      <w:color w:val="0000FF"/>
      <w:u w:val="single"/>
    </w:rPr>
  </w:style>
  <w:style w:type="character" w:styleId="Textodelmarcadordeposicin">
    <w:name w:val="Placeholder Text"/>
    <w:basedOn w:val="Fuentedeprrafopredeter"/>
    <w:uiPriority w:val="99"/>
    <w:semiHidden/>
    <w:rsid w:val="00792157"/>
    <w:rPr>
      <w:color w:val="808080"/>
    </w:rPr>
  </w:style>
  <w:style w:type="paragraph" w:styleId="Textonotaalfinal">
    <w:name w:val="endnote text"/>
    <w:basedOn w:val="Normal"/>
    <w:link w:val="TextonotaalfinalCar"/>
    <w:uiPriority w:val="99"/>
    <w:semiHidden/>
    <w:unhideWhenUsed/>
    <w:rsid w:val="00EE70DB"/>
    <w:rPr>
      <w:sz w:val="20"/>
      <w:szCs w:val="20"/>
    </w:rPr>
  </w:style>
  <w:style w:type="character" w:customStyle="1" w:styleId="TextonotaalfinalCar">
    <w:name w:val="Texto nota al final Car"/>
    <w:basedOn w:val="Fuentedeprrafopredeter"/>
    <w:link w:val="Textonotaalfinal"/>
    <w:uiPriority w:val="99"/>
    <w:semiHidden/>
    <w:rsid w:val="00EE70DB"/>
    <w:rPr>
      <w:rFonts w:ascii="Calibri" w:hAnsi="Calibri"/>
      <w:lang w:eastAsia="en-US"/>
    </w:rPr>
  </w:style>
  <w:style w:type="character" w:styleId="Refdenotaalfinal">
    <w:name w:val="endnote reference"/>
    <w:basedOn w:val="Fuentedeprrafopredeter"/>
    <w:uiPriority w:val="99"/>
    <w:semiHidden/>
    <w:unhideWhenUsed/>
    <w:rsid w:val="00EE70DB"/>
    <w:rPr>
      <w:vertAlign w:val="superscript"/>
    </w:rPr>
  </w:style>
  <w:style w:type="paragraph" w:styleId="Sinespaciado">
    <w:name w:val="No Spacing"/>
    <w:uiPriority w:val="99"/>
    <w:qFormat/>
    <w:rsid w:val="009B6F9C"/>
    <w:rPr>
      <w:rFonts w:ascii="Arial" w:hAnsi="Arial"/>
      <w:sz w:val="22"/>
      <w:szCs w:val="22"/>
      <w:lang w:eastAsia="en-US"/>
    </w:rPr>
  </w:style>
  <w:style w:type="paragraph" w:customStyle="1" w:styleId="Logro">
    <w:name w:val="Logro"/>
    <w:basedOn w:val="Textoindependiente"/>
    <w:rsid w:val="009B6F9C"/>
    <w:pPr>
      <w:overflowPunct w:val="0"/>
      <w:autoSpaceDE w:val="0"/>
      <w:autoSpaceDN w:val="0"/>
      <w:adjustRightInd w:val="0"/>
      <w:spacing w:after="60" w:line="220" w:lineRule="atLeast"/>
      <w:ind w:left="240" w:hanging="240"/>
      <w:jc w:val="both"/>
      <w:textAlignment w:val="baseline"/>
    </w:pPr>
    <w:rPr>
      <w:rFonts w:ascii="Arial" w:eastAsia="Times New Roman" w:hAnsi="Arial"/>
      <w:spacing w:val="-5"/>
      <w:sz w:val="20"/>
      <w:szCs w:val="20"/>
      <w:lang w:val="es-ES_tradnl" w:eastAsia="es-ES"/>
    </w:rPr>
  </w:style>
  <w:style w:type="paragraph" w:styleId="Textoindependiente">
    <w:name w:val="Body Text"/>
    <w:basedOn w:val="Normal"/>
    <w:link w:val="TextoindependienteCar"/>
    <w:uiPriority w:val="99"/>
    <w:unhideWhenUsed/>
    <w:rsid w:val="009B6F9C"/>
    <w:pPr>
      <w:spacing w:after="120"/>
    </w:pPr>
  </w:style>
  <w:style w:type="character" w:customStyle="1" w:styleId="TextoindependienteCar">
    <w:name w:val="Texto independiente Car"/>
    <w:basedOn w:val="Fuentedeprrafopredeter"/>
    <w:link w:val="Textoindependiente"/>
    <w:uiPriority w:val="99"/>
    <w:rsid w:val="009B6F9C"/>
    <w:rPr>
      <w:rFonts w:ascii="Calibri" w:hAnsi="Calibri"/>
      <w:sz w:val="22"/>
      <w:szCs w:val="22"/>
      <w:lang w:eastAsia="en-US"/>
    </w:rPr>
  </w:style>
  <w:style w:type="paragraph" w:styleId="Lista">
    <w:name w:val="List"/>
    <w:basedOn w:val="Normal"/>
    <w:uiPriority w:val="99"/>
    <w:unhideWhenUsed/>
    <w:rsid w:val="00433B67"/>
    <w:pPr>
      <w:ind w:left="283" w:hanging="283"/>
      <w:contextualSpacing/>
    </w:pPr>
  </w:style>
  <w:style w:type="paragraph" w:styleId="Saludo">
    <w:name w:val="Salutation"/>
    <w:basedOn w:val="Normal"/>
    <w:next w:val="Normal"/>
    <w:link w:val="SaludoCar"/>
    <w:uiPriority w:val="99"/>
    <w:unhideWhenUsed/>
    <w:rsid w:val="00433B67"/>
  </w:style>
  <w:style w:type="character" w:customStyle="1" w:styleId="SaludoCar">
    <w:name w:val="Saludo Car"/>
    <w:basedOn w:val="Fuentedeprrafopredeter"/>
    <w:link w:val="Saludo"/>
    <w:uiPriority w:val="99"/>
    <w:rsid w:val="00433B67"/>
    <w:rPr>
      <w:rFonts w:ascii="Calibri" w:hAnsi="Calibri"/>
      <w:sz w:val="22"/>
      <w:szCs w:val="22"/>
      <w:lang w:eastAsia="en-US"/>
    </w:rPr>
  </w:style>
  <w:style w:type="paragraph" w:styleId="Epgrafe">
    <w:name w:val="caption"/>
    <w:basedOn w:val="Normal"/>
    <w:next w:val="Normal"/>
    <w:uiPriority w:val="35"/>
    <w:unhideWhenUsed/>
    <w:qFormat/>
    <w:rsid w:val="00433B67"/>
    <w:pPr>
      <w:spacing w:line="240" w:lineRule="auto"/>
    </w:pPr>
    <w:rPr>
      <w:b/>
      <w:bCs/>
      <w:color w:val="5B9BD5" w:themeColor="accent1"/>
      <w:sz w:val="18"/>
      <w:szCs w:val="18"/>
    </w:rPr>
  </w:style>
  <w:style w:type="paragraph" w:styleId="Sangradetextonormal">
    <w:name w:val="Body Text Indent"/>
    <w:basedOn w:val="Normal"/>
    <w:link w:val="SangradetextonormalCar"/>
    <w:uiPriority w:val="99"/>
    <w:unhideWhenUsed/>
    <w:rsid w:val="00433B67"/>
    <w:pPr>
      <w:spacing w:after="120"/>
      <w:ind w:left="283"/>
    </w:pPr>
  </w:style>
  <w:style w:type="character" w:customStyle="1" w:styleId="SangradetextonormalCar">
    <w:name w:val="Sangría de texto normal Car"/>
    <w:basedOn w:val="Fuentedeprrafopredeter"/>
    <w:link w:val="Sangradetextonormal"/>
    <w:uiPriority w:val="99"/>
    <w:rsid w:val="00433B67"/>
    <w:rPr>
      <w:rFonts w:ascii="Calibri" w:hAnsi="Calibri"/>
      <w:sz w:val="22"/>
      <w:szCs w:val="22"/>
      <w:lang w:eastAsia="en-US"/>
    </w:rPr>
  </w:style>
  <w:style w:type="paragraph" w:styleId="Textoindependienteprimerasangra">
    <w:name w:val="Body Text First Indent"/>
    <w:basedOn w:val="Textoindependiente"/>
    <w:link w:val="TextoindependienteprimerasangraCar"/>
    <w:uiPriority w:val="99"/>
    <w:unhideWhenUsed/>
    <w:rsid w:val="00433B6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33B6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056">
      <w:bodyDiv w:val="1"/>
      <w:marLeft w:val="0"/>
      <w:marRight w:val="0"/>
      <w:marTop w:val="0"/>
      <w:marBottom w:val="0"/>
      <w:divBdr>
        <w:top w:val="none" w:sz="0" w:space="0" w:color="auto"/>
        <w:left w:val="none" w:sz="0" w:space="0" w:color="auto"/>
        <w:bottom w:val="none" w:sz="0" w:space="0" w:color="auto"/>
        <w:right w:val="none" w:sz="0" w:space="0" w:color="auto"/>
      </w:divBdr>
    </w:div>
    <w:div w:id="42019866">
      <w:bodyDiv w:val="1"/>
      <w:marLeft w:val="0"/>
      <w:marRight w:val="0"/>
      <w:marTop w:val="0"/>
      <w:marBottom w:val="0"/>
      <w:divBdr>
        <w:top w:val="none" w:sz="0" w:space="0" w:color="auto"/>
        <w:left w:val="none" w:sz="0" w:space="0" w:color="auto"/>
        <w:bottom w:val="none" w:sz="0" w:space="0" w:color="auto"/>
        <w:right w:val="none" w:sz="0" w:space="0" w:color="auto"/>
      </w:divBdr>
    </w:div>
    <w:div w:id="109982757">
      <w:bodyDiv w:val="1"/>
      <w:marLeft w:val="0"/>
      <w:marRight w:val="0"/>
      <w:marTop w:val="0"/>
      <w:marBottom w:val="0"/>
      <w:divBdr>
        <w:top w:val="none" w:sz="0" w:space="0" w:color="auto"/>
        <w:left w:val="none" w:sz="0" w:space="0" w:color="auto"/>
        <w:bottom w:val="none" w:sz="0" w:space="0" w:color="auto"/>
        <w:right w:val="none" w:sz="0" w:space="0" w:color="auto"/>
      </w:divBdr>
    </w:div>
    <w:div w:id="173307320">
      <w:bodyDiv w:val="1"/>
      <w:marLeft w:val="0"/>
      <w:marRight w:val="0"/>
      <w:marTop w:val="0"/>
      <w:marBottom w:val="0"/>
      <w:divBdr>
        <w:top w:val="none" w:sz="0" w:space="0" w:color="auto"/>
        <w:left w:val="none" w:sz="0" w:space="0" w:color="auto"/>
        <w:bottom w:val="none" w:sz="0" w:space="0" w:color="auto"/>
        <w:right w:val="none" w:sz="0" w:space="0" w:color="auto"/>
      </w:divBdr>
    </w:div>
    <w:div w:id="193810248">
      <w:bodyDiv w:val="1"/>
      <w:marLeft w:val="0"/>
      <w:marRight w:val="0"/>
      <w:marTop w:val="0"/>
      <w:marBottom w:val="0"/>
      <w:divBdr>
        <w:top w:val="none" w:sz="0" w:space="0" w:color="auto"/>
        <w:left w:val="none" w:sz="0" w:space="0" w:color="auto"/>
        <w:bottom w:val="none" w:sz="0" w:space="0" w:color="auto"/>
        <w:right w:val="none" w:sz="0" w:space="0" w:color="auto"/>
      </w:divBdr>
    </w:div>
    <w:div w:id="236938775">
      <w:bodyDiv w:val="1"/>
      <w:marLeft w:val="0"/>
      <w:marRight w:val="0"/>
      <w:marTop w:val="0"/>
      <w:marBottom w:val="0"/>
      <w:divBdr>
        <w:top w:val="none" w:sz="0" w:space="0" w:color="auto"/>
        <w:left w:val="none" w:sz="0" w:space="0" w:color="auto"/>
        <w:bottom w:val="none" w:sz="0" w:space="0" w:color="auto"/>
        <w:right w:val="none" w:sz="0" w:space="0" w:color="auto"/>
      </w:divBdr>
    </w:div>
    <w:div w:id="351078027">
      <w:bodyDiv w:val="1"/>
      <w:marLeft w:val="0"/>
      <w:marRight w:val="0"/>
      <w:marTop w:val="0"/>
      <w:marBottom w:val="0"/>
      <w:divBdr>
        <w:top w:val="none" w:sz="0" w:space="0" w:color="auto"/>
        <w:left w:val="none" w:sz="0" w:space="0" w:color="auto"/>
        <w:bottom w:val="none" w:sz="0" w:space="0" w:color="auto"/>
        <w:right w:val="none" w:sz="0" w:space="0" w:color="auto"/>
      </w:divBdr>
    </w:div>
    <w:div w:id="388891209">
      <w:bodyDiv w:val="1"/>
      <w:marLeft w:val="0"/>
      <w:marRight w:val="0"/>
      <w:marTop w:val="0"/>
      <w:marBottom w:val="0"/>
      <w:divBdr>
        <w:top w:val="none" w:sz="0" w:space="0" w:color="auto"/>
        <w:left w:val="none" w:sz="0" w:space="0" w:color="auto"/>
        <w:bottom w:val="none" w:sz="0" w:space="0" w:color="auto"/>
        <w:right w:val="none" w:sz="0" w:space="0" w:color="auto"/>
      </w:divBdr>
    </w:div>
    <w:div w:id="487792967">
      <w:bodyDiv w:val="1"/>
      <w:marLeft w:val="0"/>
      <w:marRight w:val="0"/>
      <w:marTop w:val="0"/>
      <w:marBottom w:val="0"/>
      <w:divBdr>
        <w:top w:val="none" w:sz="0" w:space="0" w:color="auto"/>
        <w:left w:val="none" w:sz="0" w:space="0" w:color="auto"/>
        <w:bottom w:val="none" w:sz="0" w:space="0" w:color="auto"/>
        <w:right w:val="none" w:sz="0" w:space="0" w:color="auto"/>
      </w:divBdr>
    </w:div>
    <w:div w:id="506677618">
      <w:bodyDiv w:val="1"/>
      <w:marLeft w:val="0"/>
      <w:marRight w:val="0"/>
      <w:marTop w:val="0"/>
      <w:marBottom w:val="0"/>
      <w:divBdr>
        <w:top w:val="none" w:sz="0" w:space="0" w:color="auto"/>
        <w:left w:val="none" w:sz="0" w:space="0" w:color="auto"/>
        <w:bottom w:val="none" w:sz="0" w:space="0" w:color="auto"/>
        <w:right w:val="none" w:sz="0" w:space="0" w:color="auto"/>
      </w:divBdr>
    </w:div>
    <w:div w:id="511797474">
      <w:bodyDiv w:val="1"/>
      <w:marLeft w:val="0"/>
      <w:marRight w:val="0"/>
      <w:marTop w:val="0"/>
      <w:marBottom w:val="0"/>
      <w:divBdr>
        <w:top w:val="none" w:sz="0" w:space="0" w:color="auto"/>
        <w:left w:val="none" w:sz="0" w:space="0" w:color="auto"/>
        <w:bottom w:val="none" w:sz="0" w:space="0" w:color="auto"/>
        <w:right w:val="none" w:sz="0" w:space="0" w:color="auto"/>
      </w:divBdr>
    </w:div>
    <w:div w:id="577906849">
      <w:bodyDiv w:val="1"/>
      <w:marLeft w:val="0"/>
      <w:marRight w:val="0"/>
      <w:marTop w:val="0"/>
      <w:marBottom w:val="0"/>
      <w:divBdr>
        <w:top w:val="none" w:sz="0" w:space="0" w:color="auto"/>
        <w:left w:val="none" w:sz="0" w:space="0" w:color="auto"/>
        <w:bottom w:val="none" w:sz="0" w:space="0" w:color="auto"/>
        <w:right w:val="none" w:sz="0" w:space="0" w:color="auto"/>
      </w:divBdr>
    </w:div>
    <w:div w:id="602422268">
      <w:bodyDiv w:val="1"/>
      <w:marLeft w:val="0"/>
      <w:marRight w:val="0"/>
      <w:marTop w:val="0"/>
      <w:marBottom w:val="0"/>
      <w:divBdr>
        <w:top w:val="none" w:sz="0" w:space="0" w:color="auto"/>
        <w:left w:val="none" w:sz="0" w:space="0" w:color="auto"/>
        <w:bottom w:val="none" w:sz="0" w:space="0" w:color="auto"/>
        <w:right w:val="none" w:sz="0" w:space="0" w:color="auto"/>
      </w:divBdr>
    </w:div>
    <w:div w:id="697703466">
      <w:bodyDiv w:val="1"/>
      <w:marLeft w:val="0"/>
      <w:marRight w:val="0"/>
      <w:marTop w:val="0"/>
      <w:marBottom w:val="0"/>
      <w:divBdr>
        <w:top w:val="none" w:sz="0" w:space="0" w:color="auto"/>
        <w:left w:val="none" w:sz="0" w:space="0" w:color="auto"/>
        <w:bottom w:val="none" w:sz="0" w:space="0" w:color="auto"/>
        <w:right w:val="none" w:sz="0" w:space="0" w:color="auto"/>
      </w:divBdr>
    </w:div>
    <w:div w:id="701172860">
      <w:bodyDiv w:val="1"/>
      <w:marLeft w:val="0"/>
      <w:marRight w:val="0"/>
      <w:marTop w:val="0"/>
      <w:marBottom w:val="0"/>
      <w:divBdr>
        <w:top w:val="none" w:sz="0" w:space="0" w:color="auto"/>
        <w:left w:val="none" w:sz="0" w:space="0" w:color="auto"/>
        <w:bottom w:val="none" w:sz="0" w:space="0" w:color="auto"/>
        <w:right w:val="none" w:sz="0" w:space="0" w:color="auto"/>
      </w:divBdr>
    </w:div>
    <w:div w:id="714474867">
      <w:bodyDiv w:val="1"/>
      <w:marLeft w:val="0"/>
      <w:marRight w:val="0"/>
      <w:marTop w:val="0"/>
      <w:marBottom w:val="0"/>
      <w:divBdr>
        <w:top w:val="none" w:sz="0" w:space="0" w:color="auto"/>
        <w:left w:val="none" w:sz="0" w:space="0" w:color="auto"/>
        <w:bottom w:val="none" w:sz="0" w:space="0" w:color="auto"/>
        <w:right w:val="none" w:sz="0" w:space="0" w:color="auto"/>
      </w:divBdr>
    </w:div>
    <w:div w:id="744962090">
      <w:bodyDiv w:val="1"/>
      <w:marLeft w:val="0"/>
      <w:marRight w:val="0"/>
      <w:marTop w:val="0"/>
      <w:marBottom w:val="0"/>
      <w:divBdr>
        <w:top w:val="none" w:sz="0" w:space="0" w:color="auto"/>
        <w:left w:val="none" w:sz="0" w:space="0" w:color="auto"/>
        <w:bottom w:val="none" w:sz="0" w:space="0" w:color="auto"/>
        <w:right w:val="none" w:sz="0" w:space="0" w:color="auto"/>
      </w:divBdr>
    </w:div>
    <w:div w:id="763261721">
      <w:bodyDiv w:val="1"/>
      <w:marLeft w:val="0"/>
      <w:marRight w:val="0"/>
      <w:marTop w:val="0"/>
      <w:marBottom w:val="0"/>
      <w:divBdr>
        <w:top w:val="none" w:sz="0" w:space="0" w:color="auto"/>
        <w:left w:val="none" w:sz="0" w:space="0" w:color="auto"/>
        <w:bottom w:val="none" w:sz="0" w:space="0" w:color="auto"/>
        <w:right w:val="none" w:sz="0" w:space="0" w:color="auto"/>
      </w:divBdr>
    </w:div>
    <w:div w:id="834415438">
      <w:bodyDiv w:val="1"/>
      <w:marLeft w:val="0"/>
      <w:marRight w:val="0"/>
      <w:marTop w:val="0"/>
      <w:marBottom w:val="0"/>
      <w:divBdr>
        <w:top w:val="none" w:sz="0" w:space="0" w:color="auto"/>
        <w:left w:val="none" w:sz="0" w:space="0" w:color="auto"/>
        <w:bottom w:val="none" w:sz="0" w:space="0" w:color="auto"/>
        <w:right w:val="none" w:sz="0" w:space="0" w:color="auto"/>
      </w:divBdr>
    </w:div>
    <w:div w:id="843857438">
      <w:bodyDiv w:val="1"/>
      <w:marLeft w:val="0"/>
      <w:marRight w:val="0"/>
      <w:marTop w:val="0"/>
      <w:marBottom w:val="0"/>
      <w:divBdr>
        <w:top w:val="none" w:sz="0" w:space="0" w:color="auto"/>
        <w:left w:val="none" w:sz="0" w:space="0" w:color="auto"/>
        <w:bottom w:val="none" w:sz="0" w:space="0" w:color="auto"/>
        <w:right w:val="none" w:sz="0" w:space="0" w:color="auto"/>
      </w:divBdr>
    </w:div>
    <w:div w:id="883561280">
      <w:bodyDiv w:val="1"/>
      <w:marLeft w:val="0"/>
      <w:marRight w:val="0"/>
      <w:marTop w:val="0"/>
      <w:marBottom w:val="0"/>
      <w:divBdr>
        <w:top w:val="none" w:sz="0" w:space="0" w:color="auto"/>
        <w:left w:val="none" w:sz="0" w:space="0" w:color="auto"/>
        <w:bottom w:val="none" w:sz="0" w:space="0" w:color="auto"/>
        <w:right w:val="none" w:sz="0" w:space="0" w:color="auto"/>
      </w:divBdr>
    </w:div>
    <w:div w:id="912087921">
      <w:bodyDiv w:val="1"/>
      <w:marLeft w:val="0"/>
      <w:marRight w:val="0"/>
      <w:marTop w:val="0"/>
      <w:marBottom w:val="0"/>
      <w:divBdr>
        <w:top w:val="none" w:sz="0" w:space="0" w:color="auto"/>
        <w:left w:val="none" w:sz="0" w:space="0" w:color="auto"/>
        <w:bottom w:val="none" w:sz="0" w:space="0" w:color="auto"/>
        <w:right w:val="none" w:sz="0" w:space="0" w:color="auto"/>
      </w:divBdr>
    </w:div>
    <w:div w:id="937173062">
      <w:bodyDiv w:val="1"/>
      <w:marLeft w:val="0"/>
      <w:marRight w:val="0"/>
      <w:marTop w:val="0"/>
      <w:marBottom w:val="0"/>
      <w:divBdr>
        <w:top w:val="none" w:sz="0" w:space="0" w:color="auto"/>
        <w:left w:val="none" w:sz="0" w:space="0" w:color="auto"/>
        <w:bottom w:val="none" w:sz="0" w:space="0" w:color="auto"/>
        <w:right w:val="none" w:sz="0" w:space="0" w:color="auto"/>
      </w:divBdr>
    </w:div>
    <w:div w:id="970864780">
      <w:bodyDiv w:val="1"/>
      <w:marLeft w:val="0"/>
      <w:marRight w:val="0"/>
      <w:marTop w:val="0"/>
      <w:marBottom w:val="0"/>
      <w:divBdr>
        <w:top w:val="none" w:sz="0" w:space="0" w:color="auto"/>
        <w:left w:val="none" w:sz="0" w:space="0" w:color="auto"/>
        <w:bottom w:val="none" w:sz="0" w:space="0" w:color="auto"/>
        <w:right w:val="none" w:sz="0" w:space="0" w:color="auto"/>
      </w:divBdr>
    </w:div>
    <w:div w:id="1007751803">
      <w:bodyDiv w:val="1"/>
      <w:marLeft w:val="0"/>
      <w:marRight w:val="0"/>
      <w:marTop w:val="0"/>
      <w:marBottom w:val="0"/>
      <w:divBdr>
        <w:top w:val="none" w:sz="0" w:space="0" w:color="auto"/>
        <w:left w:val="none" w:sz="0" w:space="0" w:color="auto"/>
        <w:bottom w:val="none" w:sz="0" w:space="0" w:color="auto"/>
        <w:right w:val="none" w:sz="0" w:space="0" w:color="auto"/>
      </w:divBdr>
    </w:div>
    <w:div w:id="1062142717">
      <w:bodyDiv w:val="1"/>
      <w:marLeft w:val="0"/>
      <w:marRight w:val="0"/>
      <w:marTop w:val="0"/>
      <w:marBottom w:val="0"/>
      <w:divBdr>
        <w:top w:val="none" w:sz="0" w:space="0" w:color="auto"/>
        <w:left w:val="none" w:sz="0" w:space="0" w:color="auto"/>
        <w:bottom w:val="none" w:sz="0" w:space="0" w:color="auto"/>
        <w:right w:val="none" w:sz="0" w:space="0" w:color="auto"/>
      </w:divBdr>
    </w:div>
    <w:div w:id="1195581714">
      <w:bodyDiv w:val="1"/>
      <w:marLeft w:val="0"/>
      <w:marRight w:val="0"/>
      <w:marTop w:val="0"/>
      <w:marBottom w:val="0"/>
      <w:divBdr>
        <w:top w:val="none" w:sz="0" w:space="0" w:color="auto"/>
        <w:left w:val="none" w:sz="0" w:space="0" w:color="auto"/>
        <w:bottom w:val="none" w:sz="0" w:space="0" w:color="auto"/>
        <w:right w:val="none" w:sz="0" w:space="0" w:color="auto"/>
      </w:divBdr>
    </w:div>
    <w:div w:id="1239050149">
      <w:bodyDiv w:val="1"/>
      <w:marLeft w:val="0"/>
      <w:marRight w:val="0"/>
      <w:marTop w:val="0"/>
      <w:marBottom w:val="0"/>
      <w:divBdr>
        <w:top w:val="none" w:sz="0" w:space="0" w:color="auto"/>
        <w:left w:val="none" w:sz="0" w:space="0" w:color="auto"/>
        <w:bottom w:val="none" w:sz="0" w:space="0" w:color="auto"/>
        <w:right w:val="none" w:sz="0" w:space="0" w:color="auto"/>
      </w:divBdr>
    </w:div>
    <w:div w:id="1378511969">
      <w:bodyDiv w:val="1"/>
      <w:marLeft w:val="0"/>
      <w:marRight w:val="0"/>
      <w:marTop w:val="0"/>
      <w:marBottom w:val="0"/>
      <w:divBdr>
        <w:top w:val="none" w:sz="0" w:space="0" w:color="auto"/>
        <w:left w:val="none" w:sz="0" w:space="0" w:color="auto"/>
        <w:bottom w:val="none" w:sz="0" w:space="0" w:color="auto"/>
        <w:right w:val="none" w:sz="0" w:space="0" w:color="auto"/>
      </w:divBdr>
    </w:div>
    <w:div w:id="1400708580">
      <w:bodyDiv w:val="1"/>
      <w:marLeft w:val="0"/>
      <w:marRight w:val="0"/>
      <w:marTop w:val="0"/>
      <w:marBottom w:val="0"/>
      <w:divBdr>
        <w:top w:val="none" w:sz="0" w:space="0" w:color="auto"/>
        <w:left w:val="none" w:sz="0" w:space="0" w:color="auto"/>
        <w:bottom w:val="none" w:sz="0" w:space="0" w:color="auto"/>
        <w:right w:val="none" w:sz="0" w:space="0" w:color="auto"/>
      </w:divBdr>
    </w:div>
    <w:div w:id="1433209993">
      <w:bodyDiv w:val="1"/>
      <w:marLeft w:val="0"/>
      <w:marRight w:val="0"/>
      <w:marTop w:val="0"/>
      <w:marBottom w:val="0"/>
      <w:divBdr>
        <w:top w:val="none" w:sz="0" w:space="0" w:color="auto"/>
        <w:left w:val="none" w:sz="0" w:space="0" w:color="auto"/>
        <w:bottom w:val="none" w:sz="0" w:space="0" w:color="auto"/>
        <w:right w:val="none" w:sz="0" w:space="0" w:color="auto"/>
      </w:divBdr>
    </w:div>
    <w:div w:id="1444227534">
      <w:bodyDiv w:val="1"/>
      <w:marLeft w:val="0"/>
      <w:marRight w:val="0"/>
      <w:marTop w:val="0"/>
      <w:marBottom w:val="0"/>
      <w:divBdr>
        <w:top w:val="none" w:sz="0" w:space="0" w:color="auto"/>
        <w:left w:val="none" w:sz="0" w:space="0" w:color="auto"/>
        <w:bottom w:val="none" w:sz="0" w:space="0" w:color="auto"/>
        <w:right w:val="none" w:sz="0" w:space="0" w:color="auto"/>
      </w:divBdr>
    </w:div>
    <w:div w:id="1462531515">
      <w:bodyDiv w:val="1"/>
      <w:marLeft w:val="0"/>
      <w:marRight w:val="0"/>
      <w:marTop w:val="0"/>
      <w:marBottom w:val="0"/>
      <w:divBdr>
        <w:top w:val="none" w:sz="0" w:space="0" w:color="auto"/>
        <w:left w:val="none" w:sz="0" w:space="0" w:color="auto"/>
        <w:bottom w:val="none" w:sz="0" w:space="0" w:color="auto"/>
        <w:right w:val="none" w:sz="0" w:space="0" w:color="auto"/>
      </w:divBdr>
    </w:div>
    <w:div w:id="1467895487">
      <w:bodyDiv w:val="1"/>
      <w:marLeft w:val="0"/>
      <w:marRight w:val="0"/>
      <w:marTop w:val="0"/>
      <w:marBottom w:val="0"/>
      <w:divBdr>
        <w:top w:val="none" w:sz="0" w:space="0" w:color="auto"/>
        <w:left w:val="none" w:sz="0" w:space="0" w:color="auto"/>
        <w:bottom w:val="none" w:sz="0" w:space="0" w:color="auto"/>
        <w:right w:val="none" w:sz="0" w:space="0" w:color="auto"/>
      </w:divBdr>
    </w:div>
    <w:div w:id="1498037125">
      <w:bodyDiv w:val="1"/>
      <w:marLeft w:val="0"/>
      <w:marRight w:val="0"/>
      <w:marTop w:val="0"/>
      <w:marBottom w:val="0"/>
      <w:divBdr>
        <w:top w:val="none" w:sz="0" w:space="0" w:color="auto"/>
        <w:left w:val="none" w:sz="0" w:space="0" w:color="auto"/>
        <w:bottom w:val="none" w:sz="0" w:space="0" w:color="auto"/>
        <w:right w:val="none" w:sz="0" w:space="0" w:color="auto"/>
      </w:divBdr>
    </w:div>
    <w:div w:id="1561018228">
      <w:bodyDiv w:val="1"/>
      <w:marLeft w:val="0"/>
      <w:marRight w:val="0"/>
      <w:marTop w:val="0"/>
      <w:marBottom w:val="0"/>
      <w:divBdr>
        <w:top w:val="none" w:sz="0" w:space="0" w:color="auto"/>
        <w:left w:val="none" w:sz="0" w:space="0" w:color="auto"/>
        <w:bottom w:val="none" w:sz="0" w:space="0" w:color="auto"/>
        <w:right w:val="none" w:sz="0" w:space="0" w:color="auto"/>
      </w:divBdr>
    </w:div>
    <w:div w:id="1573735731">
      <w:bodyDiv w:val="1"/>
      <w:marLeft w:val="0"/>
      <w:marRight w:val="0"/>
      <w:marTop w:val="0"/>
      <w:marBottom w:val="0"/>
      <w:divBdr>
        <w:top w:val="none" w:sz="0" w:space="0" w:color="auto"/>
        <w:left w:val="none" w:sz="0" w:space="0" w:color="auto"/>
        <w:bottom w:val="none" w:sz="0" w:space="0" w:color="auto"/>
        <w:right w:val="none" w:sz="0" w:space="0" w:color="auto"/>
      </w:divBdr>
    </w:div>
    <w:div w:id="1622612748">
      <w:bodyDiv w:val="1"/>
      <w:marLeft w:val="0"/>
      <w:marRight w:val="0"/>
      <w:marTop w:val="0"/>
      <w:marBottom w:val="0"/>
      <w:divBdr>
        <w:top w:val="none" w:sz="0" w:space="0" w:color="auto"/>
        <w:left w:val="none" w:sz="0" w:space="0" w:color="auto"/>
        <w:bottom w:val="none" w:sz="0" w:space="0" w:color="auto"/>
        <w:right w:val="none" w:sz="0" w:space="0" w:color="auto"/>
      </w:divBdr>
    </w:div>
    <w:div w:id="1658998005">
      <w:bodyDiv w:val="1"/>
      <w:marLeft w:val="0"/>
      <w:marRight w:val="0"/>
      <w:marTop w:val="0"/>
      <w:marBottom w:val="0"/>
      <w:divBdr>
        <w:top w:val="none" w:sz="0" w:space="0" w:color="auto"/>
        <w:left w:val="none" w:sz="0" w:space="0" w:color="auto"/>
        <w:bottom w:val="none" w:sz="0" w:space="0" w:color="auto"/>
        <w:right w:val="none" w:sz="0" w:space="0" w:color="auto"/>
      </w:divBdr>
    </w:div>
    <w:div w:id="1689067537">
      <w:bodyDiv w:val="1"/>
      <w:marLeft w:val="0"/>
      <w:marRight w:val="0"/>
      <w:marTop w:val="0"/>
      <w:marBottom w:val="0"/>
      <w:divBdr>
        <w:top w:val="none" w:sz="0" w:space="0" w:color="auto"/>
        <w:left w:val="none" w:sz="0" w:space="0" w:color="auto"/>
        <w:bottom w:val="none" w:sz="0" w:space="0" w:color="auto"/>
        <w:right w:val="none" w:sz="0" w:space="0" w:color="auto"/>
      </w:divBdr>
    </w:div>
    <w:div w:id="1745368674">
      <w:bodyDiv w:val="1"/>
      <w:marLeft w:val="0"/>
      <w:marRight w:val="0"/>
      <w:marTop w:val="0"/>
      <w:marBottom w:val="0"/>
      <w:divBdr>
        <w:top w:val="none" w:sz="0" w:space="0" w:color="auto"/>
        <w:left w:val="none" w:sz="0" w:space="0" w:color="auto"/>
        <w:bottom w:val="none" w:sz="0" w:space="0" w:color="auto"/>
        <w:right w:val="none" w:sz="0" w:space="0" w:color="auto"/>
      </w:divBdr>
    </w:div>
    <w:div w:id="1745492437">
      <w:bodyDiv w:val="1"/>
      <w:marLeft w:val="0"/>
      <w:marRight w:val="0"/>
      <w:marTop w:val="0"/>
      <w:marBottom w:val="0"/>
      <w:divBdr>
        <w:top w:val="none" w:sz="0" w:space="0" w:color="auto"/>
        <w:left w:val="none" w:sz="0" w:space="0" w:color="auto"/>
        <w:bottom w:val="none" w:sz="0" w:space="0" w:color="auto"/>
        <w:right w:val="none" w:sz="0" w:space="0" w:color="auto"/>
      </w:divBdr>
    </w:div>
    <w:div w:id="1870531395">
      <w:bodyDiv w:val="1"/>
      <w:marLeft w:val="0"/>
      <w:marRight w:val="0"/>
      <w:marTop w:val="0"/>
      <w:marBottom w:val="0"/>
      <w:divBdr>
        <w:top w:val="none" w:sz="0" w:space="0" w:color="auto"/>
        <w:left w:val="none" w:sz="0" w:space="0" w:color="auto"/>
        <w:bottom w:val="none" w:sz="0" w:space="0" w:color="auto"/>
        <w:right w:val="none" w:sz="0" w:space="0" w:color="auto"/>
      </w:divBdr>
    </w:div>
    <w:div w:id="1882207120">
      <w:bodyDiv w:val="1"/>
      <w:marLeft w:val="0"/>
      <w:marRight w:val="0"/>
      <w:marTop w:val="0"/>
      <w:marBottom w:val="0"/>
      <w:divBdr>
        <w:top w:val="none" w:sz="0" w:space="0" w:color="auto"/>
        <w:left w:val="none" w:sz="0" w:space="0" w:color="auto"/>
        <w:bottom w:val="none" w:sz="0" w:space="0" w:color="auto"/>
        <w:right w:val="none" w:sz="0" w:space="0" w:color="auto"/>
      </w:divBdr>
    </w:div>
    <w:div w:id="1980499608">
      <w:bodyDiv w:val="1"/>
      <w:marLeft w:val="0"/>
      <w:marRight w:val="0"/>
      <w:marTop w:val="0"/>
      <w:marBottom w:val="0"/>
      <w:divBdr>
        <w:top w:val="none" w:sz="0" w:space="0" w:color="auto"/>
        <w:left w:val="none" w:sz="0" w:space="0" w:color="auto"/>
        <w:bottom w:val="none" w:sz="0" w:space="0" w:color="auto"/>
        <w:right w:val="none" w:sz="0" w:space="0" w:color="auto"/>
      </w:divBdr>
    </w:div>
    <w:div w:id="2041128394">
      <w:bodyDiv w:val="1"/>
      <w:marLeft w:val="0"/>
      <w:marRight w:val="0"/>
      <w:marTop w:val="0"/>
      <w:marBottom w:val="0"/>
      <w:divBdr>
        <w:top w:val="none" w:sz="0" w:space="0" w:color="auto"/>
        <w:left w:val="none" w:sz="0" w:space="0" w:color="auto"/>
        <w:bottom w:val="none" w:sz="0" w:space="0" w:color="auto"/>
        <w:right w:val="none" w:sz="0" w:space="0" w:color="auto"/>
      </w:divBdr>
    </w:div>
    <w:div w:id="2049600290">
      <w:bodyDiv w:val="1"/>
      <w:marLeft w:val="0"/>
      <w:marRight w:val="0"/>
      <w:marTop w:val="0"/>
      <w:marBottom w:val="0"/>
      <w:divBdr>
        <w:top w:val="none" w:sz="0" w:space="0" w:color="auto"/>
        <w:left w:val="none" w:sz="0" w:space="0" w:color="auto"/>
        <w:bottom w:val="none" w:sz="0" w:space="0" w:color="auto"/>
        <w:right w:val="none" w:sz="0" w:space="0" w:color="auto"/>
      </w:divBdr>
    </w:div>
    <w:div w:id="2074546330">
      <w:bodyDiv w:val="1"/>
      <w:marLeft w:val="0"/>
      <w:marRight w:val="0"/>
      <w:marTop w:val="0"/>
      <w:marBottom w:val="0"/>
      <w:divBdr>
        <w:top w:val="none" w:sz="0" w:space="0" w:color="auto"/>
        <w:left w:val="none" w:sz="0" w:space="0" w:color="auto"/>
        <w:bottom w:val="none" w:sz="0" w:space="0" w:color="auto"/>
        <w:right w:val="none" w:sz="0" w:space="0" w:color="auto"/>
      </w:divBdr>
    </w:div>
    <w:div w:id="21464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3D727-EFD5-4E46-9027-6120FD20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14130</Words>
  <Characters>77720</Characters>
  <Application>Microsoft Office Word</Application>
  <DocSecurity>0</DocSecurity>
  <Lines>647</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Middlesex University</Company>
  <LinksUpToDate>false</LinksUpToDate>
  <CharactersWithSpaces>91667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Santiago Poy Piñeiro</cp:lastModifiedBy>
  <cp:revision>2</cp:revision>
  <cp:lastPrinted>2017-08-31T19:27:00Z</cp:lastPrinted>
  <dcterms:created xsi:type="dcterms:W3CDTF">2017-09-07T20:21:00Z</dcterms:created>
  <dcterms:modified xsi:type="dcterms:W3CDTF">2017-09-07T20:21:00Z</dcterms:modified>
</cp:coreProperties>
</file>