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DB" w:rsidRPr="00C607AA" w:rsidRDefault="009E5871" w:rsidP="00CD70DB">
      <w:pPr>
        <w:autoSpaceDE w:val="0"/>
        <w:autoSpaceDN w:val="0"/>
        <w:adjustRightInd w:val="0"/>
        <w:spacing w:after="120"/>
        <w:jc w:val="both"/>
        <w:rPr>
          <w:b/>
          <w:szCs w:val="28"/>
          <w:lang w:eastAsia="es-AR"/>
        </w:rPr>
      </w:pPr>
      <w:r w:rsidRPr="00C607AA">
        <w:rPr>
          <w:b/>
          <w:szCs w:val="28"/>
          <w:lang w:eastAsia="es-AR"/>
        </w:rPr>
        <w:t>POLÍTICAS SOCIALES</w:t>
      </w:r>
      <w:r w:rsidR="0093112B" w:rsidRPr="00C607AA">
        <w:rPr>
          <w:b/>
          <w:szCs w:val="28"/>
          <w:lang w:eastAsia="es-AR"/>
        </w:rPr>
        <w:t>, POBREZA</w:t>
      </w:r>
      <w:r w:rsidRPr="00C607AA">
        <w:rPr>
          <w:b/>
          <w:szCs w:val="28"/>
          <w:lang w:eastAsia="es-AR"/>
        </w:rPr>
        <w:t xml:space="preserve"> Y BIENESTAR</w:t>
      </w:r>
      <w:r w:rsidR="00C607AA" w:rsidRPr="00C607AA">
        <w:rPr>
          <w:b/>
          <w:szCs w:val="28"/>
          <w:lang w:eastAsia="es-AR"/>
        </w:rPr>
        <w:t xml:space="preserve">. ARGENTINA: ANÁLISIS COMPARADO DE </w:t>
      </w:r>
      <w:r w:rsidR="0093112B" w:rsidRPr="00C607AA">
        <w:rPr>
          <w:b/>
          <w:szCs w:val="28"/>
          <w:lang w:eastAsia="es-AR"/>
        </w:rPr>
        <w:t>DISTINTOS REGÍMENES SOCIOECONÓMICOS</w:t>
      </w:r>
      <w:r w:rsidR="00C607AA" w:rsidRPr="00C607AA">
        <w:rPr>
          <w:b/>
          <w:szCs w:val="28"/>
          <w:lang w:eastAsia="es-AR"/>
        </w:rPr>
        <w:t xml:space="preserve"> (1992-2012)</w:t>
      </w:r>
      <w:r w:rsidR="0093112B" w:rsidRPr="00C607AA">
        <w:rPr>
          <w:b/>
          <w:szCs w:val="28"/>
          <w:lang w:eastAsia="es-AR"/>
        </w:rPr>
        <w:t xml:space="preserve">.  </w:t>
      </w:r>
    </w:p>
    <w:p w:rsidR="00CD70DB" w:rsidRDefault="00CD70DB" w:rsidP="00CD70DB">
      <w:pPr>
        <w:spacing w:after="40"/>
        <w:jc w:val="right"/>
        <w:rPr>
          <w:bCs/>
          <w:kern w:val="28"/>
          <w:sz w:val="22"/>
          <w:szCs w:val="22"/>
        </w:rPr>
      </w:pPr>
      <w:r w:rsidRPr="00B66A1B">
        <w:rPr>
          <w:bCs/>
          <w:kern w:val="28"/>
          <w:sz w:val="22"/>
          <w:szCs w:val="22"/>
        </w:rPr>
        <w:t>Agustín Salvia</w:t>
      </w:r>
      <w:r w:rsidRPr="00F12C7A">
        <w:rPr>
          <w:rStyle w:val="Refdenotaalpie"/>
          <w:bCs/>
          <w:kern w:val="28"/>
          <w:sz w:val="22"/>
          <w:szCs w:val="22"/>
        </w:rPr>
        <w:footnoteReference w:customMarkFollows="1" w:id="1"/>
        <w:sym w:font="Symbol" w:char="F02A"/>
      </w:r>
      <w:r>
        <w:rPr>
          <w:bCs/>
          <w:kern w:val="28"/>
          <w:sz w:val="22"/>
          <w:szCs w:val="22"/>
        </w:rPr>
        <w:t xml:space="preserve"> </w:t>
      </w:r>
    </w:p>
    <w:p w:rsidR="00CD70DB" w:rsidRPr="00B66A1B" w:rsidRDefault="00CD70DB" w:rsidP="00CD70DB">
      <w:pPr>
        <w:spacing w:after="40"/>
        <w:jc w:val="right"/>
        <w:rPr>
          <w:bCs/>
          <w:kern w:val="28"/>
          <w:sz w:val="22"/>
          <w:szCs w:val="22"/>
        </w:rPr>
      </w:pPr>
      <w:r w:rsidRPr="00B66A1B">
        <w:rPr>
          <w:bCs/>
          <w:kern w:val="28"/>
          <w:sz w:val="22"/>
          <w:szCs w:val="22"/>
        </w:rPr>
        <w:t>Santiago Poy</w:t>
      </w:r>
      <w:r w:rsidR="00AD5B96" w:rsidRPr="000F1530">
        <w:rPr>
          <w:rStyle w:val="Refdenotaalpie"/>
          <w:bCs/>
          <w:kern w:val="28"/>
          <w:sz w:val="22"/>
          <w:szCs w:val="22"/>
        </w:rPr>
        <w:footnoteReference w:customMarkFollows="1" w:id="2"/>
        <w:sym w:font="Symbol" w:char="F02A"/>
      </w:r>
      <w:r w:rsidR="00AD5B96" w:rsidRPr="000F1530">
        <w:rPr>
          <w:rStyle w:val="Refdenotaalpie"/>
          <w:bCs/>
          <w:kern w:val="28"/>
          <w:sz w:val="22"/>
          <w:szCs w:val="22"/>
        </w:rPr>
        <w:sym w:font="Symbol" w:char="F02A"/>
      </w:r>
      <w:r w:rsidRPr="00B66A1B">
        <w:rPr>
          <w:bCs/>
          <w:kern w:val="28"/>
          <w:sz w:val="22"/>
          <w:szCs w:val="22"/>
        </w:rPr>
        <w:t xml:space="preserve"> </w:t>
      </w:r>
    </w:p>
    <w:p w:rsidR="00AD5B96" w:rsidRPr="00CD70DB" w:rsidRDefault="00AD5B96" w:rsidP="00AD5B96">
      <w:pPr>
        <w:spacing w:after="120"/>
        <w:jc w:val="right"/>
        <w:rPr>
          <w:b/>
          <w:bCs/>
        </w:rPr>
      </w:pPr>
      <w:r w:rsidRPr="00B66A1B">
        <w:rPr>
          <w:bCs/>
          <w:kern w:val="28"/>
          <w:sz w:val="22"/>
          <w:szCs w:val="22"/>
        </w:rPr>
        <w:t>Julieta Vera</w:t>
      </w:r>
      <w:r w:rsidRPr="000F1530">
        <w:rPr>
          <w:rStyle w:val="Refdenotaalpie"/>
          <w:bCs/>
          <w:kern w:val="28"/>
          <w:sz w:val="22"/>
          <w:szCs w:val="22"/>
        </w:rPr>
        <w:footnoteReference w:customMarkFollows="1" w:id="3"/>
        <w:sym w:font="Symbol" w:char="F02A"/>
      </w:r>
      <w:r w:rsidRPr="000F1530">
        <w:rPr>
          <w:rStyle w:val="Refdenotaalpie"/>
          <w:bCs/>
          <w:kern w:val="28"/>
          <w:sz w:val="22"/>
          <w:szCs w:val="22"/>
        </w:rPr>
        <w:sym w:font="Symbol" w:char="F02A"/>
      </w:r>
      <w:r w:rsidRPr="000F1530">
        <w:rPr>
          <w:rStyle w:val="Refdenotaalpie"/>
          <w:bCs/>
          <w:kern w:val="28"/>
          <w:sz w:val="22"/>
          <w:szCs w:val="22"/>
        </w:rPr>
        <w:sym w:font="Symbol" w:char="F02A"/>
      </w:r>
    </w:p>
    <w:p w:rsidR="00E61077" w:rsidRPr="00B14726" w:rsidRDefault="00AA431D" w:rsidP="00D47840">
      <w:pPr>
        <w:spacing w:after="120"/>
        <w:jc w:val="both"/>
        <w:rPr>
          <w:b/>
          <w:bCs/>
          <w:lang w:val="es-AR"/>
        </w:rPr>
      </w:pPr>
      <w:r>
        <w:rPr>
          <w:b/>
          <w:bCs/>
          <w:lang w:val="es-AR"/>
        </w:rPr>
        <w:t xml:space="preserve">1. </w:t>
      </w:r>
      <w:r w:rsidR="00E61077" w:rsidRPr="00FF4E7F">
        <w:rPr>
          <w:b/>
          <w:bCs/>
          <w:lang w:val="es-AR"/>
        </w:rPr>
        <w:t>Presentación</w:t>
      </w:r>
      <w:r w:rsidR="005C042D" w:rsidRPr="00FF4E7F">
        <w:rPr>
          <w:b/>
          <w:bCs/>
          <w:lang w:val="es-AR"/>
        </w:rPr>
        <w:t xml:space="preserve"> </w:t>
      </w:r>
    </w:p>
    <w:p w:rsidR="0093112B" w:rsidRDefault="004742B0" w:rsidP="00155061">
      <w:pPr>
        <w:spacing w:after="120"/>
        <w:jc w:val="both"/>
      </w:pPr>
      <w:r w:rsidRPr="006D5254">
        <w:rPr>
          <w:rFonts w:eastAsia="Calibri"/>
        </w:rPr>
        <w:t xml:space="preserve">No </w:t>
      </w:r>
      <w:r w:rsidR="00CA1438" w:rsidRPr="006D5254">
        <w:rPr>
          <w:rFonts w:eastAsia="Calibri"/>
          <w:lang w:val="es-AR"/>
        </w:rPr>
        <w:t xml:space="preserve">hay gobierno en </w:t>
      </w:r>
      <w:r w:rsidR="0093112B" w:rsidRPr="006D5254">
        <w:rPr>
          <w:rFonts w:eastAsia="Calibri"/>
          <w:lang w:val="es-AR"/>
        </w:rPr>
        <w:t>América Latina</w:t>
      </w:r>
      <w:r w:rsidR="00CA1438" w:rsidRPr="006D5254">
        <w:rPr>
          <w:rFonts w:eastAsia="Calibri"/>
          <w:lang w:val="es-AR"/>
        </w:rPr>
        <w:t xml:space="preserve"> que no ponga en </w:t>
      </w:r>
      <w:r w:rsidR="00B46241">
        <w:rPr>
          <w:rFonts w:eastAsia="Calibri"/>
          <w:lang w:val="es-AR"/>
        </w:rPr>
        <w:t>práctica</w:t>
      </w:r>
      <w:r w:rsidR="00CA1438" w:rsidRPr="006D5254">
        <w:rPr>
          <w:rFonts w:eastAsia="Calibri"/>
          <w:lang w:val="es-AR"/>
        </w:rPr>
        <w:t xml:space="preserve"> </w:t>
      </w:r>
      <w:r w:rsidR="0093112B" w:rsidRPr="006D5254">
        <w:rPr>
          <w:rFonts w:eastAsia="Calibri"/>
          <w:lang w:val="es-AR"/>
        </w:rPr>
        <w:t xml:space="preserve">intenciones, </w:t>
      </w:r>
      <w:r w:rsidR="004C1502" w:rsidRPr="006D5254">
        <w:rPr>
          <w:rFonts w:eastAsia="Calibri"/>
          <w:lang w:val="es-AR"/>
        </w:rPr>
        <w:t>acciones</w:t>
      </w:r>
      <w:r w:rsidR="00474ED5" w:rsidRPr="006D5254">
        <w:rPr>
          <w:rFonts w:eastAsia="Calibri"/>
          <w:lang w:val="es-AR"/>
        </w:rPr>
        <w:t xml:space="preserve"> y discursos</w:t>
      </w:r>
      <w:r w:rsidR="00CA1438" w:rsidRPr="006D5254">
        <w:rPr>
          <w:rFonts w:eastAsia="Calibri"/>
          <w:lang w:val="es-AR"/>
        </w:rPr>
        <w:t xml:space="preserve"> en procura </w:t>
      </w:r>
      <w:r w:rsidR="00B46241">
        <w:rPr>
          <w:rFonts w:eastAsia="Calibri"/>
          <w:lang w:val="es-AR"/>
        </w:rPr>
        <w:t xml:space="preserve">supuestamente </w:t>
      </w:r>
      <w:r w:rsidR="00CA1438" w:rsidRPr="006D5254">
        <w:rPr>
          <w:rFonts w:eastAsia="Calibri"/>
          <w:lang w:val="es-AR"/>
        </w:rPr>
        <w:t xml:space="preserve">de </w:t>
      </w:r>
      <w:r w:rsidR="0093112B" w:rsidRPr="006D5254">
        <w:rPr>
          <w:rFonts w:eastAsia="Calibri"/>
          <w:lang w:val="es-AR"/>
        </w:rPr>
        <w:t>superar los problemas de la pobreza,</w:t>
      </w:r>
      <w:r w:rsidR="0093112B" w:rsidRPr="006D5254">
        <w:rPr>
          <w:rFonts w:eastAsia="Calibri"/>
        </w:rPr>
        <w:t xml:space="preserve"> la </w:t>
      </w:r>
      <w:r w:rsidR="00F61393" w:rsidRPr="006D5254">
        <w:rPr>
          <w:rFonts w:eastAsia="Calibri"/>
        </w:rPr>
        <w:t>precariedad laboral</w:t>
      </w:r>
      <w:r w:rsidR="0093112B" w:rsidRPr="006D5254">
        <w:rPr>
          <w:rFonts w:eastAsia="Calibri"/>
        </w:rPr>
        <w:t xml:space="preserve"> y la </w:t>
      </w:r>
      <w:r w:rsidR="00F61393" w:rsidRPr="006D5254">
        <w:rPr>
          <w:rFonts w:eastAsia="Calibri"/>
        </w:rPr>
        <w:t>desigualdad</w:t>
      </w:r>
      <w:r w:rsidR="00CA1438" w:rsidRPr="006D5254">
        <w:rPr>
          <w:rFonts w:eastAsia="Calibri"/>
          <w:lang w:val="es-AR"/>
        </w:rPr>
        <w:t xml:space="preserve">. </w:t>
      </w:r>
      <w:r w:rsidR="00474ED5" w:rsidRPr="006D5254">
        <w:rPr>
          <w:rFonts w:eastAsia="Calibri"/>
          <w:lang w:val="es-AR"/>
        </w:rPr>
        <w:t>Sin embargo</w:t>
      </w:r>
      <w:r w:rsidR="008F7BE1" w:rsidRPr="006D5254">
        <w:rPr>
          <w:bCs/>
        </w:rPr>
        <w:t xml:space="preserve">, </w:t>
      </w:r>
      <w:r w:rsidR="00B25260" w:rsidRPr="006D5254">
        <w:rPr>
          <w:bCs/>
        </w:rPr>
        <w:t xml:space="preserve">por mucho que se </w:t>
      </w:r>
      <w:r w:rsidR="00B46241">
        <w:rPr>
          <w:bCs/>
        </w:rPr>
        <w:t>invierta</w:t>
      </w:r>
      <w:r w:rsidR="00B25260" w:rsidRPr="006D5254">
        <w:rPr>
          <w:bCs/>
        </w:rPr>
        <w:t xml:space="preserve">, </w:t>
      </w:r>
      <w:r w:rsidRPr="006D5254">
        <w:rPr>
          <w:bCs/>
        </w:rPr>
        <w:t>los</w:t>
      </w:r>
      <w:r w:rsidR="008F7BE1" w:rsidRPr="006D5254">
        <w:rPr>
          <w:bCs/>
        </w:rPr>
        <w:t xml:space="preserve"> esfuerzos </w:t>
      </w:r>
      <w:r w:rsidR="009942FF" w:rsidRPr="006D5254">
        <w:rPr>
          <w:bCs/>
        </w:rPr>
        <w:t xml:space="preserve">nunca </w:t>
      </w:r>
      <w:r w:rsidR="008F7BE1" w:rsidRPr="006D5254">
        <w:rPr>
          <w:bCs/>
        </w:rPr>
        <w:t>parecen alcanzar los resultados esperados</w:t>
      </w:r>
      <w:r w:rsidRPr="006D5254">
        <w:rPr>
          <w:bCs/>
        </w:rPr>
        <w:t>.</w:t>
      </w:r>
      <w:r w:rsidR="00B25260" w:rsidRPr="006D5254">
        <w:rPr>
          <w:bCs/>
        </w:rPr>
        <w:t xml:space="preserve"> </w:t>
      </w:r>
      <w:r w:rsidR="0093112B" w:rsidRPr="006D5254">
        <w:rPr>
          <w:rFonts w:eastAsia="Calibri"/>
        </w:rPr>
        <w:t>En este contexto, e</w:t>
      </w:r>
      <w:r w:rsidR="00CD6ED1" w:rsidRPr="006D5254">
        <w:t>l</w:t>
      </w:r>
      <w:r w:rsidR="0021276D" w:rsidRPr="006D5254">
        <w:t xml:space="preserve"> caso argentino </w:t>
      </w:r>
      <w:r w:rsidR="00B25260" w:rsidRPr="006D5254">
        <w:t xml:space="preserve">de las últimas décadas </w:t>
      </w:r>
      <w:r w:rsidR="0021276D" w:rsidRPr="006D5254">
        <w:t xml:space="preserve">constituye </w:t>
      </w:r>
      <w:r w:rsidRPr="006D5254">
        <w:t>un escenario</w:t>
      </w:r>
      <w:r w:rsidR="00CD6ED1" w:rsidRPr="006D5254">
        <w:t xml:space="preserve"> </w:t>
      </w:r>
      <w:r w:rsidR="00073A8C" w:rsidRPr="006D5254">
        <w:t xml:space="preserve">quizás </w:t>
      </w:r>
      <w:r w:rsidR="00155061" w:rsidRPr="006D5254">
        <w:t xml:space="preserve">privilegiado </w:t>
      </w:r>
      <w:r w:rsidR="009D46F9" w:rsidRPr="006D5254">
        <w:t>en donde</w:t>
      </w:r>
      <w:r w:rsidR="00155061" w:rsidRPr="006D5254">
        <w:t xml:space="preserve"> </w:t>
      </w:r>
      <w:r w:rsidR="006D5254">
        <w:t>examinar</w:t>
      </w:r>
      <w:r w:rsidR="002B4DED" w:rsidRPr="006D5254">
        <w:t xml:space="preserve"> </w:t>
      </w:r>
      <w:r w:rsidR="0093112B" w:rsidRPr="006D5254">
        <w:t xml:space="preserve">algunas de las </w:t>
      </w:r>
      <w:r w:rsidR="00B25260" w:rsidRPr="006D5254">
        <w:t>trampas</w:t>
      </w:r>
      <w:r w:rsidR="0093112B" w:rsidRPr="006D5254">
        <w:t xml:space="preserve"> implicadas en </w:t>
      </w:r>
      <w:r w:rsidR="009942FF">
        <w:t>ese</w:t>
      </w:r>
      <w:r w:rsidR="00B25260" w:rsidRPr="006D5254">
        <w:t xml:space="preserve"> </w:t>
      </w:r>
      <w:r w:rsidR="009942FF">
        <w:t xml:space="preserve">siempre frustrado </w:t>
      </w:r>
      <w:r w:rsidR="00B46241">
        <w:t>objetivo</w:t>
      </w:r>
      <w:r w:rsidR="009D46F9" w:rsidRPr="006D5254">
        <w:t>.</w:t>
      </w:r>
      <w:r w:rsidR="009942FF" w:rsidRPr="009942FF">
        <w:rPr>
          <w:rStyle w:val="Refdenotaalpie"/>
          <w:rFonts w:eastAsia="Calibri"/>
        </w:rPr>
        <w:t xml:space="preserve"> </w:t>
      </w:r>
    </w:p>
    <w:p w:rsidR="004C2426" w:rsidRDefault="004C2426" w:rsidP="004C2426">
      <w:pPr>
        <w:spacing w:after="120"/>
        <w:jc w:val="both"/>
      </w:pPr>
      <w:r>
        <w:rPr>
          <w:rFonts w:eastAsia="Calibri"/>
        </w:rPr>
        <w:t>No son pocos los que argumentan</w:t>
      </w:r>
      <w:r w:rsidRPr="00F02DFB">
        <w:rPr>
          <w:rFonts w:eastAsia="Calibri"/>
        </w:rPr>
        <w:t xml:space="preserve"> que durante las últimas décadas, en un contexto de expansión del </w:t>
      </w:r>
      <w:r>
        <w:rPr>
          <w:rFonts w:eastAsia="Calibri"/>
        </w:rPr>
        <w:t>capital financiero y el comercio internacional</w:t>
      </w:r>
      <w:r w:rsidRPr="00F02DFB">
        <w:rPr>
          <w:rFonts w:eastAsia="Calibri"/>
        </w:rPr>
        <w:t>,</w:t>
      </w:r>
      <w:r>
        <w:rPr>
          <w:rFonts w:eastAsia="Calibri"/>
        </w:rPr>
        <w:t xml:space="preserve"> con mayores o menores regulaciones estatales,</w:t>
      </w:r>
      <w:r w:rsidRPr="00F02DFB">
        <w:rPr>
          <w:rFonts w:eastAsia="Calibri"/>
        </w:rPr>
        <w:t xml:space="preserve"> </w:t>
      </w:r>
      <w:r>
        <w:rPr>
          <w:rFonts w:eastAsia="Calibri"/>
        </w:rPr>
        <w:t xml:space="preserve">está teniendo </w:t>
      </w:r>
      <w:r w:rsidRPr="00F02DFB">
        <w:rPr>
          <w:rFonts w:eastAsia="Calibri"/>
        </w:rPr>
        <w:t xml:space="preserve">lugar en América Latina </w:t>
      </w:r>
      <w:r>
        <w:rPr>
          <w:rFonts w:eastAsia="Calibri"/>
        </w:rPr>
        <w:t xml:space="preserve">un giro hacia un efectivo proceso de desarrollo. El </w:t>
      </w:r>
      <w:r w:rsidRPr="00F02DFB">
        <w:rPr>
          <w:rFonts w:eastAsia="Calibri"/>
        </w:rPr>
        <w:t>crecimiento económico</w:t>
      </w:r>
      <w:r>
        <w:rPr>
          <w:rFonts w:eastAsia="Calibri"/>
        </w:rPr>
        <w:t>, el cuidado equilibrio fiscal</w:t>
      </w:r>
      <w:r w:rsidRPr="00F02DFB">
        <w:rPr>
          <w:rFonts w:eastAsia="Calibri"/>
        </w:rPr>
        <w:t xml:space="preserve"> </w:t>
      </w:r>
      <w:r>
        <w:rPr>
          <w:rFonts w:eastAsia="Calibri"/>
        </w:rPr>
        <w:t xml:space="preserve">y la adecuada orientación del </w:t>
      </w:r>
      <w:r w:rsidRPr="00F02DFB">
        <w:rPr>
          <w:rFonts w:eastAsia="Calibri"/>
        </w:rPr>
        <w:t>gasto social</w:t>
      </w:r>
      <w:r>
        <w:rPr>
          <w:rFonts w:eastAsia="Calibri"/>
        </w:rPr>
        <w:t xml:space="preserve"> estarían logrando </w:t>
      </w:r>
      <w:r w:rsidRPr="00F02DFB">
        <w:rPr>
          <w:rFonts w:eastAsia="Calibri"/>
        </w:rPr>
        <w:t>una significativa reducción de la pobreza</w:t>
      </w:r>
      <w:r>
        <w:rPr>
          <w:rFonts w:eastAsia="Calibri"/>
        </w:rPr>
        <w:t xml:space="preserve"> y, en menor medida,</w:t>
      </w:r>
      <w:r w:rsidRPr="00F02DFB">
        <w:rPr>
          <w:rFonts w:eastAsia="Calibri"/>
        </w:rPr>
        <w:t xml:space="preserve"> de la desigualdad en la distribución del ingreso. Todo lo cual </w:t>
      </w:r>
      <w:r>
        <w:rPr>
          <w:rFonts w:eastAsia="Calibri"/>
        </w:rPr>
        <w:t xml:space="preserve">debería constituirse –según esta perspectiva- en un modelo a profundizar. </w:t>
      </w:r>
      <w:r w:rsidRPr="00FF0C0F">
        <w:rPr>
          <w:rFonts w:eastAsia="Calibri"/>
        </w:rPr>
        <w:t xml:space="preserve">De manera paradójica, en esta lectura coinciden, aunque con diferentes supuestos, tanto la CEPAL </w:t>
      </w:r>
      <w:r>
        <w:rPr>
          <w:rFonts w:eastAsia="Calibri"/>
        </w:rPr>
        <w:t xml:space="preserve">(2010, 2011, 2014) </w:t>
      </w:r>
      <w:r w:rsidRPr="00FF0C0F">
        <w:rPr>
          <w:rFonts w:eastAsia="Calibri"/>
        </w:rPr>
        <w:t>como el Banco Mundial (</w:t>
      </w:r>
      <w:proofErr w:type="spellStart"/>
      <w:r w:rsidRPr="00FF0C0F">
        <w:rPr>
          <w:rFonts w:eastAsia="Calibri"/>
        </w:rPr>
        <w:t>Birdsall</w:t>
      </w:r>
      <w:proofErr w:type="spellEnd"/>
      <w:r w:rsidRPr="00FF0C0F">
        <w:rPr>
          <w:rFonts w:eastAsia="Calibri"/>
        </w:rPr>
        <w:t xml:space="preserve"> y de </w:t>
      </w:r>
      <w:smartTag w:uri="urn:schemas-microsoft-com:office:smarttags" w:element="PersonName">
        <w:smartTagPr>
          <w:attr w:name="ProductID" w:val="la Torre"/>
        </w:smartTagPr>
        <w:r w:rsidRPr="00FF0C0F">
          <w:rPr>
            <w:rFonts w:eastAsia="Calibri"/>
          </w:rPr>
          <w:t>la Torre</w:t>
        </w:r>
      </w:smartTag>
      <w:r w:rsidRPr="00FF0C0F">
        <w:rPr>
          <w:rFonts w:eastAsia="Calibri"/>
        </w:rPr>
        <w:t xml:space="preserve">, 2008; López-Calva y </w:t>
      </w:r>
      <w:proofErr w:type="spellStart"/>
      <w:r w:rsidRPr="00FF0C0F">
        <w:rPr>
          <w:rFonts w:eastAsia="Calibri"/>
        </w:rPr>
        <w:t>Lustig</w:t>
      </w:r>
      <w:proofErr w:type="spellEnd"/>
      <w:r w:rsidRPr="00FF0C0F">
        <w:rPr>
          <w:rFonts w:eastAsia="Calibri"/>
        </w:rPr>
        <w:t>, 2010; Ferreira et al, 2013).</w:t>
      </w:r>
      <w:r w:rsidRPr="00B14726">
        <w:rPr>
          <w:rStyle w:val="Refdenotaalpie"/>
        </w:rPr>
        <w:footnoteReference w:id="4"/>
      </w:r>
      <w:r>
        <w:t xml:space="preserve"> </w:t>
      </w:r>
    </w:p>
    <w:p w:rsidR="004C2426" w:rsidRDefault="004C2426" w:rsidP="004C2426">
      <w:pPr>
        <w:spacing w:after="120"/>
        <w:jc w:val="both"/>
        <w:rPr>
          <w:bCs/>
          <w:lang w:val="es-AR"/>
        </w:rPr>
      </w:pPr>
      <w:r>
        <w:rPr>
          <w:rFonts w:eastAsia="Calibri"/>
        </w:rPr>
        <w:t xml:space="preserve">Estando todavía vigente un escenario dominado por la incertidumbre, se hace relevante reunir evidencias que contribuyan a evaluar las efectivas posibilidades de convergencia social generadas por estos procesos. En tal sentido, cabe preguntarse en qué medida </w:t>
      </w:r>
      <w:r>
        <w:t>el supuesto crecimiento,</w:t>
      </w:r>
      <w:r>
        <w:rPr>
          <w:rFonts w:eastAsia="Calibri"/>
        </w:rPr>
        <w:t xml:space="preserve"> relativamente virtuoso en materia de empleo, pobreza y salarios, estuvo acompañado de una menor desigualdad en las capacidades productivas y el acceso a empleos de calidad </w:t>
      </w:r>
      <w:r w:rsidRPr="00235557">
        <w:rPr>
          <w:bCs/>
          <w:lang w:val="es-AR"/>
        </w:rPr>
        <w:t>(Hernández Laos, 2006; Salvia, 2012)</w:t>
      </w:r>
      <w:r>
        <w:rPr>
          <w:bCs/>
          <w:lang w:val="es-AR"/>
        </w:rPr>
        <w:t xml:space="preserve">, así como de una distribución más equitativa de las rentas patrimoniales </w:t>
      </w:r>
      <w:r>
        <w:rPr>
          <w:rFonts w:eastAsia="Calibri"/>
        </w:rPr>
        <w:t>(</w:t>
      </w:r>
      <w:proofErr w:type="spellStart"/>
      <w:r>
        <w:rPr>
          <w:rFonts w:eastAsia="Calibri"/>
        </w:rPr>
        <w:t>Piketty</w:t>
      </w:r>
      <w:proofErr w:type="spellEnd"/>
      <w:r>
        <w:rPr>
          <w:rFonts w:eastAsia="Calibri"/>
        </w:rPr>
        <w:t xml:space="preserve">, 2014). Esto no sólo en función de atender eventuales principios éticos que </w:t>
      </w:r>
      <w:r w:rsidR="00B1472A">
        <w:rPr>
          <w:rFonts w:eastAsia="Calibri"/>
        </w:rPr>
        <w:t>reivindican</w:t>
      </w:r>
      <w:r>
        <w:rPr>
          <w:rFonts w:eastAsia="Calibri"/>
        </w:rPr>
        <w:t xml:space="preserve"> el valor de la </w:t>
      </w:r>
      <w:r w:rsidR="00B1472A">
        <w:rPr>
          <w:rFonts w:eastAsia="Calibri"/>
        </w:rPr>
        <w:t>equidad</w:t>
      </w:r>
      <w:r>
        <w:rPr>
          <w:rFonts w:eastAsia="Calibri"/>
        </w:rPr>
        <w:t xml:space="preserve">, sino fundamentalmente por el riesgo de que a pesar de un eventual mayor bienestar  -medido en </w:t>
      </w:r>
      <w:r w:rsidR="00B1472A">
        <w:rPr>
          <w:rFonts w:eastAsia="Calibri"/>
        </w:rPr>
        <w:t xml:space="preserve">las </w:t>
      </w:r>
      <w:r>
        <w:rPr>
          <w:rFonts w:eastAsia="Calibri"/>
        </w:rPr>
        <w:t xml:space="preserve">capacidades de consumo-, se mantenga inmutable un modelo </w:t>
      </w:r>
      <w:r w:rsidR="00B1472A">
        <w:rPr>
          <w:rFonts w:eastAsia="Calibri"/>
        </w:rPr>
        <w:t>heterogéneo</w:t>
      </w:r>
      <w:r>
        <w:rPr>
          <w:rFonts w:eastAsia="Calibri"/>
        </w:rPr>
        <w:t xml:space="preserve"> fundado en altos niveles de </w:t>
      </w:r>
      <w:r w:rsidR="00B1472A">
        <w:t>desigualdad</w:t>
      </w:r>
      <w:r w:rsidRPr="00574C98">
        <w:t xml:space="preserve"> </w:t>
      </w:r>
      <w:r>
        <w:t xml:space="preserve">productiva, segmentación laboral y exclusión </w:t>
      </w:r>
      <w:r>
        <w:lastRenderedPageBreak/>
        <w:t>social.</w:t>
      </w:r>
      <w:r w:rsidRPr="00574C98">
        <w:rPr>
          <w:rStyle w:val="Refdenotaalpie"/>
        </w:rPr>
        <w:footnoteReference w:id="5"/>
      </w:r>
      <w:r w:rsidRPr="004D42C6">
        <w:rPr>
          <w:bCs/>
          <w:lang w:val="es-AR"/>
        </w:rPr>
        <w:t xml:space="preserve"> </w:t>
      </w:r>
      <w:r w:rsidR="00B1472A">
        <w:rPr>
          <w:bCs/>
          <w:lang w:val="es-AR"/>
        </w:rPr>
        <w:t xml:space="preserve"> En este punto, surge de manera casi obligada la pegunta de cuál es el papel que desempeñan las </w:t>
      </w:r>
      <w:r w:rsidR="00B1472A" w:rsidRPr="004C1502">
        <w:rPr>
          <w:bCs/>
          <w:i/>
          <w:lang w:val="es-AR"/>
        </w:rPr>
        <w:t>políticas sociales</w:t>
      </w:r>
      <w:r w:rsidR="00B1472A" w:rsidRPr="00DF7D20">
        <w:rPr>
          <w:rFonts w:eastAsia="Calibri"/>
          <w:vertAlign w:val="superscript"/>
        </w:rPr>
        <w:footnoteReference w:id="6"/>
      </w:r>
      <w:r w:rsidR="00B1472A">
        <w:rPr>
          <w:bCs/>
          <w:lang w:val="es-AR"/>
        </w:rPr>
        <w:t xml:space="preserve"> en materia de desarrollo </w:t>
      </w:r>
      <w:r w:rsidR="00B1472A" w:rsidRPr="00B14726">
        <w:rPr>
          <w:bCs/>
          <w:lang w:val="es-AR"/>
        </w:rPr>
        <w:t xml:space="preserve">cuando </w:t>
      </w:r>
      <w:r w:rsidR="00B1472A">
        <w:rPr>
          <w:bCs/>
          <w:lang w:val="es-AR"/>
        </w:rPr>
        <w:t xml:space="preserve">un sistema económico heterogéneo logra reactivar el crecimiento gracias a su creciente vinculación con el </w:t>
      </w:r>
      <w:r w:rsidR="00B1472A" w:rsidRPr="00B14726">
        <w:rPr>
          <w:bCs/>
          <w:lang w:val="es-AR"/>
        </w:rPr>
        <w:t>mercado mundial</w:t>
      </w:r>
      <w:r w:rsidR="00B1472A">
        <w:rPr>
          <w:bCs/>
          <w:lang w:val="es-AR"/>
        </w:rPr>
        <w:t xml:space="preserve">, pero sin modificar su matriz socio-productiva interna.  </w:t>
      </w:r>
    </w:p>
    <w:p w:rsidR="00F61393" w:rsidRDefault="0093112B" w:rsidP="00155061">
      <w:pPr>
        <w:spacing w:after="120"/>
        <w:jc w:val="both"/>
        <w:rPr>
          <w:bCs/>
          <w:lang w:val="es-AR"/>
        </w:rPr>
      </w:pPr>
      <w:r>
        <w:t xml:space="preserve">En </w:t>
      </w:r>
      <w:r w:rsidR="009D46F9">
        <w:t xml:space="preserve">la historia argentina </w:t>
      </w:r>
      <w:r w:rsidR="00BA0EC3">
        <w:t>reciente</w:t>
      </w:r>
      <w:r w:rsidR="009D46F9">
        <w:t xml:space="preserve"> no </w:t>
      </w:r>
      <w:r w:rsidR="00B1472A">
        <w:t>parece haber faltado</w:t>
      </w:r>
      <w:r w:rsidR="009D46F9">
        <w:t xml:space="preserve"> vocación política para </w:t>
      </w:r>
      <w:r w:rsidR="00D23ADA">
        <w:t>atender</w:t>
      </w:r>
      <w:r w:rsidR="009D46F9">
        <w:t xml:space="preserve"> </w:t>
      </w:r>
      <w:r w:rsidR="00F862AD">
        <w:t xml:space="preserve">los objetivos que en materia de bienestar y equidad demanda </w:t>
      </w:r>
      <w:r w:rsidR="004C2426">
        <w:t>este</w:t>
      </w:r>
      <w:r w:rsidR="00073A8C">
        <w:t xml:space="preserve"> proceso de</w:t>
      </w:r>
      <w:r w:rsidR="009D46F9">
        <w:t xml:space="preserve"> desarrollo</w:t>
      </w:r>
      <w:r w:rsidR="00F862AD">
        <w:t xml:space="preserve">. De hecho, tales promesas </w:t>
      </w:r>
      <w:r w:rsidR="009E5871">
        <w:t xml:space="preserve">ocuparon un lugar preponderante en la agenda de </w:t>
      </w:r>
      <w:r w:rsidR="009942FF">
        <w:t xml:space="preserve">los últimos </w:t>
      </w:r>
      <w:r w:rsidR="009E5871">
        <w:t xml:space="preserve">dos programas político-económicos </w:t>
      </w:r>
      <w:r w:rsidR="009942FF">
        <w:t>a cargo del control del Estado</w:t>
      </w:r>
      <w:r w:rsidR="009E5871">
        <w:t xml:space="preserve"> durante las últimas dos décadas</w:t>
      </w:r>
      <w:r w:rsidR="00073A8C">
        <w:t>. Por una parte, un audaz</w:t>
      </w:r>
      <w:r w:rsidR="00073A8C">
        <w:rPr>
          <w:bCs/>
          <w:lang w:val="es-AR"/>
        </w:rPr>
        <w:t xml:space="preserve">  programa de </w:t>
      </w:r>
      <w:r w:rsidR="009942FF">
        <w:rPr>
          <w:bCs/>
          <w:lang w:val="es-AR"/>
        </w:rPr>
        <w:t xml:space="preserve">reformas estructurales de </w:t>
      </w:r>
      <w:r w:rsidR="001A6E40">
        <w:rPr>
          <w:bCs/>
          <w:lang w:val="es-AR"/>
        </w:rPr>
        <w:t xml:space="preserve">orientación </w:t>
      </w:r>
      <w:r w:rsidR="00155061" w:rsidRPr="00B14726">
        <w:rPr>
          <w:bCs/>
          <w:lang w:val="es-AR"/>
        </w:rPr>
        <w:t>neoliberal (199</w:t>
      </w:r>
      <w:r w:rsidR="00AE1176">
        <w:rPr>
          <w:bCs/>
          <w:lang w:val="es-AR"/>
        </w:rPr>
        <w:t>1</w:t>
      </w:r>
      <w:r w:rsidR="00155061" w:rsidRPr="00B14726">
        <w:rPr>
          <w:bCs/>
          <w:lang w:val="es-AR"/>
        </w:rPr>
        <w:t>-2001)</w:t>
      </w:r>
      <w:r w:rsidR="00073A8C">
        <w:rPr>
          <w:bCs/>
          <w:lang w:val="es-AR"/>
        </w:rPr>
        <w:t>; y por otro,</w:t>
      </w:r>
      <w:r w:rsidR="00073A8C" w:rsidRPr="00B14726">
        <w:rPr>
          <w:bCs/>
          <w:lang w:val="es-AR"/>
        </w:rPr>
        <w:t xml:space="preserve"> </w:t>
      </w:r>
      <w:r w:rsidR="00073A8C">
        <w:rPr>
          <w:bCs/>
          <w:lang w:val="es-AR"/>
        </w:rPr>
        <w:t xml:space="preserve">un entusiasta programa </w:t>
      </w:r>
      <w:r w:rsidR="004C2426">
        <w:rPr>
          <w:bCs/>
          <w:lang w:val="es-AR"/>
        </w:rPr>
        <w:t xml:space="preserve">de fomento del mercado interno </w:t>
      </w:r>
      <w:r w:rsidR="00073A8C">
        <w:rPr>
          <w:bCs/>
          <w:lang w:val="es-AR"/>
        </w:rPr>
        <w:t xml:space="preserve">de inspiración neodesarrollista </w:t>
      </w:r>
      <w:r w:rsidR="00073A8C" w:rsidRPr="00B14726">
        <w:rPr>
          <w:bCs/>
          <w:lang w:val="es-AR"/>
        </w:rPr>
        <w:t>(2003-201</w:t>
      </w:r>
      <w:r w:rsidR="00073A8C">
        <w:rPr>
          <w:bCs/>
          <w:lang w:val="es-AR"/>
        </w:rPr>
        <w:t>4</w:t>
      </w:r>
      <w:r w:rsidR="00073A8C" w:rsidRPr="00B14726">
        <w:rPr>
          <w:bCs/>
          <w:lang w:val="es-AR"/>
        </w:rPr>
        <w:t>)</w:t>
      </w:r>
      <w:r w:rsidR="00073A8C">
        <w:rPr>
          <w:bCs/>
          <w:lang w:val="es-AR"/>
        </w:rPr>
        <w:t>.</w:t>
      </w:r>
      <w:r w:rsidR="00F61393">
        <w:rPr>
          <w:bCs/>
          <w:lang w:val="es-AR"/>
        </w:rPr>
        <w:t xml:space="preserve"> </w:t>
      </w:r>
      <w:r w:rsidR="00155061">
        <w:rPr>
          <w:bCs/>
          <w:lang w:val="es-AR"/>
        </w:rPr>
        <w:t>D</w:t>
      </w:r>
      <w:r w:rsidR="004C2426">
        <w:rPr>
          <w:bCs/>
          <w:lang w:val="es-AR"/>
        </w:rPr>
        <w:t>e</w:t>
      </w:r>
      <w:r w:rsidR="00155061">
        <w:rPr>
          <w:bCs/>
          <w:lang w:val="es-AR"/>
        </w:rPr>
        <w:t xml:space="preserve"> </w:t>
      </w:r>
      <w:r w:rsidR="004C2426">
        <w:rPr>
          <w:bCs/>
          <w:lang w:val="es-AR"/>
        </w:rPr>
        <w:t>esta</w:t>
      </w:r>
      <w:r w:rsidR="00155061">
        <w:rPr>
          <w:bCs/>
          <w:lang w:val="es-AR"/>
        </w:rPr>
        <w:t xml:space="preserve"> manera, el caso </w:t>
      </w:r>
      <w:r w:rsidR="00073A8C">
        <w:rPr>
          <w:bCs/>
          <w:lang w:val="es-AR"/>
        </w:rPr>
        <w:t xml:space="preserve">argentino </w:t>
      </w:r>
      <w:r w:rsidR="00F61393">
        <w:rPr>
          <w:bCs/>
          <w:lang w:val="es-AR"/>
        </w:rPr>
        <w:t>ofrece</w:t>
      </w:r>
      <w:r w:rsidR="00155061">
        <w:rPr>
          <w:bCs/>
          <w:lang w:val="es-AR"/>
        </w:rPr>
        <w:t xml:space="preserve"> un </w:t>
      </w:r>
      <w:r w:rsidR="00F61393">
        <w:rPr>
          <w:bCs/>
          <w:lang w:val="es-AR"/>
        </w:rPr>
        <w:t>escenario</w:t>
      </w:r>
      <w:r w:rsidR="00155061">
        <w:rPr>
          <w:bCs/>
          <w:lang w:val="es-AR"/>
        </w:rPr>
        <w:t xml:space="preserve"> histórico </w:t>
      </w:r>
      <w:r w:rsidR="004C2426">
        <w:rPr>
          <w:bCs/>
          <w:lang w:val="es-AR"/>
        </w:rPr>
        <w:t>excepcional</w:t>
      </w:r>
      <w:r w:rsidR="00155061">
        <w:rPr>
          <w:bCs/>
          <w:lang w:val="es-AR"/>
        </w:rPr>
        <w:t xml:space="preserve"> en donde</w:t>
      </w:r>
      <w:r w:rsidR="004C2426">
        <w:rPr>
          <w:bCs/>
          <w:lang w:val="es-AR"/>
        </w:rPr>
        <w:t xml:space="preserve"> poder</w:t>
      </w:r>
      <w:r w:rsidR="00155061">
        <w:rPr>
          <w:bCs/>
          <w:lang w:val="es-AR"/>
        </w:rPr>
        <w:t xml:space="preserve"> </w:t>
      </w:r>
      <w:r w:rsidR="004C2426">
        <w:rPr>
          <w:bCs/>
          <w:lang w:val="es-AR"/>
        </w:rPr>
        <w:t>evaluar</w:t>
      </w:r>
      <w:r w:rsidR="00155061">
        <w:rPr>
          <w:bCs/>
          <w:lang w:val="es-AR"/>
        </w:rPr>
        <w:t xml:space="preserve"> </w:t>
      </w:r>
      <w:r w:rsidR="004C2426">
        <w:rPr>
          <w:bCs/>
          <w:lang w:val="es-AR"/>
        </w:rPr>
        <w:t xml:space="preserve">de manera comparada </w:t>
      </w:r>
      <w:r w:rsidR="00F61393">
        <w:rPr>
          <w:bCs/>
          <w:lang w:val="es-AR"/>
        </w:rPr>
        <w:t>el</w:t>
      </w:r>
      <w:r w:rsidR="00155061" w:rsidRPr="00B14726">
        <w:rPr>
          <w:bCs/>
          <w:lang w:val="es-AR"/>
        </w:rPr>
        <w:t xml:space="preserve"> </w:t>
      </w:r>
      <w:r w:rsidR="00F61393">
        <w:rPr>
          <w:bCs/>
          <w:lang w:val="es-AR"/>
        </w:rPr>
        <w:t>desempeño</w:t>
      </w:r>
      <w:r w:rsidR="00155061" w:rsidRPr="00B14726">
        <w:rPr>
          <w:bCs/>
          <w:lang w:val="es-AR"/>
        </w:rPr>
        <w:t xml:space="preserve"> </w:t>
      </w:r>
      <w:r w:rsidR="004C2426">
        <w:rPr>
          <w:bCs/>
          <w:lang w:val="es-AR"/>
        </w:rPr>
        <w:t xml:space="preserve">en materia de desarrollo social </w:t>
      </w:r>
      <w:r w:rsidR="00155061" w:rsidRPr="00B14726">
        <w:rPr>
          <w:bCs/>
          <w:lang w:val="es-AR"/>
        </w:rPr>
        <w:t xml:space="preserve">de </w:t>
      </w:r>
      <w:r w:rsidR="004C2426">
        <w:rPr>
          <w:bCs/>
          <w:lang w:val="es-AR"/>
        </w:rPr>
        <w:t xml:space="preserve">orientaciones </w:t>
      </w:r>
      <w:r w:rsidR="00F61393">
        <w:rPr>
          <w:bCs/>
          <w:lang w:val="es-AR"/>
        </w:rPr>
        <w:t>político</w:t>
      </w:r>
      <w:r w:rsidR="00155061" w:rsidRPr="00B14726">
        <w:rPr>
          <w:bCs/>
          <w:lang w:val="es-AR"/>
        </w:rPr>
        <w:t>-económic</w:t>
      </w:r>
      <w:r w:rsidR="004C2426">
        <w:rPr>
          <w:bCs/>
          <w:lang w:val="es-AR"/>
        </w:rPr>
        <w:t>a</w:t>
      </w:r>
      <w:r w:rsidR="00155061" w:rsidRPr="00B14726">
        <w:rPr>
          <w:bCs/>
          <w:lang w:val="es-AR"/>
        </w:rPr>
        <w:t>s</w:t>
      </w:r>
      <w:r w:rsidR="004C2426">
        <w:rPr>
          <w:bCs/>
          <w:lang w:val="es-AR"/>
        </w:rPr>
        <w:t xml:space="preserve"> actualmente</w:t>
      </w:r>
      <w:r w:rsidR="00155061" w:rsidRPr="00B14726">
        <w:rPr>
          <w:bCs/>
          <w:lang w:val="es-AR"/>
        </w:rPr>
        <w:t xml:space="preserve"> </w:t>
      </w:r>
      <w:r w:rsidR="00F61393">
        <w:rPr>
          <w:bCs/>
          <w:lang w:val="es-AR"/>
        </w:rPr>
        <w:t>en pugna</w:t>
      </w:r>
      <w:r w:rsidR="004C2426">
        <w:rPr>
          <w:bCs/>
          <w:lang w:val="es-AR"/>
        </w:rPr>
        <w:t>, cuya conflictividad sin duda trasciende las fronteras nacionales.</w:t>
      </w:r>
    </w:p>
    <w:p w:rsidR="004C2426" w:rsidRDefault="004C2426" w:rsidP="004C2426">
      <w:pPr>
        <w:spacing w:after="120"/>
        <w:jc w:val="both"/>
        <w:rPr>
          <w:rFonts w:eastAsia="Calibri"/>
        </w:rPr>
      </w:pPr>
      <w:r>
        <w:rPr>
          <w:rFonts w:eastAsia="Calibri"/>
        </w:rPr>
        <w:t>En este marco, el presente trabajo examina, para los diferentes modelos político-económicos vigentes en la sociedad argentina</w:t>
      </w:r>
      <w:r w:rsidRPr="00C459AB">
        <w:rPr>
          <w:rFonts w:eastAsia="Calibri"/>
        </w:rPr>
        <w:t xml:space="preserve"> </w:t>
      </w:r>
      <w:r>
        <w:rPr>
          <w:rFonts w:eastAsia="Calibri"/>
        </w:rPr>
        <w:t xml:space="preserve">durante las últimas décadas, los cambios ocurridos tanto en la distribución primaria del ingreso -determinada por las relaciones de mercado-, así como en la distribución secundaria ingreso -la cual tiene a las políticas sociales como su fuente principal-. Son por ejemplo preguntas de interés: </w:t>
      </w:r>
      <w:r w:rsidRPr="00175943">
        <w:rPr>
          <w:rFonts w:eastAsia="Calibri"/>
        </w:rPr>
        <w:t>¿</w:t>
      </w:r>
      <w:r>
        <w:rPr>
          <w:rFonts w:eastAsia="Calibri"/>
        </w:rPr>
        <w:t xml:space="preserve">qué efecto tuvo en cada período la demanda de </w:t>
      </w:r>
      <w:r w:rsidRPr="00175943">
        <w:rPr>
          <w:rFonts w:eastAsia="Calibri"/>
        </w:rPr>
        <w:t xml:space="preserve">empleo y </w:t>
      </w:r>
      <w:r>
        <w:rPr>
          <w:rFonts w:eastAsia="Calibri"/>
        </w:rPr>
        <w:t>el modo en que los mercados remuneraron a la fuerza laboral sobre los niveles de bienestar y equidad distributiva</w:t>
      </w:r>
      <w:r w:rsidRPr="00175943">
        <w:rPr>
          <w:rFonts w:eastAsia="Calibri"/>
        </w:rPr>
        <w:t>?</w:t>
      </w:r>
      <w:r>
        <w:rPr>
          <w:rFonts w:eastAsia="Calibri"/>
        </w:rPr>
        <w:t xml:space="preserve">; así como </w:t>
      </w:r>
      <w:r w:rsidR="00B1472A">
        <w:rPr>
          <w:rFonts w:eastAsia="Calibri"/>
        </w:rPr>
        <w:t>fundamentalmente</w:t>
      </w:r>
      <w:r>
        <w:rPr>
          <w:rFonts w:eastAsia="Calibri"/>
        </w:rPr>
        <w:t xml:space="preserve">, </w:t>
      </w:r>
      <w:r w:rsidRPr="00B14726">
        <w:rPr>
          <w:rFonts w:eastAsia="Calibri"/>
        </w:rPr>
        <w:t>¿</w:t>
      </w:r>
      <w:r>
        <w:rPr>
          <w:rFonts w:eastAsia="Calibri"/>
        </w:rPr>
        <w:t>qué papel desempeñó el</w:t>
      </w:r>
      <w:r w:rsidRPr="00B14726">
        <w:rPr>
          <w:rFonts w:eastAsia="Calibri"/>
        </w:rPr>
        <w:t xml:space="preserve"> gasto social</w:t>
      </w:r>
      <w:r>
        <w:rPr>
          <w:rFonts w:eastAsia="Calibri"/>
        </w:rPr>
        <w:t xml:space="preserve"> sobre los cambios ocurridos en los niveles de indigencia, pobreza y desigualdad? </w:t>
      </w:r>
    </w:p>
    <w:p w:rsidR="00EB2133" w:rsidRDefault="008D74F4" w:rsidP="00BC729E">
      <w:pPr>
        <w:spacing w:after="120"/>
        <w:jc w:val="both"/>
      </w:pPr>
      <w:r>
        <w:rPr>
          <w:rFonts w:eastAsia="Calibri"/>
        </w:rPr>
        <w:t>Estas</w:t>
      </w:r>
      <w:r w:rsidR="00EB2133">
        <w:rPr>
          <w:rFonts w:eastAsia="Calibri"/>
        </w:rPr>
        <w:t xml:space="preserve"> preguntas </w:t>
      </w:r>
      <w:r>
        <w:rPr>
          <w:rFonts w:eastAsia="Calibri"/>
        </w:rPr>
        <w:t xml:space="preserve">se </w:t>
      </w:r>
      <w:r w:rsidR="00C459AB">
        <w:rPr>
          <w:rFonts w:eastAsia="Calibri"/>
        </w:rPr>
        <w:t>sostienen</w:t>
      </w:r>
      <w:r>
        <w:rPr>
          <w:rFonts w:eastAsia="Calibri"/>
        </w:rPr>
        <w:t xml:space="preserve"> en</w:t>
      </w:r>
      <w:r w:rsidR="00EB2133">
        <w:rPr>
          <w:rFonts w:eastAsia="Calibri"/>
        </w:rPr>
        <w:t xml:space="preserve"> </w:t>
      </w:r>
      <w:r>
        <w:rPr>
          <w:rFonts w:eastAsia="Calibri"/>
        </w:rPr>
        <w:t>dos hipótesis</w:t>
      </w:r>
      <w:r w:rsidR="00C459AB">
        <w:rPr>
          <w:rFonts w:eastAsia="Calibri"/>
        </w:rPr>
        <w:t xml:space="preserve"> centrales que habrán de ser contrastada a través de evidencia empírica</w:t>
      </w:r>
      <w:r w:rsidR="00EB2133">
        <w:rPr>
          <w:rFonts w:eastAsia="Calibri"/>
        </w:rPr>
        <w:t xml:space="preserve">: </w:t>
      </w:r>
      <w:r w:rsidR="00EB2133">
        <w:t>i</w:t>
      </w:r>
      <w:r w:rsidR="00851F96" w:rsidRPr="009B35F7">
        <w:t>)</w:t>
      </w:r>
      <w:r w:rsidR="00717849">
        <w:t xml:space="preserve"> </w:t>
      </w:r>
      <w:r w:rsidR="00EB2133">
        <w:t xml:space="preserve">si bien </w:t>
      </w:r>
      <w:r w:rsidR="00717849">
        <w:t>durante</w:t>
      </w:r>
      <w:r w:rsidR="00EB2133">
        <w:t xml:space="preserve"> </w:t>
      </w:r>
      <w:r w:rsidR="00EB2133" w:rsidRPr="009B35F7">
        <w:t xml:space="preserve">el período </w:t>
      </w:r>
      <w:r w:rsidR="00EB2133">
        <w:t xml:space="preserve">de reformas </w:t>
      </w:r>
      <w:r w:rsidR="00EB2133" w:rsidRPr="009B35F7">
        <w:t>neoliberal</w:t>
      </w:r>
      <w:r w:rsidR="00EB2133">
        <w:t>es</w:t>
      </w:r>
      <w:r w:rsidR="00EB2133" w:rsidRPr="009B35F7">
        <w:t xml:space="preserve"> y la etapa </w:t>
      </w:r>
      <w:r w:rsidR="00EB2133">
        <w:t>heterodoxa</w:t>
      </w:r>
      <w:r w:rsidR="00EB2133" w:rsidRPr="009B35F7">
        <w:t xml:space="preserve"> </w:t>
      </w:r>
      <w:r w:rsidR="00EB2133">
        <w:t>las</w:t>
      </w:r>
      <w:r w:rsidR="00851F96" w:rsidRPr="009B35F7">
        <w:t xml:space="preserve"> política</w:t>
      </w:r>
      <w:r w:rsidR="00EB2133">
        <w:t>s</w:t>
      </w:r>
      <w:r w:rsidR="00851F96" w:rsidRPr="009B35F7">
        <w:t xml:space="preserve"> </w:t>
      </w:r>
      <w:r w:rsidR="00851F96">
        <w:t>social</w:t>
      </w:r>
      <w:r w:rsidR="00EB2133">
        <w:t>es</w:t>
      </w:r>
      <w:r w:rsidR="00851F96" w:rsidRPr="009B35F7">
        <w:t xml:space="preserve"> </w:t>
      </w:r>
      <w:r w:rsidR="00717849">
        <w:t>se constituyeron en un</w:t>
      </w:r>
      <w:r w:rsidR="00B60BA9">
        <w:t xml:space="preserve"> instrumento </w:t>
      </w:r>
      <w:r w:rsidR="00717849">
        <w:t xml:space="preserve">estratégico </w:t>
      </w:r>
      <w:r w:rsidR="00B60BA9">
        <w:t xml:space="preserve">de </w:t>
      </w:r>
      <w:r w:rsidR="00261D1D">
        <w:t xml:space="preserve">asistencia </w:t>
      </w:r>
      <w:r w:rsidR="00717849">
        <w:t>para</w:t>
      </w:r>
      <w:r w:rsidR="00EB2133">
        <w:t xml:space="preserve"> la lucha contra pobreza, ii</w:t>
      </w:r>
      <w:r w:rsidR="00851F96" w:rsidRPr="009B35F7">
        <w:t xml:space="preserve">) </w:t>
      </w:r>
      <w:r w:rsidR="00EB2133">
        <w:t xml:space="preserve">su papel nunca dejó de ser </w:t>
      </w:r>
      <w:r w:rsidR="00B60BA9">
        <w:t xml:space="preserve"> secundario –cuando no marginal-</w:t>
      </w:r>
      <w:r w:rsidR="00EB2133">
        <w:t xml:space="preserve"> para constituirse en efectivo </w:t>
      </w:r>
      <w:r w:rsidR="00717849">
        <w:t>mecanismo</w:t>
      </w:r>
      <w:r w:rsidR="00EB2133" w:rsidRPr="009B35F7">
        <w:t xml:space="preserve"> </w:t>
      </w:r>
      <w:r w:rsidR="00EB2133">
        <w:t>de</w:t>
      </w:r>
      <w:r w:rsidR="00EB2133" w:rsidRPr="009B35F7">
        <w:t xml:space="preserve"> </w:t>
      </w:r>
      <w:r w:rsidR="00EB2133">
        <w:t>inclusión</w:t>
      </w:r>
      <w:r w:rsidR="00EB2133" w:rsidRPr="009B35F7">
        <w:t xml:space="preserve"> social</w:t>
      </w:r>
      <w:r w:rsidR="00EB2133">
        <w:t xml:space="preserve"> frente a los persistentes desequilibrios presentados por el mercado de trabajo.</w:t>
      </w:r>
    </w:p>
    <w:p w:rsidR="00003C02" w:rsidRDefault="00717849" w:rsidP="00003C02">
      <w:pPr>
        <w:autoSpaceDE w:val="0"/>
        <w:autoSpaceDN w:val="0"/>
        <w:adjustRightInd w:val="0"/>
        <w:spacing w:after="120"/>
        <w:jc w:val="both"/>
        <w:rPr>
          <w:lang w:eastAsia="es-AR"/>
        </w:rPr>
      </w:pPr>
      <w:r>
        <w:rPr>
          <w:lang w:eastAsia="es-AR"/>
        </w:rPr>
        <w:t>A los fines de</w:t>
      </w:r>
      <w:r w:rsidR="008D74F4">
        <w:rPr>
          <w:lang w:eastAsia="es-AR"/>
        </w:rPr>
        <w:t xml:space="preserve"> </w:t>
      </w:r>
      <w:r>
        <w:rPr>
          <w:lang w:eastAsia="es-AR"/>
        </w:rPr>
        <w:t xml:space="preserve">confrontar estas hipótesis con datos estadísticos, </w:t>
      </w:r>
      <w:r w:rsidR="00691F73" w:rsidRPr="00B14726">
        <w:rPr>
          <w:lang w:eastAsia="es-AR"/>
        </w:rPr>
        <w:t>se utiliza</w:t>
      </w:r>
      <w:r>
        <w:rPr>
          <w:lang w:eastAsia="es-AR"/>
        </w:rPr>
        <w:t xml:space="preserve"> en este estudio</w:t>
      </w:r>
      <w:r w:rsidR="00691F73" w:rsidRPr="00B14726">
        <w:rPr>
          <w:lang w:eastAsia="es-AR"/>
        </w:rPr>
        <w:t xml:space="preserve"> información agregada sobre la evolución</w:t>
      </w:r>
      <w:r w:rsidR="00691F73">
        <w:rPr>
          <w:lang w:eastAsia="es-AR"/>
        </w:rPr>
        <w:t xml:space="preserve"> del gasto social</w:t>
      </w:r>
      <w:r w:rsidR="001F31B5">
        <w:rPr>
          <w:lang w:eastAsia="es-AR"/>
        </w:rPr>
        <w:t xml:space="preserve"> consolidado (nacional, provincial y municipal)</w:t>
      </w:r>
      <w:r w:rsidR="00691F73">
        <w:rPr>
          <w:lang w:eastAsia="es-AR"/>
        </w:rPr>
        <w:t>,</w:t>
      </w:r>
      <w:r w:rsidR="00691F73" w:rsidRPr="00B14726">
        <w:rPr>
          <w:lang w:eastAsia="es-AR"/>
        </w:rPr>
        <w:t xml:space="preserve"> así como información sobre los ingresos de los hogares según fuentes, a partir de micro datos de </w:t>
      </w:r>
      <w:smartTag w:uri="urn:schemas-microsoft-com:office:smarttags" w:element="PersonName">
        <w:smartTagPr>
          <w:attr w:name="ProductID" w:val="la Encuesta Permanente"/>
        </w:smartTagPr>
        <w:r w:rsidR="00691F73" w:rsidRPr="00B14726">
          <w:rPr>
            <w:lang w:eastAsia="es-AR"/>
          </w:rPr>
          <w:t>la Encuesta Permanente</w:t>
        </w:r>
      </w:smartTag>
      <w:r w:rsidR="00691F73" w:rsidRPr="00B14726">
        <w:rPr>
          <w:lang w:eastAsia="es-AR"/>
        </w:rPr>
        <w:t xml:space="preserve"> de Hogares (EPH) a cargo del Instituto Nacional de Estadísticas y</w:t>
      </w:r>
      <w:r w:rsidR="00AE291C">
        <w:rPr>
          <w:lang w:eastAsia="es-AR"/>
        </w:rPr>
        <w:t xml:space="preserve"> </w:t>
      </w:r>
      <w:r w:rsidR="00691F73" w:rsidRPr="00B14726">
        <w:rPr>
          <w:lang w:eastAsia="es-AR"/>
        </w:rPr>
        <w:t>Censos (INDEC)</w:t>
      </w:r>
      <w:r w:rsidR="0059201C">
        <w:rPr>
          <w:rStyle w:val="Refdenotaalpie"/>
          <w:lang w:eastAsia="es-AR"/>
        </w:rPr>
        <w:footnoteReference w:id="7"/>
      </w:r>
      <w:r w:rsidR="00691F73" w:rsidRPr="00B14726">
        <w:rPr>
          <w:lang w:eastAsia="es-AR"/>
        </w:rPr>
        <w:t xml:space="preserve">. Por motivos de fiabilidad y </w:t>
      </w:r>
      <w:r w:rsidR="00691F73" w:rsidRPr="00B14726">
        <w:rPr>
          <w:lang w:eastAsia="es-AR"/>
        </w:rPr>
        <w:lastRenderedPageBreak/>
        <w:t>comparabilidad, el análisis de micro datos se limitó al área metropolitana del Gran Buenos Aires (GBA).</w:t>
      </w:r>
      <w:r w:rsidR="00691F73" w:rsidRPr="00B14726">
        <w:rPr>
          <w:vertAlign w:val="superscript"/>
          <w:lang w:eastAsia="es-AR"/>
        </w:rPr>
        <w:footnoteReference w:id="8"/>
      </w:r>
      <w:r w:rsidR="00691F73" w:rsidRPr="00B14726">
        <w:rPr>
          <w:lang w:eastAsia="es-AR"/>
        </w:rPr>
        <w:t xml:space="preserve"> </w:t>
      </w:r>
    </w:p>
    <w:p w:rsidR="002563A5" w:rsidRDefault="00691F73" w:rsidP="002563A5">
      <w:pPr>
        <w:autoSpaceDE w:val="0"/>
        <w:autoSpaceDN w:val="0"/>
        <w:adjustRightInd w:val="0"/>
        <w:spacing w:after="120"/>
        <w:jc w:val="both"/>
        <w:rPr>
          <w:rFonts w:eastAsia="Calibri"/>
        </w:rPr>
      </w:pPr>
      <w:r w:rsidRPr="00666735">
        <w:rPr>
          <w:lang w:eastAsia="es-AR"/>
        </w:rPr>
        <w:t xml:space="preserve">En la sección que sigue a esta presentación, </w:t>
      </w:r>
      <w:r w:rsidR="00574C98" w:rsidRPr="00666735">
        <w:rPr>
          <w:lang w:eastAsia="es-AR"/>
        </w:rPr>
        <w:t xml:space="preserve">se </w:t>
      </w:r>
      <w:r w:rsidR="002820C2" w:rsidRPr="00666735">
        <w:rPr>
          <w:lang w:eastAsia="es-AR"/>
        </w:rPr>
        <w:t>exponen</w:t>
      </w:r>
      <w:r w:rsidR="00574C98" w:rsidRPr="00666735">
        <w:rPr>
          <w:lang w:eastAsia="es-AR"/>
        </w:rPr>
        <w:t xml:space="preserve"> </w:t>
      </w:r>
      <w:r w:rsidR="00DC5D2E">
        <w:rPr>
          <w:lang w:eastAsia="es-AR"/>
        </w:rPr>
        <w:t>los</w:t>
      </w:r>
      <w:r w:rsidR="00574C98" w:rsidRPr="00666735">
        <w:rPr>
          <w:lang w:eastAsia="es-AR"/>
        </w:rPr>
        <w:t xml:space="preserve"> </w:t>
      </w:r>
      <w:r w:rsidR="00DC5D2E">
        <w:rPr>
          <w:lang w:eastAsia="es-AR"/>
        </w:rPr>
        <w:t>argumentos</w:t>
      </w:r>
      <w:r w:rsidR="005D27D0" w:rsidRPr="00666735">
        <w:rPr>
          <w:lang w:eastAsia="es-AR"/>
        </w:rPr>
        <w:t xml:space="preserve"> teóricos </w:t>
      </w:r>
      <w:r w:rsidR="002B4DED">
        <w:rPr>
          <w:lang w:eastAsia="es-AR"/>
        </w:rPr>
        <w:t>que forman parte del</w:t>
      </w:r>
      <w:r w:rsidR="002B4DED" w:rsidRPr="00666735">
        <w:rPr>
          <w:lang w:eastAsia="es-AR"/>
        </w:rPr>
        <w:t xml:space="preserve"> </w:t>
      </w:r>
      <w:r w:rsidR="00DC5D2E">
        <w:rPr>
          <w:lang w:eastAsia="es-AR"/>
        </w:rPr>
        <w:t xml:space="preserve">actual </w:t>
      </w:r>
      <w:r w:rsidR="002B4DED" w:rsidRPr="00666735">
        <w:rPr>
          <w:lang w:eastAsia="es-AR"/>
        </w:rPr>
        <w:t xml:space="preserve">debate </w:t>
      </w:r>
      <w:r w:rsidR="002B4DED">
        <w:rPr>
          <w:lang w:eastAsia="es-AR"/>
        </w:rPr>
        <w:t xml:space="preserve">político-académico </w:t>
      </w:r>
      <w:r w:rsidR="00AE291C" w:rsidRPr="00666735">
        <w:rPr>
          <w:lang w:eastAsia="es-AR"/>
        </w:rPr>
        <w:t>en materia de modelos de desarrollo</w:t>
      </w:r>
      <w:r w:rsidR="00DC5D2E">
        <w:rPr>
          <w:lang w:eastAsia="es-AR"/>
        </w:rPr>
        <w:t>,</w:t>
      </w:r>
      <w:r w:rsidR="00AE291C" w:rsidRPr="00666735">
        <w:rPr>
          <w:lang w:eastAsia="es-AR"/>
        </w:rPr>
        <w:t xml:space="preserve"> </w:t>
      </w:r>
      <w:r w:rsidR="00DC5D2E">
        <w:rPr>
          <w:lang w:eastAsia="es-AR"/>
        </w:rPr>
        <w:t>poniéndose énfasis en la crítica estructuralista hacia estos modelos</w:t>
      </w:r>
      <w:r w:rsidR="002820C2" w:rsidRPr="00666735">
        <w:rPr>
          <w:lang w:eastAsia="es-AR"/>
        </w:rPr>
        <w:t>.</w:t>
      </w:r>
      <w:r w:rsidR="00036378">
        <w:rPr>
          <w:lang w:eastAsia="es-AR"/>
        </w:rPr>
        <w:t xml:space="preserve"> </w:t>
      </w:r>
      <w:r w:rsidR="005D27D0" w:rsidRPr="00666735">
        <w:rPr>
          <w:lang w:eastAsia="es-AR"/>
        </w:rPr>
        <w:t xml:space="preserve"> </w:t>
      </w:r>
      <w:r w:rsidR="002820C2" w:rsidRPr="00666735">
        <w:rPr>
          <w:lang w:eastAsia="es-AR"/>
        </w:rPr>
        <w:t>El tercer apartado</w:t>
      </w:r>
      <w:r w:rsidR="004A09D3">
        <w:rPr>
          <w:lang w:eastAsia="es-AR"/>
        </w:rPr>
        <w:t xml:space="preserve"> se</w:t>
      </w:r>
      <w:r w:rsidR="001B52DA" w:rsidRPr="00666735">
        <w:rPr>
          <w:lang w:eastAsia="es-AR"/>
        </w:rPr>
        <w:t xml:space="preserve"> </w:t>
      </w:r>
      <w:r w:rsidR="002820C2" w:rsidRPr="00666735">
        <w:rPr>
          <w:lang w:eastAsia="es-AR"/>
        </w:rPr>
        <w:t xml:space="preserve">hace </w:t>
      </w:r>
      <w:r w:rsidR="001B52DA" w:rsidRPr="00666735">
        <w:rPr>
          <w:lang w:eastAsia="es-AR"/>
        </w:rPr>
        <w:t xml:space="preserve">un </w:t>
      </w:r>
      <w:r w:rsidR="005D27D0" w:rsidRPr="00666735">
        <w:rPr>
          <w:lang w:eastAsia="es-AR"/>
        </w:rPr>
        <w:t>breve recorrido sobre los procesos económicos</w:t>
      </w:r>
      <w:r w:rsidR="002B4DED">
        <w:rPr>
          <w:lang w:eastAsia="es-AR"/>
        </w:rPr>
        <w:t xml:space="preserve"> </w:t>
      </w:r>
      <w:r w:rsidR="00B1472A">
        <w:rPr>
          <w:lang w:eastAsia="es-AR"/>
        </w:rPr>
        <w:t>de las últimas décadas</w:t>
      </w:r>
      <w:r w:rsidR="004A09D3">
        <w:rPr>
          <w:lang w:eastAsia="es-AR"/>
        </w:rPr>
        <w:t xml:space="preserve"> de la Argentina;</w:t>
      </w:r>
      <w:r w:rsidR="002B4DED">
        <w:rPr>
          <w:lang w:eastAsia="es-AR"/>
        </w:rPr>
        <w:t xml:space="preserve"> </w:t>
      </w:r>
      <w:r w:rsidR="004A09D3">
        <w:rPr>
          <w:lang w:eastAsia="es-AR"/>
        </w:rPr>
        <w:t>a la vez que se analizan</w:t>
      </w:r>
      <w:r w:rsidR="002B4DED">
        <w:rPr>
          <w:lang w:eastAsia="es-AR"/>
        </w:rPr>
        <w:t xml:space="preserve"> sus resultados en materia de </w:t>
      </w:r>
      <w:r w:rsidR="002B4DED" w:rsidRPr="00666735">
        <w:rPr>
          <w:lang w:eastAsia="es-AR"/>
        </w:rPr>
        <w:t>indigencia y pobreza</w:t>
      </w:r>
      <w:r w:rsidR="002820C2" w:rsidRPr="00666735">
        <w:rPr>
          <w:lang w:eastAsia="es-AR"/>
        </w:rPr>
        <w:t xml:space="preserve">. </w:t>
      </w:r>
      <w:r w:rsidR="00B51F54" w:rsidRPr="00666735">
        <w:rPr>
          <w:lang w:eastAsia="es-AR"/>
        </w:rPr>
        <w:t xml:space="preserve">En el cuarto apartado se </w:t>
      </w:r>
      <w:r w:rsidR="00666735" w:rsidRPr="00666735">
        <w:rPr>
          <w:lang w:eastAsia="es-AR"/>
        </w:rPr>
        <w:t>examinan</w:t>
      </w:r>
      <w:r w:rsidR="00B51F54" w:rsidRPr="00666735">
        <w:rPr>
          <w:lang w:eastAsia="es-AR"/>
        </w:rPr>
        <w:t xml:space="preserve"> </w:t>
      </w:r>
      <w:r w:rsidR="005D27D0" w:rsidRPr="00666735">
        <w:rPr>
          <w:lang w:eastAsia="es-AR"/>
        </w:rPr>
        <w:t>los cambios y</w:t>
      </w:r>
      <w:r w:rsidR="00666735" w:rsidRPr="00666735">
        <w:rPr>
          <w:lang w:eastAsia="es-AR"/>
        </w:rPr>
        <w:t xml:space="preserve"> las</w:t>
      </w:r>
      <w:r w:rsidR="005D27D0" w:rsidRPr="00666735">
        <w:rPr>
          <w:lang w:eastAsia="es-AR"/>
        </w:rPr>
        <w:t xml:space="preserve"> continuidades </w:t>
      </w:r>
      <w:r w:rsidR="004A09D3">
        <w:rPr>
          <w:lang w:eastAsia="es-AR"/>
        </w:rPr>
        <w:t xml:space="preserve">registrados </w:t>
      </w:r>
      <w:r w:rsidR="005D27D0" w:rsidRPr="00666735">
        <w:rPr>
          <w:lang w:eastAsia="es-AR"/>
        </w:rPr>
        <w:t>en la estructura y composición sectorial del empleo</w:t>
      </w:r>
      <w:r w:rsidR="004A09D3">
        <w:rPr>
          <w:lang w:eastAsia="es-AR"/>
        </w:rPr>
        <w:t xml:space="preserve"> durante el mismo período</w:t>
      </w:r>
      <w:r w:rsidR="00B51F54" w:rsidRPr="00666735">
        <w:rPr>
          <w:lang w:eastAsia="es-AR"/>
        </w:rPr>
        <w:t xml:space="preserve">. </w:t>
      </w:r>
      <w:r w:rsidR="001B52DA" w:rsidRPr="00666735">
        <w:rPr>
          <w:lang w:eastAsia="es-AR"/>
        </w:rPr>
        <w:t xml:space="preserve">En el </w:t>
      </w:r>
      <w:r w:rsidR="002563A5" w:rsidRPr="00666735">
        <w:rPr>
          <w:lang w:eastAsia="es-AR"/>
        </w:rPr>
        <w:t>quinto</w:t>
      </w:r>
      <w:r w:rsidR="001B52DA" w:rsidRPr="00666735">
        <w:rPr>
          <w:lang w:eastAsia="es-AR"/>
        </w:rPr>
        <w:t xml:space="preserve"> apartado, se </w:t>
      </w:r>
      <w:r w:rsidR="003420BA">
        <w:rPr>
          <w:lang w:eastAsia="es-AR"/>
        </w:rPr>
        <w:t>analizan</w:t>
      </w:r>
      <w:r w:rsidR="001B52DA" w:rsidRPr="00666735">
        <w:rPr>
          <w:lang w:eastAsia="es-AR"/>
        </w:rPr>
        <w:t xml:space="preserve"> los principales cambios </w:t>
      </w:r>
      <w:r w:rsidRPr="00666735">
        <w:rPr>
          <w:lang w:eastAsia="es-AR"/>
        </w:rPr>
        <w:t xml:space="preserve">ocurridos en la orientación </w:t>
      </w:r>
      <w:r w:rsidR="004A09D3">
        <w:rPr>
          <w:lang w:eastAsia="es-AR"/>
        </w:rPr>
        <w:t xml:space="preserve">y alcance </w:t>
      </w:r>
      <w:r w:rsidRPr="00666735">
        <w:rPr>
          <w:lang w:eastAsia="es-AR"/>
        </w:rPr>
        <w:t xml:space="preserve">de las políticas sociales. En </w:t>
      </w:r>
      <w:r w:rsidR="002563A5" w:rsidRPr="00666735">
        <w:rPr>
          <w:lang w:eastAsia="es-AR"/>
        </w:rPr>
        <w:t>los apartados seis y siete</w:t>
      </w:r>
      <w:r w:rsidRPr="00666735">
        <w:rPr>
          <w:lang w:eastAsia="es-AR"/>
        </w:rPr>
        <w:t xml:space="preserve"> se examina el comportamiento del gasto social consolidado, así como de sus principales componentes (gasto social estructural-universal, seguridad social y promoción y asistencia directa). </w:t>
      </w:r>
      <w:r w:rsidR="00666735">
        <w:rPr>
          <w:lang w:eastAsia="es-AR"/>
        </w:rPr>
        <w:t xml:space="preserve">El octavo apartado evalúa la cobertura y alcance de las transferencias directas de ingreso a nivel de los hogares y la masa total de ingresos distribuida a nivel social. </w:t>
      </w:r>
      <w:r w:rsidR="00666735" w:rsidRPr="00666735">
        <w:rPr>
          <w:rFonts w:eastAsia="Calibri"/>
        </w:rPr>
        <w:t>La</w:t>
      </w:r>
      <w:r w:rsidR="002563A5" w:rsidRPr="00666735">
        <w:rPr>
          <w:rFonts w:eastAsia="Calibri"/>
        </w:rPr>
        <w:t xml:space="preserve"> </w:t>
      </w:r>
      <w:r w:rsidR="00666735">
        <w:rPr>
          <w:rFonts w:eastAsia="Calibri"/>
        </w:rPr>
        <w:t>novena</w:t>
      </w:r>
      <w:r w:rsidR="002563A5" w:rsidRPr="00666735">
        <w:rPr>
          <w:rFonts w:eastAsia="Calibri"/>
        </w:rPr>
        <w:t xml:space="preserve"> sección analiz</w:t>
      </w:r>
      <w:r w:rsidR="001B52DA" w:rsidRPr="00666735">
        <w:rPr>
          <w:rFonts w:eastAsia="Calibri"/>
        </w:rPr>
        <w:t>a</w:t>
      </w:r>
      <w:r w:rsidR="002563A5" w:rsidRPr="00666735">
        <w:rPr>
          <w:rFonts w:eastAsia="Calibri"/>
        </w:rPr>
        <w:t xml:space="preserve">, a </w:t>
      </w:r>
      <w:r w:rsidR="001B52DA" w:rsidRPr="00666735">
        <w:rPr>
          <w:rFonts w:eastAsia="Calibri"/>
        </w:rPr>
        <w:t xml:space="preserve">través de una técnica de descomposición de las variaciones en las tasas de indigencia y pobreza, el </w:t>
      </w:r>
      <w:r w:rsidR="00AA431D" w:rsidRPr="00666735">
        <w:rPr>
          <w:rFonts w:eastAsia="Calibri"/>
        </w:rPr>
        <w:t>aporte</w:t>
      </w:r>
      <w:r w:rsidR="001B52DA" w:rsidRPr="00666735">
        <w:rPr>
          <w:rFonts w:eastAsia="Calibri"/>
        </w:rPr>
        <w:t xml:space="preserve"> de las transferencias </w:t>
      </w:r>
      <w:r w:rsidR="00AA431D" w:rsidRPr="00666735">
        <w:rPr>
          <w:rFonts w:eastAsia="Calibri"/>
        </w:rPr>
        <w:t>monetarias</w:t>
      </w:r>
      <w:r w:rsidR="001B52DA" w:rsidRPr="00666735">
        <w:rPr>
          <w:rFonts w:eastAsia="Calibri"/>
        </w:rPr>
        <w:t xml:space="preserve"> directas de la política social, los ingresos </w:t>
      </w:r>
      <w:r w:rsidR="00AA431D" w:rsidRPr="00666735">
        <w:rPr>
          <w:rFonts w:eastAsia="Calibri"/>
        </w:rPr>
        <w:t>familiares generados por otras fuentes</w:t>
      </w:r>
      <w:r w:rsidR="001B52DA" w:rsidRPr="00666735">
        <w:rPr>
          <w:rFonts w:eastAsia="Calibri"/>
        </w:rPr>
        <w:t xml:space="preserve"> y la desigualdad </w:t>
      </w:r>
      <w:r w:rsidR="00AA431D" w:rsidRPr="00666735">
        <w:rPr>
          <w:rFonts w:eastAsia="Calibri"/>
        </w:rPr>
        <w:t>distributiva a</w:t>
      </w:r>
      <w:r w:rsidR="001B52DA" w:rsidRPr="00666735">
        <w:rPr>
          <w:rFonts w:eastAsia="Calibri"/>
        </w:rPr>
        <w:t xml:space="preserve"> los cambios experimentados por dichas tasas </w:t>
      </w:r>
      <w:r w:rsidR="00666735" w:rsidRPr="00666735">
        <w:rPr>
          <w:rFonts w:eastAsia="Calibri"/>
        </w:rPr>
        <w:t>para</w:t>
      </w:r>
      <w:r w:rsidR="00AA431D" w:rsidRPr="00666735">
        <w:rPr>
          <w:rFonts w:eastAsia="Calibri"/>
        </w:rPr>
        <w:t xml:space="preserve"> diferentes períodos</w:t>
      </w:r>
      <w:r w:rsidR="00666735" w:rsidRPr="00666735">
        <w:rPr>
          <w:rFonts w:eastAsia="Calibri"/>
        </w:rPr>
        <w:t xml:space="preserve"> y subperíodos</w:t>
      </w:r>
      <w:r w:rsidRPr="00666735">
        <w:rPr>
          <w:rFonts w:eastAsia="Calibri"/>
        </w:rPr>
        <w:t xml:space="preserve">. </w:t>
      </w:r>
      <w:r w:rsidR="00AA431D" w:rsidRPr="00666735">
        <w:rPr>
          <w:rFonts w:eastAsia="Calibri"/>
        </w:rPr>
        <w:t>El trabajo concluye</w:t>
      </w:r>
      <w:r w:rsidRPr="00666735">
        <w:rPr>
          <w:rFonts w:eastAsia="Calibri"/>
        </w:rPr>
        <w:t xml:space="preserve"> con una discusión de los principales hallazgos a la luz de las preocupaciones que motivaron este trabajo.</w:t>
      </w:r>
      <w:r w:rsidRPr="00CD70DB">
        <w:rPr>
          <w:rFonts w:eastAsia="Calibri"/>
        </w:rPr>
        <w:t xml:space="preserve"> </w:t>
      </w:r>
    </w:p>
    <w:p w:rsidR="00082C41" w:rsidRDefault="00082C41" w:rsidP="002563A5">
      <w:pPr>
        <w:autoSpaceDE w:val="0"/>
        <w:autoSpaceDN w:val="0"/>
        <w:adjustRightInd w:val="0"/>
        <w:spacing w:after="120"/>
        <w:jc w:val="both"/>
        <w:rPr>
          <w:rFonts w:eastAsia="Calibri"/>
        </w:rPr>
      </w:pPr>
    </w:p>
    <w:p w:rsidR="00C52D5C" w:rsidRPr="00C52D5C" w:rsidRDefault="00C52D5C" w:rsidP="00C52D5C">
      <w:pPr>
        <w:spacing w:after="120"/>
        <w:jc w:val="both"/>
        <w:rPr>
          <w:b/>
        </w:rPr>
      </w:pPr>
      <w:r w:rsidRPr="00C52D5C">
        <w:rPr>
          <w:b/>
          <w:bCs/>
        </w:rPr>
        <w:t xml:space="preserve">2. </w:t>
      </w:r>
      <w:r w:rsidR="00CC7AE2">
        <w:rPr>
          <w:b/>
          <w:bCs/>
        </w:rPr>
        <w:t xml:space="preserve">Los </w:t>
      </w:r>
      <w:r w:rsidRPr="00C52D5C">
        <w:rPr>
          <w:b/>
          <w:bCs/>
        </w:rPr>
        <w:t>programas para el desarrollo</w:t>
      </w:r>
      <w:r w:rsidR="00CC7AE2">
        <w:rPr>
          <w:b/>
          <w:bCs/>
        </w:rPr>
        <w:t xml:space="preserve">, las políticas sociales y </w:t>
      </w:r>
      <w:r w:rsidR="00E329A7">
        <w:rPr>
          <w:b/>
        </w:rPr>
        <w:t xml:space="preserve">la </w:t>
      </w:r>
      <w:r w:rsidR="00CC7AE2">
        <w:rPr>
          <w:b/>
        </w:rPr>
        <w:t xml:space="preserve">marginalidad económica persistente </w:t>
      </w:r>
      <w:r w:rsidR="008536C8">
        <w:rPr>
          <w:b/>
        </w:rPr>
        <w:t xml:space="preserve"> </w:t>
      </w:r>
    </w:p>
    <w:p w:rsidR="003420BA" w:rsidRDefault="00C52D5C" w:rsidP="00C52D5C">
      <w:pPr>
        <w:spacing w:after="120"/>
        <w:jc w:val="both"/>
      </w:pPr>
      <w:r w:rsidRPr="00C52D5C">
        <w:rPr>
          <w:rFonts w:eastAsia="Calibri"/>
        </w:rPr>
        <w:t xml:space="preserve">Desde </w:t>
      </w:r>
      <w:r w:rsidRPr="00C52D5C">
        <w:t>la perspectiva ortodoxa del Banco Mundial, buena parte del crecimiento, la reducción de la pobreza y la caída de la desigualdad en la región durante la última década constituyen el resultado esperado de las reformas “pro-mercado” (liberalización económica, reconversión productiva e inversión en infraestructura) puestas en marcha por la región durante los años noventa</w:t>
      </w:r>
      <w:r w:rsidR="003420BA">
        <w:t>, en el marco del denominado Consenso de Washington</w:t>
      </w:r>
      <w:r w:rsidRPr="00C52D5C">
        <w:t>.</w:t>
      </w:r>
      <w:r w:rsidR="0016525E">
        <w:rPr>
          <w:rStyle w:val="Refdenotaalpie"/>
        </w:rPr>
        <w:footnoteReference w:id="9"/>
      </w:r>
      <w:r w:rsidRPr="00C52D5C">
        <w:t xml:space="preserve"> </w:t>
      </w:r>
    </w:p>
    <w:p w:rsidR="00C52D5C" w:rsidRPr="00C52D5C" w:rsidRDefault="00C52D5C" w:rsidP="00C52D5C">
      <w:pPr>
        <w:spacing w:after="120"/>
        <w:jc w:val="both"/>
      </w:pPr>
      <w:r w:rsidRPr="00C52D5C">
        <w:t xml:space="preserve">Tales transformaciones habrían hecho posible un aprovechamiento de las oportunidades brindadas por el mercado mundial para los países con ventajas comparativas en materias primas. </w:t>
      </w:r>
      <w:r w:rsidR="003420BA">
        <w:t>A partir de este proceso</w:t>
      </w:r>
      <w:r w:rsidRPr="00C52D5C">
        <w:t xml:space="preserve">, la sociedad latinoamericana </w:t>
      </w:r>
      <w:r w:rsidR="003420BA">
        <w:t>habría logrado ser m</w:t>
      </w:r>
      <w:r w:rsidRPr="00C52D5C">
        <w:t xml:space="preserve">ás fluida </w:t>
      </w:r>
      <w:r w:rsidR="003420BA">
        <w:t>y ampliar</w:t>
      </w:r>
      <w:r w:rsidRPr="00C52D5C">
        <w:t xml:space="preserve"> el peso de sus clases medias.</w:t>
      </w:r>
      <w:r w:rsidRPr="00C52D5C">
        <w:rPr>
          <w:vertAlign w:val="superscript"/>
        </w:rPr>
        <w:t xml:space="preserve"> </w:t>
      </w:r>
      <w:r w:rsidRPr="00C52D5C">
        <w:t xml:space="preserve">Sin embargo, todavía hay barreras estructurales que impiden arribar a un sendero sustentable de convergencia. Para superar estas barreras es necesario profundizar las reformas fiscales, controlar la corrupción de los gobiernos, desarrollar el capital educativo de la población y ampliar las libertades de </w:t>
      </w:r>
      <w:r w:rsidRPr="00C52D5C">
        <w:lastRenderedPageBreak/>
        <w:t>mercado. En este marco, mientras una parte de las funciones sociales pueden ser objeto de una más eficiente administración por parte de los mercados, los programas sociales de transferencia condicionada de ingresos orientados a los sectores más pobres tienen un papel crucial tanto como mecanismo de asistencia como de promoción social (</w:t>
      </w:r>
      <w:proofErr w:type="spellStart"/>
      <w:r w:rsidRPr="00C52D5C">
        <w:t>Birdsall</w:t>
      </w:r>
      <w:proofErr w:type="spellEnd"/>
      <w:r w:rsidRPr="00C52D5C">
        <w:t xml:space="preserve"> y de la Torre, 2001; De Ferrari et al, 2003, 2004; Perry et al, 2006;  Ferreira et al, 2013).   </w:t>
      </w:r>
    </w:p>
    <w:p w:rsidR="00C52D5C" w:rsidRPr="00C52D5C" w:rsidRDefault="00C52D5C" w:rsidP="00C52D5C">
      <w:pPr>
        <w:spacing w:after="120"/>
        <w:jc w:val="both"/>
      </w:pPr>
      <w:r w:rsidRPr="00C52D5C">
        <w:t>En un sentido alternativo, según el enfoque neodesarrollista latinoamericano, la mejor performance socioeconómica que registró la región durante la última década se habría fundado en los esfuerzos puestos por los gobiernos para lograr superávit fiscal y orientar los excedentes generados por el comercio exterior y la inversión financiera internacional hacia una mayor inversión en infraestructura, promoción del mercado interno, aumento de la demanda de empleo y expansión del gasto social. La preocupación hacia adelante es que este modelo sigue siendo vulnerable a la trampa que genera la especialización productiva y la concentración económica, ambas estrechamente relacionadas con el mercado internacional. De ahí que la regulación de los mercados de capitales, el crédito público, la política fiscal, las instituciones laborales, la innovación científico-tecnológica y los sistemas de protección social cumplen un papel clave para promover el crecimiento endógeno y lograr una más equitativa distribución del ingreso (CEPAL, 2010, 2011, 2014).</w:t>
      </w:r>
    </w:p>
    <w:p w:rsidR="00C52D5C" w:rsidRPr="00C52D5C" w:rsidRDefault="00C52D5C" w:rsidP="00C52D5C">
      <w:pPr>
        <w:spacing w:after="120"/>
        <w:jc w:val="both"/>
      </w:pPr>
      <w:r w:rsidRPr="00C52D5C">
        <w:t xml:space="preserve">Ahora bien, retomando los postulados </w:t>
      </w:r>
      <w:r w:rsidR="006051D7">
        <w:t xml:space="preserve">teóricos </w:t>
      </w:r>
      <w:r w:rsidRPr="00C52D5C">
        <w:t xml:space="preserve">originales del enfoque estructuralista latinoamericano, surge una serie de interrogantes acerca de las bondades económicas y sociales del crecimiento registrado durante las últimas décadas en la región. En primer lugar, se destaca el hecho de que esta etapa de bonanza ha dependido fuertemente de un sector externo </w:t>
      </w:r>
      <w:r w:rsidR="00E0259F">
        <w:t>altamente</w:t>
      </w:r>
      <w:r w:rsidRPr="00C52D5C">
        <w:t xml:space="preserve"> concentrado, antes que de un desarrollo endógeno equilibrado. De ahí que se mantenga una relación sistémica entre la expansión del comercio exterior, la concentración económica y la reproducción de actividades de muy baja productividad fundadas en la subsistencia de los excedentes de población generados por las falencias de este modelo de crecimiento. Según </w:t>
      </w:r>
      <w:r w:rsidR="00036378">
        <w:t>esta</w:t>
      </w:r>
      <w:r w:rsidRPr="00C52D5C">
        <w:t xml:space="preserve"> literatura, un modelo de crecimiento fundado en la concentración del progreso técnico, la inversión y el comercio en algunas ramas o unidades económicas, sin que esta dinámica se extienda al resto del sistema económico, impide un efectivo proceso de desarrollo en tanto reproduce la heterogeneidad estructural (</w:t>
      </w:r>
      <w:proofErr w:type="spellStart"/>
      <w:r w:rsidRPr="00C52D5C">
        <w:t>Prebisch</w:t>
      </w:r>
      <w:proofErr w:type="spellEnd"/>
      <w:r w:rsidRPr="00C52D5C">
        <w:t>, 1949, 1970, 1981; Pinto, 197</w:t>
      </w:r>
      <w:r w:rsidR="0039189B">
        <w:t>3</w:t>
      </w:r>
      <w:r w:rsidRPr="00C52D5C">
        <w:t>).</w:t>
      </w:r>
      <w:r w:rsidRPr="00C52D5C">
        <w:rPr>
          <w:rFonts w:eastAsia="Calibri"/>
          <w:iCs/>
          <w:color w:val="000000"/>
          <w:vertAlign w:val="superscript"/>
          <w:lang w:val="es-AR"/>
        </w:rPr>
        <w:footnoteReference w:id="10"/>
      </w:r>
      <w:r w:rsidRPr="00C52D5C">
        <w:t xml:space="preserve"> </w:t>
      </w:r>
    </w:p>
    <w:p w:rsidR="00C52D5C" w:rsidRPr="00C52D5C" w:rsidRDefault="00C52D5C" w:rsidP="00C52D5C">
      <w:pPr>
        <w:spacing w:after="120"/>
        <w:jc w:val="both"/>
      </w:pPr>
      <w:r w:rsidRPr="00C52D5C">
        <w:t xml:space="preserve">De este modo, un ciclo de crecimiento fundado </w:t>
      </w:r>
      <w:r w:rsidR="00E0259F">
        <w:t>en una sostenida</w:t>
      </w:r>
      <w:r w:rsidRPr="00C52D5C">
        <w:t xml:space="preserve"> heterogeneidad estructural puede profundizar la brecha productiva entre un sector de alta productividad fuertemente vinculado al mercado exterior o a mercados especializados, junto a otras actividades de muy baja productividad vinculadas al mercado interno o a la simple subsistencia. De acuerdo con este enfoque, las actividades de subsistencia tienden a perdurar dado que ocupan a una amplia oferta de mano de obra redundante, frente a las cuales las condiciones de desarrollo periférico no logran dar solución.</w:t>
      </w:r>
      <w:r w:rsidRPr="00C52D5C">
        <w:rPr>
          <w:vertAlign w:val="superscript"/>
        </w:rPr>
        <w:footnoteReference w:id="11"/>
      </w:r>
      <w:r w:rsidRPr="00C52D5C">
        <w:t xml:space="preserve"> </w:t>
      </w:r>
    </w:p>
    <w:p w:rsidR="00717849" w:rsidRDefault="00717849" w:rsidP="00C52D5C">
      <w:pPr>
        <w:spacing w:after="120"/>
        <w:jc w:val="both"/>
      </w:pPr>
      <w:r>
        <w:lastRenderedPageBreak/>
        <w:t>D</w:t>
      </w:r>
      <w:r w:rsidR="00C52D5C" w:rsidRPr="00C52D5C">
        <w:t>istintos trabajos actuales de CEPAL (CEPAL, 2012; Infante, 2011) confirman la vigencia de importantes niveles de heterogeneidad estructural en los países de América Latina, aún luego de la fase de alto crecimiento basado en los sectores agro-minero-exportadores tal como el que se registró en la última década. De acuerdo con la evidencia, la desigual distribución de la fuerza de trabajo en distintos estratos de productividad resulta ser el elemento clave –si bien no el único dado el papel crucial jugado por la institucionalidad laboral- para entender la desigualdad de la distribución del ingreso entre los trabajadores y su acceso al sistema de protección social (CEPAL, 2012: 109).</w:t>
      </w:r>
      <w:r>
        <w:t xml:space="preserve"> </w:t>
      </w:r>
    </w:p>
    <w:p w:rsidR="00C52D5C" w:rsidRDefault="00717849" w:rsidP="00C52D5C">
      <w:pPr>
        <w:spacing w:after="120"/>
        <w:jc w:val="both"/>
      </w:pPr>
      <w:r>
        <w:t>Es p</w:t>
      </w:r>
      <w:r w:rsidR="00C52D5C" w:rsidRPr="00C52D5C">
        <w:t>recisamente</w:t>
      </w:r>
      <w:r w:rsidR="00DE6CD3">
        <w:t xml:space="preserve"> </w:t>
      </w:r>
      <w:r w:rsidR="00C52D5C" w:rsidRPr="00C52D5C">
        <w:t>en este contexto que se modifica el sistema de seguridad social, originalmente concebido como un mecanismo de protección para los trabajadores formales y sus familias. En el marco de una persistente desigualdad entre los trabajadores, originada en su participación en distintos estratos de productividad, los sistemas de seguridad social incorporaron en la región un subsistema no contributivo dirigido a la fuerza de trabajo ocupada en actividades informales y de baja productividad.</w:t>
      </w:r>
      <w:r w:rsidR="00C52D5C" w:rsidRPr="00C52D5C">
        <w:rPr>
          <w:vertAlign w:val="superscript"/>
        </w:rPr>
        <w:footnoteReference w:id="12"/>
      </w:r>
      <w:r w:rsidR="00C52D5C" w:rsidRPr="00C52D5C">
        <w:t xml:space="preserve"> </w:t>
      </w:r>
    </w:p>
    <w:p w:rsidR="00036378" w:rsidRDefault="00C52D5C" w:rsidP="00C52D5C">
      <w:pPr>
        <w:spacing w:after="120"/>
        <w:jc w:val="both"/>
        <w:rPr>
          <w:lang w:val="es-AR"/>
        </w:rPr>
      </w:pPr>
      <w:r w:rsidRPr="00C52D5C">
        <w:rPr>
          <w:lang w:val="es-AR"/>
        </w:rPr>
        <w:t xml:space="preserve">En tanto que la demanda agregada de empleo generada por los sectores productivos más dinámicos no </w:t>
      </w:r>
      <w:r w:rsidR="00E0259F" w:rsidRPr="00C52D5C">
        <w:rPr>
          <w:lang w:val="es-AR"/>
        </w:rPr>
        <w:t>logr</w:t>
      </w:r>
      <w:r w:rsidR="00E0259F">
        <w:rPr>
          <w:lang w:val="es-AR"/>
        </w:rPr>
        <w:t>e</w:t>
      </w:r>
      <w:r w:rsidR="00E0259F" w:rsidRPr="00C52D5C">
        <w:rPr>
          <w:lang w:val="es-AR"/>
        </w:rPr>
        <w:t xml:space="preserve"> </w:t>
      </w:r>
      <w:r w:rsidRPr="00C52D5C">
        <w:rPr>
          <w:lang w:val="es-AR"/>
        </w:rPr>
        <w:t xml:space="preserve">absorber a los excedentes de población, resulta inevitable la reproducción de un sector informal de subsistencia que requiere de asistencia pública. Justamente, la persistencia de </w:t>
      </w:r>
      <w:r w:rsidR="007A6DE6">
        <w:rPr>
          <w:lang w:val="es-AR"/>
        </w:rPr>
        <w:t xml:space="preserve">esta heterogeneidad </w:t>
      </w:r>
      <w:r w:rsidR="005A6AA3">
        <w:rPr>
          <w:lang w:val="es-AR"/>
        </w:rPr>
        <w:t>económico-ocupacional</w:t>
      </w:r>
      <w:r w:rsidRPr="00C52D5C">
        <w:rPr>
          <w:lang w:val="es-AR"/>
        </w:rPr>
        <w:t xml:space="preserve">, tanto en contexto de crisis como de crecimiento, estaría dando cuenta del carácter </w:t>
      </w:r>
      <w:r w:rsidR="007A6DE6">
        <w:rPr>
          <w:lang w:val="es-AR"/>
        </w:rPr>
        <w:t>no</w:t>
      </w:r>
      <w:r w:rsidRPr="00C52D5C">
        <w:rPr>
          <w:lang w:val="es-AR"/>
        </w:rPr>
        <w:t xml:space="preserve"> transitorio </w:t>
      </w:r>
      <w:r w:rsidR="007A6DE6">
        <w:rPr>
          <w:lang w:val="es-AR"/>
        </w:rPr>
        <w:t>sino estructural de la</w:t>
      </w:r>
      <w:r w:rsidRPr="00C52D5C">
        <w:rPr>
          <w:lang w:val="es-AR"/>
        </w:rPr>
        <w:t xml:space="preserve"> economía de subsistencia</w:t>
      </w:r>
      <w:r w:rsidR="008536C8">
        <w:rPr>
          <w:lang w:val="es-AR"/>
        </w:rPr>
        <w:t>; y e</w:t>
      </w:r>
      <w:r w:rsidRPr="00C52D5C">
        <w:rPr>
          <w:lang w:val="es-AR"/>
        </w:rPr>
        <w:t xml:space="preserve">sto de manera independiente del grado de cobertura y la capacidad </w:t>
      </w:r>
      <w:r w:rsidR="008536C8">
        <w:rPr>
          <w:lang w:val="es-AR"/>
        </w:rPr>
        <w:t>de</w:t>
      </w:r>
      <w:r w:rsidRPr="00C52D5C">
        <w:rPr>
          <w:lang w:val="es-AR"/>
        </w:rPr>
        <w:t xml:space="preserve"> los sistemas de protección social y los programas </w:t>
      </w:r>
      <w:r w:rsidR="005A6AA3">
        <w:rPr>
          <w:lang w:val="es-AR"/>
        </w:rPr>
        <w:t>sociales</w:t>
      </w:r>
      <w:r w:rsidRPr="00C52D5C">
        <w:rPr>
          <w:lang w:val="es-AR"/>
        </w:rPr>
        <w:t xml:space="preserve"> para brindar </w:t>
      </w:r>
      <w:r w:rsidR="007A6DE6">
        <w:rPr>
          <w:lang w:val="es-AR"/>
        </w:rPr>
        <w:t>asistencia</w:t>
      </w:r>
      <w:r w:rsidRPr="00C52D5C">
        <w:rPr>
          <w:lang w:val="es-AR"/>
        </w:rPr>
        <w:t xml:space="preserve"> a la población “sobrante” sometida a situaciones de marginalidad económica.</w:t>
      </w:r>
      <w:r w:rsidRPr="00C52D5C">
        <w:rPr>
          <w:vertAlign w:val="superscript"/>
          <w:lang w:val="es-AR"/>
        </w:rPr>
        <w:footnoteReference w:id="13"/>
      </w:r>
      <w:r w:rsidRPr="00C52D5C">
        <w:rPr>
          <w:lang w:val="es-AR"/>
        </w:rPr>
        <w:t xml:space="preserve"> </w:t>
      </w:r>
    </w:p>
    <w:p w:rsidR="00C52D5C" w:rsidRPr="00C52D5C" w:rsidRDefault="007202BF" w:rsidP="00C52D5C">
      <w:pPr>
        <w:spacing w:after="120"/>
        <w:jc w:val="both"/>
        <w:rPr>
          <w:lang w:val="es-AR"/>
        </w:rPr>
      </w:pPr>
      <w:r>
        <w:rPr>
          <w:lang w:val="es-AR"/>
        </w:rPr>
        <w:t xml:space="preserve">De </w:t>
      </w:r>
      <w:r w:rsidR="00036378">
        <w:rPr>
          <w:lang w:val="es-AR"/>
        </w:rPr>
        <w:t xml:space="preserve">tal </w:t>
      </w:r>
      <w:r>
        <w:rPr>
          <w:lang w:val="es-AR"/>
        </w:rPr>
        <w:t xml:space="preserve">forma que estas poblaciones </w:t>
      </w:r>
      <w:r w:rsidRPr="001A072B">
        <w:t>ya no adopta</w:t>
      </w:r>
      <w:r>
        <w:t xml:space="preserve">rían </w:t>
      </w:r>
      <w:r w:rsidRPr="001A072B">
        <w:t>–en un país como la Argentina- la forma de excedentes sociales eventualmente “disponibles” para un programa de modernización, sino que se constituirían más abiertamente en la expresión de una población “sobrante”, a la que –a través de políticas sociales eficientes- es necesario recluir, controlar y cooptar con el objeto de evitar que emerja su potencial fuerza desestabilizadora sobre el orden político-económico. Para ello, incluso, cabe servirse de los propios recursos de subsistencia que en condiciones de pobreza ofrece la economía informal a través de las estrategias doméstico-familiares y comunitarias.</w:t>
      </w:r>
      <w:r w:rsidRPr="001A072B">
        <w:rPr>
          <w:vertAlign w:val="superscript"/>
        </w:rPr>
        <w:footnoteReference w:id="14"/>
      </w:r>
    </w:p>
    <w:p w:rsidR="00036378" w:rsidRDefault="005A6AA3" w:rsidP="008536C8">
      <w:pPr>
        <w:spacing w:after="120"/>
        <w:jc w:val="both"/>
      </w:pPr>
      <w:r w:rsidRPr="007A6DE6">
        <w:rPr>
          <w:lang w:val="es-AR"/>
        </w:rPr>
        <w:lastRenderedPageBreak/>
        <w:t>Est</w:t>
      </w:r>
      <w:r w:rsidR="008536C8">
        <w:rPr>
          <w:lang w:val="es-AR"/>
        </w:rPr>
        <w:t>os argumentos</w:t>
      </w:r>
      <w:r w:rsidRPr="007A6DE6">
        <w:rPr>
          <w:lang w:val="es-AR"/>
        </w:rPr>
        <w:t xml:space="preserve"> </w:t>
      </w:r>
      <w:r w:rsidR="006051D7">
        <w:rPr>
          <w:lang w:val="es-AR"/>
        </w:rPr>
        <w:t xml:space="preserve">teóricos </w:t>
      </w:r>
      <w:r w:rsidRPr="007A6DE6">
        <w:rPr>
          <w:lang w:val="es-AR"/>
        </w:rPr>
        <w:t>se apoya</w:t>
      </w:r>
      <w:r w:rsidR="008536C8">
        <w:rPr>
          <w:lang w:val="es-AR"/>
        </w:rPr>
        <w:t>n</w:t>
      </w:r>
      <w:r w:rsidRPr="007A6DE6">
        <w:rPr>
          <w:lang w:val="es-AR"/>
        </w:rPr>
        <w:t xml:space="preserve"> en </w:t>
      </w:r>
      <w:r w:rsidR="00036378">
        <w:rPr>
          <w:lang w:val="es-AR"/>
        </w:rPr>
        <w:t>un</w:t>
      </w:r>
      <w:r w:rsidRPr="007A6DE6">
        <w:rPr>
          <w:lang w:val="es-AR"/>
        </w:rPr>
        <w:t xml:space="preserve"> supuesto estructuralista </w:t>
      </w:r>
      <w:r w:rsidR="00036378">
        <w:rPr>
          <w:lang w:val="es-AR"/>
        </w:rPr>
        <w:t xml:space="preserve">nodal: </w:t>
      </w:r>
      <w:r w:rsidRPr="007A6DE6">
        <w:t>los modelos de acumulación fundados en patrones de “heterogeneidad”, es decir, centrados en sectores con alta especialización, elevada</w:t>
      </w:r>
      <w:r w:rsidRPr="007A6DE6">
        <w:rPr>
          <w:bCs/>
          <w:lang w:val="es-AR"/>
        </w:rPr>
        <w:t xml:space="preserve"> productividad y fuertemente orientados al mercado externo, difícilmente pueden absorber los excedentes de población</w:t>
      </w:r>
      <w:r w:rsidRPr="007A6DE6">
        <w:t xml:space="preserve"> ni resolver la débil integración socio-ocupacional sistémica que impone la dinámica económica</w:t>
      </w:r>
      <w:r w:rsidR="008536C8">
        <w:t xml:space="preserve"> </w:t>
      </w:r>
      <w:r w:rsidR="008536C8" w:rsidRPr="008536C8">
        <w:t>(Salvia, 2007, 2012).</w:t>
      </w:r>
      <w:r w:rsidRPr="007A6DE6">
        <w:t xml:space="preserve"> Esto, incluso, bajo políticas orientadas a generar empleo, subsidiar el consumo y activar políticas sociales redistributivas. En tal caso, el problema podría no agravarse mientras haya crecimiento y posibilidad de utilizar </w:t>
      </w:r>
      <w:r>
        <w:t xml:space="preserve">la renta excedente </w:t>
      </w:r>
      <w:r w:rsidRPr="007A6DE6">
        <w:t xml:space="preserve">que genera el sector externo para sostener la demanda interna a través del consumo. </w:t>
      </w:r>
    </w:p>
    <w:p w:rsidR="008536C8" w:rsidRDefault="005A6AA3" w:rsidP="008536C8">
      <w:pPr>
        <w:spacing w:after="120"/>
        <w:jc w:val="both"/>
      </w:pPr>
      <w:r w:rsidRPr="00036378">
        <w:t xml:space="preserve">En este contexto, resulta </w:t>
      </w:r>
      <w:r w:rsidR="00036378">
        <w:t xml:space="preserve">por demás </w:t>
      </w:r>
      <w:r w:rsidRPr="00036378">
        <w:t xml:space="preserve">relevante descifrar </w:t>
      </w:r>
      <w:r w:rsidR="00036378">
        <w:t xml:space="preserve">–aunque no es éste el momento de abordar el problema- </w:t>
      </w:r>
      <w:r w:rsidRPr="00036378">
        <w:t>los mecanismos que hace</w:t>
      </w:r>
      <w:r w:rsidR="007202BF" w:rsidRPr="00036378">
        <w:t>n</w:t>
      </w:r>
      <w:r w:rsidRPr="00036378">
        <w:t xml:space="preserve"> posible que la marginalidad económica se reproduzca de manera relativamente integrada con el orden social; es decir, sin que infrinjan alteraciones significativas al régimen político ni al pacto de intereses que sostienen el patrón de concentración económica.</w:t>
      </w:r>
      <w:r w:rsidR="008536C8" w:rsidRPr="00036378">
        <w:t>.</w:t>
      </w:r>
      <w:r w:rsidR="008536C8" w:rsidRPr="00036378">
        <w:rPr>
          <w:vertAlign w:val="superscript"/>
        </w:rPr>
        <w:footnoteReference w:id="15"/>
      </w:r>
      <w:r w:rsidR="006051D7">
        <w:t xml:space="preserve"> </w:t>
      </w:r>
    </w:p>
    <w:p w:rsidR="006051D7" w:rsidRPr="007A6DE6" w:rsidRDefault="006051D7" w:rsidP="008536C8">
      <w:pPr>
        <w:spacing w:after="120"/>
        <w:jc w:val="both"/>
      </w:pPr>
    </w:p>
    <w:p w:rsidR="006A4659" w:rsidRPr="008B72D1" w:rsidRDefault="006A4659" w:rsidP="006A4659">
      <w:pPr>
        <w:pStyle w:val="NormalWeb"/>
        <w:spacing w:before="0" w:beforeAutospacing="0" w:after="120" w:afterAutospacing="0"/>
        <w:jc w:val="both"/>
        <w:rPr>
          <w:b/>
        </w:rPr>
      </w:pPr>
      <w:r>
        <w:rPr>
          <w:b/>
          <w:bCs/>
        </w:rPr>
        <w:t>3</w:t>
      </w:r>
      <w:r w:rsidRPr="008B72D1">
        <w:rPr>
          <w:b/>
          <w:bCs/>
        </w:rPr>
        <w:t xml:space="preserve">. </w:t>
      </w:r>
      <w:r w:rsidR="00CD7AC2">
        <w:rPr>
          <w:b/>
          <w:bCs/>
        </w:rPr>
        <w:t>Principales</w:t>
      </w:r>
      <w:r w:rsidR="00407AC7">
        <w:rPr>
          <w:b/>
          <w:bCs/>
        </w:rPr>
        <w:t xml:space="preserve"> c</w:t>
      </w:r>
      <w:r w:rsidR="00E8125A">
        <w:rPr>
          <w:b/>
          <w:bCs/>
        </w:rPr>
        <w:t xml:space="preserve">oordenadas </w:t>
      </w:r>
      <w:r w:rsidR="00CD7AC2">
        <w:rPr>
          <w:b/>
          <w:bCs/>
        </w:rPr>
        <w:t>político-económicas en competencia durante las últimas dos décadas de historia argentina</w:t>
      </w:r>
      <w:r>
        <w:rPr>
          <w:b/>
        </w:rPr>
        <w:t xml:space="preserve"> </w:t>
      </w:r>
    </w:p>
    <w:p w:rsidR="00495EFE" w:rsidRDefault="00EA7DC2" w:rsidP="00EA7DC2">
      <w:pPr>
        <w:spacing w:after="120"/>
        <w:jc w:val="both"/>
        <w:rPr>
          <w:rFonts w:eastAsia="Calibri"/>
        </w:rPr>
      </w:pPr>
      <w:r w:rsidRPr="00EA7DC2">
        <w:rPr>
          <w:rFonts w:eastAsia="Calibri"/>
          <w:bCs/>
        </w:rPr>
        <w:t xml:space="preserve">El desempeño en materia </w:t>
      </w:r>
      <w:r>
        <w:rPr>
          <w:rFonts w:eastAsia="Calibri"/>
          <w:bCs/>
        </w:rPr>
        <w:t>de bienestar económico y equidad distributiva</w:t>
      </w:r>
      <w:r w:rsidRPr="00EA7DC2">
        <w:rPr>
          <w:rFonts w:eastAsia="Calibri"/>
          <w:bCs/>
        </w:rPr>
        <w:t xml:space="preserve"> en las últimas dos décadas en la Argentina </w:t>
      </w:r>
      <w:r w:rsidR="006051D7">
        <w:rPr>
          <w:rFonts w:eastAsia="Calibri"/>
          <w:bCs/>
        </w:rPr>
        <w:t xml:space="preserve">ha estado atravesado por </w:t>
      </w:r>
      <w:r w:rsidR="00F67C54">
        <w:rPr>
          <w:rFonts w:eastAsia="Calibri"/>
          <w:bCs/>
        </w:rPr>
        <w:t>dos</w:t>
      </w:r>
      <w:r w:rsidRPr="00EA7DC2">
        <w:rPr>
          <w:rFonts w:eastAsia="Calibri"/>
          <w:bCs/>
        </w:rPr>
        <w:t xml:space="preserve"> modelos político-económicos diferentes. Por una parte, un modelo neoliberal </w:t>
      </w:r>
      <w:r w:rsidR="0034689E" w:rsidRPr="00EA7DC2">
        <w:rPr>
          <w:rFonts w:eastAsia="Calibri"/>
          <w:bCs/>
        </w:rPr>
        <w:t>(1991-2002)</w:t>
      </w:r>
      <w:r w:rsidR="0034689E">
        <w:rPr>
          <w:rFonts w:eastAsia="Calibri"/>
          <w:bCs/>
        </w:rPr>
        <w:t xml:space="preserve"> </w:t>
      </w:r>
      <w:r w:rsidRPr="00EA7DC2">
        <w:rPr>
          <w:rFonts w:eastAsia="Calibri"/>
          <w:bCs/>
        </w:rPr>
        <w:t xml:space="preserve">inspirado en los postulados </w:t>
      </w:r>
      <w:r w:rsidR="0034689E">
        <w:rPr>
          <w:rFonts w:eastAsia="Calibri"/>
          <w:bCs/>
        </w:rPr>
        <w:t xml:space="preserve">neoclásicos </w:t>
      </w:r>
      <w:r w:rsidRPr="00EA7DC2">
        <w:rPr>
          <w:rFonts w:eastAsia="Calibri"/>
          <w:bCs/>
        </w:rPr>
        <w:t xml:space="preserve">del Consenso de Washington, basado en políticas de liberalización económica, en el marco de un régimen de convertibilidad (tipo de cambio fijo en paridad con el dólar). Por otra parte, un modelo </w:t>
      </w:r>
      <w:r w:rsidR="0034689E">
        <w:rPr>
          <w:rFonts w:eastAsia="Calibri"/>
          <w:bCs/>
        </w:rPr>
        <w:t xml:space="preserve">de políticas </w:t>
      </w:r>
      <w:r w:rsidR="0034689E" w:rsidRPr="00EA7DC2">
        <w:rPr>
          <w:rFonts w:eastAsia="Calibri"/>
          <w:bCs/>
        </w:rPr>
        <w:t>“heterodoxas” (2002-2012)</w:t>
      </w:r>
      <w:r w:rsidR="0034689E">
        <w:rPr>
          <w:rFonts w:eastAsia="Calibri"/>
          <w:bCs/>
        </w:rPr>
        <w:t xml:space="preserve"> fundamentado en postulados neo-desarrollistas, orientado a ampliar el campo de intervención del Estado, </w:t>
      </w:r>
      <w:r w:rsidRPr="00EA7DC2">
        <w:rPr>
          <w:rFonts w:eastAsia="Calibri"/>
          <w:bCs/>
        </w:rPr>
        <w:t xml:space="preserve">fuertemente </w:t>
      </w:r>
      <w:r w:rsidR="0034689E">
        <w:rPr>
          <w:rFonts w:eastAsia="Calibri"/>
          <w:bCs/>
        </w:rPr>
        <w:t>sostenido por</w:t>
      </w:r>
      <w:r w:rsidRPr="00EA7DC2">
        <w:rPr>
          <w:rFonts w:eastAsia="Calibri"/>
          <w:bCs/>
        </w:rPr>
        <w:t xml:space="preserve"> los excedentes generados </w:t>
      </w:r>
      <w:r w:rsidR="0034689E">
        <w:rPr>
          <w:rFonts w:eastAsia="Calibri"/>
          <w:bCs/>
        </w:rPr>
        <w:t>a través d</w:t>
      </w:r>
      <w:r w:rsidRPr="00EA7DC2">
        <w:rPr>
          <w:rFonts w:eastAsia="Calibri"/>
          <w:bCs/>
        </w:rPr>
        <w:t xml:space="preserve">el sector externo. </w:t>
      </w:r>
      <w:r w:rsidR="0034689E">
        <w:rPr>
          <w:rFonts w:eastAsia="Calibri"/>
          <w:lang w:val="es-AR"/>
        </w:rPr>
        <w:t xml:space="preserve">En este </w:t>
      </w:r>
      <w:r w:rsidR="00495EFE">
        <w:rPr>
          <w:rFonts w:eastAsia="Calibri"/>
          <w:lang w:val="es-AR"/>
        </w:rPr>
        <w:t>contexto</w:t>
      </w:r>
      <w:r w:rsidR="0034689E">
        <w:rPr>
          <w:rFonts w:eastAsia="Calibri"/>
          <w:lang w:val="es-AR"/>
        </w:rPr>
        <w:t>, h</w:t>
      </w:r>
      <w:r w:rsidR="001A072B" w:rsidRPr="003C1EE7">
        <w:rPr>
          <w:rFonts w:eastAsia="Calibri"/>
          <w:lang w:val="es-AR"/>
        </w:rPr>
        <w:t xml:space="preserve">ay una pregunta </w:t>
      </w:r>
      <w:r w:rsidR="001A072B" w:rsidRPr="003C1EE7">
        <w:rPr>
          <w:rFonts w:eastAsia="Calibri"/>
        </w:rPr>
        <w:t>que tiene especial</w:t>
      </w:r>
      <w:r w:rsidR="001A072B" w:rsidRPr="003C1EE7">
        <w:rPr>
          <w:rFonts w:eastAsia="Calibri"/>
          <w:lang w:val="es-AR"/>
        </w:rPr>
        <w:t xml:space="preserve"> </w:t>
      </w:r>
      <w:r w:rsidR="001A072B">
        <w:rPr>
          <w:rFonts w:eastAsia="Calibri"/>
          <w:lang w:val="es-AR"/>
        </w:rPr>
        <w:t xml:space="preserve">interés para </w:t>
      </w:r>
      <w:r w:rsidR="001A072B" w:rsidRPr="003C1EE7">
        <w:rPr>
          <w:rFonts w:eastAsia="Calibri"/>
          <w:lang w:val="es-AR"/>
        </w:rPr>
        <w:t>el caso argentino: ¿en qué medida</w:t>
      </w:r>
      <w:r w:rsidR="001A072B">
        <w:rPr>
          <w:rFonts w:eastAsia="Calibri"/>
          <w:lang w:val="es-AR"/>
        </w:rPr>
        <w:t xml:space="preserve"> bajo</w:t>
      </w:r>
      <w:r w:rsidR="001A072B" w:rsidRPr="003C1EE7">
        <w:rPr>
          <w:rFonts w:eastAsia="Calibri"/>
          <w:lang w:val="es-AR"/>
        </w:rPr>
        <w:t xml:space="preserve"> </w:t>
      </w:r>
      <w:r w:rsidR="001A072B">
        <w:rPr>
          <w:rFonts w:eastAsia="Calibri"/>
          <w:lang w:val="es-AR"/>
        </w:rPr>
        <w:t>una</w:t>
      </w:r>
      <w:r w:rsidR="001A072B" w:rsidRPr="003C1EE7">
        <w:rPr>
          <w:rFonts w:eastAsia="Calibri"/>
          <w:lang w:val="es-AR"/>
        </w:rPr>
        <w:t xml:space="preserve"> amplia movilización y concentración de capitales </w:t>
      </w:r>
      <w:r w:rsidR="001A072B">
        <w:rPr>
          <w:rFonts w:eastAsia="Calibri"/>
          <w:lang w:val="es-AR"/>
        </w:rPr>
        <w:t xml:space="preserve">en </w:t>
      </w:r>
      <w:r w:rsidR="001A072B" w:rsidRPr="003C1EE7">
        <w:rPr>
          <w:rFonts w:eastAsia="Calibri"/>
        </w:rPr>
        <w:t xml:space="preserve">las últimas </w:t>
      </w:r>
      <w:r w:rsidR="0034689E">
        <w:rPr>
          <w:rFonts w:eastAsia="Calibri"/>
        </w:rPr>
        <w:t xml:space="preserve">dos </w:t>
      </w:r>
      <w:r w:rsidR="001A072B" w:rsidRPr="003C1EE7">
        <w:rPr>
          <w:rFonts w:eastAsia="Calibri"/>
        </w:rPr>
        <w:t>décadas,</w:t>
      </w:r>
      <w:r w:rsidR="001A072B" w:rsidRPr="003C1EE7">
        <w:rPr>
          <w:rFonts w:eastAsia="Calibri"/>
          <w:lang w:val="es-AR"/>
        </w:rPr>
        <w:t xml:space="preserve"> </w:t>
      </w:r>
      <w:r w:rsidR="0034689E">
        <w:rPr>
          <w:rFonts w:eastAsia="Calibri"/>
        </w:rPr>
        <w:t>sea</w:t>
      </w:r>
      <w:r w:rsidR="001A072B" w:rsidRPr="003C1EE7">
        <w:rPr>
          <w:rFonts w:eastAsia="Calibri"/>
        </w:rPr>
        <w:t xml:space="preserve"> bajo </w:t>
      </w:r>
      <w:r w:rsidR="0034689E">
        <w:rPr>
          <w:rFonts w:eastAsia="Calibri"/>
        </w:rPr>
        <w:t xml:space="preserve">las </w:t>
      </w:r>
      <w:r w:rsidR="001A072B" w:rsidRPr="003C1EE7">
        <w:rPr>
          <w:rFonts w:eastAsia="Calibri"/>
          <w:lang w:val="es-AR"/>
        </w:rPr>
        <w:t xml:space="preserve">políticas inspiradas en la “mano invisible” de los mercados (régimen neoliberal con reformas estructurales) </w:t>
      </w:r>
      <w:r w:rsidR="0034689E">
        <w:rPr>
          <w:rFonts w:eastAsia="Calibri"/>
        </w:rPr>
        <w:t>o</w:t>
      </w:r>
      <w:r w:rsidR="001A072B" w:rsidRPr="003C1EE7">
        <w:rPr>
          <w:rFonts w:eastAsia="Calibri"/>
          <w:lang w:val="es-AR"/>
        </w:rPr>
        <w:t xml:space="preserve"> bajo las que postulan la activa intervención de las “fuerzas reguladoras” de</w:t>
      </w:r>
      <w:r w:rsidR="001A072B" w:rsidRPr="003C1EE7">
        <w:rPr>
          <w:rFonts w:eastAsia="Calibri"/>
        </w:rPr>
        <w:t>l</w:t>
      </w:r>
      <w:r w:rsidR="001A072B" w:rsidRPr="003C1EE7">
        <w:rPr>
          <w:rFonts w:eastAsia="Calibri"/>
          <w:lang w:val="es-AR"/>
        </w:rPr>
        <w:t xml:space="preserve"> Estado (régimen de políticas heterodoxas), </w:t>
      </w:r>
      <w:r w:rsidR="001A072B" w:rsidRPr="003C1EE7">
        <w:rPr>
          <w:rFonts w:eastAsia="Calibri"/>
        </w:rPr>
        <w:t xml:space="preserve">tuvo </w:t>
      </w:r>
      <w:r w:rsidR="001A072B" w:rsidRPr="003C1EE7">
        <w:rPr>
          <w:rFonts w:eastAsia="Calibri"/>
          <w:lang w:val="es-AR"/>
        </w:rPr>
        <w:t xml:space="preserve">lugar un proceso virtuoso de desarrollo </w:t>
      </w:r>
      <w:r w:rsidR="001A072B" w:rsidRPr="003C1EE7">
        <w:rPr>
          <w:rFonts w:eastAsia="Calibri"/>
        </w:rPr>
        <w:t>capaz de superar exclusiones socioeconómicas estructurales</w:t>
      </w:r>
      <w:r w:rsidR="00CE050F">
        <w:rPr>
          <w:rFonts w:eastAsia="Calibri"/>
        </w:rPr>
        <w:t xml:space="preserve"> y promover la convergencia social</w:t>
      </w:r>
      <w:r w:rsidR="001A072B" w:rsidRPr="003C1EE7">
        <w:rPr>
          <w:rFonts w:eastAsia="Calibri"/>
        </w:rPr>
        <w:t xml:space="preserve">? </w:t>
      </w:r>
    </w:p>
    <w:p w:rsidR="001A072B" w:rsidRDefault="00CE050F" w:rsidP="00ED7AF6">
      <w:pPr>
        <w:spacing w:after="120"/>
        <w:jc w:val="both"/>
        <w:rPr>
          <w:rFonts w:eastAsia="Calibri"/>
          <w:lang w:eastAsia="en-US"/>
        </w:rPr>
      </w:pPr>
      <w:r>
        <w:rPr>
          <w:rFonts w:eastAsia="Calibri"/>
          <w:bCs/>
        </w:rPr>
        <w:t xml:space="preserve">Tal como se señaló en la introducción, una manera de </w:t>
      </w:r>
      <w:r w:rsidR="0034689E">
        <w:rPr>
          <w:rFonts w:eastAsia="Calibri"/>
          <w:bCs/>
        </w:rPr>
        <w:t xml:space="preserve">atender </w:t>
      </w:r>
      <w:r>
        <w:rPr>
          <w:rFonts w:eastAsia="Calibri"/>
          <w:bCs/>
        </w:rPr>
        <w:t xml:space="preserve">a </w:t>
      </w:r>
      <w:r w:rsidR="0034689E">
        <w:rPr>
          <w:rFonts w:eastAsia="Calibri"/>
          <w:bCs/>
        </w:rPr>
        <w:t xml:space="preserve">esta pregunta </w:t>
      </w:r>
      <w:r>
        <w:rPr>
          <w:rFonts w:eastAsia="Calibri"/>
          <w:bCs/>
        </w:rPr>
        <w:t>es</w:t>
      </w:r>
      <w:r w:rsidR="00EA7DC2" w:rsidRPr="00EA7DC2">
        <w:rPr>
          <w:rFonts w:eastAsia="Calibri"/>
          <w:bCs/>
        </w:rPr>
        <w:t xml:space="preserve"> evaluar el </w:t>
      </w:r>
      <w:r>
        <w:rPr>
          <w:rFonts w:eastAsia="Calibri"/>
          <w:bCs/>
        </w:rPr>
        <w:t>modo en que</w:t>
      </w:r>
      <w:r w:rsidR="00EA7DC2" w:rsidRPr="00EA7DC2">
        <w:rPr>
          <w:rFonts w:eastAsia="Calibri"/>
          <w:bCs/>
        </w:rPr>
        <w:t xml:space="preserve"> </w:t>
      </w:r>
      <w:r>
        <w:rPr>
          <w:rFonts w:eastAsia="Calibri"/>
          <w:bCs/>
        </w:rPr>
        <w:t>uno u otro</w:t>
      </w:r>
      <w:r w:rsidR="0034689E">
        <w:rPr>
          <w:rFonts w:eastAsia="Calibri"/>
          <w:bCs/>
        </w:rPr>
        <w:t xml:space="preserve"> </w:t>
      </w:r>
      <w:r>
        <w:rPr>
          <w:rFonts w:eastAsia="Calibri"/>
          <w:bCs/>
        </w:rPr>
        <w:t>programa</w:t>
      </w:r>
      <w:r w:rsidR="00EA7DC2" w:rsidRPr="00EA7DC2">
        <w:rPr>
          <w:rFonts w:eastAsia="Calibri"/>
          <w:bCs/>
        </w:rPr>
        <w:t xml:space="preserve"> político-económico </w:t>
      </w:r>
      <w:r>
        <w:rPr>
          <w:rFonts w:eastAsia="Calibri"/>
          <w:bCs/>
        </w:rPr>
        <w:t>impactaron</w:t>
      </w:r>
      <w:r w:rsidRPr="00CE050F">
        <w:rPr>
          <w:rFonts w:eastAsia="Calibri"/>
          <w:bCs/>
          <w:lang w:val="es-AR"/>
        </w:rPr>
        <w:t xml:space="preserve"> </w:t>
      </w:r>
      <w:r>
        <w:rPr>
          <w:rFonts w:eastAsia="Calibri"/>
          <w:bCs/>
          <w:lang w:val="es-AR"/>
        </w:rPr>
        <w:t>sobre la pobreza y la desigualdad a partir de las modificaciones generadas en la estructura ocupacional –distribución primaria del ingreso- y/o el gasto social –distribución secundaria del ingreso-</w:t>
      </w:r>
      <w:r w:rsidR="00EA7DC2" w:rsidRPr="00EA7DC2">
        <w:rPr>
          <w:rFonts w:eastAsia="Calibri"/>
          <w:bCs/>
          <w:lang w:val="es-AR"/>
        </w:rPr>
        <w:t xml:space="preserve">. </w:t>
      </w:r>
      <w:r w:rsidR="00ED7AF6">
        <w:rPr>
          <w:rFonts w:eastAsia="Calibri"/>
          <w:bCs/>
          <w:lang w:val="es-AR"/>
        </w:rPr>
        <w:t>Para avanzar en este sentido</w:t>
      </w:r>
      <w:r w:rsidR="00EA7DC2" w:rsidRPr="00EA7DC2">
        <w:rPr>
          <w:rFonts w:eastAsia="Calibri"/>
          <w:bCs/>
          <w:lang w:val="es-AR"/>
        </w:rPr>
        <w:t xml:space="preserve"> se </w:t>
      </w:r>
      <w:r w:rsidR="00ED7AF6">
        <w:rPr>
          <w:rFonts w:eastAsia="Calibri"/>
          <w:bCs/>
          <w:lang w:val="es-AR"/>
        </w:rPr>
        <w:t xml:space="preserve">presentan en este apartado las principales coordenadas de política económica que caracterizaron a ambos programas, así como sus efectos en materia </w:t>
      </w:r>
      <w:r w:rsidR="005D2997">
        <w:rPr>
          <w:rFonts w:eastAsia="Calibri"/>
          <w:bCs/>
          <w:lang w:val="es-AR"/>
        </w:rPr>
        <w:t>de</w:t>
      </w:r>
      <w:r w:rsidR="00F67C54">
        <w:rPr>
          <w:rFonts w:eastAsia="Calibri"/>
          <w:bCs/>
          <w:lang w:val="es-AR"/>
        </w:rPr>
        <w:t xml:space="preserve"> tasas de indigencia y pobreza</w:t>
      </w:r>
      <w:r w:rsidR="00EA7DC2" w:rsidRPr="00EA7DC2">
        <w:rPr>
          <w:rFonts w:eastAsia="Calibri"/>
          <w:bCs/>
          <w:lang w:val="es-AR"/>
        </w:rPr>
        <w:t>.</w:t>
      </w:r>
      <w:r w:rsidR="00EA7DC2" w:rsidRPr="00EA7DC2">
        <w:rPr>
          <w:bCs/>
          <w:lang w:val="es-AR"/>
        </w:rPr>
        <w:t xml:space="preserve"> </w:t>
      </w:r>
      <w:r w:rsidR="00ED7AF6">
        <w:rPr>
          <w:rFonts w:eastAsia="Calibri"/>
          <w:lang w:val="es-AR" w:eastAsia="en-US"/>
        </w:rPr>
        <w:t xml:space="preserve">A grandes rasgos, el </w:t>
      </w:r>
      <w:r w:rsidR="00ED7AF6">
        <w:rPr>
          <w:rFonts w:eastAsia="Calibri"/>
          <w:lang w:eastAsia="en-US"/>
        </w:rPr>
        <w:t>proceso que atravesó la Argentina durante las últimas dos décadas puede resumirse recogiendo algunos resultados</w:t>
      </w:r>
      <w:r w:rsidR="00C966AA">
        <w:rPr>
          <w:rFonts w:eastAsia="Calibri"/>
          <w:lang w:eastAsia="en-US"/>
        </w:rPr>
        <w:t xml:space="preserve"> </w:t>
      </w:r>
      <w:r w:rsidR="00ED7AF6">
        <w:rPr>
          <w:rFonts w:eastAsia="Calibri"/>
          <w:lang w:eastAsia="en-US"/>
        </w:rPr>
        <w:t>claves de cada etapa</w:t>
      </w:r>
      <w:r w:rsidR="00C966AA">
        <w:rPr>
          <w:rFonts w:eastAsia="Calibri"/>
          <w:lang w:eastAsia="en-US"/>
        </w:rPr>
        <w:t xml:space="preserve">: </w:t>
      </w:r>
    </w:p>
    <w:p w:rsidR="00CE19DD" w:rsidRDefault="00C966AA" w:rsidP="008A163B">
      <w:pPr>
        <w:suppressAutoHyphens/>
        <w:spacing w:after="120"/>
        <w:jc w:val="both"/>
        <w:rPr>
          <w:rFonts w:eastAsia="Calibri"/>
          <w:strike/>
          <w:lang w:val="es-MX" w:eastAsia="en-US"/>
        </w:rPr>
      </w:pPr>
      <w:r w:rsidRPr="003E78C6">
        <w:rPr>
          <w:rFonts w:eastAsia="Calibri"/>
          <w:lang w:val="es-MX" w:eastAsia="en-US"/>
        </w:rPr>
        <w:lastRenderedPageBreak/>
        <w:t xml:space="preserve">1) </w:t>
      </w:r>
      <w:r w:rsidR="00CE19DD">
        <w:rPr>
          <w:bCs/>
          <w:lang w:val="es-MX" w:eastAsia="ar-SA"/>
        </w:rPr>
        <w:t xml:space="preserve">La salida de la crisis económico-financiera e hiperinflacionaria </w:t>
      </w:r>
      <w:r w:rsidR="00A478AE">
        <w:rPr>
          <w:bCs/>
          <w:lang w:val="es-MX" w:eastAsia="ar-SA"/>
        </w:rPr>
        <w:t xml:space="preserve">(1988-1991) </w:t>
      </w:r>
      <w:r w:rsidR="00CE19DD">
        <w:rPr>
          <w:bCs/>
          <w:lang w:val="es-MX" w:eastAsia="ar-SA"/>
        </w:rPr>
        <w:t xml:space="preserve">en que cayera la Argentina a finales de la década del ochenta </w:t>
      </w:r>
      <w:r w:rsidR="007202BF">
        <w:rPr>
          <w:bCs/>
          <w:lang w:val="es-MX" w:eastAsia="ar-SA"/>
        </w:rPr>
        <w:t xml:space="preserve">se resolvió, a comienzos de los años noventa, </w:t>
      </w:r>
      <w:r w:rsidR="00CE19DD" w:rsidRPr="00CE19DD">
        <w:rPr>
          <w:bCs/>
          <w:lang w:eastAsia="ar-SA"/>
        </w:rPr>
        <w:t>mediante un</w:t>
      </w:r>
      <w:r w:rsidR="007202BF">
        <w:rPr>
          <w:bCs/>
          <w:lang w:eastAsia="ar-SA"/>
        </w:rPr>
        <w:t xml:space="preserve"> sistema de</w:t>
      </w:r>
      <w:r w:rsidR="00CE19DD" w:rsidRPr="00CE19DD">
        <w:rPr>
          <w:bCs/>
          <w:lang w:eastAsia="ar-SA"/>
        </w:rPr>
        <w:t xml:space="preserve"> caja de conversión en paridad con el dólar y un paquete de reformas estructurales que alteraron el sistema de precios y las reglas tradicionales de funcionamiento de </w:t>
      </w:r>
      <w:smartTag w:uri="urn:schemas-microsoft-com:office:smarttags" w:element="PersonName">
        <w:smartTagPr>
          <w:attr w:name="ProductID" w:val="la econom￭a. Las"/>
        </w:smartTagPr>
        <w:r w:rsidR="00CE19DD" w:rsidRPr="00CE19DD">
          <w:rPr>
            <w:bCs/>
            <w:lang w:eastAsia="ar-SA"/>
          </w:rPr>
          <w:t>la economía. Las</w:t>
        </w:r>
      </w:smartTag>
      <w:r w:rsidR="00CE19DD" w:rsidRPr="00CE19DD">
        <w:rPr>
          <w:bCs/>
          <w:lang w:eastAsia="ar-SA"/>
        </w:rPr>
        <w:t xml:space="preserve"> reformas aplicadas estuvieron orientadas a la liberalización financiera y del comercio exterior, la desregulación de los mercados y el traspaso de los monopolios públicos al sector privado</w:t>
      </w:r>
      <w:r w:rsidR="007202BF">
        <w:rPr>
          <w:bCs/>
          <w:lang w:eastAsia="ar-SA"/>
        </w:rPr>
        <w:t xml:space="preserve"> mediante las privatizaciones</w:t>
      </w:r>
      <w:r w:rsidR="00CE19DD" w:rsidRPr="00CE19DD">
        <w:rPr>
          <w:bCs/>
          <w:lang w:eastAsia="ar-SA"/>
        </w:rPr>
        <w:t>.</w:t>
      </w:r>
      <w:r w:rsidR="00CE19DD">
        <w:rPr>
          <w:bCs/>
          <w:lang w:eastAsia="ar-SA"/>
        </w:rPr>
        <w:t xml:space="preserve"> </w:t>
      </w:r>
      <w:r w:rsidR="00CE19DD" w:rsidRPr="007451D3">
        <w:rPr>
          <w:rFonts w:eastAsia="Calibri"/>
          <w:lang w:val="es-MX" w:eastAsia="en-US"/>
        </w:rPr>
        <w:t xml:space="preserve">En este marco, </w:t>
      </w:r>
      <w:r w:rsidR="008A163B">
        <w:rPr>
          <w:rFonts w:eastAsia="Calibri"/>
          <w:lang w:val="es-MX" w:eastAsia="en-US"/>
        </w:rPr>
        <w:t xml:space="preserve">durante la fase 1992-1994, a través de estas políticas </w:t>
      </w:r>
      <w:r w:rsidR="00CE19DD" w:rsidRPr="007451D3">
        <w:rPr>
          <w:rFonts w:eastAsia="Calibri"/>
          <w:lang w:val="es-MX" w:eastAsia="en-US"/>
        </w:rPr>
        <w:t xml:space="preserve">se logró controlar la hiperinflación, acceder al crédito externo, equilibrar el gasto público, promover la inversión de capital y activar un ciclo de crecimiento. </w:t>
      </w:r>
      <w:r w:rsidR="008A163B">
        <w:rPr>
          <w:bCs/>
          <w:lang w:eastAsia="ar-SA"/>
        </w:rPr>
        <w:t>Este proceso tuvo como principal motor el financiamiento externo, la</w:t>
      </w:r>
      <w:r w:rsidR="00CE19DD" w:rsidRPr="00CE19DD">
        <w:rPr>
          <w:bCs/>
          <w:lang w:eastAsia="ar-SA"/>
        </w:rPr>
        <w:t xml:space="preserve"> inversión </w:t>
      </w:r>
      <w:r w:rsidR="008A163B">
        <w:rPr>
          <w:bCs/>
          <w:lang w:eastAsia="ar-SA"/>
        </w:rPr>
        <w:t>corporativa</w:t>
      </w:r>
      <w:r w:rsidR="00CE19DD" w:rsidRPr="00CE19DD">
        <w:rPr>
          <w:bCs/>
          <w:lang w:eastAsia="ar-SA"/>
        </w:rPr>
        <w:t xml:space="preserve"> y </w:t>
      </w:r>
      <w:r w:rsidR="008A163B">
        <w:rPr>
          <w:bCs/>
          <w:lang w:eastAsia="ar-SA"/>
        </w:rPr>
        <w:t xml:space="preserve">la </w:t>
      </w:r>
      <w:r w:rsidR="00CE19DD" w:rsidRPr="00CE19DD">
        <w:rPr>
          <w:bCs/>
          <w:lang w:eastAsia="ar-SA"/>
        </w:rPr>
        <w:t>privatización de empresas públicas</w:t>
      </w:r>
      <w:r w:rsidR="008A163B">
        <w:rPr>
          <w:bCs/>
          <w:lang w:eastAsia="ar-SA"/>
        </w:rPr>
        <w:t>.</w:t>
      </w:r>
      <w:r w:rsidR="00CE19DD" w:rsidRPr="00CE19DD">
        <w:rPr>
          <w:bCs/>
          <w:lang w:eastAsia="ar-SA"/>
        </w:rPr>
        <w:t xml:space="preserve"> </w:t>
      </w:r>
      <w:r w:rsidR="008A163B">
        <w:rPr>
          <w:rFonts w:eastAsia="Calibri"/>
          <w:lang w:eastAsia="en-US"/>
        </w:rPr>
        <w:t xml:space="preserve">Si bien inicialmente mejoró el bienestar y </w:t>
      </w:r>
      <w:r w:rsidR="00CE19DD" w:rsidRPr="007451D3">
        <w:rPr>
          <w:rFonts w:eastAsia="Calibri"/>
          <w:lang w:val="es-MX" w:eastAsia="en-US"/>
        </w:rPr>
        <w:t xml:space="preserve">descendió la pobreza, </w:t>
      </w:r>
      <w:r w:rsidR="00CE19DD">
        <w:rPr>
          <w:rFonts w:eastAsia="Calibri"/>
          <w:lang w:val="es-MX" w:eastAsia="en-US"/>
        </w:rPr>
        <w:t xml:space="preserve">muy pronto </w:t>
      </w:r>
      <w:r w:rsidR="008A163B">
        <w:rPr>
          <w:rFonts w:eastAsia="Calibri"/>
          <w:lang w:val="es-MX" w:eastAsia="en-US"/>
        </w:rPr>
        <w:t>las políticas de reconversión productiva hicieron</w:t>
      </w:r>
      <w:r w:rsidR="00CE19DD" w:rsidRPr="007451D3">
        <w:rPr>
          <w:rFonts w:eastAsia="Calibri"/>
          <w:lang w:val="es-MX" w:eastAsia="en-US"/>
        </w:rPr>
        <w:t xml:space="preserve"> crec</w:t>
      </w:r>
      <w:r w:rsidR="008A163B">
        <w:rPr>
          <w:rFonts w:eastAsia="Calibri"/>
          <w:lang w:val="es-MX" w:eastAsia="en-US"/>
        </w:rPr>
        <w:t>er</w:t>
      </w:r>
      <w:r w:rsidR="00CE19DD" w:rsidRPr="007451D3">
        <w:rPr>
          <w:rFonts w:eastAsia="Calibri"/>
          <w:lang w:val="es-MX" w:eastAsia="en-US"/>
        </w:rPr>
        <w:t xml:space="preserve"> el desempleo, aument</w:t>
      </w:r>
      <w:r w:rsidR="008A163B">
        <w:rPr>
          <w:rFonts w:eastAsia="Calibri"/>
          <w:lang w:val="es-MX" w:eastAsia="en-US"/>
        </w:rPr>
        <w:t>ar</w:t>
      </w:r>
      <w:r w:rsidR="00CE19DD" w:rsidRPr="007451D3">
        <w:rPr>
          <w:rFonts w:eastAsia="Calibri"/>
          <w:lang w:val="es-MX" w:eastAsia="en-US"/>
        </w:rPr>
        <w:t xml:space="preserve"> la precariedad laboral y ampliar las brechas de desigualdad económica</w:t>
      </w:r>
      <w:r w:rsidR="00CE19DD">
        <w:rPr>
          <w:rFonts w:eastAsia="Calibri"/>
          <w:lang w:val="es-MX" w:eastAsia="en-US"/>
        </w:rPr>
        <w:t>, todo lo cual retrajo el bienestar</w:t>
      </w:r>
      <w:r w:rsidR="00CE19DD" w:rsidRPr="007451D3">
        <w:rPr>
          <w:rFonts w:eastAsia="Calibri"/>
          <w:lang w:val="es-MX" w:eastAsia="en-US"/>
        </w:rPr>
        <w:t>.</w:t>
      </w:r>
      <w:r w:rsidR="00CE19DD" w:rsidRPr="007451D3">
        <w:rPr>
          <w:rFonts w:eastAsia="Calibri"/>
          <w:vertAlign w:val="superscript"/>
          <w:lang w:val="es-MX" w:eastAsia="en-US"/>
        </w:rPr>
        <w:footnoteReference w:id="16"/>
      </w:r>
      <w:r w:rsidR="00CE19DD" w:rsidRPr="007451D3">
        <w:rPr>
          <w:rFonts w:eastAsia="Calibri"/>
          <w:lang w:val="es-MX" w:eastAsia="en-US"/>
        </w:rPr>
        <w:t xml:space="preserve">    </w:t>
      </w:r>
    </w:p>
    <w:p w:rsidR="00CE19DD" w:rsidRPr="00CE19DD" w:rsidRDefault="008A163B" w:rsidP="00143E66">
      <w:pPr>
        <w:suppressAutoHyphens/>
        <w:autoSpaceDE w:val="0"/>
        <w:spacing w:after="120"/>
        <w:jc w:val="both"/>
        <w:rPr>
          <w:lang w:eastAsia="ar-SA"/>
        </w:rPr>
      </w:pPr>
      <w:r>
        <w:rPr>
          <w:bCs/>
          <w:lang w:eastAsia="ar-SA"/>
        </w:rPr>
        <w:t>2</w:t>
      </w:r>
      <w:r w:rsidR="00CE19DD" w:rsidRPr="00CE19DD">
        <w:rPr>
          <w:bCs/>
          <w:lang w:eastAsia="ar-SA"/>
        </w:rPr>
        <w:t xml:space="preserve">) </w:t>
      </w:r>
      <w:r>
        <w:rPr>
          <w:bCs/>
          <w:lang w:eastAsia="ar-SA"/>
        </w:rPr>
        <w:t xml:space="preserve">Durante el período </w:t>
      </w:r>
      <w:r w:rsidR="00CE19DD" w:rsidRPr="00CE19DD">
        <w:rPr>
          <w:bCs/>
          <w:lang w:eastAsia="ar-SA"/>
        </w:rPr>
        <w:t xml:space="preserve">1994-1998, el nuevo régimen de acumulación entró en un proceso de cambio técnico más sostenible, basado en mayores inversiones y demanda de mano de obra calificada (sostenidas por un mayor endeudamiento tanto público como privado), generalizándose un cambio en la composición de capital, en la organización de las empresas y en las actividades de enclave y competitivas a nivel del mercado mundial. Sin embargo, fue en esta fase que los efectos de la “crisis del tequila” –y la creciente inestabilidad financiera internacional– pusieron en evidencia la vulnerabilidad del modelo de crecimiento frente al inestable comportamiento de los mercados globales. </w:t>
      </w:r>
      <w:r w:rsidR="00CE19DD" w:rsidRPr="00CE19DD">
        <w:rPr>
          <w:lang w:eastAsia="ar-SA"/>
        </w:rPr>
        <w:t>Durante un breve período –desde 1994 hasta 1995–, la economía nacional atravesó un ciclo recesivo</w:t>
      </w:r>
      <w:r w:rsidR="00B01648">
        <w:rPr>
          <w:lang w:eastAsia="ar-SA"/>
        </w:rPr>
        <w:t xml:space="preserve"> (vinculado a la crisis mexicana)</w:t>
      </w:r>
      <w:r w:rsidR="00CE19DD" w:rsidRPr="00CE19DD">
        <w:rPr>
          <w:lang w:eastAsia="ar-SA"/>
        </w:rPr>
        <w:t xml:space="preserve"> que tuvo consecuencias </w:t>
      </w:r>
      <w:r w:rsidR="00143E66">
        <w:rPr>
          <w:lang w:eastAsia="ar-SA"/>
        </w:rPr>
        <w:t xml:space="preserve">regresivas </w:t>
      </w:r>
      <w:r w:rsidR="00CE19DD" w:rsidRPr="00CE19DD">
        <w:rPr>
          <w:lang w:eastAsia="ar-SA"/>
        </w:rPr>
        <w:t xml:space="preserve">sobre </w:t>
      </w:r>
      <w:r w:rsidR="00143E66">
        <w:rPr>
          <w:lang w:eastAsia="ar-SA"/>
        </w:rPr>
        <w:t>el empleo</w:t>
      </w:r>
      <w:r w:rsidR="00CE19DD" w:rsidRPr="00CE19DD">
        <w:rPr>
          <w:lang w:eastAsia="ar-SA"/>
        </w:rPr>
        <w:t xml:space="preserve">. Simultáneamente, este fue el momento más intenso de reformas laborales. En el año 1996 se recuperó el crecimiento económico, caracterizado por un aumento de la inversión, las exportaciones y el consumo interno. Esto repercutió sobre el mercado de trabajo, aumentando la demanda de empleo. En cualquier caso, el cambio de tendencia no generó un aumento significativo de las remuneraciones, ni logró resolver el alto déficit ocupacional acumulado durante el período recesivo. </w:t>
      </w:r>
    </w:p>
    <w:p w:rsidR="00C966AA" w:rsidRPr="003C1EE7" w:rsidRDefault="00CE19DD" w:rsidP="00143E66">
      <w:pPr>
        <w:suppressAutoHyphens/>
        <w:autoSpaceDE w:val="0"/>
        <w:spacing w:after="120"/>
        <w:jc w:val="both"/>
        <w:rPr>
          <w:rFonts w:eastAsia="Calibri"/>
          <w:lang w:val="es-MX" w:eastAsia="en-US"/>
        </w:rPr>
      </w:pPr>
      <w:r w:rsidRPr="00CE19DD">
        <w:rPr>
          <w:bCs/>
          <w:lang w:eastAsia="ar-SA"/>
        </w:rPr>
        <w:t xml:space="preserve">4) </w:t>
      </w:r>
      <w:r w:rsidR="00143E66">
        <w:rPr>
          <w:bCs/>
          <w:lang w:eastAsia="ar-SA"/>
        </w:rPr>
        <w:t xml:space="preserve">Pero durante la fase </w:t>
      </w:r>
      <w:r w:rsidRPr="00CE19DD">
        <w:rPr>
          <w:bCs/>
          <w:lang w:eastAsia="ar-SA"/>
        </w:rPr>
        <w:t xml:space="preserve">1998-2002, las ondas expansivas provocadas por las crisis financieras </w:t>
      </w:r>
      <w:r w:rsidR="00143E66">
        <w:rPr>
          <w:bCs/>
          <w:lang w:eastAsia="ar-SA"/>
        </w:rPr>
        <w:t>internacionales</w:t>
      </w:r>
      <w:r w:rsidRPr="00CE19DD">
        <w:rPr>
          <w:bCs/>
          <w:lang w:eastAsia="ar-SA"/>
        </w:rPr>
        <w:t xml:space="preserve"> produjeron una prolongada recesión. El déficit fiscal y la abultada deuda externa acumulada emergieron una vez más como una seria restricción a las posibilidades de crecimiento de la economía argentina. Al mismo tiempo, la inflexibilidad del modelo de estabilización de precios para adecuar los niveles de competitividad de la economía, sumado a la caída de los precios de los </w:t>
      </w:r>
      <w:proofErr w:type="spellStart"/>
      <w:r w:rsidRPr="00CE19DD">
        <w:rPr>
          <w:bCs/>
          <w:i/>
          <w:lang w:eastAsia="ar-SA"/>
        </w:rPr>
        <w:t>commodities</w:t>
      </w:r>
      <w:proofErr w:type="spellEnd"/>
      <w:r w:rsidRPr="00CE19DD">
        <w:rPr>
          <w:bCs/>
          <w:lang w:eastAsia="ar-SA"/>
        </w:rPr>
        <w:t xml:space="preserve">, afectó la competitividad internacional y potenciaron la prolongación del fenómeno recesivo. </w:t>
      </w:r>
      <w:r w:rsidR="00C966AA" w:rsidRPr="003C1EE7">
        <w:rPr>
          <w:rFonts w:eastAsia="Calibri"/>
          <w:lang w:val="es-MX" w:eastAsia="en-US"/>
        </w:rPr>
        <w:t xml:space="preserve">En este contexto, la puesta en marcha de medidas de ajuste agravó la situación, lo cual condujo a declarar el default de la deuda a fines de 2001 y a la salida del régimen de convertibilidad y a una fortísima devaluación a principios de 2002. El país enfrentó un colapso socioeconómico y político-institucional sin precedentes. </w:t>
      </w:r>
      <w:r w:rsidR="00C966AA" w:rsidRPr="003C1EE7">
        <w:rPr>
          <w:rFonts w:eastAsia="Calibri"/>
        </w:rPr>
        <w:t>En este marco, tuvo lugar un mayor deterioro del mercado de trabajo, la pobreza y la matriz de la distribución del ingreso y las condiciones generales de movilidad social.</w:t>
      </w:r>
    </w:p>
    <w:p w:rsidR="006A0F05" w:rsidRPr="00C966AA" w:rsidRDefault="00143E66" w:rsidP="006A0F05">
      <w:pPr>
        <w:spacing w:after="120"/>
        <w:jc w:val="both"/>
        <w:rPr>
          <w:rFonts w:eastAsia="Calibri"/>
          <w:lang w:val="es-MX" w:eastAsia="en-US"/>
        </w:rPr>
      </w:pPr>
      <w:r w:rsidRPr="00143E66">
        <w:rPr>
          <w:bCs/>
          <w:lang w:eastAsia="ar-SA"/>
        </w:rPr>
        <w:t xml:space="preserve">5) </w:t>
      </w:r>
      <w:r>
        <w:rPr>
          <w:bCs/>
          <w:lang w:eastAsia="ar-SA"/>
        </w:rPr>
        <w:t>La</w:t>
      </w:r>
      <w:r w:rsidRPr="00143E66">
        <w:rPr>
          <w:bCs/>
          <w:lang w:eastAsia="ar-SA"/>
        </w:rPr>
        <w:t xml:space="preserve"> devaluación y el </w:t>
      </w:r>
      <w:r w:rsidRPr="00143E66">
        <w:rPr>
          <w:bCs/>
          <w:i/>
          <w:lang w:eastAsia="ar-SA"/>
        </w:rPr>
        <w:t>default</w:t>
      </w:r>
      <w:r w:rsidRPr="00143E66">
        <w:rPr>
          <w:bCs/>
          <w:lang w:eastAsia="ar-SA"/>
        </w:rPr>
        <w:t xml:space="preserve"> internacional que </w:t>
      </w:r>
      <w:r w:rsidR="00B01648">
        <w:rPr>
          <w:bCs/>
          <w:lang w:eastAsia="ar-SA"/>
        </w:rPr>
        <w:t>siguieron a</w:t>
      </w:r>
      <w:r w:rsidR="00B01648" w:rsidRPr="00143E66">
        <w:rPr>
          <w:bCs/>
          <w:lang w:eastAsia="ar-SA"/>
        </w:rPr>
        <w:t xml:space="preserve"> </w:t>
      </w:r>
      <w:r w:rsidRPr="00143E66">
        <w:rPr>
          <w:bCs/>
          <w:lang w:eastAsia="ar-SA"/>
        </w:rPr>
        <w:t xml:space="preserve">la salida de la convertibilidad modificó radicalmente el sistema de precios y el comportamiento </w:t>
      </w:r>
      <w:r w:rsidRPr="00143E66">
        <w:rPr>
          <w:bCs/>
          <w:lang w:eastAsia="ar-SA"/>
        </w:rPr>
        <w:lastRenderedPageBreak/>
        <w:t xml:space="preserve">macroeconómico, generando un incremento sustantivo del tipo de cambio real. Llegado a este escenario, y bajo un contexto de precios internacionales favorables para las exportaciones primarias, </w:t>
      </w:r>
      <w:r>
        <w:rPr>
          <w:bCs/>
          <w:lang w:eastAsia="ar-SA"/>
        </w:rPr>
        <w:t xml:space="preserve">más la aplicación de políticas heterodoxas orientadas a fortalecer el mercado interno, </w:t>
      </w:r>
      <w:r w:rsidRPr="00143E66">
        <w:rPr>
          <w:bCs/>
          <w:lang w:eastAsia="ar-SA"/>
        </w:rPr>
        <w:t>se inició una fase de recuperación de la actividad productiva, del consumo y de las finanzas públicas apoyada por el impu</w:t>
      </w:r>
      <w:r w:rsidR="00B01648">
        <w:rPr>
          <w:bCs/>
          <w:lang w:eastAsia="ar-SA"/>
        </w:rPr>
        <w:t>l</w:t>
      </w:r>
      <w:r w:rsidRPr="00143E66">
        <w:rPr>
          <w:bCs/>
          <w:lang w:eastAsia="ar-SA"/>
        </w:rPr>
        <w:t>so de las exportaciones y de una re-sustitución de importaciones manufactureras, todo lo cual generó un</w:t>
      </w:r>
      <w:r w:rsidR="00BD5F3C">
        <w:rPr>
          <w:bCs/>
          <w:lang w:eastAsia="ar-SA"/>
        </w:rPr>
        <w:t xml:space="preserve"> aumento de la inversión de capital, un</w:t>
      </w:r>
      <w:r w:rsidRPr="00143E66">
        <w:rPr>
          <w:bCs/>
          <w:lang w:eastAsia="ar-SA"/>
        </w:rPr>
        <w:t>a recuperación de la demanda agregada de empleo y, en un segundo momento, de las remuneraciones reales</w:t>
      </w:r>
      <w:r w:rsidRPr="00143E66">
        <w:rPr>
          <w:lang w:eastAsia="ar-SA"/>
        </w:rPr>
        <w:t xml:space="preserve"> de los trabajadores </w:t>
      </w:r>
      <w:r w:rsidR="00BD5F3C">
        <w:rPr>
          <w:lang w:eastAsia="ar-SA"/>
        </w:rPr>
        <w:t>formales</w:t>
      </w:r>
      <w:r w:rsidRPr="00143E66">
        <w:rPr>
          <w:bCs/>
          <w:lang w:eastAsia="ar-SA"/>
        </w:rPr>
        <w:t>.</w:t>
      </w:r>
      <w:r w:rsidRPr="00143E66">
        <w:rPr>
          <w:lang w:eastAsia="ar-SA"/>
        </w:rPr>
        <w:t xml:space="preserve"> </w:t>
      </w:r>
      <w:r w:rsidR="006A0F05" w:rsidRPr="00C966AA">
        <w:rPr>
          <w:rFonts w:eastAsia="Calibri"/>
          <w:lang w:val="es-MX" w:eastAsia="en-US"/>
        </w:rPr>
        <w:t xml:space="preserve">En este contexto, fue posible estabilizar la inflación, cancelar deudas y reactivar el consumo interno. En igual sentido operaron las políticas activas en materia de inversión pública, empleo, salario mínimo, negociaciones colectivas y jubilaciones (Novick, 2006; Palomino, 2007; </w:t>
      </w:r>
      <w:proofErr w:type="spellStart"/>
      <w:r w:rsidR="006A0F05" w:rsidRPr="00C966AA">
        <w:rPr>
          <w:rFonts w:eastAsia="Calibri"/>
          <w:lang w:val="es-MX" w:eastAsia="en-US"/>
        </w:rPr>
        <w:t>Panigo</w:t>
      </w:r>
      <w:proofErr w:type="spellEnd"/>
      <w:r w:rsidR="006A0F05" w:rsidRPr="00C966AA">
        <w:rPr>
          <w:rFonts w:eastAsia="Calibri"/>
          <w:lang w:val="es-MX" w:eastAsia="en-US"/>
        </w:rPr>
        <w:t xml:space="preserve"> y </w:t>
      </w:r>
      <w:proofErr w:type="spellStart"/>
      <w:r w:rsidR="006A0F05" w:rsidRPr="00C966AA">
        <w:rPr>
          <w:rFonts w:eastAsia="Calibri"/>
          <w:lang w:val="es-MX" w:eastAsia="en-US"/>
        </w:rPr>
        <w:t>Neffa</w:t>
      </w:r>
      <w:proofErr w:type="spellEnd"/>
      <w:r w:rsidR="006A0F05" w:rsidRPr="00C966AA">
        <w:rPr>
          <w:rFonts w:eastAsia="Calibri"/>
          <w:lang w:val="es-MX" w:eastAsia="en-US"/>
        </w:rPr>
        <w:t xml:space="preserve">, 2009), así como también la extensión de los programas sociales de transferencia de ingresos para familias sin empleo (Beccaria y Maurizio, 2008). Estas condiciones hicieron posible un aumento de los ingresos reales de los hogares, una caída de la pobreza y una mejor distribución del ingreso. </w:t>
      </w:r>
      <w:r w:rsidR="006A0F05" w:rsidRPr="003C1EE7">
        <w:rPr>
          <w:rFonts w:eastAsia="Calibri"/>
          <w:vertAlign w:val="superscript"/>
          <w:lang w:val="es-MX" w:eastAsia="en-US"/>
        </w:rPr>
        <w:footnoteReference w:id="17"/>
      </w:r>
      <w:r w:rsidR="006A0F05" w:rsidRPr="00C966AA">
        <w:rPr>
          <w:rFonts w:eastAsia="Calibri"/>
          <w:lang w:val="es-MX" w:eastAsia="en-US"/>
        </w:rPr>
        <w:t xml:space="preserve">  </w:t>
      </w:r>
    </w:p>
    <w:p w:rsidR="006A0F05" w:rsidRDefault="006A0F05" w:rsidP="006A0F05">
      <w:pPr>
        <w:spacing w:after="120"/>
        <w:jc w:val="both"/>
        <w:rPr>
          <w:rFonts w:eastAsia="Calibri"/>
          <w:lang w:val="es-MX" w:eastAsia="en-US"/>
        </w:rPr>
      </w:pPr>
      <w:r>
        <w:rPr>
          <w:lang w:eastAsia="ar-SA"/>
        </w:rPr>
        <w:t xml:space="preserve">6) </w:t>
      </w:r>
      <w:r>
        <w:rPr>
          <w:rFonts w:eastAsia="Calibri"/>
          <w:lang w:val="es-MX" w:eastAsia="en-US"/>
        </w:rPr>
        <w:t>Este régimen económico</w:t>
      </w:r>
      <w:r w:rsidRPr="00D039ED">
        <w:rPr>
          <w:rFonts w:eastAsia="Calibri"/>
          <w:lang w:val="es-MX" w:eastAsia="en-US"/>
        </w:rPr>
        <w:t xml:space="preserve"> ha continuado hasta el presente promoviendo -aunque no sin percances y desajustes-, un aumento del consumo interno, del empleo público y del gasto social. La contracara de este proceso </w:t>
      </w:r>
      <w:r>
        <w:rPr>
          <w:rFonts w:eastAsia="Calibri"/>
          <w:lang w:val="es-MX" w:eastAsia="en-US"/>
        </w:rPr>
        <w:t>ha sido un</w:t>
      </w:r>
      <w:r w:rsidRPr="00D039ED">
        <w:rPr>
          <w:rFonts w:eastAsia="Calibri"/>
          <w:lang w:val="es-MX" w:eastAsia="en-US"/>
        </w:rPr>
        <w:t xml:space="preserve"> aumento del déficit fiscal</w:t>
      </w:r>
      <w:r>
        <w:rPr>
          <w:rFonts w:eastAsia="Calibri"/>
          <w:lang w:val="es-MX" w:eastAsia="en-US"/>
        </w:rPr>
        <w:t xml:space="preserve"> y la inflación, así como</w:t>
      </w:r>
      <w:r w:rsidRPr="00D039ED">
        <w:rPr>
          <w:rFonts w:eastAsia="Calibri"/>
          <w:lang w:val="es-MX" w:eastAsia="en-US"/>
        </w:rPr>
        <w:t xml:space="preserve"> una menor tasa de inversión interna</w:t>
      </w:r>
      <w:r w:rsidRPr="00D039ED">
        <w:t xml:space="preserve"> (</w:t>
      </w:r>
      <w:proofErr w:type="spellStart"/>
      <w:r w:rsidRPr="00D039ED">
        <w:t>Damill</w:t>
      </w:r>
      <w:proofErr w:type="spellEnd"/>
      <w:r w:rsidRPr="00D039ED">
        <w:t xml:space="preserve">, </w:t>
      </w:r>
      <w:proofErr w:type="spellStart"/>
      <w:r w:rsidRPr="00D039ED">
        <w:t>Frenkel</w:t>
      </w:r>
      <w:proofErr w:type="spellEnd"/>
      <w:r w:rsidRPr="00D039ED">
        <w:t xml:space="preserve"> y </w:t>
      </w:r>
      <w:proofErr w:type="spellStart"/>
      <w:r w:rsidRPr="00D039ED">
        <w:t>Rapetti</w:t>
      </w:r>
      <w:proofErr w:type="spellEnd"/>
      <w:r w:rsidRPr="00D039ED">
        <w:t>, 2014)</w:t>
      </w:r>
      <w:r w:rsidRPr="00D039ED">
        <w:rPr>
          <w:rFonts w:eastAsia="Calibri"/>
          <w:lang w:val="es-MX" w:eastAsia="en-US"/>
        </w:rPr>
        <w:t xml:space="preserve">. </w:t>
      </w:r>
      <w:r>
        <w:rPr>
          <w:rFonts w:eastAsia="Calibri"/>
          <w:lang w:val="es-MX" w:eastAsia="en-US"/>
        </w:rPr>
        <w:t xml:space="preserve">De esta manera, </w:t>
      </w:r>
      <w:r w:rsidRPr="0070404F">
        <w:t xml:space="preserve">a partir de 2007, </w:t>
      </w:r>
      <w:r>
        <w:rPr>
          <w:rFonts w:eastAsia="Calibri"/>
          <w:lang w:val="es-MX" w:eastAsia="en-US"/>
        </w:rPr>
        <w:t xml:space="preserve">una vez </w:t>
      </w:r>
      <w:r>
        <w:t>agotada</w:t>
      </w:r>
      <w:r w:rsidRPr="0070404F">
        <w:t xml:space="preserve"> la reactivación post-crisis, sin acceso al financiamiento externo y recortado el financiamiento interno, el aumento de la oferta de bienes y servicios por debajo del crecimiento de la demanda agregada no tardó en generar un proceso inflacionario, junto a una creciente puja distributiva. Esto sumado a la decisión de servirse </w:t>
      </w:r>
      <w:r w:rsidR="00BD5F3C">
        <w:t>de dicho proceso</w:t>
      </w:r>
      <w:r w:rsidRPr="0070404F">
        <w:t xml:space="preserve"> para solventar el gasto público, comenzó a generar una serie de desequilibrios en materia de balance comercial, retracción de la inversión, caída del nivel de actividad y expectativas cambiarias</w:t>
      </w:r>
      <w:r w:rsidR="00BD5F3C">
        <w:t>. Todo ello</w:t>
      </w:r>
      <w:r w:rsidRPr="00D039ED">
        <w:rPr>
          <w:rFonts w:eastAsia="Calibri"/>
          <w:lang w:val="es-MX" w:eastAsia="en-US"/>
        </w:rPr>
        <w:t xml:space="preserve"> se tradujo en desaceleración del crecimiento, reducción del superávit comercial, aumento de precios internos y estancamiento del empleo</w:t>
      </w:r>
      <w:r w:rsidR="00BD5F3C">
        <w:rPr>
          <w:rFonts w:eastAsia="Calibri"/>
          <w:lang w:val="es-MX" w:eastAsia="en-US"/>
        </w:rPr>
        <w:t xml:space="preserve"> (</w:t>
      </w:r>
      <w:proofErr w:type="spellStart"/>
      <w:r w:rsidR="00BD5F3C" w:rsidRPr="0070404F">
        <w:t>Damill</w:t>
      </w:r>
      <w:proofErr w:type="spellEnd"/>
      <w:r w:rsidR="00BD5F3C" w:rsidRPr="0070404F">
        <w:t xml:space="preserve"> y </w:t>
      </w:r>
      <w:proofErr w:type="spellStart"/>
      <w:r w:rsidR="00BD5F3C" w:rsidRPr="0070404F">
        <w:t>Frenkel</w:t>
      </w:r>
      <w:proofErr w:type="spellEnd"/>
      <w:r w:rsidR="00BD5F3C">
        <w:t xml:space="preserve">, </w:t>
      </w:r>
      <w:r w:rsidR="00BD5F3C" w:rsidRPr="0070404F">
        <w:t>2013</w:t>
      </w:r>
      <w:r w:rsidR="00BD5F3C">
        <w:t xml:space="preserve">; </w:t>
      </w:r>
      <w:proofErr w:type="spellStart"/>
      <w:r w:rsidR="00BD5F3C" w:rsidRPr="00D039ED">
        <w:t>Damill</w:t>
      </w:r>
      <w:proofErr w:type="spellEnd"/>
      <w:r w:rsidR="00BD5F3C" w:rsidRPr="00D039ED">
        <w:t xml:space="preserve">, </w:t>
      </w:r>
      <w:proofErr w:type="spellStart"/>
      <w:r w:rsidR="00BD5F3C" w:rsidRPr="00D039ED">
        <w:t>Frenkel</w:t>
      </w:r>
      <w:proofErr w:type="spellEnd"/>
      <w:r w:rsidR="00BD5F3C" w:rsidRPr="00D039ED">
        <w:t xml:space="preserve"> y </w:t>
      </w:r>
      <w:proofErr w:type="spellStart"/>
      <w:r w:rsidR="00BD5F3C" w:rsidRPr="00D039ED">
        <w:t>Rapetti</w:t>
      </w:r>
      <w:proofErr w:type="spellEnd"/>
      <w:r w:rsidR="00BD5F3C" w:rsidRPr="00D039ED">
        <w:t>, 2014</w:t>
      </w:r>
      <w:r w:rsidR="00BD5F3C" w:rsidRPr="0070404F">
        <w:t>)</w:t>
      </w:r>
      <w:r w:rsidRPr="00D039ED">
        <w:rPr>
          <w:rFonts w:eastAsia="Calibri"/>
          <w:lang w:val="es-MX" w:eastAsia="en-US"/>
        </w:rPr>
        <w:t xml:space="preserve">. </w:t>
      </w:r>
    </w:p>
    <w:p w:rsidR="00B01648" w:rsidRPr="00800935" w:rsidRDefault="00B01648" w:rsidP="00B05844">
      <w:pPr>
        <w:spacing w:after="120"/>
        <w:jc w:val="both"/>
        <w:rPr>
          <w:rFonts w:eastAsia="Calibri"/>
          <w:lang w:eastAsia="en-US"/>
        </w:rPr>
      </w:pPr>
      <w:r>
        <w:rPr>
          <w:rFonts w:eastAsia="Calibri"/>
          <w:lang w:val="es-MX" w:eastAsia="en-US"/>
        </w:rPr>
        <w:t xml:space="preserve">Presentadas las principales coordenadas de la historia político-económica reciente, </w:t>
      </w:r>
      <w:r w:rsidR="00800935">
        <w:rPr>
          <w:rFonts w:eastAsia="Calibri"/>
          <w:lang w:val="es-MX" w:eastAsia="en-US"/>
        </w:rPr>
        <w:t xml:space="preserve">cabe ahora indagar cómo cada una de las fases señaladas incidió sobre la exclusión socioeconómica y el bienestar de los hogares. </w:t>
      </w:r>
      <w:r w:rsidR="00800935">
        <w:rPr>
          <w:rFonts w:eastAsia="Calibri"/>
          <w:lang w:val="es-AR"/>
        </w:rPr>
        <w:t>Una primera aproximación a esta pregunta lo puede dar una rápida mirada sobre la evolución seguida por las tasas de indigencia y de pobreza</w:t>
      </w:r>
      <w:r w:rsidR="00800935" w:rsidRPr="005D2997">
        <w:rPr>
          <w:rFonts w:eastAsia="Calibri"/>
          <w:bCs/>
          <w:lang w:val="es-AR"/>
        </w:rPr>
        <w:t xml:space="preserve"> </w:t>
      </w:r>
      <w:r w:rsidR="00800935" w:rsidRPr="00EA7DC2">
        <w:rPr>
          <w:rFonts w:eastAsia="Calibri"/>
          <w:bCs/>
          <w:lang w:val="es-AR"/>
        </w:rPr>
        <w:t>para el área del Gran Buenos Aires</w:t>
      </w:r>
      <w:r w:rsidR="00800935">
        <w:rPr>
          <w:rFonts w:eastAsia="Calibri"/>
          <w:lang w:val="es-AR"/>
        </w:rPr>
        <w:t>.</w:t>
      </w:r>
      <w:r w:rsidR="00800935" w:rsidRPr="000A0ED1">
        <w:rPr>
          <w:vertAlign w:val="superscript"/>
        </w:rPr>
        <w:footnoteReference w:id="18"/>
      </w:r>
    </w:p>
    <w:p w:rsidR="00407AC7" w:rsidRPr="00E70BB9" w:rsidRDefault="00407AC7" w:rsidP="00407AC7">
      <w:pPr>
        <w:spacing w:after="120"/>
        <w:jc w:val="both"/>
        <w:rPr>
          <w:rFonts w:eastAsia="Calibri"/>
        </w:rPr>
      </w:pPr>
      <w:r w:rsidRPr="00E70BB9">
        <w:rPr>
          <w:rFonts w:eastAsia="Calibri"/>
          <w:b/>
        </w:rPr>
        <w:lastRenderedPageBreak/>
        <w:t xml:space="preserve">Gráfico 1. Tasas de pobreza e indigencia de los hogares. Gran Buenos Aires. </w:t>
      </w:r>
      <w:r>
        <w:rPr>
          <w:rFonts w:eastAsia="Calibri"/>
          <w:b/>
        </w:rPr>
        <w:t xml:space="preserve">EPH-INDEC: </w:t>
      </w:r>
      <w:r w:rsidRPr="00E70BB9">
        <w:rPr>
          <w:rFonts w:eastAsia="Calibri"/>
          <w:b/>
        </w:rPr>
        <w:t>1992-2012.</w:t>
      </w:r>
    </w:p>
    <w:p w:rsidR="00407AC7" w:rsidRDefault="00AC5ADE" w:rsidP="00407AC7">
      <w:pPr>
        <w:spacing w:after="120"/>
        <w:jc w:val="center"/>
        <w:rPr>
          <w:rFonts w:eastAsia="Calibri"/>
          <w:highlight w:val="yellow"/>
        </w:rPr>
      </w:pPr>
      <w:r>
        <w:rPr>
          <w:noProof/>
          <w:lang w:val="es-AR" w:eastAsia="es-AR"/>
        </w:rPr>
        <w:drawing>
          <wp:inline distT="0" distB="0" distL="0" distR="0">
            <wp:extent cx="5276215" cy="2578735"/>
            <wp:effectExtent l="0" t="0" r="635"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7AC7" w:rsidRDefault="00407AC7" w:rsidP="00407AC7">
      <w:pPr>
        <w:spacing w:after="120"/>
        <w:jc w:val="both"/>
        <w:rPr>
          <w:rFonts w:eastAsia="Calibri"/>
          <w:b/>
        </w:rPr>
      </w:pPr>
      <w:r w:rsidRPr="0059201C">
        <w:rPr>
          <w:sz w:val="18"/>
          <w:szCs w:val="18"/>
          <w:lang w:eastAsia="es-AR"/>
        </w:rPr>
        <w:t>Fuente: Programa Cambio Estructural y Desigualdad Social, IIGG-FCS-UBA, en base a datos de la EPH, INDEC (GBA, EPH onda mayo de 1992, 1994, 1998, 2001 y 2003; y EPH continua tercer trimestre 2003 y serie anual 2004-2012 (segundo trimestre).</w:t>
      </w:r>
    </w:p>
    <w:p w:rsidR="00CD7AC2" w:rsidRDefault="00CD7AC2" w:rsidP="00CD7AC2">
      <w:pPr>
        <w:spacing w:after="120"/>
        <w:jc w:val="both"/>
        <w:rPr>
          <w:rFonts w:eastAsia="Calibri"/>
        </w:rPr>
      </w:pPr>
    </w:p>
    <w:p w:rsidR="00666735" w:rsidRDefault="00666735" w:rsidP="00666735">
      <w:pPr>
        <w:spacing w:after="120"/>
        <w:jc w:val="both"/>
        <w:rPr>
          <w:rFonts w:eastAsia="Calibri"/>
          <w:lang w:val="es-AR"/>
        </w:rPr>
      </w:pPr>
      <w:r>
        <w:rPr>
          <w:rFonts w:eastAsia="Calibri"/>
          <w:lang w:val="es-AR"/>
        </w:rPr>
        <w:t xml:space="preserve">Al respecto, el Gráfico 1 da cuenta estilizada de los efectos en materia de bienestar económico que generaron las condiciones político-económicas arriba descritas. </w:t>
      </w:r>
      <w:r w:rsidRPr="003447E1">
        <w:rPr>
          <w:rFonts w:eastAsia="Calibri"/>
        </w:rPr>
        <w:t>Luego de una inicial caída de las tasas de indigencia y de pobreza -entre 1992 y 1994- generadas por la estabilidad de precios y la reactivación del empleo, es evidente el efecto regresivo que en materia de bienestar tuvieron entre 1994 y 1998 las políticas de desregulación y liberalización económica. A continuación, entre</w:t>
      </w:r>
      <w:r w:rsidRPr="003447E1">
        <w:rPr>
          <w:rFonts w:eastAsia="Calibri"/>
          <w:lang w:val="es-AR"/>
        </w:rPr>
        <w:t xml:space="preserve"> 1998 y 2003, bajo un proceso recesivo que concluyó en una colosal crisis económico-financiera, las tasas de indigencia y de pobreza alcanzaron sus valores máximos. Pero pasado lo peor de las crisis, entre</w:t>
      </w:r>
      <w:r w:rsidRPr="003447E1">
        <w:rPr>
          <w:rFonts w:eastAsia="Calibri"/>
        </w:rPr>
        <w:t xml:space="preserve"> 2003 y 2007, en un marco de estabilización y reactivación económica bajo políticas heterodoxas, las tasas de pobreza e indigencia experimentaron una sistemática reducción, alcanzando los niveles promedios </w:t>
      </w:r>
      <w:r>
        <w:rPr>
          <w:rFonts w:eastAsia="Calibri"/>
        </w:rPr>
        <w:t>del período 1994-1998</w:t>
      </w:r>
      <w:r w:rsidRPr="003447E1">
        <w:rPr>
          <w:rFonts w:eastAsia="Calibri"/>
        </w:rPr>
        <w:t xml:space="preserve">. Durante la fase 2007-2012, </w:t>
      </w:r>
      <w:r w:rsidRPr="003447E1">
        <w:rPr>
          <w:rFonts w:eastAsia="Calibri"/>
          <w:lang w:val="es-AR"/>
        </w:rPr>
        <w:t>a pesar de la mayor inestabilidad a nivel de los precios y el menor dinámico en materia de empleo, ambas tasas siguieron cayendo aunque a un ritmo mucho menor.</w:t>
      </w:r>
      <w:r>
        <w:rPr>
          <w:rFonts w:eastAsia="Calibri"/>
          <w:lang w:val="es-AR"/>
        </w:rPr>
        <w:t xml:space="preserve"> </w:t>
      </w:r>
    </w:p>
    <w:p w:rsidR="00B82BF5" w:rsidRDefault="00B82BF5" w:rsidP="00D039ED">
      <w:pPr>
        <w:spacing w:after="120"/>
        <w:jc w:val="both"/>
        <w:rPr>
          <w:rFonts w:eastAsia="Calibri"/>
          <w:lang w:val="es-MX" w:eastAsia="en-US"/>
        </w:rPr>
      </w:pPr>
      <w:r>
        <w:rPr>
          <w:rFonts w:eastAsia="Calibri"/>
          <w:lang w:val="es-AR"/>
        </w:rPr>
        <w:t xml:space="preserve">En este sentido, un hecho no poco importante es observar que </w:t>
      </w:r>
      <w:r w:rsidR="00407AC7" w:rsidRPr="007A3F8C">
        <w:rPr>
          <w:rFonts w:eastAsia="Calibri"/>
          <w:lang w:val="es-AR"/>
        </w:rPr>
        <w:t xml:space="preserve">al final del período </w:t>
      </w:r>
      <w:r w:rsidR="00407AC7">
        <w:rPr>
          <w:rFonts w:eastAsia="Calibri"/>
          <w:lang w:val="es-AR"/>
        </w:rPr>
        <w:t>de políticas heterodoxas</w:t>
      </w:r>
      <w:r w:rsidR="003447E1">
        <w:rPr>
          <w:rFonts w:eastAsia="Calibri"/>
          <w:lang w:val="es-AR"/>
        </w:rPr>
        <w:t xml:space="preserve"> analizado</w:t>
      </w:r>
      <w:r w:rsidR="00407AC7" w:rsidRPr="007A3F8C">
        <w:rPr>
          <w:rFonts w:eastAsia="Calibri"/>
          <w:lang w:val="es-AR"/>
        </w:rPr>
        <w:t xml:space="preserve">, los niveles de </w:t>
      </w:r>
      <w:r w:rsidR="00407AC7">
        <w:rPr>
          <w:rFonts w:eastAsia="Calibri"/>
          <w:lang w:val="es-AR"/>
        </w:rPr>
        <w:t>indigencia y de pobreza</w:t>
      </w:r>
      <w:r w:rsidR="00407AC7" w:rsidRPr="007A3F8C">
        <w:rPr>
          <w:rFonts w:eastAsia="Calibri"/>
          <w:lang w:val="es-AR"/>
        </w:rPr>
        <w:t xml:space="preserve"> </w:t>
      </w:r>
      <w:r>
        <w:rPr>
          <w:rFonts w:eastAsia="Calibri"/>
          <w:lang w:val="es-AR"/>
        </w:rPr>
        <w:t>no lograron atravesar el piso de bienestar alcanzado</w:t>
      </w:r>
      <w:r w:rsidR="00407AC7">
        <w:rPr>
          <w:rFonts w:eastAsia="Calibri"/>
          <w:lang w:val="es-AR"/>
        </w:rPr>
        <w:t xml:space="preserve"> </w:t>
      </w:r>
      <w:r>
        <w:rPr>
          <w:rFonts w:eastAsia="Calibri"/>
          <w:lang w:val="es-AR"/>
        </w:rPr>
        <w:t>durante</w:t>
      </w:r>
      <w:r w:rsidR="00407AC7" w:rsidRPr="007A3F8C">
        <w:rPr>
          <w:rFonts w:eastAsia="Calibri"/>
          <w:lang w:val="es-AR"/>
        </w:rPr>
        <w:t xml:space="preserve"> la primera </w:t>
      </w:r>
      <w:r>
        <w:rPr>
          <w:rFonts w:eastAsia="Calibri"/>
          <w:lang w:val="es-AR"/>
        </w:rPr>
        <w:t>etapa</w:t>
      </w:r>
      <w:r w:rsidR="00407AC7" w:rsidRPr="007A3F8C">
        <w:rPr>
          <w:rFonts w:eastAsia="Calibri"/>
          <w:lang w:val="es-AR"/>
        </w:rPr>
        <w:t xml:space="preserve"> del modelo neoliberal. </w:t>
      </w:r>
      <w:r>
        <w:rPr>
          <w:rFonts w:eastAsia="Calibri"/>
          <w:lang w:val="es-MX" w:eastAsia="en-US"/>
        </w:rPr>
        <w:t xml:space="preserve">Esta evidencia abre una serie de nuevas preguntas en cuanto a los factores distributivos subyacentes asociados a este comportamiento. ¿En qué medida los resultados de convergencia social observados correlacionan con el comportamiento más estructural de la estructura económico-ocupacional </w:t>
      </w:r>
      <w:r w:rsidR="007A7E67">
        <w:rPr>
          <w:rFonts w:eastAsia="Calibri"/>
          <w:lang w:val="es-MX" w:eastAsia="en-US"/>
        </w:rPr>
        <w:t>o los esfuerzos desarrollados por el Estado en materia de gasto social? Los apartados que siguen ofrecen algunas respuestas interesantes a esta pregunta.</w:t>
      </w:r>
      <w:r>
        <w:rPr>
          <w:rFonts w:eastAsia="Calibri"/>
          <w:lang w:val="es-MX" w:eastAsia="en-US"/>
        </w:rPr>
        <w:t xml:space="preserve">   </w:t>
      </w:r>
    </w:p>
    <w:p w:rsidR="00A478AE" w:rsidRDefault="00A478AE" w:rsidP="001A072B">
      <w:pPr>
        <w:spacing w:after="120"/>
        <w:jc w:val="both"/>
        <w:rPr>
          <w:b/>
          <w:lang w:val="es-AR"/>
        </w:rPr>
      </w:pPr>
    </w:p>
    <w:p w:rsidR="001A072B" w:rsidRPr="001A072B" w:rsidRDefault="001A072B" w:rsidP="001A072B">
      <w:pPr>
        <w:spacing w:after="120"/>
        <w:jc w:val="both"/>
        <w:rPr>
          <w:b/>
          <w:lang w:val="es-AR"/>
        </w:rPr>
      </w:pPr>
      <w:r w:rsidRPr="001A072B">
        <w:rPr>
          <w:b/>
          <w:lang w:val="es-AR"/>
        </w:rPr>
        <w:t>4. Heterogeneidades persistentes en el mercado de trabajo: una mirada sobre los determinantes de la distribución primaria del ingreso.</w:t>
      </w:r>
    </w:p>
    <w:p w:rsidR="007A7E67" w:rsidRDefault="007A7E67" w:rsidP="007A7E67">
      <w:pPr>
        <w:spacing w:after="120"/>
        <w:jc w:val="both"/>
        <w:rPr>
          <w:rFonts w:eastAsia="Calibri"/>
          <w:lang w:val="es-MX" w:eastAsia="en-US"/>
        </w:rPr>
      </w:pPr>
      <w:r w:rsidRPr="00D039ED">
        <w:rPr>
          <w:rFonts w:eastAsia="Calibri"/>
          <w:lang w:val="es-MX" w:eastAsia="en-US"/>
        </w:rPr>
        <w:t xml:space="preserve">Si bien es amplio el consenso acerca de los efectos regresivos que tuvieron en este sentido las reformas estructurales de los años noventa, no son pocos los estudios que </w:t>
      </w:r>
      <w:r w:rsidRPr="00D039ED">
        <w:rPr>
          <w:rFonts w:eastAsia="Calibri"/>
          <w:lang w:val="es-MX" w:eastAsia="en-US"/>
        </w:rPr>
        <w:lastRenderedPageBreak/>
        <w:t xml:space="preserve">consideran que el ciclo virtuoso abierto tras la crisis de </w:t>
      </w:r>
      <w:r>
        <w:rPr>
          <w:rFonts w:eastAsia="Calibri"/>
          <w:lang w:val="es-MX" w:eastAsia="en-US"/>
        </w:rPr>
        <w:t>la convertibilidad</w:t>
      </w:r>
      <w:r w:rsidRPr="00D039ED">
        <w:rPr>
          <w:rFonts w:eastAsia="Calibri"/>
          <w:lang w:val="es-MX" w:eastAsia="en-US"/>
        </w:rPr>
        <w:t xml:space="preserve"> habría sido insuficiente para promover una mayor integración productiva y superar la heterogeneidad estructural (</w:t>
      </w:r>
      <w:proofErr w:type="spellStart"/>
      <w:r w:rsidRPr="00D039ED">
        <w:rPr>
          <w:rFonts w:eastAsia="Calibri"/>
          <w:lang w:val="es-MX" w:eastAsia="en-US"/>
        </w:rPr>
        <w:t>Azpiazu</w:t>
      </w:r>
      <w:proofErr w:type="spellEnd"/>
      <w:r w:rsidRPr="00D039ED">
        <w:rPr>
          <w:rFonts w:eastAsia="Calibri"/>
          <w:lang w:val="es-MX" w:eastAsia="en-US"/>
        </w:rPr>
        <w:t xml:space="preserve"> y </w:t>
      </w:r>
      <w:proofErr w:type="spellStart"/>
      <w:r w:rsidRPr="00D039ED">
        <w:rPr>
          <w:rFonts w:eastAsia="Calibri"/>
          <w:lang w:val="es-MX" w:eastAsia="en-US"/>
        </w:rPr>
        <w:t>Schorr</w:t>
      </w:r>
      <w:proofErr w:type="spellEnd"/>
      <w:r w:rsidRPr="00D039ED">
        <w:rPr>
          <w:rFonts w:eastAsia="Calibri"/>
          <w:lang w:val="es-MX" w:eastAsia="en-US"/>
        </w:rPr>
        <w:t xml:space="preserve">, 2008, 2010; </w:t>
      </w:r>
      <w:proofErr w:type="spellStart"/>
      <w:r w:rsidRPr="00D039ED">
        <w:rPr>
          <w:rFonts w:eastAsia="Calibri"/>
          <w:lang w:val="es-MX" w:eastAsia="en-US"/>
        </w:rPr>
        <w:t>Gaggero</w:t>
      </w:r>
      <w:proofErr w:type="spellEnd"/>
      <w:r w:rsidRPr="00D039ED">
        <w:rPr>
          <w:rFonts w:eastAsia="Calibri"/>
          <w:lang w:val="es-MX" w:eastAsia="en-US"/>
        </w:rPr>
        <w:t xml:space="preserve">, </w:t>
      </w:r>
      <w:proofErr w:type="spellStart"/>
      <w:r w:rsidRPr="00D039ED">
        <w:rPr>
          <w:rFonts w:eastAsia="Calibri"/>
          <w:lang w:val="es-MX" w:eastAsia="en-US"/>
        </w:rPr>
        <w:t>Wainer</w:t>
      </w:r>
      <w:proofErr w:type="spellEnd"/>
      <w:r w:rsidRPr="00D039ED">
        <w:rPr>
          <w:rFonts w:eastAsia="Calibri"/>
          <w:lang w:val="es-MX" w:eastAsia="en-US"/>
        </w:rPr>
        <w:t xml:space="preserve"> y </w:t>
      </w:r>
      <w:proofErr w:type="spellStart"/>
      <w:r w:rsidRPr="00D039ED">
        <w:rPr>
          <w:rFonts w:eastAsia="Calibri"/>
          <w:lang w:val="es-MX" w:eastAsia="en-US"/>
        </w:rPr>
        <w:t>Schorr</w:t>
      </w:r>
      <w:proofErr w:type="spellEnd"/>
      <w:r w:rsidRPr="00D039ED">
        <w:rPr>
          <w:rFonts w:eastAsia="Calibri"/>
          <w:lang w:val="es-MX" w:eastAsia="en-US"/>
        </w:rPr>
        <w:t>, 2014). En particular, cabe hacer referencia a los desajustes generados por la mayor concentración y extranjerización de las inversiones, la falta de integración de los mercados y el déficit de infraestructura e inversión en áreas claves para el desarrollo.  En este sentido, si bien existe consenso en la literatura acerca de un cambio en la política macroeconómica y social, así como de sus efectos positivos en materia de bienestar durante la última década, se ponen en duda los alcances en materia de convergencia social.</w:t>
      </w:r>
    </w:p>
    <w:p w:rsidR="007A7E67" w:rsidRDefault="007A7E67" w:rsidP="007A7E67">
      <w:pPr>
        <w:spacing w:after="120"/>
        <w:jc w:val="both"/>
      </w:pPr>
      <w:r w:rsidRPr="001A072B">
        <w:rPr>
          <w:lang w:val="es-AR"/>
        </w:rPr>
        <w:t xml:space="preserve">Según el enfoque asumido, la heterogeneidad estructural de una economía se expresa en una matriz ocupacional en la que, por una parte, el sector dinámico –privado o público- crece pero no logra absorber al conjunto de la fuerza de trabajo, y, al mismo tiempo, el excedente se refugia en actividades informales de baja productividad. Esta dinámica tiene su correlato en una distribución desigual de las rentas laborales. En este contexto, </w:t>
      </w:r>
      <w:r w:rsidRPr="001A072B">
        <w:t xml:space="preserve">resulta relevante preguntarse: ¿cuál ha sido la capacidad efectiva de los sectores modernos o dinámicos de la economía para absorber fuerza de trabajo improductiva, es decir, localizada en los sectores atrasados, durante la fase neoliberal de reformas estructurales? ¿Qué cambios se advierten en este sentido durante las políticas heterodoxas? </w:t>
      </w:r>
      <w:r w:rsidRPr="001A072B">
        <w:rPr>
          <w:vertAlign w:val="superscript"/>
        </w:rPr>
        <w:footnoteReference w:id="19"/>
      </w:r>
      <w:r w:rsidRPr="001A072B">
        <w:t xml:space="preserve"> </w:t>
      </w:r>
    </w:p>
    <w:p w:rsidR="001A072B" w:rsidRPr="001A072B" w:rsidRDefault="001A072B" w:rsidP="001A072B">
      <w:pPr>
        <w:jc w:val="both"/>
        <w:rPr>
          <w:b/>
        </w:rPr>
      </w:pPr>
      <w:r w:rsidRPr="001A072B">
        <w:rPr>
          <w:b/>
        </w:rPr>
        <w:t>Tabla 1. Participación de los sectores y categorías económico ocupacionales en el total del empleo. Gran Buenos Aires: 1992-2012. En porcentajes.</w:t>
      </w:r>
    </w:p>
    <w:tbl>
      <w:tblPr>
        <w:tblW w:w="5000" w:type="pct"/>
        <w:jc w:val="center"/>
        <w:tblCellMar>
          <w:left w:w="70" w:type="dxa"/>
          <w:right w:w="70" w:type="dxa"/>
        </w:tblCellMar>
        <w:tblLook w:val="04A0" w:firstRow="1" w:lastRow="0" w:firstColumn="1" w:lastColumn="0" w:noHBand="0" w:noVBand="1"/>
      </w:tblPr>
      <w:tblGrid>
        <w:gridCol w:w="2277"/>
        <w:gridCol w:w="866"/>
        <w:gridCol w:w="741"/>
        <w:gridCol w:w="712"/>
        <w:gridCol w:w="784"/>
        <w:gridCol w:w="870"/>
        <w:gridCol w:w="876"/>
        <w:gridCol w:w="765"/>
        <w:gridCol w:w="753"/>
      </w:tblGrid>
      <w:tr w:rsidR="001A072B" w:rsidRPr="001A072B" w:rsidTr="001A072B">
        <w:trPr>
          <w:trHeight w:val="282"/>
          <w:jc w:val="center"/>
        </w:trPr>
        <w:tc>
          <w:tcPr>
            <w:tcW w:w="1380"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 </w:t>
            </w:r>
          </w:p>
        </w:tc>
        <w:tc>
          <w:tcPr>
            <w:tcW w:w="1313" w:type="pct"/>
            <w:gridSpan w:val="3"/>
            <w:tcBorders>
              <w:top w:val="single" w:sz="8" w:space="0" w:color="auto"/>
              <w:left w:val="nil"/>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Etapa de reformas estructurales</w:t>
            </w:r>
          </w:p>
        </w:tc>
        <w:tc>
          <w:tcPr>
            <w:tcW w:w="944"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Ciclo de crisis y recuperación</w:t>
            </w:r>
          </w:p>
        </w:tc>
        <w:tc>
          <w:tcPr>
            <w:tcW w:w="1363"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Etapa de políticas heterodoxas</w:t>
            </w:r>
          </w:p>
        </w:tc>
      </w:tr>
      <w:tr w:rsidR="001A072B" w:rsidRPr="001A072B" w:rsidTr="001A072B">
        <w:trPr>
          <w:trHeight w:val="282"/>
          <w:jc w:val="center"/>
        </w:trPr>
        <w:tc>
          <w:tcPr>
            <w:tcW w:w="1380"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jc w:val="both"/>
              <w:rPr>
                <w:b/>
                <w:bCs/>
                <w:sz w:val="18"/>
                <w:szCs w:val="18"/>
                <w:lang w:val="es-AR" w:eastAsia="es-AR"/>
              </w:rPr>
            </w:pPr>
            <w:r w:rsidRPr="001A072B">
              <w:rPr>
                <w:b/>
                <w:bCs/>
                <w:sz w:val="18"/>
                <w:szCs w:val="18"/>
                <w:lang w:val="es-AR" w:eastAsia="es-AR"/>
              </w:rPr>
              <w:t> </w:t>
            </w:r>
          </w:p>
        </w:tc>
        <w:tc>
          <w:tcPr>
            <w:tcW w:w="496"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1992</w:t>
            </w:r>
          </w:p>
        </w:tc>
        <w:tc>
          <w:tcPr>
            <w:tcW w:w="418"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1994</w:t>
            </w:r>
          </w:p>
        </w:tc>
        <w:tc>
          <w:tcPr>
            <w:tcW w:w="400" w:type="pct"/>
            <w:tcBorders>
              <w:top w:val="nil"/>
              <w:left w:val="nil"/>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1998</w:t>
            </w:r>
          </w:p>
        </w:tc>
        <w:tc>
          <w:tcPr>
            <w:tcW w:w="445"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2001</w:t>
            </w:r>
          </w:p>
        </w:tc>
        <w:tc>
          <w:tcPr>
            <w:tcW w:w="499" w:type="pct"/>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2003</w:t>
            </w:r>
          </w:p>
        </w:tc>
        <w:tc>
          <w:tcPr>
            <w:tcW w:w="503" w:type="pct"/>
            <w:tcBorders>
              <w:top w:val="nil"/>
              <w:left w:val="single" w:sz="4"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2004</w:t>
            </w:r>
          </w:p>
        </w:tc>
        <w:tc>
          <w:tcPr>
            <w:tcW w:w="43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2007</w:t>
            </w:r>
          </w:p>
        </w:tc>
        <w:tc>
          <w:tcPr>
            <w:tcW w:w="427" w:type="pct"/>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2012</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b/>
                <w:bCs/>
                <w:sz w:val="18"/>
                <w:szCs w:val="18"/>
                <w:lang w:val="es-AR" w:eastAsia="es-AR"/>
              </w:rPr>
            </w:pPr>
            <w:r w:rsidRPr="001A072B">
              <w:rPr>
                <w:b/>
                <w:bCs/>
                <w:sz w:val="18"/>
                <w:szCs w:val="18"/>
                <w:lang w:val="es-AR" w:eastAsia="es-AR"/>
              </w:rPr>
              <w:t>Sector Formal</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44,5</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43,2</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43,2</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42,3</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35,3</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37,9</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44,7</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44,3</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Asalariados</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41,9</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40,6</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39,9</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39,4</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32,0</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34,4</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41,1</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41,0</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No asalariados</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2,7</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2,6</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3,4</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2,9</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3,4</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3,6</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3,7</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3,3</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Patrones formales</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1,4</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1,3</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1,4</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1,4</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1,6</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1,6</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1,8</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1,4</w:t>
            </w:r>
          </w:p>
        </w:tc>
      </w:tr>
      <w:tr w:rsidR="001A072B" w:rsidRPr="001A072B" w:rsidTr="001A072B">
        <w:trPr>
          <w:trHeight w:val="282"/>
          <w:jc w:val="center"/>
        </w:trPr>
        <w:tc>
          <w:tcPr>
            <w:tcW w:w="1380" w:type="pct"/>
            <w:tcBorders>
              <w:top w:val="nil"/>
              <w:left w:val="single" w:sz="8" w:space="0" w:color="auto"/>
              <w:bottom w:val="single" w:sz="8" w:space="0" w:color="auto"/>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Cuenta propia profesionales</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1,3</w:t>
            </w:r>
          </w:p>
        </w:tc>
        <w:tc>
          <w:tcPr>
            <w:tcW w:w="418"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1,3</w:t>
            </w:r>
          </w:p>
        </w:tc>
        <w:tc>
          <w:tcPr>
            <w:tcW w:w="400" w:type="pct"/>
            <w:tcBorders>
              <w:top w:val="nil"/>
              <w:left w:val="nil"/>
              <w:bottom w:val="single" w:sz="8" w:space="0" w:color="auto"/>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1,9</w:t>
            </w:r>
          </w:p>
        </w:tc>
        <w:tc>
          <w:tcPr>
            <w:tcW w:w="445"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1,5</w:t>
            </w:r>
          </w:p>
        </w:tc>
        <w:tc>
          <w:tcPr>
            <w:tcW w:w="499"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1,8</w:t>
            </w:r>
          </w:p>
        </w:tc>
        <w:tc>
          <w:tcPr>
            <w:tcW w:w="503" w:type="pct"/>
            <w:tcBorders>
              <w:top w:val="nil"/>
              <w:left w:val="single" w:sz="4"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1,9</w:t>
            </w:r>
          </w:p>
        </w:tc>
        <w:tc>
          <w:tcPr>
            <w:tcW w:w="433"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1,9</w:t>
            </w:r>
          </w:p>
        </w:tc>
        <w:tc>
          <w:tcPr>
            <w:tcW w:w="427"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1,9</w:t>
            </w:r>
          </w:p>
        </w:tc>
      </w:tr>
      <w:tr w:rsidR="001A072B" w:rsidRPr="001A072B" w:rsidTr="001A072B">
        <w:trPr>
          <w:trHeight w:val="333"/>
          <w:jc w:val="center"/>
        </w:trPr>
        <w:tc>
          <w:tcPr>
            <w:tcW w:w="1380" w:type="pct"/>
            <w:tcBorders>
              <w:top w:val="nil"/>
              <w:left w:val="single" w:sz="8" w:space="0" w:color="auto"/>
              <w:bottom w:val="single" w:sz="8" w:space="0" w:color="auto"/>
              <w:right w:val="nil"/>
            </w:tcBorders>
            <w:shd w:val="clear" w:color="000000" w:fill="FFFFFF"/>
            <w:noWrap/>
            <w:vAlign w:val="center"/>
            <w:hideMark/>
          </w:tcPr>
          <w:p w:rsidR="001A072B" w:rsidRPr="001A072B" w:rsidRDefault="001A072B" w:rsidP="001A072B">
            <w:pPr>
              <w:jc w:val="both"/>
              <w:rPr>
                <w:b/>
                <w:bCs/>
                <w:sz w:val="18"/>
                <w:szCs w:val="18"/>
                <w:lang w:val="es-AR" w:eastAsia="es-AR"/>
              </w:rPr>
            </w:pPr>
            <w:r w:rsidRPr="001A072B">
              <w:rPr>
                <w:b/>
                <w:bCs/>
                <w:sz w:val="18"/>
                <w:szCs w:val="18"/>
                <w:lang w:val="es-AR" w:eastAsia="es-AR"/>
              </w:rPr>
              <w:t>Sector Público</w:t>
            </w:r>
            <w:r w:rsidRPr="001A072B">
              <w:rPr>
                <w:b/>
                <w:bCs/>
                <w:sz w:val="18"/>
                <w:szCs w:val="18"/>
                <w:vertAlign w:val="superscript"/>
                <w:lang w:val="es-AR" w:eastAsia="es-AR"/>
              </w:rPr>
              <w:t>(1)</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11,2</w:t>
            </w:r>
          </w:p>
        </w:tc>
        <w:tc>
          <w:tcPr>
            <w:tcW w:w="418"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9,2</w:t>
            </w:r>
          </w:p>
        </w:tc>
        <w:tc>
          <w:tcPr>
            <w:tcW w:w="400" w:type="pct"/>
            <w:tcBorders>
              <w:top w:val="nil"/>
              <w:left w:val="nil"/>
              <w:bottom w:val="single" w:sz="8" w:space="0" w:color="auto"/>
              <w:right w:val="nil"/>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10,9</w:t>
            </w:r>
          </w:p>
        </w:tc>
        <w:tc>
          <w:tcPr>
            <w:tcW w:w="445"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w:t>
            </w:r>
          </w:p>
        </w:tc>
        <w:tc>
          <w:tcPr>
            <w:tcW w:w="499"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10,7</w:t>
            </w:r>
          </w:p>
        </w:tc>
        <w:tc>
          <w:tcPr>
            <w:tcW w:w="503" w:type="pct"/>
            <w:tcBorders>
              <w:top w:val="nil"/>
              <w:left w:val="single" w:sz="4"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11,1</w:t>
            </w:r>
          </w:p>
        </w:tc>
        <w:tc>
          <w:tcPr>
            <w:tcW w:w="433"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11,0</w:t>
            </w:r>
          </w:p>
        </w:tc>
        <w:tc>
          <w:tcPr>
            <w:tcW w:w="427"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12,3</w:t>
            </w:r>
          </w:p>
        </w:tc>
      </w:tr>
      <w:tr w:rsidR="001A072B" w:rsidRPr="001A072B" w:rsidTr="001A072B">
        <w:trPr>
          <w:trHeight w:val="282"/>
          <w:jc w:val="center"/>
        </w:trPr>
        <w:tc>
          <w:tcPr>
            <w:tcW w:w="1380" w:type="pct"/>
            <w:tcBorders>
              <w:top w:val="nil"/>
              <w:left w:val="single" w:sz="8" w:space="0" w:color="auto"/>
              <w:bottom w:val="single" w:sz="8" w:space="0" w:color="auto"/>
              <w:right w:val="nil"/>
            </w:tcBorders>
            <w:shd w:val="clear" w:color="000000" w:fill="FFFFFF"/>
            <w:noWrap/>
            <w:vAlign w:val="center"/>
            <w:hideMark/>
          </w:tcPr>
          <w:p w:rsidR="001A072B" w:rsidRPr="001A072B" w:rsidRDefault="001A072B" w:rsidP="001A072B">
            <w:pPr>
              <w:jc w:val="both"/>
              <w:rPr>
                <w:b/>
                <w:bCs/>
                <w:sz w:val="18"/>
                <w:szCs w:val="18"/>
                <w:lang w:val="es-AR" w:eastAsia="es-AR"/>
              </w:rPr>
            </w:pPr>
            <w:r w:rsidRPr="001A072B">
              <w:rPr>
                <w:b/>
                <w:bCs/>
                <w:sz w:val="18"/>
                <w:szCs w:val="18"/>
                <w:lang w:val="es-AR" w:eastAsia="es-AR"/>
              </w:rPr>
              <w:t>Programas sociales de empleo</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0,1</w:t>
            </w:r>
          </w:p>
        </w:tc>
        <w:tc>
          <w:tcPr>
            <w:tcW w:w="418"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0,1</w:t>
            </w:r>
          </w:p>
        </w:tc>
        <w:tc>
          <w:tcPr>
            <w:tcW w:w="400" w:type="pct"/>
            <w:tcBorders>
              <w:top w:val="nil"/>
              <w:left w:val="nil"/>
              <w:bottom w:val="single" w:sz="8" w:space="0" w:color="auto"/>
              <w:right w:val="nil"/>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0,8</w:t>
            </w:r>
          </w:p>
        </w:tc>
        <w:tc>
          <w:tcPr>
            <w:tcW w:w="445"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0,8</w:t>
            </w:r>
          </w:p>
        </w:tc>
        <w:tc>
          <w:tcPr>
            <w:tcW w:w="499"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6,3</w:t>
            </w:r>
          </w:p>
        </w:tc>
        <w:tc>
          <w:tcPr>
            <w:tcW w:w="503" w:type="pct"/>
            <w:tcBorders>
              <w:top w:val="nil"/>
              <w:left w:val="single" w:sz="4"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3,9</w:t>
            </w:r>
          </w:p>
        </w:tc>
        <w:tc>
          <w:tcPr>
            <w:tcW w:w="433"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w:t>
            </w:r>
          </w:p>
        </w:tc>
        <w:tc>
          <w:tcPr>
            <w:tcW w:w="427"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0,2</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b/>
                <w:bCs/>
                <w:sz w:val="18"/>
                <w:szCs w:val="18"/>
                <w:lang w:val="es-AR" w:eastAsia="es-AR"/>
              </w:rPr>
            </w:pPr>
            <w:r w:rsidRPr="001A072B">
              <w:rPr>
                <w:b/>
                <w:bCs/>
                <w:sz w:val="18"/>
                <w:szCs w:val="18"/>
                <w:lang w:val="es-AR" w:eastAsia="es-AR"/>
              </w:rPr>
              <w:t>Sector Micro Informal</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44,2</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47,5</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45,1</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46,9</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47,4</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47,1</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43,2</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43,2</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Asalariados</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20,2</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21,0</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20,6</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20,9</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19,5</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20,6</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17,2</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16,5</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No asalariados</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24,0</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26,5</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24,5</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26,0</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27,8</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26,5</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25,9</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26,8</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Patrones informales</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2,0</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2,5</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2,0</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1,9</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1,8</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2,4</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2,4</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2,4</w:t>
            </w:r>
          </w:p>
        </w:tc>
      </w:tr>
      <w:tr w:rsidR="001A072B" w:rsidRPr="001A072B" w:rsidTr="001A072B">
        <w:trPr>
          <w:trHeight w:val="266"/>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Cuenta propia informales</w:t>
            </w:r>
          </w:p>
        </w:tc>
        <w:tc>
          <w:tcPr>
            <w:tcW w:w="496"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14,9</w:t>
            </w:r>
          </w:p>
        </w:tc>
        <w:tc>
          <w:tcPr>
            <w:tcW w:w="418"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16,8</w:t>
            </w:r>
          </w:p>
        </w:tc>
        <w:tc>
          <w:tcPr>
            <w:tcW w:w="400" w:type="pct"/>
            <w:tcBorders>
              <w:top w:val="nil"/>
              <w:left w:val="nil"/>
              <w:bottom w:val="nil"/>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15,1</w:t>
            </w:r>
          </w:p>
        </w:tc>
        <w:tc>
          <w:tcPr>
            <w:tcW w:w="445" w:type="pct"/>
            <w:tcBorders>
              <w:top w:val="nil"/>
              <w:left w:val="single" w:sz="8"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16,2</w:t>
            </w:r>
          </w:p>
        </w:tc>
        <w:tc>
          <w:tcPr>
            <w:tcW w:w="499"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19,5</w:t>
            </w:r>
          </w:p>
        </w:tc>
        <w:tc>
          <w:tcPr>
            <w:tcW w:w="503" w:type="pct"/>
            <w:tcBorders>
              <w:top w:val="nil"/>
              <w:left w:val="single" w:sz="4" w:space="0" w:color="auto"/>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17,4</w:t>
            </w:r>
          </w:p>
        </w:tc>
        <w:tc>
          <w:tcPr>
            <w:tcW w:w="433" w:type="pct"/>
            <w:tcBorders>
              <w:top w:val="nil"/>
              <w:left w:val="nil"/>
              <w:bottom w:val="nil"/>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15,9</w:t>
            </w:r>
          </w:p>
        </w:tc>
        <w:tc>
          <w:tcPr>
            <w:tcW w:w="427" w:type="pct"/>
            <w:tcBorders>
              <w:top w:val="nil"/>
              <w:left w:val="nil"/>
              <w:bottom w:val="nil"/>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16,6</w:t>
            </w:r>
          </w:p>
        </w:tc>
      </w:tr>
      <w:tr w:rsidR="001A072B" w:rsidRPr="001A072B" w:rsidTr="001A072B">
        <w:trPr>
          <w:trHeight w:val="282"/>
          <w:jc w:val="center"/>
        </w:trPr>
        <w:tc>
          <w:tcPr>
            <w:tcW w:w="1380" w:type="pct"/>
            <w:tcBorders>
              <w:top w:val="nil"/>
              <w:left w:val="single" w:sz="8" w:space="0" w:color="auto"/>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Servicio doméstico</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7,1</w:t>
            </w:r>
          </w:p>
        </w:tc>
        <w:tc>
          <w:tcPr>
            <w:tcW w:w="418"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7,2</w:t>
            </w:r>
          </w:p>
        </w:tc>
        <w:tc>
          <w:tcPr>
            <w:tcW w:w="400" w:type="pct"/>
            <w:tcBorders>
              <w:top w:val="nil"/>
              <w:left w:val="nil"/>
              <w:bottom w:val="single" w:sz="8" w:space="0" w:color="auto"/>
              <w:right w:val="nil"/>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7,4</w:t>
            </w:r>
          </w:p>
        </w:tc>
        <w:tc>
          <w:tcPr>
            <w:tcW w:w="445"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7,9</w:t>
            </w:r>
          </w:p>
        </w:tc>
        <w:tc>
          <w:tcPr>
            <w:tcW w:w="499"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6,5</w:t>
            </w:r>
          </w:p>
        </w:tc>
        <w:tc>
          <w:tcPr>
            <w:tcW w:w="503" w:type="pct"/>
            <w:tcBorders>
              <w:top w:val="nil"/>
              <w:left w:val="single" w:sz="4"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6,8</w:t>
            </w:r>
          </w:p>
        </w:tc>
        <w:tc>
          <w:tcPr>
            <w:tcW w:w="433"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7,6</w:t>
            </w:r>
          </w:p>
        </w:tc>
        <w:tc>
          <w:tcPr>
            <w:tcW w:w="427"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sz w:val="18"/>
                <w:szCs w:val="18"/>
                <w:lang w:val="es-AR" w:eastAsia="es-AR"/>
              </w:rPr>
            </w:pPr>
            <w:r w:rsidRPr="001A072B">
              <w:rPr>
                <w:sz w:val="18"/>
                <w:szCs w:val="18"/>
                <w:lang w:val="es-AR" w:eastAsia="es-AR"/>
              </w:rPr>
              <w:t>7,8</w:t>
            </w:r>
          </w:p>
        </w:tc>
      </w:tr>
      <w:tr w:rsidR="001A072B" w:rsidRPr="001A072B" w:rsidTr="001A072B">
        <w:trPr>
          <w:trHeight w:val="282"/>
          <w:jc w:val="center"/>
        </w:trPr>
        <w:tc>
          <w:tcPr>
            <w:tcW w:w="1380" w:type="pct"/>
            <w:tcBorders>
              <w:top w:val="single" w:sz="8" w:space="0" w:color="auto"/>
              <w:left w:val="single" w:sz="8" w:space="0" w:color="auto"/>
              <w:bottom w:val="single" w:sz="8" w:space="0" w:color="auto"/>
              <w:right w:val="nil"/>
            </w:tcBorders>
            <w:shd w:val="clear" w:color="000000" w:fill="FFFFFF"/>
            <w:noWrap/>
            <w:vAlign w:val="center"/>
            <w:hideMark/>
          </w:tcPr>
          <w:p w:rsidR="001A072B" w:rsidRPr="001A072B" w:rsidRDefault="001A072B" w:rsidP="001A072B">
            <w:pPr>
              <w:jc w:val="both"/>
              <w:rPr>
                <w:b/>
                <w:bCs/>
                <w:sz w:val="18"/>
                <w:szCs w:val="18"/>
                <w:lang w:val="es-AR" w:eastAsia="es-AR"/>
              </w:rPr>
            </w:pPr>
            <w:r w:rsidRPr="001A072B">
              <w:rPr>
                <w:b/>
                <w:bCs/>
                <w:sz w:val="18"/>
                <w:szCs w:val="18"/>
                <w:lang w:val="es-AR" w:eastAsia="es-AR"/>
              </w:rPr>
              <w:t>Total de empleos</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c>
          <w:tcPr>
            <w:tcW w:w="418"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c>
          <w:tcPr>
            <w:tcW w:w="400" w:type="pct"/>
            <w:tcBorders>
              <w:top w:val="nil"/>
              <w:left w:val="nil"/>
              <w:bottom w:val="single" w:sz="8" w:space="0" w:color="auto"/>
              <w:right w:val="nil"/>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c>
          <w:tcPr>
            <w:tcW w:w="445"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c>
          <w:tcPr>
            <w:tcW w:w="499"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c>
          <w:tcPr>
            <w:tcW w:w="503" w:type="pct"/>
            <w:tcBorders>
              <w:top w:val="nil"/>
              <w:left w:val="single" w:sz="4"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c>
          <w:tcPr>
            <w:tcW w:w="433"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c>
          <w:tcPr>
            <w:tcW w:w="427"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100,0</w:t>
            </w:r>
          </w:p>
        </w:tc>
      </w:tr>
      <w:tr w:rsidR="001A072B" w:rsidRPr="001A072B" w:rsidTr="001A072B">
        <w:trPr>
          <w:trHeight w:val="282"/>
          <w:jc w:val="center"/>
        </w:trPr>
        <w:tc>
          <w:tcPr>
            <w:tcW w:w="1380" w:type="pct"/>
            <w:tcBorders>
              <w:top w:val="nil"/>
              <w:left w:val="single" w:sz="8" w:space="0" w:color="auto"/>
              <w:bottom w:val="single" w:sz="8" w:space="0" w:color="auto"/>
              <w:right w:val="nil"/>
            </w:tcBorders>
            <w:shd w:val="clear" w:color="000000" w:fill="FFFFFF"/>
            <w:noWrap/>
            <w:vAlign w:val="center"/>
            <w:hideMark/>
          </w:tcPr>
          <w:p w:rsidR="001A072B" w:rsidRPr="001A072B" w:rsidRDefault="001A072B" w:rsidP="001A072B">
            <w:pPr>
              <w:jc w:val="both"/>
              <w:rPr>
                <w:b/>
                <w:bCs/>
                <w:sz w:val="18"/>
                <w:szCs w:val="18"/>
                <w:lang w:val="es-AR" w:eastAsia="es-AR"/>
              </w:rPr>
            </w:pPr>
            <w:r w:rsidRPr="001A072B">
              <w:rPr>
                <w:b/>
                <w:bCs/>
                <w:sz w:val="18"/>
                <w:szCs w:val="18"/>
                <w:lang w:val="es-AR" w:eastAsia="es-AR"/>
              </w:rPr>
              <w:t>Tasa de ocupación</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93,2</w:t>
            </w:r>
          </w:p>
        </w:tc>
        <w:tc>
          <w:tcPr>
            <w:tcW w:w="418"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89,1</w:t>
            </w:r>
          </w:p>
        </w:tc>
        <w:tc>
          <w:tcPr>
            <w:tcW w:w="400" w:type="pct"/>
            <w:tcBorders>
              <w:top w:val="nil"/>
              <w:left w:val="nil"/>
              <w:bottom w:val="single" w:sz="8" w:space="0" w:color="auto"/>
              <w:right w:val="nil"/>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80,2</w:t>
            </w:r>
          </w:p>
        </w:tc>
        <w:tc>
          <w:tcPr>
            <w:tcW w:w="445"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76,8</w:t>
            </w:r>
          </w:p>
        </w:tc>
        <w:tc>
          <w:tcPr>
            <w:tcW w:w="499"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77,4</w:t>
            </w:r>
          </w:p>
        </w:tc>
        <w:tc>
          <w:tcPr>
            <w:tcW w:w="503" w:type="pct"/>
            <w:tcBorders>
              <w:top w:val="nil"/>
              <w:left w:val="single" w:sz="4"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82,2</w:t>
            </w:r>
          </w:p>
        </w:tc>
        <w:tc>
          <w:tcPr>
            <w:tcW w:w="433"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88,7</w:t>
            </w:r>
          </w:p>
        </w:tc>
        <w:tc>
          <w:tcPr>
            <w:tcW w:w="427"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91,4</w:t>
            </w:r>
          </w:p>
        </w:tc>
      </w:tr>
      <w:tr w:rsidR="001A072B" w:rsidRPr="001A072B" w:rsidTr="001A072B">
        <w:trPr>
          <w:trHeight w:val="282"/>
          <w:jc w:val="center"/>
        </w:trPr>
        <w:tc>
          <w:tcPr>
            <w:tcW w:w="1380" w:type="pct"/>
            <w:tcBorders>
              <w:top w:val="nil"/>
              <w:left w:val="single" w:sz="8" w:space="0" w:color="auto"/>
              <w:bottom w:val="single" w:sz="8" w:space="0" w:color="auto"/>
              <w:right w:val="nil"/>
            </w:tcBorders>
            <w:shd w:val="clear" w:color="000000" w:fill="FFFFFF"/>
            <w:noWrap/>
            <w:vAlign w:val="center"/>
            <w:hideMark/>
          </w:tcPr>
          <w:p w:rsidR="001A072B" w:rsidRPr="001A072B" w:rsidRDefault="001A072B" w:rsidP="001A072B">
            <w:pPr>
              <w:jc w:val="both"/>
              <w:rPr>
                <w:b/>
                <w:bCs/>
                <w:sz w:val="18"/>
                <w:szCs w:val="18"/>
                <w:lang w:val="es-AR" w:eastAsia="es-AR"/>
              </w:rPr>
            </w:pPr>
            <w:r w:rsidRPr="001A072B">
              <w:rPr>
                <w:b/>
                <w:bCs/>
                <w:sz w:val="18"/>
                <w:szCs w:val="18"/>
                <w:lang w:val="es-AR" w:eastAsia="es-AR"/>
              </w:rPr>
              <w:t>Tasa de desocupación</w:t>
            </w:r>
          </w:p>
        </w:tc>
        <w:tc>
          <w:tcPr>
            <w:tcW w:w="496"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6,8</w:t>
            </w:r>
          </w:p>
        </w:tc>
        <w:tc>
          <w:tcPr>
            <w:tcW w:w="418"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10,9</w:t>
            </w:r>
          </w:p>
        </w:tc>
        <w:tc>
          <w:tcPr>
            <w:tcW w:w="400" w:type="pct"/>
            <w:tcBorders>
              <w:top w:val="nil"/>
              <w:left w:val="nil"/>
              <w:bottom w:val="single" w:sz="8" w:space="0" w:color="auto"/>
              <w:right w:val="nil"/>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19,8</w:t>
            </w:r>
          </w:p>
        </w:tc>
        <w:tc>
          <w:tcPr>
            <w:tcW w:w="445" w:type="pct"/>
            <w:tcBorders>
              <w:top w:val="nil"/>
              <w:left w:val="single" w:sz="8"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23,2</w:t>
            </w:r>
          </w:p>
        </w:tc>
        <w:tc>
          <w:tcPr>
            <w:tcW w:w="499"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22,6</w:t>
            </w:r>
          </w:p>
        </w:tc>
        <w:tc>
          <w:tcPr>
            <w:tcW w:w="503" w:type="pct"/>
            <w:tcBorders>
              <w:top w:val="nil"/>
              <w:left w:val="single" w:sz="4" w:space="0" w:color="auto"/>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17,8</w:t>
            </w:r>
          </w:p>
        </w:tc>
        <w:tc>
          <w:tcPr>
            <w:tcW w:w="433" w:type="pct"/>
            <w:tcBorders>
              <w:top w:val="nil"/>
              <w:left w:val="nil"/>
              <w:bottom w:val="single" w:sz="8" w:space="0" w:color="auto"/>
              <w:right w:val="single" w:sz="4"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11,3</w:t>
            </w:r>
          </w:p>
        </w:tc>
        <w:tc>
          <w:tcPr>
            <w:tcW w:w="427" w:type="pct"/>
            <w:tcBorders>
              <w:top w:val="nil"/>
              <w:left w:val="nil"/>
              <w:bottom w:val="single" w:sz="8" w:space="0" w:color="auto"/>
              <w:right w:val="single" w:sz="8" w:space="0" w:color="auto"/>
            </w:tcBorders>
            <w:shd w:val="clear" w:color="000000" w:fill="FFFFFF"/>
            <w:noWrap/>
            <w:vAlign w:val="center"/>
            <w:hideMark/>
          </w:tcPr>
          <w:p w:rsidR="001A072B" w:rsidRPr="001A072B" w:rsidRDefault="001A072B" w:rsidP="001A072B">
            <w:pPr>
              <w:jc w:val="center"/>
              <w:rPr>
                <w:b/>
                <w:bCs/>
                <w:sz w:val="18"/>
                <w:szCs w:val="18"/>
                <w:lang w:val="es-AR" w:eastAsia="es-AR"/>
              </w:rPr>
            </w:pPr>
            <w:r w:rsidRPr="001A072B">
              <w:rPr>
                <w:b/>
                <w:bCs/>
                <w:sz w:val="18"/>
                <w:szCs w:val="18"/>
                <w:lang w:val="es-AR" w:eastAsia="es-AR"/>
              </w:rPr>
              <w:t>8,6</w:t>
            </w:r>
          </w:p>
        </w:tc>
      </w:tr>
      <w:tr w:rsidR="001A072B" w:rsidRPr="001A072B" w:rsidTr="001A072B">
        <w:trPr>
          <w:trHeight w:val="266"/>
          <w:jc w:val="center"/>
        </w:trPr>
        <w:tc>
          <w:tcPr>
            <w:tcW w:w="5000" w:type="pct"/>
            <w:gridSpan w:val="9"/>
            <w:tcBorders>
              <w:top w:val="single" w:sz="8" w:space="0" w:color="auto"/>
              <w:left w:val="nil"/>
              <w:bottom w:val="nil"/>
              <w:right w:val="nil"/>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Nota: (1) No incluye el empleo público de asistencia o de programas sociales de empleo, debido a su naturaleza laboral “atípica”. </w:t>
            </w:r>
          </w:p>
        </w:tc>
      </w:tr>
      <w:tr w:rsidR="001A072B" w:rsidRPr="001A072B" w:rsidTr="001A072B">
        <w:trPr>
          <w:trHeight w:val="266"/>
          <w:jc w:val="center"/>
        </w:trPr>
        <w:tc>
          <w:tcPr>
            <w:tcW w:w="5000" w:type="pct"/>
            <w:gridSpan w:val="9"/>
            <w:tcBorders>
              <w:top w:val="nil"/>
              <w:left w:val="nil"/>
              <w:bottom w:val="nil"/>
              <w:right w:val="nil"/>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Fuente: Programa Cambio Estructural y Desigualdad Social, IIGG-FCS-UBA, en base a datos de la EPH, INDEC (GBA, EPH puntual de mayo 1992, 1994, 1998, 2001 y 2003; y segundo trimestre EPH continua 2004, 2007 y 2012).</w:t>
            </w:r>
          </w:p>
        </w:tc>
      </w:tr>
    </w:tbl>
    <w:p w:rsidR="00855945" w:rsidRDefault="00CD225D" w:rsidP="001A072B">
      <w:pPr>
        <w:spacing w:after="120"/>
        <w:jc w:val="both"/>
      </w:pPr>
      <w:r w:rsidRPr="001A072B">
        <w:lastRenderedPageBreak/>
        <w:t>En primer lugar, el análisis de la estructura ocupacional que ofrece la Tabla 1 permite evaluar para la región del Gran Buenos Aires el alcance de los cambios ocurridos en la estructura del empleo en las diferentes etapas macroeconómicas aquí consideradas.</w:t>
      </w:r>
      <w:r w:rsidRPr="001A072B">
        <w:rPr>
          <w:vertAlign w:val="superscript"/>
        </w:rPr>
        <w:footnoteReference w:id="20"/>
      </w:r>
      <w:r w:rsidRPr="001A072B">
        <w:t xml:space="preserve"> En tal sentido, si bien la tasa de desempleo registró tendencias muy diferentes según el período (acorde </w:t>
      </w:r>
      <w:r>
        <w:t>al</w:t>
      </w:r>
      <w:r w:rsidRPr="001A072B">
        <w:t xml:space="preserve"> modelo macroeconómico adoptado), la estructura sectorial del empleo –privado formal, público e informal- no muestra cambios sustantivos. En efecto, a lo largo de ambos modelos político-económicos, salvo la recuperación post-crisis que experimentó el sector formal (lo cual generó cierta retracción del sector micro informal), </w:t>
      </w:r>
      <w:r>
        <w:t>nada importante parece</w:t>
      </w:r>
      <w:r w:rsidRPr="001A072B">
        <w:t xml:space="preserve"> haber variado en términos estructurales en la distribución de la fuerza de trabajo al interior del sistema económico-ocupacional. </w:t>
      </w:r>
    </w:p>
    <w:p w:rsidR="001A072B" w:rsidRPr="001A072B" w:rsidRDefault="001A072B" w:rsidP="001A072B">
      <w:pPr>
        <w:spacing w:after="120"/>
        <w:jc w:val="both"/>
      </w:pPr>
      <w:r w:rsidRPr="001A072B">
        <w:t xml:space="preserve">Por otra parte, la Tabla 2 muestra en las mejoras ocurridas durante el período post-reformas, en términos de la participación de la fuerza de trabajo en empleos regulados (protegidos por la seguridad social) lo fueron con respecto a la fase recesiva previa a la crisis, pero no con relación al promedio alcanzado por el modelo neoliberal. Al respecto, puede observarse que, durante la fase de reformas estructurales, los empleos no regulados se extendieron en todos los sectores de la estructura ocupacional, si bien fueron sensiblemente más frecuentes en el sector informal. A lo largo de la fase de políticas heterodoxas, se verificó un movimiento inverso en relación con la calidad de los empleos. Sin embargo, las tendencias exhibidas no son similares según sea el sector ocupacional que se considere. Mientras que hacia el final del período el sector más dinámico –público y privado- tenía una menor incidencia de empleo no regulado que a inicios de la etapa de reformas estructurales, en el sector micro informal se habrían consolidado este tipo de empleos teniendo mayor peso relativo que al comienzo del período de estudio. </w:t>
      </w:r>
    </w:p>
    <w:p w:rsidR="001A072B" w:rsidRPr="001A072B" w:rsidRDefault="001A072B" w:rsidP="001A072B">
      <w:pPr>
        <w:jc w:val="both"/>
        <w:rPr>
          <w:b/>
        </w:rPr>
      </w:pPr>
      <w:r w:rsidRPr="001A072B">
        <w:rPr>
          <w:b/>
        </w:rPr>
        <w:t>Tabla 2. Participación del segmento precario no regulado del empleo según sectores y categorías económico-ocupacionales. Gran Buenos Aires: 1992-2012. En porcentajes con respecto al total de cada sector o categoría económico-ocupacional.</w:t>
      </w:r>
    </w:p>
    <w:tbl>
      <w:tblPr>
        <w:tblW w:w="5000" w:type="pct"/>
        <w:jc w:val="center"/>
        <w:tblCellMar>
          <w:left w:w="70" w:type="dxa"/>
          <w:right w:w="70" w:type="dxa"/>
        </w:tblCellMar>
        <w:tblLook w:val="04A0" w:firstRow="1" w:lastRow="0" w:firstColumn="1" w:lastColumn="0" w:noHBand="0" w:noVBand="1"/>
      </w:tblPr>
      <w:tblGrid>
        <w:gridCol w:w="1971"/>
        <w:gridCol w:w="859"/>
        <w:gridCol w:w="859"/>
        <w:gridCol w:w="859"/>
        <w:gridCol w:w="859"/>
        <w:gridCol w:w="899"/>
        <w:gridCol w:w="789"/>
        <w:gridCol w:w="741"/>
        <w:gridCol w:w="808"/>
      </w:tblGrid>
      <w:tr w:rsidR="001A072B" w:rsidRPr="001A072B" w:rsidTr="001A072B">
        <w:trPr>
          <w:trHeight w:val="257"/>
          <w:jc w:val="center"/>
        </w:trPr>
        <w:tc>
          <w:tcPr>
            <w:tcW w:w="1189"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 </w:t>
            </w:r>
          </w:p>
        </w:tc>
        <w:tc>
          <w:tcPr>
            <w:tcW w:w="1476" w:type="pct"/>
            <w:gridSpan w:val="3"/>
            <w:tcBorders>
              <w:top w:val="single" w:sz="8" w:space="0" w:color="auto"/>
              <w:left w:val="nil"/>
              <w:bottom w:val="nil"/>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Etapa de reformas estructurales</w:t>
            </w:r>
          </w:p>
        </w:tc>
        <w:tc>
          <w:tcPr>
            <w:tcW w:w="1009"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Ciclo de crisis y recuperación</w:t>
            </w:r>
          </w:p>
        </w:tc>
        <w:tc>
          <w:tcPr>
            <w:tcW w:w="1326" w:type="pct"/>
            <w:gridSpan w:val="3"/>
            <w:tcBorders>
              <w:top w:val="single" w:sz="8" w:space="0" w:color="auto"/>
              <w:left w:val="nil"/>
              <w:bottom w:val="nil"/>
              <w:right w:val="single" w:sz="8" w:space="0" w:color="000000"/>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 xml:space="preserve">Etapa de políticas </w:t>
            </w:r>
          </w:p>
          <w:p w:rsidR="001A072B" w:rsidRPr="001A072B" w:rsidRDefault="001A072B" w:rsidP="001A072B">
            <w:pPr>
              <w:jc w:val="center"/>
              <w:rPr>
                <w:b/>
                <w:bCs/>
                <w:sz w:val="18"/>
                <w:szCs w:val="18"/>
                <w:lang w:val="es-AR" w:eastAsia="es-AR"/>
              </w:rPr>
            </w:pPr>
            <w:r w:rsidRPr="001A072B">
              <w:rPr>
                <w:b/>
                <w:bCs/>
                <w:sz w:val="18"/>
                <w:szCs w:val="18"/>
                <w:lang w:val="es-AR" w:eastAsia="es-AR"/>
              </w:rPr>
              <w:t>heterodoxas</w:t>
            </w:r>
          </w:p>
        </w:tc>
      </w:tr>
      <w:tr w:rsidR="001A072B" w:rsidRPr="001A072B" w:rsidTr="001A072B">
        <w:trPr>
          <w:trHeight w:val="257"/>
          <w:jc w:val="center"/>
        </w:trPr>
        <w:tc>
          <w:tcPr>
            <w:tcW w:w="1189"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 </w:t>
            </w:r>
          </w:p>
        </w:tc>
        <w:tc>
          <w:tcPr>
            <w:tcW w:w="492"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1992</w:t>
            </w:r>
          </w:p>
        </w:tc>
        <w:tc>
          <w:tcPr>
            <w:tcW w:w="492"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1994</w:t>
            </w:r>
          </w:p>
        </w:tc>
        <w:tc>
          <w:tcPr>
            <w:tcW w:w="492" w:type="pct"/>
            <w:tcBorders>
              <w:top w:val="single" w:sz="8" w:space="0" w:color="auto"/>
              <w:left w:val="nil"/>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1998</w:t>
            </w:r>
          </w:p>
        </w:tc>
        <w:tc>
          <w:tcPr>
            <w:tcW w:w="492"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2001</w:t>
            </w:r>
          </w:p>
        </w:tc>
        <w:tc>
          <w:tcPr>
            <w:tcW w:w="517" w:type="pct"/>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2003</w:t>
            </w:r>
          </w:p>
        </w:tc>
        <w:tc>
          <w:tcPr>
            <w:tcW w:w="448"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2004</w:t>
            </w:r>
          </w:p>
        </w:tc>
        <w:tc>
          <w:tcPr>
            <w:tcW w:w="418"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2007</w:t>
            </w:r>
          </w:p>
        </w:tc>
        <w:tc>
          <w:tcPr>
            <w:tcW w:w="460" w:type="pct"/>
            <w:tcBorders>
              <w:top w:val="single" w:sz="8" w:space="0" w:color="auto"/>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2012</w:t>
            </w:r>
          </w:p>
        </w:tc>
      </w:tr>
      <w:tr w:rsidR="001A072B" w:rsidRPr="001A072B" w:rsidTr="001A072B">
        <w:trPr>
          <w:trHeight w:val="242"/>
          <w:jc w:val="center"/>
        </w:trPr>
        <w:tc>
          <w:tcPr>
            <w:tcW w:w="1189" w:type="pct"/>
            <w:tcBorders>
              <w:top w:val="nil"/>
              <w:left w:val="single" w:sz="8" w:space="0" w:color="auto"/>
              <w:bottom w:val="nil"/>
              <w:right w:val="nil"/>
            </w:tcBorders>
            <w:shd w:val="clear" w:color="000000" w:fill="FFFFFF"/>
            <w:noWrap/>
            <w:vAlign w:val="bottom"/>
            <w:hideMark/>
          </w:tcPr>
          <w:p w:rsidR="001A072B" w:rsidRPr="001A072B" w:rsidRDefault="001A072B" w:rsidP="001A072B">
            <w:pPr>
              <w:rPr>
                <w:b/>
                <w:bCs/>
                <w:sz w:val="18"/>
                <w:szCs w:val="18"/>
                <w:lang w:val="es-AR" w:eastAsia="es-AR"/>
              </w:rPr>
            </w:pPr>
            <w:r w:rsidRPr="001A072B">
              <w:rPr>
                <w:b/>
                <w:bCs/>
                <w:sz w:val="18"/>
                <w:szCs w:val="18"/>
                <w:lang w:val="es-AR" w:eastAsia="es-AR"/>
              </w:rPr>
              <w:t>Sector Formal</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27,7</w:t>
            </w:r>
          </w:p>
        </w:tc>
        <w:tc>
          <w:tcPr>
            <w:tcW w:w="492"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26,8</w:t>
            </w:r>
          </w:p>
        </w:tc>
        <w:tc>
          <w:tcPr>
            <w:tcW w:w="492" w:type="pct"/>
            <w:tcBorders>
              <w:top w:val="nil"/>
              <w:left w:val="nil"/>
              <w:bottom w:val="nil"/>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33,4</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32,5</w:t>
            </w:r>
          </w:p>
        </w:tc>
        <w:tc>
          <w:tcPr>
            <w:tcW w:w="517"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54,2</w:t>
            </w:r>
          </w:p>
        </w:tc>
        <w:tc>
          <w:tcPr>
            <w:tcW w:w="44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36,5</w:t>
            </w:r>
          </w:p>
        </w:tc>
        <w:tc>
          <w:tcPr>
            <w:tcW w:w="41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29,1</w:t>
            </w:r>
          </w:p>
        </w:tc>
        <w:tc>
          <w:tcPr>
            <w:tcW w:w="460"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24,8</w:t>
            </w:r>
          </w:p>
        </w:tc>
      </w:tr>
      <w:tr w:rsidR="001A072B" w:rsidRPr="001A072B" w:rsidTr="001A072B">
        <w:trPr>
          <w:trHeight w:val="242"/>
          <w:jc w:val="center"/>
        </w:trPr>
        <w:tc>
          <w:tcPr>
            <w:tcW w:w="1189" w:type="pct"/>
            <w:tcBorders>
              <w:top w:val="nil"/>
              <w:left w:val="single" w:sz="8" w:space="0" w:color="auto"/>
              <w:bottom w:val="nil"/>
              <w:right w:val="nil"/>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Asalariados</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27,3</w:t>
            </w:r>
          </w:p>
        </w:tc>
        <w:tc>
          <w:tcPr>
            <w:tcW w:w="492"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26,0</w:t>
            </w:r>
          </w:p>
        </w:tc>
        <w:tc>
          <w:tcPr>
            <w:tcW w:w="492" w:type="pct"/>
            <w:tcBorders>
              <w:top w:val="nil"/>
              <w:left w:val="nil"/>
              <w:bottom w:val="nil"/>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32,2</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32,1</w:t>
            </w:r>
          </w:p>
        </w:tc>
        <w:tc>
          <w:tcPr>
            <w:tcW w:w="517"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52,8</w:t>
            </w:r>
          </w:p>
        </w:tc>
        <w:tc>
          <w:tcPr>
            <w:tcW w:w="44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35,6</w:t>
            </w:r>
          </w:p>
        </w:tc>
        <w:tc>
          <w:tcPr>
            <w:tcW w:w="41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29,1</w:t>
            </w:r>
          </w:p>
        </w:tc>
        <w:tc>
          <w:tcPr>
            <w:tcW w:w="460"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23,7</w:t>
            </w:r>
          </w:p>
        </w:tc>
      </w:tr>
      <w:tr w:rsidR="001A072B" w:rsidRPr="001A072B" w:rsidTr="001A072B">
        <w:trPr>
          <w:trHeight w:val="257"/>
          <w:jc w:val="center"/>
        </w:trPr>
        <w:tc>
          <w:tcPr>
            <w:tcW w:w="1189"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No Asalariados</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34,7</w:t>
            </w:r>
          </w:p>
        </w:tc>
        <w:tc>
          <w:tcPr>
            <w:tcW w:w="492"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39,9</w:t>
            </w:r>
          </w:p>
        </w:tc>
        <w:tc>
          <w:tcPr>
            <w:tcW w:w="492" w:type="pct"/>
            <w:tcBorders>
              <w:top w:val="nil"/>
              <w:left w:val="nil"/>
              <w:bottom w:val="nil"/>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48,2</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38,1</w:t>
            </w:r>
          </w:p>
        </w:tc>
        <w:tc>
          <w:tcPr>
            <w:tcW w:w="517"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67,5</w:t>
            </w:r>
          </w:p>
        </w:tc>
        <w:tc>
          <w:tcPr>
            <w:tcW w:w="44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45,0</w:t>
            </w:r>
          </w:p>
        </w:tc>
        <w:tc>
          <w:tcPr>
            <w:tcW w:w="41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29,4</w:t>
            </w:r>
          </w:p>
        </w:tc>
        <w:tc>
          <w:tcPr>
            <w:tcW w:w="460"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39,2</w:t>
            </w:r>
          </w:p>
        </w:tc>
      </w:tr>
      <w:tr w:rsidR="001A072B" w:rsidRPr="001A072B" w:rsidTr="001A072B">
        <w:trPr>
          <w:trHeight w:val="302"/>
          <w:jc w:val="center"/>
        </w:trPr>
        <w:tc>
          <w:tcPr>
            <w:tcW w:w="1189"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rPr>
                <w:b/>
                <w:bCs/>
                <w:sz w:val="18"/>
                <w:szCs w:val="18"/>
                <w:lang w:val="es-AR" w:eastAsia="es-AR"/>
              </w:rPr>
            </w:pPr>
            <w:r w:rsidRPr="001A072B">
              <w:rPr>
                <w:b/>
                <w:bCs/>
                <w:sz w:val="18"/>
                <w:szCs w:val="18"/>
                <w:lang w:val="es-AR" w:eastAsia="es-AR"/>
              </w:rPr>
              <w:t>Sector Público</w:t>
            </w:r>
            <w:r w:rsidRPr="001A072B">
              <w:rPr>
                <w:b/>
                <w:bCs/>
                <w:sz w:val="18"/>
                <w:szCs w:val="18"/>
                <w:vertAlign w:val="superscript"/>
                <w:lang w:val="es-AR" w:eastAsia="es-AR"/>
              </w:rPr>
              <w:t>(1)</w:t>
            </w:r>
          </w:p>
        </w:tc>
        <w:tc>
          <w:tcPr>
            <w:tcW w:w="492"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22,6</w:t>
            </w:r>
          </w:p>
        </w:tc>
        <w:tc>
          <w:tcPr>
            <w:tcW w:w="492"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24,6</w:t>
            </w:r>
          </w:p>
        </w:tc>
        <w:tc>
          <w:tcPr>
            <w:tcW w:w="492" w:type="pct"/>
            <w:tcBorders>
              <w:top w:val="single" w:sz="8" w:space="0" w:color="auto"/>
              <w:left w:val="nil"/>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33,0</w:t>
            </w:r>
          </w:p>
        </w:tc>
        <w:tc>
          <w:tcPr>
            <w:tcW w:w="492"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27,1</w:t>
            </w:r>
          </w:p>
        </w:tc>
        <w:tc>
          <w:tcPr>
            <w:tcW w:w="517" w:type="pct"/>
            <w:tcBorders>
              <w:top w:val="single" w:sz="8" w:space="0" w:color="auto"/>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37,3</w:t>
            </w:r>
          </w:p>
        </w:tc>
        <w:tc>
          <w:tcPr>
            <w:tcW w:w="448"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21,2</w:t>
            </w:r>
          </w:p>
        </w:tc>
        <w:tc>
          <w:tcPr>
            <w:tcW w:w="418"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18,3</w:t>
            </w:r>
          </w:p>
        </w:tc>
        <w:tc>
          <w:tcPr>
            <w:tcW w:w="460" w:type="pct"/>
            <w:tcBorders>
              <w:top w:val="single" w:sz="8" w:space="0" w:color="auto"/>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17,1</w:t>
            </w:r>
          </w:p>
        </w:tc>
      </w:tr>
      <w:tr w:rsidR="001A072B" w:rsidRPr="001A072B" w:rsidTr="001A072B">
        <w:trPr>
          <w:trHeight w:val="242"/>
          <w:jc w:val="center"/>
        </w:trPr>
        <w:tc>
          <w:tcPr>
            <w:tcW w:w="1189" w:type="pct"/>
            <w:tcBorders>
              <w:top w:val="nil"/>
              <w:left w:val="single" w:sz="8" w:space="0" w:color="auto"/>
              <w:bottom w:val="nil"/>
              <w:right w:val="nil"/>
            </w:tcBorders>
            <w:shd w:val="clear" w:color="000000" w:fill="FFFFFF"/>
            <w:noWrap/>
            <w:vAlign w:val="bottom"/>
            <w:hideMark/>
          </w:tcPr>
          <w:p w:rsidR="001A072B" w:rsidRPr="001A072B" w:rsidRDefault="001A072B" w:rsidP="001A072B">
            <w:pPr>
              <w:rPr>
                <w:b/>
                <w:bCs/>
                <w:sz w:val="18"/>
                <w:szCs w:val="18"/>
                <w:lang w:val="es-AR" w:eastAsia="es-AR"/>
              </w:rPr>
            </w:pPr>
            <w:r w:rsidRPr="001A072B">
              <w:rPr>
                <w:b/>
                <w:bCs/>
                <w:sz w:val="18"/>
                <w:szCs w:val="18"/>
                <w:lang w:val="es-AR" w:eastAsia="es-AR"/>
              </w:rPr>
              <w:t>Sector Micro Informal</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64,2</w:t>
            </w:r>
          </w:p>
        </w:tc>
        <w:tc>
          <w:tcPr>
            <w:tcW w:w="492"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67,5</w:t>
            </w:r>
          </w:p>
        </w:tc>
        <w:tc>
          <w:tcPr>
            <w:tcW w:w="492" w:type="pct"/>
            <w:tcBorders>
              <w:top w:val="nil"/>
              <w:left w:val="nil"/>
              <w:bottom w:val="nil"/>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77,6</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78,5</w:t>
            </w:r>
          </w:p>
        </w:tc>
        <w:tc>
          <w:tcPr>
            <w:tcW w:w="517"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87,0</w:t>
            </w:r>
          </w:p>
        </w:tc>
        <w:tc>
          <w:tcPr>
            <w:tcW w:w="44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80,2</w:t>
            </w:r>
          </w:p>
        </w:tc>
        <w:tc>
          <w:tcPr>
            <w:tcW w:w="41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76,2</w:t>
            </w:r>
          </w:p>
        </w:tc>
        <w:tc>
          <w:tcPr>
            <w:tcW w:w="460"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74,4</w:t>
            </w:r>
          </w:p>
        </w:tc>
      </w:tr>
      <w:tr w:rsidR="001A072B" w:rsidRPr="001A072B" w:rsidTr="001A072B">
        <w:trPr>
          <w:trHeight w:val="242"/>
          <w:jc w:val="center"/>
        </w:trPr>
        <w:tc>
          <w:tcPr>
            <w:tcW w:w="1189" w:type="pct"/>
            <w:tcBorders>
              <w:top w:val="nil"/>
              <w:left w:val="single" w:sz="8" w:space="0" w:color="auto"/>
              <w:bottom w:val="nil"/>
              <w:right w:val="nil"/>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Asalariados</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77,4</w:t>
            </w:r>
          </w:p>
        </w:tc>
        <w:tc>
          <w:tcPr>
            <w:tcW w:w="492"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75,8</w:t>
            </w:r>
          </w:p>
        </w:tc>
        <w:tc>
          <w:tcPr>
            <w:tcW w:w="492" w:type="pct"/>
            <w:tcBorders>
              <w:top w:val="nil"/>
              <w:left w:val="nil"/>
              <w:bottom w:val="nil"/>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83,5</w:t>
            </w:r>
          </w:p>
        </w:tc>
        <w:tc>
          <w:tcPr>
            <w:tcW w:w="49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81,3</w:t>
            </w:r>
          </w:p>
        </w:tc>
        <w:tc>
          <w:tcPr>
            <w:tcW w:w="517"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86,6</w:t>
            </w:r>
          </w:p>
        </w:tc>
        <w:tc>
          <w:tcPr>
            <w:tcW w:w="44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81,5</w:t>
            </w:r>
          </w:p>
        </w:tc>
        <w:tc>
          <w:tcPr>
            <w:tcW w:w="418"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79,4</w:t>
            </w:r>
          </w:p>
        </w:tc>
        <w:tc>
          <w:tcPr>
            <w:tcW w:w="460"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79,5</w:t>
            </w:r>
          </w:p>
        </w:tc>
      </w:tr>
      <w:tr w:rsidR="001A072B" w:rsidRPr="001A072B" w:rsidTr="001A072B">
        <w:trPr>
          <w:trHeight w:val="257"/>
          <w:jc w:val="center"/>
        </w:trPr>
        <w:tc>
          <w:tcPr>
            <w:tcW w:w="1189"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No Asalariados</w:t>
            </w:r>
          </w:p>
        </w:tc>
        <w:tc>
          <w:tcPr>
            <w:tcW w:w="492"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53,1</w:t>
            </w:r>
          </w:p>
        </w:tc>
        <w:tc>
          <w:tcPr>
            <w:tcW w:w="492"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60,9</w:t>
            </w:r>
          </w:p>
        </w:tc>
        <w:tc>
          <w:tcPr>
            <w:tcW w:w="492" w:type="pct"/>
            <w:tcBorders>
              <w:top w:val="nil"/>
              <w:left w:val="nil"/>
              <w:bottom w:val="single" w:sz="8" w:space="0" w:color="auto"/>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72,6</w:t>
            </w:r>
          </w:p>
        </w:tc>
        <w:tc>
          <w:tcPr>
            <w:tcW w:w="492"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76,2</w:t>
            </w:r>
          </w:p>
        </w:tc>
        <w:tc>
          <w:tcPr>
            <w:tcW w:w="517" w:type="pct"/>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87,3</w:t>
            </w:r>
          </w:p>
        </w:tc>
        <w:tc>
          <w:tcPr>
            <w:tcW w:w="448"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79,2</w:t>
            </w:r>
          </w:p>
        </w:tc>
        <w:tc>
          <w:tcPr>
            <w:tcW w:w="418"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74,0</w:t>
            </w:r>
          </w:p>
        </w:tc>
        <w:tc>
          <w:tcPr>
            <w:tcW w:w="460" w:type="pct"/>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71,3</w:t>
            </w:r>
          </w:p>
        </w:tc>
      </w:tr>
      <w:tr w:rsidR="00775596" w:rsidRPr="00775596" w:rsidTr="001A072B">
        <w:trPr>
          <w:trHeight w:val="257"/>
          <w:jc w:val="center"/>
        </w:trPr>
        <w:tc>
          <w:tcPr>
            <w:tcW w:w="1189" w:type="pct"/>
            <w:tcBorders>
              <w:top w:val="nil"/>
              <w:left w:val="single" w:sz="8" w:space="0" w:color="auto"/>
              <w:bottom w:val="single" w:sz="8" w:space="0" w:color="auto"/>
              <w:right w:val="nil"/>
            </w:tcBorders>
            <w:shd w:val="clear" w:color="000000" w:fill="FFFFFF"/>
            <w:noWrap/>
            <w:vAlign w:val="bottom"/>
          </w:tcPr>
          <w:p w:rsidR="00775596" w:rsidRPr="00775596" w:rsidRDefault="00775596" w:rsidP="001A072B">
            <w:pPr>
              <w:rPr>
                <w:b/>
                <w:sz w:val="18"/>
                <w:szCs w:val="18"/>
                <w:lang w:val="es-AR" w:eastAsia="es-AR"/>
              </w:rPr>
            </w:pPr>
            <w:r w:rsidRPr="00775596">
              <w:rPr>
                <w:b/>
                <w:sz w:val="18"/>
                <w:szCs w:val="18"/>
                <w:lang w:val="es-AR" w:eastAsia="es-AR"/>
              </w:rPr>
              <w:t>Total del empleo</w:t>
            </w:r>
          </w:p>
        </w:tc>
        <w:tc>
          <w:tcPr>
            <w:tcW w:w="492" w:type="pct"/>
            <w:tcBorders>
              <w:top w:val="nil"/>
              <w:left w:val="single" w:sz="8" w:space="0" w:color="auto"/>
              <w:bottom w:val="single" w:sz="8" w:space="0" w:color="auto"/>
              <w:right w:val="single" w:sz="4" w:space="0" w:color="auto"/>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43,4</w:t>
            </w:r>
          </w:p>
        </w:tc>
        <w:tc>
          <w:tcPr>
            <w:tcW w:w="492" w:type="pct"/>
            <w:tcBorders>
              <w:top w:val="nil"/>
              <w:left w:val="nil"/>
              <w:bottom w:val="single" w:sz="8" w:space="0" w:color="auto"/>
              <w:right w:val="single" w:sz="4" w:space="0" w:color="auto"/>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46,0</w:t>
            </w:r>
          </w:p>
        </w:tc>
        <w:tc>
          <w:tcPr>
            <w:tcW w:w="492" w:type="pct"/>
            <w:tcBorders>
              <w:top w:val="nil"/>
              <w:left w:val="nil"/>
              <w:bottom w:val="single" w:sz="8" w:space="0" w:color="auto"/>
              <w:right w:val="nil"/>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53,8</w:t>
            </w:r>
          </w:p>
        </w:tc>
        <w:tc>
          <w:tcPr>
            <w:tcW w:w="492" w:type="pct"/>
            <w:tcBorders>
              <w:top w:val="nil"/>
              <w:left w:val="single" w:sz="8" w:space="0" w:color="auto"/>
              <w:bottom w:val="single" w:sz="8" w:space="0" w:color="auto"/>
              <w:right w:val="single" w:sz="4" w:space="0" w:color="auto"/>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54,0</w:t>
            </w:r>
          </w:p>
        </w:tc>
        <w:tc>
          <w:tcPr>
            <w:tcW w:w="517" w:type="pct"/>
            <w:tcBorders>
              <w:top w:val="nil"/>
              <w:left w:val="nil"/>
              <w:bottom w:val="single" w:sz="8" w:space="0" w:color="auto"/>
              <w:right w:val="single" w:sz="8" w:space="0" w:color="auto"/>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70,9</w:t>
            </w:r>
          </w:p>
        </w:tc>
        <w:tc>
          <w:tcPr>
            <w:tcW w:w="448" w:type="pct"/>
            <w:tcBorders>
              <w:top w:val="nil"/>
              <w:left w:val="nil"/>
              <w:bottom w:val="single" w:sz="8" w:space="0" w:color="auto"/>
              <w:right w:val="single" w:sz="4" w:space="0" w:color="auto"/>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57,8</w:t>
            </w:r>
          </w:p>
        </w:tc>
        <w:tc>
          <w:tcPr>
            <w:tcW w:w="418" w:type="pct"/>
            <w:tcBorders>
              <w:top w:val="nil"/>
              <w:left w:val="nil"/>
              <w:bottom w:val="single" w:sz="8" w:space="0" w:color="auto"/>
              <w:right w:val="single" w:sz="4" w:space="0" w:color="auto"/>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51,5</w:t>
            </w:r>
          </w:p>
        </w:tc>
        <w:tc>
          <w:tcPr>
            <w:tcW w:w="460" w:type="pct"/>
            <w:tcBorders>
              <w:top w:val="nil"/>
              <w:left w:val="nil"/>
              <w:bottom w:val="single" w:sz="8" w:space="0" w:color="auto"/>
              <w:right w:val="single" w:sz="8" w:space="0" w:color="auto"/>
            </w:tcBorders>
            <w:shd w:val="clear" w:color="000000" w:fill="FFFFFF"/>
            <w:noWrap/>
            <w:vAlign w:val="bottom"/>
          </w:tcPr>
          <w:p w:rsidR="00775596" w:rsidRPr="00775596" w:rsidRDefault="00775596" w:rsidP="001A072B">
            <w:pPr>
              <w:jc w:val="center"/>
              <w:rPr>
                <w:b/>
                <w:sz w:val="18"/>
                <w:szCs w:val="18"/>
                <w:lang w:val="es-AR" w:eastAsia="es-AR"/>
              </w:rPr>
            </w:pPr>
            <w:r>
              <w:rPr>
                <w:b/>
                <w:sz w:val="18"/>
                <w:szCs w:val="18"/>
                <w:lang w:val="es-AR" w:eastAsia="es-AR"/>
              </w:rPr>
              <w:t>45,5</w:t>
            </w:r>
          </w:p>
        </w:tc>
      </w:tr>
      <w:tr w:rsidR="001A072B" w:rsidRPr="001A072B" w:rsidTr="001A072B">
        <w:trPr>
          <w:trHeight w:val="242"/>
          <w:jc w:val="center"/>
        </w:trPr>
        <w:tc>
          <w:tcPr>
            <w:tcW w:w="5000" w:type="pct"/>
            <w:gridSpan w:val="9"/>
            <w:tcBorders>
              <w:top w:val="nil"/>
              <w:left w:val="nil"/>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Nota: (1) No incluye el empleo público de asistencia o de programas sociales de empleo, debido a su naturaleza laboral “atípica”. </w:t>
            </w:r>
          </w:p>
        </w:tc>
      </w:tr>
      <w:tr w:rsidR="001A072B" w:rsidRPr="001A072B" w:rsidTr="001A072B">
        <w:trPr>
          <w:trHeight w:val="242"/>
          <w:jc w:val="center"/>
        </w:trPr>
        <w:tc>
          <w:tcPr>
            <w:tcW w:w="5000" w:type="pct"/>
            <w:gridSpan w:val="9"/>
            <w:tcBorders>
              <w:top w:val="nil"/>
              <w:left w:val="nil"/>
              <w:bottom w:val="nil"/>
              <w:right w:val="nil"/>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Fuente: Programa Cambio Estructural y Desigualdad Social, IIGG-FCS-UBA, en base a datos de la EPH, INDEC (GBA, EPH puntual onda mayo 1992, 1994, 1998, 2001 y 2003; y segundo trimestre EPH continua de 2004, 2007 y 2012).</w:t>
            </w:r>
          </w:p>
        </w:tc>
      </w:tr>
    </w:tbl>
    <w:p w:rsidR="001A072B" w:rsidRPr="001A072B" w:rsidRDefault="001A072B" w:rsidP="001A072B">
      <w:pPr>
        <w:jc w:val="both"/>
        <w:rPr>
          <w:lang w:val="es-AR"/>
        </w:rPr>
      </w:pPr>
    </w:p>
    <w:p w:rsidR="001A072B" w:rsidRPr="001A072B" w:rsidRDefault="00775596" w:rsidP="001A072B">
      <w:pPr>
        <w:spacing w:after="120"/>
        <w:jc w:val="both"/>
      </w:pPr>
      <w:r>
        <w:t>Según esto</w:t>
      </w:r>
      <w:r w:rsidR="001A072B" w:rsidRPr="001A072B">
        <w:t xml:space="preserve">, </w:t>
      </w:r>
      <w:r>
        <w:t>más allá de la fase más crítica de las políticas neoliberales y de los efectos de la crisis 2001-2002, al comparar el inicio de la década del noventa y el final del período de políticas heterodoxas, no parece</w:t>
      </w:r>
      <w:r w:rsidR="00800935">
        <w:t>n</w:t>
      </w:r>
      <w:r>
        <w:t xml:space="preserve"> presentar</w:t>
      </w:r>
      <w:r w:rsidR="00800935">
        <w:t>se</w:t>
      </w:r>
      <w:r>
        <w:t xml:space="preserve"> grandes diferencias en cuanto a </w:t>
      </w:r>
      <w:r>
        <w:lastRenderedPageBreak/>
        <w:t xml:space="preserve">la composición y calidad de los empleos al interior de la estructura económico-ocupacional. En todo caso, las principales transformaciones </w:t>
      </w:r>
      <w:r w:rsidR="00800935">
        <w:t>están</w:t>
      </w:r>
      <w:r>
        <w:t xml:space="preserve"> asociadas a la mayor precariedad de </w:t>
      </w:r>
      <w:r w:rsidR="00CD225D">
        <w:t>los</w:t>
      </w:r>
      <w:r>
        <w:t xml:space="preserve"> empleos </w:t>
      </w:r>
      <w:r w:rsidR="00CD225D">
        <w:t>en el sector informal, junto a una leve mejora en los empleos públicos y formales. Por otra parte</w:t>
      </w:r>
      <w:r w:rsidR="001A072B" w:rsidRPr="001A072B">
        <w:t>, el menor nivel de desempleo abierto se explica</w:t>
      </w:r>
      <w:r w:rsidR="00CD225D">
        <w:t>ría</w:t>
      </w:r>
      <w:r w:rsidR="001A072B" w:rsidRPr="001A072B">
        <w:t xml:space="preserve"> en buena medida por el incremento que experimentaron los subempleos </w:t>
      </w:r>
      <w:r w:rsidR="007A7E67">
        <w:t>precarios</w:t>
      </w:r>
      <w:r w:rsidR="001A072B" w:rsidRPr="001A072B">
        <w:t xml:space="preserve"> (con ingresos por debajo del nivel de subsistencia) –incluyendo la masa de beneficiarios de programas públicos de empleo-. Estas evidencias ponen de relieve que, junto con la persistencia de una estructura productiva heterogénea, se destaca la profundización de la asociación entre el segmento de empleo y la inserción económico-sectorial. </w:t>
      </w:r>
    </w:p>
    <w:p w:rsidR="001A072B" w:rsidRPr="001A072B" w:rsidRDefault="00CD225D" w:rsidP="001A072B">
      <w:pPr>
        <w:spacing w:after="120"/>
        <w:jc w:val="both"/>
        <w:rPr>
          <w:lang w:val="es-AR"/>
        </w:rPr>
      </w:pPr>
      <w:r>
        <w:t>De esta manera, e</w:t>
      </w:r>
      <w:r w:rsidR="001A072B" w:rsidRPr="001A072B">
        <w:t>n la medida que la heterogeneidad estructural remite a diferenciales de prod</w:t>
      </w:r>
      <w:r>
        <w:t xml:space="preserve">uctividad, cabe esperar que las tendencias arriba analizadas </w:t>
      </w:r>
      <w:r w:rsidR="001A072B" w:rsidRPr="001A072B">
        <w:t xml:space="preserve">se traduzcan en brechas de ingresos entre sectores </w:t>
      </w:r>
      <w:r>
        <w:t>económico-ocupacionales</w:t>
      </w:r>
      <w:r w:rsidR="001A072B" w:rsidRPr="001A072B">
        <w:t xml:space="preserve">. Al respecto, la Tabla 3 da cuenta de una brecha de ingresos entre sectores modernos e informales que, lejos de reducirse, tendió a aumentar (Salvia et al, 2008; Salvia y Vera, 2012 y 2013). </w:t>
      </w:r>
      <w:r>
        <w:t>Al respecto, e</w:t>
      </w:r>
      <w:r w:rsidR="001A072B" w:rsidRPr="001A072B">
        <w:t xml:space="preserve">l análisis de conjunto de la evolución de la estructura ocupacional y de las remuneraciones </w:t>
      </w:r>
      <w:r>
        <w:t>confirma</w:t>
      </w:r>
      <w:r w:rsidR="001A072B" w:rsidRPr="001A072B">
        <w:t xml:space="preserve"> que a la persistencia de la heterogeneidad estructural en la estructura económico-ocupacional le habría seguido una ampliación, en el largo plazo, de las brechas de ingresos entre sectores productivos. </w:t>
      </w:r>
    </w:p>
    <w:p w:rsidR="001A072B" w:rsidRDefault="001A072B" w:rsidP="001A072B">
      <w:pPr>
        <w:jc w:val="both"/>
        <w:rPr>
          <w:b/>
        </w:rPr>
      </w:pPr>
    </w:p>
    <w:p w:rsidR="001A072B" w:rsidRPr="001A072B" w:rsidRDefault="001A072B" w:rsidP="001A072B">
      <w:pPr>
        <w:jc w:val="both"/>
        <w:rPr>
          <w:b/>
        </w:rPr>
      </w:pPr>
      <w:r w:rsidRPr="001A072B">
        <w:rPr>
          <w:b/>
        </w:rPr>
        <w:t>Tabla 3. Evolución de la brecha de la remuneración horaria real por segmento del mercado de trabajo según sectores y categorías económico ocupacionales. Gran Buenos Aires: 1992-2012. Ingreso medio horario=1.</w:t>
      </w:r>
    </w:p>
    <w:tbl>
      <w:tblPr>
        <w:tblW w:w="5000" w:type="pct"/>
        <w:jc w:val="center"/>
        <w:tblCellMar>
          <w:left w:w="70" w:type="dxa"/>
          <w:right w:w="70" w:type="dxa"/>
        </w:tblCellMar>
        <w:tblLook w:val="04A0" w:firstRow="1" w:lastRow="0" w:firstColumn="1" w:lastColumn="0" w:noHBand="0" w:noVBand="1"/>
      </w:tblPr>
      <w:tblGrid>
        <w:gridCol w:w="2531"/>
        <w:gridCol w:w="720"/>
        <w:gridCol w:w="850"/>
        <w:gridCol w:w="728"/>
        <w:gridCol w:w="855"/>
        <w:gridCol w:w="852"/>
        <w:gridCol w:w="723"/>
        <w:gridCol w:w="721"/>
        <w:gridCol w:w="183"/>
        <w:gridCol w:w="411"/>
        <w:gridCol w:w="70"/>
      </w:tblGrid>
      <w:tr w:rsidR="001A072B" w:rsidRPr="001A072B" w:rsidTr="001A072B">
        <w:trPr>
          <w:trHeight w:val="267"/>
          <w:jc w:val="center"/>
        </w:trPr>
        <w:tc>
          <w:tcPr>
            <w:tcW w:w="1532"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 </w:t>
            </w:r>
          </w:p>
        </w:tc>
        <w:tc>
          <w:tcPr>
            <w:tcW w:w="1292" w:type="pct"/>
            <w:gridSpan w:val="3"/>
            <w:tcBorders>
              <w:top w:val="single" w:sz="8" w:space="0" w:color="auto"/>
              <w:left w:val="nil"/>
              <w:bottom w:val="nil"/>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Etapa de reformas estructurales</w:t>
            </w:r>
          </w:p>
        </w:tc>
        <w:tc>
          <w:tcPr>
            <w:tcW w:w="970" w:type="pct"/>
            <w:gridSpan w:val="2"/>
            <w:tcBorders>
              <w:top w:val="single" w:sz="8" w:space="0" w:color="auto"/>
              <w:left w:val="single" w:sz="8" w:space="0" w:color="auto"/>
              <w:bottom w:val="nil"/>
              <w:right w:val="single" w:sz="8" w:space="0" w:color="000000"/>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Ciclo de crisis y recuperación</w:t>
            </w:r>
          </w:p>
        </w:tc>
        <w:tc>
          <w:tcPr>
            <w:tcW w:w="1206" w:type="pct"/>
            <w:gridSpan w:val="5"/>
            <w:tcBorders>
              <w:top w:val="single" w:sz="8" w:space="0" w:color="auto"/>
              <w:left w:val="nil"/>
              <w:bottom w:val="nil"/>
              <w:right w:val="single" w:sz="8" w:space="0" w:color="000000"/>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Etapa de políticas heterodoxas</w:t>
            </w:r>
          </w:p>
        </w:tc>
      </w:tr>
      <w:tr w:rsidR="001A072B" w:rsidRPr="001A072B" w:rsidTr="001A072B">
        <w:trPr>
          <w:trHeight w:val="267"/>
          <w:jc w:val="center"/>
        </w:trPr>
        <w:tc>
          <w:tcPr>
            <w:tcW w:w="1532"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 </w:t>
            </w:r>
          </w:p>
        </w:tc>
        <w:tc>
          <w:tcPr>
            <w:tcW w:w="402"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1992</w:t>
            </w:r>
          </w:p>
        </w:tc>
        <w:tc>
          <w:tcPr>
            <w:tcW w:w="483"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1994</w:t>
            </w:r>
          </w:p>
        </w:tc>
        <w:tc>
          <w:tcPr>
            <w:tcW w:w="407" w:type="pct"/>
            <w:tcBorders>
              <w:top w:val="single" w:sz="8" w:space="0" w:color="auto"/>
              <w:left w:val="nil"/>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1998</w:t>
            </w:r>
          </w:p>
        </w:tc>
        <w:tc>
          <w:tcPr>
            <w:tcW w:w="486"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2001</w:t>
            </w:r>
          </w:p>
        </w:tc>
        <w:tc>
          <w:tcPr>
            <w:tcW w:w="484" w:type="pct"/>
            <w:tcBorders>
              <w:top w:val="single" w:sz="8" w:space="0" w:color="auto"/>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2003</w:t>
            </w:r>
          </w:p>
        </w:tc>
        <w:tc>
          <w:tcPr>
            <w:tcW w:w="404"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2004</w:t>
            </w:r>
          </w:p>
        </w:tc>
        <w:tc>
          <w:tcPr>
            <w:tcW w:w="403" w:type="pct"/>
            <w:tcBorders>
              <w:top w:val="single" w:sz="8" w:space="0" w:color="auto"/>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2007</w:t>
            </w:r>
          </w:p>
        </w:tc>
        <w:tc>
          <w:tcPr>
            <w:tcW w:w="399" w:type="pct"/>
            <w:gridSpan w:val="3"/>
            <w:tcBorders>
              <w:top w:val="single" w:sz="8" w:space="0" w:color="auto"/>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2012</w:t>
            </w:r>
          </w:p>
        </w:tc>
      </w:tr>
      <w:tr w:rsidR="001A072B" w:rsidRPr="001A072B" w:rsidTr="001A072B">
        <w:trPr>
          <w:trHeight w:val="252"/>
          <w:jc w:val="center"/>
        </w:trPr>
        <w:tc>
          <w:tcPr>
            <w:tcW w:w="1532" w:type="pct"/>
            <w:tcBorders>
              <w:top w:val="nil"/>
              <w:left w:val="single" w:sz="8" w:space="0" w:color="auto"/>
              <w:bottom w:val="nil"/>
              <w:right w:val="nil"/>
            </w:tcBorders>
            <w:shd w:val="clear" w:color="000000" w:fill="FFFFFF"/>
            <w:noWrap/>
            <w:vAlign w:val="bottom"/>
            <w:hideMark/>
          </w:tcPr>
          <w:p w:rsidR="001A072B" w:rsidRPr="001A072B" w:rsidRDefault="001A072B" w:rsidP="001A072B">
            <w:pPr>
              <w:jc w:val="both"/>
              <w:rPr>
                <w:b/>
                <w:bCs/>
                <w:sz w:val="18"/>
                <w:szCs w:val="18"/>
                <w:lang w:val="es-AR" w:eastAsia="es-AR"/>
              </w:rPr>
            </w:pPr>
            <w:r w:rsidRPr="001A072B">
              <w:rPr>
                <w:b/>
                <w:bCs/>
                <w:sz w:val="18"/>
                <w:szCs w:val="18"/>
                <w:lang w:val="es-AR" w:eastAsia="es-AR"/>
              </w:rPr>
              <w:t>Sector Formal</w:t>
            </w:r>
          </w:p>
        </w:tc>
        <w:tc>
          <w:tcPr>
            <w:tcW w:w="40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1,01</w:t>
            </w:r>
          </w:p>
        </w:tc>
        <w:tc>
          <w:tcPr>
            <w:tcW w:w="48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1,06</w:t>
            </w:r>
          </w:p>
        </w:tc>
        <w:tc>
          <w:tcPr>
            <w:tcW w:w="407" w:type="pct"/>
            <w:tcBorders>
              <w:top w:val="nil"/>
              <w:left w:val="nil"/>
              <w:bottom w:val="nil"/>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1,07</w:t>
            </w:r>
          </w:p>
        </w:tc>
        <w:tc>
          <w:tcPr>
            <w:tcW w:w="486"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1,09</w:t>
            </w:r>
          </w:p>
        </w:tc>
        <w:tc>
          <w:tcPr>
            <w:tcW w:w="484"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1,17</w:t>
            </w:r>
          </w:p>
        </w:tc>
        <w:tc>
          <w:tcPr>
            <w:tcW w:w="404"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1,20</w:t>
            </w:r>
          </w:p>
        </w:tc>
        <w:tc>
          <w:tcPr>
            <w:tcW w:w="40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1,15</w:t>
            </w:r>
          </w:p>
        </w:tc>
        <w:tc>
          <w:tcPr>
            <w:tcW w:w="399" w:type="pct"/>
            <w:gridSpan w:val="3"/>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1,12</w:t>
            </w:r>
          </w:p>
        </w:tc>
      </w:tr>
      <w:tr w:rsidR="001A072B" w:rsidRPr="001A072B" w:rsidTr="001A072B">
        <w:trPr>
          <w:trHeight w:val="252"/>
          <w:jc w:val="center"/>
        </w:trPr>
        <w:tc>
          <w:tcPr>
            <w:tcW w:w="1532" w:type="pct"/>
            <w:tcBorders>
              <w:top w:val="nil"/>
              <w:left w:val="single" w:sz="8" w:space="0" w:color="auto"/>
              <w:bottom w:val="nil"/>
              <w:right w:val="nil"/>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 xml:space="preserve"> Asalariados</w:t>
            </w:r>
          </w:p>
        </w:tc>
        <w:tc>
          <w:tcPr>
            <w:tcW w:w="40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0,92</w:t>
            </w:r>
          </w:p>
        </w:tc>
        <w:tc>
          <w:tcPr>
            <w:tcW w:w="48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0,99</w:t>
            </w:r>
          </w:p>
        </w:tc>
        <w:tc>
          <w:tcPr>
            <w:tcW w:w="407" w:type="pct"/>
            <w:tcBorders>
              <w:top w:val="nil"/>
              <w:left w:val="nil"/>
              <w:bottom w:val="nil"/>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0,93</w:t>
            </w:r>
          </w:p>
        </w:tc>
        <w:tc>
          <w:tcPr>
            <w:tcW w:w="486"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0,98</w:t>
            </w:r>
          </w:p>
        </w:tc>
        <w:tc>
          <w:tcPr>
            <w:tcW w:w="484"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1,04</w:t>
            </w:r>
          </w:p>
        </w:tc>
        <w:tc>
          <w:tcPr>
            <w:tcW w:w="404"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1,07</w:t>
            </w:r>
          </w:p>
        </w:tc>
        <w:tc>
          <w:tcPr>
            <w:tcW w:w="40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1,06</w:t>
            </w:r>
          </w:p>
        </w:tc>
        <w:tc>
          <w:tcPr>
            <w:tcW w:w="399" w:type="pct"/>
            <w:gridSpan w:val="3"/>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1,10</w:t>
            </w:r>
          </w:p>
        </w:tc>
      </w:tr>
      <w:tr w:rsidR="001A072B" w:rsidRPr="001A072B" w:rsidTr="001A072B">
        <w:trPr>
          <w:trHeight w:val="267"/>
          <w:jc w:val="center"/>
        </w:trPr>
        <w:tc>
          <w:tcPr>
            <w:tcW w:w="1532"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 xml:space="preserve"> No asalariados</w:t>
            </w:r>
          </w:p>
        </w:tc>
        <w:tc>
          <w:tcPr>
            <w:tcW w:w="402"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2,22</w:t>
            </w:r>
          </w:p>
        </w:tc>
        <w:tc>
          <w:tcPr>
            <w:tcW w:w="48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2,11</w:t>
            </w:r>
          </w:p>
        </w:tc>
        <w:tc>
          <w:tcPr>
            <w:tcW w:w="407" w:type="pct"/>
            <w:tcBorders>
              <w:top w:val="nil"/>
              <w:left w:val="nil"/>
              <w:bottom w:val="single" w:sz="8" w:space="0" w:color="auto"/>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2,48</w:t>
            </w:r>
          </w:p>
        </w:tc>
        <w:tc>
          <w:tcPr>
            <w:tcW w:w="486"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2,39</w:t>
            </w:r>
          </w:p>
        </w:tc>
        <w:tc>
          <w:tcPr>
            <w:tcW w:w="484"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2,35</w:t>
            </w:r>
          </w:p>
        </w:tc>
        <w:tc>
          <w:tcPr>
            <w:tcW w:w="404"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2,43</w:t>
            </w:r>
          </w:p>
        </w:tc>
        <w:tc>
          <w:tcPr>
            <w:tcW w:w="40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2,13</w:t>
            </w:r>
          </w:p>
        </w:tc>
        <w:tc>
          <w:tcPr>
            <w:tcW w:w="399" w:type="pct"/>
            <w:gridSpan w:val="3"/>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1,39</w:t>
            </w:r>
          </w:p>
        </w:tc>
      </w:tr>
      <w:tr w:rsidR="001A072B" w:rsidRPr="001A072B" w:rsidTr="001A072B">
        <w:trPr>
          <w:trHeight w:val="283"/>
          <w:jc w:val="center"/>
        </w:trPr>
        <w:tc>
          <w:tcPr>
            <w:tcW w:w="1532"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jc w:val="both"/>
              <w:rPr>
                <w:b/>
                <w:bCs/>
                <w:sz w:val="18"/>
                <w:szCs w:val="18"/>
                <w:lang w:val="es-AR" w:eastAsia="es-AR"/>
              </w:rPr>
            </w:pPr>
            <w:r w:rsidRPr="001A072B">
              <w:rPr>
                <w:b/>
                <w:bCs/>
                <w:sz w:val="18"/>
                <w:szCs w:val="18"/>
                <w:lang w:val="es-AR" w:eastAsia="es-AR"/>
              </w:rPr>
              <w:t>Sector Público</w:t>
            </w:r>
            <w:r w:rsidRPr="001A072B">
              <w:rPr>
                <w:b/>
                <w:bCs/>
                <w:sz w:val="18"/>
                <w:szCs w:val="18"/>
                <w:vertAlign w:val="superscript"/>
                <w:lang w:val="es-AR" w:eastAsia="es-AR"/>
              </w:rPr>
              <w:t>(1)</w:t>
            </w:r>
          </w:p>
        </w:tc>
        <w:tc>
          <w:tcPr>
            <w:tcW w:w="402"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1,17</w:t>
            </w:r>
          </w:p>
        </w:tc>
        <w:tc>
          <w:tcPr>
            <w:tcW w:w="48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1,30</w:t>
            </w:r>
          </w:p>
        </w:tc>
        <w:tc>
          <w:tcPr>
            <w:tcW w:w="407" w:type="pct"/>
            <w:tcBorders>
              <w:top w:val="nil"/>
              <w:left w:val="nil"/>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1,50</w:t>
            </w:r>
          </w:p>
        </w:tc>
        <w:tc>
          <w:tcPr>
            <w:tcW w:w="486"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1,58</w:t>
            </w:r>
          </w:p>
        </w:tc>
        <w:tc>
          <w:tcPr>
            <w:tcW w:w="484" w:type="pct"/>
            <w:tcBorders>
              <w:top w:val="single" w:sz="8" w:space="0" w:color="auto"/>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1,61</w:t>
            </w:r>
          </w:p>
        </w:tc>
        <w:tc>
          <w:tcPr>
            <w:tcW w:w="404"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1,39</w:t>
            </w:r>
          </w:p>
        </w:tc>
        <w:tc>
          <w:tcPr>
            <w:tcW w:w="40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1,44</w:t>
            </w:r>
          </w:p>
        </w:tc>
        <w:tc>
          <w:tcPr>
            <w:tcW w:w="399" w:type="pct"/>
            <w:gridSpan w:val="3"/>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1,40</w:t>
            </w:r>
          </w:p>
        </w:tc>
      </w:tr>
      <w:tr w:rsidR="001A072B" w:rsidRPr="001A072B" w:rsidTr="001A072B">
        <w:trPr>
          <w:trHeight w:val="267"/>
          <w:jc w:val="center"/>
        </w:trPr>
        <w:tc>
          <w:tcPr>
            <w:tcW w:w="1532"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jc w:val="both"/>
              <w:rPr>
                <w:b/>
                <w:bCs/>
                <w:sz w:val="18"/>
                <w:szCs w:val="18"/>
                <w:lang w:val="es-AR" w:eastAsia="es-AR"/>
              </w:rPr>
            </w:pPr>
            <w:r w:rsidRPr="001A072B">
              <w:rPr>
                <w:b/>
                <w:bCs/>
                <w:sz w:val="18"/>
                <w:szCs w:val="18"/>
                <w:lang w:val="es-AR" w:eastAsia="es-AR"/>
              </w:rPr>
              <w:t>Sector Público de asistencia</w:t>
            </w:r>
          </w:p>
        </w:tc>
        <w:tc>
          <w:tcPr>
            <w:tcW w:w="402"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0,64</w:t>
            </w:r>
          </w:p>
        </w:tc>
        <w:tc>
          <w:tcPr>
            <w:tcW w:w="48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0,85</w:t>
            </w:r>
          </w:p>
        </w:tc>
        <w:tc>
          <w:tcPr>
            <w:tcW w:w="407" w:type="pct"/>
            <w:tcBorders>
              <w:top w:val="nil"/>
              <w:left w:val="nil"/>
              <w:bottom w:val="single" w:sz="8" w:space="0" w:color="auto"/>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0,52</w:t>
            </w:r>
          </w:p>
        </w:tc>
        <w:tc>
          <w:tcPr>
            <w:tcW w:w="486"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0,53</w:t>
            </w:r>
          </w:p>
        </w:tc>
        <w:tc>
          <w:tcPr>
            <w:tcW w:w="484" w:type="pct"/>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0,57</w:t>
            </w:r>
          </w:p>
        </w:tc>
        <w:tc>
          <w:tcPr>
            <w:tcW w:w="404"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0,53</w:t>
            </w:r>
          </w:p>
        </w:tc>
        <w:tc>
          <w:tcPr>
            <w:tcW w:w="40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0,57</w:t>
            </w:r>
          </w:p>
        </w:tc>
        <w:tc>
          <w:tcPr>
            <w:tcW w:w="399" w:type="pct"/>
            <w:gridSpan w:val="3"/>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0,80</w:t>
            </w:r>
          </w:p>
        </w:tc>
      </w:tr>
      <w:tr w:rsidR="001A072B" w:rsidRPr="001A072B" w:rsidTr="001A072B">
        <w:trPr>
          <w:trHeight w:val="252"/>
          <w:jc w:val="center"/>
        </w:trPr>
        <w:tc>
          <w:tcPr>
            <w:tcW w:w="1532" w:type="pct"/>
            <w:tcBorders>
              <w:top w:val="nil"/>
              <w:left w:val="single" w:sz="8" w:space="0" w:color="auto"/>
              <w:bottom w:val="nil"/>
              <w:right w:val="nil"/>
            </w:tcBorders>
            <w:shd w:val="clear" w:color="000000" w:fill="FFFFFF"/>
            <w:noWrap/>
            <w:vAlign w:val="bottom"/>
            <w:hideMark/>
          </w:tcPr>
          <w:p w:rsidR="001A072B" w:rsidRPr="001A072B" w:rsidRDefault="001A072B" w:rsidP="001A072B">
            <w:pPr>
              <w:jc w:val="both"/>
              <w:rPr>
                <w:b/>
                <w:bCs/>
                <w:sz w:val="18"/>
                <w:szCs w:val="18"/>
                <w:lang w:val="es-AR" w:eastAsia="es-AR"/>
              </w:rPr>
            </w:pPr>
            <w:r w:rsidRPr="001A072B">
              <w:rPr>
                <w:b/>
                <w:bCs/>
                <w:sz w:val="18"/>
                <w:szCs w:val="18"/>
                <w:lang w:val="es-AR" w:eastAsia="es-AR"/>
              </w:rPr>
              <w:t>Sector Micro Informal</w:t>
            </w:r>
          </w:p>
        </w:tc>
        <w:tc>
          <w:tcPr>
            <w:tcW w:w="40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0,96</w:t>
            </w:r>
          </w:p>
        </w:tc>
        <w:tc>
          <w:tcPr>
            <w:tcW w:w="48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0,90</w:t>
            </w:r>
          </w:p>
        </w:tc>
        <w:tc>
          <w:tcPr>
            <w:tcW w:w="407" w:type="pct"/>
            <w:tcBorders>
              <w:top w:val="nil"/>
              <w:left w:val="nil"/>
              <w:bottom w:val="nil"/>
              <w:right w:val="nil"/>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0,83</w:t>
            </w:r>
          </w:p>
        </w:tc>
        <w:tc>
          <w:tcPr>
            <w:tcW w:w="486"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0,80</w:t>
            </w:r>
          </w:p>
        </w:tc>
        <w:tc>
          <w:tcPr>
            <w:tcW w:w="484"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0,81</w:t>
            </w:r>
          </w:p>
        </w:tc>
        <w:tc>
          <w:tcPr>
            <w:tcW w:w="404"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0,79</w:t>
            </w:r>
          </w:p>
        </w:tc>
        <w:tc>
          <w:tcPr>
            <w:tcW w:w="40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0,75</w:t>
            </w:r>
          </w:p>
        </w:tc>
        <w:tc>
          <w:tcPr>
            <w:tcW w:w="399" w:type="pct"/>
            <w:gridSpan w:val="3"/>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b/>
                <w:bCs/>
                <w:sz w:val="18"/>
                <w:szCs w:val="18"/>
                <w:lang w:val="es-AR" w:eastAsia="es-AR"/>
              </w:rPr>
            </w:pPr>
            <w:r w:rsidRPr="001A072B">
              <w:rPr>
                <w:b/>
                <w:bCs/>
                <w:sz w:val="18"/>
                <w:szCs w:val="18"/>
                <w:lang w:val="es-AR" w:eastAsia="es-AR"/>
              </w:rPr>
              <w:t>0,77</w:t>
            </w:r>
          </w:p>
        </w:tc>
      </w:tr>
      <w:tr w:rsidR="001A072B" w:rsidRPr="001A072B" w:rsidTr="001A072B">
        <w:trPr>
          <w:trHeight w:val="252"/>
          <w:jc w:val="center"/>
        </w:trPr>
        <w:tc>
          <w:tcPr>
            <w:tcW w:w="1532" w:type="pct"/>
            <w:tcBorders>
              <w:top w:val="nil"/>
              <w:left w:val="single" w:sz="8" w:space="0" w:color="auto"/>
              <w:bottom w:val="nil"/>
              <w:right w:val="nil"/>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Asalariados</w:t>
            </w:r>
          </w:p>
        </w:tc>
        <w:tc>
          <w:tcPr>
            <w:tcW w:w="402"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0,74</w:t>
            </w:r>
          </w:p>
        </w:tc>
        <w:tc>
          <w:tcPr>
            <w:tcW w:w="48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0,73</w:t>
            </w:r>
          </w:p>
        </w:tc>
        <w:tc>
          <w:tcPr>
            <w:tcW w:w="407" w:type="pct"/>
            <w:tcBorders>
              <w:top w:val="nil"/>
              <w:left w:val="nil"/>
              <w:bottom w:val="nil"/>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0,59</w:t>
            </w:r>
          </w:p>
        </w:tc>
        <w:tc>
          <w:tcPr>
            <w:tcW w:w="486" w:type="pct"/>
            <w:tcBorders>
              <w:top w:val="nil"/>
              <w:left w:val="single" w:sz="8" w:space="0" w:color="auto"/>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0,65</w:t>
            </w:r>
          </w:p>
        </w:tc>
        <w:tc>
          <w:tcPr>
            <w:tcW w:w="484" w:type="pct"/>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0,61</w:t>
            </w:r>
          </w:p>
        </w:tc>
        <w:tc>
          <w:tcPr>
            <w:tcW w:w="404"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0,61</w:t>
            </w:r>
          </w:p>
        </w:tc>
        <w:tc>
          <w:tcPr>
            <w:tcW w:w="403" w:type="pct"/>
            <w:tcBorders>
              <w:top w:val="nil"/>
              <w:left w:val="nil"/>
              <w:bottom w:val="nil"/>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0,63</w:t>
            </w:r>
          </w:p>
        </w:tc>
        <w:tc>
          <w:tcPr>
            <w:tcW w:w="399" w:type="pct"/>
            <w:gridSpan w:val="3"/>
            <w:tcBorders>
              <w:top w:val="nil"/>
              <w:left w:val="nil"/>
              <w:bottom w:val="nil"/>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0,65</w:t>
            </w:r>
          </w:p>
        </w:tc>
      </w:tr>
      <w:tr w:rsidR="001A072B" w:rsidRPr="001A072B" w:rsidTr="001A072B">
        <w:trPr>
          <w:trHeight w:val="267"/>
          <w:jc w:val="center"/>
        </w:trPr>
        <w:tc>
          <w:tcPr>
            <w:tcW w:w="1532" w:type="pct"/>
            <w:tcBorders>
              <w:top w:val="nil"/>
              <w:left w:val="single" w:sz="8" w:space="0" w:color="auto"/>
              <w:bottom w:val="single" w:sz="8" w:space="0" w:color="auto"/>
              <w:right w:val="nil"/>
            </w:tcBorders>
            <w:shd w:val="clear" w:color="000000" w:fill="FFFFFF"/>
            <w:noWrap/>
            <w:vAlign w:val="bottom"/>
            <w:hideMark/>
          </w:tcPr>
          <w:p w:rsidR="001A072B" w:rsidRPr="001A072B" w:rsidRDefault="001A072B" w:rsidP="001A072B">
            <w:pPr>
              <w:rPr>
                <w:sz w:val="18"/>
                <w:szCs w:val="18"/>
                <w:lang w:val="es-AR" w:eastAsia="es-AR"/>
              </w:rPr>
            </w:pPr>
            <w:r w:rsidRPr="001A072B">
              <w:rPr>
                <w:sz w:val="18"/>
                <w:szCs w:val="18"/>
                <w:lang w:val="es-AR" w:eastAsia="es-AR"/>
              </w:rPr>
              <w:t>No Asalariados</w:t>
            </w:r>
          </w:p>
        </w:tc>
        <w:tc>
          <w:tcPr>
            <w:tcW w:w="402"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1,12</w:t>
            </w:r>
          </w:p>
        </w:tc>
        <w:tc>
          <w:tcPr>
            <w:tcW w:w="48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1,01</w:t>
            </w:r>
          </w:p>
        </w:tc>
        <w:tc>
          <w:tcPr>
            <w:tcW w:w="407" w:type="pct"/>
            <w:tcBorders>
              <w:top w:val="nil"/>
              <w:left w:val="nil"/>
              <w:bottom w:val="single" w:sz="8" w:space="0" w:color="auto"/>
              <w:right w:val="nil"/>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1,00</w:t>
            </w:r>
          </w:p>
        </w:tc>
        <w:tc>
          <w:tcPr>
            <w:tcW w:w="486" w:type="pct"/>
            <w:tcBorders>
              <w:top w:val="nil"/>
              <w:left w:val="single" w:sz="8" w:space="0" w:color="auto"/>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0,91</w:t>
            </w:r>
          </w:p>
        </w:tc>
        <w:tc>
          <w:tcPr>
            <w:tcW w:w="484" w:type="pct"/>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0,96</w:t>
            </w:r>
          </w:p>
        </w:tc>
        <w:tc>
          <w:tcPr>
            <w:tcW w:w="404"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0,93</w:t>
            </w:r>
          </w:p>
        </w:tc>
        <w:tc>
          <w:tcPr>
            <w:tcW w:w="403" w:type="pct"/>
            <w:tcBorders>
              <w:top w:val="nil"/>
              <w:left w:val="nil"/>
              <w:bottom w:val="single" w:sz="8" w:space="0" w:color="auto"/>
              <w:right w:val="single" w:sz="4"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0,84</w:t>
            </w:r>
          </w:p>
        </w:tc>
        <w:tc>
          <w:tcPr>
            <w:tcW w:w="399" w:type="pct"/>
            <w:gridSpan w:val="3"/>
            <w:tcBorders>
              <w:top w:val="nil"/>
              <w:left w:val="nil"/>
              <w:bottom w:val="single" w:sz="8" w:space="0" w:color="auto"/>
              <w:right w:val="single" w:sz="8" w:space="0" w:color="auto"/>
            </w:tcBorders>
            <w:shd w:val="clear" w:color="000000" w:fill="FFFFFF"/>
            <w:noWrap/>
            <w:vAlign w:val="bottom"/>
            <w:hideMark/>
          </w:tcPr>
          <w:p w:rsidR="001A072B" w:rsidRPr="001A072B" w:rsidRDefault="001A072B" w:rsidP="001A072B">
            <w:pPr>
              <w:jc w:val="center"/>
              <w:rPr>
                <w:sz w:val="18"/>
                <w:szCs w:val="18"/>
                <w:lang w:val="es-AR" w:eastAsia="es-AR"/>
              </w:rPr>
            </w:pPr>
            <w:r w:rsidRPr="001A072B">
              <w:rPr>
                <w:sz w:val="18"/>
                <w:szCs w:val="18"/>
                <w:lang w:val="es-AR" w:eastAsia="es-AR"/>
              </w:rPr>
              <w:t>0,84</w:t>
            </w:r>
          </w:p>
        </w:tc>
      </w:tr>
      <w:tr w:rsidR="001A072B" w:rsidRPr="001A072B" w:rsidTr="001A072B">
        <w:trPr>
          <w:gridAfter w:val="2"/>
          <w:wAfter w:w="332" w:type="pct"/>
          <w:trHeight w:val="242"/>
          <w:jc w:val="center"/>
        </w:trPr>
        <w:tc>
          <w:tcPr>
            <w:tcW w:w="4668" w:type="pct"/>
            <w:gridSpan w:val="9"/>
            <w:tcBorders>
              <w:top w:val="nil"/>
              <w:left w:val="nil"/>
              <w:bottom w:val="nil"/>
              <w:right w:val="nil"/>
            </w:tcBorders>
            <w:shd w:val="clear" w:color="000000" w:fill="FFFFFF"/>
            <w:noWrap/>
            <w:vAlign w:val="center"/>
            <w:hideMark/>
          </w:tcPr>
          <w:p w:rsidR="001A072B" w:rsidRPr="001A072B" w:rsidRDefault="001A072B" w:rsidP="001A072B">
            <w:pPr>
              <w:jc w:val="both"/>
              <w:rPr>
                <w:sz w:val="18"/>
                <w:szCs w:val="18"/>
                <w:lang w:val="es-AR" w:eastAsia="es-AR"/>
              </w:rPr>
            </w:pPr>
            <w:r w:rsidRPr="001A072B">
              <w:rPr>
                <w:sz w:val="18"/>
                <w:szCs w:val="18"/>
                <w:lang w:val="es-AR" w:eastAsia="es-AR"/>
              </w:rPr>
              <w:t>Nota: (1) No incluye el empleo público de asistencia o de programas sociales de empleo, debido a su naturaleza laboral “atípica”.</w:t>
            </w:r>
          </w:p>
        </w:tc>
      </w:tr>
      <w:tr w:rsidR="001A072B" w:rsidRPr="001A072B" w:rsidTr="001A072B">
        <w:trPr>
          <w:gridAfter w:val="1"/>
          <w:wAfter w:w="75" w:type="pct"/>
          <w:trHeight w:val="242"/>
          <w:jc w:val="center"/>
        </w:trPr>
        <w:tc>
          <w:tcPr>
            <w:tcW w:w="4925" w:type="pct"/>
            <w:gridSpan w:val="10"/>
            <w:tcBorders>
              <w:top w:val="nil"/>
              <w:left w:val="nil"/>
              <w:bottom w:val="nil"/>
              <w:right w:val="nil"/>
            </w:tcBorders>
            <w:shd w:val="clear" w:color="000000" w:fill="FFFFFF"/>
            <w:noWrap/>
            <w:vAlign w:val="bottom"/>
            <w:hideMark/>
          </w:tcPr>
          <w:p w:rsidR="001A072B" w:rsidRPr="001A072B" w:rsidRDefault="001A072B" w:rsidP="001A072B">
            <w:pPr>
              <w:jc w:val="both"/>
              <w:rPr>
                <w:sz w:val="18"/>
                <w:szCs w:val="18"/>
                <w:lang w:val="es-AR" w:eastAsia="es-AR"/>
              </w:rPr>
            </w:pPr>
            <w:r w:rsidRPr="001A072B">
              <w:rPr>
                <w:sz w:val="18"/>
                <w:szCs w:val="18"/>
                <w:lang w:val="es-AR" w:eastAsia="es-AR"/>
              </w:rPr>
              <w:t>Fuente: Programa Cambio Estructural y Desigualdad Social, IIGG-FCS-UBA, en base a datos de la EPH, INDEC (GBA, EPH puntual onda mayo 1992, 1994, 1998, 2001 y 2003; y segundo trimestre EPH continua de 2004, 2007 y 2012).</w:t>
            </w:r>
          </w:p>
        </w:tc>
      </w:tr>
    </w:tbl>
    <w:p w:rsidR="001A072B" w:rsidRPr="001A072B" w:rsidRDefault="001A072B" w:rsidP="001A072B">
      <w:pPr>
        <w:jc w:val="both"/>
        <w:rPr>
          <w:lang w:val="es-AR"/>
        </w:rPr>
      </w:pPr>
    </w:p>
    <w:p w:rsidR="00855945" w:rsidRDefault="001A072B" w:rsidP="001A072B">
      <w:pPr>
        <w:spacing w:after="120"/>
        <w:jc w:val="both"/>
      </w:pPr>
      <w:r w:rsidRPr="001A072B">
        <w:t xml:space="preserve">Es justamente en este escenario donde resulta pertinente preguntarse cuál ha sido </w:t>
      </w:r>
      <w:r w:rsidR="00855945">
        <w:t>la naturaleza y</w:t>
      </w:r>
      <w:r w:rsidRPr="001A072B">
        <w:t xml:space="preserve"> alcance real de las políticas sociales s</w:t>
      </w:r>
      <w:r w:rsidR="00855945">
        <w:t>obre la pobreza</w:t>
      </w:r>
      <w:r w:rsidRPr="001A072B">
        <w:t xml:space="preserve"> y la distribución del ingreso; y en qué medida no ha sido el propio régimen de crecimiento el que continúa teniendo un papel destacado tanto en las mejoras en el bienestar como en la reproducción de condiciones estructurales de marginalidad económica.</w:t>
      </w:r>
      <w:r w:rsidR="00855945">
        <w:t xml:space="preserve"> Pero antes de ello cabe reconocer las condiciones históricas más generales bajo las cuales políticas sociales han ido asumiendo un mayor protagonismo para la reproducción social durante las últimas décadas en la región.</w:t>
      </w:r>
    </w:p>
    <w:p w:rsidR="00A478AE" w:rsidRDefault="00A478AE" w:rsidP="00235CC9">
      <w:pPr>
        <w:spacing w:after="120"/>
        <w:jc w:val="both"/>
        <w:rPr>
          <w:b/>
          <w:bCs/>
          <w:lang w:val="es-AR"/>
        </w:rPr>
      </w:pPr>
    </w:p>
    <w:p w:rsidR="00A478AE" w:rsidRDefault="00A478AE" w:rsidP="00235CC9">
      <w:pPr>
        <w:spacing w:after="120"/>
        <w:jc w:val="both"/>
        <w:rPr>
          <w:b/>
          <w:bCs/>
          <w:lang w:val="es-AR"/>
        </w:rPr>
      </w:pPr>
    </w:p>
    <w:p w:rsidR="00CA2671" w:rsidRPr="00B14726" w:rsidRDefault="00EA5A3A" w:rsidP="00235CC9">
      <w:pPr>
        <w:spacing w:after="120"/>
        <w:jc w:val="both"/>
        <w:rPr>
          <w:b/>
          <w:bCs/>
          <w:lang w:val="es-AR"/>
        </w:rPr>
      </w:pPr>
      <w:r>
        <w:rPr>
          <w:b/>
          <w:bCs/>
          <w:lang w:val="es-AR"/>
        </w:rPr>
        <w:lastRenderedPageBreak/>
        <w:t>5</w:t>
      </w:r>
      <w:r w:rsidR="00AB37E2">
        <w:rPr>
          <w:b/>
          <w:bCs/>
          <w:lang w:val="es-AR"/>
        </w:rPr>
        <w:t xml:space="preserve">. </w:t>
      </w:r>
      <w:r w:rsidR="00504A3C" w:rsidRPr="00B14726">
        <w:rPr>
          <w:b/>
          <w:bCs/>
          <w:lang w:val="es-AR"/>
        </w:rPr>
        <w:t xml:space="preserve"> </w:t>
      </w:r>
      <w:r w:rsidR="002B3502" w:rsidRPr="00B14726">
        <w:rPr>
          <w:b/>
          <w:bCs/>
          <w:lang w:val="es-AR"/>
        </w:rPr>
        <w:t>Transformaci</w:t>
      </w:r>
      <w:r w:rsidR="00DF70B3" w:rsidRPr="00B14726">
        <w:rPr>
          <w:b/>
          <w:bCs/>
          <w:lang w:val="es-AR"/>
        </w:rPr>
        <w:t>ón</w:t>
      </w:r>
      <w:r w:rsidR="002B3502" w:rsidRPr="00B14726">
        <w:rPr>
          <w:b/>
          <w:bCs/>
          <w:lang w:val="es-AR"/>
        </w:rPr>
        <w:t xml:space="preserve"> </w:t>
      </w:r>
      <w:r w:rsidR="00157A84" w:rsidRPr="00B14726">
        <w:rPr>
          <w:b/>
          <w:bCs/>
          <w:lang w:val="es-AR"/>
        </w:rPr>
        <w:t>en</w:t>
      </w:r>
      <w:r w:rsidR="002B3502" w:rsidRPr="00B14726">
        <w:rPr>
          <w:b/>
          <w:bCs/>
          <w:lang w:val="es-AR"/>
        </w:rPr>
        <w:t xml:space="preserve"> la</w:t>
      </w:r>
      <w:r w:rsidR="004076CD" w:rsidRPr="00B14726">
        <w:rPr>
          <w:b/>
          <w:bCs/>
          <w:lang w:val="es-AR"/>
        </w:rPr>
        <w:t xml:space="preserve"> </w:t>
      </w:r>
      <w:r w:rsidR="00782942" w:rsidRPr="00B14726">
        <w:rPr>
          <w:b/>
          <w:bCs/>
          <w:lang w:val="es-AR"/>
        </w:rPr>
        <w:t>re</w:t>
      </w:r>
      <w:r w:rsidR="004076CD" w:rsidRPr="00B14726">
        <w:rPr>
          <w:b/>
          <w:bCs/>
          <w:lang w:val="es-AR"/>
        </w:rPr>
        <w:t>distribución secundaria del ingreso</w:t>
      </w:r>
      <w:r w:rsidR="00B74129">
        <w:rPr>
          <w:b/>
          <w:bCs/>
          <w:lang w:val="es-AR"/>
        </w:rPr>
        <w:t xml:space="preserve">: </w:t>
      </w:r>
      <w:r w:rsidR="004076CD" w:rsidRPr="00B14726">
        <w:rPr>
          <w:b/>
          <w:bCs/>
          <w:lang w:val="es-AR"/>
        </w:rPr>
        <w:t>políticas sociales universales, sectoriales y asistencialistas</w:t>
      </w:r>
      <w:r w:rsidR="00157A84" w:rsidRPr="00B14726">
        <w:rPr>
          <w:b/>
          <w:bCs/>
          <w:lang w:val="es-AR"/>
        </w:rPr>
        <w:t xml:space="preserve"> </w:t>
      </w:r>
    </w:p>
    <w:p w:rsidR="0079146D" w:rsidRDefault="00DA5167" w:rsidP="004F5D81">
      <w:pPr>
        <w:autoSpaceDE w:val="0"/>
        <w:autoSpaceDN w:val="0"/>
        <w:adjustRightInd w:val="0"/>
        <w:spacing w:after="120"/>
        <w:jc w:val="both"/>
        <w:rPr>
          <w:lang w:eastAsia="es-AR"/>
        </w:rPr>
      </w:pPr>
      <w:r>
        <w:rPr>
          <w:lang w:val="es-AR" w:eastAsia="es-AR"/>
        </w:rPr>
        <w:t xml:space="preserve">A partir de los años setenta, </w:t>
      </w:r>
      <w:r w:rsidR="009335FF">
        <w:rPr>
          <w:lang w:val="es-AR" w:eastAsia="es-AR"/>
        </w:rPr>
        <w:t>la crisis</w:t>
      </w:r>
      <w:r>
        <w:rPr>
          <w:lang w:eastAsia="es-AR"/>
        </w:rPr>
        <w:t xml:space="preserve"> del </w:t>
      </w:r>
      <w:r w:rsidR="00AD7306">
        <w:rPr>
          <w:lang w:eastAsia="es-AR"/>
        </w:rPr>
        <w:t xml:space="preserve">modelo </w:t>
      </w:r>
      <w:r w:rsidR="009335FF">
        <w:rPr>
          <w:lang w:eastAsia="es-AR"/>
        </w:rPr>
        <w:t>de industrialización por</w:t>
      </w:r>
      <w:r w:rsidR="00AD7306">
        <w:rPr>
          <w:lang w:eastAsia="es-AR"/>
        </w:rPr>
        <w:t xml:space="preserve"> sustitución de importaciones</w:t>
      </w:r>
      <w:r>
        <w:rPr>
          <w:lang w:eastAsia="es-AR"/>
        </w:rPr>
        <w:t xml:space="preserve"> (ISI) </w:t>
      </w:r>
      <w:r w:rsidR="00AD7306">
        <w:rPr>
          <w:lang w:eastAsia="es-AR"/>
        </w:rPr>
        <w:t xml:space="preserve">implicó </w:t>
      </w:r>
      <w:r>
        <w:rPr>
          <w:lang w:eastAsia="es-AR"/>
        </w:rPr>
        <w:t xml:space="preserve">en América Latina </w:t>
      </w:r>
      <w:r w:rsidR="00AD7306">
        <w:rPr>
          <w:lang w:eastAsia="es-AR"/>
        </w:rPr>
        <w:t>no sólo una</w:t>
      </w:r>
      <w:r w:rsidR="00AD7306" w:rsidRPr="00B14726">
        <w:rPr>
          <w:lang w:eastAsia="es-AR"/>
        </w:rPr>
        <w:t xml:space="preserve"> redefinición </w:t>
      </w:r>
      <w:r w:rsidR="00AD7306">
        <w:rPr>
          <w:lang w:eastAsia="es-AR"/>
        </w:rPr>
        <w:t>de las políticas económicas</w:t>
      </w:r>
      <w:r w:rsidR="00AD7306" w:rsidRPr="00B14726">
        <w:rPr>
          <w:lang w:eastAsia="es-AR"/>
        </w:rPr>
        <w:t xml:space="preserve"> sino también </w:t>
      </w:r>
      <w:r>
        <w:rPr>
          <w:lang w:eastAsia="es-AR"/>
        </w:rPr>
        <w:t>de las políticas</w:t>
      </w:r>
      <w:r w:rsidR="00AD7306" w:rsidRPr="00B14726">
        <w:rPr>
          <w:lang w:eastAsia="es-AR"/>
        </w:rPr>
        <w:t xml:space="preserve"> sociales</w:t>
      </w:r>
      <w:r w:rsidR="00DF70B3" w:rsidRPr="00B14726">
        <w:rPr>
          <w:lang w:eastAsia="es-AR"/>
        </w:rPr>
        <w:t>.</w:t>
      </w:r>
      <w:r w:rsidR="00CD2B99" w:rsidRPr="00B14726">
        <w:rPr>
          <w:rStyle w:val="Refdenotaalpie"/>
          <w:lang w:eastAsia="es-AR"/>
        </w:rPr>
        <w:footnoteReference w:id="21"/>
      </w:r>
      <w:r w:rsidR="00CD2B99">
        <w:rPr>
          <w:lang w:eastAsia="es-AR"/>
        </w:rPr>
        <w:t xml:space="preserve"> </w:t>
      </w:r>
      <w:r w:rsidR="00B61B7B">
        <w:rPr>
          <w:lang w:eastAsia="es-AR"/>
        </w:rPr>
        <w:t>L</w:t>
      </w:r>
      <w:r w:rsidR="00CE5F30" w:rsidRPr="00B14726">
        <w:rPr>
          <w:lang w:eastAsia="es-AR"/>
        </w:rPr>
        <w:t>os</w:t>
      </w:r>
      <w:r w:rsidR="00DF70B3" w:rsidRPr="00B14726">
        <w:rPr>
          <w:lang w:eastAsia="es-AR"/>
        </w:rPr>
        <w:t xml:space="preserve"> sistemas de </w:t>
      </w:r>
      <w:r w:rsidR="00235557">
        <w:rPr>
          <w:lang w:eastAsia="es-AR"/>
        </w:rPr>
        <w:t>protección</w:t>
      </w:r>
      <w:r w:rsidR="00DF70B3" w:rsidRPr="00B14726">
        <w:rPr>
          <w:lang w:eastAsia="es-AR"/>
        </w:rPr>
        <w:t xml:space="preserve"> centralizados, </w:t>
      </w:r>
      <w:r w:rsidRPr="00B14726">
        <w:rPr>
          <w:lang w:eastAsia="es-AR"/>
        </w:rPr>
        <w:t xml:space="preserve">administrados estatalmente </w:t>
      </w:r>
      <w:r>
        <w:rPr>
          <w:lang w:eastAsia="es-AR"/>
        </w:rPr>
        <w:t xml:space="preserve">y definidos como </w:t>
      </w:r>
      <w:r w:rsidR="00B61B7B">
        <w:rPr>
          <w:lang w:eastAsia="es-AR"/>
        </w:rPr>
        <w:t>universales</w:t>
      </w:r>
      <w:r w:rsidR="00DF70B3" w:rsidRPr="00B14726">
        <w:rPr>
          <w:lang w:eastAsia="es-AR"/>
        </w:rPr>
        <w:t xml:space="preserve"> </w:t>
      </w:r>
      <w:r>
        <w:rPr>
          <w:lang w:eastAsia="es-AR"/>
        </w:rPr>
        <w:t xml:space="preserve">-aunque no lo fueran- </w:t>
      </w:r>
      <w:r w:rsidR="00BF5173">
        <w:rPr>
          <w:lang w:eastAsia="es-AR"/>
        </w:rPr>
        <w:t>dieron</w:t>
      </w:r>
      <w:r w:rsidR="00DF70B3" w:rsidRPr="00B14726">
        <w:rPr>
          <w:lang w:eastAsia="es-AR"/>
        </w:rPr>
        <w:t xml:space="preserve"> lugar a modelos</w:t>
      </w:r>
      <w:r w:rsidR="00741CA0" w:rsidRPr="00B14726">
        <w:rPr>
          <w:lang w:eastAsia="es-AR"/>
        </w:rPr>
        <w:t xml:space="preserve"> </w:t>
      </w:r>
      <w:r w:rsidR="00DF70B3" w:rsidRPr="00B14726">
        <w:rPr>
          <w:lang w:eastAsia="es-AR"/>
        </w:rPr>
        <w:t xml:space="preserve">descentralizados, </w:t>
      </w:r>
      <w:r>
        <w:rPr>
          <w:lang w:eastAsia="es-AR"/>
        </w:rPr>
        <w:t xml:space="preserve">financiados por los asegurados y bajo administración privada; pasando a ser la principal </w:t>
      </w:r>
      <w:r w:rsidR="009335FF">
        <w:rPr>
          <w:lang w:eastAsia="es-AR"/>
        </w:rPr>
        <w:t>tarea</w:t>
      </w:r>
      <w:r>
        <w:rPr>
          <w:lang w:eastAsia="es-AR"/>
        </w:rPr>
        <w:t xml:space="preserve"> </w:t>
      </w:r>
      <w:r w:rsidR="009335FF">
        <w:rPr>
          <w:lang w:eastAsia="es-AR"/>
        </w:rPr>
        <w:t xml:space="preserve">en material social </w:t>
      </w:r>
      <w:r>
        <w:rPr>
          <w:lang w:eastAsia="es-AR"/>
        </w:rPr>
        <w:t xml:space="preserve">del sector público </w:t>
      </w:r>
      <w:r w:rsidR="00A5522F">
        <w:rPr>
          <w:lang w:eastAsia="es-AR"/>
        </w:rPr>
        <w:t>el despliegue de asistencia directa f</w:t>
      </w:r>
      <w:r>
        <w:rPr>
          <w:lang w:eastAsia="es-AR"/>
        </w:rPr>
        <w:t>ocalizad</w:t>
      </w:r>
      <w:r w:rsidR="00A5522F">
        <w:rPr>
          <w:lang w:eastAsia="es-AR"/>
        </w:rPr>
        <w:t>a</w:t>
      </w:r>
      <w:r>
        <w:rPr>
          <w:lang w:eastAsia="es-AR"/>
        </w:rPr>
        <w:t xml:space="preserve"> </w:t>
      </w:r>
      <w:r w:rsidR="009335FF">
        <w:rPr>
          <w:lang w:eastAsia="es-AR"/>
        </w:rPr>
        <w:t>hacia</w:t>
      </w:r>
      <w:r w:rsidR="00417BDA" w:rsidRPr="00B14726">
        <w:rPr>
          <w:lang w:eastAsia="es-AR"/>
        </w:rPr>
        <w:t xml:space="preserve"> </w:t>
      </w:r>
      <w:r w:rsidR="00235557">
        <w:rPr>
          <w:lang w:eastAsia="es-AR"/>
        </w:rPr>
        <w:t>los</w:t>
      </w:r>
      <w:r w:rsidR="00417BDA" w:rsidRPr="00B14726">
        <w:rPr>
          <w:lang w:eastAsia="es-AR"/>
        </w:rPr>
        <w:t xml:space="preserve"> </w:t>
      </w:r>
      <w:r w:rsidR="00E818C5" w:rsidRPr="00B14726">
        <w:rPr>
          <w:lang w:eastAsia="es-AR"/>
        </w:rPr>
        <w:t xml:space="preserve">sectores </w:t>
      </w:r>
      <w:r w:rsidR="009335FF">
        <w:rPr>
          <w:lang w:eastAsia="es-AR"/>
        </w:rPr>
        <w:t>excluidos del mercado</w:t>
      </w:r>
      <w:r w:rsidR="00DF70B3" w:rsidRPr="00B14726">
        <w:rPr>
          <w:lang w:eastAsia="es-AR"/>
        </w:rPr>
        <w:t xml:space="preserve">. </w:t>
      </w:r>
      <w:r w:rsidR="0079146D">
        <w:rPr>
          <w:lang w:eastAsia="es-AR"/>
        </w:rPr>
        <w:t>F</w:t>
      </w:r>
      <w:r w:rsidR="00887D21">
        <w:rPr>
          <w:lang w:eastAsia="es-AR"/>
        </w:rPr>
        <w:t>rente</w:t>
      </w:r>
      <w:r w:rsidR="005B438B" w:rsidRPr="00B14726">
        <w:rPr>
          <w:lang w:eastAsia="es-AR"/>
        </w:rPr>
        <w:t xml:space="preserve"> a los </w:t>
      </w:r>
      <w:r w:rsidR="00C57826" w:rsidRPr="00B14726">
        <w:rPr>
          <w:lang w:eastAsia="es-AR"/>
        </w:rPr>
        <w:t>crecientes</w:t>
      </w:r>
      <w:r w:rsidR="005B438B" w:rsidRPr="00B14726">
        <w:rPr>
          <w:lang w:eastAsia="es-AR"/>
        </w:rPr>
        <w:t xml:space="preserve"> niveles de </w:t>
      </w:r>
      <w:r w:rsidR="00235557">
        <w:rPr>
          <w:lang w:eastAsia="es-AR"/>
        </w:rPr>
        <w:t>desempleo</w:t>
      </w:r>
      <w:r w:rsidR="00AD7306">
        <w:rPr>
          <w:lang w:eastAsia="es-AR"/>
        </w:rPr>
        <w:t xml:space="preserve"> y</w:t>
      </w:r>
      <w:r w:rsidR="0051178B" w:rsidRPr="00B14726">
        <w:rPr>
          <w:lang w:eastAsia="es-AR"/>
        </w:rPr>
        <w:t xml:space="preserve"> </w:t>
      </w:r>
      <w:r w:rsidR="005B438B" w:rsidRPr="00B14726">
        <w:rPr>
          <w:lang w:eastAsia="es-AR"/>
        </w:rPr>
        <w:t>pobreza</w:t>
      </w:r>
      <w:r w:rsidR="00477B41" w:rsidRPr="00B14726">
        <w:rPr>
          <w:lang w:eastAsia="es-AR"/>
        </w:rPr>
        <w:t xml:space="preserve"> </w:t>
      </w:r>
      <w:r w:rsidR="00235557">
        <w:rPr>
          <w:lang w:eastAsia="es-AR"/>
        </w:rPr>
        <w:t>generados por las políticas de ajustes y reformas estructurales</w:t>
      </w:r>
      <w:r w:rsidR="005B438B" w:rsidRPr="00B14726">
        <w:rPr>
          <w:lang w:eastAsia="es-AR"/>
        </w:rPr>
        <w:t xml:space="preserve">, </w:t>
      </w:r>
      <w:r w:rsidR="00C57826" w:rsidRPr="00B14726">
        <w:rPr>
          <w:lang w:eastAsia="es-AR"/>
        </w:rPr>
        <w:t>las políticas tradicionales de seguridad social</w:t>
      </w:r>
      <w:r w:rsidR="005B438B" w:rsidRPr="00B14726">
        <w:rPr>
          <w:lang w:eastAsia="es-AR"/>
        </w:rPr>
        <w:t xml:space="preserve"> experiment</w:t>
      </w:r>
      <w:r w:rsidR="00C57826" w:rsidRPr="00B14726">
        <w:rPr>
          <w:lang w:eastAsia="es-AR"/>
        </w:rPr>
        <w:t xml:space="preserve">aron un </w:t>
      </w:r>
      <w:r w:rsidR="00A5522F">
        <w:rPr>
          <w:lang w:eastAsia="es-AR"/>
        </w:rPr>
        <w:t>giro</w:t>
      </w:r>
      <w:r w:rsidR="00C57826" w:rsidRPr="00B14726">
        <w:rPr>
          <w:lang w:eastAsia="es-AR"/>
        </w:rPr>
        <w:t xml:space="preserve"> </w:t>
      </w:r>
      <w:r w:rsidR="00AD7306">
        <w:rPr>
          <w:lang w:eastAsia="es-AR"/>
        </w:rPr>
        <w:t>tendiente</w:t>
      </w:r>
      <w:r w:rsidR="00C57826" w:rsidRPr="00B14726">
        <w:rPr>
          <w:lang w:eastAsia="es-AR"/>
        </w:rPr>
        <w:t xml:space="preserve"> </w:t>
      </w:r>
      <w:r w:rsidR="00AD7306">
        <w:rPr>
          <w:lang w:eastAsia="es-AR"/>
        </w:rPr>
        <w:t xml:space="preserve">a </w:t>
      </w:r>
      <w:r w:rsidR="009335FF">
        <w:rPr>
          <w:lang w:eastAsia="es-AR"/>
        </w:rPr>
        <w:t>brindar</w:t>
      </w:r>
      <w:r w:rsidR="00C57826" w:rsidRPr="00B14726">
        <w:rPr>
          <w:lang w:eastAsia="es-AR"/>
        </w:rPr>
        <w:t xml:space="preserve"> </w:t>
      </w:r>
      <w:r w:rsidR="005B438B" w:rsidRPr="00B14726">
        <w:rPr>
          <w:lang w:eastAsia="es-AR"/>
        </w:rPr>
        <w:t xml:space="preserve">asistencia </w:t>
      </w:r>
      <w:r w:rsidR="00C63CFE" w:rsidRPr="00B14726">
        <w:rPr>
          <w:lang w:eastAsia="es-AR"/>
        </w:rPr>
        <w:t xml:space="preserve">directa </w:t>
      </w:r>
      <w:r w:rsidR="00C57826" w:rsidRPr="00B14726">
        <w:rPr>
          <w:lang w:eastAsia="es-AR"/>
        </w:rPr>
        <w:t xml:space="preserve">“transitoria” </w:t>
      </w:r>
      <w:r w:rsidR="00B520EB" w:rsidRPr="00B14726">
        <w:rPr>
          <w:lang w:eastAsia="es-AR"/>
        </w:rPr>
        <w:t xml:space="preserve">a </w:t>
      </w:r>
      <w:r w:rsidR="00F54B3A" w:rsidRPr="00B14726">
        <w:rPr>
          <w:lang w:eastAsia="es-AR"/>
        </w:rPr>
        <w:t>poblaciones de riesgo.</w:t>
      </w:r>
      <w:r w:rsidR="005B438B" w:rsidRPr="00B14726">
        <w:rPr>
          <w:lang w:eastAsia="es-AR"/>
        </w:rPr>
        <w:t xml:space="preserve"> </w:t>
      </w:r>
    </w:p>
    <w:p w:rsidR="00B0438B" w:rsidRPr="00B14726" w:rsidRDefault="00B73B7D" w:rsidP="004F5D81">
      <w:pPr>
        <w:autoSpaceDE w:val="0"/>
        <w:autoSpaceDN w:val="0"/>
        <w:adjustRightInd w:val="0"/>
        <w:spacing w:after="120"/>
        <w:jc w:val="both"/>
        <w:rPr>
          <w:lang w:eastAsia="es-AR"/>
        </w:rPr>
      </w:pPr>
      <w:r w:rsidRPr="00B14726">
        <w:rPr>
          <w:lang w:eastAsia="es-AR"/>
        </w:rPr>
        <w:t>Surgi</w:t>
      </w:r>
      <w:r w:rsidR="002F7373" w:rsidRPr="00B14726">
        <w:rPr>
          <w:lang w:eastAsia="es-AR"/>
        </w:rPr>
        <w:t>ó</w:t>
      </w:r>
      <w:r w:rsidRPr="00B14726">
        <w:rPr>
          <w:lang w:eastAsia="es-AR"/>
        </w:rPr>
        <w:t xml:space="preserve"> así</w:t>
      </w:r>
      <w:r w:rsidR="00C57826" w:rsidRPr="00B14726">
        <w:rPr>
          <w:lang w:eastAsia="es-AR"/>
        </w:rPr>
        <w:t xml:space="preserve">, con el apoyo técnico-financiero de </w:t>
      </w:r>
      <w:r w:rsidR="009335FF">
        <w:rPr>
          <w:lang w:eastAsia="es-AR"/>
        </w:rPr>
        <w:t xml:space="preserve">los </w:t>
      </w:r>
      <w:r w:rsidR="00C57826" w:rsidRPr="00B14726">
        <w:rPr>
          <w:lang w:eastAsia="es-AR"/>
        </w:rPr>
        <w:t>organismos multinacionales de crédito (Banco Mundial, BID),</w:t>
      </w:r>
      <w:r w:rsidRPr="00B14726">
        <w:rPr>
          <w:lang w:eastAsia="es-AR"/>
        </w:rPr>
        <w:t xml:space="preserve"> un</w:t>
      </w:r>
      <w:r w:rsidR="00C57826" w:rsidRPr="00B14726">
        <w:rPr>
          <w:lang w:eastAsia="es-AR"/>
        </w:rPr>
        <w:t>a</w:t>
      </w:r>
      <w:r w:rsidRPr="00B14726">
        <w:rPr>
          <w:lang w:eastAsia="es-AR"/>
        </w:rPr>
        <w:t xml:space="preserve"> serie de nuevos </w:t>
      </w:r>
      <w:r w:rsidR="005B438B" w:rsidRPr="00B14726">
        <w:rPr>
          <w:lang w:eastAsia="es-AR"/>
        </w:rPr>
        <w:t xml:space="preserve">programas </w:t>
      </w:r>
      <w:r w:rsidR="00016618" w:rsidRPr="00B14726">
        <w:rPr>
          <w:lang w:eastAsia="es-AR"/>
        </w:rPr>
        <w:t>de transferencia de ingresos</w:t>
      </w:r>
      <w:r w:rsidRPr="00B14726">
        <w:rPr>
          <w:lang w:eastAsia="es-AR"/>
        </w:rPr>
        <w:t xml:space="preserve">, </w:t>
      </w:r>
      <w:r w:rsidR="005B438B" w:rsidRPr="00B14726">
        <w:rPr>
          <w:lang w:eastAsia="es-AR"/>
        </w:rPr>
        <w:t xml:space="preserve">incluyendo los subsidios </w:t>
      </w:r>
      <w:r w:rsidR="00B0438B" w:rsidRPr="00B14726">
        <w:rPr>
          <w:lang w:eastAsia="es-AR"/>
        </w:rPr>
        <w:t>para el</w:t>
      </w:r>
      <w:r w:rsidR="005B438B" w:rsidRPr="00B14726">
        <w:rPr>
          <w:lang w:eastAsia="es-AR"/>
        </w:rPr>
        <w:t xml:space="preserve"> cuidado de la </w:t>
      </w:r>
      <w:r w:rsidR="00E818C5" w:rsidRPr="00B14726">
        <w:rPr>
          <w:lang w:eastAsia="es-AR"/>
        </w:rPr>
        <w:t xml:space="preserve">alimentación y la </w:t>
      </w:r>
      <w:r w:rsidR="005B438B" w:rsidRPr="00B14726">
        <w:rPr>
          <w:lang w:eastAsia="es-AR"/>
        </w:rPr>
        <w:t xml:space="preserve">salud, </w:t>
      </w:r>
      <w:r w:rsidR="00B0438B" w:rsidRPr="00B14726">
        <w:rPr>
          <w:lang w:eastAsia="es-AR"/>
        </w:rPr>
        <w:t>los seguros contra</w:t>
      </w:r>
      <w:r w:rsidR="002F7373" w:rsidRPr="00B14726">
        <w:rPr>
          <w:lang w:eastAsia="es-AR"/>
        </w:rPr>
        <w:t>-</w:t>
      </w:r>
      <w:r w:rsidR="00B0438B" w:rsidRPr="00B14726">
        <w:rPr>
          <w:lang w:eastAsia="es-AR"/>
        </w:rPr>
        <w:t xml:space="preserve">cíclicos, </w:t>
      </w:r>
      <w:r w:rsidR="005B438B" w:rsidRPr="00B14726">
        <w:rPr>
          <w:lang w:eastAsia="es-AR"/>
        </w:rPr>
        <w:t xml:space="preserve">los </w:t>
      </w:r>
      <w:r w:rsidR="00016618" w:rsidRPr="00B14726">
        <w:rPr>
          <w:lang w:eastAsia="es-AR"/>
        </w:rPr>
        <w:t>sistemas</w:t>
      </w:r>
      <w:r w:rsidR="005B438B" w:rsidRPr="00B14726">
        <w:rPr>
          <w:lang w:eastAsia="es-AR"/>
        </w:rPr>
        <w:t xml:space="preserve"> de pensiones no contributivas, los programas de empleo</w:t>
      </w:r>
      <w:r w:rsidR="00C57826" w:rsidRPr="00B14726">
        <w:rPr>
          <w:lang w:eastAsia="es-AR"/>
        </w:rPr>
        <w:t xml:space="preserve"> y capacitación,</w:t>
      </w:r>
      <w:r w:rsidR="005B438B" w:rsidRPr="00B14726">
        <w:rPr>
          <w:lang w:eastAsia="es-AR"/>
        </w:rPr>
        <w:t xml:space="preserve"> las transferencias </w:t>
      </w:r>
      <w:r w:rsidRPr="00B14726">
        <w:rPr>
          <w:lang w:eastAsia="es-AR"/>
        </w:rPr>
        <w:t xml:space="preserve">condicionadas </w:t>
      </w:r>
      <w:r w:rsidR="005B438B" w:rsidRPr="00B14726">
        <w:rPr>
          <w:lang w:eastAsia="es-AR"/>
        </w:rPr>
        <w:t>de ingresos</w:t>
      </w:r>
      <w:r w:rsidR="001C02B2" w:rsidRPr="00B14726">
        <w:rPr>
          <w:lang w:eastAsia="es-AR"/>
        </w:rPr>
        <w:t>, entre otros</w:t>
      </w:r>
      <w:r w:rsidR="00B0438B" w:rsidRPr="00B14726">
        <w:rPr>
          <w:lang w:eastAsia="es-AR"/>
        </w:rPr>
        <w:t xml:space="preserve">. </w:t>
      </w:r>
      <w:r w:rsidR="00B61B7B">
        <w:rPr>
          <w:lang w:eastAsia="es-AR"/>
        </w:rPr>
        <w:t>L</w:t>
      </w:r>
      <w:r w:rsidR="00B0438B" w:rsidRPr="00B14726">
        <w:rPr>
          <w:lang w:eastAsia="es-AR"/>
        </w:rPr>
        <w:t xml:space="preserve">a asistencia económica directa a los pobres, junto a una mayor inversión en capital </w:t>
      </w:r>
      <w:r w:rsidR="009335FF">
        <w:rPr>
          <w:lang w:eastAsia="es-AR"/>
        </w:rPr>
        <w:t>educativo</w:t>
      </w:r>
      <w:r w:rsidR="00B0438B" w:rsidRPr="00B14726">
        <w:rPr>
          <w:lang w:eastAsia="es-AR"/>
        </w:rPr>
        <w:t xml:space="preserve">-institucional, con fines de cohesión social, pasaron a formar parte de los temas principales de la agenda </w:t>
      </w:r>
      <w:r w:rsidR="00AD7306">
        <w:rPr>
          <w:lang w:eastAsia="es-AR"/>
        </w:rPr>
        <w:t>política</w:t>
      </w:r>
      <w:r w:rsidR="00417BDA" w:rsidRPr="00B14726">
        <w:rPr>
          <w:lang w:eastAsia="es-AR"/>
        </w:rPr>
        <w:t>.</w:t>
      </w:r>
      <w:r w:rsidR="00C45DDD">
        <w:rPr>
          <w:rStyle w:val="Refdenotaalpie"/>
          <w:lang w:eastAsia="es-AR"/>
        </w:rPr>
        <w:footnoteReference w:id="22"/>
      </w:r>
      <w:r w:rsidR="00417BDA" w:rsidRPr="00B14726">
        <w:rPr>
          <w:lang w:eastAsia="es-AR"/>
        </w:rPr>
        <w:t xml:space="preserve"> </w:t>
      </w:r>
    </w:p>
    <w:p w:rsidR="00104887" w:rsidRPr="00B14726" w:rsidRDefault="009335FF" w:rsidP="00741CA0">
      <w:pPr>
        <w:autoSpaceDE w:val="0"/>
        <w:autoSpaceDN w:val="0"/>
        <w:adjustRightInd w:val="0"/>
        <w:spacing w:after="120"/>
        <w:jc w:val="both"/>
        <w:rPr>
          <w:lang w:eastAsia="es-AR"/>
        </w:rPr>
      </w:pPr>
      <w:r>
        <w:rPr>
          <w:lang w:eastAsia="es-AR"/>
        </w:rPr>
        <w:t>El análisis de</w:t>
      </w:r>
      <w:r w:rsidR="00E64B52" w:rsidRPr="00B14726">
        <w:rPr>
          <w:lang w:eastAsia="es-AR"/>
        </w:rPr>
        <w:t xml:space="preserve"> las políticas sociales en </w:t>
      </w:r>
      <w:smartTag w:uri="urn:schemas-microsoft-com:office:smarttags" w:element="PersonName">
        <w:smartTagPr>
          <w:attr w:name="ProductID" w:val="la Argentina"/>
        </w:smartTagPr>
        <w:r w:rsidR="00E64B52" w:rsidRPr="00B14726">
          <w:rPr>
            <w:lang w:eastAsia="es-AR"/>
          </w:rPr>
          <w:t>la Argentina</w:t>
        </w:r>
      </w:smartTag>
      <w:r w:rsidR="00E64B52" w:rsidRPr="00B14726">
        <w:rPr>
          <w:lang w:eastAsia="es-AR"/>
        </w:rPr>
        <w:t xml:space="preserve"> permite apreciar un proceso similar</w:t>
      </w:r>
      <w:r>
        <w:rPr>
          <w:lang w:eastAsia="es-AR"/>
        </w:rPr>
        <w:t xml:space="preserve"> pero</w:t>
      </w:r>
      <w:r w:rsidR="00E64B52" w:rsidRPr="00B14726">
        <w:rPr>
          <w:lang w:eastAsia="es-AR"/>
        </w:rPr>
        <w:t xml:space="preserve"> fundado en condiciones de protección social </w:t>
      </w:r>
      <w:r w:rsidR="004030FA">
        <w:rPr>
          <w:lang w:eastAsia="es-AR"/>
        </w:rPr>
        <w:t>pre-crisis</w:t>
      </w:r>
      <w:r w:rsidR="00E64B52" w:rsidRPr="00B14726">
        <w:rPr>
          <w:lang w:eastAsia="es-AR"/>
        </w:rPr>
        <w:t xml:space="preserve"> </w:t>
      </w:r>
      <w:r w:rsidR="00AD7306">
        <w:rPr>
          <w:lang w:eastAsia="es-AR"/>
        </w:rPr>
        <w:t>mucho</w:t>
      </w:r>
      <w:r w:rsidR="00E64B52" w:rsidRPr="00B14726">
        <w:rPr>
          <w:lang w:eastAsia="es-AR"/>
        </w:rPr>
        <w:t xml:space="preserve"> más extendidas –aunque no menos segmentadas- que en </w:t>
      </w:r>
      <w:r>
        <w:rPr>
          <w:lang w:eastAsia="es-AR"/>
        </w:rPr>
        <w:t>la mayor parte</w:t>
      </w:r>
      <w:r w:rsidR="00E64B52" w:rsidRPr="00B14726">
        <w:rPr>
          <w:lang w:eastAsia="es-AR"/>
        </w:rPr>
        <w:t xml:space="preserve"> de la región. </w:t>
      </w:r>
      <w:r>
        <w:rPr>
          <w:lang w:eastAsia="es-AR"/>
        </w:rPr>
        <w:t>Hasta</w:t>
      </w:r>
      <w:r w:rsidR="00E64B52" w:rsidRPr="00B14726">
        <w:rPr>
          <w:lang w:eastAsia="es-AR"/>
        </w:rPr>
        <w:t xml:space="preserve"> la década del setenta </w:t>
      </w:r>
      <w:r>
        <w:rPr>
          <w:lang w:eastAsia="es-AR"/>
        </w:rPr>
        <w:t xml:space="preserve">el país contaba con </w:t>
      </w:r>
      <w:r w:rsidR="00E64B52" w:rsidRPr="00B14726">
        <w:rPr>
          <w:lang w:eastAsia="es-AR"/>
        </w:rPr>
        <w:t xml:space="preserve">un sistema de </w:t>
      </w:r>
      <w:r>
        <w:rPr>
          <w:lang w:eastAsia="es-AR"/>
        </w:rPr>
        <w:t>protección</w:t>
      </w:r>
      <w:r w:rsidR="00E64B52" w:rsidRPr="00B14726">
        <w:rPr>
          <w:lang w:eastAsia="es-AR"/>
        </w:rPr>
        <w:t xml:space="preserve"> social basado en un régimen estratificado formado por tres componentes: la provisión universalista de los sistemas de educación y salud públicas; las prestaciones de salud y previsionales diferenciadas, estratificadas según nivel salarial y rama de actividad; y la atención localizada a los problemas de pobreza extrema y falta de vivienda (Lo </w:t>
      </w:r>
      <w:proofErr w:type="spellStart"/>
      <w:r w:rsidR="00E64B52" w:rsidRPr="00B14726">
        <w:rPr>
          <w:lang w:eastAsia="es-AR"/>
        </w:rPr>
        <w:t>Vuolo</w:t>
      </w:r>
      <w:proofErr w:type="spellEnd"/>
      <w:r w:rsidR="00E64B52" w:rsidRPr="00B14726">
        <w:rPr>
          <w:lang w:eastAsia="es-AR"/>
        </w:rPr>
        <w:t xml:space="preserve"> y </w:t>
      </w:r>
      <w:proofErr w:type="spellStart"/>
      <w:r w:rsidR="00E64B52" w:rsidRPr="00B14726">
        <w:rPr>
          <w:lang w:eastAsia="es-AR"/>
        </w:rPr>
        <w:t>Barbeito</w:t>
      </w:r>
      <w:proofErr w:type="spellEnd"/>
      <w:r w:rsidR="00E64B52" w:rsidRPr="00B14726">
        <w:rPr>
          <w:lang w:eastAsia="es-AR"/>
        </w:rPr>
        <w:t xml:space="preserve">, </w:t>
      </w:r>
      <w:r w:rsidR="00F6021E" w:rsidRPr="00B14726">
        <w:rPr>
          <w:lang w:eastAsia="es-AR"/>
        </w:rPr>
        <w:t>1992, 1998</w:t>
      </w:r>
      <w:r w:rsidR="00E64B52" w:rsidRPr="00B14726">
        <w:rPr>
          <w:lang w:eastAsia="es-AR"/>
        </w:rPr>
        <w:t xml:space="preserve">). </w:t>
      </w:r>
      <w:r>
        <w:rPr>
          <w:lang w:eastAsia="es-AR"/>
        </w:rPr>
        <w:t xml:space="preserve">Este sistema entró en crisis de la mano del </w:t>
      </w:r>
      <w:r w:rsidR="007543AC" w:rsidRPr="00B14726">
        <w:rPr>
          <w:lang w:eastAsia="es-AR"/>
        </w:rPr>
        <w:t xml:space="preserve">estancamiento económico, </w:t>
      </w:r>
      <w:r>
        <w:rPr>
          <w:lang w:eastAsia="es-AR"/>
        </w:rPr>
        <w:t xml:space="preserve">la crisis de la deuda externa, </w:t>
      </w:r>
      <w:r w:rsidR="007543AC" w:rsidRPr="00B14726">
        <w:rPr>
          <w:lang w:eastAsia="es-AR"/>
        </w:rPr>
        <w:t xml:space="preserve">el </w:t>
      </w:r>
      <w:r>
        <w:rPr>
          <w:lang w:eastAsia="es-AR"/>
        </w:rPr>
        <w:t>aumento de</w:t>
      </w:r>
      <w:r w:rsidR="007543AC" w:rsidRPr="00B14726">
        <w:rPr>
          <w:lang w:eastAsia="es-AR"/>
        </w:rPr>
        <w:t xml:space="preserve"> déficit fiscal </w:t>
      </w:r>
      <w:r w:rsidR="00B61B7B">
        <w:rPr>
          <w:lang w:eastAsia="es-AR"/>
        </w:rPr>
        <w:t>y</w:t>
      </w:r>
      <w:r w:rsidR="007543AC" w:rsidRPr="00B14726">
        <w:rPr>
          <w:lang w:eastAsia="es-AR"/>
        </w:rPr>
        <w:t xml:space="preserve"> el deterioro del mercado de trabajo </w:t>
      </w:r>
      <w:r w:rsidR="00104887" w:rsidRPr="00B14726">
        <w:rPr>
          <w:lang w:eastAsia="es-AR"/>
        </w:rPr>
        <w:t>(</w:t>
      </w:r>
      <w:r w:rsidR="00104887" w:rsidRPr="00B14726">
        <w:rPr>
          <w:lang w:val="es-AR" w:eastAsia="es-AR"/>
        </w:rPr>
        <w:t xml:space="preserve">Grassi, </w:t>
      </w:r>
      <w:proofErr w:type="spellStart"/>
      <w:r w:rsidR="00104887" w:rsidRPr="00B14726">
        <w:rPr>
          <w:lang w:val="es-AR" w:eastAsia="es-AR"/>
        </w:rPr>
        <w:t>Hintze</w:t>
      </w:r>
      <w:proofErr w:type="spellEnd"/>
      <w:r w:rsidR="00104887" w:rsidRPr="00B14726">
        <w:rPr>
          <w:lang w:val="es-AR" w:eastAsia="es-AR"/>
        </w:rPr>
        <w:t xml:space="preserve"> y </w:t>
      </w:r>
      <w:proofErr w:type="spellStart"/>
      <w:r w:rsidR="00104887" w:rsidRPr="00B14726">
        <w:rPr>
          <w:lang w:val="es-AR" w:eastAsia="es-AR"/>
        </w:rPr>
        <w:t>Neufeld</w:t>
      </w:r>
      <w:proofErr w:type="spellEnd"/>
      <w:r w:rsidR="00104887" w:rsidRPr="00B14726">
        <w:rPr>
          <w:lang w:val="es-AR" w:eastAsia="es-AR"/>
        </w:rPr>
        <w:t>, 1994)</w:t>
      </w:r>
      <w:r w:rsidR="00D540A8" w:rsidRPr="00B14726">
        <w:rPr>
          <w:lang w:eastAsia="es-AR"/>
        </w:rPr>
        <w:t xml:space="preserve">. </w:t>
      </w:r>
      <w:r w:rsidR="004030FA">
        <w:rPr>
          <w:lang w:eastAsia="es-AR"/>
        </w:rPr>
        <w:t>A partir de lo cual, c</w:t>
      </w:r>
      <w:r w:rsidR="00D540A8" w:rsidRPr="00B14726">
        <w:rPr>
          <w:lang w:eastAsia="es-AR"/>
        </w:rPr>
        <w:t xml:space="preserve">ada uno de </w:t>
      </w:r>
      <w:r w:rsidR="001B20D3" w:rsidRPr="00B14726">
        <w:rPr>
          <w:lang w:eastAsia="es-AR"/>
        </w:rPr>
        <w:t>los</w:t>
      </w:r>
      <w:r w:rsidR="00D540A8" w:rsidRPr="00B14726">
        <w:rPr>
          <w:lang w:eastAsia="es-AR"/>
        </w:rPr>
        <w:t xml:space="preserve"> componentes </w:t>
      </w:r>
      <w:r w:rsidR="001B20D3" w:rsidRPr="00B14726">
        <w:rPr>
          <w:lang w:eastAsia="es-AR"/>
        </w:rPr>
        <w:t xml:space="preserve">mencionados </w:t>
      </w:r>
      <w:r w:rsidR="00D540A8" w:rsidRPr="00B14726">
        <w:rPr>
          <w:lang w:eastAsia="es-AR"/>
        </w:rPr>
        <w:t xml:space="preserve">comenzó a experimentar problemas de financiamiento que impulsaron, a partir de </w:t>
      </w:r>
      <w:r w:rsidR="00D540A8" w:rsidRPr="00B14726">
        <w:rPr>
          <w:lang w:eastAsia="es-AR"/>
        </w:rPr>
        <w:lastRenderedPageBreak/>
        <w:t xml:space="preserve">mediados de los años ochenta y durante los años noventa, el lanzamiento de importantes iniciativas </w:t>
      </w:r>
      <w:r w:rsidR="00F6021E" w:rsidRPr="00B14726">
        <w:rPr>
          <w:lang w:eastAsia="es-AR"/>
        </w:rPr>
        <w:t>orientadas a la redefinición de la política social</w:t>
      </w:r>
      <w:r w:rsidR="00D540A8" w:rsidRPr="00B14726">
        <w:rPr>
          <w:lang w:eastAsia="es-AR"/>
        </w:rPr>
        <w:t>.</w:t>
      </w:r>
      <w:r w:rsidR="00D540A8" w:rsidRPr="00B14726">
        <w:rPr>
          <w:rStyle w:val="Refdenotaalpie"/>
          <w:lang w:eastAsia="es-AR"/>
        </w:rPr>
        <w:footnoteReference w:id="23"/>
      </w:r>
      <w:r w:rsidR="00104887" w:rsidRPr="00B14726">
        <w:rPr>
          <w:lang w:eastAsia="es-AR"/>
        </w:rPr>
        <w:t xml:space="preserve"> </w:t>
      </w:r>
    </w:p>
    <w:p w:rsidR="00B95D3C" w:rsidRPr="00B14726" w:rsidRDefault="004B3633" w:rsidP="00741CA0">
      <w:pPr>
        <w:autoSpaceDE w:val="0"/>
        <w:autoSpaceDN w:val="0"/>
        <w:adjustRightInd w:val="0"/>
        <w:spacing w:after="120"/>
        <w:jc w:val="both"/>
        <w:rPr>
          <w:lang w:val="es-AR" w:eastAsia="es-AR"/>
        </w:rPr>
      </w:pPr>
      <w:r w:rsidRPr="00B14726">
        <w:rPr>
          <w:lang w:eastAsia="es-AR"/>
        </w:rPr>
        <w:t xml:space="preserve">En ese contexto, </w:t>
      </w:r>
      <w:r w:rsidRPr="00B14726">
        <w:rPr>
          <w:lang w:val="es-AR" w:eastAsia="es-AR"/>
        </w:rPr>
        <w:t>las</w:t>
      </w:r>
      <w:r w:rsidR="008507A4" w:rsidRPr="00B14726">
        <w:rPr>
          <w:lang w:val="es-AR" w:eastAsia="es-AR"/>
        </w:rPr>
        <w:t xml:space="preserve"> reformas </w:t>
      </w:r>
      <w:r w:rsidR="007543AC" w:rsidRPr="00B14726">
        <w:rPr>
          <w:lang w:val="es-AR" w:eastAsia="es-AR"/>
        </w:rPr>
        <w:t>de inspiración</w:t>
      </w:r>
      <w:r w:rsidR="008507A4" w:rsidRPr="00B14726">
        <w:rPr>
          <w:lang w:val="es-AR" w:eastAsia="es-AR"/>
        </w:rPr>
        <w:t xml:space="preserve"> neoliberal de los años noventa </w:t>
      </w:r>
      <w:r w:rsidR="007543AC" w:rsidRPr="00B14726">
        <w:rPr>
          <w:lang w:val="es-AR" w:eastAsia="es-AR"/>
        </w:rPr>
        <w:t>introdujeron</w:t>
      </w:r>
      <w:r w:rsidR="008507A4" w:rsidRPr="00B14726">
        <w:rPr>
          <w:lang w:val="es-AR" w:eastAsia="es-AR"/>
        </w:rPr>
        <w:t xml:space="preserve"> cambios tendiente</w:t>
      </w:r>
      <w:r w:rsidR="005B438B" w:rsidRPr="00B14726">
        <w:rPr>
          <w:lang w:val="es-AR" w:eastAsia="es-AR"/>
        </w:rPr>
        <w:t>s</w:t>
      </w:r>
      <w:r w:rsidR="008507A4" w:rsidRPr="00B14726">
        <w:rPr>
          <w:lang w:val="es-AR" w:eastAsia="es-AR"/>
        </w:rPr>
        <w:t xml:space="preserve"> a </w:t>
      </w:r>
      <w:r w:rsidR="005B438B" w:rsidRPr="00B14726">
        <w:rPr>
          <w:lang w:val="es-AR" w:eastAsia="es-AR"/>
        </w:rPr>
        <w:t>reducir el déficit público</w:t>
      </w:r>
      <w:r w:rsidR="004030FA">
        <w:rPr>
          <w:lang w:val="es-AR" w:eastAsia="es-AR"/>
        </w:rPr>
        <w:t xml:space="preserve"> y ganar en eficiencia. En función de este objetivo se promovió la inclusión del </w:t>
      </w:r>
      <w:r w:rsidR="008507A4" w:rsidRPr="00B14726">
        <w:rPr>
          <w:lang w:val="es-AR" w:eastAsia="es-AR"/>
        </w:rPr>
        <w:t>sector privado</w:t>
      </w:r>
      <w:r w:rsidR="004030FA">
        <w:rPr>
          <w:lang w:val="es-AR" w:eastAsia="es-AR"/>
        </w:rPr>
        <w:t xml:space="preserve"> en los</w:t>
      </w:r>
      <w:r w:rsidR="005B438B" w:rsidRPr="00B14726">
        <w:rPr>
          <w:lang w:val="es-AR" w:eastAsia="es-AR"/>
        </w:rPr>
        <w:t xml:space="preserve"> </w:t>
      </w:r>
      <w:r w:rsidR="008507A4" w:rsidRPr="00B14726">
        <w:rPr>
          <w:lang w:val="es-AR" w:eastAsia="es-AR"/>
        </w:rPr>
        <w:t xml:space="preserve">servicios </w:t>
      </w:r>
      <w:r w:rsidR="004030FA">
        <w:rPr>
          <w:lang w:val="es-AR" w:eastAsia="es-AR"/>
        </w:rPr>
        <w:t xml:space="preserve">públicos </w:t>
      </w:r>
      <w:r w:rsidR="008507A4" w:rsidRPr="00B14726">
        <w:rPr>
          <w:lang w:val="es-AR" w:eastAsia="es-AR"/>
        </w:rPr>
        <w:t>sociales</w:t>
      </w:r>
      <w:r w:rsidR="004030FA">
        <w:rPr>
          <w:lang w:val="es-AR" w:eastAsia="es-AR"/>
        </w:rPr>
        <w:t>, a la vez que se amplió la atención</w:t>
      </w:r>
      <w:r w:rsidR="008507A4" w:rsidRPr="00B14726">
        <w:rPr>
          <w:lang w:val="es-AR" w:eastAsia="es-AR"/>
        </w:rPr>
        <w:t xml:space="preserve"> </w:t>
      </w:r>
      <w:r w:rsidR="00C4329A" w:rsidRPr="00B14726">
        <w:rPr>
          <w:lang w:val="es-AR" w:eastAsia="es-AR"/>
        </w:rPr>
        <w:t>focalizada a “</w:t>
      </w:r>
      <w:r w:rsidR="00481A01" w:rsidRPr="00B14726">
        <w:rPr>
          <w:lang w:val="es-AR" w:eastAsia="es-AR"/>
        </w:rPr>
        <w:t>grupos vulnerables</w:t>
      </w:r>
      <w:r w:rsidR="00C4329A" w:rsidRPr="00B14726">
        <w:rPr>
          <w:lang w:val="es-AR" w:eastAsia="es-AR"/>
        </w:rPr>
        <w:t>”</w:t>
      </w:r>
      <w:r w:rsidR="00481A01" w:rsidRPr="00B14726">
        <w:rPr>
          <w:lang w:val="es-AR" w:eastAsia="es-AR"/>
        </w:rPr>
        <w:t xml:space="preserve"> </w:t>
      </w:r>
      <w:r w:rsidR="00C4329A" w:rsidRPr="00B14726">
        <w:rPr>
          <w:lang w:val="es-AR" w:eastAsia="es-AR"/>
        </w:rPr>
        <w:t>excluidos de la</w:t>
      </w:r>
      <w:r w:rsidR="00481A01" w:rsidRPr="00B14726">
        <w:rPr>
          <w:lang w:val="es-AR" w:eastAsia="es-AR"/>
        </w:rPr>
        <w:t xml:space="preserve"> seguridad social</w:t>
      </w:r>
      <w:r w:rsidR="008507A4" w:rsidRPr="00B14726">
        <w:rPr>
          <w:lang w:val="es-AR" w:eastAsia="es-AR"/>
        </w:rPr>
        <w:t xml:space="preserve">. </w:t>
      </w:r>
      <w:r w:rsidR="00520BBC">
        <w:rPr>
          <w:lang w:val="es-AR" w:eastAsia="es-AR"/>
        </w:rPr>
        <w:t>Es sabido que e</w:t>
      </w:r>
      <w:r w:rsidR="00B61B7B">
        <w:rPr>
          <w:lang w:val="es-AR" w:eastAsia="es-AR"/>
        </w:rPr>
        <w:t>stas</w:t>
      </w:r>
      <w:r w:rsidR="00B95D3C" w:rsidRPr="00B14726">
        <w:rPr>
          <w:lang w:val="es-AR" w:eastAsia="es-AR"/>
        </w:rPr>
        <w:t xml:space="preserve"> reformas incrementaron la inequidad en los servicios prestados en forma universal y profundizaron el carácter estratificado de aquellos servicios que ya presentaban esos rasgos </w:t>
      </w:r>
      <w:r w:rsidR="0012504D" w:rsidRPr="00B14726">
        <w:rPr>
          <w:lang w:val="es-AR" w:eastAsia="es-AR"/>
        </w:rPr>
        <w:t xml:space="preserve">(Lo </w:t>
      </w:r>
      <w:proofErr w:type="spellStart"/>
      <w:r w:rsidR="0012504D" w:rsidRPr="00B14726">
        <w:rPr>
          <w:lang w:val="es-AR" w:eastAsia="es-AR"/>
        </w:rPr>
        <w:t>Vuolo</w:t>
      </w:r>
      <w:proofErr w:type="spellEnd"/>
      <w:r w:rsidR="0012504D" w:rsidRPr="00B14726">
        <w:rPr>
          <w:lang w:val="es-AR" w:eastAsia="es-AR"/>
        </w:rPr>
        <w:t xml:space="preserve"> et al, 1999; </w:t>
      </w:r>
      <w:proofErr w:type="spellStart"/>
      <w:r w:rsidR="0012504D" w:rsidRPr="00B14726">
        <w:rPr>
          <w:lang w:val="es-AR" w:eastAsia="es-AR"/>
        </w:rPr>
        <w:t>Repetto</w:t>
      </w:r>
      <w:proofErr w:type="spellEnd"/>
      <w:r w:rsidR="0012504D" w:rsidRPr="00B14726">
        <w:rPr>
          <w:lang w:val="es-AR" w:eastAsia="es-AR"/>
        </w:rPr>
        <w:t xml:space="preserve">, 2002; Grassi, 2003; </w:t>
      </w:r>
      <w:r w:rsidR="000730F1" w:rsidRPr="00B14726">
        <w:rPr>
          <w:lang w:val="es-AR" w:eastAsia="es-AR"/>
        </w:rPr>
        <w:t xml:space="preserve">Danani, 2003; </w:t>
      </w:r>
      <w:proofErr w:type="spellStart"/>
      <w:r w:rsidR="000730F1" w:rsidRPr="00B14726">
        <w:rPr>
          <w:lang w:val="es-AR" w:eastAsia="es-AR"/>
        </w:rPr>
        <w:t>Repetto</w:t>
      </w:r>
      <w:proofErr w:type="spellEnd"/>
      <w:r w:rsidR="000730F1" w:rsidRPr="00B14726">
        <w:rPr>
          <w:lang w:val="es-AR" w:eastAsia="es-AR"/>
        </w:rPr>
        <w:t xml:space="preserve"> y Andrenacci, 2005; </w:t>
      </w:r>
      <w:r w:rsidR="009B0441" w:rsidRPr="00B14726">
        <w:t xml:space="preserve">Falappa y Andrenacci, 2008; </w:t>
      </w:r>
      <w:r w:rsidR="00104887" w:rsidRPr="00B14726">
        <w:rPr>
          <w:lang w:val="es-AR" w:eastAsia="es-AR"/>
        </w:rPr>
        <w:t xml:space="preserve">Danani y </w:t>
      </w:r>
      <w:r w:rsidR="00FA6736" w:rsidRPr="00B14726">
        <w:rPr>
          <w:lang w:val="es-AR" w:eastAsia="es-AR"/>
        </w:rPr>
        <w:t>Grassi</w:t>
      </w:r>
      <w:r w:rsidR="00104887" w:rsidRPr="00B14726">
        <w:rPr>
          <w:lang w:val="es-AR" w:eastAsia="es-AR"/>
        </w:rPr>
        <w:t>, 20</w:t>
      </w:r>
      <w:r w:rsidR="00FA6736" w:rsidRPr="00B14726">
        <w:rPr>
          <w:lang w:val="es-AR" w:eastAsia="es-AR"/>
        </w:rPr>
        <w:t>08</w:t>
      </w:r>
      <w:r w:rsidR="00104887" w:rsidRPr="00B14726">
        <w:rPr>
          <w:lang w:val="es-AR" w:eastAsia="es-AR"/>
        </w:rPr>
        <w:t>)</w:t>
      </w:r>
      <w:r w:rsidR="00B95D3C" w:rsidRPr="00B14726">
        <w:rPr>
          <w:lang w:val="es-AR" w:eastAsia="es-AR"/>
        </w:rPr>
        <w:t>.</w:t>
      </w:r>
    </w:p>
    <w:p w:rsidR="004F5D81" w:rsidRPr="00B14726" w:rsidRDefault="00520BBC" w:rsidP="00741CA0">
      <w:pPr>
        <w:autoSpaceDE w:val="0"/>
        <w:autoSpaceDN w:val="0"/>
        <w:adjustRightInd w:val="0"/>
        <w:spacing w:after="120"/>
        <w:jc w:val="both"/>
        <w:rPr>
          <w:lang w:val="es-AR" w:eastAsia="es-AR"/>
        </w:rPr>
      </w:pPr>
      <w:r>
        <w:rPr>
          <w:lang w:val="es-AR" w:eastAsia="es-AR"/>
        </w:rPr>
        <w:t xml:space="preserve">Tal como se </w:t>
      </w:r>
      <w:r w:rsidR="006A4659">
        <w:rPr>
          <w:lang w:val="es-AR" w:eastAsia="es-AR"/>
        </w:rPr>
        <w:t>mencionó</w:t>
      </w:r>
      <w:r>
        <w:rPr>
          <w:lang w:val="es-AR" w:eastAsia="es-AR"/>
        </w:rPr>
        <w:t>, l</w:t>
      </w:r>
      <w:r w:rsidR="00B61B7B">
        <w:rPr>
          <w:lang w:val="es-AR" w:eastAsia="es-AR"/>
        </w:rPr>
        <w:t>a</w:t>
      </w:r>
      <w:r w:rsidR="00194718" w:rsidRPr="00B14726">
        <w:rPr>
          <w:lang w:val="es-AR" w:eastAsia="es-AR"/>
        </w:rPr>
        <w:t xml:space="preserve"> </w:t>
      </w:r>
      <w:r w:rsidR="00741CA0" w:rsidRPr="00B14726">
        <w:rPr>
          <w:lang w:val="es-AR" w:eastAsia="es-AR"/>
        </w:rPr>
        <w:t xml:space="preserve">crisis </w:t>
      </w:r>
      <w:r w:rsidR="00194718" w:rsidRPr="00B14726">
        <w:rPr>
          <w:lang w:val="es-AR" w:eastAsia="es-AR"/>
        </w:rPr>
        <w:t xml:space="preserve">2001-2002 </w:t>
      </w:r>
      <w:r w:rsidR="00741CA0" w:rsidRPr="00B14726">
        <w:rPr>
          <w:lang w:val="es-AR" w:eastAsia="es-AR"/>
        </w:rPr>
        <w:t xml:space="preserve">estuvo </w:t>
      </w:r>
      <w:r w:rsidR="00786E40" w:rsidRPr="00B14726">
        <w:rPr>
          <w:lang w:val="es-AR" w:eastAsia="es-AR"/>
        </w:rPr>
        <w:t>acompañada</w:t>
      </w:r>
      <w:r w:rsidR="00741CA0" w:rsidRPr="00B14726">
        <w:rPr>
          <w:lang w:val="es-AR" w:eastAsia="es-AR"/>
        </w:rPr>
        <w:t xml:space="preserve"> por el </w:t>
      </w:r>
      <w:r w:rsidR="004030FA">
        <w:rPr>
          <w:lang w:val="es-AR" w:eastAsia="es-AR"/>
        </w:rPr>
        <w:t>fu</w:t>
      </w:r>
      <w:r w:rsidR="000B106E">
        <w:rPr>
          <w:lang w:val="es-AR" w:eastAsia="es-AR"/>
        </w:rPr>
        <w:t>e</w:t>
      </w:r>
      <w:r w:rsidR="004030FA">
        <w:rPr>
          <w:lang w:val="es-AR" w:eastAsia="es-AR"/>
        </w:rPr>
        <w:t>rte</w:t>
      </w:r>
      <w:r w:rsidR="00741CA0" w:rsidRPr="00B14726">
        <w:rPr>
          <w:lang w:val="es-AR" w:eastAsia="es-AR"/>
        </w:rPr>
        <w:t xml:space="preserve"> aumento de</w:t>
      </w:r>
      <w:r w:rsidR="00194718" w:rsidRPr="00B14726">
        <w:rPr>
          <w:lang w:val="es-AR" w:eastAsia="es-AR"/>
        </w:rPr>
        <w:t>l desempleo,</w:t>
      </w:r>
      <w:r w:rsidR="00741CA0" w:rsidRPr="00B14726">
        <w:rPr>
          <w:lang w:val="es-AR" w:eastAsia="es-AR"/>
        </w:rPr>
        <w:t xml:space="preserve"> la pobreza y la desigualdad</w:t>
      </w:r>
      <w:r w:rsidR="002F7268" w:rsidRPr="00B14726">
        <w:rPr>
          <w:vertAlign w:val="superscript"/>
        </w:rPr>
        <w:footnoteReference w:id="24"/>
      </w:r>
      <w:r w:rsidR="00E86346" w:rsidRPr="00B14726">
        <w:rPr>
          <w:lang w:val="es-AR" w:eastAsia="es-AR"/>
        </w:rPr>
        <w:t xml:space="preserve">, </w:t>
      </w:r>
      <w:r w:rsidR="000A0663" w:rsidRPr="00B14726">
        <w:rPr>
          <w:lang w:val="es-AR" w:eastAsia="es-AR"/>
        </w:rPr>
        <w:t>haciéndose evidente</w:t>
      </w:r>
      <w:r w:rsidR="007543AC" w:rsidRPr="00B14726">
        <w:rPr>
          <w:lang w:val="es-AR" w:eastAsia="es-AR"/>
        </w:rPr>
        <w:t xml:space="preserve"> la fragilidad del sistema de protección </w:t>
      </w:r>
      <w:r w:rsidR="000A0663" w:rsidRPr="00B14726">
        <w:rPr>
          <w:lang w:val="es-AR" w:eastAsia="es-AR"/>
        </w:rPr>
        <w:t xml:space="preserve">y asistencia </w:t>
      </w:r>
      <w:r w:rsidR="007543AC" w:rsidRPr="00B14726">
        <w:rPr>
          <w:lang w:val="es-AR" w:eastAsia="es-AR"/>
        </w:rPr>
        <w:t>social generado por las reformas estructurales.</w:t>
      </w:r>
      <w:r w:rsidR="00BE3E72">
        <w:rPr>
          <w:lang w:val="es-AR" w:eastAsia="es-AR"/>
        </w:rPr>
        <w:t xml:space="preserve"> A </w:t>
      </w:r>
      <w:r w:rsidR="004F5D81" w:rsidRPr="00B14726">
        <w:rPr>
          <w:lang w:val="es-AR" w:eastAsia="es-AR"/>
        </w:rPr>
        <w:t xml:space="preserve">partir de ese momento, bajo un modelo </w:t>
      </w:r>
      <w:r w:rsidR="004030FA">
        <w:rPr>
          <w:lang w:val="es-AR" w:eastAsia="es-AR"/>
        </w:rPr>
        <w:t xml:space="preserve">con mayor regulación estatal, abiertamente </w:t>
      </w:r>
      <w:r>
        <w:rPr>
          <w:lang w:val="es-AR" w:eastAsia="es-AR"/>
        </w:rPr>
        <w:t>enfrentado</w:t>
      </w:r>
      <w:r w:rsidR="004F5D81" w:rsidRPr="00B14726">
        <w:rPr>
          <w:lang w:val="es-AR" w:eastAsia="es-AR"/>
        </w:rPr>
        <w:t xml:space="preserve"> a</w:t>
      </w:r>
      <w:r w:rsidR="00E86346" w:rsidRPr="00B14726">
        <w:rPr>
          <w:lang w:val="es-AR" w:eastAsia="es-AR"/>
        </w:rPr>
        <w:t xml:space="preserve">l </w:t>
      </w:r>
      <w:r w:rsidR="00C71267" w:rsidRPr="00B14726">
        <w:rPr>
          <w:lang w:val="es-AR" w:eastAsia="es-AR"/>
        </w:rPr>
        <w:t>esquema</w:t>
      </w:r>
      <w:r w:rsidR="004F5D81" w:rsidRPr="00B14726">
        <w:rPr>
          <w:lang w:val="es-AR" w:eastAsia="es-AR"/>
        </w:rPr>
        <w:t xml:space="preserve"> neoliberal, </w:t>
      </w:r>
      <w:r w:rsidR="004030FA">
        <w:rPr>
          <w:lang w:val="es-AR" w:eastAsia="es-AR"/>
        </w:rPr>
        <w:t>se inició</w:t>
      </w:r>
      <w:r w:rsidR="004F5D81" w:rsidRPr="00B14726">
        <w:rPr>
          <w:lang w:val="es-AR" w:eastAsia="es-AR"/>
        </w:rPr>
        <w:t xml:space="preserve"> un proceso de </w:t>
      </w:r>
      <w:r w:rsidR="00C71267" w:rsidRPr="00B14726">
        <w:rPr>
          <w:lang w:val="es-AR" w:eastAsia="es-AR"/>
        </w:rPr>
        <w:t>reactivación</w:t>
      </w:r>
      <w:r w:rsidR="004F5D81" w:rsidRPr="00B14726">
        <w:rPr>
          <w:lang w:val="es-AR" w:eastAsia="es-AR"/>
        </w:rPr>
        <w:t xml:space="preserve"> </w:t>
      </w:r>
      <w:r w:rsidR="004030FA">
        <w:rPr>
          <w:lang w:val="es-AR" w:eastAsia="es-AR"/>
        </w:rPr>
        <w:t xml:space="preserve">económica </w:t>
      </w:r>
      <w:r w:rsidR="004F5D81" w:rsidRPr="00B14726">
        <w:rPr>
          <w:lang w:val="es-AR" w:eastAsia="es-AR"/>
        </w:rPr>
        <w:t xml:space="preserve">con </w:t>
      </w:r>
      <w:r w:rsidR="00C71267" w:rsidRPr="00B14726">
        <w:rPr>
          <w:lang w:val="es-AR" w:eastAsia="es-AR"/>
        </w:rPr>
        <w:t>fuerte</w:t>
      </w:r>
      <w:r w:rsidR="004F5D81" w:rsidRPr="00B14726">
        <w:rPr>
          <w:lang w:val="es-AR" w:eastAsia="es-AR"/>
        </w:rPr>
        <w:t xml:space="preserve"> demanda de</w:t>
      </w:r>
      <w:r w:rsidR="00C71267" w:rsidRPr="00B14726">
        <w:rPr>
          <w:lang w:val="es-AR" w:eastAsia="es-AR"/>
        </w:rPr>
        <w:t>l</w:t>
      </w:r>
      <w:r w:rsidR="004F5D81" w:rsidRPr="00B14726">
        <w:rPr>
          <w:lang w:val="es-AR" w:eastAsia="es-AR"/>
        </w:rPr>
        <w:t xml:space="preserve"> empleo</w:t>
      </w:r>
      <w:r w:rsidR="00C71267" w:rsidRPr="00B14726">
        <w:rPr>
          <w:lang w:val="es-AR" w:eastAsia="es-AR"/>
        </w:rPr>
        <w:t xml:space="preserve"> y promoción de actividades vinculadas al mercado interno</w:t>
      </w:r>
      <w:r w:rsidR="004030FA">
        <w:rPr>
          <w:lang w:val="es-AR" w:eastAsia="es-AR"/>
        </w:rPr>
        <w:t>.</w:t>
      </w:r>
      <w:r w:rsidR="006A4659">
        <w:rPr>
          <w:lang w:val="es-AR" w:eastAsia="es-AR"/>
        </w:rPr>
        <w:t xml:space="preserve"> </w:t>
      </w:r>
      <w:r w:rsidR="00C71267" w:rsidRPr="00B14726">
        <w:rPr>
          <w:lang w:val="es-AR" w:eastAsia="es-AR"/>
        </w:rPr>
        <w:t>En ese marco, entre 2003 y 2012, se aplicaron</w:t>
      </w:r>
      <w:r w:rsidR="000A0663" w:rsidRPr="00B14726">
        <w:rPr>
          <w:lang w:val="es-AR" w:eastAsia="es-AR"/>
        </w:rPr>
        <w:t xml:space="preserve"> una serie de</w:t>
      </w:r>
      <w:r w:rsidR="004F5D81" w:rsidRPr="00B14726">
        <w:rPr>
          <w:lang w:val="es-AR" w:eastAsia="es-AR"/>
        </w:rPr>
        <w:t xml:space="preserve"> </w:t>
      </w:r>
      <w:r w:rsidR="00C71267" w:rsidRPr="00B14726">
        <w:rPr>
          <w:lang w:val="es-AR" w:eastAsia="es-AR"/>
        </w:rPr>
        <w:t>“</w:t>
      </w:r>
      <w:r w:rsidR="000A0663" w:rsidRPr="00B14726">
        <w:rPr>
          <w:lang w:val="es-AR" w:eastAsia="es-AR"/>
        </w:rPr>
        <w:t>contra reformas</w:t>
      </w:r>
      <w:r w:rsidR="00C71267" w:rsidRPr="00B14726">
        <w:rPr>
          <w:lang w:val="es-AR" w:eastAsia="es-AR"/>
        </w:rPr>
        <w:t>”</w:t>
      </w:r>
      <w:r w:rsidR="000A0663" w:rsidRPr="00B14726">
        <w:rPr>
          <w:lang w:val="es-AR" w:eastAsia="es-AR"/>
        </w:rPr>
        <w:t xml:space="preserve"> en materia</w:t>
      </w:r>
      <w:r w:rsidR="00C4329A" w:rsidRPr="00B14726">
        <w:rPr>
          <w:lang w:val="es-AR" w:eastAsia="es-AR"/>
        </w:rPr>
        <w:t xml:space="preserve"> financiera,</w:t>
      </w:r>
      <w:r w:rsidR="000A0663" w:rsidRPr="00B14726">
        <w:rPr>
          <w:lang w:val="es-AR" w:eastAsia="es-AR"/>
        </w:rPr>
        <w:t xml:space="preserve"> laboral, regulaciones </w:t>
      </w:r>
      <w:r w:rsidR="00C4329A" w:rsidRPr="00B14726">
        <w:rPr>
          <w:lang w:val="es-AR" w:eastAsia="es-AR"/>
        </w:rPr>
        <w:t>comerciales</w:t>
      </w:r>
      <w:r w:rsidR="000A0663" w:rsidRPr="00B14726">
        <w:rPr>
          <w:lang w:val="es-AR" w:eastAsia="es-AR"/>
        </w:rPr>
        <w:t xml:space="preserve">, </w:t>
      </w:r>
      <w:r w:rsidR="00CC16FB" w:rsidRPr="00B14726">
        <w:rPr>
          <w:lang w:val="es-AR" w:eastAsia="es-AR"/>
        </w:rPr>
        <w:t>regímenes</w:t>
      </w:r>
      <w:r w:rsidR="00C71267" w:rsidRPr="00B14726">
        <w:rPr>
          <w:lang w:val="es-AR" w:eastAsia="es-AR"/>
        </w:rPr>
        <w:t xml:space="preserve"> de subsidios, </w:t>
      </w:r>
      <w:r w:rsidR="001C270B" w:rsidRPr="00B14726">
        <w:rPr>
          <w:lang w:val="es-AR" w:eastAsia="es-AR"/>
        </w:rPr>
        <w:t xml:space="preserve">política de ingresos, </w:t>
      </w:r>
      <w:r w:rsidR="00CC16FB" w:rsidRPr="00B14726">
        <w:rPr>
          <w:lang w:val="es-AR" w:eastAsia="es-AR"/>
        </w:rPr>
        <w:t>sistemas</w:t>
      </w:r>
      <w:r w:rsidR="00C71267" w:rsidRPr="00B14726">
        <w:rPr>
          <w:lang w:val="es-AR" w:eastAsia="es-AR"/>
        </w:rPr>
        <w:t xml:space="preserve"> </w:t>
      </w:r>
      <w:r w:rsidR="000A0663" w:rsidRPr="00B14726">
        <w:rPr>
          <w:lang w:val="es-AR" w:eastAsia="es-AR"/>
        </w:rPr>
        <w:t xml:space="preserve">de </w:t>
      </w:r>
      <w:r w:rsidR="00C71267" w:rsidRPr="00B14726">
        <w:rPr>
          <w:lang w:val="es-AR" w:eastAsia="es-AR"/>
        </w:rPr>
        <w:t>la seguridad social</w:t>
      </w:r>
      <w:r w:rsidR="00194718" w:rsidRPr="00B14726">
        <w:rPr>
          <w:lang w:val="es-AR" w:eastAsia="es-AR"/>
        </w:rPr>
        <w:t xml:space="preserve"> (</w:t>
      </w:r>
      <w:proofErr w:type="spellStart"/>
      <w:r w:rsidR="00A64CDE" w:rsidRPr="00B14726">
        <w:t>Bertranou</w:t>
      </w:r>
      <w:proofErr w:type="spellEnd"/>
      <w:r w:rsidR="00A64CDE" w:rsidRPr="00B14726">
        <w:t xml:space="preserve"> y Paz, 2007; </w:t>
      </w:r>
      <w:r w:rsidR="00FA6736" w:rsidRPr="00B14726">
        <w:rPr>
          <w:rFonts w:eastAsia="Calibri"/>
        </w:rPr>
        <w:t xml:space="preserve">Danani y Grassi, 2008; </w:t>
      </w:r>
      <w:r w:rsidR="00FA40BF" w:rsidRPr="00B14726">
        <w:rPr>
          <w:lang w:val="es-AR" w:eastAsia="es-AR"/>
        </w:rPr>
        <w:t xml:space="preserve">Danani y </w:t>
      </w:r>
      <w:proofErr w:type="spellStart"/>
      <w:r w:rsidR="00FA40BF" w:rsidRPr="00B14726">
        <w:rPr>
          <w:lang w:val="es-AR" w:eastAsia="es-AR"/>
        </w:rPr>
        <w:t>Hintze</w:t>
      </w:r>
      <w:proofErr w:type="spellEnd"/>
      <w:r w:rsidR="00FA40BF" w:rsidRPr="00B14726">
        <w:rPr>
          <w:lang w:val="es-AR" w:eastAsia="es-AR"/>
        </w:rPr>
        <w:t>, 2011</w:t>
      </w:r>
      <w:r w:rsidR="00194718" w:rsidRPr="00B14726">
        <w:rPr>
          <w:rFonts w:eastAsia="Calibri"/>
        </w:rPr>
        <w:t>)</w:t>
      </w:r>
      <w:r w:rsidR="00C71267" w:rsidRPr="00B14726">
        <w:rPr>
          <w:lang w:val="es-AR" w:eastAsia="es-AR"/>
        </w:rPr>
        <w:t xml:space="preserve">. </w:t>
      </w:r>
      <w:r w:rsidR="000A0663" w:rsidRPr="00B14726">
        <w:rPr>
          <w:lang w:val="es-AR" w:eastAsia="es-AR"/>
        </w:rPr>
        <w:t xml:space="preserve">Estas medidas </w:t>
      </w:r>
      <w:r w:rsidR="00C4329A" w:rsidRPr="00B14726">
        <w:rPr>
          <w:lang w:val="es-AR" w:eastAsia="es-AR"/>
        </w:rPr>
        <w:t xml:space="preserve">estuvieron </w:t>
      </w:r>
      <w:r w:rsidR="004F5D81" w:rsidRPr="00B14726">
        <w:rPr>
          <w:lang w:val="es-AR" w:eastAsia="es-AR"/>
        </w:rPr>
        <w:t xml:space="preserve">acompañadas </w:t>
      </w:r>
      <w:r w:rsidR="00416D59">
        <w:rPr>
          <w:lang w:val="es-AR" w:eastAsia="es-AR"/>
        </w:rPr>
        <w:t xml:space="preserve">–tal como se examinará más adelante- </w:t>
      </w:r>
      <w:r w:rsidR="004F5D81" w:rsidRPr="00B14726">
        <w:rPr>
          <w:lang w:val="es-AR" w:eastAsia="es-AR"/>
        </w:rPr>
        <w:t xml:space="preserve">por un </w:t>
      </w:r>
      <w:r w:rsidR="00C4329A" w:rsidRPr="00B14726">
        <w:rPr>
          <w:lang w:val="es-AR" w:eastAsia="es-AR"/>
        </w:rPr>
        <w:t xml:space="preserve">fuerte </w:t>
      </w:r>
      <w:r w:rsidR="004F5D81" w:rsidRPr="00B14726">
        <w:rPr>
          <w:lang w:val="es-AR" w:eastAsia="es-AR"/>
        </w:rPr>
        <w:t xml:space="preserve">aumento de </w:t>
      </w:r>
      <w:r w:rsidR="001C270B" w:rsidRPr="00B14726">
        <w:rPr>
          <w:lang w:val="es-AR" w:eastAsia="es-AR"/>
        </w:rPr>
        <w:t>los gastos</w:t>
      </w:r>
      <w:r w:rsidR="004F5D81" w:rsidRPr="00B14726">
        <w:rPr>
          <w:lang w:val="es-AR" w:eastAsia="es-AR"/>
        </w:rPr>
        <w:t xml:space="preserve"> en infraestructura</w:t>
      </w:r>
      <w:r w:rsidR="00C4329A" w:rsidRPr="00B14726">
        <w:rPr>
          <w:lang w:val="es-AR" w:eastAsia="es-AR"/>
        </w:rPr>
        <w:t xml:space="preserve"> social</w:t>
      </w:r>
      <w:r w:rsidR="00C71267" w:rsidRPr="00B14726">
        <w:rPr>
          <w:lang w:val="es-AR" w:eastAsia="es-AR"/>
        </w:rPr>
        <w:t xml:space="preserve"> </w:t>
      </w:r>
      <w:r w:rsidR="004F5D81" w:rsidRPr="00B14726">
        <w:rPr>
          <w:lang w:val="es-AR" w:eastAsia="es-AR"/>
        </w:rPr>
        <w:t xml:space="preserve">y </w:t>
      </w:r>
      <w:r w:rsidR="00E86346" w:rsidRPr="00B14726">
        <w:rPr>
          <w:lang w:val="es-AR" w:eastAsia="es-AR"/>
        </w:rPr>
        <w:t xml:space="preserve">servicios </w:t>
      </w:r>
      <w:r w:rsidR="00C4329A" w:rsidRPr="00B14726">
        <w:rPr>
          <w:lang w:val="es-AR" w:eastAsia="es-AR"/>
        </w:rPr>
        <w:t xml:space="preserve">públicos </w:t>
      </w:r>
      <w:r w:rsidR="00E86346" w:rsidRPr="00B14726">
        <w:rPr>
          <w:lang w:val="es-AR" w:eastAsia="es-AR"/>
        </w:rPr>
        <w:t>de</w:t>
      </w:r>
      <w:r w:rsidR="004F5D81" w:rsidRPr="00B14726">
        <w:rPr>
          <w:lang w:val="es-AR" w:eastAsia="es-AR"/>
        </w:rPr>
        <w:t xml:space="preserve"> educación y salud</w:t>
      </w:r>
      <w:r w:rsidR="001C270B" w:rsidRPr="00B14726">
        <w:rPr>
          <w:lang w:val="es-AR" w:eastAsia="es-AR"/>
        </w:rPr>
        <w:t>, así como también en materia de previsión social (jubilaciones y pensiones)</w:t>
      </w:r>
      <w:r w:rsidR="00B3464A">
        <w:rPr>
          <w:lang w:val="es-AR" w:eastAsia="es-AR"/>
        </w:rPr>
        <w:t xml:space="preserve"> y, según la coyuntura, </w:t>
      </w:r>
      <w:r w:rsidR="004F5D81" w:rsidRPr="00B14726">
        <w:rPr>
          <w:lang w:val="es-AR" w:eastAsia="es-AR"/>
        </w:rPr>
        <w:t xml:space="preserve">los programas de </w:t>
      </w:r>
      <w:r w:rsidR="004B3633" w:rsidRPr="00B14726">
        <w:rPr>
          <w:lang w:val="es-AR" w:eastAsia="es-AR"/>
        </w:rPr>
        <w:t>pro</w:t>
      </w:r>
      <w:r w:rsidR="007A4B96">
        <w:rPr>
          <w:lang w:val="es-AR" w:eastAsia="es-AR"/>
        </w:rPr>
        <w:t>moción</w:t>
      </w:r>
      <w:r w:rsidR="00C7296E" w:rsidRPr="00B14726">
        <w:rPr>
          <w:lang w:val="es-AR" w:eastAsia="es-AR"/>
        </w:rPr>
        <w:t xml:space="preserve"> y </w:t>
      </w:r>
      <w:r w:rsidR="004F5D81" w:rsidRPr="00B14726">
        <w:rPr>
          <w:lang w:val="es-AR" w:eastAsia="es-AR"/>
        </w:rPr>
        <w:t xml:space="preserve">asistencia directa de ingresos.  </w:t>
      </w:r>
    </w:p>
    <w:p w:rsidR="00416D59" w:rsidRDefault="00D25A02" w:rsidP="00CC1F81">
      <w:pPr>
        <w:autoSpaceDE w:val="0"/>
        <w:autoSpaceDN w:val="0"/>
        <w:adjustRightInd w:val="0"/>
        <w:spacing w:after="120"/>
        <w:jc w:val="both"/>
        <w:rPr>
          <w:bCs/>
          <w:lang w:val="es-AR"/>
        </w:rPr>
      </w:pPr>
      <w:r w:rsidRPr="00B14726">
        <w:rPr>
          <w:bCs/>
          <w:lang w:val="es-AR"/>
        </w:rPr>
        <w:t xml:space="preserve">A partir de estas evidencias </w:t>
      </w:r>
      <w:r w:rsidR="003E2717" w:rsidRPr="00B14726">
        <w:rPr>
          <w:bCs/>
          <w:lang w:val="es-AR"/>
        </w:rPr>
        <w:t xml:space="preserve">se afirma </w:t>
      </w:r>
      <w:r w:rsidRPr="00B14726">
        <w:rPr>
          <w:bCs/>
          <w:lang w:val="es-AR"/>
        </w:rPr>
        <w:t xml:space="preserve">que la política social </w:t>
      </w:r>
      <w:r w:rsidR="00196D00" w:rsidRPr="00B14726">
        <w:rPr>
          <w:bCs/>
          <w:lang w:val="es-AR"/>
        </w:rPr>
        <w:t xml:space="preserve">ha pasado a tener </w:t>
      </w:r>
      <w:r w:rsidRPr="00B14726">
        <w:rPr>
          <w:bCs/>
          <w:lang w:val="es-AR"/>
        </w:rPr>
        <w:t>–</w:t>
      </w:r>
      <w:r w:rsidR="007A4B96">
        <w:rPr>
          <w:bCs/>
          <w:lang w:val="es-AR"/>
        </w:rPr>
        <w:t xml:space="preserve">en la </w:t>
      </w:r>
      <w:r w:rsidR="00212AD4">
        <w:rPr>
          <w:bCs/>
          <w:lang w:val="es-AR"/>
        </w:rPr>
        <w:t>actual</w:t>
      </w:r>
      <w:r w:rsidR="007A4B96">
        <w:rPr>
          <w:bCs/>
          <w:lang w:val="es-AR"/>
        </w:rPr>
        <w:t xml:space="preserve"> etapa </w:t>
      </w:r>
      <w:r w:rsidR="00212AD4">
        <w:rPr>
          <w:bCs/>
          <w:lang w:val="es-AR"/>
        </w:rPr>
        <w:t>de políticas heterodoxas</w:t>
      </w:r>
      <w:r w:rsidR="007A4B96">
        <w:rPr>
          <w:bCs/>
          <w:lang w:val="es-AR"/>
        </w:rPr>
        <w:t xml:space="preserve"> y </w:t>
      </w:r>
      <w:r w:rsidRPr="00B14726">
        <w:rPr>
          <w:bCs/>
          <w:lang w:val="es-AR"/>
        </w:rPr>
        <w:t xml:space="preserve">a diferencia del período neoliberal- </w:t>
      </w:r>
      <w:r w:rsidR="00E14693" w:rsidRPr="00B14726">
        <w:rPr>
          <w:bCs/>
          <w:lang w:val="es-AR"/>
        </w:rPr>
        <w:t xml:space="preserve">un papel </w:t>
      </w:r>
      <w:r w:rsidR="006B78FD" w:rsidRPr="00B14726">
        <w:rPr>
          <w:bCs/>
          <w:lang w:val="es-AR"/>
        </w:rPr>
        <w:t xml:space="preserve">activo </w:t>
      </w:r>
      <w:r w:rsidR="00E14693" w:rsidRPr="00B14726">
        <w:rPr>
          <w:bCs/>
          <w:lang w:val="es-AR"/>
        </w:rPr>
        <w:t xml:space="preserve">en </w:t>
      </w:r>
      <w:r w:rsidR="001925C4" w:rsidRPr="00B14726">
        <w:rPr>
          <w:bCs/>
          <w:lang w:val="es-AR"/>
        </w:rPr>
        <w:t xml:space="preserve">la </w:t>
      </w:r>
      <w:r w:rsidR="00196D00" w:rsidRPr="00B14726">
        <w:rPr>
          <w:bCs/>
          <w:lang w:val="es-AR"/>
        </w:rPr>
        <w:t>transferencia</w:t>
      </w:r>
      <w:r w:rsidR="001925C4" w:rsidRPr="00B14726">
        <w:rPr>
          <w:bCs/>
          <w:lang w:val="es-AR"/>
        </w:rPr>
        <w:t xml:space="preserve"> de</w:t>
      </w:r>
      <w:r w:rsidR="00E14693" w:rsidRPr="00B14726">
        <w:rPr>
          <w:bCs/>
          <w:lang w:val="es-AR"/>
        </w:rPr>
        <w:t xml:space="preserve"> </w:t>
      </w:r>
      <w:r w:rsidR="00196D00" w:rsidRPr="00B14726">
        <w:rPr>
          <w:bCs/>
          <w:lang w:val="es-AR"/>
        </w:rPr>
        <w:t xml:space="preserve">recursos </w:t>
      </w:r>
      <w:r w:rsidR="003E2717" w:rsidRPr="00B14726">
        <w:rPr>
          <w:bCs/>
          <w:lang w:val="es-AR"/>
        </w:rPr>
        <w:t>económicos</w:t>
      </w:r>
      <w:r w:rsidR="00E14693" w:rsidRPr="00B14726">
        <w:rPr>
          <w:bCs/>
          <w:lang w:val="es-AR"/>
        </w:rPr>
        <w:t xml:space="preserve"> </w:t>
      </w:r>
      <w:r w:rsidR="003E2717" w:rsidRPr="00B14726">
        <w:rPr>
          <w:bCs/>
          <w:lang w:val="es-AR"/>
        </w:rPr>
        <w:t>a favor de</w:t>
      </w:r>
      <w:r w:rsidR="00196D00" w:rsidRPr="00B14726">
        <w:rPr>
          <w:bCs/>
          <w:lang w:val="es-AR"/>
        </w:rPr>
        <w:t xml:space="preserve"> los sectores </w:t>
      </w:r>
      <w:r w:rsidR="006B78FD" w:rsidRPr="00B14726">
        <w:rPr>
          <w:bCs/>
          <w:lang w:val="es-AR"/>
        </w:rPr>
        <w:t>medios</w:t>
      </w:r>
      <w:r w:rsidR="00A510E6">
        <w:rPr>
          <w:bCs/>
          <w:lang w:val="es-AR"/>
        </w:rPr>
        <w:t>, pobres e indigentes</w:t>
      </w:r>
      <w:r w:rsidR="00CD2B99">
        <w:rPr>
          <w:bCs/>
          <w:lang w:val="es-AR"/>
        </w:rPr>
        <w:t>,</w:t>
      </w:r>
      <w:r w:rsidR="003E2717" w:rsidRPr="00B14726">
        <w:rPr>
          <w:bCs/>
          <w:lang w:val="es-AR"/>
        </w:rPr>
        <w:t xml:space="preserve"> </w:t>
      </w:r>
      <w:r w:rsidR="00416D59">
        <w:rPr>
          <w:bCs/>
          <w:lang w:val="es-AR"/>
        </w:rPr>
        <w:t>siendo esto lo que explicaría</w:t>
      </w:r>
      <w:r w:rsidRPr="00B14726">
        <w:rPr>
          <w:bCs/>
          <w:lang w:val="es-AR"/>
        </w:rPr>
        <w:t xml:space="preserve"> la reducción </w:t>
      </w:r>
      <w:r w:rsidR="003E2717" w:rsidRPr="00B14726">
        <w:rPr>
          <w:bCs/>
          <w:lang w:val="es-AR"/>
        </w:rPr>
        <w:t>en l</w:t>
      </w:r>
      <w:r w:rsidRPr="00B14726">
        <w:rPr>
          <w:bCs/>
          <w:lang w:val="es-AR"/>
        </w:rPr>
        <w:t>as tasas</w:t>
      </w:r>
      <w:r w:rsidR="003E2717" w:rsidRPr="00B14726">
        <w:rPr>
          <w:bCs/>
          <w:lang w:val="es-AR"/>
        </w:rPr>
        <w:t xml:space="preserve"> de </w:t>
      </w:r>
      <w:r w:rsidRPr="00B14726">
        <w:rPr>
          <w:bCs/>
          <w:lang w:val="es-AR"/>
        </w:rPr>
        <w:t>in</w:t>
      </w:r>
      <w:r w:rsidR="003E2717" w:rsidRPr="00B14726">
        <w:rPr>
          <w:bCs/>
          <w:lang w:val="es-AR"/>
        </w:rPr>
        <w:t>digencia</w:t>
      </w:r>
      <w:r w:rsidRPr="00B14726">
        <w:rPr>
          <w:bCs/>
          <w:lang w:val="es-AR"/>
        </w:rPr>
        <w:t>/</w:t>
      </w:r>
      <w:r w:rsidR="003E2717" w:rsidRPr="00B14726">
        <w:rPr>
          <w:bCs/>
          <w:lang w:val="es-AR"/>
        </w:rPr>
        <w:t xml:space="preserve">pobreza, así como </w:t>
      </w:r>
      <w:r w:rsidR="006B78FD" w:rsidRPr="00B14726">
        <w:rPr>
          <w:bCs/>
          <w:lang w:val="es-AR"/>
        </w:rPr>
        <w:t>la mejora en</w:t>
      </w:r>
      <w:r w:rsidR="003E2717" w:rsidRPr="00B14726">
        <w:rPr>
          <w:bCs/>
          <w:lang w:val="es-AR"/>
        </w:rPr>
        <w:t xml:space="preserve"> </w:t>
      </w:r>
      <w:r w:rsidR="00E14693" w:rsidRPr="00B14726">
        <w:rPr>
          <w:bCs/>
          <w:lang w:val="es-AR"/>
        </w:rPr>
        <w:t xml:space="preserve">la distribución </w:t>
      </w:r>
      <w:r w:rsidR="00196D00" w:rsidRPr="00B14726">
        <w:rPr>
          <w:bCs/>
          <w:lang w:val="es-AR"/>
        </w:rPr>
        <w:t>del ingreso</w:t>
      </w:r>
      <w:r w:rsidR="00E14693" w:rsidRPr="00B14726">
        <w:rPr>
          <w:bCs/>
          <w:lang w:val="es-AR"/>
        </w:rPr>
        <w:t xml:space="preserve">. </w:t>
      </w:r>
      <w:r w:rsidR="00855945">
        <w:rPr>
          <w:bCs/>
          <w:lang w:val="es-AR"/>
        </w:rPr>
        <w:t>Son</w:t>
      </w:r>
      <w:r w:rsidR="00667F89" w:rsidRPr="00B14726">
        <w:rPr>
          <w:bCs/>
          <w:lang w:val="es-AR"/>
        </w:rPr>
        <w:t xml:space="preserve"> estas afirmaciones</w:t>
      </w:r>
      <w:r w:rsidRPr="00B14726">
        <w:rPr>
          <w:bCs/>
          <w:lang w:val="es-AR"/>
        </w:rPr>
        <w:t xml:space="preserve"> las que </w:t>
      </w:r>
      <w:r w:rsidR="003E2717" w:rsidRPr="00B14726">
        <w:rPr>
          <w:bCs/>
          <w:lang w:val="es-AR"/>
        </w:rPr>
        <w:t>serán objeto de análisis en los apartados</w:t>
      </w:r>
      <w:r w:rsidR="00AA431D" w:rsidRPr="00AA431D">
        <w:rPr>
          <w:bCs/>
          <w:lang w:val="es-AR"/>
        </w:rPr>
        <w:t xml:space="preserve"> </w:t>
      </w:r>
      <w:r w:rsidR="00AA431D">
        <w:rPr>
          <w:bCs/>
          <w:lang w:val="es-AR"/>
        </w:rPr>
        <w:t>que siguen</w:t>
      </w:r>
      <w:r w:rsidR="005B3C0D">
        <w:rPr>
          <w:bCs/>
          <w:lang w:val="es-AR"/>
        </w:rPr>
        <w:t xml:space="preserve">, interesando especialmente las </w:t>
      </w:r>
      <w:r w:rsidR="006B78FD" w:rsidRPr="00B14726">
        <w:rPr>
          <w:bCs/>
          <w:lang w:val="es-AR"/>
        </w:rPr>
        <w:t>condiciones económico-ocupacionales bajo las cuales operaron las políticas sociales durante las últimas décadas</w:t>
      </w:r>
      <w:r w:rsidR="003E2717" w:rsidRPr="00B14726">
        <w:rPr>
          <w:bCs/>
          <w:lang w:val="es-AR"/>
        </w:rPr>
        <w:t>.</w:t>
      </w:r>
      <w:r w:rsidR="00E93156">
        <w:rPr>
          <w:bCs/>
          <w:lang w:val="es-AR"/>
        </w:rPr>
        <w:t xml:space="preserve"> </w:t>
      </w:r>
    </w:p>
    <w:p w:rsidR="00CC1F81" w:rsidRPr="0059201C" w:rsidRDefault="00AB37E2" w:rsidP="00CC1F81">
      <w:pPr>
        <w:autoSpaceDE w:val="0"/>
        <w:autoSpaceDN w:val="0"/>
        <w:adjustRightInd w:val="0"/>
        <w:spacing w:after="120"/>
        <w:jc w:val="both"/>
        <w:rPr>
          <w:b/>
          <w:lang w:eastAsia="es-AR"/>
        </w:rPr>
      </w:pPr>
      <w:r w:rsidRPr="0059201C">
        <w:rPr>
          <w:b/>
          <w:lang w:eastAsia="es-AR"/>
        </w:rPr>
        <w:t>6</w:t>
      </w:r>
      <w:r w:rsidR="00CC1F81" w:rsidRPr="0059201C">
        <w:rPr>
          <w:lang w:eastAsia="es-AR"/>
        </w:rPr>
        <w:t xml:space="preserve">. </w:t>
      </w:r>
      <w:r w:rsidR="008C0E60" w:rsidRPr="0059201C">
        <w:rPr>
          <w:b/>
          <w:lang w:eastAsia="es-AR"/>
        </w:rPr>
        <w:t>Evolución del gasto social consolid</w:t>
      </w:r>
      <w:r w:rsidR="002A3CE6" w:rsidRPr="0059201C">
        <w:rPr>
          <w:b/>
          <w:lang w:eastAsia="es-AR"/>
        </w:rPr>
        <w:t>ad</w:t>
      </w:r>
      <w:r w:rsidR="008C0E60" w:rsidRPr="0059201C">
        <w:rPr>
          <w:b/>
          <w:lang w:eastAsia="es-AR"/>
        </w:rPr>
        <w:t>o. De las políticas sociales neoliberales a las políticas sociales “heterodoxas”</w:t>
      </w:r>
    </w:p>
    <w:p w:rsidR="00CC1F81" w:rsidRPr="00B14726" w:rsidRDefault="00CC1F81" w:rsidP="00CC1F81">
      <w:pPr>
        <w:spacing w:after="120"/>
        <w:jc w:val="both"/>
      </w:pPr>
      <w:r w:rsidRPr="00B14726">
        <w:t xml:space="preserve">En función </w:t>
      </w:r>
      <w:r w:rsidR="004572B4">
        <w:t xml:space="preserve">examinar el papel de las políticas sociales </w:t>
      </w:r>
      <w:r w:rsidR="00C45DDD">
        <w:t>parece relevante</w:t>
      </w:r>
      <w:r w:rsidRPr="00B14726">
        <w:t xml:space="preserve"> </w:t>
      </w:r>
      <w:r w:rsidR="007D1F93" w:rsidRPr="00B14726">
        <w:t>comparar</w:t>
      </w:r>
      <w:r w:rsidRPr="00B14726">
        <w:t xml:space="preserve"> </w:t>
      </w:r>
      <w:r w:rsidR="007D1F93" w:rsidRPr="00B14726">
        <w:t xml:space="preserve">las diferencias </w:t>
      </w:r>
      <w:r w:rsidR="00A64CDE" w:rsidRPr="00B14726">
        <w:t xml:space="preserve">en materia de </w:t>
      </w:r>
      <w:r w:rsidR="00782942" w:rsidRPr="00B14726">
        <w:t>re</w:t>
      </w:r>
      <w:r w:rsidR="004213AD">
        <w:t xml:space="preserve">distribución de ingresos </w:t>
      </w:r>
      <w:r w:rsidRPr="00B14726">
        <w:t xml:space="preserve">entre </w:t>
      </w:r>
      <w:r w:rsidR="00A64CDE" w:rsidRPr="00B14726">
        <w:t>el período</w:t>
      </w:r>
      <w:r w:rsidRPr="00B14726">
        <w:t xml:space="preserve"> </w:t>
      </w:r>
      <w:r w:rsidR="007D1F93" w:rsidRPr="00B14726">
        <w:t>de</w:t>
      </w:r>
      <w:r w:rsidRPr="00B14726">
        <w:t xml:space="preserve"> reformas </w:t>
      </w:r>
      <w:r w:rsidR="007D1F93" w:rsidRPr="00B14726">
        <w:t>neoliberales</w:t>
      </w:r>
      <w:r w:rsidR="00A64CDE" w:rsidRPr="00B14726">
        <w:t>, la llamada crisis terminal del modelo</w:t>
      </w:r>
      <w:r w:rsidRPr="00B14726">
        <w:t xml:space="preserve"> y el período </w:t>
      </w:r>
      <w:r w:rsidR="001925C4" w:rsidRPr="00B14726">
        <w:t>de políticas heterodoxas</w:t>
      </w:r>
      <w:r w:rsidRPr="00B14726">
        <w:t xml:space="preserve">. Para ello, </w:t>
      </w:r>
      <w:r w:rsidR="00A64CDE" w:rsidRPr="00B14726">
        <w:t xml:space="preserve">se </w:t>
      </w:r>
      <w:r w:rsidRPr="00B14726">
        <w:t>examina</w:t>
      </w:r>
      <w:r w:rsidR="007A4B96">
        <w:t xml:space="preserve"> </w:t>
      </w:r>
      <w:r w:rsidR="004572B4">
        <w:t xml:space="preserve">a continuación </w:t>
      </w:r>
      <w:r w:rsidR="007A4B96">
        <w:t>la evolución del gasto social y</w:t>
      </w:r>
      <w:r w:rsidRPr="00B14726">
        <w:t xml:space="preserve"> </w:t>
      </w:r>
      <w:r w:rsidR="007D1F93" w:rsidRPr="00B14726">
        <w:t>sus prioridades en cada etapa</w:t>
      </w:r>
      <w:r w:rsidRPr="00B14726">
        <w:t xml:space="preserve"> político-económica. En este análisis, el gasto social se ha clasificado en tres </w:t>
      </w:r>
      <w:r w:rsidRPr="00B14726">
        <w:lastRenderedPageBreak/>
        <w:t xml:space="preserve">conceptos: (a) </w:t>
      </w:r>
      <w:r w:rsidRPr="00B14726">
        <w:rPr>
          <w:i/>
        </w:rPr>
        <w:t>previsión y seguridad social</w:t>
      </w:r>
      <w:r w:rsidRPr="00B14726">
        <w:t xml:space="preserve"> (sistema de pensiones de retiros e invalidez o sistema previsional y de seguros de salud y obras sociales); (b) </w:t>
      </w:r>
      <w:r w:rsidRPr="00B14726">
        <w:rPr>
          <w:i/>
        </w:rPr>
        <w:t>desarrollo social</w:t>
      </w:r>
      <w:r w:rsidRPr="00B14726">
        <w:t xml:space="preserve"> (promoción y asistencia social directa y programas de protección al desempleo dirigido a grupos “de riesgo”); (c) y </w:t>
      </w:r>
      <w:r w:rsidRPr="00B14726">
        <w:rPr>
          <w:i/>
        </w:rPr>
        <w:t>gastos estructurales orientados a políticas universales</w:t>
      </w:r>
      <w:r w:rsidRPr="00B14726">
        <w:t xml:space="preserve"> (educación y cultura, salud, agua potable y alcantarillado, vivienda y urbanismo, otros servicios o subsidios sociales urbanos).</w:t>
      </w:r>
    </w:p>
    <w:p w:rsidR="00BB7997" w:rsidRDefault="00BB7997" w:rsidP="00BB7997">
      <w:pPr>
        <w:spacing w:after="120"/>
        <w:jc w:val="both"/>
      </w:pPr>
      <w:r w:rsidRPr="00B14726">
        <w:t xml:space="preserve">Según el Gráfico </w:t>
      </w:r>
      <w:r w:rsidR="00855945">
        <w:t>2</w:t>
      </w:r>
      <w:r w:rsidRPr="00B14726">
        <w:t xml:space="preserve">, en los veinte años transcurridos entre 1992 y 2012, el gasto público social en </w:t>
      </w:r>
      <w:smartTag w:uri="urn:schemas-microsoft-com:office:smarttags" w:element="PersonName">
        <w:smartTagPr>
          <w:attr w:name="ProductID" w:val="la Argentina"/>
        </w:smartTagPr>
        <w:r w:rsidRPr="00B14726">
          <w:t>la Argentina</w:t>
        </w:r>
      </w:smartTag>
      <w:r w:rsidRPr="00B14726">
        <w:t xml:space="preserve"> mantuvo una tendencia creciente: su participación como porcentaje del PIB pasó de 19,8% a 29,8%. Los principales conceptos asociados a este aumento fueron claramente los gastos sociales universales –cuya participación subió de 10,4% a 15,5% del PIB- y el componente de previsión y seguridad social -cuyo peso pasó de 8,5% a 12% del PIB-. En tanto que los gastos en desarrollo social, asociados con los llamados “programas de lucha contra la pobreza”, si bien duplicaron su participación, mantuvieron </w:t>
      </w:r>
      <w:r>
        <w:t>un bajo</w:t>
      </w:r>
      <w:r w:rsidRPr="00B14726">
        <w:t xml:space="preserve"> peso relativo (pasaron de 1% a 2,3% del PIB).</w:t>
      </w:r>
      <w:r>
        <w:t xml:space="preserve"> Si al mismo tiempo se considera que, entre</w:t>
      </w:r>
      <w:r w:rsidRPr="00B14726">
        <w:t xml:space="preserve"> 1992</w:t>
      </w:r>
      <w:r>
        <w:t xml:space="preserve"> y </w:t>
      </w:r>
      <w:r w:rsidRPr="00B14726">
        <w:t xml:space="preserve">2012, el PIB a precios constantes creció 108%, </w:t>
      </w:r>
      <w:r>
        <w:t xml:space="preserve"> se</w:t>
      </w:r>
      <w:r w:rsidRPr="00B14726">
        <w:t xml:space="preserve"> </w:t>
      </w:r>
      <w:r>
        <w:t>desprende</w:t>
      </w:r>
      <w:r w:rsidRPr="00B14726">
        <w:t xml:space="preserve"> un aumento real </w:t>
      </w:r>
      <w:r>
        <w:t xml:space="preserve">del </w:t>
      </w:r>
      <w:r w:rsidRPr="00B14726">
        <w:t xml:space="preserve">gasto social durante las últimas décadas. </w:t>
      </w:r>
      <w:r>
        <w:t>Esta misma tendencia se expresa de manera más precisa en el</w:t>
      </w:r>
      <w:r w:rsidRPr="00B14726">
        <w:t xml:space="preserve"> Gráfico </w:t>
      </w:r>
      <w:r w:rsidR="00855945">
        <w:t>3</w:t>
      </w:r>
      <w:r>
        <w:t>, el cual</w:t>
      </w:r>
      <w:r w:rsidRPr="00B14726">
        <w:t xml:space="preserve"> examina la evolución </w:t>
      </w:r>
      <w:r>
        <w:t xml:space="preserve">1992-2012 </w:t>
      </w:r>
      <w:r w:rsidRPr="00B14726">
        <w:t xml:space="preserve">del gasto social real per cápita. </w:t>
      </w:r>
      <w:r>
        <w:t xml:space="preserve">Al respecto se observa que mientras </w:t>
      </w:r>
      <w:r w:rsidRPr="00B14726">
        <w:t>el PIB per cápita creció 70%</w:t>
      </w:r>
      <w:r>
        <w:t xml:space="preserve">, el gasto social también per cápita </w:t>
      </w:r>
      <w:r w:rsidRPr="00B14726">
        <w:t>aument</w:t>
      </w:r>
      <w:r>
        <w:t>ó</w:t>
      </w:r>
      <w:r w:rsidRPr="00B14726">
        <w:t xml:space="preserve"> </w:t>
      </w:r>
      <w:r>
        <w:t xml:space="preserve">entre puntas del período </w:t>
      </w:r>
      <w:r w:rsidRPr="00B14726">
        <w:t>en más de 150%</w:t>
      </w:r>
      <w:r>
        <w:t>.</w:t>
      </w:r>
      <w:r w:rsidRPr="00B14726">
        <w:t xml:space="preserve"> </w:t>
      </w:r>
    </w:p>
    <w:p w:rsidR="00666735" w:rsidRDefault="00666735" w:rsidP="00B17A3A">
      <w:pPr>
        <w:spacing w:after="120"/>
        <w:jc w:val="both"/>
        <w:rPr>
          <w:b/>
          <w:lang w:eastAsia="es-AR"/>
        </w:rPr>
      </w:pPr>
    </w:p>
    <w:p w:rsidR="00CC1F81" w:rsidRPr="00B14726" w:rsidRDefault="00CC1F81" w:rsidP="00B17A3A">
      <w:pPr>
        <w:spacing w:after="120"/>
        <w:jc w:val="both"/>
        <w:rPr>
          <w:b/>
        </w:rPr>
      </w:pPr>
      <w:r w:rsidRPr="00B14726">
        <w:rPr>
          <w:b/>
          <w:lang w:eastAsia="es-AR"/>
        </w:rPr>
        <w:t xml:space="preserve">Gráfico </w:t>
      </w:r>
      <w:r w:rsidR="00855945">
        <w:rPr>
          <w:b/>
          <w:lang w:eastAsia="es-AR"/>
        </w:rPr>
        <w:t>2</w:t>
      </w:r>
      <w:r w:rsidRPr="00B14726">
        <w:rPr>
          <w:b/>
          <w:lang w:eastAsia="es-AR"/>
        </w:rPr>
        <w:t>. Gasto Público Social consolidado</w:t>
      </w:r>
      <w:r w:rsidRPr="00B14726">
        <w:rPr>
          <w:b/>
          <w:vertAlign w:val="superscript"/>
          <w:lang w:eastAsia="es-AR"/>
        </w:rPr>
        <w:t>(a)</w:t>
      </w:r>
      <w:r w:rsidRPr="00B14726">
        <w:rPr>
          <w:b/>
          <w:lang w:eastAsia="es-AR"/>
        </w:rPr>
        <w:t xml:space="preserve">. </w:t>
      </w:r>
      <w:r w:rsidR="00B17A3A" w:rsidRPr="00B14726">
        <w:rPr>
          <w:b/>
          <w:lang w:eastAsia="es-AR"/>
        </w:rPr>
        <w:t xml:space="preserve">Gobiernos </w:t>
      </w:r>
      <w:r w:rsidR="00343ADB" w:rsidRPr="00B14726">
        <w:rPr>
          <w:b/>
          <w:lang w:eastAsia="es-AR"/>
        </w:rPr>
        <w:t>n</w:t>
      </w:r>
      <w:r w:rsidR="00B17A3A" w:rsidRPr="00B14726">
        <w:rPr>
          <w:b/>
          <w:lang w:eastAsia="es-AR"/>
        </w:rPr>
        <w:t xml:space="preserve">acional, </w:t>
      </w:r>
      <w:r w:rsidR="00343ADB" w:rsidRPr="00B14726">
        <w:rPr>
          <w:b/>
          <w:lang w:eastAsia="es-AR"/>
        </w:rPr>
        <w:t>p</w:t>
      </w:r>
      <w:r w:rsidR="00B17A3A" w:rsidRPr="00B14726">
        <w:rPr>
          <w:b/>
          <w:lang w:eastAsia="es-AR"/>
        </w:rPr>
        <w:t xml:space="preserve">rovincial y </w:t>
      </w:r>
      <w:r w:rsidR="00343ADB" w:rsidRPr="00B14726">
        <w:rPr>
          <w:b/>
          <w:lang w:eastAsia="es-AR"/>
        </w:rPr>
        <w:t>m</w:t>
      </w:r>
      <w:r w:rsidR="00B17A3A" w:rsidRPr="00B14726">
        <w:rPr>
          <w:b/>
          <w:lang w:eastAsia="es-AR"/>
        </w:rPr>
        <w:t>unicipal.</w:t>
      </w:r>
      <w:r w:rsidR="00F5637D">
        <w:rPr>
          <w:b/>
          <w:lang w:eastAsia="es-AR"/>
        </w:rPr>
        <w:t xml:space="preserve"> Período: 1992-2012.</w:t>
      </w:r>
      <w:r w:rsidR="00B17A3A" w:rsidRPr="00B14726">
        <w:rPr>
          <w:b/>
          <w:lang w:eastAsia="es-AR"/>
        </w:rPr>
        <w:t xml:space="preserve"> </w:t>
      </w:r>
      <w:r w:rsidRPr="00B14726">
        <w:rPr>
          <w:b/>
          <w:lang w:eastAsia="es-AR"/>
        </w:rPr>
        <w:t xml:space="preserve">En porcentaje del PIB. </w:t>
      </w:r>
    </w:p>
    <w:p w:rsidR="00CC1F81" w:rsidRPr="00B14726" w:rsidRDefault="00AC5ADE" w:rsidP="005B3C0D">
      <w:pPr>
        <w:keepNext/>
        <w:spacing w:line="360" w:lineRule="auto"/>
        <w:jc w:val="center"/>
      </w:pPr>
      <w:r>
        <w:rPr>
          <w:noProof/>
          <w:lang w:val="es-AR" w:eastAsia="es-AR"/>
        </w:rPr>
        <w:drawing>
          <wp:inline distT="0" distB="0" distL="0" distR="0">
            <wp:extent cx="5375275" cy="292798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5275" cy="2927985"/>
                    </a:xfrm>
                    <a:prstGeom prst="rect">
                      <a:avLst/>
                    </a:prstGeom>
                    <a:noFill/>
                  </pic:spPr>
                </pic:pic>
              </a:graphicData>
            </a:graphic>
          </wp:inline>
        </w:drawing>
      </w:r>
    </w:p>
    <w:p w:rsidR="00CC1F81" w:rsidRPr="007941D3" w:rsidRDefault="00CC1F81" w:rsidP="00F86FD5">
      <w:pPr>
        <w:autoSpaceDE w:val="0"/>
        <w:autoSpaceDN w:val="0"/>
        <w:adjustRightInd w:val="0"/>
        <w:jc w:val="both"/>
        <w:rPr>
          <w:sz w:val="16"/>
          <w:szCs w:val="16"/>
          <w:lang w:eastAsia="es-AR"/>
        </w:rPr>
      </w:pPr>
      <w:r w:rsidRPr="007941D3">
        <w:rPr>
          <w:sz w:val="16"/>
          <w:szCs w:val="16"/>
          <w:lang w:eastAsia="es-AR"/>
        </w:rPr>
        <w:t xml:space="preserve">Nota (a): El gasto público social consolidado incluye el gasto realizado por los distintos niveles de gobierno. Entre 1992-2009, los datos corresponden a </w:t>
      </w:r>
      <w:smartTag w:uri="urn:schemas-microsoft-com:office:smarttags" w:element="PersonName">
        <w:smartTagPr>
          <w:attr w:name="ProductID" w:val="la Dirección Nacional"/>
        </w:smartTagPr>
        <w:r w:rsidRPr="007941D3">
          <w:rPr>
            <w:sz w:val="16"/>
            <w:szCs w:val="16"/>
            <w:lang w:eastAsia="es-AR"/>
          </w:rPr>
          <w:t>la Dirección Nacional</w:t>
        </w:r>
      </w:smartTag>
      <w:r w:rsidRPr="007941D3">
        <w:rPr>
          <w:sz w:val="16"/>
          <w:szCs w:val="16"/>
          <w:lang w:eastAsia="es-AR"/>
        </w:rPr>
        <w:t xml:space="preserve"> de Análisis de Gasto Público  y Programas Sociales, y en los años siguientes los datos fueron estimados a partir de los resultados de ejecución presupuestaria de </w:t>
      </w:r>
      <w:smartTag w:uri="urn:schemas-microsoft-com:office:smarttags" w:element="PersonName">
        <w:smartTagPr>
          <w:attr w:name="ProductID" w:val="la Oficina Nacional"/>
        </w:smartTagPr>
        <w:r w:rsidRPr="007941D3">
          <w:rPr>
            <w:sz w:val="16"/>
            <w:szCs w:val="16"/>
            <w:lang w:eastAsia="es-AR"/>
          </w:rPr>
          <w:t>la Oficina Nacional</w:t>
        </w:r>
      </w:smartTag>
      <w:r w:rsidRPr="007941D3">
        <w:rPr>
          <w:sz w:val="16"/>
          <w:szCs w:val="16"/>
          <w:lang w:eastAsia="es-AR"/>
        </w:rPr>
        <w:t xml:space="preserve"> de Presupuesto. </w:t>
      </w:r>
      <w:r w:rsidR="00667F89" w:rsidRPr="007941D3">
        <w:rPr>
          <w:sz w:val="16"/>
          <w:szCs w:val="16"/>
          <w:lang w:eastAsia="es-AR"/>
        </w:rPr>
        <w:t xml:space="preserve">Para una información detallada acerca de la construcción de esta serie, véase el Anexo </w:t>
      </w:r>
      <w:r w:rsidR="00F86FD5">
        <w:rPr>
          <w:sz w:val="16"/>
          <w:szCs w:val="16"/>
          <w:lang w:eastAsia="es-AR"/>
        </w:rPr>
        <w:t>m</w:t>
      </w:r>
      <w:r w:rsidR="00667F89" w:rsidRPr="007941D3">
        <w:rPr>
          <w:sz w:val="16"/>
          <w:szCs w:val="16"/>
          <w:lang w:eastAsia="es-AR"/>
        </w:rPr>
        <w:t>etodológico.</w:t>
      </w:r>
    </w:p>
    <w:p w:rsidR="00CC1F81" w:rsidRPr="00B14726" w:rsidRDefault="00CC1F81" w:rsidP="00CC1F81">
      <w:pPr>
        <w:autoSpaceDE w:val="0"/>
        <w:autoSpaceDN w:val="0"/>
        <w:adjustRightInd w:val="0"/>
        <w:spacing w:after="120"/>
        <w:jc w:val="both"/>
        <w:rPr>
          <w:sz w:val="18"/>
          <w:szCs w:val="18"/>
          <w:lang w:eastAsia="es-AR"/>
        </w:rPr>
      </w:pPr>
      <w:r w:rsidRPr="00B14726">
        <w:rPr>
          <w:sz w:val="18"/>
          <w:szCs w:val="18"/>
          <w:lang w:eastAsia="es-AR"/>
        </w:rPr>
        <w:t>Fuente: elaboración propia en base a Dirección de Análisis de Gasto Público y Programas Sociales (MECON), Oficina Nacional de Presupuesto e INDEC.</w:t>
      </w:r>
    </w:p>
    <w:p w:rsidR="0079146D" w:rsidRDefault="0079146D" w:rsidP="00D13AC2">
      <w:pPr>
        <w:spacing w:after="120"/>
        <w:jc w:val="both"/>
        <w:rPr>
          <w:b/>
          <w:lang w:eastAsia="es-AR"/>
        </w:rPr>
      </w:pPr>
    </w:p>
    <w:p w:rsidR="0079146D" w:rsidRDefault="0079146D" w:rsidP="00D13AC2">
      <w:pPr>
        <w:spacing w:after="120"/>
        <w:jc w:val="both"/>
        <w:rPr>
          <w:b/>
          <w:lang w:eastAsia="es-AR"/>
        </w:rPr>
      </w:pPr>
    </w:p>
    <w:p w:rsidR="00CC1F81" w:rsidRPr="00B14726" w:rsidRDefault="00CC1F81" w:rsidP="00D13AC2">
      <w:pPr>
        <w:spacing w:after="120"/>
        <w:jc w:val="both"/>
        <w:rPr>
          <w:b/>
        </w:rPr>
      </w:pPr>
      <w:r w:rsidRPr="00B14726">
        <w:rPr>
          <w:b/>
          <w:lang w:eastAsia="es-AR"/>
        </w:rPr>
        <w:lastRenderedPageBreak/>
        <w:t xml:space="preserve">Gráfico </w:t>
      </w:r>
      <w:r w:rsidR="00855945">
        <w:rPr>
          <w:b/>
          <w:lang w:eastAsia="es-AR"/>
        </w:rPr>
        <w:t>3</w:t>
      </w:r>
      <w:r w:rsidRPr="00B14726">
        <w:rPr>
          <w:b/>
          <w:lang w:eastAsia="es-AR"/>
        </w:rPr>
        <w:t xml:space="preserve">. Gasto Público Social consolidado per cápita. </w:t>
      </w:r>
      <w:r w:rsidR="00B17A3A" w:rsidRPr="00B14726">
        <w:rPr>
          <w:b/>
          <w:lang w:eastAsia="es-AR"/>
        </w:rPr>
        <w:t>Gobierno</w:t>
      </w:r>
      <w:r w:rsidR="00343ADB" w:rsidRPr="00B14726">
        <w:rPr>
          <w:b/>
          <w:lang w:eastAsia="es-AR"/>
        </w:rPr>
        <w:t>s</w:t>
      </w:r>
      <w:r w:rsidR="00B17A3A" w:rsidRPr="00B14726">
        <w:rPr>
          <w:b/>
          <w:lang w:eastAsia="es-AR"/>
        </w:rPr>
        <w:t xml:space="preserve"> nacional, provincial y municipal. </w:t>
      </w:r>
      <w:r w:rsidR="00F5637D" w:rsidRPr="00F5637D">
        <w:rPr>
          <w:b/>
          <w:lang w:eastAsia="es-AR"/>
        </w:rPr>
        <w:t xml:space="preserve">Período: 1992-2012. </w:t>
      </w:r>
      <w:r w:rsidRPr="00B14726">
        <w:rPr>
          <w:b/>
          <w:lang w:eastAsia="es-AR"/>
        </w:rPr>
        <w:t xml:space="preserve">En pesos de 1993. </w:t>
      </w:r>
    </w:p>
    <w:p w:rsidR="00CC1F81" w:rsidRPr="00B14726" w:rsidRDefault="00AC5ADE" w:rsidP="005B3C0D">
      <w:pPr>
        <w:spacing w:after="120"/>
        <w:jc w:val="center"/>
      </w:pPr>
      <w:r>
        <w:rPr>
          <w:noProof/>
          <w:lang w:val="es-AR" w:eastAsia="es-AR"/>
        </w:rPr>
        <w:drawing>
          <wp:inline distT="0" distB="0" distL="0" distR="0">
            <wp:extent cx="5389880" cy="291528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880" cy="2915285"/>
                    </a:xfrm>
                    <a:prstGeom prst="rect">
                      <a:avLst/>
                    </a:prstGeom>
                    <a:noFill/>
                  </pic:spPr>
                </pic:pic>
              </a:graphicData>
            </a:graphic>
          </wp:inline>
        </w:drawing>
      </w:r>
    </w:p>
    <w:p w:rsidR="00CC1F81" w:rsidRPr="00B14726" w:rsidRDefault="00CC1F81" w:rsidP="00D13AC2">
      <w:pPr>
        <w:autoSpaceDE w:val="0"/>
        <w:autoSpaceDN w:val="0"/>
        <w:adjustRightInd w:val="0"/>
        <w:spacing w:after="120"/>
        <w:jc w:val="both"/>
        <w:rPr>
          <w:sz w:val="18"/>
          <w:szCs w:val="18"/>
          <w:lang w:eastAsia="es-AR"/>
        </w:rPr>
      </w:pPr>
      <w:r w:rsidRPr="00B14726">
        <w:rPr>
          <w:sz w:val="18"/>
          <w:szCs w:val="18"/>
          <w:lang w:eastAsia="es-AR"/>
        </w:rPr>
        <w:t>Fuente: elaboración propia en base a Dirección de Análisis de Gasto Público y Programas Sociales (MECON) e INDEC.</w:t>
      </w:r>
    </w:p>
    <w:p w:rsidR="00AD5B96" w:rsidRPr="00B14726" w:rsidRDefault="00F86FD5" w:rsidP="00AD5B96">
      <w:pPr>
        <w:spacing w:after="120"/>
        <w:jc w:val="both"/>
      </w:pPr>
      <w:r>
        <w:t>A</w:t>
      </w:r>
      <w:r w:rsidR="00AD5B96">
        <w:t xml:space="preserve"> partir de </w:t>
      </w:r>
      <w:r>
        <w:t>esta</w:t>
      </w:r>
      <w:r w:rsidR="00AD5B96">
        <w:t xml:space="preserve"> información se hace evidente</w:t>
      </w:r>
      <w:r w:rsidR="00AD5B96" w:rsidRPr="00B14726">
        <w:t xml:space="preserve"> un comportamiento diferente según las distintas etapas seguidas por la política económica: 1) incremento de 17% del gasto real per cápita en el período de políticas neoliberales (1992 y 2001) –con un incremento de 12% en la participación del PIB-; 2) caída de 20% en el contexto de la crisis monetario-financiera (2001-2002) –con una pérdida de 15% en la participación del PIB; y 3) por último, fuerte incremento del gasto social real per cápita de 340% entre 2002 y 2012 –con casi 60% de aumento en su peso en el PIB-. </w:t>
      </w:r>
      <w:r w:rsidR="00AD5B96">
        <w:t xml:space="preserve">En este sentido, se confirma un giro al menos “cuantitativo” en la política social </w:t>
      </w:r>
      <w:r w:rsidR="00AD5B96" w:rsidRPr="00B14726">
        <w:t xml:space="preserve">a partir de </w:t>
      </w:r>
      <w:r w:rsidR="00AD5B96">
        <w:t>la etapa heterodoxa</w:t>
      </w:r>
      <w:r w:rsidR="00AD5B96" w:rsidRPr="00B14726">
        <w:t xml:space="preserve"> post-</w:t>
      </w:r>
      <w:r w:rsidR="00AD5B96">
        <w:t>crisis</w:t>
      </w:r>
      <w:r w:rsidR="00AD5B96" w:rsidRPr="00B14726">
        <w:t xml:space="preserve"> 2002 y continuada a lo largo de la última década. Sin embargo, también se observa que esta tendencia no fue lineal ni generalizada a nivel de los componentes del gasto social en correlación con el contexto político-económico.    </w:t>
      </w:r>
    </w:p>
    <w:p w:rsidR="007A4B96" w:rsidRDefault="00D23BC3" w:rsidP="007A4B96">
      <w:pPr>
        <w:autoSpaceDE w:val="0"/>
        <w:autoSpaceDN w:val="0"/>
        <w:adjustRightInd w:val="0"/>
        <w:spacing w:after="120"/>
        <w:jc w:val="both"/>
      </w:pPr>
      <w:r>
        <w:t>Por una parte, b</w:t>
      </w:r>
      <w:r w:rsidR="00CC1F81" w:rsidRPr="00B14726">
        <w:t xml:space="preserve">ajo la vigencia de las políticas neoliberales -período 1992 y 2001-, en un marco de creciente desempleo y aumento de la pobreza, el gasto per cápita en desarrollo social creció un llamativo 85%; a la vez que el gasto público en </w:t>
      </w:r>
      <w:r w:rsidR="008C0E60">
        <w:t>políticas</w:t>
      </w:r>
      <w:r w:rsidR="00CC1F81" w:rsidRPr="00B14726">
        <w:t xml:space="preserve"> sociales universales (educación, salud, vivienda, y otros servicios) sólo lo hizo en 24%. Al mismo tiempo, luego del traspaso del sistema público de previsión social a un modelo mixto de capitalización, el gasto per cápita en previsión social no experimentó cambios reales (0,3%). En el contexto de la crisis 2001-2002, si bien casi todos los rubros cayeron, el único que no lo hizo fue el gasto per cápita en desarrollo social</w:t>
      </w:r>
      <w:r w:rsidR="008C0E60">
        <w:t xml:space="preserve"> (asistencia y promoción social)</w:t>
      </w:r>
      <w:r w:rsidR="00CC1F81" w:rsidRPr="00B14726">
        <w:t xml:space="preserve">, el cual aumentó en un año casi 30%.  </w:t>
      </w:r>
    </w:p>
    <w:p w:rsidR="00D23BC3" w:rsidRDefault="00D23BC3" w:rsidP="00D23BC3">
      <w:pPr>
        <w:autoSpaceDE w:val="0"/>
        <w:autoSpaceDN w:val="0"/>
        <w:adjustRightInd w:val="0"/>
        <w:spacing w:after="120"/>
        <w:jc w:val="both"/>
      </w:pPr>
      <w:r>
        <w:t>Siguiendo una tendencia general claramente diferente, d</w:t>
      </w:r>
      <w:r w:rsidR="00CC1F81" w:rsidRPr="00B14726">
        <w:t>urante el período post-</w:t>
      </w:r>
      <w:r w:rsidR="008C0E60">
        <w:t>reformas</w:t>
      </w:r>
      <w:r w:rsidR="00CC1F81" w:rsidRPr="00B14726">
        <w:t xml:space="preserve"> 2002-2012, en un contexto de vuelta atrás </w:t>
      </w:r>
      <w:r>
        <w:t>en</w:t>
      </w:r>
      <w:r w:rsidR="00CC1F81" w:rsidRPr="00B14726">
        <w:t xml:space="preserve"> </w:t>
      </w:r>
      <w:r w:rsidR="008C0E60">
        <w:t>las políticas</w:t>
      </w:r>
      <w:r w:rsidR="00CC1F81" w:rsidRPr="00B14726">
        <w:t xml:space="preserve"> neoliberales, con crecimiento del empleo y ampliación de los sistemas de </w:t>
      </w:r>
      <w:r w:rsidR="008C0E60">
        <w:t>protección</w:t>
      </w:r>
      <w:r w:rsidR="00CC1F81" w:rsidRPr="00B14726">
        <w:t xml:space="preserve">, el </w:t>
      </w:r>
      <w:r w:rsidR="008C0E60">
        <w:t>aumento del</w:t>
      </w:r>
      <w:r w:rsidR="00CC1F81" w:rsidRPr="00B14726">
        <w:t xml:space="preserve"> gasto social involucró a todos los conceptos; aunque </w:t>
      </w:r>
      <w:r w:rsidR="009801A9">
        <w:t>no sin</w:t>
      </w:r>
      <w:r w:rsidR="00CC1F81" w:rsidRPr="00B14726">
        <w:t xml:space="preserve"> algunas diferencias relevantes.  Por una parte, el gasto en previsión y seguridad social creció 211%</w:t>
      </w:r>
      <w:r w:rsidR="00CC1F81" w:rsidRPr="00B14726">
        <w:rPr>
          <w:vertAlign w:val="superscript"/>
        </w:rPr>
        <w:footnoteReference w:id="25"/>
      </w:r>
      <w:r w:rsidR="00CC1F81" w:rsidRPr="00B14726">
        <w:t xml:space="preserve">; en segundo lugar, el gasto </w:t>
      </w:r>
      <w:r w:rsidR="00CC1F81" w:rsidRPr="00B14726">
        <w:lastRenderedPageBreak/>
        <w:t>social per cápita en políticas universales registró un incremento de 173%; y, por último, el gasto per cápita en desarrollo social tuvo un aumento sólo algo superior al registrado durante la década anterior (94%).</w:t>
      </w:r>
      <w:r>
        <w:t xml:space="preserve"> </w:t>
      </w:r>
      <w:r w:rsidR="009801A9">
        <w:t xml:space="preserve">Un tema sobre el cual cabe detenerse para hace algunas referencias particulares. </w:t>
      </w:r>
    </w:p>
    <w:p w:rsidR="0079146D" w:rsidRDefault="0079146D" w:rsidP="00D23BC3">
      <w:pPr>
        <w:autoSpaceDE w:val="0"/>
        <w:autoSpaceDN w:val="0"/>
        <w:adjustRightInd w:val="0"/>
        <w:spacing w:after="120"/>
        <w:jc w:val="both"/>
        <w:rPr>
          <w:b/>
        </w:rPr>
      </w:pPr>
    </w:p>
    <w:p w:rsidR="008C0E60" w:rsidRPr="009801A9" w:rsidRDefault="00AB37E2" w:rsidP="00D23BC3">
      <w:pPr>
        <w:autoSpaceDE w:val="0"/>
        <w:autoSpaceDN w:val="0"/>
        <w:adjustRightInd w:val="0"/>
        <w:spacing w:after="120"/>
        <w:jc w:val="both"/>
        <w:rPr>
          <w:b/>
        </w:rPr>
      </w:pPr>
      <w:r>
        <w:rPr>
          <w:b/>
        </w:rPr>
        <w:t>7</w:t>
      </w:r>
      <w:r w:rsidR="008C0E60" w:rsidRPr="009801A9">
        <w:rPr>
          <w:b/>
        </w:rPr>
        <w:t xml:space="preserve">.  </w:t>
      </w:r>
      <w:r w:rsidR="009801A9" w:rsidRPr="009801A9">
        <w:rPr>
          <w:b/>
        </w:rPr>
        <w:t xml:space="preserve">Evolución del gasto social consolidado de los programas asistenciales y de promoción social de lucha contra la pobreza. </w:t>
      </w:r>
    </w:p>
    <w:p w:rsidR="00CC1F81" w:rsidRPr="00B14726" w:rsidRDefault="00D23BC3" w:rsidP="00D23BC3">
      <w:pPr>
        <w:autoSpaceDE w:val="0"/>
        <w:autoSpaceDN w:val="0"/>
        <w:adjustRightInd w:val="0"/>
        <w:spacing w:after="120"/>
        <w:jc w:val="both"/>
      </w:pPr>
      <w:r>
        <w:t xml:space="preserve">Al considerar la evolución </w:t>
      </w:r>
      <w:r w:rsidR="008C0E60">
        <w:t xml:space="preserve">del </w:t>
      </w:r>
      <w:r>
        <w:t xml:space="preserve">gasto </w:t>
      </w:r>
      <w:r w:rsidR="009801A9">
        <w:t>el</w:t>
      </w:r>
      <w:r w:rsidR="008C0E60">
        <w:t xml:space="preserve"> desarrollo </w:t>
      </w:r>
      <w:r w:rsidR="009801A9">
        <w:t>social entre</w:t>
      </w:r>
      <w:r>
        <w:t xml:space="preserve"> 1992-2012, se observa que el mismo en términos</w:t>
      </w:r>
      <w:r w:rsidR="00CC1F81" w:rsidRPr="00B14726">
        <w:t xml:space="preserve"> per cápita registró un aumento </w:t>
      </w:r>
      <w:r>
        <w:t>de más de 300%. Sin embargo</w:t>
      </w:r>
      <w:r w:rsidR="00CC1F81" w:rsidRPr="00B14726">
        <w:t xml:space="preserve">, su participación en el PIB, aunque </w:t>
      </w:r>
      <w:r>
        <w:t>obviamente también creció</w:t>
      </w:r>
      <w:r w:rsidR="00CC1F81" w:rsidRPr="00B14726">
        <w:t xml:space="preserve">, sólo pasó de 1% a 2,3%. </w:t>
      </w:r>
      <w:r w:rsidR="009801A9">
        <w:t>Este</w:t>
      </w:r>
      <w:r w:rsidR="00CC1F81" w:rsidRPr="00B14726">
        <w:t xml:space="preserve"> componente reviste especial interés en cuanto que es el que reúne a los programas de promoción social, asistencia directa </w:t>
      </w:r>
      <w:r w:rsidR="009801A9">
        <w:t>o</w:t>
      </w:r>
      <w:r w:rsidR="00CC1F81" w:rsidRPr="00B14726">
        <w:t xml:space="preserve"> de protección frente al desempleo, denominados de manera genérica </w:t>
      </w:r>
      <w:r w:rsidR="00CC1F81" w:rsidRPr="00B14726">
        <w:rPr>
          <w:i/>
        </w:rPr>
        <w:t>“programas de protección contra la pobreza”</w:t>
      </w:r>
      <w:r w:rsidR="00CC1F81" w:rsidRPr="00B14726">
        <w:t xml:space="preserve">, los cuales han estado dirigidos -con mayor o menor focalización o condicionalidades- hacia los hogares pobres, desafiliados de la seguridad social y/o excluidos del mercado de trabajo formal. </w:t>
      </w:r>
    </w:p>
    <w:p w:rsidR="002A2DC7" w:rsidRDefault="00CC1F81" w:rsidP="00CC1F81">
      <w:pPr>
        <w:spacing w:after="120"/>
        <w:jc w:val="both"/>
      </w:pPr>
      <w:r w:rsidRPr="00B14726">
        <w:t xml:space="preserve">Tal como se </w:t>
      </w:r>
      <w:r w:rsidR="007D1F93" w:rsidRPr="00B14726">
        <w:t>ha mencionado</w:t>
      </w:r>
      <w:r w:rsidRPr="00B14726">
        <w:t xml:space="preserve">, estos programas tuvieron especial </w:t>
      </w:r>
      <w:r w:rsidR="009801A9">
        <w:t>despliegue</w:t>
      </w:r>
      <w:r w:rsidRPr="00B14726">
        <w:t xml:space="preserve"> </w:t>
      </w:r>
      <w:r w:rsidR="009801A9" w:rsidRPr="00B14726">
        <w:t>en la década del noventa</w:t>
      </w:r>
      <w:r w:rsidR="009801A9">
        <w:t xml:space="preserve">, en el marco de las políticas neoliberales, como un modo de contrarrestar los efectos negativos </w:t>
      </w:r>
      <w:r w:rsidR="002A2DC7">
        <w:t>en materia de desempleo y pobreza generados por</w:t>
      </w:r>
      <w:r w:rsidR="009801A9">
        <w:t xml:space="preserve"> las medidas de ajuste en el gasto público,</w:t>
      </w:r>
      <w:r w:rsidRPr="00B14726">
        <w:t xml:space="preserve"> privatizaciones, </w:t>
      </w:r>
      <w:r w:rsidR="009801A9">
        <w:t>apertura comercial y</w:t>
      </w:r>
      <w:r w:rsidRPr="00B14726">
        <w:t xml:space="preserve"> desregulaciones laborales. </w:t>
      </w:r>
      <w:r w:rsidR="002A2DC7">
        <w:t xml:space="preserve">Esta situación, en </w:t>
      </w:r>
      <w:r w:rsidRPr="00B14726">
        <w:t xml:space="preserve">un clima de creciente conflictividad social, </w:t>
      </w:r>
      <w:r w:rsidR="009B0441" w:rsidRPr="00B14726">
        <w:t>hizo necesario</w:t>
      </w:r>
      <w:r w:rsidRPr="00B14726">
        <w:t xml:space="preserve"> disponer de programas </w:t>
      </w:r>
      <w:r w:rsidR="007A18D0">
        <w:t>sociales</w:t>
      </w:r>
      <w:r w:rsidR="002A2DC7">
        <w:t xml:space="preserve"> </w:t>
      </w:r>
      <w:r w:rsidRPr="00B14726">
        <w:t xml:space="preserve">dirigidos a </w:t>
      </w:r>
      <w:r w:rsidR="009801A9">
        <w:t>atender e</w:t>
      </w:r>
      <w:r w:rsidRPr="00B14726">
        <w:t>l agravamiento de</w:t>
      </w:r>
      <w:r w:rsidR="002A2DC7">
        <w:t xml:space="preserve">l desempleo </w:t>
      </w:r>
      <w:r w:rsidR="007A18D0" w:rsidRPr="00B14726">
        <w:t xml:space="preserve">estructural </w:t>
      </w:r>
      <w:r w:rsidR="002A2DC7">
        <w:t>y la irrupción de</w:t>
      </w:r>
      <w:r w:rsidRPr="00B14726">
        <w:t xml:space="preserve"> nuevas formas de </w:t>
      </w:r>
      <w:r w:rsidR="007A18D0">
        <w:t xml:space="preserve">vulnerabilidad social </w:t>
      </w:r>
      <w:r w:rsidRPr="00B14726">
        <w:t xml:space="preserve">generadas </w:t>
      </w:r>
      <w:r w:rsidR="009801A9">
        <w:t>por la política en curso</w:t>
      </w:r>
      <w:r w:rsidRPr="00B14726">
        <w:t xml:space="preserve">. Los mecanismos tradicionales de protección y asistencia </w:t>
      </w:r>
      <w:r w:rsidR="007A18D0">
        <w:t xml:space="preserve">social </w:t>
      </w:r>
      <w:r w:rsidRPr="00B14726">
        <w:t>ya no servían para tal efecto, y así surgió una nueva generación de programas</w:t>
      </w:r>
      <w:r w:rsidR="007A18D0">
        <w:t xml:space="preserve"> sociales</w:t>
      </w:r>
      <w:r w:rsidR="007A18D0" w:rsidRPr="007A18D0">
        <w:t xml:space="preserve"> </w:t>
      </w:r>
      <w:r w:rsidR="007A18D0">
        <w:t>con la asistencia técnico-financiera del BID o el Banco Mundial; los cuales, aunque con diferentes nominaciones, orientaciones y características, han mantenido una fuerte vigencia a lo largo de los diferentes períodos político- económicos</w:t>
      </w:r>
      <w:r w:rsidR="002A2DC7">
        <w:t>.</w:t>
      </w:r>
      <w:r w:rsidR="007A18D0">
        <w:t xml:space="preserve"> </w:t>
      </w:r>
    </w:p>
    <w:p w:rsidR="007A18D0" w:rsidRPr="00B14726" w:rsidRDefault="007A18D0" w:rsidP="007A18D0">
      <w:pPr>
        <w:spacing w:after="120"/>
        <w:jc w:val="both"/>
      </w:pPr>
      <w:r w:rsidRPr="00B14726">
        <w:t xml:space="preserve">Dependiendo de sus objetivos, metodología y encuadre sectorial estos programas pueden ser clasificados en dos tipos: a) por una parte, aquellos dirigidos a brindar una ayuda económica a cambio de una contraprestación laboral </w:t>
      </w:r>
      <w:r>
        <w:t>o</w:t>
      </w:r>
      <w:r w:rsidRPr="00B14726">
        <w:t xml:space="preserve"> de entrenamiento y búsqueda de empleo, en donde se </w:t>
      </w:r>
      <w:r>
        <w:t>incluye</w:t>
      </w:r>
      <w:r w:rsidRPr="00B14726">
        <w:t xml:space="preserve"> al sistema de seguro de desempleo</w:t>
      </w:r>
      <w:r w:rsidRPr="00B14726">
        <w:rPr>
          <w:vertAlign w:val="superscript"/>
        </w:rPr>
        <w:footnoteReference w:id="26"/>
      </w:r>
      <w:r w:rsidRPr="00B14726">
        <w:t xml:space="preserve"> (programas de protección frente al desempleo) –del tipo </w:t>
      </w:r>
      <w:proofErr w:type="spellStart"/>
      <w:r w:rsidRPr="00B14726">
        <w:rPr>
          <w:i/>
        </w:rPr>
        <w:t>workfare</w:t>
      </w:r>
      <w:proofErr w:type="spellEnd"/>
      <w:r w:rsidRPr="00B14726">
        <w:t>-; y b) por otra, aquellos dirigidos a proveer de ingresos, alimentos, bienes o servicio de asistencia a familias en situación de emergencia o exclusión social, por lo general excluidas del mercado de trabajo formal y del régimen de la seguridad social (</w:t>
      </w:r>
      <w:r w:rsidRPr="00B14726">
        <w:rPr>
          <w:i/>
        </w:rPr>
        <w:t>programas de promoción o asistencia directa</w:t>
      </w:r>
      <w:r w:rsidRPr="00B14726">
        <w:t xml:space="preserve">, en donde se incluyen los programas de transferencia condicionada de ingresos) –del tipo </w:t>
      </w:r>
      <w:proofErr w:type="spellStart"/>
      <w:r w:rsidRPr="00B14726">
        <w:rPr>
          <w:i/>
        </w:rPr>
        <w:t>welfare</w:t>
      </w:r>
      <w:proofErr w:type="spellEnd"/>
      <w:r w:rsidRPr="00B14726">
        <w:t>-</w:t>
      </w:r>
      <w:r>
        <w:t xml:space="preserve"> (Moreno y Serrano Pascual, 2007)</w:t>
      </w:r>
      <w:r w:rsidRPr="00B14726">
        <w:t xml:space="preserve">. </w:t>
      </w:r>
      <w:r w:rsidR="009D1112">
        <w:t xml:space="preserve">En sus </w:t>
      </w:r>
      <w:r w:rsidR="009D1112">
        <w:lastRenderedPageBreak/>
        <w:t xml:space="preserve">diferentes formas, estos programas tienen como objetivo </w:t>
      </w:r>
      <w:r w:rsidR="00BF12DF">
        <w:t>central</w:t>
      </w:r>
      <w:r w:rsidR="009D1112" w:rsidRPr="00B14726">
        <w:t xml:space="preserve"> </w:t>
      </w:r>
      <w:r w:rsidR="009D1112">
        <w:t>posibilitar</w:t>
      </w:r>
      <w:r w:rsidR="009D1112" w:rsidRPr="00B14726">
        <w:t xml:space="preserve"> una transferencia de ingresos hacia los sectores más </w:t>
      </w:r>
      <w:r w:rsidR="009D1112">
        <w:t xml:space="preserve">vulnerables con el fin de reducir riesgos económicos; en un contexto, tal como fue analizado, de aumento, </w:t>
      </w:r>
      <w:r w:rsidR="00BF12DF">
        <w:t xml:space="preserve">luego </w:t>
      </w:r>
      <w:r w:rsidR="009D1112">
        <w:t>caída y posterior estancamiento de los índices de indigencia y de pobreza (Gráfico 1).</w:t>
      </w:r>
    </w:p>
    <w:p w:rsidR="00F86FD5" w:rsidRPr="00B14726" w:rsidRDefault="00CC1F81" w:rsidP="00F86FD5">
      <w:pPr>
        <w:spacing w:after="120"/>
        <w:jc w:val="both"/>
      </w:pPr>
      <w:r w:rsidRPr="00B14726">
        <w:t xml:space="preserve">Tal como se observa en los Gráficos </w:t>
      </w:r>
      <w:r w:rsidR="00F86FD5">
        <w:t>4</w:t>
      </w:r>
      <w:r w:rsidRPr="00B14726">
        <w:t xml:space="preserve"> y </w:t>
      </w:r>
      <w:r w:rsidR="00F86FD5">
        <w:t>5</w:t>
      </w:r>
      <w:r w:rsidRPr="00B14726">
        <w:t>,</w:t>
      </w:r>
      <w:r w:rsidR="009D1112">
        <w:t xml:space="preserve"> el gasto social consolidado en ambos tipos de programas experimentó un constante crecimiento, aunque no </w:t>
      </w:r>
      <w:r w:rsidRPr="00B14726">
        <w:t xml:space="preserve">con la misma intensidad según el </w:t>
      </w:r>
      <w:r w:rsidR="009D1112">
        <w:t>régimen</w:t>
      </w:r>
      <w:r w:rsidRPr="00B14726">
        <w:t xml:space="preserve"> político-económico y las condiciones sociales del país. </w:t>
      </w:r>
      <w:r w:rsidR="00F86FD5" w:rsidRPr="00B14726">
        <w:t xml:space="preserve">Por una parte, en el marco de las políticas neoliberales, si bien no perdieron vigencia los programas de asistencia directa, fueron ganando importancia los </w:t>
      </w:r>
      <w:r w:rsidR="00F86FD5">
        <w:t>sistemas</w:t>
      </w:r>
      <w:r w:rsidR="00F86FD5" w:rsidRPr="00B14726">
        <w:t xml:space="preserve"> de protección al desempleo fundados en el modelo </w:t>
      </w:r>
      <w:proofErr w:type="spellStart"/>
      <w:r w:rsidR="00F86FD5" w:rsidRPr="00B14726">
        <w:rPr>
          <w:i/>
        </w:rPr>
        <w:t>workfare</w:t>
      </w:r>
      <w:proofErr w:type="spellEnd"/>
      <w:r w:rsidR="00F86FD5">
        <w:t xml:space="preserve"> (</w:t>
      </w:r>
      <w:proofErr w:type="spellStart"/>
      <w:r w:rsidR="00F86FD5">
        <w:t>p.e</w:t>
      </w:r>
      <w:proofErr w:type="spellEnd"/>
      <w:r w:rsidR="00F86FD5">
        <w:t xml:space="preserve">. </w:t>
      </w:r>
      <w:r w:rsidR="00F86FD5" w:rsidRPr="00B14726">
        <w:t>programa</w:t>
      </w:r>
      <w:r w:rsidR="00F86FD5">
        <w:t>s</w:t>
      </w:r>
      <w:r w:rsidR="00F86FD5" w:rsidRPr="00B14726">
        <w:t xml:space="preserve"> Trabajar, Integración Comunitaria, Desarrollo Local, Manos a </w:t>
      </w:r>
      <w:smartTag w:uri="urn:schemas-microsoft-com:office:smarttags" w:element="PersonName">
        <w:smartTagPr>
          <w:attr w:name="ProductID" w:val="la Obra"/>
        </w:smartTagPr>
        <w:r w:rsidR="00F86FD5" w:rsidRPr="00B14726">
          <w:t>la Obra</w:t>
        </w:r>
      </w:smartTag>
      <w:r w:rsidR="00F86FD5" w:rsidRPr="00B14726">
        <w:t>, Proyecto Joven, entre otros</w:t>
      </w:r>
      <w:r w:rsidR="00F86FD5">
        <w:t>)</w:t>
      </w:r>
      <w:r w:rsidR="00F86FD5" w:rsidRPr="00B14726">
        <w:t xml:space="preserve">. </w:t>
      </w:r>
      <w:r w:rsidR="00F86FD5">
        <w:t>E</w:t>
      </w:r>
      <w:r w:rsidR="00F86FD5" w:rsidRPr="00B14726">
        <w:t>sta línea de asistencia dirigida a sectores pobres desocupados de baja calificación alcanzó su mayor desarrollo en 2003, como corolario de la crisis 2001-2002, en el marco del lanzamiento del programa Jefes/as de Hogar Desocupados (PJHD).</w:t>
      </w:r>
      <w:r w:rsidR="00F86FD5" w:rsidRPr="00B14726">
        <w:rPr>
          <w:vertAlign w:val="superscript"/>
        </w:rPr>
        <w:t xml:space="preserve"> </w:t>
      </w:r>
      <w:r w:rsidR="00F86FD5" w:rsidRPr="00B14726">
        <w:rPr>
          <w:vertAlign w:val="superscript"/>
        </w:rPr>
        <w:footnoteReference w:id="27"/>
      </w:r>
      <w:r w:rsidR="00F86FD5" w:rsidRPr="00B14726">
        <w:t xml:space="preserve"> </w:t>
      </w:r>
      <w:r w:rsidR="00F86FD5">
        <w:t>C</w:t>
      </w:r>
      <w:r w:rsidR="00F86FD5" w:rsidRPr="00B14726">
        <w:t xml:space="preserve">abe tomar en cuenta que entre 1992 y 2001, la participación agregada en el PIB de estos programas de lucha contra la pobreza pasó de 1% a 1,7%, y que como efecto del PJHD, esta participación subió en </w:t>
      </w:r>
      <w:smartTag w:uri="urn:schemas-microsoft-com:office:smarttags" w:element="metricconverter">
        <w:smartTagPr>
          <w:attr w:name="ProductID" w:val="2003 a"/>
        </w:smartTagPr>
        <w:r w:rsidR="00F86FD5" w:rsidRPr="00B14726">
          <w:t>2003 a</w:t>
        </w:r>
      </w:smartTag>
      <w:r w:rsidR="00F86FD5" w:rsidRPr="00B14726">
        <w:t xml:space="preserve"> 2,5%.</w:t>
      </w:r>
    </w:p>
    <w:p w:rsidR="005D2997" w:rsidRDefault="005D2997" w:rsidP="00CC1F81">
      <w:pPr>
        <w:jc w:val="both"/>
        <w:rPr>
          <w:b/>
          <w:lang w:eastAsia="es-AR"/>
        </w:rPr>
      </w:pPr>
    </w:p>
    <w:p w:rsidR="00CC1F81" w:rsidRPr="00B14726" w:rsidRDefault="00CC1F81" w:rsidP="00CC1F81">
      <w:pPr>
        <w:jc w:val="both"/>
        <w:rPr>
          <w:b/>
        </w:rPr>
      </w:pPr>
      <w:r w:rsidRPr="00B14726">
        <w:rPr>
          <w:b/>
          <w:lang w:eastAsia="es-AR"/>
        </w:rPr>
        <w:t xml:space="preserve">Gráfico </w:t>
      </w:r>
      <w:r w:rsidR="00F86FD5">
        <w:rPr>
          <w:b/>
          <w:lang w:eastAsia="es-AR"/>
        </w:rPr>
        <w:t>4</w:t>
      </w:r>
      <w:r w:rsidRPr="00B14726">
        <w:rPr>
          <w:b/>
          <w:lang w:eastAsia="es-AR"/>
        </w:rPr>
        <w:t xml:space="preserve">. Gasto Público Social consolidado per cápita en Programas de Protección contra la Pobreza. </w:t>
      </w:r>
      <w:r w:rsidR="00F5637D" w:rsidRPr="00F5637D">
        <w:rPr>
          <w:b/>
          <w:lang w:eastAsia="es-AR"/>
        </w:rPr>
        <w:t xml:space="preserve">Período: 1992-2012. </w:t>
      </w:r>
      <w:r w:rsidRPr="00B14726">
        <w:rPr>
          <w:b/>
          <w:lang w:eastAsia="es-AR"/>
        </w:rPr>
        <w:t xml:space="preserve">En pesos de 1993 per cápita. </w:t>
      </w:r>
    </w:p>
    <w:p w:rsidR="00CC1F81" w:rsidRPr="00B14726" w:rsidRDefault="00AC5ADE" w:rsidP="00CC1F81">
      <w:pPr>
        <w:spacing w:line="360" w:lineRule="auto"/>
        <w:jc w:val="center"/>
        <w:rPr>
          <w:b/>
          <w:lang w:eastAsia="es-AR"/>
        </w:rPr>
      </w:pPr>
      <w:r>
        <w:rPr>
          <w:b/>
          <w:noProof/>
          <w:lang w:val="es-AR" w:eastAsia="es-AR"/>
        </w:rPr>
        <w:drawing>
          <wp:inline distT="0" distB="0" distL="0" distR="0">
            <wp:extent cx="5059680" cy="319659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9680" cy="3196590"/>
                    </a:xfrm>
                    <a:prstGeom prst="rect">
                      <a:avLst/>
                    </a:prstGeom>
                    <a:noFill/>
                  </pic:spPr>
                </pic:pic>
              </a:graphicData>
            </a:graphic>
          </wp:inline>
        </w:drawing>
      </w:r>
    </w:p>
    <w:p w:rsidR="00CC1F81" w:rsidRPr="00B14726" w:rsidRDefault="00CC1F81" w:rsidP="00CC1F81">
      <w:pPr>
        <w:autoSpaceDE w:val="0"/>
        <w:autoSpaceDN w:val="0"/>
        <w:adjustRightInd w:val="0"/>
        <w:spacing w:after="120"/>
        <w:jc w:val="both"/>
        <w:rPr>
          <w:sz w:val="18"/>
          <w:szCs w:val="18"/>
          <w:lang w:eastAsia="es-AR"/>
        </w:rPr>
      </w:pPr>
      <w:r w:rsidRPr="00B14726">
        <w:rPr>
          <w:sz w:val="18"/>
          <w:szCs w:val="18"/>
          <w:lang w:eastAsia="es-AR"/>
        </w:rPr>
        <w:t>Fuente: elaboración propia en base a Dirección de Análisis de Gasto Público y Programas Sociales (MECON) e INDEC</w:t>
      </w:r>
    </w:p>
    <w:p w:rsidR="00841D85" w:rsidRDefault="00841D85" w:rsidP="00CC1F81">
      <w:pPr>
        <w:jc w:val="both"/>
        <w:rPr>
          <w:b/>
          <w:lang w:eastAsia="es-AR"/>
        </w:rPr>
      </w:pPr>
    </w:p>
    <w:p w:rsidR="0079146D" w:rsidRDefault="0079146D" w:rsidP="00CC1F81">
      <w:pPr>
        <w:jc w:val="both"/>
        <w:rPr>
          <w:b/>
          <w:lang w:eastAsia="es-AR"/>
        </w:rPr>
      </w:pPr>
    </w:p>
    <w:p w:rsidR="00CC1F81" w:rsidRPr="00B14726" w:rsidRDefault="00CC1F81" w:rsidP="00CC1F81">
      <w:pPr>
        <w:jc w:val="both"/>
        <w:rPr>
          <w:b/>
          <w:lang w:eastAsia="es-AR"/>
        </w:rPr>
      </w:pPr>
      <w:r w:rsidRPr="00B14726">
        <w:rPr>
          <w:b/>
          <w:lang w:eastAsia="es-AR"/>
        </w:rPr>
        <w:lastRenderedPageBreak/>
        <w:t xml:space="preserve">Gráfico </w:t>
      </w:r>
      <w:r w:rsidR="00F86FD5">
        <w:rPr>
          <w:b/>
          <w:lang w:eastAsia="es-AR"/>
        </w:rPr>
        <w:t>5</w:t>
      </w:r>
      <w:r w:rsidRPr="00B14726">
        <w:rPr>
          <w:b/>
          <w:lang w:eastAsia="es-AR"/>
        </w:rPr>
        <w:t xml:space="preserve">. Gasto Público Social consolidado en Programas de Protección contra la Pobreza. </w:t>
      </w:r>
      <w:r w:rsidR="00F5637D" w:rsidRPr="00F5637D">
        <w:rPr>
          <w:b/>
          <w:lang w:eastAsia="es-AR"/>
        </w:rPr>
        <w:t xml:space="preserve">Período: 1992-2012. </w:t>
      </w:r>
      <w:r w:rsidRPr="00B14726">
        <w:rPr>
          <w:b/>
          <w:lang w:eastAsia="es-AR"/>
        </w:rPr>
        <w:t xml:space="preserve">En porcentaje del PIB. </w:t>
      </w:r>
    </w:p>
    <w:p w:rsidR="00CC1F81" w:rsidRPr="00B14726" w:rsidRDefault="00AC5ADE" w:rsidP="00CC1F81">
      <w:pPr>
        <w:jc w:val="center"/>
        <w:rPr>
          <w:lang w:eastAsia="es-AR"/>
        </w:rPr>
      </w:pPr>
      <w:r>
        <w:rPr>
          <w:noProof/>
          <w:lang w:val="es-AR" w:eastAsia="es-AR"/>
        </w:rPr>
        <w:drawing>
          <wp:inline distT="0" distB="0" distL="0" distR="0">
            <wp:extent cx="5015230" cy="323659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5230" cy="3236595"/>
                    </a:xfrm>
                    <a:prstGeom prst="rect">
                      <a:avLst/>
                    </a:prstGeom>
                    <a:noFill/>
                  </pic:spPr>
                </pic:pic>
              </a:graphicData>
            </a:graphic>
          </wp:inline>
        </w:drawing>
      </w:r>
    </w:p>
    <w:p w:rsidR="00CC1F81" w:rsidRPr="00B14726" w:rsidRDefault="00CC1F81" w:rsidP="00CC1F81">
      <w:pPr>
        <w:autoSpaceDE w:val="0"/>
        <w:autoSpaceDN w:val="0"/>
        <w:adjustRightInd w:val="0"/>
        <w:spacing w:after="120"/>
        <w:jc w:val="both"/>
        <w:rPr>
          <w:sz w:val="18"/>
          <w:szCs w:val="18"/>
          <w:lang w:eastAsia="es-AR"/>
        </w:rPr>
      </w:pPr>
      <w:r w:rsidRPr="00B14726">
        <w:rPr>
          <w:sz w:val="18"/>
          <w:szCs w:val="18"/>
          <w:lang w:eastAsia="es-AR"/>
        </w:rPr>
        <w:t>Fuente: elaboración propia en base a Dirección de Análisis de Gasto Público y Programas Sociales (MECON) e INDEC.</w:t>
      </w:r>
    </w:p>
    <w:p w:rsidR="00CC1F81" w:rsidRPr="00B14726" w:rsidRDefault="00DF3DF7" w:rsidP="00CC1F81">
      <w:pPr>
        <w:spacing w:after="120"/>
        <w:jc w:val="both"/>
      </w:pPr>
      <w:r>
        <w:t>A</w:t>
      </w:r>
      <w:r w:rsidR="00CC1F81" w:rsidRPr="00B14726">
        <w:t xml:space="preserve"> partir de </w:t>
      </w:r>
      <w:r w:rsidR="00F86FD5">
        <w:t>2003</w:t>
      </w:r>
      <w:r w:rsidR="00CC1F81" w:rsidRPr="00B14726">
        <w:t xml:space="preserve">, en un contexto de recuperación económica, aumento de la demanda de empleo y reducción de la pobreza, la cantidad de beneficiarios del PJHD comenzó a retroceder.  Esto estuvo acompañado de un cambio de paradigma en la concepción de los programas de lucha contra la pobreza por parte del Banco Mundial y el BID. Los nuevos programas de protección al desempleo –como alternativa al PJHD- buscaron una mayor focalización y tendieron a orientarse hacia acciones del tipo </w:t>
      </w:r>
      <w:proofErr w:type="spellStart"/>
      <w:r w:rsidR="00CC1F81" w:rsidRPr="00B14726">
        <w:rPr>
          <w:i/>
        </w:rPr>
        <w:t>welfare</w:t>
      </w:r>
      <w:proofErr w:type="spellEnd"/>
      <w:r w:rsidR="00CC1F81" w:rsidRPr="00B14726">
        <w:rPr>
          <w:i/>
        </w:rPr>
        <w:t xml:space="preserve"> </w:t>
      </w:r>
      <w:r w:rsidR="00CC1F81" w:rsidRPr="00B14726">
        <w:t xml:space="preserve">(Seguro de Capacitación y Empleo, Más y Mejor Trabajo, Terminalidad Educativa, entre otros). En 2012, el nivel de participación en el PIB de estos dispositivos volvió a los valores de inicio de la década del noventa (entre 0,2% y 0,3% del PIB).  </w:t>
      </w:r>
    </w:p>
    <w:p w:rsidR="00CC1F81" w:rsidRDefault="00CC1F81" w:rsidP="00CC1F81">
      <w:pPr>
        <w:spacing w:after="120"/>
        <w:jc w:val="both"/>
      </w:pPr>
      <w:r w:rsidRPr="00B14726">
        <w:t>En sentido inverso, en la medida que los programas de promoción y asistencia directa (Plan Familia</w:t>
      </w:r>
      <w:r w:rsidRPr="00B14726">
        <w:rPr>
          <w:vertAlign w:val="superscript"/>
        </w:rPr>
        <w:footnoteReference w:id="28"/>
      </w:r>
      <w:r w:rsidRPr="00B14726">
        <w:t xml:space="preserve">, Pensiones no Contributivas, </w:t>
      </w:r>
      <w:r w:rsidR="006F5964">
        <w:t>Programa Nacional Alimentario</w:t>
      </w:r>
      <w:r w:rsidRPr="00B14726">
        <w:t xml:space="preserve">, etc.) </w:t>
      </w:r>
      <w:r w:rsidR="00565C13">
        <w:t>iban</w:t>
      </w:r>
      <w:r w:rsidRPr="00B14726">
        <w:t xml:space="preserve"> </w:t>
      </w:r>
      <w:r w:rsidR="00565C13">
        <w:t>absorbiendo</w:t>
      </w:r>
      <w:r w:rsidRPr="00B14726">
        <w:t xml:space="preserve"> a los remanentes más pobres y no empleables del PJHD, el gasto en materia de estos programas </w:t>
      </w:r>
      <w:r w:rsidR="00565C13">
        <w:t>fue creciendo</w:t>
      </w:r>
      <w:r w:rsidRPr="00B14726">
        <w:t xml:space="preserve"> de manera constante. Sin embargo, estos sistemas no </w:t>
      </w:r>
      <w:r w:rsidR="00565C13">
        <w:t>eran suficientes para atender</w:t>
      </w:r>
      <w:r w:rsidRPr="00B14726">
        <w:t xml:space="preserve"> </w:t>
      </w:r>
      <w:r w:rsidR="00565C13">
        <w:t xml:space="preserve">el deterioro económico y el creciente malestar que generan sobre los sectores </w:t>
      </w:r>
      <w:r w:rsidR="006A33A3">
        <w:t>más marginales</w:t>
      </w:r>
      <w:r w:rsidRPr="00B14726">
        <w:t xml:space="preserve"> los efectos recesivos de la crisis financiera internacional y la persistente inflación. En ese contexto, en 2009-2010, </w:t>
      </w:r>
      <w:r w:rsidR="008A7CE5">
        <w:t>el gobierno implementó</w:t>
      </w:r>
      <w:r w:rsidRPr="00B14726">
        <w:t xml:space="preserve"> un régimen más amplio de transferencia condicionada de ingresos denominado Asignación Universal por Hijo</w:t>
      </w:r>
      <w:r w:rsidR="006A33A3">
        <w:t xml:space="preserve"> (AUH)</w:t>
      </w:r>
      <w:r w:rsidRPr="00B14726">
        <w:t>.</w:t>
      </w:r>
      <w:r w:rsidR="00AA71AE" w:rsidRPr="00B14726">
        <w:rPr>
          <w:vertAlign w:val="superscript"/>
        </w:rPr>
        <w:footnoteReference w:id="29"/>
      </w:r>
      <w:r w:rsidRPr="00B14726">
        <w:t xml:space="preserve"> </w:t>
      </w:r>
      <w:r w:rsidR="006A33A3">
        <w:t>En ese contexto, el</w:t>
      </w:r>
      <w:r w:rsidRPr="00B14726">
        <w:t xml:space="preserve"> gasto </w:t>
      </w:r>
      <w:r w:rsidRPr="00B14726">
        <w:lastRenderedPageBreak/>
        <w:t xml:space="preserve">comprendido en los programas de lucha contra la pobreza alcanzó su máxima participación en el PIB con 2,8%.  </w:t>
      </w:r>
    </w:p>
    <w:p w:rsidR="0079146D" w:rsidRDefault="0079146D" w:rsidP="002F18BE">
      <w:pPr>
        <w:autoSpaceDE w:val="0"/>
        <w:autoSpaceDN w:val="0"/>
        <w:adjustRightInd w:val="0"/>
        <w:spacing w:after="120"/>
        <w:jc w:val="both"/>
        <w:rPr>
          <w:b/>
          <w:lang w:eastAsia="es-AR"/>
        </w:rPr>
      </w:pPr>
    </w:p>
    <w:p w:rsidR="002F18BE" w:rsidRPr="0059201C" w:rsidRDefault="00AB37E2" w:rsidP="002F18BE">
      <w:pPr>
        <w:autoSpaceDE w:val="0"/>
        <w:autoSpaceDN w:val="0"/>
        <w:adjustRightInd w:val="0"/>
        <w:spacing w:after="120"/>
        <w:jc w:val="both"/>
        <w:rPr>
          <w:b/>
          <w:lang w:eastAsia="es-AR"/>
        </w:rPr>
      </w:pPr>
      <w:r w:rsidRPr="0059201C">
        <w:rPr>
          <w:b/>
          <w:lang w:eastAsia="es-AR"/>
        </w:rPr>
        <w:t>8</w:t>
      </w:r>
      <w:r w:rsidR="002F18BE" w:rsidRPr="0059201C">
        <w:rPr>
          <w:b/>
          <w:lang w:eastAsia="es-AR"/>
        </w:rPr>
        <w:t>. Los programas de protección contra la pobreza y la previsión social. Impacto a nivel de los hogares.</w:t>
      </w:r>
    </w:p>
    <w:p w:rsidR="005F4517" w:rsidRDefault="002F18BE" w:rsidP="00B32068">
      <w:pPr>
        <w:autoSpaceDE w:val="0"/>
        <w:autoSpaceDN w:val="0"/>
        <w:adjustRightInd w:val="0"/>
        <w:spacing w:after="120"/>
        <w:jc w:val="both"/>
        <w:rPr>
          <w:lang w:eastAsia="es-AR"/>
        </w:rPr>
      </w:pPr>
      <w:r w:rsidRPr="00841D85">
        <w:rPr>
          <w:lang w:eastAsia="es-AR"/>
        </w:rPr>
        <w:t>Una vez identificados los cambios ocurridos a nivel</w:t>
      </w:r>
      <w:r w:rsidRPr="00841D85">
        <w:rPr>
          <w:i/>
          <w:lang w:eastAsia="es-AR"/>
        </w:rPr>
        <w:t xml:space="preserve"> agregado</w:t>
      </w:r>
      <w:r w:rsidRPr="00841D85">
        <w:rPr>
          <w:lang w:eastAsia="es-AR"/>
        </w:rPr>
        <w:t xml:space="preserve"> en materia de gasto social durante las últimas dos décadas, en este apartado interesa preguntarse: ¿qué </w:t>
      </w:r>
      <w:r w:rsidR="00DD7E94">
        <w:rPr>
          <w:lang w:eastAsia="es-AR"/>
        </w:rPr>
        <w:t xml:space="preserve">alcance </w:t>
      </w:r>
      <w:r w:rsidRPr="00841D85">
        <w:rPr>
          <w:lang w:eastAsia="es-AR"/>
        </w:rPr>
        <w:t>tuvieron las transferencias previsionales (el sistema de jubilaciones y pensiones) y los instrumentos de promoción y asistencia social directa –caracterizados como programas de protección contra la pobreza- sobre los ingresos de los hogares? ¿Qué proporción de hogares ha contado con este tipo de ingresos a lo largo de la fase considerada</w:t>
      </w:r>
      <w:r w:rsidRPr="00F5637D">
        <w:rPr>
          <w:lang w:eastAsia="es-AR"/>
        </w:rPr>
        <w:t>?</w:t>
      </w:r>
      <w:r w:rsidRPr="00F5637D">
        <w:rPr>
          <w:vertAlign w:val="superscript"/>
          <w:lang w:eastAsia="es-AR"/>
        </w:rPr>
        <w:footnoteReference w:id="30"/>
      </w:r>
      <w:r w:rsidRPr="00841D85">
        <w:rPr>
          <w:lang w:eastAsia="es-AR"/>
        </w:rPr>
        <w:t xml:space="preserve"> </w:t>
      </w:r>
      <w:r w:rsidR="005F4517">
        <w:rPr>
          <w:lang w:eastAsia="es-AR"/>
        </w:rPr>
        <w:t>. Las Tablas 4 y 5 dan cuenta de estos comportamientos.</w:t>
      </w:r>
    </w:p>
    <w:p w:rsidR="00B32068" w:rsidRDefault="002F18BE" w:rsidP="00B32068">
      <w:pPr>
        <w:autoSpaceDE w:val="0"/>
        <w:autoSpaceDN w:val="0"/>
        <w:adjustRightInd w:val="0"/>
        <w:spacing w:after="120"/>
        <w:jc w:val="both"/>
        <w:rPr>
          <w:b/>
          <w:bCs/>
          <w:lang w:val="es-AR" w:eastAsia="es-AR"/>
        </w:rPr>
      </w:pPr>
      <w:r w:rsidRPr="00841D85">
        <w:rPr>
          <w:lang w:eastAsia="es-AR"/>
        </w:rPr>
        <w:t xml:space="preserve"> </w:t>
      </w:r>
      <w:r w:rsidR="00B32068" w:rsidRPr="00841D85">
        <w:rPr>
          <w:b/>
          <w:bCs/>
          <w:lang w:val="es-AR" w:eastAsia="es-AR"/>
        </w:rPr>
        <w:t xml:space="preserve">Tabla </w:t>
      </w:r>
      <w:r w:rsidR="009B3A2C">
        <w:rPr>
          <w:b/>
          <w:bCs/>
          <w:lang w:val="es-AR" w:eastAsia="es-AR"/>
        </w:rPr>
        <w:t>4</w:t>
      </w:r>
      <w:r w:rsidR="00B32068" w:rsidRPr="00841D85">
        <w:rPr>
          <w:b/>
          <w:bCs/>
          <w:lang w:val="es-AR" w:eastAsia="es-AR"/>
        </w:rPr>
        <w:t>. Hogares perceptores de programas sociales y de transferencias por jubilacio</w:t>
      </w:r>
      <w:r w:rsidR="00DE7A6A">
        <w:rPr>
          <w:b/>
          <w:bCs/>
          <w:lang w:val="es-AR" w:eastAsia="es-AR"/>
        </w:rPr>
        <w:t>nes/pensiones. Gran Buenos Aires</w:t>
      </w:r>
      <w:r w:rsidR="00F5637D">
        <w:rPr>
          <w:b/>
          <w:bCs/>
          <w:lang w:val="es-AR" w:eastAsia="es-AR"/>
        </w:rPr>
        <w:t xml:space="preserve">: 1992-2012. </w:t>
      </w:r>
      <w:r w:rsidR="00B32068" w:rsidRPr="00841D85">
        <w:rPr>
          <w:b/>
          <w:bCs/>
          <w:lang w:val="es-AR" w:eastAsia="es-AR"/>
        </w:rPr>
        <w:t xml:space="preserve">En </w:t>
      </w:r>
      <w:r w:rsidR="00841D85" w:rsidRPr="00841D85">
        <w:rPr>
          <w:b/>
          <w:bCs/>
          <w:lang w:val="es-AR" w:eastAsia="es-AR"/>
        </w:rPr>
        <w:t xml:space="preserve">porcentaje </w:t>
      </w:r>
      <w:r w:rsidR="00B32068" w:rsidRPr="00841D85">
        <w:rPr>
          <w:b/>
          <w:bCs/>
          <w:lang w:val="es-AR" w:eastAsia="es-AR"/>
        </w:rPr>
        <w:t xml:space="preserve">de hogares.   </w:t>
      </w:r>
    </w:p>
    <w:tbl>
      <w:tblPr>
        <w:tblW w:w="5000" w:type="pct"/>
        <w:jc w:val="center"/>
        <w:tblLayout w:type="fixed"/>
        <w:tblCellMar>
          <w:left w:w="70" w:type="dxa"/>
          <w:right w:w="70" w:type="dxa"/>
        </w:tblCellMar>
        <w:tblLook w:val="04A0" w:firstRow="1" w:lastRow="0" w:firstColumn="1" w:lastColumn="0" w:noHBand="0" w:noVBand="1"/>
      </w:tblPr>
      <w:tblGrid>
        <w:gridCol w:w="2625"/>
        <w:gridCol w:w="847"/>
        <w:gridCol w:w="711"/>
        <w:gridCol w:w="707"/>
        <w:gridCol w:w="856"/>
        <w:gridCol w:w="724"/>
        <w:gridCol w:w="757"/>
        <w:gridCol w:w="755"/>
        <w:gridCol w:w="648"/>
        <w:gridCol w:w="14"/>
      </w:tblGrid>
      <w:tr w:rsidR="00B911C6" w:rsidRPr="00055720" w:rsidTr="0024655C">
        <w:trPr>
          <w:trHeight w:val="267"/>
          <w:jc w:val="center"/>
        </w:trPr>
        <w:tc>
          <w:tcPr>
            <w:tcW w:w="1518" w:type="pct"/>
            <w:vMerge w:val="restart"/>
            <w:tcBorders>
              <w:top w:val="single" w:sz="8" w:space="0" w:color="auto"/>
              <w:left w:val="single" w:sz="8" w:space="0" w:color="auto"/>
              <w:right w:val="single" w:sz="8" w:space="0" w:color="auto"/>
            </w:tcBorders>
            <w:shd w:val="clear" w:color="000000" w:fill="FFFFFF"/>
            <w:noWrap/>
            <w:vAlign w:val="center"/>
            <w:hideMark/>
          </w:tcPr>
          <w:p w:rsidR="00B911C6" w:rsidRPr="00B911C6" w:rsidRDefault="00B911C6" w:rsidP="00DE7A6A">
            <w:pPr>
              <w:jc w:val="center"/>
              <w:rPr>
                <w:b/>
                <w:sz w:val="18"/>
                <w:szCs w:val="18"/>
                <w:lang w:val="es-AR" w:eastAsia="es-AR"/>
              </w:rPr>
            </w:pPr>
            <w:r w:rsidRPr="00B911C6">
              <w:rPr>
                <w:b/>
                <w:sz w:val="18"/>
                <w:szCs w:val="18"/>
                <w:lang w:val="es-AR" w:eastAsia="es-AR"/>
              </w:rPr>
              <w:t>Hogares beneficiarios</w:t>
            </w:r>
          </w:p>
        </w:tc>
        <w:tc>
          <w:tcPr>
            <w:tcW w:w="1310" w:type="pct"/>
            <w:gridSpan w:val="3"/>
            <w:tcBorders>
              <w:top w:val="single" w:sz="8" w:space="0" w:color="auto"/>
              <w:left w:val="nil"/>
              <w:bottom w:val="nil"/>
              <w:right w:val="nil"/>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Etapa de reformas estructurales</w:t>
            </w:r>
          </w:p>
        </w:tc>
        <w:tc>
          <w:tcPr>
            <w:tcW w:w="914" w:type="pct"/>
            <w:gridSpan w:val="2"/>
            <w:tcBorders>
              <w:top w:val="single" w:sz="8" w:space="0" w:color="auto"/>
              <w:left w:val="single" w:sz="8" w:space="0" w:color="auto"/>
              <w:bottom w:val="nil"/>
              <w:right w:val="single" w:sz="8" w:space="0" w:color="000000"/>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Ciclo de crisis y recuperación</w:t>
            </w:r>
          </w:p>
        </w:tc>
        <w:tc>
          <w:tcPr>
            <w:tcW w:w="1258" w:type="pct"/>
            <w:gridSpan w:val="4"/>
            <w:tcBorders>
              <w:top w:val="single" w:sz="8" w:space="0" w:color="auto"/>
              <w:left w:val="nil"/>
              <w:bottom w:val="nil"/>
              <w:right w:val="single" w:sz="8" w:space="0" w:color="000000"/>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Etapa de políticas heterodoxas</w:t>
            </w:r>
          </w:p>
        </w:tc>
      </w:tr>
      <w:tr w:rsidR="00B911C6" w:rsidRPr="00EF79DC" w:rsidTr="0024655C">
        <w:trPr>
          <w:trHeight w:val="267"/>
          <w:jc w:val="center"/>
        </w:trPr>
        <w:tc>
          <w:tcPr>
            <w:tcW w:w="1518" w:type="pct"/>
            <w:vMerge/>
            <w:tcBorders>
              <w:left w:val="single" w:sz="8" w:space="0" w:color="auto"/>
              <w:bottom w:val="single" w:sz="4" w:space="0" w:color="auto"/>
              <w:right w:val="single" w:sz="8" w:space="0" w:color="auto"/>
            </w:tcBorders>
            <w:shd w:val="clear" w:color="000000" w:fill="FFFFFF"/>
            <w:noWrap/>
            <w:vAlign w:val="center"/>
            <w:hideMark/>
          </w:tcPr>
          <w:p w:rsidR="00B911C6" w:rsidRPr="00055720" w:rsidRDefault="00B911C6" w:rsidP="00DE7A6A">
            <w:pPr>
              <w:jc w:val="center"/>
              <w:rPr>
                <w:sz w:val="18"/>
                <w:szCs w:val="18"/>
                <w:lang w:val="es-AR" w:eastAsia="es-AR"/>
              </w:rPr>
            </w:pPr>
          </w:p>
        </w:tc>
        <w:tc>
          <w:tcPr>
            <w:tcW w:w="490"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1992</w:t>
            </w:r>
          </w:p>
        </w:tc>
        <w:tc>
          <w:tcPr>
            <w:tcW w:w="411" w:type="pct"/>
            <w:tcBorders>
              <w:top w:val="single" w:sz="8" w:space="0" w:color="auto"/>
              <w:left w:val="nil"/>
              <w:bottom w:val="single" w:sz="4" w:space="0" w:color="auto"/>
              <w:right w:val="single" w:sz="4" w:space="0" w:color="auto"/>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1994</w:t>
            </w:r>
          </w:p>
        </w:tc>
        <w:tc>
          <w:tcPr>
            <w:tcW w:w="409" w:type="pct"/>
            <w:tcBorders>
              <w:top w:val="single" w:sz="8" w:space="0" w:color="auto"/>
              <w:left w:val="nil"/>
              <w:bottom w:val="single" w:sz="4" w:space="0" w:color="auto"/>
              <w:right w:val="nil"/>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1998</w:t>
            </w:r>
          </w:p>
        </w:tc>
        <w:tc>
          <w:tcPr>
            <w:tcW w:w="495"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2001</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2003</w:t>
            </w:r>
          </w:p>
        </w:tc>
        <w:tc>
          <w:tcPr>
            <w:tcW w:w="438" w:type="pct"/>
            <w:tcBorders>
              <w:top w:val="single" w:sz="8" w:space="0" w:color="auto"/>
              <w:left w:val="nil"/>
              <w:bottom w:val="single" w:sz="4" w:space="0" w:color="auto"/>
              <w:right w:val="single" w:sz="4" w:space="0" w:color="auto"/>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2004</w:t>
            </w:r>
          </w:p>
        </w:tc>
        <w:tc>
          <w:tcPr>
            <w:tcW w:w="437" w:type="pct"/>
            <w:tcBorders>
              <w:top w:val="single" w:sz="8" w:space="0" w:color="auto"/>
              <w:left w:val="nil"/>
              <w:bottom w:val="single" w:sz="4" w:space="0" w:color="auto"/>
              <w:right w:val="single" w:sz="4" w:space="0" w:color="auto"/>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2007</w:t>
            </w:r>
          </w:p>
        </w:tc>
        <w:tc>
          <w:tcPr>
            <w:tcW w:w="383" w:type="pct"/>
            <w:gridSpan w:val="2"/>
            <w:tcBorders>
              <w:top w:val="single" w:sz="8" w:space="0" w:color="auto"/>
              <w:left w:val="nil"/>
              <w:bottom w:val="single" w:sz="4" w:space="0" w:color="auto"/>
              <w:right w:val="single" w:sz="8" w:space="0" w:color="auto"/>
            </w:tcBorders>
            <w:shd w:val="clear" w:color="000000" w:fill="FFFFFF"/>
            <w:noWrap/>
            <w:vAlign w:val="center"/>
            <w:hideMark/>
          </w:tcPr>
          <w:p w:rsidR="00B911C6" w:rsidRPr="00055720" w:rsidRDefault="00B911C6" w:rsidP="00DE7A6A">
            <w:pPr>
              <w:jc w:val="center"/>
              <w:rPr>
                <w:b/>
                <w:bCs/>
                <w:sz w:val="18"/>
                <w:szCs w:val="18"/>
                <w:lang w:val="es-AR" w:eastAsia="es-AR"/>
              </w:rPr>
            </w:pPr>
            <w:r w:rsidRPr="00055720">
              <w:rPr>
                <w:b/>
                <w:bCs/>
                <w:sz w:val="18"/>
                <w:szCs w:val="18"/>
                <w:lang w:val="es-AR" w:eastAsia="es-AR"/>
              </w:rPr>
              <w:t>2012</w:t>
            </w:r>
          </w:p>
        </w:tc>
      </w:tr>
      <w:tr w:rsidR="00DE7A6A" w:rsidRPr="00DD7E94" w:rsidTr="00DE7A6A">
        <w:trPr>
          <w:trHeight w:val="252"/>
          <w:jc w:val="center"/>
        </w:trPr>
        <w:tc>
          <w:tcPr>
            <w:tcW w:w="15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9D0FD0">
            <w:pPr>
              <w:rPr>
                <w:b/>
                <w:sz w:val="22"/>
                <w:szCs w:val="22"/>
              </w:rPr>
            </w:pPr>
            <w:r w:rsidRPr="00DE7A6A">
              <w:rPr>
                <w:b/>
                <w:sz w:val="22"/>
                <w:szCs w:val="22"/>
              </w:rPr>
              <w:t>Jubilaciones/pensiones o programas sociales</w:t>
            </w:r>
            <w:r w:rsidR="00DE7A6A" w:rsidRPr="00DE7A6A">
              <w:rPr>
                <w:b/>
                <w:sz w:val="22"/>
                <w:szCs w:val="22"/>
              </w:rPr>
              <w:t xml:space="preserve"> </w:t>
            </w:r>
          </w:p>
        </w:tc>
        <w:tc>
          <w:tcPr>
            <w:tcW w:w="4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32,7</w:t>
            </w:r>
          </w:p>
        </w:tc>
        <w:tc>
          <w:tcPr>
            <w:tcW w:w="4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33,3</w:t>
            </w:r>
          </w:p>
        </w:tc>
        <w:tc>
          <w:tcPr>
            <w:tcW w:w="4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31,4</w:t>
            </w:r>
          </w:p>
        </w:tc>
        <w:tc>
          <w:tcPr>
            <w:tcW w:w="4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28,8</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39,3</w:t>
            </w:r>
          </w:p>
        </w:tc>
        <w:tc>
          <w:tcPr>
            <w:tcW w:w="4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35,9</w:t>
            </w:r>
          </w:p>
        </w:tc>
        <w:tc>
          <w:tcPr>
            <w:tcW w:w="4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34,6</w:t>
            </w:r>
          </w:p>
        </w:tc>
        <w:tc>
          <w:tcPr>
            <w:tcW w:w="3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
                <w:bCs/>
                <w:sz w:val="20"/>
                <w:szCs w:val="20"/>
                <w:lang w:val="es-AR" w:eastAsia="es-AR"/>
              </w:rPr>
            </w:pPr>
            <w:r w:rsidRPr="00DE7A6A">
              <w:rPr>
                <w:b/>
                <w:bCs/>
                <w:sz w:val="20"/>
                <w:szCs w:val="20"/>
                <w:lang w:val="es-AR" w:eastAsia="es-AR"/>
              </w:rPr>
              <w:t>44,1</w:t>
            </w:r>
          </w:p>
        </w:tc>
      </w:tr>
      <w:tr w:rsidR="00DE7A6A" w:rsidRPr="00DD7E94" w:rsidTr="00DE7A6A">
        <w:trPr>
          <w:trHeight w:val="252"/>
          <w:jc w:val="center"/>
        </w:trPr>
        <w:tc>
          <w:tcPr>
            <w:tcW w:w="1518"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numPr>
                <w:ilvl w:val="0"/>
                <w:numId w:val="33"/>
              </w:numPr>
              <w:rPr>
                <w:sz w:val="20"/>
                <w:szCs w:val="20"/>
              </w:rPr>
            </w:pPr>
            <w:r w:rsidRPr="00DE7A6A">
              <w:rPr>
                <w:sz w:val="20"/>
                <w:szCs w:val="20"/>
              </w:rPr>
              <w:t>Jubilaciones o pensiones</w:t>
            </w:r>
          </w:p>
        </w:tc>
        <w:tc>
          <w:tcPr>
            <w:tcW w:w="490"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31,8</w:t>
            </w:r>
          </w:p>
        </w:tc>
        <w:tc>
          <w:tcPr>
            <w:tcW w:w="411"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32,4</w:t>
            </w:r>
          </w:p>
        </w:tc>
        <w:tc>
          <w:tcPr>
            <w:tcW w:w="409"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29,9</w:t>
            </w:r>
          </w:p>
        </w:tc>
        <w:tc>
          <w:tcPr>
            <w:tcW w:w="495"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27,0</w:t>
            </w:r>
          </w:p>
        </w:tc>
        <w:tc>
          <w:tcPr>
            <w:tcW w:w="419"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28,3</w:t>
            </w:r>
          </w:p>
        </w:tc>
        <w:tc>
          <w:tcPr>
            <w:tcW w:w="438"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27,1</w:t>
            </w:r>
          </w:p>
        </w:tc>
        <w:tc>
          <w:tcPr>
            <w:tcW w:w="437"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28,2</w:t>
            </w:r>
          </w:p>
        </w:tc>
        <w:tc>
          <w:tcPr>
            <w:tcW w:w="383" w:type="pct"/>
            <w:gridSpan w:val="2"/>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34,1</w:t>
            </w:r>
          </w:p>
        </w:tc>
      </w:tr>
      <w:tr w:rsidR="00DE7A6A" w:rsidRPr="00DD7E94" w:rsidTr="00DE7A6A">
        <w:trPr>
          <w:trHeight w:val="267"/>
          <w:jc w:val="center"/>
        </w:trPr>
        <w:tc>
          <w:tcPr>
            <w:tcW w:w="1518"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9D0FD0">
            <w:pPr>
              <w:numPr>
                <w:ilvl w:val="0"/>
                <w:numId w:val="33"/>
              </w:numPr>
              <w:rPr>
                <w:sz w:val="20"/>
                <w:szCs w:val="20"/>
              </w:rPr>
            </w:pPr>
            <w:r w:rsidRPr="00DE7A6A">
              <w:rPr>
                <w:sz w:val="20"/>
                <w:szCs w:val="20"/>
              </w:rPr>
              <w:t>Programas de asistencia directa o de empleo</w:t>
            </w:r>
            <w:r w:rsidR="00DE7A6A" w:rsidRPr="00DE7A6A">
              <w:rPr>
                <w:sz w:val="20"/>
                <w:szCs w:val="20"/>
              </w:rPr>
              <w:t xml:space="preserve"> </w:t>
            </w:r>
          </w:p>
        </w:tc>
        <w:tc>
          <w:tcPr>
            <w:tcW w:w="490"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1,0</w:t>
            </w:r>
          </w:p>
        </w:tc>
        <w:tc>
          <w:tcPr>
            <w:tcW w:w="411"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1,0</w:t>
            </w:r>
          </w:p>
        </w:tc>
        <w:tc>
          <w:tcPr>
            <w:tcW w:w="409"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2,1</w:t>
            </w:r>
          </w:p>
        </w:tc>
        <w:tc>
          <w:tcPr>
            <w:tcW w:w="495"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2,3</w:t>
            </w:r>
          </w:p>
        </w:tc>
        <w:tc>
          <w:tcPr>
            <w:tcW w:w="419"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12,2</w:t>
            </w:r>
          </w:p>
        </w:tc>
        <w:tc>
          <w:tcPr>
            <w:tcW w:w="438"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9,6</w:t>
            </w:r>
          </w:p>
        </w:tc>
        <w:tc>
          <w:tcPr>
            <w:tcW w:w="437"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7,2</w:t>
            </w:r>
          </w:p>
        </w:tc>
        <w:tc>
          <w:tcPr>
            <w:tcW w:w="383" w:type="pct"/>
            <w:gridSpan w:val="2"/>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11,5</w:t>
            </w:r>
          </w:p>
        </w:tc>
      </w:tr>
      <w:tr w:rsidR="00DE7A6A" w:rsidRPr="00DD7E94" w:rsidTr="00DE7A6A">
        <w:trPr>
          <w:trHeight w:val="283"/>
          <w:jc w:val="center"/>
        </w:trPr>
        <w:tc>
          <w:tcPr>
            <w:tcW w:w="1518"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numPr>
                <w:ilvl w:val="0"/>
                <w:numId w:val="33"/>
              </w:numPr>
              <w:rPr>
                <w:sz w:val="20"/>
                <w:szCs w:val="20"/>
              </w:rPr>
            </w:pPr>
            <w:r w:rsidRPr="00DE7A6A">
              <w:rPr>
                <w:sz w:val="20"/>
                <w:szCs w:val="20"/>
              </w:rPr>
              <w:t>Programas de protección al desempleo</w:t>
            </w:r>
          </w:p>
        </w:tc>
        <w:tc>
          <w:tcPr>
            <w:tcW w:w="490"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E7A6A" w:rsidP="00DE7A6A">
            <w:pPr>
              <w:jc w:val="center"/>
              <w:rPr>
                <w:bCs/>
                <w:sz w:val="20"/>
                <w:szCs w:val="20"/>
                <w:lang w:val="es-AR" w:eastAsia="es-AR"/>
              </w:rPr>
            </w:pPr>
            <w:r w:rsidRPr="00DE7A6A">
              <w:rPr>
                <w:bCs/>
                <w:sz w:val="20"/>
                <w:szCs w:val="20"/>
                <w:lang w:val="es-AR" w:eastAsia="es-AR"/>
              </w:rPr>
              <w:t>0</w:t>
            </w:r>
            <w:r w:rsidR="00DD7E94" w:rsidRPr="00DE7A6A">
              <w:rPr>
                <w:bCs/>
                <w:sz w:val="20"/>
                <w:szCs w:val="20"/>
                <w:lang w:val="es-AR" w:eastAsia="es-AR"/>
              </w:rPr>
              <w:t>,1</w:t>
            </w:r>
          </w:p>
        </w:tc>
        <w:tc>
          <w:tcPr>
            <w:tcW w:w="411"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E7A6A" w:rsidP="00DE7A6A">
            <w:pPr>
              <w:jc w:val="center"/>
              <w:rPr>
                <w:bCs/>
                <w:sz w:val="20"/>
                <w:szCs w:val="20"/>
                <w:lang w:val="es-AR" w:eastAsia="es-AR"/>
              </w:rPr>
            </w:pPr>
            <w:r w:rsidRPr="00DE7A6A">
              <w:rPr>
                <w:bCs/>
                <w:sz w:val="20"/>
                <w:szCs w:val="20"/>
                <w:lang w:val="es-AR" w:eastAsia="es-AR"/>
              </w:rPr>
              <w:t>0</w:t>
            </w:r>
            <w:r w:rsidR="00DD7E94" w:rsidRPr="00DE7A6A">
              <w:rPr>
                <w:bCs/>
                <w:sz w:val="20"/>
                <w:szCs w:val="20"/>
                <w:lang w:val="es-AR" w:eastAsia="es-AR"/>
              </w:rPr>
              <w:t>,1</w:t>
            </w:r>
          </w:p>
        </w:tc>
        <w:tc>
          <w:tcPr>
            <w:tcW w:w="409"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1,0</w:t>
            </w:r>
          </w:p>
        </w:tc>
        <w:tc>
          <w:tcPr>
            <w:tcW w:w="495"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E7A6A" w:rsidP="00DE7A6A">
            <w:pPr>
              <w:jc w:val="center"/>
              <w:rPr>
                <w:bCs/>
                <w:sz w:val="20"/>
                <w:szCs w:val="20"/>
                <w:lang w:val="es-AR" w:eastAsia="es-AR"/>
              </w:rPr>
            </w:pPr>
            <w:r w:rsidRPr="00DE7A6A">
              <w:rPr>
                <w:bCs/>
                <w:sz w:val="20"/>
                <w:szCs w:val="20"/>
                <w:lang w:val="es-AR" w:eastAsia="es-AR"/>
              </w:rPr>
              <w:t>0</w:t>
            </w:r>
            <w:r w:rsidR="00DD7E94" w:rsidRPr="00DE7A6A">
              <w:rPr>
                <w:bCs/>
                <w:sz w:val="20"/>
                <w:szCs w:val="20"/>
                <w:lang w:val="es-AR" w:eastAsia="es-AR"/>
              </w:rPr>
              <w:t>,8</w:t>
            </w:r>
          </w:p>
        </w:tc>
        <w:tc>
          <w:tcPr>
            <w:tcW w:w="419"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9,8</w:t>
            </w:r>
          </w:p>
        </w:tc>
        <w:tc>
          <w:tcPr>
            <w:tcW w:w="438"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6,2</w:t>
            </w:r>
          </w:p>
        </w:tc>
        <w:tc>
          <w:tcPr>
            <w:tcW w:w="437" w:type="pct"/>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1,4</w:t>
            </w:r>
          </w:p>
        </w:tc>
        <w:tc>
          <w:tcPr>
            <w:tcW w:w="383" w:type="pct"/>
            <w:gridSpan w:val="2"/>
            <w:tcBorders>
              <w:top w:val="single" w:sz="4" w:space="0" w:color="auto"/>
              <w:left w:val="single" w:sz="4" w:space="0" w:color="auto"/>
              <w:right w:val="single" w:sz="4" w:space="0" w:color="auto"/>
            </w:tcBorders>
            <w:shd w:val="clear" w:color="000000" w:fill="FFFFFF"/>
            <w:noWrap/>
            <w:vAlign w:val="center"/>
            <w:hideMark/>
          </w:tcPr>
          <w:p w:rsidR="00DD7E94" w:rsidRPr="00DE7A6A" w:rsidRDefault="00DE7A6A" w:rsidP="00DE7A6A">
            <w:pPr>
              <w:jc w:val="center"/>
              <w:rPr>
                <w:bCs/>
                <w:sz w:val="20"/>
                <w:szCs w:val="20"/>
                <w:lang w:val="es-AR" w:eastAsia="es-AR"/>
              </w:rPr>
            </w:pPr>
            <w:r w:rsidRPr="00DE7A6A">
              <w:rPr>
                <w:bCs/>
                <w:sz w:val="20"/>
                <w:szCs w:val="20"/>
                <w:lang w:val="es-AR" w:eastAsia="es-AR"/>
              </w:rPr>
              <w:t>0</w:t>
            </w:r>
            <w:r w:rsidR="00DD7E94" w:rsidRPr="00DE7A6A">
              <w:rPr>
                <w:bCs/>
                <w:sz w:val="20"/>
                <w:szCs w:val="20"/>
                <w:lang w:val="es-AR" w:eastAsia="es-AR"/>
              </w:rPr>
              <w:t>,3</w:t>
            </w:r>
          </w:p>
        </w:tc>
      </w:tr>
      <w:tr w:rsidR="00DE7A6A" w:rsidRPr="00DD7E94" w:rsidTr="00DE7A6A">
        <w:trPr>
          <w:trHeight w:val="267"/>
          <w:jc w:val="center"/>
        </w:trPr>
        <w:tc>
          <w:tcPr>
            <w:tcW w:w="1518"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numPr>
                <w:ilvl w:val="0"/>
                <w:numId w:val="33"/>
              </w:numPr>
              <w:rPr>
                <w:sz w:val="20"/>
                <w:szCs w:val="20"/>
              </w:rPr>
            </w:pPr>
            <w:r w:rsidRPr="00DE7A6A">
              <w:rPr>
                <w:sz w:val="20"/>
                <w:szCs w:val="20"/>
              </w:rPr>
              <w:t>Programas de asistencia directa</w:t>
            </w:r>
          </w:p>
        </w:tc>
        <w:tc>
          <w:tcPr>
            <w:tcW w:w="490"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E7A6A" w:rsidP="00DE7A6A">
            <w:pPr>
              <w:jc w:val="center"/>
              <w:rPr>
                <w:bCs/>
                <w:sz w:val="20"/>
                <w:szCs w:val="20"/>
                <w:lang w:val="es-AR" w:eastAsia="es-AR"/>
              </w:rPr>
            </w:pPr>
            <w:r w:rsidRPr="00DE7A6A">
              <w:rPr>
                <w:bCs/>
                <w:sz w:val="20"/>
                <w:szCs w:val="20"/>
                <w:lang w:val="es-AR" w:eastAsia="es-AR"/>
              </w:rPr>
              <w:t>0</w:t>
            </w:r>
            <w:r w:rsidR="00DD7E94" w:rsidRPr="00DE7A6A">
              <w:rPr>
                <w:bCs/>
                <w:sz w:val="20"/>
                <w:szCs w:val="20"/>
                <w:lang w:val="es-AR" w:eastAsia="es-AR"/>
              </w:rPr>
              <w:t>,9</w:t>
            </w:r>
          </w:p>
        </w:tc>
        <w:tc>
          <w:tcPr>
            <w:tcW w:w="411"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E7A6A" w:rsidP="00DE7A6A">
            <w:pPr>
              <w:jc w:val="center"/>
              <w:rPr>
                <w:bCs/>
                <w:sz w:val="20"/>
                <w:szCs w:val="20"/>
                <w:lang w:val="es-AR" w:eastAsia="es-AR"/>
              </w:rPr>
            </w:pPr>
            <w:r w:rsidRPr="00DE7A6A">
              <w:rPr>
                <w:bCs/>
                <w:sz w:val="20"/>
                <w:szCs w:val="20"/>
                <w:lang w:val="es-AR" w:eastAsia="es-AR"/>
              </w:rPr>
              <w:t>0</w:t>
            </w:r>
            <w:r w:rsidR="00DD7E94" w:rsidRPr="00DE7A6A">
              <w:rPr>
                <w:bCs/>
                <w:sz w:val="20"/>
                <w:szCs w:val="20"/>
                <w:lang w:val="es-AR" w:eastAsia="es-AR"/>
              </w:rPr>
              <w:t>,9</w:t>
            </w:r>
          </w:p>
        </w:tc>
        <w:tc>
          <w:tcPr>
            <w:tcW w:w="409"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1,1</w:t>
            </w:r>
          </w:p>
        </w:tc>
        <w:tc>
          <w:tcPr>
            <w:tcW w:w="495"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1,5</w:t>
            </w:r>
          </w:p>
        </w:tc>
        <w:tc>
          <w:tcPr>
            <w:tcW w:w="419"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5,1</w:t>
            </w:r>
          </w:p>
        </w:tc>
        <w:tc>
          <w:tcPr>
            <w:tcW w:w="438"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4,0</w:t>
            </w:r>
          </w:p>
        </w:tc>
        <w:tc>
          <w:tcPr>
            <w:tcW w:w="437" w:type="pct"/>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5,9</w:t>
            </w:r>
          </w:p>
        </w:tc>
        <w:tc>
          <w:tcPr>
            <w:tcW w:w="383" w:type="pct"/>
            <w:gridSpan w:val="2"/>
            <w:tcBorders>
              <w:left w:val="single" w:sz="4" w:space="0" w:color="auto"/>
              <w:bottom w:val="single" w:sz="4" w:space="0" w:color="auto"/>
              <w:right w:val="single" w:sz="4" w:space="0" w:color="auto"/>
            </w:tcBorders>
            <w:shd w:val="clear" w:color="000000" w:fill="FFFFFF"/>
            <w:noWrap/>
            <w:vAlign w:val="center"/>
            <w:hideMark/>
          </w:tcPr>
          <w:p w:rsidR="00DD7E94" w:rsidRPr="00DE7A6A" w:rsidRDefault="00DD7E94" w:rsidP="00DE7A6A">
            <w:pPr>
              <w:jc w:val="center"/>
              <w:rPr>
                <w:bCs/>
                <w:sz w:val="20"/>
                <w:szCs w:val="20"/>
                <w:lang w:val="es-AR" w:eastAsia="es-AR"/>
              </w:rPr>
            </w:pPr>
            <w:r w:rsidRPr="00DE7A6A">
              <w:rPr>
                <w:bCs/>
                <w:sz w:val="20"/>
                <w:szCs w:val="20"/>
                <w:lang w:val="es-AR" w:eastAsia="es-AR"/>
              </w:rPr>
              <w:t>11,4</w:t>
            </w:r>
          </w:p>
        </w:tc>
      </w:tr>
      <w:tr w:rsidR="00DD7E94" w:rsidRPr="00EF79DC" w:rsidTr="00DE7A6A">
        <w:trPr>
          <w:gridAfter w:val="1"/>
          <w:wAfter w:w="8" w:type="pct"/>
          <w:trHeight w:val="242"/>
          <w:jc w:val="center"/>
        </w:trPr>
        <w:tc>
          <w:tcPr>
            <w:tcW w:w="4992" w:type="pct"/>
            <w:gridSpan w:val="9"/>
            <w:tcBorders>
              <w:top w:val="nil"/>
              <w:left w:val="nil"/>
              <w:bottom w:val="nil"/>
              <w:right w:val="nil"/>
            </w:tcBorders>
            <w:shd w:val="clear" w:color="000000" w:fill="FFFFFF"/>
            <w:noWrap/>
            <w:vAlign w:val="bottom"/>
            <w:hideMark/>
          </w:tcPr>
          <w:p w:rsidR="00DD7E94" w:rsidRPr="00055720" w:rsidRDefault="00DD7E94" w:rsidP="008A0A55">
            <w:pPr>
              <w:jc w:val="both"/>
              <w:rPr>
                <w:sz w:val="18"/>
                <w:szCs w:val="18"/>
                <w:lang w:val="es-AR" w:eastAsia="es-AR"/>
              </w:rPr>
            </w:pPr>
            <w:r w:rsidRPr="00055720">
              <w:rPr>
                <w:sz w:val="18"/>
                <w:szCs w:val="18"/>
                <w:lang w:val="es-AR" w:eastAsia="es-AR"/>
              </w:rPr>
              <w:t>Fuente: Programa Cambio Estructural y Desigualdad Social, IIGG-FCS-UBA, en base a datos de la EPH, INDEC (GBA,</w:t>
            </w:r>
            <w:r w:rsidR="008A0A55">
              <w:rPr>
                <w:sz w:val="18"/>
                <w:szCs w:val="18"/>
                <w:lang w:val="es-AR" w:eastAsia="es-AR"/>
              </w:rPr>
              <w:t xml:space="preserve"> EPH onda m</w:t>
            </w:r>
            <w:r w:rsidRPr="00055720">
              <w:rPr>
                <w:sz w:val="18"/>
                <w:szCs w:val="18"/>
                <w:lang w:val="es-AR" w:eastAsia="es-AR"/>
              </w:rPr>
              <w:t xml:space="preserve">ayo 1992, 1994, 1998, 2001 y 2003; </w:t>
            </w:r>
            <w:r>
              <w:rPr>
                <w:sz w:val="18"/>
                <w:szCs w:val="18"/>
                <w:lang w:val="es-AR" w:eastAsia="es-AR"/>
              </w:rPr>
              <w:t>y</w:t>
            </w:r>
            <w:r w:rsidRPr="00055720">
              <w:rPr>
                <w:sz w:val="18"/>
                <w:szCs w:val="18"/>
                <w:lang w:val="es-AR" w:eastAsia="es-AR"/>
              </w:rPr>
              <w:t xml:space="preserve"> </w:t>
            </w:r>
            <w:r w:rsidR="008A0A55">
              <w:rPr>
                <w:sz w:val="18"/>
                <w:szCs w:val="18"/>
                <w:lang w:val="es-AR" w:eastAsia="es-AR"/>
              </w:rPr>
              <w:t>EPH continua del s</w:t>
            </w:r>
            <w:r w:rsidRPr="00055720">
              <w:rPr>
                <w:sz w:val="18"/>
                <w:szCs w:val="18"/>
                <w:lang w:val="es-AR" w:eastAsia="es-AR"/>
              </w:rPr>
              <w:t>egundo trimestre 2004, 2007 y 2012).</w:t>
            </w:r>
          </w:p>
        </w:tc>
      </w:tr>
    </w:tbl>
    <w:p w:rsidR="008A0A55" w:rsidRDefault="008A0A55" w:rsidP="00B911C6">
      <w:pPr>
        <w:tabs>
          <w:tab w:val="left" w:pos="1128"/>
        </w:tabs>
        <w:autoSpaceDE w:val="0"/>
        <w:autoSpaceDN w:val="0"/>
        <w:adjustRightInd w:val="0"/>
        <w:spacing w:after="120"/>
        <w:jc w:val="both"/>
        <w:rPr>
          <w:b/>
          <w:lang w:val="es-AR"/>
        </w:rPr>
      </w:pPr>
    </w:p>
    <w:p w:rsidR="0030565F" w:rsidRPr="00841D85" w:rsidRDefault="0030565F" w:rsidP="00B911C6">
      <w:pPr>
        <w:tabs>
          <w:tab w:val="left" w:pos="1128"/>
        </w:tabs>
        <w:autoSpaceDE w:val="0"/>
        <w:autoSpaceDN w:val="0"/>
        <w:adjustRightInd w:val="0"/>
        <w:spacing w:after="120"/>
        <w:jc w:val="both"/>
        <w:rPr>
          <w:b/>
        </w:rPr>
      </w:pPr>
      <w:r w:rsidRPr="00841D85">
        <w:rPr>
          <w:b/>
        </w:rPr>
        <w:t xml:space="preserve">Tabla </w:t>
      </w:r>
      <w:r w:rsidR="009B3A2C">
        <w:rPr>
          <w:b/>
        </w:rPr>
        <w:t>5</w:t>
      </w:r>
      <w:r w:rsidRPr="00841D85">
        <w:rPr>
          <w:b/>
        </w:rPr>
        <w:t xml:space="preserve">. Participación en el total de los ingresos familiares de los ingresos recibidos por los programas sociales y por jubilaciones/pensiones. </w:t>
      </w:r>
      <w:r w:rsidR="00F5637D" w:rsidRPr="00F5637D">
        <w:rPr>
          <w:b/>
          <w:bCs/>
          <w:lang w:val="es-AR" w:eastAsia="es-AR"/>
        </w:rPr>
        <w:t xml:space="preserve">Gran Buenos Aires: 1992-2012. </w:t>
      </w:r>
      <w:r w:rsidRPr="00841D85">
        <w:rPr>
          <w:b/>
        </w:rPr>
        <w:t xml:space="preserve">En </w:t>
      </w:r>
      <w:r w:rsidR="00841D85" w:rsidRPr="00841D85">
        <w:rPr>
          <w:b/>
        </w:rPr>
        <w:t>porcentaje</w:t>
      </w:r>
      <w:r w:rsidRPr="00841D85">
        <w:rPr>
          <w:b/>
        </w:rPr>
        <w:t xml:space="preserve"> sobre el total de ingresos familiares corrientes</w:t>
      </w:r>
      <w:r w:rsidR="00B911C6">
        <w:rPr>
          <w:b/>
        </w:rPr>
        <w:t>.</w:t>
      </w:r>
    </w:p>
    <w:tbl>
      <w:tblPr>
        <w:tblW w:w="5000" w:type="pct"/>
        <w:jc w:val="center"/>
        <w:tblCellMar>
          <w:left w:w="70" w:type="dxa"/>
          <w:right w:w="70" w:type="dxa"/>
        </w:tblCellMar>
        <w:tblLook w:val="04A0" w:firstRow="1" w:lastRow="0" w:firstColumn="1" w:lastColumn="0" w:noHBand="0" w:noVBand="1"/>
      </w:tblPr>
      <w:tblGrid>
        <w:gridCol w:w="2468"/>
        <w:gridCol w:w="763"/>
        <w:gridCol w:w="805"/>
        <w:gridCol w:w="701"/>
        <w:gridCol w:w="867"/>
        <w:gridCol w:w="813"/>
        <w:gridCol w:w="723"/>
        <w:gridCol w:w="824"/>
        <w:gridCol w:w="680"/>
      </w:tblGrid>
      <w:tr w:rsidR="00B911C6" w:rsidRPr="00055720" w:rsidTr="00B911C6">
        <w:trPr>
          <w:trHeight w:val="267"/>
          <w:jc w:val="center"/>
        </w:trPr>
        <w:tc>
          <w:tcPr>
            <w:tcW w:w="1500" w:type="pct"/>
            <w:vMerge w:val="restart"/>
            <w:tcBorders>
              <w:top w:val="single" w:sz="8" w:space="0" w:color="auto"/>
              <w:left w:val="single" w:sz="8" w:space="0" w:color="auto"/>
              <w:right w:val="single" w:sz="8" w:space="0" w:color="auto"/>
            </w:tcBorders>
            <w:shd w:val="clear" w:color="000000" w:fill="FFFFFF"/>
            <w:noWrap/>
            <w:vAlign w:val="center"/>
            <w:hideMark/>
          </w:tcPr>
          <w:p w:rsidR="00B911C6" w:rsidRPr="00B911C6" w:rsidRDefault="00B911C6" w:rsidP="00B911C6">
            <w:pPr>
              <w:jc w:val="center"/>
              <w:rPr>
                <w:b/>
                <w:sz w:val="18"/>
                <w:szCs w:val="18"/>
                <w:lang w:val="es-AR" w:eastAsia="es-AR"/>
              </w:rPr>
            </w:pPr>
            <w:r w:rsidRPr="00B911C6">
              <w:rPr>
                <w:b/>
                <w:sz w:val="18"/>
                <w:szCs w:val="18"/>
                <w:lang w:val="es-AR" w:eastAsia="es-AR"/>
              </w:rPr>
              <w:t>Ingresos familiares</w:t>
            </w:r>
          </w:p>
        </w:tc>
        <w:tc>
          <w:tcPr>
            <w:tcW w:w="1283" w:type="pct"/>
            <w:gridSpan w:val="3"/>
            <w:tcBorders>
              <w:top w:val="single" w:sz="8" w:space="0" w:color="auto"/>
              <w:left w:val="nil"/>
              <w:bottom w:val="nil"/>
              <w:right w:val="nil"/>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Etapa de reformas estructurales</w:t>
            </w:r>
          </w:p>
        </w:tc>
        <w:tc>
          <w:tcPr>
            <w:tcW w:w="960" w:type="pct"/>
            <w:gridSpan w:val="2"/>
            <w:tcBorders>
              <w:top w:val="single" w:sz="8" w:space="0" w:color="auto"/>
              <w:left w:val="single" w:sz="8" w:space="0" w:color="auto"/>
              <w:bottom w:val="nil"/>
              <w:right w:val="single" w:sz="8" w:space="0" w:color="000000"/>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Ciclo de crisis y recuperación</w:t>
            </w:r>
          </w:p>
        </w:tc>
        <w:tc>
          <w:tcPr>
            <w:tcW w:w="1258" w:type="pct"/>
            <w:gridSpan w:val="3"/>
            <w:tcBorders>
              <w:top w:val="single" w:sz="8" w:space="0" w:color="auto"/>
              <w:left w:val="nil"/>
              <w:bottom w:val="nil"/>
              <w:right w:val="single" w:sz="8" w:space="0" w:color="000000"/>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Etapa de políticas heterodoxas</w:t>
            </w:r>
          </w:p>
        </w:tc>
      </w:tr>
      <w:tr w:rsidR="00B911C6" w:rsidRPr="00EF79DC" w:rsidTr="00B911C6">
        <w:trPr>
          <w:trHeight w:val="267"/>
          <w:jc w:val="center"/>
        </w:trPr>
        <w:tc>
          <w:tcPr>
            <w:tcW w:w="1500" w:type="pct"/>
            <w:vMerge/>
            <w:tcBorders>
              <w:left w:val="single" w:sz="8" w:space="0" w:color="auto"/>
              <w:bottom w:val="single" w:sz="4" w:space="0" w:color="auto"/>
              <w:right w:val="single" w:sz="8" w:space="0" w:color="auto"/>
            </w:tcBorders>
            <w:shd w:val="clear" w:color="000000" w:fill="FFFFFF"/>
            <w:noWrap/>
            <w:vAlign w:val="center"/>
            <w:hideMark/>
          </w:tcPr>
          <w:p w:rsidR="00B911C6" w:rsidRPr="00055720" w:rsidRDefault="00B911C6" w:rsidP="0024655C">
            <w:pPr>
              <w:jc w:val="center"/>
              <w:rPr>
                <w:sz w:val="18"/>
                <w:szCs w:val="18"/>
                <w:lang w:val="es-AR" w:eastAsia="es-AR"/>
              </w:rPr>
            </w:pPr>
          </w:p>
        </w:tc>
        <w:tc>
          <w:tcPr>
            <w:tcW w:w="432"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1992</w:t>
            </w:r>
          </w:p>
        </w:tc>
        <w:tc>
          <w:tcPr>
            <w:tcW w:w="458" w:type="pct"/>
            <w:tcBorders>
              <w:top w:val="single" w:sz="8" w:space="0" w:color="auto"/>
              <w:left w:val="nil"/>
              <w:bottom w:val="single" w:sz="4" w:space="0" w:color="auto"/>
              <w:right w:val="single" w:sz="4" w:space="0" w:color="auto"/>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1994</w:t>
            </w:r>
          </w:p>
        </w:tc>
        <w:tc>
          <w:tcPr>
            <w:tcW w:w="393" w:type="pct"/>
            <w:tcBorders>
              <w:top w:val="single" w:sz="8" w:space="0" w:color="auto"/>
              <w:left w:val="nil"/>
              <w:bottom w:val="single" w:sz="4" w:space="0" w:color="auto"/>
              <w:right w:val="nil"/>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1998</w:t>
            </w:r>
          </w:p>
        </w:tc>
        <w:tc>
          <w:tcPr>
            <w:tcW w:w="497"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2001</w:t>
            </w:r>
          </w:p>
        </w:tc>
        <w:tc>
          <w:tcPr>
            <w:tcW w:w="462" w:type="pct"/>
            <w:tcBorders>
              <w:top w:val="single" w:sz="8" w:space="0" w:color="auto"/>
              <w:left w:val="nil"/>
              <w:bottom w:val="single" w:sz="4" w:space="0" w:color="auto"/>
              <w:right w:val="single" w:sz="8" w:space="0" w:color="auto"/>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2003</w:t>
            </w:r>
          </w:p>
        </w:tc>
        <w:tc>
          <w:tcPr>
            <w:tcW w:w="407" w:type="pct"/>
            <w:tcBorders>
              <w:top w:val="single" w:sz="8" w:space="0" w:color="auto"/>
              <w:left w:val="nil"/>
              <w:bottom w:val="single" w:sz="4" w:space="0" w:color="auto"/>
              <w:right w:val="single" w:sz="4" w:space="0" w:color="auto"/>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2004</w:t>
            </w:r>
          </w:p>
        </w:tc>
        <w:tc>
          <w:tcPr>
            <w:tcW w:w="470" w:type="pct"/>
            <w:tcBorders>
              <w:top w:val="single" w:sz="8" w:space="0" w:color="auto"/>
              <w:left w:val="nil"/>
              <w:bottom w:val="single" w:sz="4" w:space="0" w:color="auto"/>
              <w:right w:val="single" w:sz="4" w:space="0" w:color="auto"/>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2007</w:t>
            </w:r>
          </w:p>
        </w:tc>
        <w:tc>
          <w:tcPr>
            <w:tcW w:w="381" w:type="pct"/>
            <w:tcBorders>
              <w:top w:val="single" w:sz="8" w:space="0" w:color="auto"/>
              <w:left w:val="nil"/>
              <w:bottom w:val="single" w:sz="4" w:space="0" w:color="auto"/>
              <w:right w:val="single" w:sz="8" w:space="0" w:color="auto"/>
            </w:tcBorders>
            <w:shd w:val="clear" w:color="000000" w:fill="FFFFFF"/>
            <w:noWrap/>
            <w:vAlign w:val="center"/>
            <w:hideMark/>
          </w:tcPr>
          <w:p w:rsidR="00B911C6" w:rsidRPr="00055720" w:rsidRDefault="00B911C6" w:rsidP="0024655C">
            <w:pPr>
              <w:jc w:val="center"/>
              <w:rPr>
                <w:b/>
                <w:bCs/>
                <w:sz w:val="18"/>
                <w:szCs w:val="18"/>
                <w:lang w:val="es-AR" w:eastAsia="es-AR"/>
              </w:rPr>
            </w:pPr>
            <w:r w:rsidRPr="00055720">
              <w:rPr>
                <w:b/>
                <w:bCs/>
                <w:sz w:val="18"/>
                <w:szCs w:val="18"/>
                <w:lang w:val="es-AR" w:eastAsia="es-AR"/>
              </w:rPr>
              <w:t>2012</w:t>
            </w:r>
          </w:p>
        </w:tc>
      </w:tr>
      <w:tr w:rsidR="00B911C6" w:rsidRPr="00DD7E94" w:rsidTr="00B911C6">
        <w:trPr>
          <w:trHeight w:val="252"/>
          <w:jc w:val="center"/>
        </w:trPr>
        <w:tc>
          <w:tcPr>
            <w:tcW w:w="15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DE7A6A" w:rsidRDefault="00F5637D" w:rsidP="00B911C6">
            <w:pPr>
              <w:rPr>
                <w:sz w:val="20"/>
                <w:szCs w:val="20"/>
              </w:rPr>
            </w:pPr>
            <w:r>
              <w:rPr>
                <w:sz w:val="20"/>
                <w:szCs w:val="20"/>
              </w:rPr>
              <w:t xml:space="preserve">% </w:t>
            </w:r>
            <w:r w:rsidR="00B911C6">
              <w:rPr>
                <w:sz w:val="20"/>
                <w:szCs w:val="20"/>
              </w:rPr>
              <w:t>Ingresos por j</w:t>
            </w:r>
            <w:r w:rsidR="00B911C6" w:rsidRPr="00DE7A6A">
              <w:rPr>
                <w:sz w:val="20"/>
                <w:szCs w:val="20"/>
              </w:rPr>
              <w:t>ubilaciones o pensiones</w:t>
            </w:r>
          </w:p>
        </w:tc>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9,2</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9,7</w:t>
            </w:r>
          </w:p>
        </w:tc>
        <w:tc>
          <w:tcPr>
            <w:tcW w:w="3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11,7</w:t>
            </w:r>
          </w:p>
        </w:tc>
        <w:tc>
          <w:tcPr>
            <w:tcW w:w="4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11,0</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12,8</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11,7</w:t>
            </w:r>
          </w:p>
        </w:tc>
        <w:tc>
          <w:tcPr>
            <w:tcW w:w="4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11,2</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14,7</w:t>
            </w:r>
          </w:p>
        </w:tc>
      </w:tr>
      <w:tr w:rsidR="00B911C6" w:rsidRPr="00DD7E94" w:rsidTr="00B911C6">
        <w:trPr>
          <w:trHeight w:val="267"/>
          <w:jc w:val="center"/>
        </w:trPr>
        <w:tc>
          <w:tcPr>
            <w:tcW w:w="15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DE7A6A" w:rsidRDefault="00F5637D" w:rsidP="00B911C6">
            <w:pPr>
              <w:rPr>
                <w:sz w:val="20"/>
                <w:szCs w:val="20"/>
              </w:rPr>
            </w:pPr>
            <w:r>
              <w:rPr>
                <w:sz w:val="20"/>
                <w:szCs w:val="20"/>
              </w:rPr>
              <w:t xml:space="preserve">% </w:t>
            </w:r>
            <w:r w:rsidR="00B911C6">
              <w:rPr>
                <w:sz w:val="20"/>
                <w:szCs w:val="20"/>
              </w:rPr>
              <w:t>Ingresos por p</w:t>
            </w:r>
            <w:r w:rsidR="00B911C6" w:rsidRPr="00DE7A6A">
              <w:rPr>
                <w:sz w:val="20"/>
                <w:szCs w:val="20"/>
              </w:rPr>
              <w:t>rogramas de asistencia directa o de empleo</w:t>
            </w:r>
          </w:p>
        </w:tc>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0,3</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0,4</w:t>
            </w:r>
          </w:p>
        </w:tc>
        <w:tc>
          <w:tcPr>
            <w:tcW w:w="3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0,4</w:t>
            </w:r>
          </w:p>
        </w:tc>
        <w:tc>
          <w:tcPr>
            <w:tcW w:w="4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0,7</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2,6</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1,4</w:t>
            </w:r>
          </w:p>
        </w:tc>
        <w:tc>
          <w:tcPr>
            <w:tcW w:w="4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0,6</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0,9</w:t>
            </w:r>
          </w:p>
        </w:tc>
      </w:tr>
      <w:tr w:rsidR="00B911C6" w:rsidRPr="00DD7E94" w:rsidTr="00B911C6">
        <w:trPr>
          <w:trHeight w:val="283"/>
          <w:jc w:val="center"/>
        </w:trPr>
        <w:tc>
          <w:tcPr>
            <w:tcW w:w="15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DE7A6A" w:rsidRDefault="00F5637D" w:rsidP="00B911C6">
            <w:pPr>
              <w:rPr>
                <w:sz w:val="20"/>
                <w:szCs w:val="20"/>
              </w:rPr>
            </w:pPr>
            <w:r>
              <w:rPr>
                <w:sz w:val="20"/>
                <w:szCs w:val="20"/>
              </w:rPr>
              <w:t xml:space="preserve">% </w:t>
            </w:r>
            <w:r w:rsidR="00B911C6">
              <w:rPr>
                <w:sz w:val="20"/>
                <w:szCs w:val="20"/>
              </w:rPr>
              <w:t>Ingresos por p</w:t>
            </w:r>
            <w:r w:rsidR="00B911C6" w:rsidRPr="00DE7A6A">
              <w:rPr>
                <w:sz w:val="20"/>
                <w:szCs w:val="20"/>
              </w:rPr>
              <w:t>rogramas de protección al desempleo</w:t>
            </w:r>
          </w:p>
        </w:tc>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0,0</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0,0</w:t>
            </w:r>
          </w:p>
        </w:tc>
        <w:tc>
          <w:tcPr>
            <w:tcW w:w="3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0,2</w:t>
            </w:r>
          </w:p>
        </w:tc>
        <w:tc>
          <w:tcPr>
            <w:tcW w:w="4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0,1</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1,5</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0,8</w:t>
            </w:r>
          </w:p>
        </w:tc>
        <w:tc>
          <w:tcPr>
            <w:tcW w:w="4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0,1</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0,1</w:t>
            </w:r>
          </w:p>
        </w:tc>
      </w:tr>
      <w:tr w:rsidR="00B911C6" w:rsidRPr="00DD7E94" w:rsidTr="00B911C6">
        <w:trPr>
          <w:trHeight w:val="267"/>
          <w:jc w:val="center"/>
        </w:trPr>
        <w:tc>
          <w:tcPr>
            <w:tcW w:w="15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DE7A6A" w:rsidRDefault="00F5637D" w:rsidP="00B911C6">
            <w:pPr>
              <w:rPr>
                <w:sz w:val="20"/>
                <w:szCs w:val="20"/>
              </w:rPr>
            </w:pPr>
            <w:r>
              <w:rPr>
                <w:sz w:val="20"/>
                <w:szCs w:val="20"/>
              </w:rPr>
              <w:t xml:space="preserve">% </w:t>
            </w:r>
            <w:r w:rsidR="00B911C6">
              <w:rPr>
                <w:sz w:val="20"/>
                <w:szCs w:val="20"/>
              </w:rPr>
              <w:t>Ingresos por p</w:t>
            </w:r>
            <w:r w:rsidR="00B911C6" w:rsidRPr="00DE7A6A">
              <w:rPr>
                <w:sz w:val="20"/>
                <w:szCs w:val="20"/>
              </w:rPr>
              <w:t>rogramas de asistencia directa</w:t>
            </w:r>
          </w:p>
        </w:tc>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0,3</w:t>
            </w:r>
          </w:p>
        </w:tc>
        <w:tc>
          <w:tcPr>
            <w:tcW w:w="4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0,4</w:t>
            </w:r>
          </w:p>
        </w:tc>
        <w:tc>
          <w:tcPr>
            <w:tcW w:w="3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0,2</w:t>
            </w:r>
          </w:p>
        </w:tc>
        <w:tc>
          <w:tcPr>
            <w:tcW w:w="4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Pr>
                <w:bCs/>
                <w:sz w:val="20"/>
                <w:szCs w:val="20"/>
                <w:lang w:val="es-AR" w:eastAsia="es-AR"/>
              </w:rPr>
              <w:t>0</w:t>
            </w:r>
            <w:r w:rsidRPr="00B911C6">
              <w:rPr>
                <w:bCs/>
                <w:sz w:val="20"/>
                <w:szCs w:val="20"/>
                <w:lang w:val="es-AR" w:eastAsia="es-AR"/>
              </w:rPr>
              <w:t>,6</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1,0</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0,6</w:t>
            </w:r>
          </w:p>
        </w:tc>
        <w:tc>
          <w:tcPr>
            <w:tcW w:w="4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0,5</w:t>
            </w:r>
          </w:p>
        </w:tc>
        <w:tc>
          <w:tcPr>
            <w:tcW w:w="3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11C6" w:rsidRPr="00B911C6" w:rsidRDefault="00B911C6" w:rsidP="00B911C6">
            <w:pPr>
              <w:jc w:val="center"/>
              <w:rPr>
                <w:bCs/>
                <w:sz w:val="20"/>
                <w:szCs w:val="20"/>
                <w:lang w:val="es-AR" w:eastAsia="es-AR"/>
              </w:rPr>
            </w:pPr>
            <w:r w:rsidRPr="00B911C6">
              <w:rPr>
                <w:bCs/>
                <w:sz w:val="20"/>
                <w:szCs w:val="20"/>
                <w:lang w:val="es-AR" w:eastAsia="es-AR"/>
              </w:rPr>
              <w:t>0,9</w:t>
            </w:r>
          </w:p>
        </w:tc>
      </w:tr>
      <w:tr w:rsidR="00B911C6" w:rsidRPr="00EF79DC" w:rsidTr="0024655C">
        <w:trPr>
          <w:trHeight w:val="242"/>
          <w:jc w:val="center"/>
        </w:trPr>
        <w:tc>
          <w:tcPr>
            <w:tcW w:w="5000" w:type="pct"/>
            <w:gridSpan w:val="9"/>
            <w:tcBorders>
              <w:top w:val="nil"/>
              <w:left w:val="nil"/>
              <w:bottom w:val="nil"/>
              <w:right w:val="nil"/>
            </w:tcBorders>
            <w:shd w:val="clear" w:color="000000" w:fill="FFFFFF"/>
            <w:noWrap/>
            <w:vAlign w:val="bottom"/>
            <w:hideMark/>
          </w:tcPr>
          <w:p w:rsidR="00B911C6" w:rsidRPr="00055720" w:rsidRDefault="008A0A55" w:rsidP="00F5637D">
            <w:pPr>
              <w:jc w:val="both"/>
              <w:rPr>
                <w:sz w:val="18"/>
                <w:szCs w:val="18"/>
                <w:lang w:val="es-AR" w:eastAsia="es-AR"/>
              </w:rPr>
            </w:pPr>
            <w:r w:rsidRPr="008A0A55">
              <w:rPr>
                <w:sz w:val="18"/>
                <w:szCs w:val="18"/>
                <w:lang w:val="es-AR" w:eastAsia="es-AR"/>
              </w:rPr>
              <w:t>Fuente: Programa Cambio Estructural y Desigualdad Social, IIGG-FCS-UBA, en base a datos de la EPH, INDEC (GBA, EPH onda mayo 1992, 1994, 1998, 2001 y 2003; y EPH continua del segundo trimestre 2004, 2007 y 2012).</w:t>
            </w:r>
          </w:p>
        </w:tc>
      </w:tr>
    </w:tbl>
    <w:p w:rsidR="005F4517" w:rsidRDefault="005F4517" w:rsidP="005F4517">
      <w:pPr>
        <w:autoSpaceDE w:val="0"/>
        <w:autoSpaceDN w:val="0"/>
        <w:adjustRightInd w:val="0"/>
        <w:spacing w:after="120"/>
        <w:jc w:val="both"/>
        <w:rPr>
          <w:lang w:eastAsia="es-AR"/>
        </w:rPr>
      </w:pPr>
      <w:r w:rsidRPr="00841D85">
        <w:rPr>
          <w:lang w:eastAsia="es-AR"/>
        </w:rPr>
        <w:lastRenderedPageBreak/>
        <w:t xml:space="preserve">Este abordaje permite </w:t>
      </w:r>
      <w:r>
        <w:rPr>
          <w:lang w:eastAsia="es-AR"/>
        </w:rPr>
        <w:t>evaluar</w:t>
      </w:r>
      <w:r w:rsidRPr="00841D85">
        <w:rPr>
          <w:lang w:eastAsia="es-AR"/>
        </w:rPr>
        <w:t xml:space="preserve"> la incidencia en materia de cobertura y participación en el presupuesto familiar de las dos fuentes mencionadas de transferencia de ingresos en materia de política social: 1) el sistema previsional de la seguridad social (jubilaciones y pensiones), y 2) los “programas de protección contra la pobreza” evaluados en el apartado anterior (programas de protección al desempleo y programas de asistencia social directa). Esta evolución puede </w:t>
      </w:r>
      <w:r>
        <w:rPr>
          <w:lang w:eastAsia="es-AR"/>
        </w:rPr>
        <w:t>examinarse</w:t>
      </w:r>
      <w:r w:rsidRPr="00841D85">
        <w:rPr>
          <w:lang w:eastAsia="es-AR"/>
        </w:rPr>
        <w:t xml:space="preserve"> en las Tablas </w:t>
      </w:r>
      <w:r>
        <w:rPr>
          <w:lang w:eastAsia="es-AR"/>
        </w:rPr>
        <w:t>4</w:t>
      </w:r>
      <w:r w:rsidRPr="00841D85">
        <w:rPr>
          <w:lang w:eastAsia="es-AR"/>
        </w:rPr>
        <w:t xml:space="preserve"> y </w:t>
      </w:r>
      <w:r>
        <w:rPr>
          <w:lang w:eastAsia="es-AR"/>
        </w:rPr>
        <w:t>5</w:t>
      </w:r>
      <w:r w:rsidRPr="00841D85">
        <w:rPr>
          <w:lang w:eastAsia="es-AR"/>
        </w:rPr>
        <w:t xml:space="preserve">, en las cuales </w:t>
      </w:r>
      <w:r>
        <w:rPr>
          <w:lang w:eastAsia="es-AR"/>
        </w:rPr>
        <w:t>se destacan</w:t>
      </w:r>
      <w:r w:rsidRPr="00841D85">
        <w:rPr>
          <w:lang w:eastAsia="es-AR"/>
        </w:rPr>
        <w:t xml:space="preserve"> </w:t>
      </w:r>
      <w:r>
        <w:rPr>
          <w:lang w:eastAsia="es-AR"/>
        </w:rPr>
        <w:t>algunos de los</w:t>
      </w:r>
      <w:r w:rsidRPr="00841D85">
        <w:rPr>
          <w:lang w:eastAsia="es-AR"/>
        </w:rPr>
        <w:t xml:space="preserve"> rasgos </w:t>
      </w:r>
      <w:r>
        <w:rPr>
          <w:lang w:eastAsia="es-AR"/>
        </w:rPr>
        <w:t>relevantes ocurridos</w:t>
      </w:r>
      <w:r w:rsidRPr="00841D85">
        <w:rPr>
          <w:lang w:eastAsia="es-AR"/>
        </w:rPr>
        <w:t xml:space="preserve"> </w:t>
      </w:r>
      <w:r>
        <w:rPr>
          <w:lang w:eastAsia="es-AR"/>
        </w:rPr>
        <w:t>a lo largo del período histórico de estudio.</w:t>
      </w:r>
    </w:p>
    <w:p w:rsidR="005F4517" w:rsidRPr="00841D85" w:rsidRDefault="005F4517" w:rsidP="005F4517">
      <w:pPr>
        <w:autoSpaceDE w:val="0"/>
        <w:autoSpaceDN w:val="0"/>
        <w:adjustRightInd w:val="0"/>
        <w:spacing w:after="120"/>
        <w:jc w:val="both"/>
      </w:pPr>
      <w:r w:rsidRPr="00841D85">
        <w:t>1) Entre los años 1992 y 1998, descendió levemente la proporción de hogares perceptores de ingresos del sistema de seguridad social -jubilaciones o pensiones-, al mismo tiempo que aumentó la participación de este tipo de cobertura en el presupuesto familiar.</w:t>
      </w:r>
      <w:r w:rsidRPr="00841D85">
        <w:rPr>
          <w:vertAlign w:val="superscript"/>
        </w:rPr>
        <w:t xml:space="preserve"> </w:t>
      </w:r>
      <w:r w:rsidRPr="00841D85">
        <w:rPr>
          <w:vertAlign w:val="superscript"/>
        </w:rPr>
        <w:footnoteReference w:id="31"/>
      </w:r>
      <w:r w:rsidRPr="00841D85">
        <w:t xml:space="preserve"> Asimismo, se incrementó la proporción de unidades domésticas que recibían algún programa social así como la incidencia de este tipo de ingresos en el presupuesto de los hogares, estando estos procesos vinculados a cierta expansión de programas de protección al desempleo durante este período.</w:t>
      </w:r>
      <w:r w:rsidRPr="00841D85">
        <w:rPr>
          <w:vertAlign w:val="superscript"/>
        </w:rPr>
        <w:t xml:space="preserve"> </w:t>
      </w:r>
      <w:r w:rsidRPr="00841D85">
        <w:rPr>
          <w:vertAlign w:val="superscript"/>
        </w:rPr>
        <w:footnoteReference w:id="32"/>
      </w:r>
    </w:p>
    <w:p w:rsidR="005F4517" w:rsidRPr="00841D85" w:rsidRDefault="005F4517" w:rsidP="005F4517">
      <w:pPr>
        <w:autoSpaceDE w:val="0"/>
        <w:autoSpaceDN w:val="0"/>
        <w:adjustRightInd w:val="0"/>
        <w:spacing w:after="120"/>
        <w:jc w:val="both"/>
        <w:rPr>
          <w:bCs/>
          <w:vertAlign w:val="superscript"/>
        </w:rPr>
      </w:pPr>
      <w:r w:rsidRPr="00841D85">
        <w:t xml:space="preserve">2) Entre 1998 y 2003, en una fase recesiva y de crisis económico-social con posterior recuperación a partir del año 2002, los datos dan cuenta </w:t>
      </w:r>
      <w:r w:rsidRPr="00841D85">
        <w:rPr>
          <w:bCs/>
        </w:rPr>
        <w:t xml:space="preserve">del abrupto incremento en el porcentaje de hogares perceptores de programas de protección al desempleo y, adicionalmente, de la participación de estos ingresos en el presupuesto familiar. La implementación, a partir del año 2002, </w:t>
      </w:r>
      <w:r w:rsidRPr="00841D85">
        <w:t>del “</w:t>
      </w:r>
      <w:r w:rsidRPr="00841D85">
        <w:rPr>
          <w:bCs/>
        </w:rPr>
        <w:t>Programa Jefas de Hogar Desocupados (PJHD)” estaría explicando estas tendencias. Adicionalmente, se observa que si bien desciende la cantidad de hogares con ingresos por jubilación o pensión, se incrementó –durante estos años– la participación de este tipo de ingresos en el presupuesto familiar de los hogares.</w:t>
      </w:r>
      <w:r w:rsidRPr="00841D85">
        <w:rPr>
          <w:bCs/>
          <w:vertAlign w:val="superscript"/>
        </w:rPr>
        <w:t xml:space="preserve"> </w:t>
      </w:r>
    </w:p>
    <w:p w:rsidR="00B32068" w:rsidRPr="00841D85" w:rsidRDefault="00B32068" w:rsidP="00B32068">
      <w:pPr>
        <w:spacing w:after="120"/>
        <w:jc w:val="both"/>
      </w:pPr>
      <w:r w:rsidRPr="00841D85">
        <w:t xml:space="preserve">3) En el período 2003-2007 -en un contexto de fuerte reactivación económica y mejora de los indicadores económicos, laborales y sociales-, tuvo lugar una activa política gubernamental en materia de ingresos, en la cual ganaron preponderancia las transferencias directas de ingresos (contributivas y no contributivas), a la vez que disminuyó la participación de los programas de protección contra el desempleo: bajó la proporción de hogares con planes de empleo y se incrementó el porcentaje de unidades domésticas que percibían algún tipo de programa de asistencia social directa. Estas tendencias fueron acompañadas por cambios –en el mismo sentido– en la conformación del presupuesto familiar. A su vez, el aumento de la jubilación mínima, así como la implementación de la moratoria y la jubilación anticipada permitió aumentar de manera significativa la tasa de cobertura del sistema previsional y la relevancia relativa de estos ingresos en el presupuesto de los hogares.  </w:t>
      </w:r>
    </w:p>
    <w:p w:rsidR="00B32068" w:rsidRPr="00841D85" w:rsidRDefault="00B32068" w:rsidP="00B32068">
      <w:pPr>
        <w:autoSpaceDE w:val="0"/>
        <w:autoSpaceDN w:val="0"/>
        <w:adjustRightInd w:val="0"/>
        <w:spacing w:after="120"/>
        <w:jc w:val="both"/>
      </w:pPr>
      <w:r w:rsidRPr="00841D85">
        <w:t>4) En el último período analizado (2007-2012) –</w:t>
      </w:r>
      <w:r w:rsidR="002F55DF">
        <w:t>en un contexto de</w:t>
      </w:r>
      <w:r w:rsidRPr="00841D85">
        <w:t xml:space="preserve"> desaceleración del crecimiento económico- continuaron fortaleciéndose las políticas activas de ingresos con eje en la recomposición salarial, en el sistema previsional y en la puesta en marcha de un programa que universaliza las transferencias monetarias por hijo al ámbito de los desocupados y trabajadores informales (Asignación Universal por Hijo). Esto se reflejó </w:t>
      </w:r>
      <w:r w:rsidRPr="00841D85">
        <w:lastRenderedPageBreak/>
        <w:t xml:space="preserve">en el crecimiento de los hogares con ingresos por jubilaciones/pensiones o programas de asistencia directa, así como también en el aumento de la participación de estas fuentes de ingreso en el presupuesto familiar. </w:t>
      </w:r>
    </w:p>
    <w:p w:rsidR="00B32068" w:rsidRPr="00841D85" w:rsidRDefault="00B32068" w:rsidP="00B32068">
      <w:pPr>
        <w:autoSpaceDE w:val="0"/>
        <w:autoSpaceDN w:val="0"/>
        <w:adjustRightInd w:val="0"/>
        <w:spacing w:after="120"/>
        <w:jc w:val="both"/>
        <w:rPr>
          <w:bCs/>
        </w:rPr>
      </w:pPr>
      <w:r w:rsidRPr="00841D85">
        <w:t xml:space="preserve">Resulta pertinente destacar la muy baja participación de los programas sociales de lucha contra la pobreza en el total de los ingresos familiares más allá del período político-económico y las diferentes características de los mismos durante la fase de reformas estructurales, la crisis de la convertibilidad o durante la recuperación posterior bajo políticas heterodoxas. </w:t>
      </w:r>
    </w:p>
    <w:p w:rsidR="0030565F" w:rsidRDefault="00CE79DD" w:rsidP="00CE79DD">
      <w:pPr>
        <w:spacing w:after="120"/>
        <w:jc w:val="both"/>
      </w:pPr>
      <w:r>
        <w:t xml:space="preserve">En términos generales, </w:t>
      </w:r>
      <w:r w:rsidRPr="00A15113">
        <w:t xml:space="preserve">el análisis </w:t>
      </w:r>
      <w:r w:rsidR="0030565F">
        <w:t xml:space="preserve">tanto </w:t>
      </w:r>
      <w:r w:rsidRPr="00A15113">
        <w:t>de la evolución del gasto social</w:t>
      </w:r>
      <w:r w:rsidR="0030565F">
        <w:t xml:space="preserve"> consolidado</w:t>
      </w:r>
      <w:r w:rsidRPr="00A15113">
        <w:t xml:space="preserve"> durante las últimas dos décadas</w:t>
      </w:r>
      <w:r w:rsidR="0030565F">
        <w:t>, así como de su efecto a nivel de los hogares,</w:t>
      </w:r>
      <w:r>
        <w:t xml:space="preserve"> permite</w:t>
      </w:r>
      <w:r w:rsidRPr="00A15113">
        <w:t xml:space="preserve"> destacar que los cambios introducidos en la fase </w:t>
      </w:r>
      <w:r>
        <w:t>de políticas heterodoxas</w:t>
      </w:r>
      <w:r w:rsidRPr="00A15113">
        <w:t xml:space="preserve"> en términos de recomposición del sistema previsional, incremento de la inversión en gastos sociales estructurales y puesta en marcha de programas de transferencia directa de ingresos </w:t>
      </w:r>
      <w:r w:rsidR="00426F38">
        <w:t>hacia los</w:t>
      </w:r>
      <w:r w:rsidRPr="00A15113">
        <w:t xml:space="preserve"> hogares </w:t>
      </w:r>
      <w:r w:rsidR="00426F38">
        <w:t>más pobres</w:t>
      </w:r>
      <w:r w:rsidRPr="00A15113">
        <w:t xml:space="preserve">, dan cuenta de un cambio </w:t>
      </w:r>
      <w:r>
        <w:t>“cuantitativo” importante</w:t>
      </w:r>
      <w:r w:rsidRPr="00A15113">
        <w:t xml:space="preserve"> </w:t>
      </w:r>
      <w:r>
        <w:t>en</w:t>
      </w:r>
      <w:r w:rsidRPr="00A15113">
        <w:t xml:space="preserve"> la política socia</w:t>
      </w:r>
      <w:r>
        <w:t>l</w:t>
      </w:r>
      <w:r w:rsidR="00426F38">
        <w:t>,</w:t>
      </w:r>
      <w:r>
        <w:t xml:space="preserve"> con efectos sin duda “redistributivos”</w:t>
      </w:r>
      <w:r w:rsidR="00426F38">
        <w:t xml:space="preserve"> hacia dichos sectores. </w:t>
      </w:r>
    </w:p>
    <w:p w:rsidR="00CE79DD" w:rsidRDefault="00426F38" w:rsidP="00CE79DD">
      <w:pPr>
        <w:spacing w:after="120"/>
        <w:jc w:val="both"/>
      </w:pPr>
      <w:r>
        <w:t xml:space="preserve">Ahora bien, </w:t>
      </w:r>
      <w:r w:rsidR="00CD5D7D">
        <w:t xml:space="preserve">en este contexto, </w:t>
      </w:r>
      <w:r>
        <w:t xml:space="preserve">cabe preguntarse en qué medida </w:t>
      </w:r>
      <w:r w:rsidR="00463A76">
        <w:t>los cambios experimentado</w:t>
      </w:r>
      <w:r w:rsidR="0030565F">
        <w:t>s</w:t>
      </w:r>
      <w:r w:rsidR="00463A76">
        <w:t xml:space="preserve"> por la distribución</w:t>
      </w:r>
      <w:r>
        <w:t xml:space="preserve"> secundaria del ingreso –a través de la seguridad social y de los programas de lucha contra la pobreza- incidi</w:t>
      </w:r>
      <w:r w:rsidR="0030565F">
        <w:t>eron</w:t>
      </w:r>
      <w:r>
        <w:t xml:space="preserve"> </w:t>
      </w:r>
      <w:r w:rsidR="00CD5D7D">
        <w:t>de manera</w:t>
      </w:r>
      <w:r>
        <w:t xml:space="preserve"> efectiva</w:t>
      </w:r>
      <w:r w:rsidR="00CE79DD">
        <w:t xml:space="preserve"> </w:t>
      </w:r>
      <w:r w:rsidR="00CD5D7D">
        <w:t xml:space="preserve">en </w:t>
      </w:r>
      <w:r w:rsidR="00463A76">
        <w:t>la evolución observada en materia de</w:t>
      </w:r>
      <w:r w:rsidR="00CE79DD">
        <w:t xml:space="preserve"> tasas de indigencia y de pobreza </w:t>
      </w:r>
      <w:r w:rsidR="00F86FD5">
        <w:t xml:space="preserve">y la distribución del ingreso </w:t>
      </w:r>
      <w:r w:rsidR="00463A76">
        <w:t>a lo largo de las dos décadas</w:t>
      </w:r>
      <w:r w:rsidR="00CE79DD">
        <w:t>.</w:t>
      </w:r>
      <w:r w:rsidR="0030565F">
        <w:t xml:space="preserve"> </w:t>
      </w:r>
      <w:r w:rsidR="008A576B">
        <w:t xml:space="preserve">Los apartados que siguen buscan dar una respuesta </w:t>
      </w:r>
      <w:r w:rsidR="002428F3">
        <w:t>sistemática y robusta</w:t>
      </w:r>
      <w:r w:rsidR="008A576B">
        <w:t xml:space="preserve"> a estos interrogantes.</w:t>
      </w:r>
    </w:p>
    <w:p w:rsidR="00666735" w:rsidRDefault="00666735" w:rsidP="00CD5D7D">
      <w:pPr>
        <w:autoSpaceDE w:val="0"/>
        <w:autoSpaceDN w:val="0"/>
        <w:adjustRightInd w:val="0"/>
        <w:spacing w:after="120"/>
        <w:jc w:val="both"/>
        <w:rPr>
          <w:b/>
        </w:rPr>
      </w:pPr>
    </w:p>
    <w:p w:rsidR="00CD5D7D" w:rsidRPr="00CD5D7D" w:rsidRDefault="00841D85" w:rsidP="00CD5D7D">
      <w:pPr>
        <w:autoSpaceDE w:val="0"/>
        <w:autoSpaceDN w:val="0"/>
        <w:adjustRightInd w:val="0"/>
        <w:spacing w:after="120"/>
        <w:jc w:val="both"/>
        <w:rPr>
          <w:b/>
        </w:rPr>
      </w:pPr>
      <w:r>
        <w:rPr>
          <w:b/>
        </w:rPr>
        <w:t>9</w:t>
      </w:r>
      <w:r w:rsidR="00565C13" w:rsidRPr="00CD5D7D">
        <w:rPr>
          <w:b/>
        </w:rPr>
        <w:t xml:space="preserve">.  </w:t>
      </w:r>
      <w:r w:rsidR="00CD5D7D" w:rsidRPr="00CD5D7D">
        <w:rPr>
          <w:b/>
        </w:rPr>
        <w:t xml:space="preserve">Los efectos del crecimiento, la desigualdad y el gasto social en los cambios registrados en la tasas de indigencia y pobreza </w:t>
      </w:r>
    </w:p>
    <w:p w:rsidR="0024655C" w:rsidRDefault="00005DA1" w:rsidP="00AE0D25">
      <w:pPr>
        <w:spacing w:after="120"/>
        <w:jc w:val="both"/>
        <w:rPr>
          <w:bCs/>
          <w:lang w:val="es-AR"/>
        </w:rPr>
      </w:pPr>
      <w:r w:rsidRPr="00005DA1">
        <w:rPr>
          <w:bCs/>
          <w:lang w:val="es-AR"/>
        </w:rPr>
        <w:t xml:space="preserve">Teniendo en cuenta el comportamiento </w:t>
      </w:r>
      <w:r>
        <w:rPr>
          <w:bCs/>
          <w:lang w:val="es-AR"/>
        </w:rPr>
        <w:t>descrito</w:t>
      </w:r>
      <w:r w:rsidRPr="00005DA1">
        <w:rPr>
          <w:bCs/>
          <w:lang w:val="es-AR"/>
        </w:rPr>
        <w:t xml:space="preserve"> en las tasas de pobreza e indigencia de los hogares en las distintas </w:t>
      </w:r>
      <w:r>
        <w:rPr>
          <w:bCs/>
          <w:lang w:val="es-AR"/>
        </w:rPr>
        <w:t>etapas</w:t>
      </w:r>
      <w:r w:rsidRPr="00005DA1">
        <w:rPr>
          <w:bCs/>
          <w:lang w:val="es-AR"/>
        </w:rPr>
        <w:t xml:space="preserve"> </w:t>
      </w:r>
      <w:r>
        <w:rPr>
          <w:bCs/>
          <w:lang w:val="es-AR"/>
        </w:rPr>
        <w:t>históricas analizadas</w:t>
      </w:r>
      <w:r w:rsidRPr="00005DA1">
        <w:rPr>
          <w:bCs/>
          <w:lang w:val="es-AR"/>
        </w:rPr>
        <w:t xml:space="preserve">, corresponde </w:t>
      </w:r>
      <w:r>
        <w:rPr>
          <w:bCs/>
          <w:lang w:val="es-AR"/>
        </w:rPr>
        <w:t>en primer lugar</w:t>
      </w:r>
      <w:r w:rsidRPr="00005DA1">
        <w:rPr>
          <w:bCs/>
          <w:lang w:val="es-AR"/>
        </w:rPr>
        <w:t xml:space="preserve"> indagar el impacto específico que tuvo el gasto social –en concepto de jubilaciones/pensiones y de programas de lucha contra la pobreza- sobre los cambios observados</w:t>
      </w:r>
      <w:r>
        <w:rPr>
          <w:bCs/>
          <w:lang w:val="es-AR"/>
        </w:rPr>
        <w:t xml:space="preserve"> en dichas tasas</w:t>
      </w:r>
      <w:r w:rsidRPr="00005DA1">
        <w:rPr>
          <w:bCs/>
          <w:lang w:val="es-AR"/>
        </w:rPr>
        <w:t>.</w:t>
      </w:r>
      <w:r w:rsidR="0092500B" w:rsidRPr="0092500B">
        <w:rPr>
          <w:vertAlign w:val="superscript"/>
        </w:rPr>
        <w:t xml:space="preserve"> </w:t>
      </w:r>
      <w:r w:rsidR="0092500B" w:rsidRPr="00EA7DC2">
        <w:rPr>
          <w:vertAlign w:val="superscript"/>
        </w:rPr>
        <w:footnoteReference w:id="33"/>
      </w:r>
      <w:r w:rsidRPr="00005DA1">
        <w:rPr>
          <w:bCs/>
          <w:lang w:val="es-AR"/>
        </w:rPr>
        <w:t xml:space="preserve"> </w:t>
      </w:r>
    </w:p>
    <w:p w:rsidR="008A576B" w:rsidRPr="00B14726" w:rsidRDefault="0024655C" w:rsidP="008A576B">
      <w:pPr>
        <w:spacing w:after="120"/>
        <w:jc w:val="both"/>
        <w:rPr>
          <w:bCs/>
          <w:lang w:val="es-AR"/>
        </w:rPr>
      </w:pPr>
      <w:r>
        <w:rPr>
          <w:bCs/>
          <w:lang w:val="es-AR"/>
        </w:rPr>
        <w:t>Para ello corresponde tomar</w:t>
      </w:r>
      <w:r w:rsidR="00005DA1">
        <w:rPr>
          <w:bCs/>
          <w:lang w:val="es-AR"/>
        </w:rPr>
        <w:t xml:space="preserve"> en cuenta que e</w:t>
      </w:r>
      <w:r w:rsidR="00AE0D25">
        <w:rPr>
          <w:bCs/>
          <w:lang w:val="es-AR"/>
        </w:rPr>
        <w:t>l</w:t>
      </w:r>
      <w:r w:rsidR="00AE0D25" w:rsidRPr="00B14726">
        <w:rPr>
          <w:bCs/>
          <w:lang w:val="es-AR"/>
        </w:rPr>
        <w:t xml:space="preserve"> nivel de pobreza en un país es el resultado de la relación entre crecimiento, </w:t>
      </w:r>
      <w:r w:rsidR="002428F3">
        <w:rPr>
          <w:bCs/>
          <w:lang w:val="es-AR"/>
        </w:rPr>
        <w:t xml:space="preserve">demanda </w:t>
      </w:r>
      <w:r w:rsidR="00AE0D25" w:rsidRPr="00B14726">
        <w:rPr>
          <w:bCs/>
          <w:lang w:val="es-AR"/>
        </w:rPr>
        <w:t>de empleo y distribución del ingreso</w:t>
      </w:r>
      <w:r w:rsidR="00005DA1">
        <w:rPr>
          <w:bCs/>
          <w:lang w:val="es-AR"/>
        </w:rPr>
        <w:t xml:space="preserve">, pero que </w:t>
      </w:r>
      <w:r w:rsidR="00AE0D25" w:rsidRPr="00B14726">
        <w:rPr>
          <w:bCs/>
          <w:lang w:val="es-AR"/>
        </w:rPr>
        <w:t xml:space="preserve">esta relación no es directa en tanto que dichos factores </w:t>
      </w:r>
      <w:r w:rsidR="00005DA1">
        <w:rPr>
          <w:bCs/>
          <w:lang w:val="es-AR"/>
        </w:rPr>
        <w:t>se relacionan entre sí y</w:t>
      </w:r>
      <w:r w:rsidR="00AE0D25" w:rsidRPr="00B14726">
        <w:rPr>
          <w:bCs/>
          <w:lang w:val="es-AR"/>
        </w:rPr>
        <w:t xml:space="preserve"> </w:t>
      </w:r>
      <w:r w:rsidR="00005DA1">
        <w:rPr>
          <w:bCs/>
          <w:lang w:val="es-AR"/>
        </w:rPr>
        <w:t xml:space="preserve">que </w:t>
      </w:r>
      <w:r w:rsidR="00AE0D25" w:rsidRPr="00B14726">
        <w:rPr>
          <w:bCs/>
          <w:lang w:val="es-AR"/>
        </w:rPr>
        <w:t xml:space="preserve">el sentido de </w:t>
      </w:r>
      <w:r w:rsidR="002428F3">
        <w:rPr>
          <w:bCs/>
          <w:lang w:val="es-AR"/>
        </w:rPr>
        <w:t xml:space="preserve">estas relaciones </w:t>
      </w:r>
      <w:r w:rsidR="00AE0D25" w:rsidRPr="00B14726">
        <w:rPr>
          <w:bCs/>
          <w:lang w:val="es-AR"/>
        </w:rPr>
        <w:t>no es</w:t>
      </w:r>
      <w:r w:rsidR="002428F3">
        <w:rPr>
          <w:bCs/>
          <w:lang w:val="es-AR"/>
        </w:rPr>
        <w:t xml:space="preserve"> unívoco.</w:t>
      </w:r>
      <w:r w:rsidR="00AE0D25" w:rsidRPr="00B14726">
        <w:rPr>
          <w:bCs/>
          <w:lang w:val="es-AR"/>
        </w:rPr>
        <w:t xml:space="preserve"> </w:t>
      </w:r>
      <w:r w:rsidR="00005DA1">
        <w:rPr>
          <w:bCs/>
          <w:lang w:val="es-AR"/>
        </w:rPr>
        <w:t>El aumento de</w:t>
      </w:r>
      <w:r w:rsidR="008A576B" w:rsidRPr="00B14726">
        <w:rPr>
          <w:bCs/>
          <w:lang w:val="es-AR"/>
        </w:rPr>
        <w:t xml:space="preserve"> la pobreza puede tener lugar tanto como resultado de una caída en el crecimiento económico que hace elevar las tasas de desempleo como por un aumento de la desigualdad en la distribución del ingreso, incluso en un contexto de pleno empleo. A la vez</w:t>
      </w:r>
      <w:r w:rsidR="00841D85">
        <w:rPr>
          <w:bCs/>
          <w:lang w:val="es-AR"/>
        </w:rPr>
        <w:t>,</w:t>
      </w:r>
      <w:r w:rsidR="008A576B" w:rsidRPr="00B14726">
        <w:rPr>
          <w:bCs/>
          <w:lang w:val="es-AR"/>
        </w:rPr>
        <w:t xml:space="preserve"> en una economía inflacionaria, estancada o en crisis puede aumentar la pobreza y también la desigualdad como resultado de una pérdida no generalizada del valor real de los ingresos o una caída segmentada del empleo. Pero también es posible que la desigualdad disminuya debido a un deterioro de los empleos o </w:t>
      </w:r>
      <w:r w:rsidR="008A576B">
        <w:rPr>
          <w:bCs/>
          <w:lang w:val="es-AR"/>
        </w:rPr>
        <w:t xml:space="preserve">un </w:t>
      </w:r>
      <w:r w:rsidR="008A576B" w:rsidRPr="00B14726">
        <w:rPr>
          <w:bCs/>
          <w:lang w:val="es-AR"/>
        </w:rPr>
        <w:t xml:space="preserve">deterioro en la parte media superior de la pirámide social, con o sin aumento de los ingresos en la parte media o en la base de la misma, lo cual también </w:t>
      </w:r>
      <w:r w:rsidR="008A576B">
        <w:rPr>
          <w:bCs/>
          <w:lang w:val="es-AR"/>
        </w:rPr>
        <w:t>habría</w:t>
      </w:r>
      <w:r w:rsidR="008A576B" w:rsidRPr="00B14726">
        <w:rPr>
          <w:bCs/>
          <w:lang w:val="es-AR"/>
        </w:rPr>
        <w:t xml:space="preserve"> de producir que la pobreza caiga o al menos no aumente. </w:t>
      </w:r>
    </w:p>
    <w:p w:rsidR="008A576B" w:rsidRPr="00B14726" w:rsidRDefault="002A3CE6" w:rsidP="008A576B">
      <w:pPr>
        <w:spacing w:after="120"/>
        <w:jc w:val="both"/>
        <w:rPr>
          <w:bCs/>
          <w:lang w:val="es-AR"/>
        </w:rPr>
      </w:pPr>
      <w:r>
        <w:rPr>
          <w:bCs/>
          <w:lang w:val="es-AR"/>
        </w:rPr>
        <w:lastRenderedPageBreak/>
        <w:t>Al mismo tiempo,</w:t>
      </w:r>
      <w:r w:rsidR="008A576B" w:rsidRPr="00B14726">
        <w:rPr>
          <w:bCs/>
          <w:lang w:val="es-AR"/>
        </w:rPr>
        <w:t xml:space="preserve"> </w:t>
      </w:r>
      <w:r w:rsidR="00005DA1">
        <w:rPr>
          <w:bCs/>
          <w:lang w:val="es-AR"/>
        </w:rPr>
        <w:t>los</w:t>
      </w:r>
      <w:r w:rsidR="002428F3">
        <w:rPr>
          <w:bCs/>
          <w:lang w:val="es-AR"/>
        </w:rPr>
        <w:t xml:space="preserve"> gobierno</w:t>
      </w:r>
      <w:r w:rsidR="00005DA1">
        <w:rPr>
          <w:bCs/>
          <w:lang w:val="es-AR"/>
        </w:rPr>
        <w:t>s</w:t>
      </w:r>
      <w:r w:rsidR="008A576B" w:rsidRPr="00B14726">
        <w:rPr>
          <w:bCs/>
          <w:lang w:val="es-AR"/>
        </w:rPr>
        <w:t xml:space="preserve"> interviene</w:t>
      </w:r>
      <w:r w:rsidR="00005DA1">
        <w:rPr>
          <w:bCs/>
          <w:lang w:val="es-AR"/>
        </w:rPr>
        <w:t>n</w:t>
      </w:r>
      <w:r w:rsidR="008A576B" w:rsidRPr="00B14726">
        <w:rPr>
          <w:bCs/>
          <w:lang w:val="es-AR"/>
        </w:rPr>
        <w:t xml:space="preserve"> en esta relación –sea por acción u omisión- en un sentido progresivo o regresivo desde el punto de vista social, a través del gasto social, las políticas fiscales, la orientación del crédito y la inversión, el empleo público, etc.; todas ellas modalidades de intervención que pueden alterar la dinámica del crecimiento, la demanda de empleo y los ingresos familiares, y, por lo tanto, los niveles de pobreza. Como cabe apreciar</w:t>
      </w:r>
      <w:r>
        <w:rPr>
          <w:bCs/>
          <w:lang w:val="es-AR"/>
        </w:rPr>
        <w:t>,</w:t>
      </w:r>
      <w:r w:rsidR="008A576B" w:rsidRPr="00B14726">
        <w:rPr>
          <w:bCs/>
          <w:lang w:val="es-AR"/>
        </w:rPr>
        <w:t xml:space="preserve"> la relación que explicaría los cambios en la pobreza no es unívoca ni simple, y mucho menos cuando también correspondería tomar en cuenta los efectos inversos, es decir, el efecto que la reducción/aumento de la pobreza produce sobre la menor/mayor desigualdad, y el que ambas producen sobre el mayor/menor crecimiento de una economía. </w:t>
      </w:r>
    </w:p>
    <w:p w:rsidR="00AE0D25" w:rsidRPr="002428F3" w:rsidRDefault="00AE0D25" w:rsidP="002428F3">
      <w:pPr>
        <w:spacing w:after="120"/>
        <w:jc w:val="both"/>
        <w:rPr>
          <w:rFonts w:eastAsia="Calibri"/>
          <w:lang w:val="es-AR" w:eastAsia="en-US"/>
        </w:rPr>
      </w:pPr>
      <w:r w:rsidRPr="002428F3">
        <w:rPr>
          <w:bCs/>
          <w:lang w:val="es-AR"/>
        </w:rPr>
        <w:t>D</w:t>
      </w:r>
      <w:r w:rsidRPr="002428F3">
        <w:rPr>
          <w:rFonts w:eastAsia="Calibri"/>
          <w:lang w:val="es-AR" w:eastAsia="en-US"/>
        </w:rPr>
        <w:t xml:space="preserve">ado que en su conjunto estos comportamientos son </w:t>
      </w:r>
      <w:r w:rsidR="00005DA1">
        <w:rPr>
          <w:rFonts w:eastAsia="Calibri"/>
          <w:lang w:val="es-AR" w:eastAsia="en-US"/>
        </w:rPr>
        <w:t>la</w:t>
      </w:r>
      <w:r w:rsidRPr="002428F3">
        <w:rPr>
          <w:rFonts w:eastAsia="Calibri"/>
          <w:lang w:val="es-AR" w:eastAsia="en-US"/>
        </w:rPr>
        <w:t xml:space="preserve"> expresión </w:t>
      </w:r>
      <w:r w:rsidR="00005DA1">
        <w:rPr>
          <w:rFonts w:eastAsia="Calibri"/>
          <w:lang w:val="es-AR" w:eastAsia="en-US"/>
        </w:rPr>
        <w:t>de un régimen o modelo de desarrollo, en donde entre otros aspectos cabe considerar las políticas socioeconómicas</w:t>
      </w:r>
      <w:r w:rsidR="003959F5">
        <w:rPr>
          <w:rFonts w:eastAsia="Calibri"/>
          <w:lang w:val="es-AR" w:eastAsia="en-US"/>
        </w:rPr>
        <w:t xml:space="preserve">, el </w:t>
      </w:r>
      <w:r w:rsidRPr="002428F3">
        <w:rPr>
          <w:rFonts w:eastAsia="Calibri"/>
          <w:lang w:val="es-AR" w:eastAsia="en-US"/>
        </w:rPr>
        <w:t xml:space="preserve">ciclo </w:t>
      </w:r>
      <w:r w:rsidR="00005DA1">
        <w:rPr>
          <w:rFonts w:eastAsia="Calibri"/>
          <w:lang w:val="es-AR" w:eastAsia="en-US"/>
        </w:rPr>
        <w:t xml:space="preserve">productivo </w:t>
      </w:r>
      <w:r w:rsidR="003959F5">
        <w:rPr>
          <w:rFonts w:eastAsia="Calibri"/>
          <w:lang w:val="es-AR" w:eastAsia="en-US"/>
        </w:rPr>
        <w:t>y el contexto internacional</w:t>
      </w:r>
      <w:r w:rsidRPr="002428F3">
        <w:rPr>
          <w:rFonts w:eastAsia="Calibri"/>
          <w:lang w:val="es-AR" w:eastAsia="en-US"/>
        </w:rPr>
        <w:t xml:space="preserve">, es posible </w:t>
      </w:r>
      <w:r w:rsidR="00214239">
        <w:rPr>
          <w:rFonts w:eastAsia="Calibri"/>
          <w:lang w:val="es-AR" w:eastAsia="en-US"/>
        </w:rPr>
        <w:t xml:space="preserve">evaluar </w:t>
      </w:r>
      <w:r w:rsidR="00005DA1">
        <w:rPr>
          <w:rFonts w:eastAsia="Calibri"/>
          <w:lang w:val="es-AR" w:eastAsia="en-US"/>
        </w:rPr>
        <w:t>para</w:t>
      </w:r>
      <w:r w:rsidR="00214239">
        <w:rPr>
          <w:rFonts w:eastAsia="Calibri"/>
          <w:lang w:val="es-AR" w:eastAsia="en-US"/>
        </w:rPr>
        <w:t xml:space="preserve"> cada </w:t>
      </w:r>
      <w:r w:rsidR="00005DA1">
        <w:rPr>
          <w:rFonts w:eastAsia="Calibri"/>
          <w:lang w:val="es-AR" w:eastAsia="en-US"/>
        </w:rPr>
        <w:t>régimen o modelo socioeconómico</w:t>
      </w:r>
      <w:r w:rsidR="00214239">
        <w:rPr>
          <w:rFonts w:eastAsia="Calibri"/>
          <w:lang w:val="es-AR" w:eastAsia="en-US"/>
        </w:rPr>
        <w:t xml:space="preserve"> “históric</w:t>
      </w:r>
      <w:r w:rsidR="00005DA1">
        <w:rPr>
          <w:rFonts w:eastAsia="Calibri"/>
          <w:lang w:val="es-AR" w:eastAsia="en-US"/>
        </w:rPr>
        <w:t>o</w:t>
      </w:r>
      <w:r w:rsidR="00214239">
        <w:rPr>
          <w:rFonts w:eastAsia="Calibri"/>
          <w:lang w:val="es-AR" w:eastAsia="en-US"/>
        </w:rPr>
        <w:t xml:space="preserve">” </w:t>
      </w:r>
      <w:r w:rsidR="00005DA1">
        <w:rPr>
          <w:rFonts w:eastAsia="Calibri"/>
          <w:lang w:val="es-AR" w:eastAsia="en-US"/>
        </w:rPr>
        <w:t xml:space="preserve">el </w:t>
      </w:r>
      <w:r w:rsidR="00214239">
        <w:rPr>
          <w:rFonts w:eastAsia="Calibri"/>
          <w:lang w:val="es-AR" w:eastAsia="en-US"/>
        </w:rPr>
        <w:t>efecto</w:t>
      </w:r>
      <w:r w:rsidR="00005DA1">
        <w:rPr>
          <w:rFonts w:eastAsia="Calibri"/>
          <w:lang w:val="es-AR" w:eastAsia="en-US"/>
        </w:rPr>
        <w:t xml:space="preserve"> </w:t>
      </w:r>
      <w:r w:rsidR="00214239">
        <w:rPr>
          <w:rFonts w:eastAsia="Calibri"/>
          <w:lang w:val="es-AR" w:eastAsia="en-US"/>
        </w:rPr>
        <w:t>específico</w:t>
      </w:r>
      <w:r w:rsidR="00005DA1">
        <w:rPr>
          <w:rFonts w:eastAsia="Calibri"/>
          <w:lang w:val="es-AR" w:eastAsia="en-US"/>
        </w:rPr>
        <w:t xml:space="preserve"> que tuvieron </w:t>
      </w:r>
      <w:r w:rsidRPr="002428F3">
        <w:rPr>
          <w:rFonts w:eastAsia="Calibri"/>
          <w:lang w:val="es-AR" w:eastAsia="en-US"/>
        </w:rPr>
        <w:t xml:space="preserve">los factores </w:t>
      </w:r>
      <w:r w:rsidR="00005DA1">
        <w:rPr>
          <w:rFonts w:eastAsia="Calibri"/>
          <w:lang w:val="es-AR" w:eastAsia="en-US"/>
        </w:rPr>
        <w:t xml:space="preserve">arriba </w:t>
      </w:r>
      <w:r w:rsidRPr="002428F3">
        <w:rPr>
          <w:rFonts w:eastAsia="Calibri"/>
          <w:lang w:val="es-AR" w:eastAsia="en-US"/>
        </w:rPr>
        <w:t xml:space="preserve">señalados sobre </w:t>
      </w:r>
      <w:r w:rsidR="00005DA1">
        <w:rPr>
          <w:rFonts w:eastAsia="Calibri"/>
          <w:lang w:val="es-AR" w:eastAsia="en-US"/>
        </w:rPr>
        <w:t xml:space="preserve">los cambios en </w:t>
      </w:r>
      <w:r w:rsidR="00214239">
        <w:rPr>
          <w:rFonts w:eastAsia="Calibri"/>
          <w:lang w:val="es-AR" w:eastAsia="en-US"/>
        </w:rPr>
        <w:t xml:space="preserve">evolución de </w:t>
      </w:r>
      <w:r w:rsidRPr="002428F3">
        <w:rPr>
          <w:rFonts w:eastAsia="Calibri"/>
          <w:lang w:val="es-AR" w:eastAsia="en-US"/>
        </w:rPr>
        <w:t>la pobreza y la indigencia.</w:t>
      </w:r>
      <w:r w:rsidR="00005DA1">
        <w:rPr>
          <w:rFonts w:eastAsia="Calibri"/>
          <w:lang w:val="es-AR" w:eastAsia="en-US"/>
        </w:rPr>
        <w:t xml:space="preserve"> </w:t>
      </w:r>
      <w:r w:rsidR="002428F3" w:rsidRPr="002428F3">
        <w:rPr>
          <w:rFonts w:eastAsia="Calibri"/>
          <w:lang w:val="es-AR" w:eastAsia="en-US"/>
        </w:rPr>
        <w:t>Para ello</w:t>
      </w:r>
      <w:r w:rsidR="00005DA1">
        <w:rPr>
          <w:rFonts w:eastAsia="Calibri"/>
          <w:lang w:val="es-AR" w:eastAsia="en-US"/>
        </w:rPr>
        <w:t>, en este caso, cabe utilizar</w:t>
      </w:r>
      <w:r w:rsidR="002428F3" w:rsidRPr="002428F3">
        <w:rPr>
          <w:rFonts w:eastAsia="Calibri"/>
          <w:lang w:val="es-AR" w:eastAsia="en-US"/>
        </w:rPr>
        <w:t xml:space="preserve"> un método de </w:t>
      </w:r>
      <w:r w:rsidRPr="002428F3">
        <w:rPr>
          <w:rFonts w:eastAsia="Calibri"/>
          <w:lang w:val="es-AR" w:eastAsia="en-US"/>
        </w:rPr>
        <w:t>análisis</w:t>
      </w:r>
      <w:r w:rsidR="002428F3" w:rsidRPr="002428F3">
        <w:rPr>
          <w:rFonts w:eastAsia="Calibri"/>
          <w:lang w:val="es-AR" w:eastAsia="en-US"/>
        </w:rPr>
        <w:t xml:space="preserve"> </w:t>
      </w:r>
      <w:r w:rsidRPr="002428F3">
        <w:rPr>
          <w:rFonts w:eastAsia="Calibri"/>
          <w:lang w:val="es-AR" w:eastAsia="en-US"/>
        </w:rPr>
        <w:t>que permit</w:t>
      </w:r>
      <w:r w:rsidR="007B067A">
        <w:rPr>
          <w:rFonts w:eastAsia="Calibri"/>
          <w:lang w:val="es-AR" w:eastAsia="en-US"/>
        </w:rPr>
        <w:t>a</w:t>
      </w:r>
      <w:r w:rsidRPr="002428F3">
        <w:rPr>
          <w:rFonts w:eastAsia="Calibri"/>
          <w:lang w:val="es-AR" w:eastAsia="en-US"/>
        </w:rPr>
        <w:t xml:space="preserve"> descomponer las variaciones en términos de los factores que explican</w:t>
      </w:r>
      <w:r w:rsidR="00214239">
        <w:rPr>
          <w:rFonts w:eastAsia="Calibri"/>
          <w:lang w:val="es-AR" w:eastAsia="en-US"/>
        </w:rPr>
        <w:t xml:space="preserve"> los cambios en ambos indicadores</w:t>
      </w:r>
      <w:r w:rsidRPr="002428F3">
        <w:rPr>
          <w:rFonts w:eastAsia="Calibri"/>
          <w:lang w:val="es-AR" w:eastAsia="en-US"/>
        </w:rPr>
        <w:t xml:space="preserve">.  </w:t>
      </w:r>
    </w:p>
    <w:p w:rsidR="00005DA1" w:rsidRPr="00B14726" w:rsidRDefault="00005DA1" w:rsidP="00005DA1">
      <w:pPr>
        <w:spacing w:after="120"/>
        <w:jc w:val="both"/>
        <w:rPr>
          <w:rFonts w:eastAsia="Calibri"/>
          <w:lang w:val="es-AR" w:eastAsia="en-US"/>
        </w:rPr>
      </w:pPr>
      <w:r w:rsidRPr="00B14726">
        <w:rPr>
          <w:rFonts w:eastAsia="Calibri"/>
          <w:lang w:val="es-AR" w:eastAsia="en-US"/>
        </w:rPr>
        <w:t xml:space="preserve">Para responder a este problema, </w:t>
      </w:r>
      <w:r w:rsidR="007B067A">
        <w:rPr>
          <w:rFonts w:eastAsia="Calibri"/>
          <w:lang w:val="es-AR" w:eastAsia="en-US"/>
        </w:rPr>
        <w:t>se</w:t>
      </w:r>
      <w:r w:rsidRPr="00B14726">
        <w:rPr>
          <w:rFonts w:eastAsia="Calibri"/>
          <w:lang w:val="es-AR" w:eastAsia="en-US"/>
        </w:rPr>
        <w:t xml:space="preserve"> introduce </w:t>
      </w:r>
      <w:r w:rsidR="007B067A">
        <w:rPr>
          <w:rFonts w:eastAsia="Calibri"/>
          <w:lang w:val="es-AR" w:eastAsia="en-US"/>
        </w:rPr>
        <w:t xml:space="preserve">en este apartado </w:t>
      </w:r>
      <w:r w:rsidRPr="00B14726">
        <w:rPr>
          <w:rFonts w:eastAsia="Calibri"/>
          <w:lang w:val="es-AR" w:eastAsia="en-US"/>
        </w:rPr>
        <w:t xml:space="preserve">una reformulación del modelo de descomposición propuesto por </w:t>
      </w:r>
      <w:proofErr w:type="spellStart"/>
      <w:r w:rsidRPr="00B14726">
        <w:rPr>
          <w:rFonts w:eastAsia="Calibri"/>
          <w:lang w:val="es-AR" w:eastAsia="en-US"/>
        </w:rPr>
        <w:t>Datt</w:t>
      </w:r>
      <w:proofErr w:type="spellEnd"/>
      <w:r w:rsidRPr="00B14726">
        <w:rPr>
          <w:rFonts w:eastAsia="Calibri"/>
          <w:lang w:val="es-AR" w:eastAsia="en-US"/>
        </w:rPr>
        <w:t xml:space="preserve"> y </w:t>
      </w:r>
      <w:proofErr w:type="spellStart"/>
      <w:r w:rsidRPr="00B14726">
        <w:rPr>
          <w:rFonts w:eastAsia="Calibri"/>
          <w:lang w:val="es-AR" w:eastAsia="en-US"/>
        </w:rPr>
        <w:t>Ravallion</w:t>
      </w:r>
      <w:proofErr w:type="spellEnd"/>
      <w:r w:rsidRPr="00B14726">
        <w:rPr>
          <w:rFonts w:eastAsia="Calibri"/>
          <w:lang w:val="es-AR" w:eastAsia="en-US"/>
        </w:rPr>
        <w:t xml:space="preserve"> (1992) y que fuera ampliado por Cortés y Minor (2014)</w:t>
      </w:r>
      <w:r w:rsidR="007B067A">
        <w:rPr>
          <w:rFonts w:eastAsia="Calibri"/>
          <w:lang w:val="es-AR" w:eastAsia="en-US"/>
        </w:rPr>
        <w:t>,</w:t>
      </w:r>
      <w:r w:rsidRPr="00B14726">
        <w:rPr>
          <w:rFonts w:eastAsia="Calibri"/>
          <w:lang w:val="es-AR" w:eastAsia="en-US"/>
        </w:rPr>
        <w:t xml:space="preserve"> con el objetivo de explicar los cambios en los niveles de pobreza como una función del impacto de los cambios en los ingresos, las transferencias por programas sociales, los cambios en la desigualdad y un factor residual no explicado. </w:t>
      </w:r>
    </w:p>
    <w:p w:rsidR="00CC1F81" w:rsidRPr="00B14726" w:rsidRDefault="00CC1F81" w:rsidP="00CC1F81">
      <w:pPr>
        <w:spacing w:after="120"/>
        <w:jc w:val="both"/>
        <w:rPr>
          <w:rFonts w:eastAsia="Calibri"/>
          <w:lang w:val="es-AR" w:eastAsia="en-US"/>
        </w:rPr>
      </w:pPr>
      <w:r w:rsidRPr="00B14726">
        <w:rPr>
          <w:rFonts w:eastAsia="Calibri"/>
          <w:lang w:val="es-AR" w:eastAsia="en-US"/>
        </w:rPr>
        <w:t xml:space="preserve">Para </w:t>
      </w:r>
      <w:proofErr w:type="spellStart"/>
      <w:r w:rsidRPr="00B14726">
        <w:rPr>
          <w:rFonts w:eastAsia="Calibri"/>
          <w:lang w:val="es-AR" w:eastAsia="en-US"/>
        </w:rPr>
        <w:t>Datt</w:t>
      </w:r>
      <w:proofErr w:type="spellEnd"/>
      <w:r w:rsidRPr="00B14726">
        <w:rPr>
          <w:rFonts w:eastAsia="Calibri"/>
          <w:lang w:val="es-AR" w:eastAsia="en-US"/>
        </w:rPr>
        <w:t xml:space="preserve"> y </w:t>
      </w:r>
      <w:proofErr w:type="spellStart"/>
      <w:r w:rsidRPr="00B14726">
        <w:rPr>
          <w:rFonts w:eastAsia="Calibri"/>
          <w:lang w:val="es-AR" w:eastAsia="en-US"/>
        </w:rPr>
        <w:t>Ravallion</w:t>
      </w:r>
      <w:proofErr w:type="spellEnd"/>
      <w:r w:rsidRPr="00B14726">
        <w:rPr>
          <w:rFonts w:eastAsia="Calibri"/>
          <w:lang w:val="es-AR" w:eastAsia="en-US"/>
        </w:rPr>
        <w:t xml:space="preserve"> (1992), dada una tasa de pobreza o indigencia:</w:t>
      </w:r>
    </w:p>
    <w:p w:rsidR="00CC1F81" w:rsidRPr="00B14726" w:rsidRDefault="00CC1F81" w:rsidP="00CC1F81">
      <w:pPr>
        <w:spacing w:after="120"/>
        <w:jc w:val="center"/>
        <w:rPr>
          <w:rFonts w:eastAsia="Calibri"/>
          <w:lang w:val="es-AR" w:eastAsia="en-US"/>
        </w:rPr>
      </w:pPr>
      <w:r w:rsidRPr="00B14726">
        <w:rPr>
          <w:rFonts w:eastAsia="Calibri"/>
          <w:lang w:val="es-AR" w:eastAsia="en-US"/>
        </w:rPr>
        <w:t>P = P (z | μ, L)  (1),</w:t>
      </w:r>
    </w:p>
    <w:p w:rsidR="00CC1F81" w:rsidRPr="00B14726" w:rsidRDefault="00CC1F81" w:rsidP="00CC1F81">
      <w:pPr>
        <w:spacing w:after="120"/>
        <w:jc w:val="both"/>
        <w:rPr>
          <w:rFonts w:eastAsia="Calibri"/>
          <w:lang w:val="es-AR" w:eastAsia="en-US"/>
        </w:rPr>
      </w:pPr>
      <w:r w:rsidRPr="00B14726">
        <w:rPr>
          <w:rFonts w:eastAsia="Calibri"/>
          <w:lang w:val="es-AR" w:eastAsia="en-US"/>
        </w:rPr>
        <w:t xml:space="preserve">En donde </w:t>
      </w:r>
      <w:r w:rsidRPr="00B14726">
        <w:rPr>
          <w:rFonts w:eastAsia="Calibri"/>
          <w:i/>
          <w:lang w:val="es-AR" w:eastAsia="en-US"/>
        </w:rPr>
        <w:t>z</w:t>
      </w:r>
      <w:r w:rsidRPr="00B14726">
        <w:rPr>
          <w:rFonts w:eastAsia="Calibri"/>
          <w:lang w:val="es-AR" w:eastAsia="en-US"/>
        </w:rPr>
        <w:t xml:space="preserve"> representa la línea de pobreza, μ es la media de los ingresos y L el vector de la curva de Lorenz, un cambio en la tasa de pobreza (∆P) entre un período t1 y un período t2, se debe a la acción combinada de: (a) un cambio en los </w:t>
      </w:r>
      <w:r w:rsidRPr="00B14726">
        <w:rPr>
          <w:rFonts w:eastAsia="Calibri"/>
          <w:i/>
          <w:lang w:val="es-AR" w:eastAsia="en-US"/>
        </w:rPr>
        <w:t>ingresos</w:t>
      </w:r>
      <w:r w:rsidRPr="00B14726">
        <w:rPr>
          <w:rFonts w:eastAsia="Calibri"/>
          <w:lang w:val="es-AR" w:eastAsia="en-US"/>
        </w:rPr>
        <w:t xml:space="preserve"> (EI); (b) un cambio en la </w:t>
      </w:r>
      <w:r w:rsidRPr="00B14726">
        <w:rPr>
          <w:rFonts w:eastAsia="Calibri"/>
          <w:i/>
          <w:lang w:val="es-AR" w:eastAsia="en-US"/>
        </w:rPr>
        <w:t>distribución</w:t>
      </w:r>
      <w:r w:rsidRPr="00B14726">
        <w:rPr>
          <w:rFonts w:eastAsia="Calibri"/>
          <w:lang w:val="es-AR" w:eastAsia="en-US"/>
        </w:rPr>
        <w:t xml:space="preserve"> de los ingresos (ED); (c) y una categoría residual (R). En fórmula:</w:t>
      </w:r>
    </w:p>
    <w:p w:rsidR="00CC1F81" w:rsidRPr="00B14726" w:rsidRDefault="00CC1F81" w:rsidP="00CC1F81">
      <w:pPr>
        <w:spacing w:after="120"/>
        <w:jc w:val="center"/>
        <w:rPr>
          <w:rFonts w:eastAsia="Calibri"/>
          <w:lang w:val="es-AR" w:eastAsia="en-US"/>
        </w:rPr>
      </w:pPr>
      <w:r w:rsidRPr="00B14726">
        <w:rPr>
          <w:rFonts w:eastAsia="Calibri"/>
          <w:lang w:val="es-AR" w:eastAsia="en-US"/>
        </w:rPr>
        <w:t>∆P=EI + ED + R  (2)</w:t>
      </w:r>
    </w:p>
    <w:p w:rsidR="00CC1F81" w:rsidRPr="00B14726" w:rsidRDefault="00CC1F81" w:rsidP="00CC1F81">
      <w:pPr>
        <w:spacing w:after="120"/>
        <w:jc w:val="both"/>
        <w:rPr>
          <w:rFonts w:eastAsia="Calibri"/>
          <w:lang w:val="es-AR" w:eastAsia="en-US"/>
        </w:rPr>
      </w:pPr>
      <w:r w:rsidRPr="00B14726">
        <w:rPr>
          <w:rFonts w:eastAsia="Calibri"/>
          <w:lang w:val="es-AR" w:eastAsia="en-US"/>
        </w:rPr>
        <w:t>Sin embargo, es posible considerar que en las variaciones que experimentan los ingresos de los hogares participan distintas fuentes cuyo papel puede ser relevante examinar con el objeto de profundizar la comprensión acerca de los factores que explican los cambios en las tasas de pobreza o indigencia en un período determinado de tiempo. En esta línea, Cortés-Minor (2014) proponen una ampliación la ecuación (2) para incluir el efecto de las transferencias de ingresos a través de programas sociales sobre la variación de las tasas indicadas.</w:t>
      </w:r>
      <w:r w:rsidR="00AA71AE" w:rsidRPr="00B14726">
        <w:rPr>
          <w:rFonts w:eastAsia="Calibri"/>
          <w:vertAlign w:val="superscript"/>
          <w:lang w:val="es-AR" w:eastAsia="en-US"/>
        </w:rPr>
        <w:t xml:space="preserve"> </w:t>
      </w:r>
      <w:r w:rsidR="00AA71AE" w:rsidRPr="00B14726">
        <w:rPr>
          <w:rFonts w:eastAsia="Calibri"/>
          <w:vertAlign w:val="superscript"/>
          <w:lang w:val="es-AR" w:eastAsia="en-US"/>
        </w:rPr>
        <w:footnoteReference w:id="34"/>
      </w:r>
      <w:r w:rsidRPr="00B14726">
        <w:rPr>
          <w:rFonts w:eastAsia="Calibri"/>
          <w:lang w:val="es-AR" w:eastAsia="en-US"/>
        </w:rPr>
        <w:t xml:space="preserve"> </w:t>
      </w:r>
    </w:p>
    <w:p w:rsidR="00CC1F81" w:rsidRPr="00B14726" w:rsidRDefault="00CC1F81" w:rsidP="00CC1F81">
      <w:pPr>
        <w:spacing w:after="120"/>
        <w:jc w:val="both"/>
        <w:rPr>
          <w:rFonts w:eastAsia="Calibri"/>
          <w:lang w:val="es-AR" w:eastAsia="en-US"/>
        </w:rPr>
      </w:pPr>
      <w:r w:rsidRPr="00B14726">
        <w:rPr>
          <w:rFonts w:eastAsia="Calibri"/>
          <w:lang w:val="es-AR" w:eastAsia="en-US"/>
        </w:rPr>
        <w:t xml:space="preserve">En este trabajo se extiende la ecuación de descomposición propuesta por Cortés-Minor (3), con el objeto de evaluar los cambios en la pobreza/indigencia separando del comportamiento general del ingreso –como expresión del comportamiento del empleo, las remuneraciones y otros posibles ingresos generados por la economía- tanto el efecto de los </w:t>
      </w:r>
      <w:r w:rsidRPr="004C6052">
        <w:rPr>
          <w:rFonts w:eastAsia="Calibri"/>
          <w:i/>
          <w:lang w:val="es-AR" w:eastAsia="en-US"/>
        </w:rPr>
        <w:t>programas sociales</w:t>
      </w:r>
      <w:r w:rsidRPr="00B14726">
        <w:rPr>
          <w:rFonts w:eastAsia="Calibri"/>
          <w:lang w:val="es-AR" w:eastAsia="en-US"/>
        </w:rPr>
        <w:t xml:space="preserve"> (transferencias provenientes de programas de asistencia </w:t>
      </w:r>
      <w:r w:rsidRPr="00B14726">
        <w:rPr>
          <w:rFonts w:eastAsia="Calibri"/>
          <w:lang w:val="es-AR" w:eastAsia="en-US"/>
        </w:rPr>
        <w:lastRenderedPageBreak/>
        <w:t xml:space="preserve">directa y de protección al desempleo) como las transferencias generadas por el </w:t>
      </w:r>
      <w:r w:rsidRPr="004C6052">
        <w:rPr>
          <w:rFonts w:eastAsia="Calibri"/>
          <w:i/>
          <w:lang w:val="es-AR" w:eastAsia="en-US"/>
        </w:rPr>
        <w:t>sistema de la seguridad social</w:t>
      </w:r>
      <w:r w:rsidRPr="00B14726">
        <w:rPr>
          <w:rFonts w:eastAsia="Calibri"/>
          <w:lang w:val="es-AR" w:eastAsia="en-US"/>
        </w:rPr>
        <w:t xml:space="preserve"> (jubilaciones y pensiones). En este sentido: </w:t>
      </w:r>
    </w:p>
    <w:p w:rsidR="00CC1F81" w:rsidRPr="00B14726" w:rsidRDefault="00CC1F81" w:rsidP="00CC1F81">
      <w:pPr>
        <w:spacing w:after="120"/>
        <w:jc w:val="center"/>
        <w:rPr>
          <w:rFonts w:eastAsia="Calibri"/>
          <w:lang w:val="es-AR" w:eastAsia="en-US"/>
        </w:rPr>
      </w:pPr>
      <w:r w:rsidRPr="00B14726">
        <w:rPr>
          <w:rFonts w:eastAsia="Calibri"/>
          <w:lang w:val="es-AR" w:eastAsia="en-US"/>
        </w:rPr>
        <w:t>∆P=EI + ED + ES+ EP+ R (3)</w:t>
      </w:r>
    </w:p>
    <w:p w:rsidR="00923AD2" w:rsidRPr="00B46241" w:rsidRDefault="00923AD2" w:rsidP="00CC1F81">
      <w:pPr>
        <w:spacing w:after="120"/>
        <w:jc w:val="both"/>
        <w:rPr>
          <w:rFonts w:eastAsia="Calibri"/>
          <w:lang w:val="es-AR" w:eastAsia="en-US"/>
        </w:rPr>
      </w:pPr>
      <w:r w:rsidRPr="00B46241">
        <w:rPr>
          <w:rFonts w:eastAsia="Calibri"/>
          <w:lang w:val="es-AR" w:eastAsia="en-US"/>
        </w:rPr>
        <w:t>De acuerdo con esto, la variación de la pobreza o la indigencia es el resultado de: (a) el efecto cambio en el ingreso medio de mercado de los hogares neto de los ingresos por transferencias sociales (EI); (b) el efecto variación en la distribución del ingreso neto de los ingresos por transferencias sociales (ED)</w:t>
      </w:r>
      <w:r w:rsidRPr="00B46241">
        <w:rPr>
          <w:rStyle w:val="Refdenotaalpie"/>
          <w:rFonts w:eastAsia="Calibri"/>
          <w:lang w:val="es-AR" w:eastAsia="en-US"/>
        </w:rPr>
        <w:footnoteReference w:id="35"/>
      </w:r>
      <w:r w:rsidRPr="00B46241">
        <w:rPr>
          <w:rFonts w:eastAsia="Calibri"/>
          <w:lang w:val="es-AR" w:eastAsia="en-US"/>
        </w:rPr>
        <w:t>; (c) el efecto cambio en el ingreso medio de los hogares por transferencias de la seguridad social (ES); (d) el efecto cambio en el ingreso medio de los hogares derivada de los programas de protección contra la pobreza (EP); y (e) un efecto residual (R)</w:t>
      </w:r>
      <w:r w:rsidRPr="00B46241">
        <w:rPr>
          <w:rStyle w:val="Refdenotaalpie"/>
          <w:rFonts w:eastAsia="Calibri"/>
          <w:lang w:val="es-AR" w:eastAsia="en-US"/>
        </w:rPr>
        <w:footnoteReference w:id="36"/>
      </w:r>
      <w:r w:rsidRPr="00B46241">
        <w:rPr>
          <w:rFonts w:ascii="Arial" w:eastAsia="Calibri" w:hAnsi="Arial" w:cs="Arial"/>
          <w:lang w:val="es-AR" w:eastAsia="en-US"/>
        </w:rPr>
        <w:t>.</w:t>
      </w:r>
    </w:p>
    <w:p w:rsidR="00CC1F81" w:rsidRPr="00B14726" w:rsidRDefault="00CC1F81" w:rsidP="00CC1F81">
      <w:pPr>
        <w:spacing w:after="120"/>
        <w:jc w:val="both"/>
        <w:rPr>
          <w:rFonts w:eastAsia="Calibri"/>
          <w:lang w:val="es-AR" w:eastAsia="en-US"/>
        </w:rPr>
      </w:pPr>
    </w:p>
    <w:p w:rsidR="00E31E5C" w:rsidRDefault="00C10567" w:rsidP="00E31E5C">
      <w:pPr>
        <w:autoSpaceDE w:val="0"/>
        <w:autoSpaceDN w:val="0"/>
        <w:adjustRightInd w:val="0"/>
        <w:spacing w:after="120"/>
        <w:jc w:val="both"/>
        <w:rPr>
          <w:b/>
          <w:lang w:eastAsia="es-AR"/>
        </w:rPr>
      </w:pPr>
      <w:r w:rsidRPr="008C5C3C">
        <w:rPr>
          <w:b/>
          <w:lang w:eastAsia="es-AR"/>
        </w:rPr>
        <w:t xml:space="preserve">Tabla </w:t>
      </w:r>
      <w:r w:rsidR="009B3A2C">
        <w:rPr>
          <w:b/>
          <w:lang w:eastAsia="es-AR"/>
        </w:rPr>
        <w:t>6.</w:t>
      </w:r>
      <w:r w:rsidRPr="008C5C3C">
        <w:rPr>
          <w:b/>
          <w:lang w:eastAsia="es-AR"/>
        </w:rPr>
        <w:t xml:space="preserve"> Descomposición del cambio en la proporción de hogares pobres e indigentes. Gran Buenos Aires. Períodos seleccionados: 1992-1998, 1998-2003, 2003-2007 y 2007-2012.</w:t>
      </w:r>
      <w:r w:rsidR="00E33D52">
        <w:rPr>
          <w:b/>
          <w:lang w:eastAsia="es-AR"/>
        </w:rPr>
        <w:t xml:space="preserve"> –En puntos porcentuales-.</w:t>
      </w:r>
    </w:p>
    <w:tbl>
      <w:tblPr>
        <w:tblW w:w="8445" w:type="dxa"/>
        <w:tblInd w:w="55" w:type="dxa"/>
        <w:tblCellMar>
          <w:left w:w="70" w:type="dxa"/>
          <w:right w:w="70" w:type="dxa"/>
        </w:tblCellMar>
        <w:tblLook w:val="04A0" w:firstRow="1" w:lastRow="0" w:firstColumn="1" w:lastColumn="0" w:noHBand="0" w:noVBand="1"/>
      </w:tblPr>
      <w:tblGrid>
        <w:gridCol w:w="748"/>
        <w:gridCol w:w="900"/>
        <w:gridCol w:w="697"/>
        <w:gridCol w:w="782"/>
        <w:gridCol w:w="896"/>
        <w:gridCol w:w="806"/>
        <w:gridCol w:w="985"/>
        <w:gridCol w:w="892"/>
        <w:gridCol w:w="917"/>
        <w:gridCol w:w="822"/>
      </w:tblGrid>
      <w:tr w:rsidR="00923AD2" w:rsidTr="00E51876">
        <w:trPr>
          <w:trHeight w:val="261"/>
        </w:trPr>
        <w:tc>
          <w:tcPr>
            <w:tcW w:w="748" w:type="dxa"/>
            <w:vMerge w:val="restart"/>
            <w:tcBorders>
              <w:top w:val="single" w:sz="8" w:space="0" w:color="auto"/>
              <w:left w:val="nil"/>
              <w:bottom w:val="single" w:sz="8" w:space="0" w:color="000000"/>
              <w:right w:val="nil"/>
            </w:tcBorders>
            <w:shd w:val="clear" w:color="000000" w:fill="FFFFFF"/>
            <w:noWrap/>
            <w:vAlign w:val="bottom"/>
            <w:hideMark/>
          </w:tcPr>
          <w:p w:rsidR="00923AD2" w:rsidRDefault="00923AD2">
            <w:pPr>
              <w:rPr>
                <w:color w:val="000000"/>
                <w:sz w:val="20"/>
                <w:szCs w:val="20"/>
              </w:rPr>
            </w:pPr>
            <w:r>
              <w:rPr>
                <w:color w:val="000000"/>
                <w:sz w:val="20"/>
                <w:szCs w:val="20"/>
              </w:rPr>
              <w:t> </w:t>
            </w:r>
          </w:p>
        </w:tc>
        <w:tc>
          <w:tcPr>
            <w:tcW w:w="900" w:type="dxa"/>
            <w:vMerge w:val="restart"/>
            <w:tcBorders>
              <w:top w:val="single" w:sz="8" w:space="0" w:color="auto"/>
              <w:left w:val="nil"/>
              <w:bottom w:val="single" w:sz="8" w:space="0" w:color="000000"/>
              <w:right w:val="nil"/>
            </w:tcBorders>
            <w:shd w:val="clear" w:color="000000" w:fill="FFFFFF"/>
            <w:noWrap/>
            <w:vAlign w:val="bottom"/>
            <w:hideMark/>
          </w:tcPr>
          <w:p w:rsidR="00923AD2" w:rsidRDefault="00923AD2">
            <w:pPr>
              <w:rPr>
                <w:color w:val="000000"/>
                <w:sz w:val="20"/>
                <w:szCs w:val="20"/>
              </w:rPr>
            </w:pPr>
            <w:r>
              <w:rPr>
                <w:color w:val="000000"/>
                <w:sz w:val="20"/>
                <w:szCs w:val="20"/>
              </w:rPr>
              <w:t> </w:t>
            </w:r>
          </w:p>
        </w:tc>
        <w:tc>
          <w:tcPr>
            <w:tcW w:w="697" w:type="dxa"/>
            <w:vMerge w:val="restart"/>
            <w:tcBorders>
              <w:top w:val="single" w:sz="8" w:space="0" w:color="auto"/>
              <w:left w:val="nil"/>
              <w:bottom w:val="single" w:sz="8" w:space="0" w:color="000000"/>
              <w:right w:val="nil"/>
            </w:tcBorders>
            <w:shd w:val="clear" w:color="000000" w:fill="FFFFFF"/>
            <w:vAlign w:val="bottom"/>
            <w:hideMark/>
          </w:tcPr>
          <w:p w:rsidR="00923AD2" w:rsidRDefault="00923AD2">
            <w:pPr>
              <w:jc w:val="center"/>
              <w:rPr>
                <w:b/>
                <w:bCs/>
                <w:color w:val="000000"/>
                <w:sz w:val="16"/>
                <w:szCs w:val="16"/>
              </w:rPr>
            </w:pPr>
            <w:proofErr w:type="spellStart"/>
            <w:r>
              <w:rPr>
                <w:b/>
                <w:bCs/>
                <w:color w:val="000000"/>
                <w:sz w:val="16"/>
                <w:szCs w:val="16"/>
              </w:rPr>
              <w:t>Prop</w:t>
            </w:r>
            <w:proofErr w:type="spellEnd"/>
            <w:r>
              <w:rPr>
                <w:b/>
                <w:bCs/>
                <w:color w:val="000000"/>
                <w:sz w:val="16"/>
                <w:szCs w:val="16"/>
              </w:rPr>
              <w:t>. de pobres en T</w:t>
            </w:r>
            <w:r>
              <w:rPr>
                <w:b/>
                <w:bCs/>
                <w:color w:val="000000"/>
                <w:sz w:val="12"/>
                <w:szCs w:val="12"/>
              </w:rPr>
              <w:t>1</w:t>
            </w:r>
          </w:p>
        </w:tc>
        <w:tc>
          <w:tcPr>
            <w:tcW w:w="782" w:type="dxa"/>
            <w:vMerge w:val="restart"/>
            <w:tcBorders>
              <w:top w:val="single" w:sz="8" w:space="0" w:color="auto"/>
              <w:left w:val="nil"/>
              <w:bottom w:val="single" w:sz="8" w:space="0" w:color="000000"/>
              <w:right w:val="nil"/>
            </w:tcBorders>
            <w:shd w:val="clear" w:color="000000" w:fill="FFFFFF"/>
            <w:vAlign w:val="bottom"/>
            <w:hideMark/>
          </w:tcPr>
          <w:p w:rsidR="00923AD2" w:rsidRDefault="00923AD2">
            <w:pPr>
              <w:jc w:val="center"/>
              <w:rPr>
                <w:b/>
                <w:bCs/>
                <w:color w:val="000000"/>
                <w:sz w:val="16"/>
                <w:szCs w:val="16"/>
              </w:rPr>
            </w:pPr>
            <w:proofErr w:type="spellStart"/>
            <w:r>
              <w:rPr>
                <w:b/>
                <w:bCs/>
                <w:color w:val="000000"/>
                <w:sz w:val="16"/>
                <w:szCs w:val="16"/>
              </w:rPr>
              <w:t>Prop</w:t>
            </w:r>
            <w:proofErr w:type="spellEnd"/>
            <w:r>
              <w:rPr>
                <w:b/>
                <w:bCs/>
                <w:color w:val="000000"/>
                <w:sz w:val="16"/>
                <w:szCs w:val="16"/>
              </w:rPr>
              <w:t>. de pobres en T</w:t>
            </w:r>
            <w:r>
              <w:rPr>
                <w:b/>
                <w:bCs/>
                <w:color w:val="000000"/>
                <w:sz w:val="12"/>
                <w:szCs w:val="12"/>
              </w:rPr>
              <w:t>2</w:t>
            </w:r>
          </w:p>
        </w:tc>
        <w:tc>
          <w:tcPr>
            <w:tcW w:w="896" w:type="dxa"/>
            <w:tcBorders>
              <w:top w:val="single" w:sz="8" w:space="0" w:color="auto"/>
              <w:left w:val="nil"/>
              <w:bottom w:val="nil"/>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Diferencia</w:t>
            </w:r>
          </w:p>
        </w:tc>
        <w:tc>
          <w:tcPr>
            <w:tcW w:w="806" w:type="dxa"/>
            <w:vMerge w:val="restart"/>
            <w:tcBorders>
              <w:top w:val="single" w:sz="8" w:space="0" w:color="auto"/>
              <w:left w:val="nil"/>
              <w:bottom w:val="single" w:sz="8" w:space="0" w:color="000000"/>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Efecto Ingreso</w:t>
            </w:r>
          </w:p>
        </w:tc>
        <w:tc>
          <w:tcPr>
            <w:tcW w:w="985" w:type="dxa"/>
            <w:vMerge w:val="restart"/>
            <w:tcBorders>
              <w:top w:val="single" w:sz="8" w:space="0" w:color="auto"/>
              <w:left w:val="nil"/>
              <w:bottom w:val="single" w:sz="8" w:space="0" w:color="000000"/>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Efecto Desigualdad</w:t>
            </w:r>
          </w:p>
        </w:tc>
        <w:tc>
          <w:tcPr>
            <w:tcW w:w="892" w:type="dxa"/>
            <w:vMerge w:val="restart"/>
            <w:tcBorders>
              <w:top w:val="single" w:sz="8" w:space="0" w:color="auto"/>
              <w:left w:val="nil"/>
              <w:bottom w:val="single" w:sz="8" w:space="0" w:color="000000"/>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Seguridad Social</w:t>
            </w:r>
          </w:p>
        </w:tc>
        <w:tc>
          <w:tcPr>
            <w:tcW w:w="917" w:type="dxa"/>
            <w:vMerge w:val="restart"/>
            <w:tcBorders>
              <w:top w:val="single" w:sz="8" w:space="0" w:color="auto"/>
              <w:left w:val="nil"/>
              <w:bottom w:val="single" w:sz="8" w:space="0" w:color="000000"/>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Programas</w:t>
            </w:r>
          </w:p>
        </w:tc>
        <w:tc>
          <w:tcPr>
            <w:tcW w:w="822" w:type="dxa"/>
            <w:vMerge w:val="restart"/>
            <w:tcBorders>
              <w:top w:val="single" w:sz="8" w:space="0" w:color="auto"/>
              <w:left w:val="nil"/>
              <w:bottom w:val="single" w:sz="8" w:space="0" w:color="000000"/>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Residuo</w:t>
            </w:r>
          </w:p>
        </w:tc>
      </w:tr>
      <w:tr w:rsidR="00923AD2" w:rsidTr="00923AD2">
        <w:trPr>
          <w:trHeight w:val="274"/>
        </w:trPr>
        <w:tc>
          <w:tcPr>
            <w:tcW w:w="748" w:type="dxa"/>
            <w:vMerge/>
            <w:tcBorders>
              <w:top w:val="single" w:sz="8" w:space="0" w:color="auto"/>
              <w:left w:val="nil"/>
              <w:bottom w:val="single" w:sz="8" w:space="0" w:color="000000"/>
              <w:right w:val="nil"/>
            </w:tcBorders>
            <w:vAlign w:val="center"/>
            <w:hideMark/>
          </w:tcPr>
          <w:p w:rsidR="00923AD2" w:rsidRDefault="00923AD2">
            <w:pPr>
              <w:rPr>
                <w:color w:val="000000"/>
                <w:sz w:val="20"/>
                <w:szCs w:val="20"/>
              </w:rPr>
            </w:pPr>
          </w:p>
        </w:tc>
        <w:tc>
          <w:tcPr>
            <w:tcW w:w="900" w:type="dxa"/>
            <w:vMerge/>
            <w:tcBorders>
              <w:top w:val="single" w:sz="8" w:space="0" w:color="auto"/>
              <w:left w:val="nil"/>
              <w:bottom w:val="single" w:sz="8" w:space="0" w:color="000000"/>
              <w:right w:val="nil"/>
            </w:tcBorders>
            <w:vAlign w:val="center"/>
            <w:hideMark/>
          </w:tcPr>
          <w:p w:rsidR="00923AD2" w:rsidRDefault="00923AD2">
            <w:pPr>
              <w:rPr>
                <w:color w:val="000000"/>
                <w:sz w:val="20"/>
                <w:szCs w:val="20"/>
              </w:rPr>
            </w:pPr>
          </w:p>
        </w:tc>
        <w:tc>
          <w:tcPr>
            <w:tcW w:w="697" w:type="dxa"/>
            <w:vMerge/>
            <w:tcBorders>
              <w:top w:val="single" w:sz="8" w:space="0" w:color="auto"/>
              <w:left w:val="nil"/>
              <w:bottom w:val="single" w:sz="8" w:space="0" w:color="000000"/>
              <w:right w:val="nil"/>
            </w:tcBorders>
            <w:vAlign w:val="center"/>
            <w:hideMark/>
          </w:tcPr>
          <w:p w:rsidR="00923AD2" w:rsidRDefault="00923AD2">
            <w:pPr>
              <w:rPr>
                <w:b/>
                <w:bCs/>
                <w:color w:val="000000"/>
                <w:sz w:val="16"/>
                <w:szCs w:val="16"/>
              </w:rPr>
            </w:pPr>
          </w:p>
        </w:tc>
        <w:tc>
          <w:tcPr>
            <w:tcW w:w="782" w:type="dxa"/>
            <w:vMerge/>
            <w:tcBorders>
              <w:top w:val="single" w:sz="8" w:space="0" w:color="auto"/>
              <w:left w:val="nil"/>
              <w:bottom w:val="single" w:sz="8" w:space="0" w:color="000000"/>
              <w:right w:val="nil"/>
            </w:tcBorders>
            <w:vAlign w:val="center"/>
            <w:hideMark/>
          </w:tcPr>
          <w:p w:rsidR="00923AD2" w:rsidRDefault="00923AD2">
            <w:pPr>
              <w:rPr>
                <w:b/>
                <w:bCs/>
                <w:color w:val="000000"/>
                <w:sz w:val="16"/>
                <w:szCs w:val="16"/>
              </w:rPr>
            </w:pPr>
          </w:p>
        </w:tc>
        <w:tc>
          <w:tcPr>
            <w:tcW w:w="896"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(T</w:t>
            </w:r>
            <w:r>
              <w:rPr>
                <w:b/>
                <w:bCs/>
                <w:color w:val="000000"/>
                <w:sz w:val="12"/>
                <w:szCs w:val="12"/>
              </w:rPr>
              <w:t>2</w:t>
            </w:r>
            <w:r>
              <w:rPr>
                <w:b/>
                <w:bCs/>
                <w:color w:val="000000"/>
                <w:sz w:val="16"/>
                <w:szCs w:val="16"/>
              </w:rPr>
              <w:t xml:space="preserve"> - T</w:t>
            </w:r>
            <w:r>
              <w:rPr>
                <w:b/>
                <w:bCs/>
                <w:color w:val="000000"/>
                <w:sz w:val="12"/>
                <w:szCs w:val="12"/>
              </w:rPr>
              <w:t>1</w:t>
            </w:r>
            <w:r>
              <w:rPr>
                <w:b/>
                <w:bCs/>
                <w:color w:val="000000"/>
                <w:sz w:val="16"/>
                <w:szCs w:val="16"/>
              </w:rPr>
              <w:t>)</w:t>
            </w:r>
          </w:p>
        </w:tc>
        <w:tc>
          <w:tcPr>
            <w:tcW w:w="806" w:type="dxa"/>
            <w:vMerge/>
            <w:tcBorders>
              <w:top w:val="single" w:sz="8" w:space="0" w:color="auto"/>
              <w:left w:val="nil"/>
              <w:bottom w:val="single" w:sz="8" w:space="0" w:color="000000"/>
              <w:right w:val="nil"/>
            </w:tcBorders>
            <w:vAlign w:val="center"/>
            <w:hideMark/>
          </w:tcPr>
          <w:p w:rsidR="00923AD2" w:rsidRDefault="00923AD2">
            <w:pPr>
              <w:rPr>
                <w:b/>
                <w:bCs/>
                <w:color w:val="000000"/>
                <w:sz w:val="16"/>
                <w:szCs w:val="16"/>
              </w:rPr>
            </w:pPr>
          </w:p>
        </w:tc>
        <w:tc>
          <w:tcPr>
            <w:tcW w:w="985" w:type="dxa"/>
            <w:vMerge/>
            <w:tcBorders>
              <w:top w:val="single" w:sz="8" w:space="0" w:color="auto"/>
              <w:left w:val="nil"/>
              <w:bottom w:val="single" w:sz="8" w:space="0" w:color="000000"/>
              <w:right w:val="nil"/>
            </w:tcBorders>
            <w:vAlign w:val="center"/>
            <w:hideMark/>
          </w:tcPr>
          <w:p w:rsidR="00923AD2" w:rsidRDefault="00923AD2">
            <w:pPr>
              <w:rPr>
                <w:b/>
                <w:bCs/>
                <w:color w:val="000000"/>
                <w:sz w:val="16"/>
                <w:szCs w:val="16"/>
              </w:rPr>
            </w:pPr>
          </w:p>
        </w:tc>
        <w:tc>
          <w:tcPr>
            <w:tcW w:w="892" w:type="dxa"/>
            <w:vMerge/>
            <w:tcBorders>
              <w:top w:val="single" w:sz="8" w:space="0" w:color="auto"/>
              <w:left w:val="nil"/>
              <w:bottom w:val="single" w:sz="8" w:space="0" w:color="000000"/>
              <w:right w:val="nil"/>
            </w:tcBorders>
            <w:vAlign w:val="center"/>
            <w:hideMark/>
          </w:tcPr>
          <w:p w:rsidR="00923AD2" w:rsidRDefault="00923AD2">
            <w:pPr>
              <w:rPr>
                <w:b/>
                <w:bCs/>
                <w:color w:val="000000"/>
                <w:sz w:val="16"/>
                <w:szCs w:val="16"/>
              </w:rPr>
            </w:pPr>
          </w:p>
        </w:tc>
        <w:tc>
          <w:tcPr>
            <w:tcW w:w="917" w:type="dxa"/>
            <w:vMerge/>
            <w:tcBorders>
              <w:top w:val="single" w:sz="8" w:space="0" w:color="auto"/>
              <w:left w:val="nil"/>
              <w:bottom w:val="single" w:sz="8" w:space="0" w:color="000000"/>
              <w:right w:val="nil"/>
            </w:tcBorders>
            <w:vAlign w:val="center"/>
            <w:hideMark/>
          </w:tcPr>
          <w:p w:rsidR="00923AD2" w:rsidRDefault="00923AD2">
            <w:pPr>
              <w:rPr>
                <w:b/>
                <w:bCs/>
                <w:color w:val="000000"/>
                <w:sz w:val="16"/>
                <w:szCs w:val="16"/>
              </w:rPr>
            </w:pPr>
          </w:p>
        </w:tc>
        <w:tc>
          <w:tcPr>
            <w:tcW w:w="822" w:type="dxa"/>
            <w:vMerge/>
            <w:tcBorders>
              <w:top w:val="single" w:sz="8" w:space="0" w:color="auto"/>
              <w:left w:val="nil"/>
              <w:bottom w:val="single" w:sz="8" w:space="0" w:color="000000"/>
              <w:right w:val="nil"/>
            </w:tcBorders>
            <w:vAlign w:val="center"/>
            <w:hideMark/>
          </w:tcPr>
          <w:p w:rsidR="00923AD2" w:rsidRDefault="00923AD2">
            <w:pPr>
              <w:rPr>
                <w:b/>
                <w:bCs/>
                <w:color w:val="000000"/>
                <w:sz w:val="16"/>
                <w:szCs w:val="16"/>
              </w:rPr>
            </w:pPr>
          </w:p>
        </w:tc>
      </w:tr>
      <w:tr w:rsidR="00923AD2" w:rsidTr="00E51876">
        <w:trPr>
          <w:trHeight w:val="274"/>
        </w:trPr>
        <w:tc>
          <w:tcPr>
            <w:tcW w:w="748" w:type="dxa"/>
            <w:tcBorders>
              <w:top w:val="nil"/>
              <w:left w:val="nil"/>
              <w:bottom w:val="single" w:sz="8" w:space="0" w:color="auto"/>
              <w:right w:val="nil"/>
            </w:tcBorders>
            <w:shd w:val="clear" w:color="000000" w:fill="FFFFFF"/>
            <w:noWrap/>
            <w:vAlign w:val="bottom"/>
            <w:hideMark/>
          </w:tcPr>
          <w:p w:rsidR="00923AD2" w:rsidRDefault="00923AD2">
            <w:pPr>
              <w:rPr>
                <w:color w:val="000000"/>
                <w:sz w:val="20"/>
                <w:szCs w:val="20"/>
              </w:rPr>
            </w:pPr>
            <w:r>
              <w:rPr>
                <w:color w:val="000000"/>
                <w:sz w:val="20"/>
                <w:szCs w:val="20"/>
              </w:rPr>
              <w:t> </w:t>
            </w:r>
          </w:p>
        </w:tc>
        <w:tc>
          <w:tcPr>
            <w:tcW w:w="900" w:type="dxa"/>
            <w:tcBorders>
              <w:top w:val="single" w:sz="8" w:space="0" w:color="auto"/>
              <w:left w:val="nil"/>
              <w:bottom w:val="single" w:sz="8" w:space="0" w:color="auto"/>
              <w:right w:val="nil"/>
            </w:tcBorders>
            <w:shd w:val="clear" w:color="000000" w:fill="FFFFFF"/>
            <w:noWrap/>
            <w:vAlign w:val="bottom"/>
            <w:hideMark/>
          </w:tcPr>
          <w:p w:rsidR="00923AD2" w:rsidRDefault="00923AD2">
            <w:pPr>
              <w:rPr>
                <w:color w:val="000000"/>
                <w:sz w:val="20"/>
                <w:szCs w:val="20"/>
              </w:rPr>
            </w:pPr>
            <w:r>
              <w:rPr>
                <w:color w:val="000000"/>
                <w:sz w:val="20"/>
                <w:szCs w:val="20"/>
              </w:rPr>
              <w:t> </w:t>
            </w:r>
          </w:p>
        </w:tc>
        <w:tc>
          <w:tcPr>
            <w:tcW w:w="697"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(a)</w:t>
            </w:r>
          </w:p>
        </w:tc>
        <w:tc>
          <w:tcPr>
            <w:tcW w:w="782"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(b)</w:t>
            </w:r>
          </w:p>
        </w:tc>
        <w:tc>
          <w:tcPr>
            <w:tcW w:w="896"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(b)-(a)</w:t>
            </w:r>
          </w:p>
        </w:tc>
        <w:tc>
          <w:tcPr>
            <w:tcW w:w="806"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EI</w:t>
            </w:r>
          </w:p>
        </w:tc>
        <w:tc>
          <w:tcPr>
            <w:tcW w:w="985"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ED</w:t>
            </w:r>
          </w:p>
        </w:tc>
        <w:tc>
          <w:tcPr>
            <w:tcW w:w="892"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ES</w:t>
            </w:r>
          </w:p>
        </w:tc>
        <w:tc>
          <w:tcPr>
            <w:tcW w:w="917"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EP</w:t>
            </w:r>
          </w:p>
        </w:tc>
        <w:tc>
          <w:tcPr>
            <w:tcW w:w="822" w:type="dxa"/>
            <w:tcBorders>
              <w:top w:val="nil"/>
              <w:left w:val="nil"/>
              <w:bottom w:val="single" w:sz="8" w:space="0" w:color="auto"/>
              <w:right w:val="nil"/>
            </w:tcBorders>
            <w:shd w:val="clear" w:color="000000" w:fill="FFFFFF"/>
            <w:vAlign w:val="bottom"/>
            <w:hideMark/>
          </w:tcPr>
          <w:p w:rsidR="00923AD2" w:rsidRDefault="00923AD2">
            <w:pPr>
              <w:jc w:val="center"/>
              <w:rPr>
                <w:b/>
                <w:bCs/>
                <w:color w:val="000000"/>
                <w:sz w:val="16"/>
                <w:szCs w:val="16"/>
              </w:rPr>
            </w:pPr>
            <w:r>
              <w:rPr>
                <w:b/>
                <w:bCs/>
                <w:color w:val="000000"/>
                <w:sz w:val="16"/>
                <w:szCs w:val="16"/>
              </w:rPr>
              <w:t xml:space="preserve">R </w:t>
            </w:r>
          </w:p>
        </w:tc>
      </w:tr>
      <w:tr w:rsidR="00923AD2" w:rsidTr="00E51876">
        <w:trPr>
          <w:trHeight w:val="261"/>
        </w:trPr>
        <w:tc>
          <w:tcPr>
            <w:tcW w:w="748" w:type="dxa"/>
            <w:vMerge w:val="restart"/>
            <w:tcBorders>
              <w:top w:val="nil"/>
              <w:left w:val="nil"/>
              <w:bottom w:val="nil"/>
              <w:right w:val="nil"/>
            </w:tcBorders>
            <w:shd w:val="clear" w:color="000000" w:fill="FFFFFF"/>
            <w:noWrap/>
            <w:vAlign w:val="center"/>
            <w:hideMark/>
          </w:tcPr>
          <w:p w:rsidR="00923AD2" w:rsidRDefault="00923AD2">
            <w:pPr>
              <w:jc w:val="center"/>
              <w:rPr>
                <w:color w:val="000000"/>
                <w:sz w:val="18"/>
                <w:szCs w:val="18"/>
              </w:rPr>
            </w:pPr>
            <w:r>
              <w:rPr>
                <w:color w:val="000000"/>
                <w:sz w:val="18"/>
                <w:szCs w:val="18"/>
              </w:rPr>
              <w:t>1992-1998</w:t>
            </w: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Indigencia</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1,8</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3,8</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2,0</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0,1</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2,2</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-1,0</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-0,5</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1,2</w:t>
            </w:r>
          </w:p>
        </w:tc>
      </w:tr>
      <w:tr w:rsidR="00923AD2" w:rsidTr="00E51876">
        <w:trPr>
          <w:trHeight w:val="261"/>
        </w:trPr>
        <w:tc>
          <w:tcPr>
            <w:tcW w:w="748" w:type="dxa"/>
            <w:vMerge/>
            <w:tcBorders>
              <w:top w:val="nil"/>
              <w:left w:val="nil"/>
              <w:bottom w:val="nil"/>
              <w:right w:val="nil"/>
            </w:tcBorders>
            <w:vAlign w:val="center"/>
            <w:hideMark/>
          </w:tcPr>
          <w:p w:rsidR="00923AD2" w:rsidRDefault="00923AD2">
            <w:pPr>
              <w:rPr>
                <w:color w:val="000000"/>
                <w:sz w:val="18"/>
                <w:szCs w:val="18"/>
              </w:rPr>
            </w:pP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Pobreza</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12,0</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17,1</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5,1</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0,6</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5,7</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-1,9</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-0,2</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1,0</w:t>
            </w:r>
          </w:p>
        </w:tc>
      </w:tr>
      <w:tr w:rsidR="00923AD2" w:rsidTr="00E51876">
        <w:trPr>
          <w:trHeight w:val="261"/>
        </w:trPr>
        <w:tc>
          <w:tcPr>
            <w:tcW w:w="748"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 </w:t>
            </w: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 </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r>
      <w:tr w:rsidR="00923AD2" w:rsidTr="00E51876">
        <w:trPr>
          <w:trHeight w:val="261"/>
        </w:trPr>
        <w:tc>
          <w:tcPr>
            <w:tcW w:w="748" w:type="dxa"/>
            <w:vMerge w:val="restart"/>
            <w:tcBorders>
              <w:top w:val="nil"/>
              <w:left w:val="nil"/>
              <w:bottom w:val="nil"/>
              <w:right w:val="nil"/>
            </w:tcBorders>
            <w:shd w:val="clear" w:color="000000" w:fill="FFFFFF"/>
            <w:noWrap/>
            <w:vAlign w:val="center"/>
            <w:hideMark/>
          </w:tcPr>
          <w:p w:rsidR="00923AD2" w:rsidRDefault="00923AD2">
            <w:pPr>
              <w:jc w:val="center"/>
              <w:rPr>
                <w:color w:val="000000"/>
                <w:sz w:val="18"/>
                <w:szCs w:val="18"/>
              </w:rPr>
            </w:pPr>
            <w:r>
              <w:rPr>
                <w:color w:val="000000"/>
                <w:sz w:val="18"/>
                <w:szCs w:val="18"/>
              </w:rPr>
              <w:t>1998-2003</w:t>
            </w: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Indigencia</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3,8</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15,2</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11,4</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5,5</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3,3</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0,1</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-2,9</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5,5</w:t>
            </w:r>
          </w:p>
        </w:tc>
      </w:tr>
      <w:tr w:rsidR="00923AD2" w:rsidTr="00E51876">
        <w:trPr>
          <w:trHeight w:val="261"/>
        </w:trPr>
        <w:tc>
          <w:tcPr>
            <w:tcW w:w="748" w:type="dxa"/>
            <w:vMerge/>
            <w:tcBorders>
              <w:top w:val="nil"/>
              <w:left w:val="nil"/>
              <w:bottom w:val="nil"/>
              <w:right w:val="nil"/>
            </w:tcBorders>
            <w:vAlign w:val="center"/>
            <w:hideMark/>
          </w:tcPr>
          <w:p w:rsidR="00923AD2" w:rsidRDefault="00923AD2">
            <w:pPr>
              <w:rPr>
                <w:color w:val="000000"/>
                <w:sz w:val="18"/>
                <w:szCs w:val="18"/>
              </w:rPr>
            </w:pP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Pobreza</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17,1</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37,9</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20,7</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17,0</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5,7</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0,7</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-0,6</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-2,1</w:t>
            </w:r>
          </w:p>
        </w:tc>
      </w:tr>
      <w:tr w:rsidR="00923AD2" w:rsidTr="00E51876">
        <w:trPr>
          <w:trHeight w:val="261"/>
        </w:trPr>
        <w:tc>
          <w:tcPr>
            <w:tcW w:w="748"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 </w:t>
            </w: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 </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r>
      <w:tr w:rsidR="00923AD2" w:rsidTr="00E51876">
        <w:trPr>
          <w:trHeight w:val="261"/>
        </w:trPr>
        <w:tc>
          <w:tcPr>
            <w:tcW w:w="748" w:type="dxa"/>
            <w:vMerge w:val="restart"/>
            <w:tcBorders>
              <w:top w:val="nil"/>
              <w:left w:val="nil"/>
              <w:bottom w:val="nil"/>
              <w:right w:val="nil"/>
            </w:tcBorders>
            <w:shd w:val="clear" w:color="000000" w:fill="FFFFFF"/>
            <w:noWrap/>
            <w:vAlign w:val="center"/>
            <w:hideMark/>
          </w:tcPr>
          <w:p w:rsidR="00923AD2" w:rsidRDefault="00923AD2">
            <w:pPr>
              <w:jc w:val="center"/>
              <w:rPr>
                <w:color w:val="000000"/>
                <w:sz w:val="18"/>
                <w:szCs w:val="18"/>
              </w:rPr>
            </w:pPr>
            <w:r>
              <w:rPr>
                <w:color w:val="000000"/>
                <w:sz w:val="18"/>
                <w:szCs w:val="18"/>
              </w:rPr>
              <w:t>2003-2007</w:t>
            </w: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Indigencia</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14,2</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6,6</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-7,6</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-6,8</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-3,8</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-1,6</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1,0</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3,6</w:t>
            </w:r>
          </w:p>
        </w:tc>
      </w:tr>
      <w:tr w:rsidR="00923AD2" w:rsidTr="00E51876">
        <w:trPr>
          <w:trHeight w:val="261"/>
        </w:trPr>
        <w:tc>
          <w:tcPr>
            <w:tcW w:w="748" w:type="dxa"/>
            <w:vMerge/>
            <w:tcBorders>
              <w:top w:val="nil"/>
              <w:left w:val="nil"/>
              <w:bottom w:val="nil"/>
              <w:right w:val="nil"/>
            </w:tcBorders>
            <w:vAlign w:val="center"/>
            <w:hideMark/>
          </w:tcPr>
          <w:p w:rsidR="00923AD2" w:rsidRDefault="00923AD2">
            <w:pPr>
              <w:rPr>
                <w:color w:val="000000"/>
                <w:sz w:val="18"/>
                <w:szCs w:val="18"/>
              </w:rPr>
            </w:pP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Pobreza</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33,8</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20,8</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-12,9</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-8,1</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-3,4</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-1,7</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-0,1</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0,4</w:t>
            </w:r>
          </w:p>
        </w:tc>
      </w:tr>
      <w:tr w:rsidR="00923AD2" w:rsidTr="00E51876">
        <w:trPr>
          <w:trHeight w:val="261"/>
        </w:trPr>
        <w:tc>
          <w:tcPr>
            <w:tcW w:w="748"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 </w:t>
            </w: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 </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 </w:t>
            </w:r>
          </w:p>
        </w:tc>
      </w:tr>
      <w:tr w:rsidR="00923AD2" w:rsidTr="00E51876">
        <w:trPr>
          <w:trHeight w:val="261"/>
        </w:trPr>
        <w:tc>
          <w:tcPr>
            <w:tcW w:w="748" w:type="dxa"/>
            <w:vMerge w:val="restart"/>
            <w:tcBorders>
              <w:top w:val="nil"/>
              <w:left w:val="nil"/>
              <w:bottom w:val="single" w:sz="8" w:space="0" w:color="000000"/>
              <w:right w:val="nil"/>
            </w:tcBorders>
            <w:shd w:val="clear" w:color="000000" w:fill="FFFFFF"/>
            <w:noWrap/>
            <w:vAlign w:val="center"/>
            <w:hideMark/>
          </w:tcPr>
          <w:p w:rsidR="00923AD2" w:rsidRDefault="00923AD2">
            <w:pPr>
              <w:jc w:val="center"/>
              <w:rPr>
                <w:color w:val="000000"/>
                <w:sz w:val="18"/>
                <w:szCs w:val="18"/>
              </w:rPr>
            </w:pPr>
            <w:r>
              <w:rPr>
                <w:color w:val="000000"/>
                <w:sz w:val="18"/>
                <w:szCs w:val="18"/>
              </w:rPr>
              <w:t>2007-2012</w:t>
            </w:r>
          </w:p>
        </w:tc>
        <w:tc>
          <w:tcPr>
            <w:tcW w:w="900" w:type="dxa"/>
            <w:tcBorders>
              <w:top w:val="nil"/>
              <w:left w:val="nil"/>
              <w:bottom w:val="nil"/>
              <w:right w:val="nil"/>
            </w:tcBorders>
            <w:shd w:val="clear" w:color="000000" w:fill="FFFFFF"/>
            <w:noWrap/>
            <w:vAlign w:val="bottom"/>
            <w:hideMark/>
          </w:tcPr>
          <w:p w:rsidR="00923AD2" w:rsidRDefault="00923AD2">
            <w:pPr>
              <w:rPr>
                <w:color w:val="000000"/>
                <w:sz w:val="18"/>
                <w:szCs w:val="18"/>
              </w:rPr>
            </w:pPr>
            <w:r>
              <w:rPr>
                <w:color w:val="000000"/>
                <w:sz w:val="18"/>
                <w:szCs w:val="18"/>
              </w:rPr>
              <w:t>Indigencia</w:t>
            </w:r>
          </w:p>
        </w:tc>
        <w:tc>
          <w:tcPr>
            <w:tcW w:w="69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6,6</w:t>
            </w:r>
          </w:p>
        </w:tc>
        <w:tc>
          <w:tcPr>
            <w:tcW w:w="78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4,4</w:t>
            </w:r>
          </w:p>
        </w:tc>
        <w:tc>
          <w:tcPr>
            <w:tcW w:w="89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-2,3</w:t>
            </w:r>
          </w:p>
        </w:tc>
        <w:tc>
          <w:tcPr>
            <w:tcW w:w="806"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-0,4</w:t>
            </w:r>
          </w:p>
        </w:tc>
        <w:tc>
          <w:tcPr>
            <w:tcW w:w="985"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-1,8</w:t>
            </w:r>
          </w:p>
        </w:tc>
        <w:tc>
          <w:tcPr>
            <w:tcW w:w="89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-3,0</w:t>
            </w:r>
          </w:p>
        </w:tc>
        <w:tc>
          <w:tcPr>
            <w:tcW w:w="917"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-0,1</w:t>
            </w:r>
          </w:p>
        </w:tc>
        <w:tc>
          <w:tcPr>
            <w:tcW w:w="822" w:type="dxa"/>
            <w:tcBorders>
              <w:top w:val="nil"/>
              <w:left w:val="nil"/>
              <w:bottom w:val="nil"/>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3,0</w:t>
            </w:r>
          </w:p>
        </w:tc>
      </w:tr>
      <w:tr w:rsidR="00923AD2" w:rsidTr="00E51876">
        <w:trPr>
          <w:trHeight w:val="274"/>
        </w:trPr>
        <w:tc>
          <w:tcPr>
            <w:tcW w:w="748" w:type="dxa"/>
            <w:vMerge/>
            <w:tcBorders>
              <w:top w:val="nil"/>
              <w:left w:val="nil"/>
              <w:bottom w:val="single" w:sz="8" w:space="0" w:color="000000"/>
              <w:right w:val="nil"/>
            </w:tcBorders>
            <w:vAlign w:val="center"/>
            <w:hideMark/>
          </w:tcPr>
          <w:p w:rsidR="00923AD2" w:rsidRDefault="00923AD2">
            <w:pPr>
              <w:rPr>
                <w:color w:val="000000"/>
                <w:sz w:val="18"/>
                <w:szCs w:val="18"/>
              </w:rPr>
            </w:pPr>
          </w:p>
        </w:tc>
        <w:tc>
          <w:tcPr>
            <w:tcW w:w="900" w:type="dxa"/>
            <w:tcBorders>
              <w:top w:val="nil"/>
              <w:left w:val="nil"/>
              <w:bottom w:val="single" w:sz="8" w:space="0" w:color="auto"/>
              <w:right w:val="nil"/>
            </w:tcBorders>
            <w:shd w:val="clear" w:color="000000" w:fill="FFFFFF"/>
            <w:noWrap/>
            <w:vAlign w:val="bottom"/>
            <w:hideMark/>
          </w:tcPr>
          <w:p w:rsidR="00923AD2" w:rsidRDefault="00923AD2">
            <w:pPr>
              <w:rPr>
                <w:color w:val="000000"/>
                <w:sz w:val="18"/>
                <w:szCs w:val="18"/>
              </w:rPr>
            </w:pPr>
            <w:r>
              <w:rPr>
                <w:color w:val="000000"/>
                <w:sz w:val="18"/>
                <w:szCs w:val="18"/>
              </w:rPr>
              <w:t>Pobreza</w:t>
            </w:r>
          </w:p>
        </w:tc>
        <w:tc>
          <w:tcPr>
            <w:tcW w:w="697"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20,8</w:t>
            </w:r>
          </w:p>
        </w:tc>
        <w:tc>
          <w:tcPr>
            <w:tcW w:w="782"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15,8</w:t>
            </w:r>
          </w:p>
        </w:tc>
        <w:tc>
          <w:tcPr>
            <w:tcW w:w="896"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-5,0</w:t>
            </w:r>
          </w:p>
        </w:tc>
        <w:tc>
          <w:tcPr>
            <w:tcW w:w="806"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-0,4</w:t>
            </w:r>
          </w:p>
        </w:tc>
        <w:tc>
          <w:tcPr>
            <w:tcW w:w="985"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-3,6</w:t>
            </w:r>
          </w:p>
        </w:tc>
        <w:tc>
          <w:tcPr>
            <w:tcW w:w="892"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-3,1</w:t>
            </w:r>
          </w:p>
        </w:tc>
        <w:tc>
          <w:tcPr>
            <w:tcW w:w="917"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-0,2</w:t>
            </w:r>
          </w:p>
        </w:tc>
        <w:tc>
          <w:tcPr>
            <w:tcW w:w="822" w:type="dxa"/>
            <w:tcBorders>
              <w:top w:val="nil"/>
              <w:left w:val="nil"/>
              <w:bottom w:val="single" w:sz="8" w:space="0" w:color="auto"/>
              <w:right w:val="nil"/>
            </w:tcBorders>
            <w:shd w:val="clear" w:color="000000" w:fill="FFFFFF"/>
            <w:noWrap/>
            <w:vAlign w:val="bottom"/>
            <w:hideMark/>
          </w:tcPr>
          <w:p w:rsidR="00923AD2" w:rsidRDefault="00923AD2">
            <w:pPr>
              <w:jc w:val="center"/>
              <w:rPr>
                <w:color w:val="000000"/>
                <w:sz w:val="16"/>
                <w:szCs w:val="16"/>
              </w:rPr>
            </w:pPr>
            <w:r>
              <w:rPr>
                <w:color w:val="000000"/>
                <w:sz w:val="16"/>
                <w:szCs w:val="16"/>
              </w:rPr>
              <w:t>2,4</w:t>
            </w:r>
          </w:p>
        </w:tc>
      </w:tr>
      <w:tr w:rsidR="00923AD2" w:rsidTr="00923AD2">
        <w:trPr>
          <w:trHeight w:val="261"/>
        </w:trPr>
        <w:tc>
          <w:tcPr>
            <w:tcW w:w="8445" w:type="dxa"/>
            <w:gridSpan w:val="10"/>
            <w:tcBorders>
              <w:top w:val="nil"/>
              <w:left w:val="nil"/>
              <w:bottom w:val="nil"/>
              <w:right w:val="nil"/>
            </w:tcBorders>
            <w:shd w:val="clear" w:color="000000" w:fill="FFFFFF"/>
            <w:noWrap/>
            <w:vAlign w:val="bottom"/>
            <w:hideMark/>
          </w:tcPr>
          <w:p w:rsidR="00923AD2" w:rsidRPr="00E51876" w:rsidRDefault="00923AD2" w:rsidP="00E51876">
            <w:pPr>
              <w:spacing w:after="120"/>
              <w:jc w:val="both"/>
              <w:rPr>
                <w:rFonts w:eastAsia="Calibri"/>
                <w:lang w:val="es-AR" w:eastAsia="en-US"/>
              </w:rPr>
            </w:pPr>
            <w:r w:rsidRPr="00F7789E">
              <w:rPr>
                <w:rFonts w:eastAsia="Calibri"/>
                <w:sz w:val="18"/>
                <w:szCs w:val="18"/>
                <w:lang w:val="es-AR" w:eastAsia="es-AR"/>
              </w:rPr>
              <w:t>Fuente: Programa Cambio Estructural y Desigualdad Social, IIGG-FCS-UBA, en base a datos de la EPH, INDEC (GBA, Mayo 1992, 1998</w:t>
            </w:r>
            <w:r>
              <w:rPr>
                <w:rFonts w:eastAsia="Calibri"/>
                <w:sz w:val="18"/>
                <w:szCs w:val="18"/>
                <w:lang w:val="es-AR" w:eastAsia="es-AR"/>
              </w:rPr>
              <w:t xml:space="preserve"> </w:t>
            </w:r>
            <w:r w:rsidRPr="00F7789E">
              <w:rPr>
                <w:rFonts w:eastAsia="Calibri"/>
                <w:sz w:val="18"/>
                <w:szCs w:val="18"/>
                <w:lang w:val="es-AR" w:eastAsia="es-AR"/>
              </w:rPr>
              <w:t>y 2003; y Segundo trimestre 200</w:t>
            </w:r>
            <w:r>
              <w:rPr>
                <w:rFonts w:eastAsia="Calibri"/>
                <w:sz w:val="18"/>
                <w:szCs w:val="18"/>
                <w:lang w:val="es-AR" w:eastAsia="es-AR"/>
              </w:rPr>
              <w:t>3</w:t>
            </w:r>
            <w:r w:rsidRPr="00F7789E">
              <w:rPr>
                <w:rFonts w:eastAsia="Calibri"/>
                <w:sz w:val="18"/>
                <w:szCs w:val="18"/>
                <w:lang w:val="es-AR" w:eastAsia="es-AR"/>
              </w:rPr>
              <w:t>, 2007 y 2012).</w:t>
            </w:r>
          </w:p>
        </w:tc>
      </w:tr>
    </w:tbl>
    <w:p w:rsidR="00546F3D" w:rsidRPr="00B14726" w:rsidRDefault="00546F3D" w:rsidP="00546F3D">
      <w:pPr>
        <w:spacing w:after="120"/>
        <w:jc w:val="both"/>
        <w:rPr>
          <w:rFonts w:eastAsia="Calibri"/>
          <w:lang w:val="es-AR" w:eastAsia="en-US"/>
        </w:rPr>
      </w:pPr>
      <w:r w:rsidRPr="00B14726">
        <w:rPr>
          <w:rFonts w:eastAsia="Calibri"/>
          <w:lang w:val="es-AR" w:eastAsia="en-US"/>
        </w:rPr>
        <w:lastRenderedPageBreak/>
        <w:t xml:space="preserve">Los resultados de estos ejercicios de descomposición se presentan en </w:t>
      </w:r>
      <w:smartTag w:uri="urn:schemas-microsoft-com:office:smarttags" w:element="PersonName">
        <w:smartTagPr>
          <w:attr w:name="ProductID" w:val="la Tabla"/>
        </w:smartTagPr>
        <w:r w:rsidRPr="00B14726">
          <w:rPr>
            <w:rFonts w:eastAsia="Calibri"/>
            <w:lang w:val="es-AR" w:eastAsia="en-US"/>
          </w:rPr>
          <w:t>la Tabla</w:t>
        </w:r>
      </w:smartTag>
      <w:r w:rsidRPr="00B14726">
        <w:rPr>
          <w:rFonts w:eastAsia="Calibri"/>
          <w:lang w:val="es-AR" w:eastAsia="en-US"/>
        </w:rPr>
        <w:t xml:space="preserve"> </w:t>
      </w:r>
      <w:r w:rsidR="009B3A2C">
        <w:rPr>
          <w:rFonts w:eastAsia="Calibri"/>
          <w:lang w:val="es-AR" w:eastAsia="en-US"/>
        </w:rPr>
        <w:t>6</w:t>
      </w:r>
      <w:r w:rsidRPr="00B14726">
        <w:rPr>
          <w:rFonts w:eastAsia="Calibri"/>
          <w:lang w:val="es-AR" w:eastAsia="en-US"/>
        </w:rPr>
        <w:t xml:space="preserve"> para los períodos político-económicos objeto de interés.</w:t>
      </w:r>
      <w:r>
        <w:rPr>
          <w:rFonts w:eastAsia="Calibri"/>
          <w:lang w:val="es-AR" w:eastAsia="en-US"/>
        </w:rPr>
        <w:t xml:space="preserve"> Al respecto, cabe destacar las siguientes observaciones:</w:t>
      </w:r>
    </w:p>
    <w:p w:rsidR="00546F3D" w:rsidRPr="00B14726" w:rsidRDefault="00546F3D" w:rsidP="00546F3D">
      <w:pPr>
        <w:spacing w:after="120"/>
        <w:jc w:val="both"/>
        <w:rPr>
          <w:lang w:val="es-AR" w:eastAsia="en-US"/>
        </w:rPr>
      </w:pPr>
      <w:r w:rsidRPr="00B14726">
        <w:rPr>
          <w:lang w:val="es-AR" w:eastAsia="en-US"/>
        </w:rPr>
        <w:t xml:space="preserve">1) Entre los años 1992 y 1998, la tasa de pobreza se incrementó en 5,1 p.p. Su variación </w:t>
      </w:r>
      <w:r>
        <w:rPr>
          <w:lang w:val="es-AR" w:eastAsia="en-US"/>
        </w:rPr>
        <w:t>habría quedado explicada</w:t>
      </w:r>
      <w:r w:rsidRPr="00B14726">
        <w:rPr>
          <w:lang w:val="es-AR" w:eastAsia="en-US"/>
        </w:rPr>
        <w:t xml:space="preserve">, principalmente, por el aumento </w:t>
      </w:r>
      <w:r>
        <w:rPr>
          <w:lang w:val="es-AR" w:eastAsia="en-US"/>
        </w:rPr>
        <w:t>de la desigualdad distributiva</w:t>
      </w:r>
      <w:r w:rsidRPr="00B14726">
        <w:rPr>
          <w:lang w:val="es-AR" w:eastAsia="en-US"/>
        </w:rPr>
        <w:t xml:space="preserve"> y, en menor medida, por el deterioro de los ingresos familiares generados en el mercado de trabajo. Este impacto regresivo </w:t>
      </w:r>
      <w:r>
        <w:rPr>
          <w:lang w:val="es-AR" w:eastAsia="en-US"/>
        </w:rPr>
        <w:t xml:space="preserve">habría sido </w:t>
      </w:r>
      <w:r w:rsidRPr="00B14726">
        <w:rPr>
          <w:lang w:val="es-AR" w:eastAsia="en-US"/>
        </w:rPr>
        <w:t>parcialmente contrapesado por el efecto de las transferencias de la seguridad social y, en menor medida, por los programas de asistencia social directa y de protección al desempleo. Debe tenerse en cuenta</w:t>
      </w:r>
      <w:r w:rsidRPr="007B067A">
        <w:rPr>
          <w:lang w:val="es-AR" w:eastAsia="en-US"/>
        </w:rPr>
        <w:t xml:space="preserve"> </w:t>
      </w:r>
      <w:r w:rsidRPr="00B14726">
        <w:rPr>
          <w:lang w:val="es-AR" w:eastAsia="en-US"/>
        </w:rPr>
        <w:t xml:space="preserve">que, además, esta etapa se caracterizó por una baja incidencia de este tipo de programas, así como por una pérdida del peso de la cobertura jubilatoria. En el caso de la tasa de indigencia, su variación fue de 2 p.p. en el período, </w:t>
      </w:r>
      <w:r>
        <w:rPr>
          <w:lang w:val="es-AR" w:eastAsia="en-US"/>
        </w:rPr>
        <w:t>y este aumento se</w:t>
      </w:r>
      <w:r w:rsidRPr="00B14726">
        <w:rPr>
          <w:lang w:val="es-AR" w:eastAsia="en-US"/>
        </w:rPr>
        <w:t xml:space="preserve"> </w:t>
      </w:r>
      <w:r>
        <w:rPr>
          <w:lang w:val="es-AR" w:eastAsia="en-US"/>
        </w:rPr>
        <w:t xml:space="preserve">habría </w:t>
      </w:r>
      <w:r w:rsidRPr="00B14726">
        <w:rPr>
          <w:lang w:val="es-AR" w:eastAsia="en-US"/>
        </w:rPr>
        <w:t>explica</w:t>
      </w:r>
      <w:r>
        <w:rPr>
          <w:lang w:val="es-AR" w:eastAsia="en-US"/>
        </w:rPr>
        <w:t>do</w:t>
      </w:r>
      <w:r w:rsidRPr="00B14726">
        <w:rPr>
          <w:lang w:val="es-AR" w:eastAsia="en-US"/>
        </w:rPr>
        <w:t xml:space="preserve"> por los mismos factores que los </w:t>
      </w:r>
      <w:r>
        <w:rPr>
          <w:lang w:val="es-AR" w:eastAsia="en-US"/>
        </w:rPr>
        <w:t>identificados para el caso de</w:t>
      </w:r>
      <w:r w:rsidRPr="00B14726">
        <w:rPr>
          <w:lang w:val="es-AR" w:eastAsia="en-US"/>
        </w:rPr>
        <w:t xml:space="preserve"> la pobreza. </w:t>
      </w:r>
    </w:p>
    <w:p w:rsidR="00CC1F81" w:rsidRPr="00B14726" w:rsidRDefault="00CC1F81" w:rsidP="004B6AF2">
      <w:pPr>
        <w:spacing w:after="120"/>
        <w:jc w:val="both"/>
        <w:rPr>
          <w:lang w:val="es-AR" w:eastAsia="en-US"/>
        </w:rPr>
      </w:pPr>
      <w:r w:rsidRPr="00B14726">
        <w:rPr>
          <w:lang w:val="es-AR" w:eastAsia="en-US"/>
        </w:rPr>
        <w:t xml:space="preserve">2) Entre 1998 y 2003, </w:t>
      </w:r>
      <w:r w:rsidR="009B35F7">
        <w:rPr>
          <w:lang w:val="es-AR" w:eastAsia="en-US"/>
        </w:rPr>
        <w:t xml:space="preserve">en el ya mencionado contexto de </w:t>
      </w:r>
      <w:r w:rsidR="007B067A">
        <w:rPr>
          <w:lang w:val="es-AR" w:eastAsia="en-US"/>
        </w:rPr>
        <w:t>colapso</w:t>
      </w:r>
      <w:r w:rsidR="009B35F7">
        <w:rPr>
          <w:lang w:val="es-AR" w:eastAsia="en-US"/>
        </w:rPr>
        <w:t xml:space="preserve"> socioeconómico,</w:t>
      </w:r>
      <w:r w:rsidRPr="00B14726">
        <w:rPr>
          <w:lang w:val="es-AR" w:eastAsia="en-US"/>
        </w:rPr>
        <w:t xml:space="preserve"> </w:t>
      </w:r>
      <w:r w:rsidR="009B35F7">
        <w:rPr>
          <w:lang w:val="es-AR" w:eastAsia="en-US"/>
        </w:rPr>
        <w:t>l</w:t>
      </w:r>
      <w:r w:rsidRPr="00B14726">
        <w:rPr>
          <w:lang w:val="es-AR" w:eastAsia="en-US"/>
        </w:rPr>
        <w:t xml:space="preserve">a tasa de pobreza creció </w:t>
      </w:r>
      <w:r w:rsidR="00E31E5C">
        <w:rPr>
          <w:lang w:val="es-AR" w:eastAsia="en-US"/>
        </w:rPr>
        <w:t xml:space="preserve">casi </w:t>
      </w:r>
      <w:r w:rsidRPr="00B14726">
        <w:rPr>
          <w:lang w:val="es-AR" w:eastAsia="en-US"/>
        </w:rPr>
        <w:t xml:space="preserve">21 p.p. A diferencia del período previo, el papel decisivo en la variación de la pobreza </w:t>
      </w:r>
      <w:r w:rsidR="00546F3D">
        <w:rPr>
          <w:lang w:val="es-AR" w:eastAsia="en-US"/>
        </w:rPr>
        <w:t xml:space="preserve">lo habría jugado, en esta fase, </w:t>
      </w:r>
      <w:r w:rsidRPr="00B14726">
        <w:rPr>
          <w:lang w:val="es-AR" w:eastAsia="en-US"/>
        </w:rPr>
        <w:t xml:space="preserve">el deterioro de los ingresos (explicado, principalmente, por la fuerte devaluación de la moneda y la falta de ajuste de los ingresos de asalariados y de los cuenta propias), seguido por el efecto de la desigualdad. Los ingresos por seguridad social </w:t>
      </w:r>
      <w:r w:rsidR="00546F3D">
        <w:rPr>
          <w:lang w:val="es-AR" w:eastAsia="en-US"/>
        </w:rPr>
        <w:t xml:space="preserve">habrían perdido </w:t>
      </w:r>
      <w:r w:rsidRPr="00B14726">
        <w:rPr>
          <w:lang w:val="es-AR" w:eastAsia="en-US"/>
        </w:rPr>
        <w:t>el impacto compensador que habían tenido en el período anterior</w:t>
      </w:r>
      <w:r w:rsidR="00E31E5C">
        <w:rPr>
          <w:lang w:val="es-AR" w:eastAsia="en-US"/>
        </w:rPr>
        <w:t>,</w:t>
      </w:r>
      <w:r w:rsidR="007B067A">
        <w:rPr>
          <w:lang w:val="es-AR" w:eastAsia="en-US"/>
        </w:rPr>
        <w:t xml:space="preserve"> siendo esto</w:t>
      </w:r>
      <w:r w:rsidRPr="00B14726">
        <w:rPr>
          <w:lang w:val="es-AR" w:eastAsia="en-US"/>
        </w:rPr>
        <w:t xml:space="preserve"> expresión del deterioro </w:t>
      </w:r>
      <w:r w:rsidR="007B067A">
        <w:rPr>
          <w:lang w:val="es-AR" w:eastAsia="en-US"/>
        </w:rPr>
        <w:t>que experimentaron</w:t>
      </w:r>
      <w:r w:rsidRPr="00B14726">
        <w:rPr>
          <w:lang w:val="es-AR" w:eastAsia="en-US"/>
        </w:rPr>
        <w:t xml:space="preserve"> est</w:t>
      </w:r>
      <w:r w:rsidR="007B067A">
        <w:rPr>
          <w:lang w:val="es-AR" w:eastAsia="en-US"/>
        </w:rPr>
        <w:t>os</w:t>
      </w:r>
      <w:r w:rsidRPr="00B14726">
        <w:rPr>
          <w:lang w:val="es-AR" w:eastAsia="en-US"/>
        </w:rPr>
        <w:t xml:space="preserve"> ingresos. En cambio, los programas de asistencia social directa y de protección al desempleo que, como se mostró </w:t>
      </w:r>
      <w:r w:rsidR="00C10567">
        <w:rPr>
          <w:lang w:val="es-AR" w:eastAsia="en-US"/>
        </w:rPr>
        <w:t>anteriormente</w:t>
      </w:r>
      <w:r w:rsidRPr="00B14726">
        <w:rPr>
          <w:lang w:val="es-AR" w:eastAsia="en-US"/>
        </w:rPr>
        <w:t xml:space="preserve">, adquirieron en esta etapa una gran importancia en el gasto social, </w:t>
      </w:r>
      <w:r w:rsidR="00546F3D">
        <w:rPr>
          <w:lang w:val="es-AR" w:eastAsia="en-US"/>
        </w:rPr>
        <w:t xml:space="preserve">habrían jugado </w:t>
      </w:r>
      <w:r w:rsidR="007B067A" w:rsidRPr="00B14726">
        <w:rPr>
          <w:lang w:val="es-AR" w:eastAsia="en-US"/>
        </w:rPr>
        <w:t xml:space="preserve">un papel </w:t>
      </w:r>
      <w:r w:rsidR="007B067A">
        <w:rPr>
          <w:lang w:val="es-AR" w:eastAsia="en-US"/>
        </w:rPr>
        <w:t xml:space="preserve">activo </w:t>
      </w:r>
      <w:r w:rsidRPr="00B14726">
        <w:rPr>
          <w:lang w:val="es-AR" w:eastAsia="en-US"/>
        </w:rPr>
        <w:t xml:space="preserve">en </w:t>
      </w:r>
      <w:r w:rsidR="007B067A">
        <w:rPr>
          <w:lang w:val="es-AR" w:eastAsia="en-US"/>
        </w:rPr>
        <w:t>“amortiguar” el</w:t>
      </w:r>
      <w:r w:rsidRPr="00B14726">
        <w:rPr>
          <w:lang w:val="es-AR" w:eastAsia="en-US"/>
        </w:rPr>
        <w:t xml:space="preserve"> incremento de la tasa de pobreza. En el caso de la tasa de indigencia, se verificó un impacto en igual dirección tanto del deterioro de los ingresos como del aumento de la desigualdad. Cabe destacar que, si bien fue marginal el efecto de las jubilaciones y pensiones en la variación de esta tasa, muy distinto </w:t>
      </w:r>
      <w:r w:rsidR="00546F3D">
        <w:rPr>
          <w:lang w:val="es-AR" w:eastAsia="en-US"/>
        </w:rPr>
        <w:t>habría sido</w:t>
      </w:r>
      <w:r w:rsidRPr="00B14726">
        <w:rPr>
          <w:lang w:val="es-AR" w:eastAsia="en-US"/>
        </w:rPr>
        <w:t xml:space="preserve"> el impacto de los programas sociales: éstos jugaron </w:t>
      </w:r>
      <w:r w:rsidR="007B067A">
        <w:rPr>
          <w:lang w:val="es-AR" w:eastAsia="en-US"/>
        </w:rPr>
        <w:t xml:space="preserve">en este caso </w:t>
      </w:r>
      <w:r w:rsidRPr="00B14726">
        <w:rPr>
          <w:lang w:val="es-AR" w:eastAsia="en-US"/>
        </w:rPr>
        <w:t xml:space="preserve">un papel </w:t>
      </w:r>
      <w:r w:rsidR="007B067A">
        <w:rPr>
          <w:lang w:val="es-AR" w:eastAsia="en-US"/>
        </w:rPr>
        <w:t>m</w:t>
      </w:r>
      <w:r w:rsidR="00B03C9C">
        <w:rPr>
          <w:lang w:val="es-AR" w:eastAsia="en-US"/>
        </w:rPr>
        <w:t>uy</w:t>
      </w:r>
      <w:r w:rsidR="007B067A">
        <w:rPr>
          <w:lang w:val="es-AR" w:eastAsia="en-US"/>
        </w:rPr>
        <w:t xml:space="preserve"> </w:t>
      </w:r>
      <w:r w:rsidRPr="00B14726">
        <w:rPr>
          <w:lang w:val="es-AR" w:eastAsia="en-US"/>
        </w:rPr>
        <w:t xml:space="preserve">relevante </w:t>
      </w:r>
      <w:r w:rsidR="007B067A">
        <w:rPr>
          <w:lang w:val="es-AR" w:eastAsia="en-US"/>
        </w:rPr>
        <w:t xml:space="preserve">en </w:t>
      </w:r>
      <w:r w:rsidRPr="00B14726">
        <w:rPr>
          <w:lang w:val="es-AR" w:eastAsia="en-US"/>
        </w:rPr>
        <w:t>la reducción de la</w:t>
      </w:r>
      <w:r w:rsidR="007B067A">
        <w:rPr>
          <w:lang w:val="es-AR" w:eastAsia="en-US"/>
        </w:rPr>
        <w:t xml:space="preserve"> tasa de</w:t>
      </w:r>
      <w:r w:rsidRPr="00B14726">
        <w:rPr>
          <w:lang w:val="es-AR" w:eastAsia="en-US"/>
        </w:rPr>
        <w:t xml:space="preserve"> indigencia. </w:t>
      </w:r>
    </w:p>
    <w:p w:rsidR="00CC1F81" w:rsidRPr="00B14726" w:rsidRDefault="00CC1F81" w:rsidP="004B6AF2">
      <w:pPr>
        <w:spacing w:after="120"/>
        <w:jc w:val="both"/>
        <w:rPr>
          <w:b/>
          <w:lang w:val="es-AR" w:eastAsia="en-US"/>
        </w:rPr>
      </w:pPr>
      <w:r w:rsidRPr="00B14726">
        <w:rPr>
          <w:lang w:val="es-AR" w:eastAsia="en-US"/>
        </w:rPr>
        <w:t xml:space="preserve">3) </w:t>
      </w:r>
      <w:r w:rsidR="00C10567">
        <w:rPr>
          <w:lang w:val="es-AR" w:eastAsia="en-US"/>
        </w:rPr>
        <w:t>En el</w:t>
      </w:r>
      <w:r w:rsidR="00B03C9C">
        <w:rPr>
          <w:lang w:val="es-AR" w:eastAsia="en-US"/>
        </w:rPr>
        <w:t xml:space="preserve"> período</w:t>
      </w:r>
      <w:r w:rsidR="00C10567">
        <w:rPr>
          <w:lang w:val="es-AR" w:eastAsia="en-US"/>
        </w:rPr>
        <w:t xml:space="preserve"> </w:t>
      </w:r>
      <w:r w:rsidRPr="00B14726">
        <w:rPr>
          <w:lang w:val="es-AR" w:eastAsia="en-US"/>
        </w:rPr>
        <w:t xml:space="preserve">2003-2007, </w:t>
      </w:r>
      <w:r w:rsidR="009B35F7">
        <w:rPr>
          <w:lang w:val="es-AR" w:eastAsia="en-US"/>
        </w:rPr>
        <w:t xml:space="preserve">es decir, en una fase de acelerado crecimiento, </w:t>
      </w:r>
      <w:r w:rsidRPr="00B14726">
        <w:rPr>
          <w:lang w:val="es-AR" w:eastAsia="en-US"/>
        </w:rPr>
        <w:t>la tasa de pobreza se redujo 12,9 p.p. Tal como cab</w:t>
      </w:r>
      <w:r w:rsidR="00546F3D">
        <w:rPr>
          <w:lang w:val="es-AR" w:eastAsia="en-US"/>
        </w:rPr>
        <w:t xml:space="preserve">ría </w:t>
      </w:r>
      <w:r w:rsidRPr="00B14726">
        <w:rPr>
          <w:lang w:val="es-AR" w:eastAsia="en-US"/>
        </w:rPr>
        <w:t xml:space="preserve">esperar, el papel más importante en dicha reducción lo </w:t>
      </w:r>
      <w:r w:rsidR="00546F3D">
        <w:rPr>
          <w:lang w:val="es-AR" w:eastAsia="en-US"/>
        </w:rPr>
        <w:t>habría jugado</w:t>
      </w:r>
      <w:r w:rsidRPr="00B14726">
        <w:rPr>
          <w:lang w:val="es-AR" w:eastAsia="en-US"/>
        </w:rPr>
        <w:t xml:space="preserve"> el aumento de los ingresos de los hogares como efecto directo del aumento </w:t>
      </w:r>
      <w:r w:rsidR="007B067A">
        <w:rPr>
          <w:lang w:val="es-AR" w:eastAsia="en-US"/>
        </w:rPr>
        <w:t>del</w:t>
      </w:r>
      <w:r w:rsidRPr="00B14726">
        <w:rPr>
          <w:lang w:val="es-AR" w:eastAsia="en-US"/>
        </w:rPr>
        <w:t xml:space="preserve"> empleo y la recuperación de las remuneraciones (a partir de la reinstalación de los acuerdos paritarios y de la actualización del salario mínimo, vital y móvil). En línea con la reducción de la pobreza operó también, en este período, </w:t>
      </w:r>
      <w:r w:rsidR="007B067A">
        <w:rPr>
          <w:lang w:val="es-AR" w:eastAsia="en-US"/>
        </w:rPr>
        <w:t>una</w:t>
      </w:r>
      <w:r w:rsidRPr="00B14726">
        <w:rPr>
          <w:lang w:val="es-AR" w:eastAsia="en-US"/>
        </w:rPr>
        <w:t xml:space="preserve"> reducción de la desigualdad</w:t>
      </w:r>
      <w:r w:rsidR="00546F3D">
        <w:rPr>
          <w:lang w:val="es-AR" w:eastAsia="en-US"/>
        </w:rPr>
        <w:t xml:space="preserve"> distributiva. </w:t>
      </w:r>
      <w:r w:rsidRPr="00B14726">
        <w:rPr>
          <w:lang w:val="es-AR" w:eastAsia="en-US"/>
        </w:rPr>
        <w:t xml:space="preserve">Las transferencias de la seguridad social </w:t>
      </w:r>
      <w:r w:rsidR="00546F3D">
        <w:rPr>
          <w:lang w:val="es-AR" w:eastAsia="en-US"/>
        </w:rPr>
        <w:t xml:space="preserve">habrían contribuido también </w:t>
      </w:r>
      <w:r w:rsidRPr="00B14726">
        <w:rPr>
          <w:lang w:val="es-AR" w:eastAsia="en-US"/>
        </w:rPr>
        <w:t xml:space="preserve">a la reducción de la pobreza, a partir de la actualización de los haberes mínimos y la ampliación de la cobertura previsional. En cambio, </w:t>
      </w:r>
      <w:r w:rsidR="00546F3D">
        <w:rPr>
          <w:lang w:val="es-AR" w:eastAsia="en-US"/>
        </w:rPr>
        <w:t xml:space="preserve">habría sido marginal el papel jugado por </w:t>
      </w:r>
      <w:r w:rsidRPr="00B14726">
        <w:rPr>
          <w:lang w:val="es-AR" w:eastAsia="en-US"/>
        </w:rPr>
        <w:t xml:space="preserve">los programas de asistencia social directa y de protección al desempleo en la caída de dicha tasa. En el caso de la variación de la tasa de indigencia (-7,6 p.p.), se observa el mismo conjunto de efectos. Sin embargo, cabe destacar que los programas </w:t>
      </w:r>
      <w:r w:rsidR="000546C9">
        <w:rPr>
          <w:lang w:val="es-AR" w:eastAsia="en-US"/>
        </w:rPr>
        <w:t>de asistencia social directa</w:t>
      </w:r>
      <w:r w:rsidRPr="00B14726">
        <w:rPr>
          <w:lang w:val="es-AR" w:eastAsia="en-US"/>
        </w:rPr>
        <w:t xml:space="preserve">, en contraposición con lo que ocurrió </w:t>
      </w:r>
      <w:r w:rsidR="007B067A">
        <w:rPr>
          <w:lang w:val="es-AR" w:eastAsia="en-US"/>
        </w:rPr>
        <w:t>en la fase anterior</w:t>
      </w:r>
      <w:r w:rsidR="000546C9">
        <w:rPr>
          <w:lang w:val="es-AR" w:eastAsia="en-US"/>
        </w:rPr>
        <w:t xml:space="preserve"> y al inicio del período</w:t>
      </w:r>
      <w:r w:rsidRPr="00B14726">
        <w:rPr>
          <w:lang w:val="es-AR" w:eastAsia="en-US"/>
        </w:rPr>
        <w:t xml:space="preserve">, </w:t>
      </w:r>
      <w:r w:rsidR="000546C9">
        <w:rPr>
          <w:lang w:val="es-AR" w:eastAsia="en-US"/>
        </w:rPr>
        <w:t xml:space="preserve">dado el protagonismo del factor empleo y de las transferencias previsionales, </w:t>
      </w:r>
      <w:r w:rsidR="00546F3D">
        <w:rPr>
          <w:lang w:val="es-AR" w:eastAsia="en-US"/>
        </w:rPr>
        <w:t xml:space="preserve">habrían perdido </w:t>
      </w:r>
      <w:r w:rsidR="000546C9">
        <w:rPr>
          <w:lang w:val="es-AR" w:eastAsia="en-US"/>
        </w:rPr>
        <w:t>importancia relativa en la caída</w:t>
      </w:r>
      <w:r w:rsidRPr="00B14726">
        <w:rPr>
          <w:lang w:val="es-AR" w:eastAsia="en-US"/>
        </w:rPr>
        <w:t xml:space="preserve"> de la indigencia.</w:t>
      </w:r>
    </w:p>
    <w:p w:rsidR="00CC1F81" w:rsidRPr="00B14726" w:rsidRDefault="00CC1F81" w:rsidP="004B6AF2">
      <w:pPr>
        <w:spacing w:after="120"/>
        <w:jc w:val="both"/>
        <w:rPr>
          <w:b/>
          <w:lang w:val="es-AR" w:eastAsia="en-US"/>
        </w:rPr>
      </w:pPr>
      <w:r w:rsidRPr="00B14726">
        <w:rPr>
          <w:lang w:val="es-AR" w:eastAsia="en-US"/>
        </w:rPr>
        <w:t xml:space="preserve">4) </w:t>
      </w:r>
      <w:r w:rsidR="000546C9">
        <w:rPr>
          <w:lang w:val="es-AR" w:eastAsia="en-US"/>
        </w:rPr>
        <w:t>Por último</w:t>
      </w:r>
      <w:r w:rsidRPr="00B14726">
        <w:rPr>
          <w:lang w:val="es-AR" w:eastAsia="en-US"/>
        </w:rPr>
        <w:t xml:space="preserve">, durante el período 2007-2012, </w:t>
      </w:r>
      <w:r w:rsidR="009B35F7">
        <w:rPr>
          <w:lang w:val="es-AR" w:eastAsia="en-US"/>
        </w:rPr>
        <w:t xml:space="preserve">el crecimiento económico </w:t>
      </w:r>
      <w:r w:rsidR="000546C9">
        <w:rPr>
          <w:lang w:val="es-AR" w:eastAsia="en-US"/>
        </w:rPr>
        <w:t>se desaceleró y fue más irregular</w:t>
      </w:r>
      <w:r w:rsidR="009B35F7">
        <w:rPr>
          <w:lang w:val="es-AR" w:eastAsia="en-US"/>
        </w:rPr>
        <w:t xml:space="preserve">. En este marco, </w:t>
      </w:r>
      <w:r w:rsidRPr="00B14726">
        <w:rPr>
          <w:lang w:val="es-AR" w:eastAsia="en-US"/>
        </w:rPr>
        <w:t xml:space="preserve">la pobreza volvió a caer, aunque ahora sólo 5 p.p. A diferencia del período previo, en dicho comportamiento </w:t>
      </w:r>
      <w:r w:rsidR="00546F3D">
        <w:rPr>
          <w:lang w:val="es-AR" w:eastAsia="en-US"/>
        </w:rPr>
        <w:t xml:space="preserve">habría jugado </w:t>
      </w:r>
      <w:r w:rsidRPr="00B14726">
        <w:rPr>
          <w:lang w:val="es-AR" w:eastAsia="en-US"/>
        </w:rPr>
        <w:t xml:space="preserve">un papel </w:t>
      </w:r>
      <w:r w:rsidR="000546C9">
        <w:rPr>
          <w:lang w:val="es-AR" w:eastAsia="en-US"/>
        </w:rPr>
        <w:t xml:space="preserve">relativamente </w:t>
      </w:r>
      <w:r w:rsidRPr="00B14726">
        <w:rPr>
          <w:lang w:val="es-AR" w:eastAsia="en-US"/>
        </w:rPr>
        <w:t xml:space="preserve">menor el crecimiento de los ingresos provenientes del mercado de trabajo, </w:t>
      </w:r>
      <w:r w:rsidRPr="00B14726">
        <w:rPr>
          <w:lang w:val="es-AR" w:eastAsia="en-US"/>
        </w:rPr>
        <w:lastRenderedPageBreak/>
        <w:t xml:space="preserve">lo cual </w:t>
      </w:r>
      <w:r w:rsidR="00546F3D">
        <w:rPr>
          <w:lang w:val="es-AR" w:eastAsia="en-US"/>
        </w:rPr>
        <w:t>sería expresión d</w:t>
      </w:r>
      <w:r w:rsidRPr="00B14726">
        <w:rPr>
          <w:lang w:val="es-AR" w:eastAsia="en-US"/>
        </w:rPr>
        <w:t xml:space="preserve">el menor dinamismo de la economía en esta etapa en comparación con la anterior. Mucho más relevante </w:t>
      </w:r>
      <w:r w:rsidR="000546C9">
        <w:rPr>
          <w:lang w:val="es-AR" w:eastAsia="en-US"/>
        </w:rPr>
        <w:t>para explicar la</w:t>
      </w:r>
      <w:r w:rsidRPr="00B14726">
        <w:rPr>
          <w:lang w:val="es-AR" w:eastAsia="en-US"/>
        </w:rPr>
        <w:t xml:space="preserve"> caída de la tasa de pobreza </w:t>
      </w:r>
      <w:r w:rsidR="00546F3D">
        <w:rPr>
          <w:lang w:val="es-AR" w:eastAsia="en-US"/>
        </w:rPr>
        <w:t xml:space="preserve">parece haber sido </w:t>
      </w:r>
      <w:r w:rsidRPr="00B14726">
        <w:rPr>
          <w:lang w:val="es-AR" w:eastAsia="en-US"/>
        </w:rPr>
        <w:t xml:space="preserve">la reducción de la desigualdad. A su vez, en contraste con todos los períodos previos, las transferencias de la seguridad social –que, como se vio, alcanzan niveles inéditos en términos del gasto público social– </w:t>
      </w:r>
      <w:r w:rsidR="00546F3D">
        <w:rPr>
          <w:lang w:val="es-AR" w:eastAsia="en-US"/>
        </w:rPr>
        <w:t xml:space="preserve">habrían tenido un rol </w:t>
      </w:r>
      <w:r w:rsidRPr="00B14726">
        <w:rPr>
          <w:lang w:val="es-AR" w:eastAsia="en-US"/>
        </w:rPr>
        <w:t xml:space="preserve">crucial en el cambio observado en la tasa de pobreza, lo que se explica por la mayor cobertura previsional. Los programas sociales de asistencia directa, entre los cuales, a partir de 2010, </w:t>
      </w:r>
      <w:r w:rsidR="000546C9">
        <w:rPr>
          <w:lang w:val="es-AR" w:eastAsia="en-US"/>
        </w:rPr>
        <w:t>se ubica en primer lugar la</w:t>
      </w:r>
      <w:r w:rsidRPr="00B14726">
        <w:rPr>
          <w:lang w:val="es-AR" w:eastAsia="en-US"/>
        </w:rPr>
        <w:t xml:space="preserve"> </w:t>
      </w:r>
      <w:r w:rsidR="00546F3D">
        <w:rPr>
          <w:lang w:val="es-AR" w:eastAsia="en-US"/>
        </w:rPr>
        <w:t>Asignación Universal por Hijo</w:t>
      </w:r>
      <w:r w:rsidRPr="00B14726">
        <w:rPr>
          <w:lang w:val="es-AR" w:eastAsia="en-US"/>
        </w:rPr>
        <w:t xml:space="preserve">, </w:t>
      </w:r>
      <w:r w:rsidR="00546F3D">
        <w:rPr>
          <w:lang w:val="es-AR" w:eastAsia="en-US"/>
        </w:rPr>
        <w:t xml:space="preserve">habrían tenido </w:t>
      </w:r>
      <w:r w:rsidRPr="00B14726">
        <w:rPr>
          <w:lang w:val="es-AR" w:eastAsia="en-US"/>
        </w:rPr>
        <w:t xml:space="preserve">un efecto reducido en el cambio observado en la pobreza. En el caso de la tasa de indigencia, su reducción en la etapa fue de 2,3 p.p., y al igual que en la tasa de pobreza, el efecto de los ingresos generados por el mercado de trabajo fue marginal frente al efecto </w:t>
      </w:r>
      <w:r w:rsidR="000546C9">
        <w:rPr>
          <w:lang w:val="es-AR" w:eastAsia="en-US"/>
        </w:rPr>
        <w:t>positivo que generó la menor</w:t>
      </w:r>
      <w:r w:rsidRPr="00B14726">
        <w:rPr>
          <w:lang w:val="es-AR" w:eastAsia="en-US"/>
        </w:rPr>
        <w:t xml:space="preserve"> desigualdad. Los ingresos por jubilaciones y pensiones, en comparación con períodos previos, tuvieron un efecto muy significativo en el cambio observado en la indigencia. En cambio, el efecto de los programas sociales, si bien fue positivo, continuó siendo </w:t>
      </w:r>
      <w:r w:rsidR="000546C9">
        <w:rPr>
          <w:lang w:val="es-AR" w:eastAsia="en-US"/>
        </w:rPr>
        <w:t>marginal</w:t>
      </w:r>
      <w:r w:rsidRPr="00B14726">
        <w:rPr>
          <w:lang w:val="es-AR" w:eastAsia="en-US"/>
        </w:rPr>
        <w:t xml:space="preserve"> para explicar dicha variación. </w:t>
      </w:r>
    </w:p>
    <w:p w:rsidR="00CC1F81" w:rsidRPr="000546C9" w:rsidRDefault="00CC1F81" w:rsidP="004B6AF2">
      <w:pPr>
        <w:spacing w:after="120"/>
        <w:jc w:val="both"/>
        <w:rPr>
          <w:lang w:val="es-AR" w:eastAsia="en-US"/>
        </w:rPr>
      </w:pPr>
      <w:r w:rsidRPr="000546C9">
        <w:rPr>
          <w:lang w:val="es-AR" w:eastAsia="en-US"/>
        </w:rPr>
        <w:t xml:space="preserve">Las variaciones observadas en la pobreza y en la indigencia a lo largo de las dos fases político-económicas consideradas </w:t>
      </w:r>
      <w:r w:rsidR="00546F3D">
        <w:rPr>
          <w:lang w:val="es-AR" w:eastAsia="en-US"/>
        </w:rPr>
        <w:t xml:space="preserve">habrían obedecido, </w:t>
      </w:r>
      <w:r w:rsidRPr="000546C9">
        <w:rPr>
          <w:lang w:val="es-AR" w:eastAsia="en-US"/>
        </w:rPr>
        <w:t xml:space="preserve">principalmente, a lo ocurrido con </w:t>
      </w:r>
      <w:r w:rsidR="000546C9">
        <w:rPr>
          <w:lang w:val="es-AR" w:eastAsia="en-US"/>
        </w:rPr>
        <w:t>la evolución de los</w:t>
      </w:r>
      <w:r w:rsidRPr="000546C9">
        <w:rPr>
          <w:lang w:val="es-AR" w:eastAsia="en-US"/>
        </w:rPr>
        <w:t xml:space="preserve"> ingresos</w:t>
      </w:r>
      <w:r w:rsidR="000546C9">
        <w:rPr>
          <w:lang w:val="es-AR" w:eastAsia="en-US"/>
        </w:rPr>
        <w:t xml:space="preserve"> laborales, previsionales</w:t>
      </w:r>
      <w:r w:rsidRPr="000546C9">
        <w:rPr>
          <w:lang w:val="es-AR" w:eastAsia="en-US"/>
        </w:rPr>
        <w:t xml:space="preserve"> y con la desigualdad distributiva. El </w:t>
      </w:r>
      <w:r w:rsidR="000546C9">
        <w:rPr>
          <w:lang w:val="es-AR" w:eastAsia="en-US"/>
        </w:rPr>
        <w:t>particular</w:t>
      </w:r>
      <w:r w:rsidRPr="000546C9">
        <w:rPr>
          <w:lang w:val="es-AR" w:eastAsia="en-US"/>
        </w:rPr>
        <w:t xml:space="preserve"> deterioro de los ingresos</w:t>
      </w:r>
      <w:r w:rsidR="000546C9">
        <w:rPr>
          <w:lang w:val="es-AR" w:eastAsia="en-US"/>
        </w:rPr>
        <w:t xml:space="preserve"> de los hogares –laborales y previsionales-</w:t>
      </w:r>
      <w:r w:rsidRPr="000546C9">
        <w:rPr>
          <w:lang w:val="es-AR" w:eastAsia="en-US"/>
        </w:rPr>
        <w:t xml:space="preserve"> durante la década de reformas estructurales</w:t>
      </w:r>
      <w:r w:rsidR="000546C9">
        <w:rPr>
          <w:lang w:val="es-AR" w:eastAsia="en-US"/>
        </w:rPr>
        <w:t>, junto con</w:t>
      </w:r>
      <w:r w:rsidRPr="000546C9">
        <w:rPr>
          <w:lang w:val="es-AR" w:eastAsia="en-US"/>
        </w:rPr>
        <w:t xml:space="preserve"> el </w:t>
      </w:r>
      <w:r w:rsidR="000546C9">
        <w:rPr>
          <w:lang w:val="es-AR" w:eastAsia="en-US"/>
        </w:rPr>
        <w:t xml:space="preserve">fuerte </w:t>
      </w:r>
      <w:r w:rsidRPr="000546C9">
        <w:rPr>
          <w:lang w:val="es-AR" w:eastAsia="en-US"/>
        </w:rPr>
        <w:t xml:space="preserve">incremento </w:t>
      </w:r>
      <w:r w:rsidR="000546C9">
        <w:rPr>
          <w:lang w:val="es-AR" w:eastAsia="en-US"/>
        </w:rPr>
        <w:t xml:space="preserve">que experimentó </w:t>
      </w:r>
      <w:r w:rsidRPr="000546C9">
        <w:rPr>
          <w:lang w:val="es-AR" w:eastAsia="en-US"/>
        </w:rPr>
        <w:t>la desigualdad</w:t>
      </w:r>
      <w:r w:rsidR="000546C9">
        <w:rPr>
          <w:lang w:val="es-AR" w:eastAsia="en-US"/>
        </w:rPr>
        <w:t>,</w:t>
      </w:r>
      <w:r w:rsidR="00546F3D">
        <w:rPr>
          <w:lang w:val="es-AR" w:eastAsia="en-US"/>
        </w:rPr>
        <w:t xml:space="preserve"> explicarían</w:t>
      </w:r>
      <w:r w:rsidRPr="000546C9">
        <w:rPr>
          <w:lang w:val="es-AR" w:eastAsia="en-US"/>
        </w:rPr>
        <w:t xml:space="preserve"> </w:t>
      </w:r>
      <w:r w:rsidR="00E90576">
        <w:rPr>
          <w:lang w:val="es-AR" w:eastAsia="en-US"/>
        </w:rPr>
        <w:t>la mayor parte d</w:t>
      </w:r>
      <w:r w:rsidRPr="000546C9">
        <w:rPr>
          <w:lang w:val="es-AR" w:eastAsia="en-US"/>
        </w:rPr>
        <w:t xml:space="preserve">el aumento de la pobreza y la indigencia en esa fase. </w:t>
      </w:r>
      <w:r w:rsidR="00546F3D">
        <w:rPr>
          <w:lang w:val="es-AR" w:eastAsia="en-US"/>
        </w:rPr>
        <w:t>En un sentido netamente opuesto</w:t>
      </w:r>
      <w:r w:rsidRPr="000546C9">
        <w:rPr>
          <w:lang w:val="es-AR" w:eastAsia="en-US"/>
        </w:rPr>
        <w:t xml:space="preserve">, la recuperación </w:t>
      </w:r>
      <w:r w:rsidR="00E90576">
        <w:rPr>
          <w:lang w:val="es-AR" w:eastAsia="en-US"/>
        </w:rPr>
        <w:t>del empleo</w:t>
      </w:r>
      <w:r w:rsidRPr="000546C9">
        <w:rPr>
          <w:lang w:val="es-AR" w:eastAsia="en-US"/>
        </w:rPr>
        <w:t xml:space="preserve"> y de los ingresos</w:t>
      </w:r>
      <w:r w:rsidR="00E90576">
        <w:rPr>
          <w:lang w:val="es-AR" w:eastAsia="en-US"/>
        </w:rPr>
        <w:t xml:space="preserve"> familiares</w:t>
      </w:r>
      <w:r w:rsidRPr="000546C9">
        <w:rPr>
          <w:lang w:val="es-AR" w:eastAsia="en-US"/>
        </w:rPr>
        <w:t xml:space="preserve">, así como la </w:t>
      </w:r>
      <w:r w:rsidR="00E90576">
        <w:rPr>
          <w:lang w:val="es-AR" w:eastAsia="en-US"/>
        </w:rPr>
        <w:t>fuerte caída de la</w:t>
      </w:r>
      <w:r w:rsidRPr="000546C9">
        <w:rPr>
          <w:lang w:val="es-AR" w:eastAsia="en-US"/>
        </w:rPr>
        <w:t xml:space="preserve"> desigualdad, explica</w:t>
      </w:r>
      <w:r w:rsidR="00546F3D">
        <w:rPr>
          <w:lang w:val="es-AR" w:eastAsia="en-US"/>
        </w:rPr>
        <w:t xml:space="preserve">rían </w:t>
      </w:r>
      <w:r w:rsidRPr="000546C9">
        <w:rPr>
          <w:lang w:val="es-AR" w:eastAsia="en-US"/>
        </w:rPr>
        <w:t>los cambios en la década post-</w:t>
      </w:r>
      <w:r w:rsidR="00E90576">
        <w:rPr>
          <w:lang w:val="es-AR" w:eastAsia="en-US"/>
        </w:rPr>
        <w:t>reformas</w:t>
      </w:r>
      <w:r w:rsidRPr="000546C9">
        <w:rPr>
          <w:lang w:val="es-AR" w:eastAsia="en-US"/>
        </w:rPr>
        <w:t xml:space="preserve">. El efecto de las transferencias de los programas de asistencia directa </w:t>
      </w:r>
      <w:r w:rsidR="00E90576">
        <w:rPr>
          <w:lang w:val="es-AR" w:eastAsia="en-US"/>
        </w:rPr>
        <w:t xml:space="preserve">y de protección al desempleo </w:t>
      </w:r>
      <w:r w:rsidR="00A9633E">
        <w:rPr>
          <w:rFonts w:eastAsia="Calibri"/>
          <w:lang w:val="es-AR" w:eastAsia="en-US"/>
        </w:rPr>
        <w:t>–dado los bajos montos asociados a dichas transferencias-</w:t>
      </w:r>
      <w:r w:rsidR="00A9633E" w:rsidRPr="00B14726">
        <w:rPr>
          <w:rFonts w:eastAsia="Calibri"/>
          <w:lang w:val="es-AR" w:eastAsia="en-US"/>
        </w:rPr>
        <w:t xml:space="preserve"> </w:t>
      </w:r>
      <w:r w:rsidR="00546F3D">
        <w:rPr>
          <w:lang w:val="es-AR" w:eastAsia="en-US"/>
        </w:rPr>
        <w:t>fue</w:t>
      </w:r>
      <w:r w:rsidRPr="000546C9">
        <w:rPr>
          <w:lang w:val="es-AR" w:eastAsia="en-US"/>
        </w:rPr>
        <w:t xml:space="preserve"> menor que los componentes antes reseñados, y su comportamiento no fue igual en cada etapa. </w:t>
      </w:r>
      <w:r w:rsidR="00E90576">
        <w:rPr>
          <w:lang w:val="es-AR" w:eastAsia="en-US"/>
        </w:rPr>
        <w:t xml:space="preserve">Ambos </w:t>
      </w:r>
      <w:r w:rsidR="00546F3D">
        <w:rPr>
          <w:lang w:val="es-AR" w:eastAsia="en-US"/>
        </w:rPr>
        <w:t xml:space="preserve">habrían tenido su </w:t>
      </w:r>
      <w:r w:rsidRPr="000546C9">
        <w:rPr>
          <w:lang w:val="es-AR" w:eastAsia="en-US"/>
        </w:rPr>
        <w:t>mayor impacto en</w:t>
      </w:r>
      <w:r w:rsidR="00B03C9C">
        <w:rPr>
          <w:lang w:val="es-AR" w:eastAsia="en-US"/>
        </w:rPr>
        <w:t xml:space="preserve"> </w:t>
      </w:r>
      <w:r w:rsidR="00546F3D">
        <w:rPr>
          <w:lang w:val="es-AR" w:eastAsia="en-US"/>
        </w:rPr>
        <w:t xml:space="preserve">el </w:t>
      </w:r>
      <w:r w:rsidR="00B03C9C">
        <w:rPr>
          <w:lang w:val="es-AR" w:eastAsia="en-US"/>
        </w:rPr>
        <w:t xml:space="preserve">momento más álgido de </w:t>
      </w:r>
      <w:r w:rsidRPr="000546C9">
        <w:rPr>
          <w:lang w:val="es-AR" w:eastAsia="en-US"/>
        </w:rPr>
        <w:t>la crisis, y sobre todo</w:t>
      </w:r>
      <w:r w:rsidR="00E90576">
        <w:rPr>
          <w:lang w:val="es-AR" w:eastAsia="en-US"/>
        </w:rPr>
        <w:t xml:space="preserve">, </w:t>
      </w:r>
      <w:r w:rsidR="00B03C9C">
        <w:rPr>
          <w:lang w:val="es-AR" w:eastAsia="en-US"/>
        </w:rPr>
        <w:t>en</w:t>
      </w:r>
      <w:r w:rsidR="00E90576">
        <w:rPr>
          <w:lang w:val="es-AR" w:eastAsia="en-US"/>
        </w:rPr>
        <w:t xml:space="preserve"> la tasa de</w:t>
      </w:r>
      <w:r w:rsidRPr="000546C9">
        <w:rPr>
          <w:lang w:val="es-AR" w:eastAsia="en-US"/>
        </w:rPr>
        <w:t xml:space="preserve"> indigencia</w:t>
      </w:r>
      <w:r w:rsidR="00B03C9C">
        <w:rPr>
          <w:lang w:val="es-AR" w:eastAsia="en-US"/>
        </w:rPr>
        <w:t xml:space="preserve"> en mayor grado que en</w:t>
      </w:r>
      <w:r w:rsidR="00A9633E">
        <w:rPr>
          <w:lang w:val="es-AR" w:eastAsia="en-US"/>
        </w:rPr>
        <w:t xml:space="preserve"> la tasa de</w:t>
      </w:r>
      <w:r w:rsidR="00E90576">
        <w:rPr>
          <w:lang w:val="es-AR" w:eastAsia="en-US"/>
        </w:rPr>
        <w:t xml:space="preserve"> </w:t>
      </w:r>
      <w:r w:rsidRPr="000546C9">
        <w:rPr>
          <w:lang w:val="es-AR" w:eastAsia="en-US"/>
        </w:rPr>
        <w:t xml:space="preserve">pobreza. </w:t>
      </w:r>
    </w:p>
    <w:p w:rsidR="005279E2" w:rsidRDefault="005279E2" w:rsidP="00CC1F81">
      <w:pPr>
        <w:spacing w:after="120"/>
        <w:jc w:val="both"/>
        <w:rPr>
          <w:b/>
        </w:rPr>
      </w:pPr>
    </w:p>
    <w:p w:rsidR="00CC1F81" w:rsidRPr="00B14726" w:rsidRDefault="009D0FD0" w:rsidP="00CC1F81">
      <w:pPr>
        <w:spacing w:after="120"/>
        <w:jc w:val="both"/>
        <w:rPr>
          <w:b/>
        </w:rPr>
      </w:pPr>
      <w:r>
        <w:rPr>
          <w:b/>
        </w:rPr>
        <w:t>10</w:t>
      </w:r>
      <w:r w:rsidR="00AA431D">
        <w:rPr>
          <w:b/>
        </w:rPr>
        <w:t xml:space="preserve">. </w:t>
      </w:r>
      <w:r w:rsidR="00CC1F81" w:rsidRPr="00B14726">
        <w:rPr>
          <w:b/>
        </w:rPr>
        <w:t>Reflexiones finales</w:t>
      </w:r>
      <w:r w:rsidR="005D2997">
        <w:rPr>
          <w:b/>
        </w:rPr>
        <w:t xml:space="preserve">: </w:t>
      </w:r>
      <w:r w:rsidR="00906528">
        <w:rPr>
          <w:b/>
        </w:rPr>
        <w:t xml:space="preserve">límites </w:t>
      </w:r>
      <w:r w:rsidR="005D2997">
        <w:rPr>
          <w:b/>
        </w:rPr>
        <w:t xml:space="preserve">estructurales al proceso de </w:t>
      </w:r>
      <w:r w:rsidR="00906528">
        <w:rPr>
          <w:b/>
        </w:rPr>
        <w:t xml:space="preserve">integración </w:t>
      </w:r>
      <w:r w:rsidR="005D2997">
        <w:rPr>
          <w:b/>
        </w:rPr>
        <w:t xml:space="preserve">social. </w:t>
      </w:r>
    </w:p>
    <w:p w:rsidR="00912DDA" w:rsidRDefault="00912DDA" w:rsidP="00912DDA">
      <w:pPr>
        <w:spacing w:after="200"/>
        <w:jc w:val="both"/>
        <w:rPr>
          <w:rFonts w:eastAsia="Calibri"/>
          <w:lang w:val="es-AR" w:eastAsia="en-US"/>
        </w:rPr>
      </w:pPr>
      <w:r w:rsidRPr="00B14726">
        <w:rPr>
          <w:rFonts w:eastAsia="Calibri"/>
          <w:lang w:val="es-AR" w:eastAsia="en-US"/>
        </w:rPr>
        <w:t xml:space="preserve">Este trabajo </w:t>
      </w:r>
      <w:r w:rsidR="00906528">
        <w:rPr>
          <w:rFonts w:eastAsia="Calibri"/>
          <w:lang w:val="es-AR" w:eastAsia="en-US"/>
        </w:rPr>
        <w:t>ha aportado</w:t>
      </w:r>
      <w:r>
        <w:rPr>
          <w:rFonts w:eastAsia="Calibri"/>
          <w:lang w:val="es-AR" w:eastAsia="en-US"/>
        </w:rPr>
        <w:t xml:space="preserve"> una serie de evidencias</w:t>
      </w:r>
      <w:r w:rsidRPr="00B14726">
        <w:rPr>
          <w:rFonts w:eastAsia="Calibri"/>
          <w:lang w:val="es-AR" w:eastAsia="en-US"/>
        </w:rPr>
        <w:t xml:space="preserve"> empíric</w:t>
      </w:r>
      <w:r>
        <w:rPr>
          <w:rFonts w:eastAsia="Calibri"/>
          <w:lang w:val="es-AR" w:eastAsia="en-US"/>
        </w:rPr>
        <w:t>a</w:t>
      </w:r>
      <w:r w:rsidRPr="00B14726">
        <w:rPr>
          <w:rFonts w:eastAsia="Calibri"/>
          <w:lang w:val="es-AR" w:eastAsia="en-US"/>
        </w:rPr>
        <w:t xml:space="preserve">s </w:t>
      </w:r>
      <w:r>
        <w:rPr>
          <w:rFonts w:eastAsia="Calibri"/>
          <w:lang w:val="es-AR" w:eastAsia="en-US"/>
        </w:rPr>
        <w:t xml:space="preserve">al debate teórico </w:t>
      </w:r>
      <w:r w:rsidR="005279E2">
        <w:rPr>
          <w:rFonts w:eastAsia="Calibri"/>
          <w:lang w:val="es-AR" w:eastAsia="en-US"/>
        </w:rPr>
        <w:t xml:space="preserve">y político-académico </w:t>
      </w:r>
      <w:r>
        <w:rPr>
          <w:rFonts w:eastAsia="Calibri"/>
          <w:lang w:val="es-AR" w:eastAsia="en-US"/>
        </w:rPr>
        <w:t xml:space="preserve">sobre </w:t>
      </w:r>
      <w:r w:rsidR="005279E2">
        <w:rPr>
          <w:rFonts w:eastAsia="Calibri"/>
          <w:lang w:val="es-AR" w:eastAsia="en-US"/>
        </w:rPr>
        <w:t>el</w:t>
      </w:r>
      <w:r w:rsidRPr="00B14726">
        <w:rPr>
          <w:rFonts w:eastAsia="Calibri"/>
          <w:lang w:val="es-AR" w:eastAsia="en-US"/>
        </w:rPr>
        <w:t xml:space="preserve"> </w:t>
      </w:r>
      <w:r w:rsidR="005279E2">
        <w:rPr>
          <w:rFonts w:eastAsia="Calibri"/>
          <w:lang w:val="es-AR" w:eastAsia="en-US"/>
        </w:rPr>
        <w:t>alcance</w:t>
      </w:r>
      <w:r w:rsidRPr="00B14726">
        <w:rPr>
          <w:rFonts w:eastAsia="Calibri"/>
          <w:lang w:val="es-AR" w:eastAsia="en-US"/>
        </w:rPr>
        <w:t xml:space="preserve"> de las políticas </w:t>
      </w:r>
      <w:r>
        <w:rPr>
          <w:rFonts w:eastAsia="Calibri"/>
          <w:lang w:val="es-AR" w:eastAsia="en-US"/>
        </w:rPr>
        <w:t xml:space="preserve">socioeconómicas –sean </w:t>
      </w:r>
      <w:r w:rsidR="005279E2">
        <w:rPr>
          <w:rFonts w:eastAsia="Calibri"/>
          <w:lang w:val="es-AR" w:eastAsia="en-US"/>
        </w:rPr>
        <w:t>la de</w:t>
      </w:r>
      <w:r>
        <w:rPr>
          <w:rFonts w:eastAsia="Calibri"/>
          <w:lang w:val="es-AR" w:eastAsia="en-US"/>
        </w:rPr>
        <w:t xml:space="preserve"> corte </w:t>
      </w:r>
      <w:r w:rsidR="005D7D38">
        <w:rPr>
          <w:rFonts w:eastAsia="Calibri"/>
          <w:lang w:val="es-AR" w:eastAsia="en-US"/>
        </w:rPr>
        <w:t>“ortodoxo</w:t>
      </w:r>
      <w:r w:rsidR="005279E2">
        <w:rPr>
          <w:rFonts w:eastAsia="Calibri"/>
          <w:lang w:val="es-AR" w:eastAsia="en-US"/>
        </w:rPr>
        <w:t>-neoliberal</w:t>
      </w:r>
      <w:r w:rsidR="005D7D38">
        <w:rPr>
          <w:rFonts w:eastAsia="Calibri"/>
          <w:lang w:val="es-AR" w:eastAsia="en-US"/>
        </w:rPr>
        <w:t xml:space="preserve">” o </w:t>
      </w:r>
      <w:r w:rsidR="005279E2">
        <w:rPr>
          <w:rFonts w:eastAsia="Calibri"/>
          <w:lang w:val="es-AR" w:eastAsia="en-US"/>
        </w:rPr>
        <w:t xml:space="preserve">las de orientación </w:t>
      </w:r>
      <w:r w:rsidR="005D7D38">
        <w:rPr>
          <w:rFonts w:eastAsia="Calibri"/>
          <w:lang w:val="es-AR" w:eastAsia="en-US"/>
        </w:rPr>
        <w:t>heterodox</w:t>
      </w:r>
      <w:r w:rsidR="005279E2">
        <w:rPr>
          <w:rFonts w:eastAsia="Calibri"/>
          <w:lang w:val="es-AR" w:eastAsia="en-US"/>
        </w:rPr>
        <w:t>a-</w:t>
      </w:r>
      <w:r>
        <w:rPr>
          <w:rFonts w:eastAsia="Calibri"/>
          <w:lang w:val="es-AR" w:eastAsia="en-US"/>
        </w:rPr>
        <w:t>neodesarrollista- como instrumentos conducentes a un desarrollo sustentable con convergencia social</w:t>
      </w:r>
      <w:r w:rsidRPr="00B14726">
        <w:rPr>
          <w:rFonts w:eastAsia="Calibri"/>
          <w:lang w:val="es-AR" w:eastAsia="en-US"/>
        </w:rPr>
        <w:t xml:space="preserve">. </w:t>
      </w:r>
      <w:r w:rsidR="00906528">
        <w:rPr>
          <w:rFonts w:eastAsia="Calibri"/>
          <w:lang w:val="es-AR" w:eastAsia="en-US"/>
        </w:rPr>
        <w:t>En este sentido, e</w:t>
      </w:r>
      <w:r>
        <w:rPr>
          <w:rFonts w:eastAsia="Calibri"/>
          <w:lang w:val="es-AR" w:eastAsia="en-US"/>
        </w:rPr>
        <w:t>l estudio se limit</w:t>
      </w:r>
      <w:r w:rsidR="00906528">
        <w:rPr>
          <w:rFonts w:eastAsia="Calibri"/>
          <w:lang w:val="es-AR" w:eastAsia="en-US"/>
        </w:rPr>
        <w:t>ó</w:t>
      </w:r>
      <w:r>
        <w:rPr>
          <w:rFonts w:eastAsia="Calibri"/>
          <w:lang w:val="es-AR" w:eastAsia="en-US"/>
        </w:rPr>
        <w:t xml:space="preserve"> al caso argentino para el período 1992-2012, un período en </w:t>
      </w:r>
      <w:r w:rsidR="00906528">
        <w:rPr>
          <w:rFonts w:eastAsia="Calibri"/>
          <w:lang w:val="es-AR" w:eastAsia="en-US"/>
        </w:rPr>
        <w:t>el cual</w:t>
      </w:r>
      <w:r>
        <w:rPr>
          <w:rFonts w:eastAsia="Calibri"/>
          <w:lang w:val="es-AR" w:eastAsia="en-US"/>
        </w:rPr>
        <w:t xml:space="preserve"> tuvieron </w:t>
      </w:r>
      <w:r w:rsidR="005279E2">
        <w:rPr>
          <w:rFonts w:eastAsia="Calibri"/>
          <w:lang w:val="es-AR" w:eastAsia="en-US"/>
        </w:rPr>
        <w:t>vigencia</w:t>
      </w:r>
      <w:r>
        <w:rPr>
          <w:rFonts w:eastAsia="Calibri"/>
          <w:lang w:val="es-AR" w:eastAsia="en-US"/>
        </w:rPr>
        <w:t xml:space="preserve"> ambos programas político-económicos</w:t>
      </w:r>
      <w:r w:rsidR="00906528">
        <w:rPr>
          <w:rFonts w:eastAsia="Calibri"/>
          <w:lang w:val="es-AR" w:eastAsia="en-US"/>
        </w:rPr>
        <w:t xml:space="preserve">, separados por la profunda crisis económico-financiera de 2001-2002. </w:t>
      </w:r>
      <w:r>
        <w:rPr>
          <w:rFonts w:eastAsia="Calibri"/>
          <w:lang w:val="es-AR" w:eastAsia="en-US"/>
        </w:rPr>
        <w:t xml:space="preserve">En este marco, se </w:t>
      </w:r>
      <w:r w:rsidR="00906528">
        <w:rPr>
          <w:rFonts w:eastAsia="Calibri"/>
          <w:lang w:val="es-AR" w:eastAsia="en-US"/>
        </w:rPr>
        <w:t xml:space="preserve">evaluaron </w:t>
      </w:r>
      <w:r>
        <w:rPr>
          <w:rFonts w:eastAsia="Calibri"/>
          <w:lang w:val="es-AR" w:eastAsia="en-US"/>
        </w:rPr>
        <w:t>los cambios ocurridos en la pobreza como función de los procesos ocurridos en estructura sectorial del empleo, las transferencias de la seguridad social y las políticas sociales de transferencia de ingresos.</w:t>
      </w:r>
    </w:p>
    <w:p w:rsidR="005A0F9D" w:rsidRPr="005279E2" w:rsidRDefault="00912DDA" w:rsidP="00912DDA">
      <w:pPr>
        <w:spacing w:after="200"/>
        <w:jc w:val="both"/>
        <w:rPr>
          <w:rFonts w:eastAsia="Calibri"/>
          <w:lang w:val="es-AR" w:eastAsia="en-US"/>
        </w:rPr>
      </w:pPr>
      <w:r w:rsidRPr="005279E2">
        <w:rPr>
          <w:rFonts w:eastAsia="Calibri"/>
          <w:lang w:val="es-AR" w:eastAsia="en-US"/>
        </w:rPr>
        <w:t>Para ello</w:t>
      </w:r>
      <w:r w:rsidR="00563987" w:rsidRPr="005279E2">
        <w:rPr>
          <w:rFonts w:eastAsia="Calibri"/>
          <w:lang w:val="es-AR" w:eastAsia="en-US"/>
        </w:rPr>
        <w:t xml:space="preserve"> –</w:t>
      </w:r>
      <w:r w:rsidR="005D7D38" w:rsidRPr="005279E2">
        <w:rPr>
          <w:rFonts w:eastAsia="Calibri"/>
          <w:lang w:val="es-AR" w:eastAsia="en-US"/>
        </w:rPr>
        <w:t>en</w:t>
      </w:r>
      <w:r w:rsidR="00563987" w:rsidRPr="005279E2">
        <w:rPr>
          <w:rFonts w:eastAsia="Calibri"/>
          <w:lang w:val="es-AR" w:eastAsia="en-US"/>
        </w:rPr>
        <w:t xml:space="preserve"> </w:t>
      </w:r>
      <w:r w:rsidR="005D7D38" w:rsidRPr="005279E2">
        <w:rPr>
          <w:rFonts w:eastAsia="Calibri"/>
          <w:lang w:val="es-AR" w:eastAsia="en-US"/>
        </w:rPr>
        <w:t>el marco de las principales coordenadas económicas que acompañaron a estos dos programas</w:t>
      </w:r>
      <w:r w:rsidR="00563987" w:rsidRPr="005279E2">
        <w:rPr>
          <w:rFonts w:eastAsia="Calibri"/>
          <w:lang w:val="es-AR" w:eastAsia="en-US"/>
        </w:rPr>
        <w:t>–</w:t>
      </w:r>
      <w:r w:rsidR="005D7D38" w:rsidRPr="005279E2">
        <w:rPr>
          <w:rFonts w:eastAsia="Calibri"/>
          <w:lang w:val="es-AR" w:eastAsia="en-US"/>
        </w:rPr>
        <w:t xml:space="preserve"> </w:t>
      </w:r>
      <w:r w:rsidRPr="005279E2">
        <w:rPr>
          <w:rFonts w:eastAsia="Calibri"/>
          <w:lang w:val="es-AR" w:eastAsia="en-US"/>
        </w:rPr>
        <w:t xml:space="preserve">se </w:t>
      </w:r>
      <w:r w:rsidR="00ED3C3E" w:rsidRPr="005279E2">
        <w:rPr>
          <w:rFonts w:eastAsia="Calibri"/>
          <w:lang w:val="es-AR" w:eastAsia="en-US"/>
        </w:rPr>
        <w:t xml:space="preserve">presentó </w:t>
      </w:r>
      <w:r w:rsidR="005D7D38" w:rsidRPr="005279E2">
        <w:rPr>
          <w:rFonts w:eastAsia="Calibri"/>
          <w:lang w:val="es-AR" w:eastAsia="en-US"/>
        </w:rPr>
        <w:t xml:space="preserve">la </w:t>
      </w:r>
      <w:r w:rsidR="00906528" w:rsidRPr="005279E2">
        <w:rPr>
          <w:rFonts w:eastAsia="Calibri"/>
          <w:lang w:val="es-AR" w:eastAsia="en-US"/>
        </w:rPr>
        <w:t xml:space="preserve">evolución </w:t>
      </w:r>
      <w:r w:rsidR="005D7D38" w:rsidRPr="005279E2">
        <w:rPr>
          <w:rFonts w:eastAsia="Calibri"/>
          <w:lang w:val="es-AR" w:eastAsia="en-US"/>
        </w:rPr>
        <w:t xml:space="preserve">de las tasas de indigencia y pobreza </w:t>
      </w:r>
      <w:r w:rsidRPr="005279E2">
        <w:rPr>
          <w:rFonts w:eastAsia="Calibri"/>
          <w:lang w:val="es-AR" w:eastAsia="en-US"/>
        </w:rPr>
        <w:t>para el Gran Buenos Aires</w:t>
      </w:r>
      <w:r w:rsidR="005D7D38" w:rsidRPr="005279E2">
        <w:rPr>
          <w:rFonts w:eastAsia="Calibri"/>
          <w:lang w:val="es-AR" w:eastAsia="en-US"/>
        </w:rPr>
        <w:t>.</w:t>
      </w:r>
      <w:r w:rsidRPr="005279E2">
        <w:rPr>
          <w:rFonts w:eastAsia="Calibri"/>
          <w:lang w:val="es-AR" w:eastAsia="en-US"/>
        </w:rPr>
        <w:t xml:space="preserve"> Estas series estadísticas permitieron </w:t>
      </w:r>
      <w:r w:rsidR="005D7D38" w:rsidRPr="005279E2">
        <w:rPr>
          <w:rFonts w:eastAsia="Calibri"/>
          <w:lang w:val="es-AR" w:eastAsia="en-US"/>
        </w:rPr>
        <w:t>confirmar</w:t>
      </w:r>
      <w:r w:rsidRPr="005279E2">
        <w:rPr>
          <w:rFonts w:eastAsia="Calibri"/>
          <w:lang w:val="es-AR" w:eastAsia="en-US"/>
        </w:rPr>
        <w:t xml:space="preserve"> el dispar comportamiento experimentado </w:t>
      </w:r>
      <w:r w:rsidR="005D7D38" w:rsidRPr="005279E2">
        <w:rPr>
          <w:rFonts w:eastAsia="Calibri"/>
          <w:lang w:val="es-AR" w:eastAsia="en-US"/>
        </w:rPr>
        <w:t>por el bienestar</w:t>
      </w:r>
      <w:r w:rsidRPr="005279E2">
        <w:rPr>
          <w:rFonts w:eastAsia="Calibri"/>
          <w:lang w:val="es-AR" w:eastAsia="en-US"/>
        </w:rPr>
        <w:t xml:space="preserve"> a lo largo de los diferentes </w:t>
      </w:r>
      <w:r w:rsidR="005A0F9D" w:rsidRPr="005279E2">
        <w:rPr>
          <w:rFonts w:eastAsia="Calibri"/>
          <w:lang w:val="es-AR" w:eastAsia="en-US"/>
        </w:rPr>
        <w:t>modelos</w:t>
      </w:r>
      <w:r w:rsidR="00906528" w:rsidRPr="005279E2">
        <w:rPr>
          <w:rFonts w:eastAsia="Calibri"/>
          <w:lang w:val="es-AR" w:eastAsia="en-US"/>
        </w:rPr>
        <w:t xml:space="preserve"> bajo estudio, </w:t>
      </w:r>
      <w:r w:rsidR="005A0F9D" w:rsidRPr="005279E2">
        <w:rPr>
          <w:rFonts w:eastAsia="Calibri"/>
          <w:lang w:val="es-AR" w:eastAsia="en-US"/>
        </w:rPr>
        <w:t>así como también</w:t>
      </w:r>
      <w:r w:rsidR="00906528" w:rsidRPr="005279E2">
        <w:rPr>
          <w:rFonts w:eastAsia="Calibri"/>
          <w:lang w:val="es-AR" w:eastAsia="en-US"/>
        </w:rPr>
        <w:t xml:space="preserve"> </w:t>
      </w:r>
      <w:r w:rsidR="005A0F9D" w:rsidRPr="005279E2">
        <w:rPr>
          <w:rFonts w:eastAsia="Calibri"/>
          <w:lang w:val="es-AR" w:eastAsia="en-US"/>
        </w:rPr>
        <w:t>el fuerte impacto que tuvo la crisis económic</w:t>
      </w:r>
      <w:r w:rsidR="00906528" w:rsidRPr="005279E2">
        <w:rPr>
          <w:rFonts w:eastAsia="Calibri"/>
          <w:lang w:val="es-AR" w:eastAsia="en-US"/>
        </w:rPr>
        <w:t>a de</w:t>
      </w:r>
      <w:r w:rsidR="005A0F9D" w:rsidRPr="005279E2">
        <w:rPr>
          <w:rFonts w:eastAsia="Calibri"/>
          <w:lang w:val="es-AR" w:eastAsia="en-US"/>
        </w:rPr>
        <w:t xml:space="preserve"> 2001-2002 sobre esta dimensión. </w:t>
      </w:r>
      <w:r w:rsidR="00563987" w:rsidRPr="005279E2">
        <w:rPr>
          <w:rFonts w:eastAsia="Calibri"/>
          <w:lang w:val="es-AR" w:eastAsia="en-US"/>
        </w:rPr>
        <w:t>Sin embargo</w:t>
      </w:r>
      <w:r w:rsidR="00906528" w:rsidRPr="005279E2">
        <w:rPr>
          <w:rFonts w:eastAsia="Calibri"/>
          <w:lang w:val="es-AR" w:eastAsia="en-US"/>
        </w:rPr>
        <w:t xml:space="preserve">, </w:t>
      </w:r>
      <w:r w:rsidR="00563987" w:rsidRPr="005279E2">
        <w:rPr>
          <w:rFonts w:eastAsia="Calibri"/>
          <w:lang w:val="es-AR" w:eastAsia="en-US"/>
        </w:rPr>
        <w:t>un</w:t>
      </w:r>
      <w:r w:rsidR="00906528" w:rsidRPr="005279E2">
        <w:rPr>
          <w:rFonts w:eastAsia="Calibri"/>
          <w:lang w:val="es-AR" w:eastAsia="en-US"/>
        </w:rPr>
        <w:t xml:space="preserve"> análisis comparado permitió </w:t>
      </w:r>
      <w:r w:rsidR="00563987" w:rsidRPr="005279E2">
        <w:rPr>
          <w:rFonts w:eastAsia="Calibri"/>
          <w:lang w:val="es-AR" w:eastAsia="en-US"/>
        </w:rPr>
        <w:t xml:space="preserve">evidenciar la </w:t>
      </w:r>
      <w:r w:rsidR="00563987" w:rsidRPr="005279E2">
        <w:rPr>
          <w:rFonts w:eastAsia="Calibri"/>
          <w:lang w:val="es-AR" w:eastAsia="en-US"/>
        </w:rPr>
        <w:lastRenderedPageBreak/>
        <w:t xml:space="preserve">persistencia de un nivel estructural de pobreza que </w:t>
      </w:r>
      <w:r w:rsidR="005A0F9D" w:rsidRPr="005279E2">
        <w:rPr>
          <w:rFonts w:eastAsia="Calibri"/>
          <w:lang w:val="es-AR" w:eastAsia="en-US"/>
        </w:rPr>
        <w:t xml:space="preserve">parece haber impedido avanzar en un proceso </w:t>
      </w:r>
      <w:r w:rsidR="00563987" w:rsidRPr="005279E2">
        <w:rPr>
          <w:rFonts w:eastAsia="Calibri"/>
          <w:lang w:val="es-AR" w:eastAsia="en-US"/>
        </w:rPr>
        <w:t xml:space="preserve">sostenido de convergencia social. </w:t>
      </w:r>
    </w:p>
    <w:p w:rsidR="00912DDA" w:rsidRPr="005279E2" w:rsidRDefault="00563987" w:rsidP="00912DDA">
      <w:pPr>
        <w:spacing w:after="200"/>
        <w:jc w:val="both"/>
        <w:rPr>
          <w:rFonts w:eastAsia="Calibri"/>
          <w:lang w:val="es-AR" w:eastAsia="en-US"/>
        </w:rPr>
      </w:pPr>
      <w:r w:rsidRPr="005279E2">
        <w:rPr>
          <w:rFonts w:eastAsia="Calibri"/>
          <w:lang w:val="es-AR" w:eastAsia="en-US"/>
        </w:rPr>
        <w:t xml:space="preserve">Presentado este diagnóstico, el </w:t>
      </w:r>
      <w:r w:rsidR="005279E2" w:rsidRPr="005279E2">
        <w:rPr>
          <w:rFonts w:eastAsia="Calibri"/>
          <w:lang w:val="es-AR" w:eastAsia="en-US"/>
        </w:rPr>
        <w:t>trabajo</w:t>
      </w:r>
      <w:r w:rsidRPr="005279E2">
        <w:rPr>
          <w:rFonts w:eastAsia="Calibri"/>
          <w:lang w:val="es-AR" w:eastAsia="en-US"/>
        </w:rPr>
        <w:t xml:space="preserve"> </w:t>
      </w:r>
      <w:r w:rsidR="00692CEA" w:rsidRPr="005279E2">
        <w:rPr>
          <w:rFonts w:eastAsia="Calibri"/>
          <w:lang w:val="es-AR" w:eastAsia="en-US"/>
        </w:rPr>
        <w:t>se interrogó por el comportamiento de algunos</w:t>
      </w:r>
      <w:r w:rsidRPr="005279E2">
        <w:rPr>
          <w:rFonts w:eastAsia="Calibri"/>
          <w:lang w:val="es-AR" w:eastAsia="en-US"/>
        </w:rPr>
        <w:t xml:space="preserve"> de los determinantes</w:t>
      </w:r>
      <w:r w:rsidR="00692CEA" w:rsidRPr="005279E2">
        <w:rPr>
          <w:rFonts w:eastAsia="Calibri"/>
          <w:lang w:val="es-AR" w:eastAsia="en-US"/>
        </w:rPr>
        <w:t xml:space="preserve"> sociales del bienestar de los hogares. En primer término, </w:t>
      </w:r>
      <w:r w:rsidR="00912DDA" w:rsidRPr="005279E2">
        <w:rPr>
          <w:rFonts w:eastAsia="Calibri"/>
          <w:lang w:val="es-AR" w:eastAsia="en-US"/>
        </w:rPr>
        <w:t xml:space="preserve">se analizaron indicadores vinculados con los cambios ocurridos en </w:t>
      </w:r>
      <w:r w:rsidR="00692CEA" w:rsidRPr="005279E2">
        <w:rPr>
          <w:rFonts w:eastAsia="Calibri"/>
          <w:lang w:val="es-AR" w:eastAsia="en-US"/>
        </w:rPr>
        <w:t>los niveles de</w:t>
      </w:r>
      <w:r w:rsidR="00912DDA" w:rsidRPr="005279E2">
        <w:rPr>
          <w:rFonts w:eastAsia="Calibri"/>
          <w:lang w:val="es-AR" w:eastAsia="en-US"/>
        </w:rPr>
        <w:t xml:space="preserve"> empleo, la estructura sectorial </w:t>
      </w:r>
      <w:r w:rsidR="00692CEA" w:rsidRPr="005279E2">
        <w:rPr>
          <w:rFonts w:eastAsia="Calibri"/>
          <w:lang w:val="es-AR" w:eastAsia="en-US"/>
        </w:rPr>
        <w:t xml:space="preserve">de la ocupación </w:t>
      </w:r>
      <w:r w:rsidR="00912DDA" w:rsidRPr="005279E2">
        <w:rPr>
          <w:rFonts w:eastAsia="Calibri"/>
          <w:lang w:val="es-AR" w:eastAsia="en-US"/>
        </w:rPr>
        <w:t>y los ingresos laborales</w:t>
      </w:r>
      <w:r w:rsidR="005A0F9D" w:rsidRPr="005279E2">
        <w:rPr>
          <w:rFonts w:eastAsia="Calibri"/>
          <w:lang w:val="es-AR" w:eastAsia="en-US"/>
        </w:rPr>
        <w:t xml:space="preserve">. Esto permitió </w:t>
      </w:r>
      <w:r w:rsidR="00692CEA" w:rsidRPr="005279E2">
        <w:rPr>
          <w:rFonts w:eastAsia="Calibri"/>
          <w:lang w:val="es-AR" w:eastAsia="en-US"/>
        </w:rPr>
        <w:t xml:space="preserve">poner de relieve una </w:t>
      </w:r>
      <w:r w:rsidR="00912DDA" w:rsidRPr="005279E2">
        <w:rPr>
          <w:rFonts w:eastAsia="Calibri"/>
          <w:lang w:val="es-AR" w:eastAsia="en-US"/>
        </w:rPr>
        <w:t xml:space="preserve">relativa invariabilidad en materia de composición sectorial del empleo, segmentación laboral y brechas de productividad (ingresos laborales) entre sectores económico-ocupacionales. </w:t>
      </w:r>
      <w:r w:rsidR="00692CEA" w:rsidRPr="005279E2">
        <w:rPr>
          <w:rFonts w:eastAsia="Calibri"/>
          <w:lang w:val="es-AR" w:eastAsia="en-US"/>
        </w:rPr>
        <w:t xml:space="preserve">Si bien durante las dos fases económico-sociales analizadas existió una notoria diferencia en </w:t>
      </w:r>
      <w:r w:rsidR="000B16B8" w:rsidRPr="005279E2">
        <w:rPr>
          <w:rFonts w:eastAsia="Calibri"/>
          <w:lang w:val="es-AR" w:eastAsia="en-US"/>
        </w:rPr>
        <w:t>materia de demanda agregada de empleo</w:t>
      </w:r>
      <w:r w:rsidR="00ED3C3E" w:rsidRPr="005279E2">
        <w:rPr>
          <w:rFonts w:eastAsia="Calibri"/>
          <w:lang w:val="es-AR" w:eastAsia="en-US"/>
        </w:rPr>
        <w:t xml:space="preserve">, </w:t>
      </w:r>
      <w:r w:rsidR="000B16B8" w:rsidRPr="005279E2">
        <w:rPr>
          <w:rFonts w:eastAsia="Calibri"/>
          <w:lang w:val="es-AR" w:eastAsia="en-US"/>
        </w:rPr>
        <w:t>ello</w:t>
      </w:r>
      <w:r w:rsidR="00692CEA" w:rsidRPr="005279E2">
        <w:rPr>
          <w:rFonts w:eastAsia="Calibri"/>
          <w:lang w:val="es-AR" w:eastAsia="en-US"/>
        </w:rPr>
        <w:t xml:space="preserve"> no parece haber </w:t>
      </w:r>
      <w:r w:rsidR="000B16B8" w:rsidRPr="005279E2">
        <w:rPr>
          <w:rFonts w:eastAsia="Calibri"/>
          <w:lang w:val="es-AR" w:eastAsia="en-US"/>
        </w:rPr>
        <w:t xml:space="preserve">impedido </w:t>
      </w:r>
      <w:r w:rsidR="00692CEA" w:rsidRPr="005279E2">
        <w:rPr>
          <w:rFonts w:eastAsia="Calibri"/>
          <w:lang w:val="es-AR" w:eastAsia="en-US"/>
        </w:rPr>
        <w:t xml:space="preserve">que persistiera el </w:t>
      </w:r>
      <w:r w:rsidR="000B16B8" w:rsidRPr="005279E2">
        <w:rPr>
          <w:rFonts w:eastAsia="Calibri"/>
          <w:lang w:val="es-AR" w:eastAsia="en-US"/>
        </w:rPr>
        <w:t xml:space="preserve">empobrecimiento y </w:t>
      </w:r>
      <w:r w:rsidR="00692CEA" w:rsidRPr="005279E2">
        <w:rPr>
          <w:rFonts w:eastAsia="Calibri"/>
          <w:lang w:val="es-AR" w:eastAsia="en-US"/>
        </w:rPr>
        <w:t xml:space="preserve">la </w:t>
      </w:r>
      <w:r w:rsidR="000B16B8" w:rsidRPr="005279E2">
        <w:rPr>
          <w:rFonts w:eastAsia="Calibri"/>
          <w:lang w:val="es-AR" w:eastAsia="en-US"/>
        </w:rPr>
        <w:t>precarización del sector micro</w:t>
      </w:r>
      <w:r w:rsidR="00692CEA" w:rsidRPr="005279E2">
        <w:rPr>
          <w:rFonts w:eastAsia="Calibri"/>
          <w:lang w:val="es-AR" w:eastAsia="en-US"/>
        </w:rPr>
        <w:t>empresario</w:t>
      </w:r>
      <w:r w:rsidR="000B16B8" w:rsidRPr="005279E2">
        <w:rPr>
          <w:rFonts w:eastAsia="Calibri"/>
          <w:lang w:val="es-AR" w:eastAsia="en-US"/>
        </w:rPr>
        <w:t xml:space="preserve"> informal. </w:t>
      </w:r>
      <w:r w:rsidR="00692CEA" w:rsidRPr="005279E2">
        <w:rPr>
          <w:rFonts w:eastAsia="Calibri"/>
          <w:lang w:val="es-AR" w:eastAsia="en-US"/>
        </w:rPr>
        <w:t>S</w:t>
      </w:r>
      <w:r w:rsidR="00912DDA" w:rsidRPr="005279E2">
        <w:rPr>
          <w:rFonts w:eastAsia="Calibri"/>
          <w:lang w:val="es-AR" w:eastAsia="en-US"/>
        </w:rPr>
        <w:t xml:space="preserve">egún la evidencia presentada, contrasta en el campo </w:t>
      </w:r>
      <w:r w:rsidR="005A0F9D" w:rsidRPr="005279E2">
        <w:rPr>
          <w:rFonts w:eastAsia="Calibri"/>
          <w:lang w:val="es-AR" w:eastAsia="en-US"/>
        </w:rPr>
        <w:t xml:space="preserve">de </w:t>
      </w:r>
      <w:r w:rsidR="00912DDA" w:rsidRPr="005279E2">
        <w:rPr>
          <w:rFonts w:eastAsia="Calibri"/>
          <w:lang w:val="es-AR" w:eastAsia="en-US"/>
        </w:rPr>
        <w:t xml:space="preserve">la pobreza el carácter </w:t>
      </w:r>
      <w:r w:rsidR="005279E2" w:rsidRPr="005279E2">
        <w:rPr>
          <w:rFonts w:eastAsia="Calibri"/>
          <w:lang w:val="es-AR" w:eastAsia="en-US"/>
        </w:rPr>
        <w:t>más</w:t>
      </w:r>
      <w:r w:rsidR="00912DDA" w:rsidRPr="005279E2">
        <w:rPr>
          <w:rFonts w:eastAsia="Calibri"/>
          <w:lang w:val="es-AR" w:eastAsia="en-US"/>
        </w:rPr>
        <w:t xml:space="preserve"> regresivo </w:t>
      </w:r>
      <w:r w:rsidR="005279E2" w:rsidRPr="005279E2">
        <w:rPr>
          <w:rFonts w:eastAsia="Calibri"/>
          <w:lang w:val="es-AR" w:eastAsia="en-US"/>
        </w:rPr>
        <w:t>del</w:t>
      </w:r>
      <w:r w:rsidR="00912DDA" w:rsidRPr="005279E2">
        <w:rPr>
          <w:rFonts w:eastAsia="Calibri"/>
          <w:lang w:val="es-AR" w:eastAsia="en-US"/>
        </w:rPr>
        <w:t xml:space="preserve"> programa neoliberal</w:t>
      </w:r>
      <w:r w:rsidR="005279E2" w:rsidRPr="005279E2">
        <w:rPr>
          <w:rFonts w:eastAsia="Calibri"/>
          <w:lang w:val="es-AR" w:eastAsia="en-US"/>
        </w:rPr>
        <w:t xml:space="preserve"> frente al resultado logrado por las políticas neo-desarrollistas, pero</w:t>
      </w:r>
      <w:r w:rsidR="00912DDA" w:rsidRPr="005279E2">
        <w:rPr>
          <w:rFonts w:eastAsia="Calibri"/>
          <w:lang w:val="es-AR" w:eastAsia="en-US"/>
        </w:rPr>
        <w:t xml:space="preserve"> </w:t>
      </w:r>
      <w:r w:rsidR="005A0F9D" w:rsidRPr="005279E2">
        <w:rPr>
          <w:rFonts w:eastAsia="Calibri"/>
          <w:lang w:val="es-AR" w:eastAsia="en-US"/>
        </w:rPr>
        <w:t xml:space="preserve">también </w:t>
      </w:r>
      <w:r w:rsidR="00912DDA" w:rsidRPr="005279E2">
        <w:rPr>
          <w:rFonts w:eastAsia="Calibri"/>
          <w:lang w:val="es-AR" w:eastAsia="en-US"/>
        </w:rPr>
        <w:t xml:space="preserve">la continuidad </w:t>
      </w:r>
      <w:r w:rsidR="005279E2">
        <w:rPr>
          <w:rFonts w:eastAsia="Calibri"/>
          <w:lang w:val="es-AR" w:eastAsia="en-US"/>
        </w:rPr>
        <w:t xml:space="preserve">“casi sin cambios” </w:t>
      </w:r>
      <w:r w:rsidR="00912DDA" w:rsidRPr="005279E2">
        <w:rPr>
          <w:rFonts w:eastAsia="Calibri"/>
          <w:lang w:val="es-AR" w:eastAsia="en-US"/>
        </w:rPr>
        <w:t>de condiciones de heterogeneidad, segmentación y desigualdad distributiva a nivel del mercado de trabajo</w:t>
      </w:r>
      <w:r w:rsidR="0024424C" w:rsidRPr="005279E2">
        <w:rPr>
          <w:rFonts w:eastAsia="Calibri"/>
          <w:lang w:val="es-AR" w:eastAsia="en-US"/>
        </w:rPr>
        <w:t>.</w:t>
      </w:r>
    </w:p>
    <w:p w:rsidR="00912DDA" w:rsidRPr="005279E2" w:rsidRDefault="00953FF7" w:rsidP="00912DDA">
      <w:pPr>
        <w:spacing w:after="200"/>
        <w:jc w:val="both"/>
        <w:rPr>
          <w:rFonts w:eastAsia="Calibri"/>
          <w:lang w:val="es-AR" w:eastAsia="en-US"/>
        </w:rPr>
      </w:pPr>
      <w:r w:rsidRPr="005279E2">
        <w:rPr>
          <w:rFonts w:eastAsia="Calibri"/>
          <w:lang w:val="es-AR" w:eastAsia="en-US"/>
        </w:rPr>
        <w:t xml:space="preserve">Dado que el bienestar de los hogares no resulta únicamente de la participación económica en el mercado de trabajo, se evaluó </w:t>
      </w:r>
      <w:r w:rsidR="005A0F9D" w:rsidRPr="005279E2">
        <w:rPr>
          <w:rFonts w:eastAsia="Calibri"/>
          <w:lang w:val="es-AR" w:eastAsia="en-US"/>
        </w:rPr>
        <w:t xml:space="preserve">el comportamiento que tuvo el gasto </w:t>
      </w:r>
      <w:r w:rsidRPr="005279E2">
        <w:rPr>
          <w:rFonts w:eastAsia="Calibri"/>
          <w:lang w:val="es-AR" w:eastAsia="en-US"/>
        </w:rPr>
        <w:t xml:space="preserve">público </w:t>
      </w:r>
      <w:r w:rsidR="005A0F9D" w:rsidRPr="005279E2">
        <w:rPr>
          <w:rFonts w:eastAsia="Calibri"/>
          <w:lang w:val="es-AR" w:eastAsia="en-US"/>
        </w:rPr>
        <w:t xml:space="preserve">social </w:t>
      </w:r>
      <w:r w:rsidRPr="005279E2">
        <w:rPr>
          <w:rFonts w:eastAsia="Calibri"/>
          <w:lang w:val="es-AR" w:eastAsia="en-US"/>
        </w:rPr>
        <w:t xml:space="preserve">consolidad bajo las diferentes fases macroeconómicas analizadas. Aquí pudo constatarse la efectiva presencia </w:t>
      </w:r>
      <w:r w:rsidR="00912DDA" w:rsidRPr="005279E2">
        <w:rPr>
          <w:rFonts w:eastAsia="Calibri"/>
          <w:lang w:val="es-AR" w:eastAsia="en-US"/>
        </w:rPr>
        <w:t>de un cambio entre la política social del período neoliberal y la correspondiente a la etapa post-reformas.</w:t>
      </w:r>
      <w:r w:rsidR="00912DDA" w:rsidRPr="005279E2">
        <w:t xml:space="preserve"> </w:t>
      </w:r>
      <w:r w:rsidRPr="005279E2">
        <w:t xml:space="preserve">Entre sus rasgos sobresalientes, cabe subrayar que si bien hubo un </w:t>
      </w:r>
      <w:r w:rsidR="00912DDA" w:rsidRPr="005279E2">
        <w:t xml:space="preserve">aumento sostenido del gasto social a lo largo de </w:t>
      </w:r>
      <w:r w:rsidRPr="005279E2">
        <w:t>ambas etapas</w:t>
      </w:r>
      <w:r w:rsidR="00912DDA" w:rsidRPr="005279E2">
        <w:t xml:space="preserve">, </w:t>
      </w:r>
      <w:r w:rsidRPr="005279E2">
        <w:t xml:space="preserve">su ritmo se incrementó </w:t>
      </w:r>
      <w:r w:rsidR="00912DDA" w:rsidRPr="005279E2">
        <w:t xml:space="preserve">a partir del modelo </w:t>
      </w:r>
      <w:r w:rsidR="000B16B8" w:rsidRPr="005279E2">
        <w:t xml:space="preserve">de políticas </w:t>
      </w:r>
      <w:r w:rsidR="00912DDA" w:rsidRPr="005279E2">
        <w:t>heterodox</w:t>
      </w:r>
      <w:r w:rsidR="000B16B8" w:rsidRPr="005279E2">
        <w:t>as</w:t>
      </w:r>
      <w:r w:rsidR="00912DDA" w:rsidRPr="005279E2">
        <w:t xml:space="preserve">. En tal sentido, se observó que los cambios introducidos en esta última etapa dan cuenta de un giro de la política social a partir de la puesta en marcha de programas más extendidos de seguridad social y de transferencia directa de ingresos a los hogares afectados por la pobreza o la vulnerabilidad social. </w:t>
      </w:r>
      <w:r w:rsidRPr="005279E2">
        <w:t>Además, e</w:t>
      </w:r>
      <w:r w:rsidR="00912DDA" w:rsidRPr="005279E2">
        <w:t xml:space="preserve">stos cambios tuvieron lugar </w:t>
      </w:r>
      <w:r w:rsidR="00912DDA" w:rsidRPr="005279E2">
        <w:rPr>
          <w:rFonts w:eastAsia="Calibri"/>
          <w:lang w:val="es-AR" w:eastAsia="en-US"/>
        </w:rPr>
        <w:t>en un contexto en el cual</w:t>
      </w:r>
      <w:r w:rsidRPr="005279E2">
        <w:rPr>
          <w:rFonts w:eastAsia="Calibri"/>
          <w:lang w:val="es-AR" w:eastAsia="en-US"/>
        </w:rPr>
        <w:t xml:space="preserve"> los hogares pudieron aumentar su participación en </w:t>
      </w:r>
      <w:r w:rsidR="00912DDA" w:rsidRPr="005279E2">
        <w:rPr>
          <w:rFonts w:eastAsia="Calibri"/>
          <w:lang w:val="es-AR" w:eastAsia="en-US"/>
        </w:rPr>
        <w:t>la distribución primaria del ingreso</w:t>
      </w:r>
      <w:r w:rsidR="000B16B8" w:rsidRPr="005279E2">
        <w:rPr>
          <w:rFonts w:eastAsia="Calibri"/>
          <w:lang w:val="es-AR" w:eastAsia="en-US"/>
        </w:rPr>
        <w:t xml:space="preserve"> a través </w:t>
      </w:r>
      <w:r w:rsidRPr="005279E2">
        <w:rPr>
          <w:rFonts w:eastAsia="Calibri"/>
          <w:lang w:val="es-AR" w:eastAsia="en-US"/>
        </w:rPr>
        <w:t>del mercado de trabajo</w:t>
      </w:r>
      <w:r w:rsidR="000B16B8" w:rsidRPr="005279E2">
        <w:rPr>
          <w:rFonts w:eastAsia="Calibri"/>
          <w:lang w:val="es-AR" w:eastAsia="en-US"/>
        </w:rPr>
        <w:t>.</w:t>
      </w:r>
      <w:r w:rsidR="00912DDA" w:rsidRPr="005279E2">
        <w:rPr>
          <w:rFonts w:eastAsia="Calibri"/>
          <w:lang w:val="es-AR" w:eastAsia="en-US"/>
        </w:rPr>
        <w:t xml:space="preserve"> </w:t>
      </w:r>
    </w:p>
    <w:p w:rsidR="00912DDA" w:rsidRDefault="0024424C" w:rsidP="00912DDA">
      <w:pPr>
        <w:spacing w:after="200"/>
        <w:jc w:val="both"/>
        <w:rPr>
          <w:rFonts w:eastAsia="Calibri"/>
          <w:lang w:val="es-AR" w:eastAsia="en-US"/>
        </w:rPr>
      </w:pPr>
      <w:r>
        <w:rPr>
          <w:rFonts w:eastAsia="Calibri"/>
          <w:lang w:val="es-AR" w:eastAsia="en-US"/>
        </w:rPr>
        <w:t>A</w:t>
      </w:r>
      <w:r w:rsidR="000B16B8">
        <w:rPr>
          <w:rFonts w:eastAsia="Calibri"/>
          <w:lang w:val="es-AR" w:eastAsia="en-US"/>
        </w:rPr>
        <w:t xml:space="preserve"> partir de estas evidencias</w:t>
      </w:r>
      <w:r>
        <w:rPr>
          <w:rFonts w:eastAsia="Calibri"/>
          <w:lang w:val="es-AR" w:eastAsia="en-US"/>
        </w:rPr>
        <w:t>,</w:t>
      </w:r>
      <w:r w:rsidR="000B16B8">
        <w:rPr>
          <w:rFonts w:eastAsia="Calibri"/>
          <w:lang w:val="es-AR" w:eastAsia="en-US"/>
        </w:rPr>
        <w:t xml:space="preserve"> la última sección del trabajo </w:t>
      </w:r>
      <w:r>
        <w:rPr>
          <w:rFonts w:eastAsia="Calibri"/>
          <w:lang w:val="es-AR" w:eastAsia="en-US"/>
        </w:rPr>
        <w:t>se propuso</w:t>
      </w:r>
      <w:r w:rsidR="00912DDA" w:rsidRPr="00CB3FFE">
        <w:rPr>
          <w:rFonts w:eastAsia="Calibri"/>
          <w:lang w:val="es-AR" w:eastAsia="en-US"/>
        </w:rPr>
        <w:t xml:space="preserve"> </w:t>
      </w:r>
      <w:r>
        <w:rPr>
          <w:rFonts w:eastAsia="Calibri"/>
          <w:lang w:val="es-AR" w:eastAsia="en-US"/>
        </w:rPr>
        <w:t>e</w:t>
      </w:r>
      <w:r w:rsidR="00912DDA" w:rsidRPr="00CB3FFE">
        <w:rPr>
          <w:rFonts w:eastAsia="Calibri"/>
          <w:lang w:val="es-AR" w:eastAsia="en-US"/>
        </w:rPr>
        <w:t xml:space="preserve">valuar el impacto específico </w:t>
      </w:r>
      <w:r w:rsidR="000B16B8">
        <w:rPr>
          <w:rFonts w:eastAsia="Calibri"/>
          <w:lang w:val="es-AR" w:eastAsia="en-US"/>
        </w:rPr>
        <w:t xml:space="preserve">del crecimiento económico, la distribución del ingreso y </w:t>
      </w:r>
      <w:r w:rsidR="00912DDA" w:rsidRPr="00CB3FFE">
        <w:rPr>
          <w:rFonts w:eastAsia="Calibri"/>
          <w:lang w:val="es-AR" w:eastAsia="en-US"/>
        </w:rPr>
        <w:t>las políticas sociales –tomando en consideración los programas de asistencia social directa, los planes de protección al desempleo y las transferencias previsionales (jubilaciones y pensiones)</w:t>
      </w:r>
      <w:r w:rsidRPr="00CB3FFE">
        <w:rPr>
          <w:rFonts w:eastAsia="Calibri"/>
          <w:lang w:val="es-AR" w:eastAsia="en-US"/>
        </w:rPr>
        <w:t>–</w:t>
      </w:r>
      <w:r w:rsidR="00912DDA" w:rsidRPr="00CB3FFE">
        <w:rPr>
          <w:rFonts w:eastAsia="Calibri"/>
          <w:lang w:val="es-AR" w:eastAsia="en-US"/>
        </w:rPr>
        <w:t xml:space="preserve"> sobre los índices de indigencia y de pobreza. </w:t>
      </w:r>
      <w:r w:rsidR="00912DDA">
        <w:rPr>
          <w:rFonts w:eastAsia="Calibri"/>
          <w:lang w:val="es-AR" w:eastAsia="en-US"/>
        </w:rPr>
        <w:t xml:space="preserve">Si bien al respecto pudo observarse el efecto positivo que habrían tenido las </w:t>
      </w:r>
      <w:r w:rsidR="00912DDA" w:rsidRPr="00B14726">
        <w:rPr>
          <w:rFonts w:eastAsia="Calibri"/>
          <w:lang w:val="es-AR" w:eastAsia="en-US"/>
        </w:rPr>
        <w:t>transferencias previsionales</w:t>
      </w:r>
      <w:r w:rsidR="00912DDA">
        <w:rPr>
          <w:rFonts w:eastAsia="Calibri"/>
          <w:lang w:val="es-AR" w:eastAsia="en-US"/>
        </w:rPr>
        <w:t xml:space="preserve"> y los programas de lucha contra la pobreza en ambas tasas, l</w:t>
      </w:r>
      <w:r w:rsidR="00912DDA" w:rsidRPr="00B14726">
        <w:rPr>
          <w:rFonts w:eastAsia="Calibri"/>
          <w:lang w:val="es-AR" w:eastAsia="en-US"/>
        </w:rPr>
        <w:t xml:space="preserve">a </w:t>
      </w:r>
      <w:r w:rsidR="00912DDA">
        <w:rPr>
          <w:rFonts w:eastAsia="Calibri"/>
          <w:lang w:val="es-AR" w:eastAsia="en-US"/>
        </w:rPr>
        <w:t xml:space="preserve">utilización </w:t>
      </w:r>
      <w:r w:rsidR="00912DDA" w:rsidRPr="00B14726">
        <w:rPr>
          <w:rFonts w:eastAsia="Calibri"/>
          <w:lang w:val="es-AR" w:eastAsia="en-US"/>
        </w:rPr>
        <w:t xml:space="preserve">de </w:t>
      </w:r>
      <w:r w:rsidR="00912DDA">
        <w:rPr>
          <w:rFonts w:eastAsia="Calibri"/>
          <w:lang w:val="es-AR" w:eastAsia="en-US"/>
        </w:rPr>
        <w:t xml:space="preserve">un modelo </w:t>
      </w:r>
      <w:r w:rsidR="00912DDA" w:rsidRPr="00B14726">
        <w:rPr>
          <w:rFonts w:eastAsia="Calibri"/>
          <w:lang w:val="es-AR" w:eastAsia="en-US"/>
        </w:rPr>
        <w:t xml:space="preserve">de descomposición del cambio </w:t>
      </w:r>
      <w:r w:rsidR="00912DDA">
        <w:rPr>
          <w:rFonts w:eastAsia="Calibri"/>
          <w:lang w:val="es-AR" w:eastAsia="en-US"/>
        </w:rPr>
        <w:t>de</w:t>
      </w:r>
      <w:r w:rsidR="00912DDA" w:rsidRPr="00B14726">
        <w:rPr>
          <w:rFonts w:eastAsia="Calibri"/>
          <w:lang w:val="es-AR" w:eastAsia="en-US"/>
        </w:rPr>
        <w:t xml:space="preserve"> las </w:t>
      </w:r>
      <w:r w:rsidR="00912DDA">
        <w:rPr>
          <w:rFonts w:eastAsia="Calibri"/>
          <w:lang w:val="es-AR" w:eastAsia="en-US"/>
        </w:rPr>
        <w:t xml:space="preserve">mismas </w:t>
      </w:r>
      <w:r w:rsidR="00912DDA" w:rsidRPr="00B14726">
        <w:rPr>
          <w:rFonts w:eastAsia="Calibri"/>
          <w:lang w:val="es-AR" w:eastAsia="en-US"/>
        </w:rPr>
        <w:t>p</w:t>
      </w:r>
      <w:r w:rsidR="00912DDA">
        <w:rPr>
          <w:rFonts w:eastAsia="Calibri"/>
          <w:lang w:val="es-AR" w:eastAsia="en-US"/>
        </w:rPr>
        <w:t xml:space="preserve">ermitió enriquecer el análisis. En este sentido, se </w:t>
      </w:r>
      <w:r>
        <w:rPr>
          <w:rFonts w:eastAsia="Calibri"/>
          <w:lang w:val="es-AR" w:eastAsia="en-US"/>
        </w:rPr>
        <w:t>presentó evidencia acerca de</w:t>
      </w:r>
      <w:r w:rsidR="00912DDA" w:rsidRPr="00B14726">
        <w:rPr>
          <w:rFonts w:eastAsia="Calibri"/>
          <w:lang w:val="es-AR" w:eastAsia="en-US"/>
        </w:rPr>
        <w:t xml:space="preserve"> que los cambios en la indigencia</w:t>
      </w:r>
      <w:r>
        <w:rPr>
          <w:rFonts w:eastAsia="Calibri"/>
          <w:lang w:val="es-AR" w:eastAsia="en-US"/>
        </w:rPr>
        <w:t xml:space="preserve"> y la </w:t>
      </w:r>
      <w:r w:rsidR="00912DDA" w:rsidRPr="00B14726">
        <w:rPr>
          <w:rFonts w:eastAsia="Calibri"/>
          <w:lang w:val="es-AR" w:eastAsia="en-US"/>
        </w:rPr>
        <w:t xml:space="preserve">pobreza </w:t>
      </w:r>
      <w:r w:rsidR="00912DDA">
        <w:rPr>
          <w:rFonts w:eastAsia="Calibri"/>
          <w:lang w:val="es-AR" w:eastAsia="en-US"/>
        </w:rPr>
        <w:t xml:space="preserve">habrían dependido </w:t>
      </w:r>
      <w:r w:rsidR="00912DDA" w:rsidRPr="00B14726">
        <w:rPr>
          <w:rFonts w:eastAsia="Calibri"/>
          <w:lang w:val="es-AR" w:eastAsia="en-US"/>
        </w:rPr>
        <w:t>fundamentalmente del comportamiento de los ingresos provenientes del mercado de trabajo y de</w:t>
      </w:r>
      <w:r w:rsidR="00912DDA">
        <w:rPr>
          <w:rFonts w:eastAsia="Calibri"/>
          <w:lang w:val="es-AR" w:eastAsia="en-US"/>
        </w:rPr>
        <w:t xml:space="preserve"> su distribución</w:t>
      </w:r>
      <w:r w:rsidR="00912DDA" w:rsidRPr="00B14726">
        <w:rPr>
          <w:rFonts w:eastAsia="Calibri"/>
          <w:lang w:val="es-AR" w:eastAsia="en-US"/>
        </w:rPr>
        <w:t xml:space="preserve">. </w:t>
      </w:r>
      <w:r w:rsidR="00ED3C3E">
        <w:rPr>
          <w:rFonts w:eastAsia="Calibri"/>
          <w:lang w:val="es-AR" w:eastAsia="en-US"/>
        </w:rPr>
        <w:t>D</w:t>
      </w:r>
      <w:r w:rsidR="00912DDA" w:rsidRPr="00B14726">
        <w:rPr>
          <w:rFonts w:eastAsia="Calibri"/>
          <w:lang w:val="es-AR" w:eastAsia="en-US"/>
        </w:rPr>
        <w:t xml:space="preserve">urante la fase de políticas neoliberales, el incremento observado en </w:t>
      </w:r>
      <w:r w:rsidR="00912DDA">
        <w:rPr>
          <w:rFonts w:eastAsia="Calibri"/>
          <w:lang w:val="es-AR" w:eastAsia="en-US"/>
        </w:rPr>
        <w:t>las</w:t>
      </w:r>
      <w:r w:rsidR="00912DDA" w:rsidRPr="00B14726">
        <w:rPr>
          <w:rFonts w:eastAsia="Calibri"/>
          <w:lang w:val="es-AR" w:eastAsia="en-US"/>
        </w:rPr>
        <w:t xml:space="preserve"> tasas </w:t>
      </w:r>
      <w:r w:rsidR="00912DDA">
        <w:rPr>
          <w:rFonts w:eastAsia="Calibri"/>
          <w:lang w:val="es-AR" w:eastAsia="en-US"/>
        </w:rPr>
        <w:t xml:space="preserve">de indigencia y pobreza </w:t>
      </w:r>
      <w:r w:rsidR="00912DDA" w:rsidRPr="00B14726">
        <w:rPr>
          <w:rFonts w:eastAsia="Calibri"/>
          <w:lang w:val="es-AR" w:eastAsia="en-US"/>
        </w:rPr>
        <w:t xml:space="preserve">se </w:t>
      </w:r>
      <w:r w:rsidR="00912DDA">
        <w:rPr>
          <w:rFonts w:eastAsia="Calibri"/>
          <w:lang w:val="es-AR" w:eastAsia="en-US"/>
        </w:rPr>
        <w:t xml:space="preserve">habría debido </w:t>
      </w:r>
      <w:r w:rsidR="00912DDA" w:rsidRPr="00B14726">
        <w:rPr>
          <w:rFonts w:eastAsia="Calibri"/>
          <w:lang w:val="es-AR" w:eastAsia="en-US"/>
        </w:rPr>
        <w:t>principalmente al deterioro de los ingresos laborales y a la mayor desigualdad distributiva. El efecto compensatorio de la seguridad social funcionó en la primera fase de ese modelo</w:t>
      </w:r>
      <w:r w:rsidR="00912DDA">
        <w:rPr>
          <w:rFonts w:eastAsia="Calibri"/>
          <w:lang w:val="es-AR" w:eastAsia="en-US"/>
        </w:rPr>
        <w:t>;</w:t>
      </w:r>
      <w:r w:rsidR="00912DDA" w:rsidRPr="00B14726">
        <w:rPr>
          <w:rFonts w:eastAsia="Calibri"/>
          <w:lang w:val="es-AR" w:eastAsia="en-US"/>
        </w:rPr>
        <w:t xml:space="preserve"> a la vez que los programas sociales</w:t>
      </w:r>
      <w:r w:rsidR="00912DDA">
        <w:rPr>
          <w:rFonts w:eastAsia="Calibri"/>
          <w:lang w:val="es-AR" w:eastAsia="en-US"/>
        </w:rPr>
        <w:t xml:space="preserve"> de lucha contra la pobreza, si</w:t>
      </w:r>
      <w:r w:rsidR="00912DDA" w:rsidRPr="00B14726">
        <w:rPr>
          <w:rFonts w:eastAsia="Calibri"/>
          <w:lang w:val="es-AR" w:eastAsia="en-US"/>
        </w:rPr>
        <w:t xml:space="preserve"> bien fueron importantes </w:t>
      </w:r>
      <w:r w:rsidR="00912DDA">
        <w:rPr>
          <w:rFonts w:eastAsia="Calibri"/>
          <w:lang w:val="es-AR" w:eastAsia="en-US"/>
        </w:rPr>
        <w:t>como mecanismos compensadores</w:t>
      </w:r>
      <w:r w:rsidR="00912DDA" w:rsidRPr="00B14726">
        <w:rPr>
          <w:rFonts w:eastAsia="Calibri"/>
          <w:lang w:val="es-AR" w:eastAsia="en-US"/>
        </w:rPr>
        <w:t xml:space="preserve"> durante la crisis económica</w:t>
      </w:r>
      <w:r w:rsidR="00912DDA">
        <w:rPr>
          <w:rFonts w:eastAsia="Calibri"/>
          <w:lang w:val="es-AR" w:eastAsia="en-US"/>
        </w:rPr>
        <w:t>,</w:t>
      </w:r>
      <w:r w:rsidR="00912DDA" w:rsidRPr="00B14726">
        <w:rPr>
          <w:rFonts w:eastAsia="Calibri"/>
          <w:lang w:val="es-AR" w:eastAsia="en-US"/>
        </w:rPr>
        <w:t xml:space="preserve"> </w:t>
      </w:r>
      <w:r w:rsidR="00912DDA">
        <w:rPr>
          <w:rFonts w:eastAsia="Calibri"/>
          <w:lang w:val="es-AR" w:eastAsia="en-US"/>
        </w:rPr>
        <w:t xml:space="preserve">habrían aportado </w:t>
      </w:r>
      <w:r w:rsidR="00912DDA" w:rsidRPr="00B14726">
        <w:rPr>
          <w:rFonts w:eastAsia="Calibri"/>
          <w:lang w:val="es-AR" w:eastAsia="en-US"/>
        </w:rPr>
        <w:t xml:space="preserve">muy </w:t>
      </w:r>
      <w:r w:rsidR="00912DDA">
        <w:rPr>
          <w:rFonts w:eastAsia="Calibri"/>
          <w:lang w:val="es-AR" w:eastAsia="en-US"/>
        </w:rPr>
        <w:t>poco en la reducción real del riesgo de pobreza</w:t>
      </w:r>
      <w:r w:rsidR="00912DDA" w:rsidRPr="00B14726">
        <w:rPr>
          <w:rFonts w:eastAsia="Calibri"/>
          <w:lang w:val="es-AR" w:eastAsia="en-US"/>
        </w:rPr>
        <w:t xml:space="preserve">. </w:t>
      </w:r>
    </w:p>
    <w:p w:rsidR="0024424C" w:rsidRDefault="00ED3C3E" w:rsidP="005D2997">
      <w:pPr>
        <w:spacing w:after="200"/>
        <w:jc w:val="both"/>
        <w:rPr>
          <w:rFonts w:eastAsia="Calibri"/>
          <w:lang w:val="es-AR" w:eastAsia="en-US"/>
        </w:rPr>
      </w:pPr>
      <w:r>
        <w:rPr>
          <w:rFonts w:eastAsia="Calibri"/>
          <w:lang w:val="es-AR" w:eastAsia="en-US"/>
        </w:rPr>
        <w:lastRenderedPageBreak/>
        <w:t>A</w:t>
      </w:r>
      <w:r w:rsidR="00912DDA" w:rsidRPr="00015F33">
        <w:rPr>
          <w:rFonts w:eastAsia="Calibri"/>
          <w:lang w:val="es-AR" w:eastAsia="en-US"/>
        </w:rPr>
        <w:t xml:space="preserve"> diferencia de los programas focalizados de la década de los noventa, los programas de protección contra la pobreza en la etapa post-reformas fueron adoptando un carácter más extendido, a la vez que las transferencias de la seguridad social (sistema de jubilaciones y pensiones) adquirieron una relevancia creciente en el presupuesto de los hogares. Esto ocurrió en un contexto en el cual también mejoró la distribución primaria </w:t>
      </w:r>
      <w:r w:rsidR="000B16B8">
        <w:rPr>
          <w:rFonts w:eastAsia="Calibri"/>
          <w:lang w:val="es-AR" w:eastAsia="en-US"/>
        </w:rPr>
        <w:t>a través del aumento de la demanda de empleo.</w:t>
      </w:r>
      <w:r w:rsidR="00912DDA" w:rsidRPr="00015F33">
        <w:rPr>
          <w:rFonts w:eastAsia="Calibri"/>
          <w:lang w:val="es-AR" w:eastAsia="en-US"/>
        </w:rPr>
        <w:t xml:space="preserve"> </w:t>
      </w:r>
      <w:r w:rsidR="0024424C">
        <w:rPr>
          <w:rFonts w:eastAsia="Calibri"/>
          <w:lang w:val="es-AR" w:eastAsia="en-US"/>
        </w:rPr>
        <w:t xml:space="preserve">Fueron estos últimos los </w:t>
      </w:r>
      <w:r w:rsidR="00912DDA" w:rsidRPr="00015F33">
        <w:rPr>
          <w:rFonts w:eastAsia="Calibri"/>
          <w:lang w:val="es-AR" w:eastAsia="en-US"/>
        </w:rPr>
        <w:t xml:space="preserve">factores </w:t>
      </w:r>
      <w:r w:rsidR="0024424C">
        <w:rPr>
          <w:rFonts w:eastAsia="Calibri"/>
          <w:lang w:val="es-AR" w:eastAsia="en-US"/>
        </w:rPr>
        <w:t xml:space="preserve">que más habrían incidido en </w:t>
      </w:r>
      <w:r w:rsidR="00912DDA" w:rsidRPr="00015F33">
        <w:rPr>
          <w:rFonts w:eastAsia="Calibri"/>
          <w:lang w:val="es-AR" w:eastAsia="en-US"/>
        </w:rPr>
        <w:t>el retroceso de la pobreza y la indigencia, mientras que l</w:t>
      </w:r>
      <w:r w:rsidR="0024424C">
        <w:rPr>
          <w:rFonts w:eastAsia="Calibri"/>
          <w:lang w:val="es-AR" w:eastAsia="en-US"/>
        </w:rPr>
        <w:t>a</w:t>
      </w:r>
      <w:r w:rsidR="00912DDA" w:rsidRPr="00015F33">
        <w:rPr>
          <w:rFonts w:eastAsia="Calibri"/>
          <w:lang w:val="es-AR" w:eastAsia="en-US"/>
        </w:rPr>
        <w:t xml:space="preserve">s </w:t>
      </w:r>
      <w:r w:rsidR="0024424C">
        <w:rPr>
          <w:rFonts w:eastAsia="Calibri"/>
          <w:lang w:val="es-AR" w:eastAsia="en-US"/>
        </w:rPr>
        <w:t xml:space="preserve">políticas sociales </w:t>
      </w:r>
      <w:r w:rsidR="00912DDA" w:rsidRPr="00015F33">
        <w:rPr>
          <w:rFonts w:eastAsia="Calibri"/>
          <w:lang w:val="es-AR" w:eastAsia="en-US"/>
        </w:rPr>
        <w:t xml:space="preserve">habrían mantenido una incidencia </w:t>
      </w:r>
      <w:r w:rsidR="0024424C">
        <w:rPr>
          <w:rFonts w:eastAsia="Calibri"/>
          <w:lang w:val="es-AR" w:eastAsia="en-US"/>
        </w:rPr>
        <w:t>más reducida</w:t>
      </w:r>
      <w:r w:rsidR="000B16B8">
        <w:rPr>
          <w:rFonts w:eastAsia="Calibri"/>
          <w:lang w:val="es-AR" w:eastAsia="en-US"/>
        </w:rPr>
        <w:t xml:space="preserve"> </w:t>
      </w:r>
      <w:r w:rsidR="0024424C">
        <w:rPr>
          <w:rFonts w:eastAsia="Calibri"/>
          <w:lang w:val="es-AR" w:eastAsia="en-US"/>
        </w:rPr>
        <w:t>en términos de la mejora d</w:t>
      </w:r>
      <w:r w:rsidR="00912DDA" w:rsidRPr="00015F33">
        <w:rPr>
          <w:rFonts w:eastAsia="Calibri"/>
          <w:lang w:val="es-AR" w:eastAsia="en-US"/>
        </w:rPr>
        <w:t xml:space="preserve">el bienestar. </w:t>
      </w:r>
    </w:p>
    <w:p w:rsidR="00B26E4F" w:rsidRPr="00C607AA" w:rsidRDefault="00912DDA" w:rsidP="005D2997">
      <w:pPr>
        <w:spacing w:after="200"/>
        <w:jc w:val="both"/>
        <w:rPr>
          <w:rFonts w:eastAsia="Calibri"/>
          <w:lang w:val="es-AR" w:eastAsia="en-US"/>
        </w:rPr>
      </w:pPr>
      <w:r w:rsidRPr="00C607AA">
        <w:rPr>
          <w:rFonts w:eastAsia="Calibri"/>
          <w:lang w:val="es-AR" w:eastAsia="en-US"/>
        </w:rPr>
        <w:t xml:space="preserve">La comparación entre ambas fases macroeconómicas </w:t>
      </w:r>
      <w:r w:rsidR="00B26E4F" w:rsidRPr="00C607AA">
        <w:rPr>
          <w:rFonts w:eastAsia="Calibri"/>
          <w:lang w:val="es-AR" w:eastAsia="en-US"/>
        </w:rPr>
        <w:t xml:space="preserve">ha permitido señalar que </w:t>
      </w:r>
      <w:r w:rsidRPr="00C607AA">
        <w:rPr>
          <w:rFonts w:eastAsia="Calibri"/>
          <w:lang w:val="es-AR" w:eastAsia="en-US"/>
        </w:rPr>
        <w:t xml:space="preserve">el modelo de crecimiento más orientado hacia el mercado interno fue más eficiente para reducir la pobreza y la indigencia. </w:t>
      </w:r>
      <w:r w:rsidR="00B26E4F" w:rsidRPr="00C607AA">
        <w:rPr>
          <w:rFonts w:eastAsia="Calibri"/>
          <w:lang w:val="es-AR" w:eastAsia="en-US"/>
        </w:rPr>
        <w:t>Esto se debió, principalmente, al papel jugado por el incremento de la demanda de empleo y por la reducción de la desigualdad</w:t>
      </w:r>
      <w:r w:rsidR="005279E2" w:rsidRPr="00C607AA">
        <w:rPr>
          <w:rFonts w:eastAsia="Calibri"/>
          <w:lang w:val="es-AR" w:eastAsia="en-US"/>
        </w:rPr>
        <w:t xml:space="preserve"> lograda a través de las políticas sociales</w:t>
      </w:r>
      <w:r w:rsidR="00B26E4F" w:rsidRPr="00C607AA">
        <w:rPr>
          <w:rFonts w:eastAsia="Calibri"/>
          <w:lang w:val="es-AR" w:eastAsia="en-US"/>
        </w:rPr>
        <w:t>. Sin embargo, de modo contrastante, la persistencia de niveles elevados de pobreza e indigencia</w:t>
      </w:r>
      <w:r w:rsidR="005279E2" w:rsidRPr="00C607AA">
        <w:rPr>
          <w:rFonts w:eastAsia="Calibri"/>
          <w:lang w:val="es-AR" w:eastAsia="en-US"/>
        </w:rPr>
        <w:t>, así como de desigualdad en la estructura socio-ocupacional</w:t>
      </w:r>
      <w:r w:rsidR="00B26E4F" w:rsidRPr="00C607AA">
        <w:rPr>
          <w:rFonts w:eastAsia="Calibri"/>
          <w:lang w:val="es-AR" w:eastAsia="en-US"/>
        </w:rPr>
        <w:t xml:space="preserve"> permit</w:t>
      </w:r>
      <w:r w:rsidR="005279E2" w:rsidRPr="00C607AA">
        <w:rPr>
          <w:rFonts w:eastAsia="Calibri"/>
          <w:lang w:val="es-AR" w:eastAsia="en-US"/>
        </w:rPr>
        <w:t>en</w:t>
      </w:r>
      <w:r w:rsidR="00B26E4F" w:rsidRPr="00C607AA">
        <w:rPr>
          <w:rFonts w:eastAsia="Calibri"/>
          <w:lang w:val="es-AR" w:eastAsia="en-US"/>
        </w:rPr>
        <w:t xml:space="preserve"> constatar </w:t>
      </w:r>
      <w:r w:rsidR="00C607AA" w:rsidRPr="00C607AA">
        <w:rPr>
          <w:rFonts w:eastAsia="Calibri"/>
          <w:lang w:val="es-AR" w:eastAsia="en-US"/>
        </w:rPr>
        <w:t xml:space="preserve">reproducción de </w:t>
      </w:r>
      <w:r w:rsidR="00DD3A3A" w:rsidRPr="00C607AA">
        <w:rPr>
          <w:rFonts w:eastAsia="Calibri"/>
          <w:lang w:val="es-AR" w:eastAsia="en-US"/>
        </w:rPr>
        <w:t xml:space="preserve">rigideces que condicionan las posibilidades de convergencia social más allá </w:t>
      </w:r>
      <w:r w:rsidR="00B26E4F" w:rsidRPr="00C607AA">
        <w:rPr>
          <w:rFonts w:eastAsia="Calibri"/>
          <w:lang w:val="es-AR" w:eastAsia="en-US"/>
        </w:rPr>
        <w:t xml:space="preserve">del cambio de modelo macroeconómico. </w:t>
      </w:r>
    </w:p>
    <w:p w:rsidR="00AE3F56" w:rsidRPr="00C607AA" w:rsidRDefault="00AE3F56" w:rsidP="005D2997">
      <w:pPr>
        <w:spacing w:after="200"/>
        <w:jc w:val="both"/>
        <w:rPr>
          <w:rFonts w:eastAsia="Calibri"/>
          <w:lang w:val="es-AR" w:eastAsia="en-US"/>
        </w:rPr>
      </w:pPr>
      <w:r w:rsidRPr="00C607AA">
        <w:rPr>
          <w:rFonts w:eastAsia="Calibri"/>
          <w:lang w:val="es-AR" w:eastAsia="en-US"/>
        </w:rPr>
        <w:t>Al respecto, l</w:t>
      </w:r>
      <w:r w:rsidR="00B26E4F" w:rsidRPr="00C607AA">
        <w:rPr>
          <w:rFonts w:eastAsia="Calibri"/>
          <w:lang w:val="es-AR" w:eastAsia="en-US"/>
        </w:rPr>
        <w:t xml:space="preserve">as políticas sociales </w:t>
      </w:r>
      <w:r w:rsidR="00FC5461" w:rsidRPr="00C607AA">
        <w:rPr>
          <w:rFonts w:eastAsia="Calibri"/>
          <w:lang w:val="es-AR" w:eastAsia="en-US"/>
        </w:rPr>
        <w:t xml:space="preserve">suelen </w:t>
      </w:r>
      <w:r w:rsidRPr="00C607AA">
        <w:rPr>
          <w:rFonts w:eastAsia="Calibri"/>
          <w:lang w:val="es-AR" w:eastAsia="en-US"/>
        </w:rPr>
        <w:t>ser presentadas como mecanismos de integración social que subsanan los efectos</w:t>
      </w:r>
      <w:r w:rsidR="00DD3A3A" w:rsidRPr="00C607AA">
        <w:rPr>
          <w:rFonts w:eastAsia="Calibri"/>
          <w:lang w:val="es-AR" w:eastAsia="en-US"/>
        </w:rPr>
        <w:t xml:space="preserve"> disgregadores</w:t>
      </w:r>
      <w:r w:rsidRPr="00C607AA">
        <w:rPr>
          <w:rFonts w:eastAsia="Calibri"/>
          <w:lang w:val="es-AR" w:eastAsia="en-US"/>
        </w:rPr>
        <w:t xml:space="preserve"> del mercado. L</w:t>
      </w:r>
      <w:r w:rsidR="0024424C" w:rsidRPr="00C607AA">
        <w:rPr>
          <w:rFonts w:eastAsia="Calibri"/>
          <w:lang w:val="es-AR" w:eastAsia="en-US"/>
        </w:rPr>
        <w:t xml:space="preserve">os datos </w:t>
      </w:r>
      <w:r w:rsidR="00C607AA" w:rsidRPr="00C607AA">
        <w:rPr>
          <w:rFonts w:eastAsia="Calibri"/>
          <w:lang w:val="es-AR" w:eastAsia="en-US"/>
        </w:rPr>
        <w:t xml:space="preserve">presentados en este trabajo muestran </w:t>
      </w:r>
      <w:r w:rsidRPr="00C607AA">
        <w:rPr>
          <w:rFonts w:eastAsia="Calibri"/>
          <w:lang w:val="es-AR" w:eastAsia="en-US"/>
        </w:rPr>
        <w:t>que</w:t>
      </w:r>
      <w:r w:rsidR="00DD3A3A" w:rsidRPr="00C607AA">
        <w:rPr>
          <w:rFonts w:eastAsia="Calibri"/>
          <w:lang w:val="es-AR" w:eastAsia="en-US"/>
        </w:rPr>
        <w:t>,</w:t>
      </w:r>
      <w:r w:rsidRPr="00C607AA">
        <w:rPr>
          <w:rFonts w:eastAsia="Calibri"/>
          <w:lang w:val="es-AR" w:eastAsia="en-US"/>
        </w:rPr>
        <w:t xml:space="preserve"> si bien estas intervenciones tuvieron un protagonismo diferencial en las distintas fases estudiadas</w:t>
      </w:r>
      <w:r w:rsidR="00DD3A3A" w:rsidRPr="00C607AA">
        <w:rPr>
          <w:rFonts w:eastAsia="Calibri"/>
          <w:lang w:val="es-AR" w:eastAsia="en-US"/>
        </w:rPr>
        <w:t>,</w:t>
      </w:r>
      <w:r w:rsidRPr="00C607AA">
        <w:rPr>
          <w:rFonts w:eastAsia="Calibri"/>
          <w:lang w:val="es-AR" w:eastAsia="en-US"/>
        </w:rPr>
        <w:t xml:space="preserve"> no habrían tenido un papel decisivo en el bienestar efectivamente alcanzado por las unidades domésticas. En otros términos, si bien es posible advertir un papel más progresivo del gasto social durante el ciclo </w:t>
      </w:r>
      <w:r w:rsidR="00C607AA" w:rsidRPr="00C607AA">
        <w:rPr>
          <w:rFonts w:eastAsia="Calibri"/>
          <w:lang w:val="es-AR" w:eastAsia="en-US"/>
        </w:rPr>
        <w:t>neodesarrollista</w:t>
      </w:r>
      <w:r w:rsidRPr="00C607AA">
        <w:rPr>
          <w:rFonts w:eastAsia="Calibri"/>
          <w:lang w:val="es-AR" w:eastAsia="en-US"/>
        </w:rPr>
        <w:t>, en ausencia de condiciones más amplias de integración sistémica</w:t>
      </w:r>
      <w:r w:rsidRPr="00C607AA">
        <w:rPr>
          <w:vertAlign w:val="superscript"/>
        </w:rPr>
        <w:footnoteReference w:id="37"/>
      </w:r>
      <w:r w:rsidRPr="00C607AA">
        <w:rPr>
          <w:rFonts w:eastAsia="Calibri"/>
          <w:lang w:val="es-AR" w:eastAsia="en-US"/>
        </w:rPr>
        <w:t xml:space="preserve"> cabe subrayar el papel insuficiente de este tipo de intervenciones en materia de bienestar. </w:t>
      </w:r>
    </w:p>
    <w:p w:rsidR="00433E76" w:rsidRPr="00C607AA" w:rsidRDefault="000B16B8" w:rsidP="00433E76">
      <w:pPr>
        <w:spacing w:after="200"/>
        <w:jc w:val="both"/>
      </w:pPr>
      <w:r w:rsidRPr="00C607AA">
        <w:t xml:space="preserve">De esta manera, cualquiera sea el período considerado, aunque con </w:t>
      </w:r>
      <w:r w:rsidR="005D2997" w:rsidRPr="00C607AA">
        <w:t>inestabilidades importantes</w:t>
      </w:r>
      <w:r w:rsidRPr="00C607AA">
        <w:t>, las prestaciones a la seguridad social y los programas sociales de protección contra la pobreza sólo lograron -en el mejor de los casos- compensar pero no reducir de manera estructural y sostenible los niveles de desigualdad estructural. De ahí que cabe afirmar también que el efecto indirecto de estas prestaciones para la reducción de la indigencia</w:t>
      </w:r>
      <w:r w:rsidR="0024424C" w:rsidRPr="00C607AA">
        <w:t xml:space="preserve"> y la </w:t>
      </w:r>
      <w:r w:rsidRPr="00C607AA">
        <w:t>pobreza, aunque activo –sobre todo a partir del período de políticas heterodoxas</w:t>
      </w:r>
      <w:r w:rsidR="0024424C" w:rsidRPr="00C607AA">
        <w:t>–</w:t>
      </w:r>
      <w:r w:rsidRPr="00C607AA">
        <w:t xml:space="preserve">, no haya sido significativo. Por lo mismo, según la evidencia presentada, la dinámica de acumulación, el funcionamiento y el modo de conformación del mercado de trabajo, continúan siendo dimensiones necesarias de análisis para comprender los niveles de desigualdad que alcanza </w:t>
      </w:r>
      <w:r w:rsidR="0024424C" w:rsidRPr="00C607AA">
        <w:t>la sociedad argentina</w:t>
      </w:r>
      <w:r w:rsidR="00B26E4F" w:rsidRPr="00C607AA">
        <w:t>;</w:t>
      </w:r>
      <w:r w:rsidR="0024424C" w:rsidRPr="00C607AA">
        <w:t xml:space="preserve"> a la vez que </w:t>
      </w:r>
      <w:r w:rsidR="00B26E4F" w:rsidRPr="00C607AA">
        <w:t xml:space="preserve">debería buscarse en </w:t>
      </w:r>
      <w:r w:rsidR="0024424C" w:rsidRPr="00C607AA">
        <w:t xml:space="preserve">las </w:t>
      </w:r>
      <w:r w:rsidR="00B26E4F" w:rsidRPr="00C607AA">
        <w:t xml:space="preserve">condiciones </w:t>
      </w:r>
      <w:r w:rsidR="0024424C" w:rsidRPr="00C607AA">
        <w:t xml:space="preserve">que ofrece </w:t>
      </w:r>
      <w:r w:rsidRPr="00C607AA">
        <w:t xml:space="preserve">la estructura económico-ocupacional </w:t>
      </w:r>
      <w:r w:rsidR="00B26E4F" w:rsidRPr="00C607AA">
        <w:t xml:space="preserve">los límites o potencialidades de superación de </w:t>
      </w:r>
      <w:r w:rsidRPr="00C607AA">
        <w:t xml:space="preserve">las condiciones de marginalidad estructural bajo las cuales se reproduce el sistema socioeconómico. </w:t>
      </w:r>
    </w:p>
    <w:p w:rsidR="00A27A60" w:rsidRPr="00B14726" w:rsidRDefault="007E3FE8" w:rsidP="00433E76">
      <w:pPr>
        <w:spacing w:after="200"/>
        <w:jc w:val="both"/>
        <w:rPr>
          <w:b/>
          <w:lang w:val="es-AR"/>
        </w:rPr>
      </w:pPr>
      <w:r>
        <w:rPr>
          <w:b/>
          <w:lang w:val="es-AR"/>
        </w:rPr>
        <w:br w:type="page"/>
      </w:r>
      <w:r w:rsidR="00A27A60" w:rsidRPr="00B14726">
        <w:rPr>
          <w:b/>
          <w:lang w:val="es-AR"/>
        </w:rPr>
        <w:lastRenderedPageBreak/>
        <w:t>Bibliografía</w:t>
      </w:r>
    </w:p>
    <w:p w:rsidR="00A27A60" w:rsidRPr="00C564BC" w:rsidRDefault="00A27A60" w:rsidP="00A27A60">
      <w:pPr>
        <w:spacing w:after="60"/>
        <w:ind w:firstLine="142"/>
        <w:jc w:val="both"/>
        <w:rPr>
          <w:sz w:val="22"/>
          <w:szCs w:val="22"/>
        </w:rPr>
      </w:pPr>
      <w:proofErr w:type="spellStart"/>
      <w:r w:rsidRPr="00C564BC">
        <w:rPr>
          <w:sz w:val="22"/>
          <w:szCs w:val="22"/>
        </w:rPr>
        <w:t>Azpiazu</w:t>
      </w:r>
      <w:proofErr w:type="spellEnd"/>
      <w:r w:rsidRPr="00C564BC">
        <w:rPr>
          <w:sz w:val="22"/>
          <w:szCs w:val="22"/>
        </w:rPr>
        <w:t xml:space="preserve">, D. y </w:t>
      </w:r>
      <w:proofErr w:type="spellStart"/>
      <w:r w:rsidRPr="00C564BC">
        <w:rPr>
          <w:sz w:val="22"/>
          <w:szCs w:val="22"/>
        </w:rPr>
        <w:t>Schorr</w:t>
      </w:r>
      <w:proofErr w:type="spellEnd"/>
      <w:r w:rsidRPr="00C564BC">
        <w:rPr>
          <w:sz w:val="22"/>
          <w:szCs w:val="22"/>
        </w:rPr>
        <w:t xml:space="preserve">, M. (2008): “Continuidades y rupturas en la industria argentina: del modelo de los noventa a la </w:t>
      </w:r>
      <w:proofErr w:type="spellStart"/>
      <w:r w:rsidRPr="00C564BC">
        <w:rPr>
          <w:sz w:val="22"/>
          <w:szCs w:val="22"/>
        </w:rPr>
        <w:t>posconvertibilidad</w:t>
      </w:r>
      <w:proofErr w:type="spellEnd"/>
      <w:r w:rsidRPr="00C564BC">
        <w:rPr>
          <w:sz w:val="22"/>
          <w:szCs w:val="22"/>
        </w:rPr>
        <w:t xml:space="preserve">. Reflexiones preliminares”, en </w:t>
      </w:r>
      <w:r w:rsidRPr="00C564BC">
        <w:rPr>
          <w:i/>
          <w:sz w:val="22"/>
          <w:szCs w:val="22"/>
        </w:rPr>
        <w:t>Realidad Económica</w:t>
      </w:r>
      <w:r w:rsidRPr="00C564BC">
        <w:rPr>
          <w:sz w:val="22"/>
          <w:szCs w:val="22"/>
        </w:rPr>
        <w:t>, Nº 240.</w:t>
      </w:r>
    </w:p>
    <w:p w:rsidR="00A27A60" w:rsidRPr="00C564BC" w:rsidRDefault="00A27A60" w:rsidP="00A27A60">
      <w:pPr>
        <w:spacing w:after="60"/>
        <w:ind w:firstLine="142"/>
        <w:jc w:val="both"/>
        <w:rPr>
          <w:sz w:val="22"/>
          <w:szCs w:val="22"/>
        </w:rPr>
      </w:pPr>
      <w:proofErr w:type="spellStart"/>
      <w:r w:rsidRPr="00C564BC">
        <w:rPr>
          <w:sz w:val="22"/>
          <w:szCs w:val="22"/>
        </w:rPr>
        <w:t>Azpiazu</w:t>
      </w:r>
      <w:proofErr w:type="spellEnd"/>
      <w:r w:rsidRPr="00C564BC">
        <w:rPr>
          <w:sz w:val="22"/>
          <w:szCs w:val="22"/>
        </w:rPr>
        <w:t xml:space="preserve">, D. y </w:t>
      </w:r>
      <w:proofErr w:type="spellStart"/>
      <w:r w:rsidRPr="00C564BC">
        <w:rPr>
          <w:sz w:val="22"/>
          <w:szCs w:val="22"/>
        </w:rPr>
        <w:t>Schorr</w:t>
      </w:r>
      <w:proofErr w:type="spellEnd"/>
      <w:r w:rsidRPr="00C564BC">
        <w:rPr>
          <w:sz w:val="22"/>
          <w:szCs w:val="22"/>
        </w:rPr>
        <w:t xml:space="preserve">, M. (2010a), </w:t>
      </w:r>
      <w:r w:rsidRPr="00C564BC">
        <w:rPr>
          <w:i/>
          <w:sz w:val="22"/>
          <w:szCs w:val="22"/>
        </w:rPr>
        <w:t>Hecho en Argentina</w:t>
      </w:r>
      <w:r w:rsidRPr="00C564BC">
        <w:rPr>
          <w:sz w:val="22"/>
          <w:szCs w:val="22"/>
        </w:rPr>
        <w:t>, Buenos Aires: Siglo Veintiuno Editores.</w:t>
      </w:r>
    </w:p>
    <w:p w:rsidR="00A27A60" w:rsidRPr="00C564BC" w:rsidRDefault="00A27A60" w:rsidP="00A27A60">
      <w:pPr>
        <w:spacing w:after="60"/>
        <w:ind w:firstLine="142"/>
        <w:jc w:val="both"/>
        <w:rPr>
          <w:sz w:val="22"/>
          <w:szCs w:val="22"/>
        </w:rPr>
      </w:pPr>
      <w:proofErr w:type="spellStart"/>
      <w:r w:rsidRPr="00C564BC">
        <w:rPr>
          <w:sz w:val="22"/>
          <w:szCs w:val="22"/>
        </w:rPr>
        <w:t>Azpiazu</w:t>
      </w:r>
      <w:proofErr w:type="spellEnd"/>
      <w:r w:rsidRPr="00C564BC">
        <w:rPr>
          <w:sz w:val="22"/>
          <w:szCs w:val="22"/>
        </w:rPr>
        <w:t xml:space="preserve">, D. y </w:t>
      </w:r>
      <w:proofErr w:type="spellStart"/>
      <w:r w:rsidRPr="00C564BC">
        <w:rPr>
          <w:sz w:val="22"/>
          <w:szCs w:val="22"/>
        </w:rPr>
        <w:t>Schorr</w:t>
      </w:r>
      <w:proofErr w:type="spellEnd"/>
      <w:r w:rsidRPr="00C564BC">
        <w:rPr>
          <w:sz w:val="22"/>
          <w:szCs w:val="22"/>
        </w:rPr>
        <w:t xml:space="preserve">, M. (2010b), “La difícil reversión de los legados del neoliberalismo. La recuperación industrial en Argentina en la </w:t>
      </w:r>
      <w:proofErr w:type="spellStart"/>
      <w:r w:rsidRPr="00C564BC">
        <w:rPr>
          <w:sz w:val="22"/>
          <w:szCs w:val="22"/>
        </w:rPr>
        <w:t>posconvertibilidad</w:t>
      </w:r>
      <w:proofErr w:type="spellEnd"/>
      <w:r w:rsidRPr="00C564BC">
        <w:rPr>
          <w:sz w:val="22"/>
          <w:szCs w:val="22"/>
        </w:rPr>
        <w:t xml:space="preserve">”, </w:t>
      </w:r>
      <w:r w:rsidRPr="00C564BC">
        <w:rPr>
          <w:i/>
          <w:sz w:val="22"/>
          <w:szCs w:val="22"/>
        </w:rPr>
        <w:t>Revista Nueva Sociedad,</w:t>
      </w:r>
      <w:r w:rsidRPr="00C564BC">
        <w:rPr>
          <w:sz w:val="22"/>
          <w:szCs w:val="22"/>
        </w:rPr>
        <w:t xml:space="preserve"> N° 225, pp. 31-47. </w:t>
      </w:r>
    </w:p>
    <w:p w:rsidR="000F60C5" w:rsidRPr="00C564BC" w:rsidRDefault="000F60C5" w:rsidP="00A27A60">
      <w:pPr>
        <w:spacing w:after="60"/>
        <w:ind w:firstLine="142"/>
        <w:jc w:val="both"/>
        <w:rPr>
          <w:sz w:val="22"/>
          <w:szCs w:val="22"/>
          <w:lang w:val="es-AR"/>
        </w:rPr>
      </w:pPr>
      <w:r w:rsidRPr="00C564BC">
        <w:rPr>
          <w:sz w:val="22"/>
          <w:szCs w:val="22"/>
        </w:rPr>
        <w:t>Barba Solano, C. y Cohen, N. (</w:t>
      </w:r>
      <w:proofErr w:type="spellStart"/>
      <w:r w:rsidRPr="00C564BC">
        <w:rPr>
          <w:sz w:val="22"/>
          <w:szCs w:val="22"/>
        </w:rPr>
        <w:t>coords</w:t>
      </w:r>
      <w:proofErr w:type="spellEnd"/>
      <w:r w:rsidRPr="00C564BC">
        <w:rPr>
          <w:sz w:val="22"/>
          <w:szCs w:val="22"/>
        </w:rPr>
        <w:t xml:space="preserve">.) </w:t>
      </w:r>
      <w:r w:rsidRPr="00C564BC">
        <w:rPr>
          <w:i/>
          <w:sz w:val="22"/>
          <w:szCs w:val="22"/>
          <w:lang w:val="es-AR"/>
        </w:rPr>
        <w:t>Perspectivas críticas sobre la cohesión social</w:t>
      </w:r>
      <w:r w:rsidRPr="00C564BC">
        <w:rPr>
          <w:sz w:val="22"/>
          <w:szCs w:val="22"/>
          <w:lang w:val="es-AR"/>
        </w:rPr>
        <w:t>, Buenos Aires: CLACSO.</w:t>
      </w:r>
    </w:p>
    <w:p w:rsidR="00A27A60" w:rsidRPr="00C564BC" w:rsidRDefault="00A27A60" w:rsidP="00A27A60">
      <w:pPr>
        <w:spacing w:after="60"/>
        <w:ind w:firstLine="142"/>
        <w:jc w:val="both"/>
        <w:rPr>
          <w:sz w:val="22"/>
          <w:szCs w:val="22"/>
          <w:lang w:val="en-US"/>
        </w:rPr>
      </w:pPr>
      <w:r w:rsidRPr="00C564BC">
        <w:rPr>
          <w:sz w:val="22"/>
          <w:szCs w:val="22"/>
        </w:rPr>
        <w:t>Barba Solano, C. (2011) “Revisión teórica del concepto de cohesión social: hacia una perspectiva normativa para América Latina”, en: Barba Solano, C. y Cohen, N. (</w:t>
      </w:r>
      <w:proofErr w:type="spellStart"/>
      <w:r w:rsidRPr="00C564BC">
        <w:rPr>
          <w:sz w:val="22"/>
          <w:szCs w:val="22"/>
        </w:rPr>
        <w:t>coords</w:t>
      </w:r>
      <w:proofErr w:type="spellEnd"/>
      <w:r w:rsidRPr="00C564BC">
        <w:rPr>
          <w:sz w:val="22"/>
          <w:szCs w:val="22"/>
        </w:rPr>
        <w:t xml:space="preserve">.) </w:t>
      </w:r>
      <w:proofErr w:type="spellStart"/>
      <w:r w:rsidRPr="00C564BC">
        <w:rPr>
          <w:i/>
          <w:sz w:val="22"/>
          <w:szCs w:val="22"/>
          <w:lang w:val="en-US"/>
        </w:rPr>
        <w:t>Perspectivas</w:t>
      </w:r>
      <w:proofErr w:type="spellEnd"/>
      <w:r w:rsidRPr="00C564BC">
        <w:rPr>
          <w:i/>
          <w:sz w:val="22"/>
          <w:szCs w:val="22"/>
          <w:lang w:val="en-US"/>
        </w:rPr>
        <w:t xml:space="preserve"> </w:t>
      </w:r>
      <w:proofErr w:type="spellStart"/>
      <w:r w:rsidRPr="00C564BC">
        <w:rPr>
          <w:i/>
          <w:sz w:val="22"/>
          <w:szCs w:val="22"/>
          <w:lang w:val="en-US"/>
        </w:rPr>
        <w:t>críticas</w:t>
      </w:r>
      <w:proofErr w:type="spellEnd"/>
      <w:r w:rsidRPr="00C564BC">
        <w:rPr>
          <w:i/>
          <w:sz w:val="22"/>
          <w:szCs w:val="22"/>
          <w:lang w:val="en-US"/>
        </w:rPr>
        <w:t xml:space="preserve"> </w:t>
      </w:r>
      <w:proofErr w:type="spellStart"/>
      <w:r w:rsidRPr="00C564BC">
        <w:rPr>
          <w:i/>
          <w:sz w:val="22"/>
          <w:szCs w:val="22"/>
          <w:lang w:val="en-US"/>
        </w:rPr>
        <w:t>sobre</w:t>
      </w:r>
      <w:proofErr w:type="spellEnd"/>
      <w:r w:rsidRPr="00C564BC">
        <w:rPr>
          <w:i/>
          <w:sz w:val="22"/>
          <w:szCs w:val="22"/>
          <w:lang w:val="en-US"/>
        </w:rPr>
        <w:t xml:space="preserve"> la </w:t>
      </w:r>
      <w:proofErr w:type="spellStart"/>
      <w:r w:rsidRPr="00C564BC">
        <w:rPr>
          <w:i/>
          <w:sz w:val="22"/>
          <w:szCs w:val="22"/>
          <w:lang w:val="en-US"/>
        </w:rPr>
        <w:t>cohesión</w:t>
      </w:r>
      <w:proofErr w:type="spellEnd"/>
      <w:r w:rsidRPr="00C564BC">
        <w:rPr>
          <w:i/>
          <w:sz w:val="22"/>
          <w:szCs w:val="22"/>
          <w:lang w:val="en-US"/>
        </w:rPr>
        <w:t xml:space="preserve"> social</w:t>
      </w:r>
      <w:r w:rsidRPr="00C564BC">
        <w:rPr>
          <w:sz w:val="22"/>
          <w:szCs w:val="22"/>
          <w:lang w:val="en-US"/>
        </w:rPr>
        <w:t>, Buenos Aires: CLACSO.</w:t>
      </w:r>
    </w:p>
    <w:p w:rsidR="00A27A60" w:rsidRPr="00C564BC" w:rsidRDefault="00A27A60" w:rsidP="00A27A60">
      <w:pPr>
        <w:spacing w:after="60"/>
        <w:ind w:firstLine="142"/>
        <w:jc w:val="both"/>
        <w:rPr>
          <w:sz w:val="22"/>
          <w:szCs w:val="22"/>
          <w:lang w:val="en-US"/>
        </w:rPr>
      </w:pPr>
      <w:r w:rsidRPr="00C564BC">
        <w:rPr>
          <w:sz w:val="22"/>
          <w:szCs w:val="22"/>
          <w:lang w:val="en-US"/>
        </w:rPr>
        <w:t xml:space="preserve">Barrientos, A. y </w:t>
      </w:r>
      <w:proofErr w:type="spellStart"/>
      <w:r w:rsidRPr="00C564BC">
        <w:rPr>
          <w:sz w:val="22"/>
          <w:szCs w:val="22"/>
          <w:lang w:val="en-US"/>
        </w:rPr>
        <w:t>Hulme</w:t>
      </w:r>
      <w:proofErr w:type="spellEnd"/>
      <w:r w:rsidRPr="00C564BC">
        <w:rPr>
          <w:sz w:val="22"/>
          <w:szCs w:val="22"/>
          <w:lang w:val="en-US"/>
        </w:rPr>
        <w:t xml:space="preserve">, D. (2008) </w:t>
      </w:r>
      <w:r w:rsidRPr="00C564BC">
        <w:rPr>
          <w:b/>
          <w:sz w:val="22"/>
          <w:szCs w:val="22"/>
          <w:lang w:val="en-US"/>
        </w:rPr>
        <w:t>“</w:t>
      </w:r>
      <w:r w:rsidRPr="00C564BC">
        <w:rPr>
          <w:rStyle w:val="Textoennegrita"/>
          <w:b w:val="0"/>
          <w:sz w:val="22"/>
          <w:szCs w:val="22"/>
          <w:shd w:val="clear" w:color="auto" w:fill="FFFFFF"/>
          <w:lang w:val="en-US"/>
        </w:rPr>
        <w:t xml:space="preserve">Social Protection for the Poor and Poorest in Developing Countries: Reflections on a Quiet Revolution”, </w:t>
      </w:r>
      <w:r w:rsidRPr="00C564BC">
        <w:rPr>
          <w:rStyle w:val="Textoennegrita"/>
          <w:b w:val="0"/>
          <w:i/>
          <w:sz w:val="22"/>
          <w:szCs w:val="22"/>
          <w:shd w:val="clear" w:color="auto" w:fill="FFFFFF"/>
          <w:lang w:val="en-US"/>
        </w:rPr>
        <w:t xml:space="preserve">BWPI Working Paper, </w:t>
      </w:r>
      <w:smartTag w:uri="urn:schemas-microsoft-com:office:smarttags" w:element="City">
        <w:smartTag w:uri="urn:schemas-microsoft-com:office:smarttags" w:element="place">
          <w:r w:rsidRPr="00C564BC">
            <w:rPr>
              <w:rStyle w:val="Textoennegrita"/>
              <w:b w:val="0"/>
              <w:sz w:val="22"/>
              <w:szCs w:val="22"/>
              <w:shd w:val="clear" w:color="auto" w:fill="FFFFFF"/>
              <w:lang w:val="en-US"/>
            </w:rPr>
            <w:t>Manchester</w:t>
          </w:r>
        </w:smartTag>
      </w:smartTag>
      <w:r w:rsidRPr="00C564BC">
        <w:rPr>
          <w:rStyle w:val="Textoennegrita"/>
          <w:b w:val="0"/>
          <w:sz w:val="22"/>
          <w:szCs w:val="22"/>
          <w:shd w:val="clear" w:color="auto" w:fill="FFFFFF"/>
          <w:lang w:val="en-US"/>
        </w:rPr>
        <w:t>.</w:t>
      </w:r>
    </w:p>
    <w:p w:rsidR="00A27A60" w:rsidRPr="00C564BC" w:rsidRDefault="00A27A60" w:rsidP="00A27A60">
      <w:pPr>
        <w:spacing w:after="60"/>
        <w:ind w:firstLine="142"/>
        <w:jc w:val="both"/>
        <w:rPr>
          <w:sz w:val="22"/>
          <w:szCs w:val="22"/>
        </w:rPr>
      </w:pPr>
      <w:r w:rsidRPr="00C564BC">
        <w:rPr>
          <w:sz w:val="22"/>
          <w:szCs w:val="22"/>
        </w:rPr>
        <w:t>Beccaria, L. y Maurizio, R. (2008) “</w:t>
      </w:r>
      <w:r w:rsidRPr="00C564BC">
        <w:rPr>
          <w:sz w:val="22"/>
          <w:szCs w:val="22"/>
          <w:shd w:val="clear" w:color="auto" w:fill="FFFFFF"/>
        </w:rPr>
        <w:t xml:space="preserve">Mercado de trabajo y distribución personal del ingreso”, en: </w:t>
      </w:r>
      <w:r w:rsidRPr="00C564BC">
        <w:rPr>
          <w:sz w:val="22"/>
          <w:szCs w:val="22"/>
        </w:rPr>
        <w:t>Lindenboim J. (</w:t>
      </w:r>
      <w:proofErr w:type="spellStart"/>
      <w:r w:rsidRPr="00C564BC">
        <w:rPr>
          <w:sz w:val="22"/>
          <w:szCs w:val="22"/>
        </w:rPr>
        <w:t>comp.</w:t>
      </w:r>
      <w:proofErr w:type="spellEnd"/>
      <w:r w:rsidRPr="00C564BC">
        <w:rPr>
          <w:sz w:val="22"/>
          <w:szCs w:val="22"/>
        </w:rPr>
        <w:t xml:space="preserve">) </w:t>
      </w:r>
      <w:r w:rsidRPr="00C564BC">
        <w:rPr>
          <w:i/>
          <w:sz w:val="22"/>
          <w:szCs w:val="22"/>
        </w:rPr>
        <w:t>Trabajo, ingresos y políticas en Argentina. Contribuciones para pensar el siglo XXI</w:t>
      </w:r>
      <w:r w:rsidRPr="00C564BC">
        <w:rPr>
          <w:sz w:val="22"/>
          <w:szCs w:val="22"/>
        </w:rPr>
        <w:t>. Buenos Aires, EUDEBA.</w:t>
      </w:r>
    </w:p>
    <w:p w:rsidR="00A27A60" w:rsidRPr="00C564BC" w:rsidRDefault="00A27A60" w:rsidP="00A27A60">
      <w:pPr>
        <w:spacing w:after="60"/>
        <w:ind w:firstLine="142"/>
        <w:jc w:val="both"/>
        <w:rPr>
          <w:sz w:val="22"/>
          <w:szCs w:val="22"/>
          <w:shd w:val="clear" w:color="auto" w:fill="FFFFFF"/>
        </w:rPr>
      </w:pPr>
      <w:r w:rsidRPr="00C564BC">
        <w:rPr>
          <w:sz w:val="22"/>
          <w:szCs w:val="22"/>
          <w:shd w:val="clear" w:color="auto" w:fill="FFFFFF"/>
        </w:rPr>
        <w:t>Beccaria, L. y R. Maurizio (2012) “Reversión y continuidades bajo dos regímenes macroeconómicos diferentes. Mercado de trabajo e ingresos en Argentina. 1990-</w:t>
      </w:r>
      <w:smartTag w:uri="urn:schemas-microsoft-com:office:smarttags" w:element="metricconverter">
        <w:smartTagPr>
          <w:attr w:name="ProductID" w:val="2010”"/>
        </w:smartTagPr>
        <w:r w:rsidRPr="00C564BC">
          <w:rPr>
            <w:sz w:val="22"/>
            <w:szCs w:val="22"/>
            <w:shd w:val="clear" w:color="auto" w:fill="FFFFFF"/>
          </w:rPr>
          <w:t>2010”</w:t>
        </w:r>
      </w:smartTag>
      <w:r w:rsidRPr="00C564BC">
        <w:rPr>
          <w:sz w:val="22"/>
          <w:szCs w:val="22"/>
          <w:shd w:val="clear" w:color="auto" w:fill="FFFFFF"/>
        </w:rPr>
        <w:t xml:space="preserve">, </w:t>
      </w:r>
      <w:r w:rsidRPr="00C564BC">
        <w:rPr>
          <w:i/>
          <w:sz w:val="22"/>
          <w:szCs w:val="22"/>
          <w:shd w:val="clear" w:color="auto" w:fill="FFFFFF"/>
        </w:rPr>
        <w:t>Desarrollo Económico</w:t>
      </w:r>
      <w:r w:rsidRPr="00C564BC">
        <w:rPr>
          <w:sz w:val="22"/>
          <w:szCs w:val="22"/>
          <w:shd w:val="clear" w:color="auto" w:fill="FFFFFF"/>
        </w:rPr>
        <w:t xml:space="preserve"> Nº 206, Buenos Aires.</w:t>
      </w:r>
    </w:p>
    <w:p w:rsidR="00A27A60" w:rsidRPr="00C564BC" w:rsidRDefault="00A27A60" w:rsidP="00A27A60">
      <w:pPr>
        <w:spacing w:after="60"/>
        <w:ind w:firstLine="142"/>
        <w:jc w:val="both"/>
        <w:rPr>
          <w:rFonts w:eastAsia="Calibri"/>
          <w:sz w:val="22"/>
          <w:szCs w:val="22"/>
        </w:rPr>
      </w:pPr>
      <w:proofErr w:type="spellStart"/>
      <w:r w:rsidRPr="00C564BC">
        <w:rPr>
          <w:rFonts w:eastAsia="Calibri"/>
          <w:sz w:val="22"/>
          <w:szCs w:val="22"/>
          <w:lang w:val="es-AR" w:eastAsia="en-US"/>
        </w:rPr>
        <w:t>Bertranou</w:t>
      </w:r>
      <w:proofErr w:type="spellEnd"/>
      <w:r w:rsidRPr="00C564BC">
        <w:rPr>
          <w:rFonts w:eastAsia="Calibri"/>
          <w:sz w:val="22"/>
          <w:szCs w:val="22"/>
          <w:lang w:val="es-AR" w:eastAsia="en-US"/>
        </w:rPr>
        <w:t xml:space="preserve">, F. y Paz, J. (2007). </w:t>
      </w:r>
      <w:r w:rsidRPr="00C564BC">
        <w:rPr>
          <w:rFonts w:eastAsia="Calibri"/>
          <w:i/>
          <w:sz w:val="22"/>
          <w:szCs w:val="22"/>
          <w:lang w:val="es-AR" w:eastAsia="en-US"/>
        </w:rPr>
        <w:t>Políticas y programas de protección al desempleo en Argentina</w:t>
      </w:r>
      <w:r w:rsidRPr="00C564BC">
        <w:rPr>
          <w:rFonts w:eastAsia="Calibri"/>
          <w:sz w:val="22"/>
          <w:szCs w:val="22"/>
          <w:lang w:val="es-AR" w:eastAsia="en-US"/>
        </w:rPr>
        <w:t>, Buenos Aires: OIT.</w:t>
      </w:r>
    </w:p>
    <w:p w:rsidR="00A27A60" w:rsidRPr="00C564BC" w:rsidRDefault="00A27A60" w:rsidP="00A27A60">
      <w:pPr>
        <w:spacing w:after="60"/>
        <w:ind w:firstLine="142"/>
        <w:jc w:val="both"/>
        <w:rPr>
          <w:rFonts w:eastAsia="Calibri"/>
          <w:sz w:val="22"/>
          <w:szCs w:val="22"/>
          <w:lang w:val="es-AR" w:eastAsia="en-US"/>
        </w:rPr>
      </w:pPr>
      <w:proofErr w:type="spellStart"/>
      <w:r w:rsidRPr="00C564BC">
        <w:rPr>
          <w:rFonts w:eastAsia="Calibri"/>
          <w:sz w:val="22"/>
          <w:szCs w:val="22"/>
          <w:lang w:val="es-AR" w:eastAsia="en-US"/>
        </w:rPr>
        <w:t>Bertranou</w:t>
      </w:r>
      <w:proofErr w:type="spellEnd"/>
      <w:r w:rsidRPr="00C564BC">
        <w:rPr>
          <w:rFonts w:eastAsia="Calibri"/>
          <w:sz w:val="22"/>
          <w:szCs w:val="22"/>
          <w:lang w:val="es-AR" w:eastAsia="en-US"/>
        </w:rPr>
        <w:t xml:space="preserve">, F., </w:t>
      </w:r>
      <w:proofErr w:type="spellStart"/>
      <w:r w:rsidRPr="00C564BC">
        <w:rPr>
          <w:rFonts w:eastAsia="Calibri"/>
          <w:sz w:val="22"/>
          <w:szCs w:val="22"/>
          <w:lang w:val="es-AR" w:eastAsia="en-US"/>
        </w:rPr>
        <w:t>Cetrángolo</w:t>
      </w:r>
      <w:proofErr w:type="spellEnd"/>
      <w:r w:rsidRPr="00C564BC">
        <w:rPr>
          <w:rFonts w:eastAsia="Calibri"/>
          <w:sz w:val="22"/>
          <w:szCs w:val="22"/>
          <w:lang w:val="es-AR" w:eastAsia="en-US"/>
        </w:rPr>
        <w:t>, O.,</w:t>
      </w:r>
      <w:proofErr w:type="spellStart"/>
      <w:r w:rsidRPr="00C564BC">
        <w:rPr>
          <w:rFonts w:eastAsia="Calibri"/>
          <w:sz w:val="22"/>
          <w:szCs w:val="22"/>
          <w:lang w:val="es-AR" w:eastAsia="en-US"/>
        </w:rPr>
        <w:t>Grushka</w:t>
      </w:r>
      <w:proofErr w:type="spellEnd"/>
      <w:r w:rsidRPr="00C564BC">
        <w:rPr>
          <w:rFonts w:eastAsia="Calibri"/>
          <w:sz w:val="22"/>
          <w:szCs w:val="22"/>
          <w:lang w:val="es-AR" w:eastAsia="en-US"/>
        </w:rPr>
        <w:t xml:space="preserve">, C. y Casanova, L (2012), “Más allá de la privatización y la </w:t>
      </w:r>
      <w:proofErr w:type="spellStart"/>
      <w:r w:rsidRPr="00C564BC">
        <w:rPr>
          <w:rFonts w:eastAsia="Calibri"/>
          <w:sz w:val="22"/>
          <w:szCs w:val="22"/>
          <w:lang w:val="es-AR" w:eastAsia="en-US"/>
        </w:rPr>
        <w:t>reestatización</w:t>
      </w:r>
      <w:proofErr w:type="spellEnd"/>
      <w:r w:rsidRPr="00C564BC">
        <w:rPr>
          <w:rFonts w:eastAsia="Calibri"/>
          <w:sz w:val="22"/>
          <w:szCs w:val="22"/>
          <w:lang w:val="es-AR" w:eastAsia="en-US"/>
        </w:rPr>
        <w:t xml:space="preserve"> del sistema previsional de Argentina: cobertura, fragmentación y sostenibilidad”, en </w:t>
      </w:r>
      <w:r w:rsidRPr="00C564BC">
        <w:rPr>
          <w:rFonts w:eastAsia="Calibri"/>
          <w:i/>
          <w:sz w:val="22"/>
          <w:szCs w:val="22"/>
          <w:lang w:val="es-AR" w:eastAsia="en-US"/>
        </w:rPr>
        <w:t xml:space="preserve">Revista Desarrollo Económico, </w:t>
      </w:r>
      <w:r w:rsidRPr="00C564BC">
        <w:rPr>
          <w:rFonts w:eastAsia="Calibri"/>
          <w:sz w:val="22"/>
          <w:szCs w:val="22"/>
          <w:lang w:val="es-AR" w:eastAsia="en-US"/>
        </w:rPr>
        <w:t xml:space="preserve">vol. 52, N° 205, abril-junio 2012, pp. 3-30.  </w:t>
      </w:r>
    </w:p>
    <w:p w:rsidR="00A27A60" w:rsidRPr="00C564BC" w:rsidRDefault="00A27A60" w:rsidP="00A27A60">
      <w:pPr>
        <w:autoSpaceDE w:val="0"/>
        <w:autoSpaceDN w:val="0"/>
        <w:adjustRightInd w:val="0"/>
        <w:spacing w:after="60"/>
        <w:ind w:firstLine="142"/>
        <w:jc w:val="both"/>
        <w:rPr>
          <w:sz w:val="22"/>
          <w:szCs w:val="22"/>
        </w:rPr>
      </w:pPr>
      <w:proofErr w:type="spellStart"/>
      <w:r w:rsidRPr="00C564BC">
        <w:rPr>
          <w:sz w:val="22"/>
          <w:szCs w:val="22"/>
        </w:rPr>
        <w:t>Birdsall</w:t>
      </w:r>
      <w:proofErr w:type="spellEnd"/>
      <w:r w:rsidRPr="00C564BC">
        <w:rPr>
          <w:sz w:val="22"/>
          <w:szCs w:val="22"/>
        </w:rPr>
        <w:t xml:space="preserve">, N y De </w:t>
      </w:r>
      <w:smartTag w:uri="urn:schemas-microsoft-com:office:smarttags" w:element="PersonName">
        <w:smartTagPr>
          <w:attr w:name="ProductID" w:val="la Torre"/>
        </w:smartTagPr>
        <w:r w:rsidRPr="00C564BC">
          <w:rPr>
            <w:sz w:val="22"/>
            <w:szCs w:val="22"/>
          </w:rPr>
          <w:t>la Torre</w:t>
        </w:r>
      </w:smartTag>
      <w:r w:rsidRPr="00C564BC">
        <w:rPr>
          <w:sz w:val="22"/>
          <w:szCs w:val="22"/>
        </w:rPr>
        <w:t xml:space="preserve">, A (2001), </w:t>
      </w:r>
      <w:r w:rsidRPr="00C564BC">
        <w:rPr>
          <w:i/>
          <w:sz w:val="22"/>
          <w:szCs w:val="22"/>
        </w:rPr>
        <w:t xml:space="preserve">El Disenso de Washington. Políticas económicas para la equidad social en Latinoamérica. </w:t>
      </w:r>
      <w:r w:rsidRPr="00C564BC">
        <w:rPr>
          <w:sz w:val="22"/>
          <w:szCs w:val="22"/>
        </w:rPr>
        <w:t xml:space="preserve">Fondo Carnegie para </w:t>
      </w:r>
      <w:smartTag w:uri="urn:schemas-microsoft-com:office:smarttags" w:element="PersonName">
        <w:smartTagPr>
          <w:attr w:name="ProductID" w:val="la Paz Internacional"/>
        </w:smartTagPr>
        <w:r w:rsidRPr="00C564BC">
          <w:rPr>
            <w:sz w:val="22"/>
            <w:szCs w:val="22"/>
          </w:rPr>
          <w:t>la Paz Internacional</w:t>
        </w:r>
      </w:smartTag>
      <w:r w:rsidRPr="00C564BC">
        <w:rPr>
          <w:sz w:val="22"/>
          <w:szCs w:val="22"/>
        </w:rPr>
        <w:t xml:space="preserve"> y Diálogo Interamericano. </w:t>
      </w:r>
    </w:p>
    <w:p w:rsidR="00A27A60" w:rsidRPr="00B46241" w:rsidRDefault="00A27A60" w:rsidP="00A27A60">
      <w:pPr>
        <w:autoSpaceDE w:val="0"/>
        <w:autoSpaceDN w:val="0"/>
        <w:adjustRightInd w:val="0"/>
        <w:spacing w:after="60"/>
        <w:ind w:firstLine="142"/>
        <w:jc w:val="both"/>
        <w:rPr>
          <w:sz w:val="22"/>
          <w:szCs w:val="22"/>
          <w:lang w:val="es-AR"/>
        </w:rPr>
      </w:pPr>
      <w:proofErr w:type="spellStart"/>
      <w:r w:rsidRPr="00C564BC">
        <w:rPr>
          <w:sz w:val="22"/>
          <w:szCs w:val="22"/>
          <w:shd w:val="clear" w:color="auto" w:fill="FFFFFF"/>
        </w:rPr>
        <w:t>Birdsall</w:t>
      </w:r>
      <w:proofErr w:type="spellEnd"/>
      <w:r w:rsidRPr="00C564BC">
        <w:rPr>
          <w:sz w:val="22"/>
          <w:szCs w:val="22"/>
          <w:shd w:val="clear" w:color="auto" w:fill="FFFFFF"/>
        </w:rPr>
        <w:t xml:space="preserve">, N., De </w:t>
      </w:r>
      <w:smartTag w:uri="urn:schemas-microsoft-com:office:smarttags" w:element="PersonName">
        <w:smartTagPr>
          <w:attr w:name="ProductID" w:val="la Torre"/>
        </w:smartTagPr>
        <w:r w:rsidRPr="00C564BC">
          <w:rPr>
            <w:sz w:val="22"/>
            <w:szCs w:val="22"/>
            <w:shd w:val="clear" w:color="auto" w:fill="FFFFFF"/>
          </w:rPr>
          <w:t>la Torre</w:t>
        </w:r>
      </w:smartTag>
      <w:r w:rsidRPr="00C564BC">
        <w:rPr>
          <w:sz w:val="22"/>
          <w:szCs w:val="22"/>
          <w:shd w:val="clear" w:color="auto" w:fill="FFFFFF"/>
        </w:rPr>
        <w:t xml:space="preserve">, A., &amp; Valencia, F. (2010). </w:t>
      </w:r>
      <w:r w:rsidRPr="00C564BC">
        <w:rPr>
          <w:sz w:val="22"/>
          <w:szCs w:val="22"/>
          <w:shd w:val="clear" w:color="auto" w:fill="FFFFFF"/>
          <w:lang w:val="en-US"/>
        </w:rPr>
        <w:t xml:space="preserve">“The </w:t>
      </w:r>
      <w:smartTag w:uri="urn:schemas-microsoft-com:office:smarttags" w:element="State">
        <w:smartTag w:uri="urn:schemas-microsoft-com:office:smarttags" w:element="place">
          <w:r w:rsidRPr="00C564BC">
            <w:rPr>
              <w:sz w:val="22"/>
              <w:szCs w:val="22"/>
              <w:shd w:val="clear" w:color="auto" w:fill="FFFFFF"/>
              <w:lang w:val="en-US"/>
            </w:rPr>
            <w:t>Washington</w:t>
          </w:r>
        </w:smartTag>
      </w:smartTag>
      <w:r w:rsidRPr="00C564BC">
        <w:rPr>
          <w:sz w:val="22"/>
          <w:szCs w:val="22"/>
          <w:shd w:val="clear" w:color="auto" w:fill="FFFFFF"/>
          <w:lang w:val="en-US"/>
        </w:rPr>
        <w:t xml:space="preserve"> Consensus: </w:t>
      </w:r>
      <w:proofErr w:type="spellStart"/>
      <w:r w:rsidRPr="00C564BC">
        <w:rPr>
          <w:sz w:val="22"/>
          <w:szCs w:val="22"/>
          <w:shd w:val="clear" w:color="auto" w:fill="FFFFFF"/>
          <w:lang w:val="en-US"/>
        </w:rPr>
        <w:t>Assesssing</w:t>
      </w:r>
      <w:proofErr w:type="spellEnd"/>
      <w:r w:rsidRPr="00C564BC">
        <w:rPr>
          <w:sz w:val="22"/>
          <w:szCs w:val="22"/>
          <w:shd w:val="clear" w:color="auto" w:fill="FFFFFF"/>
          <w:lang w:val="en-US"/>
        </w:rPr>
        <w:t xml:space="preserve"> a damage brand”. </w:t>
      </w:r>
      <w:r w:rsidRPr="00B46241">
        <w:rPr>
          <w:sz w:val="22"/>
          <w:szCs w:val="22"/>
          <w:shd w:val="clear" w:color="auto" w:fill="FFFFFF"/>
          <w:lang w:val="es-AR"/>
        </w:rPr>
        <w:t xml:space="preserve">(Center </w:t>
      </w:r>
      <w:proofErr w:type="spellStart"/>
      <w:r w:rsidRPr="00B46241">
        <w:rPr>
          <w:sz w:val="22"/>
          <w:szCs w:val="22"/>
          <w:shd w:val="clear" w:color="auto" w:fill="FFFFFF"/>
          <w:lang w:val="es-AR"/>
        </w:rPr>
        <w:t>for</w:t>
      </w:r>
      <w:proofErr w:type="spellEnd"/>
      <w:r w:rsidRPr="00B46241">
        <w:rPr>
          <w:sz w:val="22"/>
          <w:szCs w:val="22"/>
          <w:shd w:val="clear" w:color="auto" w:fill="FFFFFF"/>
          <w:lang w:val="es-AR"/>
        </w:rPr>
        <w:t xml:space="preserve"> Global </w:t>
      </w:r>
      <w:proofErr w:type="spellStart"/>
      <w:r w:rsidRPr="00B46241">
        <w:rPr>
          <w:sz w:val="22"/>
          <w:szCs w:val="22"/>
          <w:shd w:val="clear" w:color="auto" w:fill="FFFFFF"/>
          <w:lang w:val="es-AR"/>
        </w:rPr>
        <w:t>Development</w:t>
      </w:r>
      <w:proofErr w:type="spellEnd"/>
      <w:r w:rsidRPr="00B46241">
        <w:rPr>
          <w:sz w:val="22"/>
          <w:szCs w:val="22"/>
          <w:shd w:val="clear" w:color="auto" w:fill="FFFFFF"/>
          <w:lang w:val="es-AR"/>
        </w:rPr>
        <w:t xml:space="preserve">, Ed.) </w:t>
      </w:r>
      <w:proofErr w:type="spellStart"/>
      <w:r w:rsidRPr="00B46241">
        <w:rPr>
          <w:sz w:val="22"/>
          <w:szCs w:val="22"/>
          <w:shd w:val="clear" w:color="auto" w:fill="FFFFFF"/>
          <w:lang w:val="es-AR"/>
        </w:rPr>
        <w:t>Working</w:t>
      </w:r>
      <w:proofErr w:type="spellEnd"/>
      <w:r w:rsidRPr="00B46241">
        <w:rPr>
          <w:sz w:val="22"/>
          <w:szCs w:val="22"/>
          <w:shd w:val="clear" w:color="auto" w:fill="FFFFFF"/>
          <w:lang w:val="es-AR"/>
        </w:rPr>
        <w:t xml:space="preserve"> </w:t>
      </w:r>
      <w:proofErr w:type="spellStart"/>
      <w:r w:rsidRPr="00B46241">
        <w:rPr>
          <w:sz w:val="22"/>
          <w:szCs w:val="22"/>
          <w:shd w:val="clear" w:color="auto" w:fill="FFFFFF"/>
          <w:lang w:val="es-AR"/>
        </w:rPr>
        <w:t>Paper</w:t>
      </w:r>
      <w:proofErr w:type="spellEnd"/>
      <w:r w:rsidRPr="00B46241">
        <w:rPr>
          <w:sz w:val="22"/>
          <w:szCs w:val="22"/>
          <w:shd w:val="clear" w:color="auto" w:fill="FFFFFF"/>
          <w:lang w:val="es-AR"/>
        </w:rPr>
        <w:t xml:space="preserve"> 213.</w:t>
      </w:r>
    </w:p>
    <w:p w:rsidR="00A27A60" w:rsidRPr="00C564BC" w:rsidRDefault="00A27A60" w:rsidP="00A27A60">
      <w:pPr>
        <w:spacing w:after="60"/>
        <w:ind w:firstLine="142"/>
        <w:jc w:val="both"/>
        <w:rPr>
          <w:sz w:val="22"/>
          <w:szCs w:val="22"/>
        </w:rPr>
      </w:pPr>
      <w:proofErr w:type="spellStart"/>
      <w:r w:rsidRPr="00C564BC">
        <w:rPr>
          <w:sz w:val="22"/>
          <w:szCs w:val="22"/>
        </w:rPr>
        <w:t>Bonvecchi</w:t>
      </w:r>
      <w:proofErr w:type="spellEnd"/>
      <w:r w:rsidRPr="00C564BC">
        <w:rPr>
          <w:sz w:val="22"/>
          <w:szCs w:val="22"/>
        </w:rPr>
        <w:t xml:space="preserve">, A. y </w:t>
      </w:r>
      <w:proofErr w:type="spellStart"/>
      <w:r w:rsidRPr="00C564BC">
        <w:rPr>
          <w:sz w:val="22"/>
          <w:szCs w:val="22"/>
        </w:rPr>
        <w:t>Smulovitz</w:t>
      </w:r>
      <w:proofErr w:type="spellEnd"/>
      <w:r w:rsidRPr="00C564BC">
        <w:rPr>
          <w:sz w:val="22"/>
          <w:szCs w:val="22"/>
        </w:rPr>
        <w:t xml:space="preserve">, C. (2008) </w:t>
      </w:r>
      <w:r w:rsidRPr="00C564BC">
        <w:rPr>
          <w:sz w:val="22"/>
          <w:szCs w:val="22"/>
          <w:shd w:val="clear" w:color="auto" w:fill="FFFFFF"/>
        </w:rPr>
        <w:t xml:space="preserve">“Atender Necesidades, Crear Oportunidades o Garantizar Derechos. Visiones sobre </w:t>
      </w:r>
      <w:smartTag w:uri="urn:schemas-microsoft-com:office:smarttags" w:element="PersonName">
        <w:smartTagPr>
          <w:attr w:name="ProductID" w:val="la Pol￭tica Social"/>
        </w:smartTagPr>
        <w:r w:rsidRPr="00C564BC">
          <w:rPr>
            <w:sz w:val="22"/>
            <w:szCs w:val="22"/>
            <w:shd w:val="clear" w:color="auto" w:fill="FFFFFF"/>
          </w:rPr>
          <w:t>la Política Social</w:t>
        </w:r>
      </w:smartTag>
      <w:r w:rsidRPr="00C564BC">
        <w:rPr>
          <w:sz w:val="22"/>
          <w:szCs w:val="22"/>
          <w:shd w:val="clear" w:color="auto" w:fill="FFFFFF"/>
        </w:rPr>
        <w:t xml:space="preserve">”, en </w:t>
      </w:r>
      <w:r w:rsidRPr="00C564BC">
        <w:rPr>
          <w:sz w:val="22"/>
          <w:szCs w:val="22"/>
        </w:rPr>
        <w:t xml:space="preserve">Cruces, G., D. </w:t>
      </w:r>
      <w:proofErr w:type="spellStart"/>
      <w:r w:rsidRPr="00C564BC">
        <w:rPr>
          <w:sz w:val="22"/>
          <w:szCs w:val="22"/>
        </w:rPr>
        <w:t>Ringold</w:t>
      </w:r>
      <w:proofErr w:type="spellEnd"/>
      <w:r w:rsidRPr="00C564BC">
        <w:rPr>
          <w:sz w:val="22"/>
          <w:szCs w:val="22"/>
        </w:rPr>
        <w:t xml:space="preserve"> y R. </w:t>
      </w:r>
      <w:proofErr w:type="spellStart"/>
      <w:r w:rsidRPr="00C564BC">
        <w:rPr>
          <w:sz w:val="22"/>
          <w:szCs w:val="22"/>
        </w:rPr>
        <w:t>Rofman</w:t>
      </w:r>
      <w:proofErr w:type="spellEnd"/>
      <w:r w:rsidRPr="00C564BC">
        <w:rPr>
          <w:sz w:val="22"/>
          <w:szCs w:val="22"/>
        </w:rPr>
        <w:t xml:space="preserve"> (</w:t>
      </w:r>
      <w:proofErr w:type="spellStart"/>
      <w:r w:rsidRPr="00C564BC">
        <w:rPr>
          <w:sz w:val="22"/>
          <w:szCs w:val="22"/>
        </w:rPr>
        <w:t>eds</w:t>
      </w:r>
      <w:proofErr w:type="spellEnd"/>
      <w:r w:rsidRPr="00C564BC">
        <w:rPr>
          <w:sz w:val="22"/>
          <w:szCs w:val="22"/>
        </w:rPr>
        <w:t>)</w:t>
      </w:r>
      <w:r w:rsidRPr="00C564BC">
        <w:rPr>
          <w:sz w:val="22"/>
          <w:szCs w:val="22"/>
          <w:shd w:val="clear" w:color="auto" w:fill="FFFFFF"/>
        </w:rPr>
        <w:t xml:space="preserve">, </w:t>
      </w:r>
      <w:r w:rsidRPr="00C564BC">
        <w:rPr>
          <w:i/>
          <w:sz w:val="22"/>
          <w:szCs w:val="22"/>
        </w:rPr>
        <w:t>Los programas sociales en Argentina hacia el Bicentenario. Visiones y perspectivas</w:t>
      </w:r>
      <w:r w:rsidRPr="00C564BC">
        <w:rPr>
          <w:sz w:val="22"/>
          <w:szCs w:val="22"/>
          <w:shd w:val="clear" w:color="auto" w:fill="FFFFFF"/>
        </w:rPr>
        <w:t>, Banco Mundial, Oficina de Buenos Aires.</w:t>
      </w:r>
    </w:p>
    <w:p w:rsidR="00A27A60" w:rsidRPr="00C564BC" w:rsidRDefault="00A27A60" w:rsidP="00A27A60">
      <w:pPr>
        <w:autoSpaceDE w:val="0"/>
        <w:autoSpaceDN w:val="0"/>
        <w:adjustRightInd w:val="0"/>
        <w:spacing w:after="60"/>
        <w:ind w:firstLine="142"/>
        <w:jc w:val="both"/>
        <w:rPr>
          <w:rFonts w:eastAsia="Calibri"/>
          <w:sz w:val="22"/>
          <w:szCs w:val="22"/>
          <w:lang w:val="es-AR" w:eastAsia="en-US"/>
        </w:rPr>
      </w:pPr>
      <w:r w:rsidRPr="00C564BC">
        <w:rPr>
          <w:rFonts w:eastAsia="Calibri"/>
          <w:sz w:val="22"/>
          <w:szCs w:val="22"/>
          <w:lang w:val="es-AR" w:eastAsia="en-US"/>
        </w:rPr>
        <w:t>CELS (Centro de Estudios Legales y Sociales) (2009), Presentación de recurso de reconsideración con recurso jerárquico en subsidio. Solicitan medidas. Recuperado de http://www.cels.org.ar/common/documentos/INDEC_recurso.pdf [consulta: 10 de mayo de 2014].</w:t>
      </w:r>
    </w:p>
    <w:p w:rsidR="00A27A60" w:rsidRPr="00C564BC" w:rsidRDefault="00A27A60" w:rsidP="00A27A60">
      <w:pPr>
        <w:pStyle w:val="Sinespaciado"/>
        <w:spacing w:after="60"/>
        <w:ind w:firstLine="142"/>
        <w:jc w:val="both"/>
        <w:rPr>
          <w:rFonts w:ascii="Times New Roman" w:hAnsi="Times New Roman"/>
        </w:rPr>
      </w:pPr>
      <w:r w:rsidRPr="00C564BC">
        <w:rPr>
          <w:rFonts w:ascii="Times New Roman" w:hAnsi="Times New Roman"/>
        </w:rPr>
        <w:t xml:space="preserve">CENDA (2010). </w:t>
      </w:r>
      <w:r w:rsidRPr="00C564BC">
        <w:rPr>
          <w:rFonts w:ascii="Times New Roman" w:hAnsi="Times New Roman"/>
          <w:i/>
        </w:rPr>
        <w:t>La anatomía del nuevo patrón de crecimiento y la encrucijada actual. La economía argentina en el período 2002-2010</w:t>
      </w:r>
      <w:r w:rsidRPr="00C564BC">
        <w:rPr>
          <w:rFonts w:ascii="Times New Roman" w:hAnsi="Times New Roman"/>
        </w:rPr>
        <w:t xml:space="preserve">, Centro de Estudios para el Desarrollo Argentino (CENDA). </w:t>
      </w:r>
    </w:p>
    <w:p w:rsidR="00A27A60" w:rsidRPr="00C564BC" w:rsidRDefault="00A27A60" w:rsidP="00A27A60">
      <w:pPr>
        <w:widowControl w:val="0"/>
        <w:tabs>
          <w:tab w:val="left" w:pos="720"/>
        </w:tabs>
        <w:autoSpaceDE w:val="0"/>
        <w:autoSpaceDN w:val="0"/>
        <w:adjustRightInd w:val="0"/>
        <w:spacing w:after="60"/>
        <w:ind w:right="49" w:firstLine="142"/>
        <w:jc w:val="both"/>
        <w:rPr>
          <w:rFonts w:eastAsia="SimSun"/>
          <w:sz w:val="22"/>
          <w:szCs w:val="22"/>
          <w:lang w:eastAsia="zh-CN"/>
        </w:rPr>
      </w:pPr>
      <w:r w:rsidRPr="00C564BC">
        <w:rPr>
          <w:rFonts w:eastAsia="SimSun"/>
          <w:sz w:val="22"/>
          <w:szCs w:val="22"/>
          <w:lang w:eastAsia="zh-CN"/>
        </w:rPr>
        <w:t xml:space="preserve">CEPAL (2010), </w:t>
      </w:r>
      <w:smartTag w:uri="urn:schemas-microsoft-com:office:smarttags" w:element="PersonName">
        <w:smartTagPr>
          <w:attr w:name="ProductID" w:val="La Hora"/>
        </w:smartTagPr>
        <w:r w:rsidRPr="00C564BC">
          <w:rPr>
            <w:rFonts w:eastAsia="SimSun"/>
            <w:i/>
            <w:sz w:val="22"/>
            <w:szCs w:val="22"/>
            <w:lang w:eastAsia="zh-CN"/>
          </w:rPr>
          <w:t>La Hora</w:t>
        </w:r>
      </w:smartTag>
      <w:r w:rsidRPr="00C564BC">
        <w:rPr>
          <w:rFonts w:eastAsia="SimSun"/>
          <w:i/>
          <w:sz w:val="22"/>
          <w:szCs w:val="22"/>
          <w:lang w:eastAsia="zh-CN"/>
        </w:rPr>
        <w:t xml:space="preserve"> de </w:t>
      </w:r>
      <w:smartTag w:uri="urn:schemas-microsoft-com:office:smarttags" w:element="PersonName">
        <w:smartTagPr>
          <w:attr w:name="ProductID" w:val="la Igualdad"/>
        </w:smartTagPr>
        <w:r w:rsidRPr="00C564BC">
          <w:rPr>
            <w:rFonts w:eastAsia="SimSun"/>
            <w:i/>
            <w:sz w:val="22"/>
            <w:szCs w:val="22"/>
            <w:lang w:eastAsia="zh-CN"/>
          </w:rPr>
          <w:t>la Igualdad</w:t>
        </w:r>
      </w:smartTag>
      <w:r w:rsidRPr="00C564BC">
        <w:rPr>
          <w:rFonts w:eastAsia="SimSun"/>
          <w:i/>
          <w:sz w:val="22"/>
          <w:szCs w:val="22"/>
          <w:lang w:eastAsia="zh-CN"/>
        </w:rPr>
        <w:t>, Heterogeneidad estructural y brechas de productividad: de la fragmentación a la convergencia</w:t>
      </w:r>
      <w:r w:rsidRPr="00C564BC">
        <w:rPr>
          <w:rFonts w:eastAsia="SimSun"/>
          <w:sz w:val="22"/>
          <w:szCs w:val="22"/>
          <w:lang w:eastAsia="zh-CN"/>
        </w:rPr>
        <w:t>, Santiago de Chile.</w:t>
      </w:r>
    </w:p>
    <w:p w:rsidR="00A27A60" w:rsidRPr="00C564BC" w:rsidRDefault="00A27A60" w:rsidP="00A27A60">
      <w:pPr>
        <w:widowControl w:val="0"/>
        <w:tabs>
          <w:tab w:val="left" w:pos="720"/>
        </w:tabs>
        <w:autoSpaceDE w:val="0"/>
        <w:autoSpaceDN w:val="0"/>
        <w:adjustRightInd w:val="0"/>
        <w:spacing w:after="60"/>
        <w:ind w:right="49" w:firstLine="142"/>
        <w:jc w:val="both"/>
        <w:rPr>
          <w:rFonts w:eastAsia="SimSun"/>
          <w:sz w:val="22"/>
          <w:szCs w:val="22"/>
          <w:lang w:eastAsia="zh-CN"/>
        </w:rPr>
      </w:pPr>
      <w:r w:rsidRPr="00C564BC">
        <w:rPr>
          <w:rFonts w:eastAsia="SimSun"/>
          <w:sz w:val="22"/>
          <w:szCs w:val="22"/>
          <w:lang w:eastAsia="zh-CN"/>
        </w:rPr>
        <w:t xml:space="preserve">CEPAL (2011), </w:t>
      </w:r>
      <w:r w:rsidRPr="00C564BC">
        <w:rPr>
          <w:rFonts w:eastAsia="SimSun"/>
          <w:i/>
          <w:sz w:val="22"/>
          <w:szCs w:val="22"/>
          <w:lang w:eastAsia="zh-CN"/>
        </w:rPr>
        <w:t>Eslabones de desigualdad. Heterogeneidad estructural, empleo y protección social</w:t>
      </w:r>
      <w:r w:rsidRPr="00C564BC">
        <w:rPr>
          <w:rFonts w:eastAsia="SimSun"/>
          <w:sz w:val="22"/>
          <w:szCs w:val="22"/>
          <w:lang w:eastAsia="zh-CN"/>
        </w:rPr>
        <w:t>, Santiago de Chile.</w:t>
      </w:r>
    </w:p>
    <w:p w:rsidR="00A27A60" w:rsidRPr="00C564BC" w:rsidRDefault="00A27A60" w:rsidP="00A27A60">
      <w:pPr>
        <w:widowControl w:val="0"/>
        <w:tabs>
          <w:tab w:val="left" w:pos="720"/>
        </w:tabs>
        <w:autoSpaceDE w:val="0"/>
        <w:autoSpaceDN w:val="0"/>
        <w:adjustRightInd w:val="0"/>
        <w:spacing w:after="60"/>
        <w:ind w:right="49" w:firstLine="142"/>
        <w:jc w:val="both"/>
        <w:rPr>
          <w:rFonts w:eastAsia="SimSun"/>
          <w:sz w:val="22"/>
          <w:szCs w:val="22"/>
          <w:lang w:eastAsia="zh-CN"/>
        </w:rPr>
      </w:pPr>
      <w:r w:rsidRPr="00C564BC">
        <w:rPr>
          <w:rFonts w:eastAsia="SimSun"/>
          <w:sz w:val="22"/>
          <w:szCs w:val="22"/>
          <w:lang w:eastAsia="zh-CN"/>
        </w:rPr>
        <w:t xml:space="preserve">CEPAL (2013), </w:t>
      </w:r>
      <w:r w:rsidRPr="00C564BC">
        <w:rPr>
          <w:rFonts w:eastAsia="SimSun"/>
          <w:i/>
          <w:sz w:val="22"/>
          <w:szCs w:val="22"/>
          <w:lang w:eastAsia="zh-CN"/>
        </w:rPr>
        <w:t>Panorama social de América Latina</w:t>
      </w:r>
      <w:r w:rsidRPr="00C564BC">
        <w:rPr>
          <w:rFonts w:eastAsia="SimSun"/>
          <w:sz w:val="22"/>
          <w:szCs w:val="22"/>
          <w:lang w:eastAsia="zh-CN"/>
        </w:rPr>
        <w:t>, Santiago de Chile.</w:t>
      </w:r>
    </w:p>
    <w:p w:rsidR="00A27A60" w:rsidRPr="00C564BC" w:rsidRDefault="00A27A60" w:rsidP="00A27A60">
      <w:pPr>
        <w:widowControl w:val="0"/>
        <w:tabs>
          <w:tab w:val="left" w:pos="720"/>
        </w:tabs>
        <w:autoSpaceDE w:val="0"/>
        <w:autoSpaceDN w:val="0"/>
        <w:adjustRightInd w:val="0"/>
        <w:spacing w:after="60"/>
        <w:ind w:right="49" w:firstLine="142"/>
        <w:jc w:val="both"/>
        <w:rPr>
          <w:rFonts w:eastAsia="SimSun"/>
          <w:sz w:val="22"/>
          <w:szCs w:val="22"/>
          <w:lang w:eastAsia="zh-CN"/>
        </w:rPr>
      </w:pPr>
      <w:r w:rsidRPr="00C564BC">
        <w:rPr>
          <w:rFonts w:eastAsia="SimSun"/>
          <w:sz w:val="22"/>
          <w:szCs w:val="22"/>
          <w:lang w:eastAsia="zh-CN"/>
        </w:rPr>
        <w:t xml:space="preserve">CEPAL (2014), </w:t>
      </w:r>
      <w:r w:rsidRPr="00C564BC">
        <w:rPr>
          <w:rFonts w:eastAsia="SimSun"/>
          <w:i/>
          <w:sz w:val="22"/>
          <w:szCs w:val="22"/>
          <w:lang w:eastAsia="zh-CN"/>
        </w:rPr>
        <w:t>Pactos para la igualdad. Hacia un futuro sostenible</w:t>
      </w:r>
      <w:r w:rsidRPr="00C564BC">
        <w:rPr>
          <w:rFonts w:eastAsia="SimSun"/>
          <w:sz w:val="22"/>
          <w:szCs w:val="22"/>
          <w:lang w:eastAsia="zh-CN"/>
        </w:rPr>
        <w:t>, Santiago de Chile.</w:t>
      </w:r>
    </w:p>
    <w:p w:rsidR="00A27A60" w:rsidRPr="00C564BC" w:rsidRDefault="00A27A60" w:rsidP="00A27A60">
      <w:pPr>
        <w:pStyle w:val="Sinespaciado"/>
        <w:spacing w:after="60"/>
        <w:ind w:firstLine="142"/>
        <w:jc w:val="both"/>
        <w:rPr>
          <w:rFonts w:ascii="Times New Roman" w:hAnsi="Times New Roman"/>
        </w:rPr>
      </w:pPr>
      <w:r w:rsidRPr="00C564BC">
        <w:rPr>
          <w:rFonts w:ascii="Times New Roman" w:hAnsi="Times New Roman"/>
        </w:rPr>
        <w:lastRenderedPageBreak/>
        <w:t xml:space="preserve">CIFRA (2011). </w:t>
      </w:r>
      <w:r w:rsidRPr="00C564BC">
        <w:rPr>
          <w:rFonts w:ascii="Times New Roman" w:hAnsi="Times New Roman"/>
          <w:i/>
        </w:rPr>
        <w:t>El nuevo patrón de crecimiento. Argentina 2002-2010. Informe de Coyuntura N° 7</w:t>
      </w:r>
      <w:r w:rsidRPr="00C564BC">
        <w:rPr>
          <w:rFonts w:ascii="Times New Roman" w:hAnsi="Times New Roman"/>
        </w:rPr>
        <w:t xml:space="preserve">. Centro de Investigación y Formación de </w:t>
      </w:r>
      <w:smartTag w:uri="urn:schemas-microsoft-com:office:smarttags" w:element="PersonName">
        <w:smartTagPr>
          <w:attr w:name="ProductID" w:val="la Rep￺blica Argentina-CIFRA"/>
        </w:smartTagPr>
        <w:r w:rsidRPr="00C564BC">
          <w:rPr>
            <w:rFonts w:ascii="Times New Roman" w:hAnsi="Times New Roman"/>
          </w:rPr>
          <w:t>la República Argentina-CIFRA</w:t>
        </w:r>
      </w:smartTag>
    </w:p>
    <w:p w:rsidR="00A27A60" w:rsidRPr="00C564BC" w:rsidRDefault="00A27A60" w:rsidP="00A27A60">
      <w:pPr>
        <w:autoSpaceDE w:val="0"/>
        <w:autoSpaceDN w:val="0"/>
        <w:adjustRightInd w:val="0"/>
        <w:spacing w:after="60"/>
        <w:ind w:firstLine="142"/>
        <w:jc w:val="both"/>
        <w:rPr>
          <w:sz w:val="22"/>
          <w:szCs w:val="22"/>
        </w:rPr>
      </w:pPr>
      <w:r w:rsidRPr="00C564BC">
        <w:rPr>
          <w:sz w:val="22"/>
          <w:szCs w:val="22"/>
        </w:rPr>
        <w:t>Cortés, F. (2013) “Medio siglo de desigualdad en el ingreso en México", en </w:t>
      </w:r>
      <w:r w:rsidRPr="00C564BC">
        <w:rPr>
          <w:i/>
          <w:sz w:val="22"/>
          <w:szCs w:val="22"/>
        </w:rPr>
        <w:t>Economía UNAM</w:t>
      </w:r>
      <w:r w:rsidRPr="00C564BC">
        <w:rPr>
          <w:sz w:val="22"/>
          <w:szCs w:val="22"/>
        </w:rPr>
        <w:t xml:space="preserve">, vol. 10. Facultad de Economía UNAM, pp. 136. </w:t>
      </w:r>
    </w:p>
    <w:p w:rsidR="00A27A60" w:rsidRPr="00C564BC" w:rsidRDefault="00A27A60" w:rsidP="00A27A60">
      <w:pPr>
        <w:spacing w:after="60"/>
        <w:ind w:firstLine="142"/>
        <w:jc w:val="both"/>
        <w:rPr>
          <w:rFonts w:eastAsia="Calibri"/>
          <w:sz w:val="22"/>
          <w:szCs w:val="22"/>
          <w:lang w:val="es-AR" w:eastAsia="en-US"/>
        </w:rPr>
      </w:pPr>
      <w:r w:rsidRPr="00C564BC">
        <w:rPr>
          <w:rFonts w:eastAsia="Calibri"/>
          <w:sz w:val="22"/>
          <w:szCs w:val="22"/>
          <w:lang w:val="es-AR" w:eastAsia="en-US"/>
        </w:rPr>
        <w:t xml:space="preserve">Cortés, F. (2014). “Gasto Social y pobreza”, </w:t>
      </w:r>
      <w:r w:rsidRPr="00C564BC">
        <w:rPr>
          <w:rFonts w:eastAsia="Calibri"/>
          <w:i/>
          <w:sz w:val="22"/>
          <w:szCs w:val="22"/>
          <w:lang w:val="es-AR" w:eastAsia="en-US"/>
        </w:rPr>
        <w:t>Documento de Trabajo N° 9</w:t>
      </w:r>
      <w:r w:rsidRPr="00C564BC">
        <w:rPr>
          <w:rFonts w:eastAsia="Calibri"/>
          <w:sz w:val="22"/>
          <w:szCs w:val="22"/>
          <w:lang w:val="es-AR" w:eastAsia="en-US"/>
        </w:rPr>
        <w:t>, Programa Universitario de Estudios del Desarrollo, Universidad Nacional Autónoma de México. Anexo Metodológico a cargo de Enrique Minor.</w:t>
      </w:r>
    </w:p>
    <w:p w:rsidR="0009291A" w:rsidRPr="00C564BC" w:rsidRDefault="0009291A" w:rsidP="00A27A60">
      <w:pPr>
        <w:spacing w:after="60"/>
        <w:ind w:firstLine="142"/>
        <w:jc w:val="both"/>
        <w:rPr>
          <w:rFonts w:eastAsia="Calibri"/>
          <w:bCs/>
          <w:sz w:val="22"/>
          <w:szCs w:val="22"/>
          <w:lang w:val="es-AR" w:eastAsia="en-US"/>
        </w:rPr>
      </w:pPr>
      <w:r w:rsidRPr="00C564BC">
        <w:rPr>
          <w:rFonts w:eastAsia="Calibri"/>
          <w:bCs/>
          <w:sz w:val="22"/>
          <w:szCs w:val="22"/>
          <w:lang w:val="es-AR" w:eastAsia="en-US"/>
        </w:rPr>
        <w:t xml:space="preserve">Cortés, F. y Cuéllar, O. (1990), Crisis y reproducción social. Los comerciantes del sector informal (México: FLACSO y M.A. </w:t>
      </w:r>
      <w:proofErr w:type="spellStart"/>
      <w:r w:rsidRPr="00C564BC">
        <w:rPr>
          <w:rFonts w:eastAsia="Calibri"/>
          <w:bCs/>
          <w:sz w:val="22"/>
          <w:szCs w:val="22"/>
          <w:lang w:val="es-AR" w:eastAsia="en-US"/>
        </w:rPr>
        <w:t>Porrua</w:t>
      </w:r>
      <w:proofErr w:type="spellEnd"/>
      <w:r w:rsidRPr="00C564BC">
        <w:rPr>
          <w:rFonts w:eastAsia="Calibri"/>
          <w:bCs/>
          <w:sz w:val="22"/>
          <w:szCs w:val="22"/>
          <w:lang w:val="es-AR" w:eastAsia="en-US"/>
        </w:rPr>
        <w:t xml:space="preserve"> Editores).</w:t>
      </w:r>
    </w:p>
    <w:p w:rsidR="00A27A60" w:rsidRPr="00C564BC" w:rsidRDefault="00A27A60" w:rsidP="00A27A60">
      <w:pPr>
        <w:spacing w:after="60"/>
        <w:ind w:firstLine="142"/>
        <w:jc w:val="both"/>
        <w:rPr>
          <w:rFonts w:eastAsia="Calibri"/>
          <w:bCs/>
          <w:sz w:val="22"/>
          <w:szCs w:val="22"/>
          <w:lang w:val="es-AR" w:eastAsia="en-US"/>
        </w:rPr>
      </w:pPr>
      <w:r w:rsidRPr="00C564BC">
        <w:rPr>
          <w:rFonts w:eastAsia="Calibri"/>
          <w:bCs/>
          <w:sz w:val="22"/>
          <w:szCs w:val="22"/>
          <w:lang w:val="es-AR" w:eastAsia="en-US"/>
        </w:rPr>
        <w:t xml:space="preserve">Cortés, R., Groisman, F. y </w:t>
      </w:r>
      <w:proofErr w:type="spellStart"/>
      <w:r w:rsidRPr="00C564BC">
        <w:rPr>
          <w:rFonts w:eastAsia="Calibri"/>
          <w:bCs/>
          <w:sz w:val="22"/>
          <w:szCs w:val="22"/>
          <w:lang w:val="es-AR" w:eastAsia="en-US"/>
        </w:rPr>
        <w:t>Hoswoszki</w:t>
      </w:r>
      <w:proofErr w:type="spellEnd"/>
      <w:r w:rsidRPr="00C564BC">
        <w:rPr>
          <w:rFonts w:eastAsia="Calibri"/>
          <w:bCs/>
          <w:sz w:val="22"/>
          <w:szCs w:val="22"/>
          <w:lang w:val="es-AR" w:eastAsia="en-US"/>
        </w:rPr>
        <w:t xml:space="preserve">, A. (2003), “Transiciones ocupacionales: el caso del Plan Jefes y Jefas”, ponencia presentada en el 6º Congreso Nacional de Estudios del Trabajo de </w:t>
      </w:r>
      <w:smartTag w:uri="urn:schemas-microsoft-com:office:smarttags" w:element="PersonName">
        <w:smartTagPr>
          <w:attr w:name="ProductID" w:val="la Asociaci￳n Argentina"/>
        </w:smartTagPr>
        <w:r w:rsidRPr="00C564BC">
          <w:rPr>
            <w:rFonts w:eastAsia="Calibri"/>
            <w:bCs/>
            <w:sz w:val="22"/>
            <w:szCs w:val="22"/>
            <w:lang w:val="es-AR" w:eastAsia="en-US"/>
          </w:rPr>
          <w:t>la Asociación Argentina</w:t>
        </w:r>
      </w:smartTag>
      <w:r w:rsidRPr="00C564BC">
        <w:rPr>
          <w:rFonts w:eastAsia="Calibri"/>
          <w:bCs/>
          <w:sz w:val="22"/>
          <w:szCs w:val="22"/>
          <w:lang w:val="es-AR" w:eastAsia="en-US"/>
        </w:rPr>
        <w:t xml:space="preserve"> de Especialistas en Estadios del Trabajo. ASET, Buenos Aires.</w:t>
      </w:r>
    </w:p>
    <w:p w:rsidR="00A27A60" w:rsidRPr="00C564BC" w:rsidRDefault="00A27A60" w:rsidP="00A27A60">
      <w:pPr>
        <w:spacing w:after="60"/>
        <w:ind w:firstLine="142"/>
        <w:jc w:val="both"/>
        <w:rPr>
          <w:sz w:val="22"/>
          <w:szCs w:val="22"/>
        </w:rPr>
      </w:pPr>
      <w:proofErr w:type="spellStart"/>
      <w:r w:rsidRPr="00C564BC">
        <w:rPr>
          <w:sz w:val="22"/>
          <w:szCs w:val="22"/>
        </w:rPr>
        <w:t>Damill</w:t>
      </w:r>
      <w:proofErr w:type="spellEnd"/>
      <w:r w:rsidRPr="00C564BC">
        <w:rPr>
          <w:sz w:val="22"/>
          <w:szCs w:val="22"/>
        </w:rPr>
        <w:t xml:space="preserve">, M. y R. </w:t>
      </w:r>
      <w:proofErr w:type="spellStart"/>
      <w:r w:rsidRPr="00C564BC">
        <w:rPr>
          <w:sz w:val="22"/>
          <w:szCs w:val="22"/>
        </w:rPr>
        <w:t>Frenkel</w:t>
      </w:r>
      <w:proofErr w:type="spellEnd"/>
      <w:r w:rsidRPr="00C564BC">
        <w:rPr>
          <w:sz w:val="22"/>
          <w:szCs w:val="22"/>
        </w:rPr>
        <w:t xml:space="preserve"> (2006) El mercado de trabajo argentino en la globalización financiera, </w:t>
      </w:r>
      <w:r w:rsidRPr="00C564BC">
        <w:rPr>
          <w:i/>
          <w:sz w:val="22"/>
          <w:szCs w:val="22"/>
        </w:rPr>
        <w:t xml:space="preserve">Revista de </w:t>
      </w:r>
      <w:smartTag w:uri="urn:schemas-microsoft-com:office:smarttags" w:element="PersonName">
        <w:smartTagPr>
          <w:attr w:name="ProductID" w:val="la Cepal N"/>
        </w:smartTagPr>
        <w:r w:rsidRPr="00C564BC">
          <w:rPr>
            <w:i/>
            <w:sz w:val="22"/>
            <w:szCs w:val="22"/>
          </w:rPr>
          <w:t xml:space="preserve">la </w:t>
        </w:r>
        <w:proofErr w:type="spellStart"/>
        <w:r w:rsidRPr="00C564BC">
          <w:rPr>
            <w:i/>
            <w:sz w:val="22"/>
            <w:szCs w:val="22"/>
          </w:rPr>
          <w:t>Cepal</w:t>
        </w:r>
        <w:proofErr w:type="spellEnd"/>
        <w:r w:rsidRPr="00C564BC">
          <w:rPr>
            <w:i/>
            <w:sz w:val="22"/>
            <w:szCs w:val="22"/>
          </w:rPr>
          <w:t xml:space="preserve"> </w:t>
        </w:r>
        <w:r w:rsidRPr="00C564BC">
          <w:rPr>
            <w:sz w:val="22"/>
            <w:szCs w:val="22"/>
          </w:rPr>
          <w:t>N</w:t>
        </w:r>
      </w:smartTag>
      <w:r w:rsidRPr="00C564BC">
        <w:rPr>
          <w:sz w:val="22"/>
          <w:szCs w:val="22"/>
        </w:rPr>
        <w:t>º 88, Santiago de Chile.</w:t>
      </w:r>
    </w:p>
    <w:p w:rsidR="00A27A60" w:rsidRPr="00C564BC" w:rsidRDefault="00A27A60" w:rsidP="00A27A60">
      <w:pPr>
        <w:spacing w:after="60"/>
        <w:ind w:firstLine="142"/>
        <w:jc w:val="both"/>
        <w:rPr>
          <w:sz w:val="22"/>
          <w:szCs w:val="22"/>
          <w:lang w:val="en-US"/>
        </w:rPr>
      </w:pPr>
      <w:proofErr w:type="spellStart"/>
      <w:r w:rsidRPr="00C564BC">
        <w:rPr>
          <w:sz w:val="22"/>
          <w:szCs w:val="22"/>
          <w:lang w:val="en-US"/>
        </w:rPr>
        <w:t>Damill</w:t>
      </w:r>
      <w:proofErr w:type="spellEnd"/>
      <w:r w:rsidRPr="00C564BC">
        <w:rPr>
          <w:sz w:val="22"/>
          <w:szCs w:val="22"/>
          <w:lang w:val="en-US"/>
        </w:rPr>
        <w:t xml:space="preserve">, M.,  </w:t>
      </w:r>
      <w:proofErr w:type="spellStart"/>
      <w:r w:rsidRPr="00C564BC">
        <w:rPr>
          <w:sz w:val="22"/>
          <w:szCs w:val="22"/>
          <w:lang w:val="en-US"/>
        </w:rPr>
        <w:t>Frenkel</w:t>
      </w:r>
      <w:proofErr w:type="spellEnd"/>
      <w:r w:rsidRPr="00C564BC">
        <w:rPr>
          <w:sz w:val="22"/>
          <w:szCs w:val="22"/>
          <w:lang w:val="en-US"/>
        </w:rPr>
        <w:t>, R. y Maurizio, R. (2011)</w:t>
      </w:r>
      <w:r w:rsidRPr="00C564BC">
        <w:rPr>
          <w:sz w:val="22"/>
          <w:szCs w:val="22"/>
          <w:shd w:val="clear" w:color="auto" w:fill="FFFFFF"/>
          <w:lang w:val="en-US"/>
        </w:rPr>
        <w:t xml:space="preserve"> “Macroeconomic policy for full and productive employment and decent work for all: An analysis of the Argentine experience</w:t>
      </w:r>
      <w:r w:rsidRPr="00C564BC">
        <w:rPr>
          <w:sz w:val="22"/>
          <w:szCs w:val="22"/>
          <w:lang w:val="en-US"/>
        </w:rPr>
        <w:t xml:space="preserve">”, </w:t>
      </w:r>
      <w:r w:rsidRPr="00C564BC">
        <w:rPr>
          <w:i/>
          <w:sz w:val="22"/>
          <w:szCs w:val="22"/>
          <w:lang w:val="en-US"/>
        </w:rPr>
        <w:t>Employment Working Paper</w:t>
      </w:r>
      <w:r w:rsidRPr="00C564BC">
        <w:rPr>
          <w:sz w:val="22"/>
          <w:szCs w:val="22"/>
          <w:lang w:val="en-US"/>
        </w:rPr>
        <w:t>, OIT.</w:t>
      </w:r>
    </w:p>
    <w:p w:rsidR="00A27A60" w:rsidRPr="00C564BC" w:rsidRDefault="00A27A60" w:rsidP="00A27A60">
      <w:pPr>
        <w:spacing w:after="60"/>
        <w:ind w:firstLine="142"/>
        <w:jc w:val="both"/>
        <w:rPr>
          <w:rFonts w:eastAsia="Calibri"/>
          <w:sz w:val="22"/>
          <w:szCs w:val="22"/>
          <w:lang w:val="es-AR" w:eastAsia="en-US"/>
        </w:rPr>
      </w:pPr>
      <w:r w:rsidRPr="00C564BC">
        <w:rPr>
          <w:rFonts w:eastAsia="Calibri"/>
          <w:sz w:val="22"/>
          <w:szCs w:val="22"/>
          <w:lang w:val="es-AR" w:eastAsia="en-US"/>
        </w:rPr>
        <w:t xml:space="preserve">Danani, C y Beccaria, A (2011), “La (contra)reforma previsional argentina 2004-2008: aspectos institucionales y político-culturales del proceso de transformación de la protección”. En Danani, C y S. </w:t>
      </w:r>
      <w:proofErr w:type="spellStart"/>
      <w:r w:rsidRPr="00C564BC">
        <w:rPr>
          <w:rFonts w:eastAsia="Calibri"/>
          <w:sz w:val="22"/>
          <w:szCs w:val="22"/>
          <w:lang w:val="es-AR" w:eastAsia="en-US"/>
        </w:rPr>
        <w:t>Hintze</w:t>
      </w:r>
      <w:proofErr w:type="spellEnd"/>
      <w:r w:rsidRPr="00C564BC">
        <w:rPr>
          <w:rFonts w:eastAsia="Calibri"/>
          <w:sz w:val="22"/>
          <w:szCs w:val="22"/>
          <w:lang w:val="es-AR" w:eastAsia="en-US"/>
        </w:rPr>
        <w:t xml:space="preserve"> (</w:t>
      </w:r>
      <w:proofErr w:type="spellStart"/>
      <w:r w:rsidRPr="00C564BC">
        <w:rPr>
          <w:rFonts w:eastAsia="Calibri"/>
          <w:sz w:val="22"/>
          <w:szCs w:val="22"/>
          <w:lang w:val="es-AR" w:eastAsia="en-US"/>
        </w:rPr>
        <w:t>coords</w:t>
      </w:r>
      <w:proofErr w:type="spellEnd"/>
      <w:r w:rsidRPr="00C564BC">
        <w:rPr>
          <w:rFonts w:eastAsia="Calibri"/>
          <w:sz w:val="22"/>
          <w:szCs w:val="22"/>
          <w:lang w:val="es-AR" w:eastAsia="en-US"/>
        </w:rPr>
        <w:t xml:space="preserve">), </w:t>
      </w:r>
      <w:r w:rsidRPr="00C564BC">
        <w:rPr>
          <w:rFonts w:eastAsia="Calibri"/>
          <w:i/>
          <w:sz w:val="22"/>
          <w:szCs w:val="22"/>
          <w:lang w:val="es-AR" w:eastAsia="en-US"/>
        </w:rPr>
        <w:t xml:space="preserve">Protecciones y desprotecciones. La seguridad social en </w:t>
      </w:r>
      <w:smartTag w:uri="urn:schemas-microsoft-com:office:smarttags" w:element="PersonName">
        <w:smartTagPr>
          <w:attr w:name="ProductID" w:val="la Argentina"/>
        </w:smartTagPr>
        <w:r w:rsidRPr="00C564BC">
          <w:rPr>
            <w:rFonts w:eastAsia="Calibri"/>
            <w:i/>
            <w:sz w:val="22"/>
            <w:szCs w:val="22"/>
            <w:lang w:val="es-AR" w:eastAsia="en-US"/>
          </w:rPr>
          <w:t>la Argentina</w:t>
        </w:r>
      </w:smartTag>
      <w:r w:rsidRPr="00C564BC">
        <w:rPr>
          <w:rFonts w:eastAsia="Calibri"/>
          <w:i/>
          <w:sz w:val="22"/>
          <w:szCs w:val="22"/>
          <w:lang w:val="es-AR" w:eastAsia="en-US"/>
        </w:rPr>
        <w:t xml:space="preserve"> 1990-2010.</w:t>
      </w:r>
      <w:r w:rsidRPr="00C564BC">
        <w:rPr>
          <w:rFonts w:eastAsia="Calibri"/>
          <w:sz w:val="22"/>
          <w:szCs w:val="22"/>
          <w:lang w:val="es-AR" w:eastAsia="en-US"/>
        </w:rPr>
        <w:t xml:space="preserve"> (Págs. 103-151). Universidad Nacional de General Sarmiento. Colección Política, políticas y sociedad.  </w:t>
      </w:r>
    </w:p>
    <w:p w:rsidR="00A27A60" w:rsidRPr="00C564BC" w:rsidRDefault="00A27A60" w:rsidP="00A27A60">
      <w:pPr>
        <w:spacing w:after="60"/>
        <w:ind w:firstLine="142"/>
        <w:jc w:val="both"/>
        <w:rPr>
          <w:sz w:val="22"/>
          <w:szCs w:val="22"/>
        </w:rPr>
      </w:pPr>
      <w:r w:rsidRPr="00C564BC">
        <w:rPr>
          <w:sz w:val="22"/>
          <w:szCs w:val="22"/>
        </w:rPr>
        <w:t xml:space="preserve">Danani, C. (2003): “Trabajo, política y políticas sociales: ¿hay algo de particular en el caso argentino?”. En </w:t>
      </w:r>
      <w:proofErr w:type="spellStart"/>
      <w:r w:rsidRPr="00C564BC">
        <w:rPr>
          <w:sz w:val="22"/>
          <w:szCs w:val="22"/>
        </w:rPr>
        <w:t>Lindemboim</w:t>
      </w:r>
      <w:proofErr w:type="spellEnd"/>
      <w:r w:rsidRPr="00C564BC">
        <w:rPr>
          <w:sz w:val="22"/>
          <w:szCs w:val="22"/>
        </w:rPr>
        <w:t>, J. y Danani, C. (</w:t>
      </w:r>
      <w:proofErr w:type="spellStart"/>
      <w:r w:rsidRPr="00C564BC">
        <w:rPr>
          <w:sz w:val="22"/>
          <w:szCs w:val="22"/>
        </w:rPr>
        <w:t>coords</w:t>
      </w:r>
      <w:proofErr w:type="spellEnd"/>
      <w:r w:rsidRPr="00C564BC">
        <w:rPr>
          <w:sz w:val="22"/>
          <w:szCs w:val="22"/>
        </w:rPr>
        <w:t xml:space="preserve">.): </w:t>
      </w:r>
      <w:r w:rsidRPr="00C564BC">
        <w:rPr>
          <w:i/>
          <w:sz w:val="22"/>
          <w:szCs w:val="22"/>
        </w:rPr>
        <w:t>Entre el trabajo y la política. Las reformas de las política sociales argentinas en perspectiva comparada</w:t>
      </w:r>
      <w:r w:rsidRPr="00C564BC">
        <w:rPr>
          <w:sz w:val="22"/>
          <w:szCs w:val="22"/>
        </w:rPr>
        <w:t xml:space="preserve">. Buenos Aires: </w:t>
      </w:r>
      <w:proofErr w:type="spellStart"/>
      <w:r w:rsidRPr="00C564BC">
        <w:rPr>
          <w:sz w:val="22"/>
          <w:szCs w:val="22"/>
        </w:rPr>
        <w:t>Biblos</w:t>
      </w:r>
      <w:proofErr w:type="spellEnd"/>
      <w:r w:rsidRPr="00C564BC">
        <w:rPr>
          <w:sz w:val="22"/>
          <w:szCs w:val="22"/>
        </w:rPr>
        <w:t>.</w:t>
      </w:r>
    </w:p>
    <w:p w:rsidR="00A27A60" w:rsidRPr="00C564BC" w:rsidRDefault="00A27A60" w:rsidP="00A27A60">
      <w:pPr>
        <w:spacing w:after="60"/>
        <w:ind w:firstLine="142"/>
        <w:jc w:val="both"/>
        <w:rPr>
          <w:sz w:val="22"/>
          <w:szCs w:val="22"/>
        </w:rPr>
      </w:pPr>
      <w:r w:rsidRPr="00C564BC">
        <w:rPr>
          <w:sz w:val="22"/>
          <w:szCs w:val="22"/>
          <w:lang w:val="es-AR"/>
        </w:rPr>
        <w:t xml:space="preserve">Danani, C. y Grassi, E.: “Ni error ni omisión. </w:t>
      </w:r>
      <w:r w:rsidRPr="00C564BC">
        <w:rPr>
          <w:sz w:val="22"/>
          <w:szCs w:val="22"/>
        </w:rPr>
        <w:t>El papel de la política de estado en la producción de las condiciones de vida y de trabajo”. En Lindenboim J. (</w:t>
      </w:r>
      <w:proofErr w:type="spellStart"/>
      <w:r w:rsidRPr="00C564BC">
        <w:rPr>
          <w:sz w:val="22"/>
          <w:szCs w:val="22"/>
        </w:rPr>
        <w:t>comp.</w:t>
      </w:r>
      <w:proofErr w:type="spellEnd"/>
      <w:r w:rsidRPr="00C564BC">
        <w:rPr>
          <w:sz w:val="22"/>
          <w:szCs w:val="22"/>
        </w:rPr>
        <w:t xml:space="preserve">) </w:t>
      </w:r>
      <w:r w:rsidRPr="00C564BC">
        <w:rPr>
          <w:i/>
          <w:sz w:val="22"/>
          <w:szCs w:val="22"/>
        </w:rPr>
        <w:t>Trabajo, ingresos y políticas en Argentina. Contribuciones para pensar el siglo XXI</w:t>
      </w:r>
      <w:r w:rsidRPr="00C564BC">
        <w:rPr>
          <w:sz w:val="22"/>
          <w:szCs w:val="22"/>
        </w:rPr>
        <w:t xml:space="preserve">. Buenos Aires, EUDEBA. </w:t>
      </w:r>
    </w:p>
    <w:p w:rsidR="00A27A60" w:rsidRPr="00C564BC" w:rsidRDefault="00A27A60" w:rsidP="00A27A60">
      <w:pPr>
        <w:spacing w:after="60"/>
        <w:ind w:firstLine="142"/>
        <w:jc w:val="both"/>
        <w:rPr>
          <w:rFonts w:eastAsia="Calibri"/>
          <w:sz w:val="22"/>
          <w:szCs w:val="22"/>
          <w:lang w:eastAsia="en-US"/>
        </w:rPr>
      </w:pPr>
      <w:r w:rsidRPr="00C564BC">
        <w:rPr>
          <w:rFonts w:eastAsia="Calibri"/>
          <w:sz w:val="22"/>
          <w:szCs w:val="22"/>
          <w:lang w:val="es-AR" w:eastAsia="en-US"/>
        </w:rPr>
        <w:t xml:space="preserve">Danani, C., y </w:t>
      </w:r>
      <w:proofErr w:type="spellStart"/>
      <w:r w:rsidRPr="00C564BC">
        <w:rPr>
          <w:rFonts w:eastAsia="Calibri"/>
          <w:sz w:val="22"/>
          <w:szCs w:val="22"/>
          <w:lang w:val="es-AR" w:eastAsia="en-US"/>
        </w:rPr>
        <w:t>Hintze</w:t>
      </w:r>
      <w:proofErr w:type="spellEnd"/>
      <w:r w:rsidRPr="00C564BC">
        <w:rPr>
          <w:rFonts w:eastAsia="Calibri"/>
          <w:sz w:val="22"/>
          <w:szCs w:val="22"/>
          <w:lang w:val="es-AR" w:eastAsia="en-US"/>
        </w:rPr>
        <w:t xml:space="preserve">, S. (2011).  “Introducción. Protección y seguridad social para distintas categorías de trabajadores: definiciones conceptuales, propuestas de abordaje e intento de interpretación”. En: Danani, C y S. </w:t>
      </w:r>
      <w:proofErr w:type="spellStart"/>
      <w:r w:rsidRPr="00C564BC">
        <w:rPr>
          <w:rFonts w:eastAsia="Calibri"/>
          <w:sz w:val="22"/>
          <w:szCs w:val="22"/>
          <w:lang w:val="es-AR" w:eastAsia="en-US"/>
        </w:rPr>
        <w:t>Hintze</w:t>
      </w:r>
      <w:proofErr w:type="spellEnd"/>
      <w:r w:rsidRPr="00C564BC">
        <w:rPr>
          <w:rFonts w:eastAsia="Calibri"/>
          <w:sz w:val="22"/>
          <w:szCs w:val="22"/>
          <w:lang w:val="es-AR" w:eastAsia="en-US"/>
        </w:rPr>
        <w:t xml:space="preserve"> (</w:t>
      </w:r>
      <w:proofErr w:type="spellStart"/>
      <w:r w:rsidRPr="00C564BC">
        <w:rPr>
          <w:rFonts w:eastAsia="Calibri"/>
          <w:sz w:val="22"/>
          <w:szCs w:val="22"/>
          <w:lang w:val="es-AR" w:eastAsia="en-US"/>
        </w:rPr>
        <w:t>coords</w:t>
      </w:r>
      <w:proofErr w:type="spellEnd"/>
      <w:r w:rsidRPr="00C564BC">
        <w:rPr>
          <w:rFonts w:eastAsia="Calibri"/>
          <w:sz w:val="22"/>
          <w:szCs w:val="22"/>
          <w:lang w:val="es-AR" w:eastAsia="en-US"/>
        </w:rPr>
        <w:t xml:space="preserve">), </w:t>
      </w:r>
      <w:r w:rsidRPr="00C564BC">
        <w:rPr>
          <w:rFonts w:eastAsia="Calibri"/>
          <w:i/>
          <w:sz w:val="22"/>
          <w:szCs w:val="22"/>
          <w:lang w:val="es-AR" w:eastAsia="en-US"/>
        </w:rPr>
        <w:t xml:space="preserve">Protecciones y desprotecciones. La seguridad social en </w:t>
      </w:r>
      <w:smartTag w:uri="urn:schemas-microsoft-com:office:smarttags" w:element="PersonName">
        <w:smartTagPr>
          <w:attr w:name="ProductID" w:val="la Argentina"/>
        </w:smartTagPr>
        <w:r w:rsidRPr="00C564BC">
          <w:rPr>
            <w:rFonts w:eastAsia="Calibri"/>
            <w:i/>
            <w:sz w:val="22"/>
            <w:szCs w:val="22"/>
            <w:lang w:val="es-AR" w:eastAsia="en-US"/>
          </w:rPr>
          <w:t>la Argentina</w:t>
        </w:r>
      </w:smartTag>
      <w:r w:rsidRPr="00C564BC">
        <w:rPr>
          <w:rFonts w:eastAsia="Calibri"/>
          <w:i/>
          <w:sz w:val="22"/>
          <w:szCs w:val="22"/>
          <w:lang w:val="es-AR" w:eastAsia="en-US"/>
        </w:rPr>
        <w:t xml:space="preserve"> 1990-2010.</w:t>
      </w:r>
      <w:r w:rsidRPr="00C564BC">
        <w:rPr>
          <w:rFonts w:eastAsia="Calibri"/>
          <w:sz w:val="22"/>
          <w:szCs w:val="22"/>
          <w:lang w:val="es-AR" w:eastAsia="en-US"/>
        </w:rPr>
        <w:t xml:space="preserve"> Los Polvorines: Universidad Nacional de General Sarmiento. </w:t>
      </w:r>
    </w:p>
    <w:p w:rsidR="00A27A60" w:rsidRPr="00C564BC" w:rsidRDefault="00A27A60" w:rsidP="00A27A60">
      <w:pPr>
        <w:spacing w:after="60"/>
        <w:ind w:firstLine="142"/>
        <w:jc w:val="both"/>
        <w:rPr>
          <w:rFonts w:eastAsia="Calibri"/>
          <w:sz w:val="22"/>
          <w:szCs w:val="22"/>
          <w:lang w:val="en-US" w:eastAsia="en-US"/>
        </w:rPr>
      </w:pPr>
      <w:proofErr w:type="spellStart"/>
      <w:r w:rsidRPr="00C564BC">
        <w:rPr>
          <w:rFonts w:eastAsia="Calibri"/>
          <w:sz w:val="22"/>
          <w:szCs w:val="22"/>
          <w:lang w:val="en-US" w:eastAsia="en-US"/>
        </w:rPr>
        <w:t>Datt</w:t>
      </w:r>
      <w:proofErr w:type="spellEnd"/>
      <w:r w:rsidRPr="00C564BC">
        <w:rPr>
          <w:rFonts w:eastAsia="Calibri"/>
          <w:sz w:val="22"/>
          <w:szCs w:val="22"/>
          <w:lang w:val="en-US" w:eastAsia="en-US"/>
        </w:rPr>
        <w:t xml:space="preserve">, G. y </w:t>
      </w:r>
      <w:proofErr w:type="spellStart"/>
      <w:r w:rsidRPr="00C564BC">
        <w:rPr>
          <w:rFonts w:eastAsia="Calibri"/>
          <w:sz w:val="22"/>
          <w:szCs w:val="22"/>
          <w:lang w:val="en-US" w:eastAsia="en-US"/>
        </w:rPr>
        <w:t>Ravallion</w:t>
      </w:r>
      <w:proofErr w:type="spellEnd"/>
      <w:r w:rsidRPr="00C564BC">
        <w:rPr>
          <w:rFonts w:eastAsia="Calibri"/>
          <w:sz w:val="22"/>
          <w:szCs w:val="22"/>
          <w:lang w:val="en-US" w:eastAsia="en-US"/>
        </w:rPr>
        <w:t xml:space="preserve">, M. (1992), “Growth and Redistribution Components in Poverty Measures: A Decomposition with applications to </w:t>
      </w:r>
      <w:proofErr w:type="spellStart"/>
      <w:r w:rsidRPr="00C564BC">
        <w:rPr>
          <w:rFonts w:eastAsia="Calibri"/>
          <w:sz w:val="22"/>
          <w:szCs w:val="22"/>
          <w:lang w:val="en-US" w:eastAsia="en-US"/>
        </w:rPr>
        <w:t>Brasil</w:t>
      </w:r>
      <w:proofErr w:type="spellEnd"/>
      <w:r w:rsidRPr="00C564BC">
        <w:rPr>
          <w:rFonts w:eastAsia="Calibri"/>
          <w:sz w:val="22"/>
          <w:szCs w:val="22"/>
          <w:lang w:val="en-US" w:eastAsia="en-US"/>
        </w:rPr>
        <w:t xml:space="preserve"> and </w:t>
      </w:r>
      <w:smartTag w:uri="urn:schemas-microsoft-com:office:smarttags" w:element="country-region">
        <w:smartTag w:uri="urn:schemas-microsoft-com:office:smarttags" w:element="place">
          <w:r w:rsidRPr="00C564BC">
            <w:rPr>
              <w:rFonts w:eastAsia="Calibri"/>
              <w:sz w:val="22"/>
              <w:szCs w:val="22"/>
              <w:lang w:val="en-US" w:eastAsia="en-US"/>
            </w:rPr>
            <w:t>India</w:t>
          </w:r>
        </w:smartTag>
      </w:smartTag>
      <w:r w:rsidRPr="00C564BC">
        <w:rPr>
          <w:rFonts w:eastAsia="Calibri"/>
          <w:sz w:val="22"/>
          <w:szCs w:val="22"/>
          <w:lang w:val="en-US" w:eastAsia="en-US"/>
        </w:rPr>
        <w:t xml:space="preserve"> in the 1980’s”, </w:t>
      </w:r>
      <w:r w:rsidRPr="00C564BC">
        <w:rPr>
          <w:rFonts w:eastAsia="Calibri"/>
          <w:i/>
          <w:sz w:val="22"/>
          <w:szCs w:val="22"/>
          <w:lang w:val="en-US" w:eastAsia="en-US"/>
        </w:rPr>
        <w:t>Journal of Developments Economics</w:t>
      </w:r>
      <w:r w:rsidRPr="00C564BC">
        <w:rPr>
          <w:rFonts w:eastAsia="Calibri"/>
          <w:sz w:val="22"/>
          <w:szCs w:val="22"/>
          <w:lang w:val="en-US" w:eastAsia="en-US"/>
        </w:rPr>
        <w:t>,</w:t>
      </w:r>
      <w:r w:rsidRPr="00C564BC">
        <w:rPr>
          <w:rFonts w:eastAsia="Calibri"/>
          <w:i/>
          <w:sz w:val="22"/>
          <w:szCs w:val="22"/>
          <w:lang w:val="en-US" w:eastAsia="en-US"/>
        </w:rPr>
        <w:t xml:space="preserve"> </w:t>
      </w:r>
      <w:r w:rsidRPr="00C564BC">
        <w:rPr>
          <w:rFonts w:eastAsia="Calibri"/>
          <w:sz w:val="22"/>
          <w:szCs w:val="22"/>
          <w:lang w:val="en-US" w:eastAsia="en-US"/>
        </w:rPr>
        <w:t xml:space="preserve">38, pp. </w:t>
      </w:r>
      <w:smartTag w:uri="urn:schemas-microsoft-com:office:smarttags" w:element="metricconverter">
        <w:smartTagPr>
          <w:attr w:name="ProductID" w:val="275 a"/>
        </w:smartTagPr>
        <w:r w:rsidRPr="00C564BC">
          <w:rPr>
            <w:rFonts w:eastAsia="Calibri"/>
            <w:sz w:val="22"/>
            <w:szCs w:val="22"/>
            <w:lang w:val="en-US" w:eastAsia="en-US"/>
          </w:rPr>
          <w:t>275 a</w:t>
        </w:r>
      </w:smartTag>
      <w:r w:rsidRPr="00C564BC">
        <w:rPr>
          <w:rFonts w:eastAsia="Calibri"/>
          <w:sz w:val="22"/>
          <w:szCs w:val="22"/>
          <w:lang w:val="en-US" w:eastAsia="en-US"/>
        </w:rPr>
        <w:t xml:space="preserve"> 295.</w:t>
      </w:r>
    </w:p>
    <w:p w:rsidR="00A27A60" w:rsidRPr="00C564BC" w:rsidRDefault="00A27A60" w:rsidP="00A27A60">
      <w:pPr>
        <w:spacing w:after="60"/>
        <w:ind w:firstLine="142"/>
        <w:jc w:val="both"/>
        <w:rPr>
          <w:sz w:val="22"/>
          <w:szCs w:val="22"/>
          <w:lang w:val="es-AR"/>
        </w:rPr>
      </w:pPr>
      <w:r w:rsidRPr="00C564BC">
        <w:rPr>
          <w:sz w:val="22"/>
          <w:szCs w:val="22"/>
        </w:rPr>
        <w:t xml:space="preserve">De </w:t>
      </w:r>
      <w:proofErr w:type="spellStart"/>
      <w:r w:rsidRPr="00C564BC">
        <w:rPr>
          <w:sz w:val="22"/>
          <w:szCs w:val="22"/>
        </w:rPr>
        <w:t>Ferranti</w:t>
      </w:r>
      <w:proofErr w:type="spellEnd"/>
      <w:r w:rsidRPr="00C564BC">
        <w:rPr>
          <w:sz w:val="22"/>
          <w:szCs w:val="22"/>
        </w:rPr>
        <w:t xml:space="preserve">, D; Perry, G; Ferreira, F y </w:t>
      </w:r>
      <w:proofErr w:type="spellStart"/>
      <w:r w:rsidRPr="00C564BC">
        <w:rPr>
          <w:sz w:val="22"/>
          <w:szCs w:val="22"/>
        </w:rPr>
        <w:t>Walton</w:t>
      </w:r>
      <w:proofErr w:type="spellEnd"/>
      <w:r w:rsidRPr="00C564BC">
        <w:rPr>
          <w:sz w:val="22"/>
          <w:szCs w:val="22"/>
        </w:rPr>
        <w:t xml:space="preserve">, M (2003), </w:t>
      </w:r>
      <w:r w:rsidRPr="00C564BC">
        <w:rPr>
          <w:i/>
          <w:iCs/>
          <w:sz w:val="22"/>
          <w:szCs w:val="22"/>
        </w:rPr>
        <w:t>Desigualdad en América Latina y el Caribe: ¿ruptura con la historia?</w:t>
      </w:r>
      <w:r w:rsidRPr="00C564BC">
        <w:rPr>
          <w:sz w:val="22"/>
          <w:szCs w:val="22"/>
        </w:rPr>
        <w:t xml:space="preserve">. </w:t>
      </w:r>
      <w:r w:rsidRPr="00C564BC">
        <w:rPr>
          <w:sz w:val="22"/>
          <w:szCs w:val="22"/>
          <w:lang w:val="es-AR"/>
        </w:rPr>
        <w:t xml:space="preserve">Banco Mundial, Washington, D.C. </w:t>
      </w:r>
    </w:p>
    <w:p w:rsidR="00A27A60" w:rsidRPr="00C564BC" w:rsidRDefault="00A27A60" w:rsidP="00A27A60">
      <w:pPr>
        <w:spacing w:after="60"/>
        <w:ind w:firstLine="142"/>
        <w:jc w:val="both"/>
        <w:rPr>
          <w:rFonts w:eastAsia="Calibri"/>
          <w:sz w:val="22"/>
          <w:szCs w:val="22"/>
          <w:lang w:val="es-AR" w:eastAsia="en-US"/>
        </w:rPr>
      </w:pPr>
      <w:r w:rsidRPr="00C564BC">
        <w:rPr>
          <w:sz w:val="22"/>
          <w:szCs w:val="22"/>
        </w:rPr>
        <w:t>Falappa</w:t>
      </w:r>
      <w:r w:rsidRPr="00C564BC">
        <w:rPr>
          <w:rFonts w:eastAsia="Calibri"/>
          <w:sz w:val="22"/>
          <w:szCs w:val="22"/>
          <w:lang w:eastAsia="en-US"/>
        </w:rPr>
        <w:t>, F.</w:t>
      </w:r>
      <w:r w:rsidRPr="00C564BC">
        <w:rPr>
          <w:sz w:val="22"/>
          <w:szCs w:val="22"/>
        </w:rPr>
        <w:t xml:space="preserve"> y Andrenacci, </w:t>
      </w:r>
      <w:r w:rsidRPr="00C564BC">
        <w:rPr>
          <w:rFonts w:eastAsia="Calibri"/>
          <w:sz w:val="22"/>
          <w:szCs w:val="22"/>
          <w:lang w:eastAsia="en-US"/>
        </w:rPr>
        <w:t>L. (</w:t>
      </w:r>
      <w:r w:rsidRPr="00C564BC">
        <w:rPr>
          <w:sz w:val="22"/>
          <w:szCs w:val="22"/>
        </w:rPr>
        <w:t>2008)</w:t>
      </w:r>
      <w:r w:rsidRPr="00C564BC">
        <w:rPr>
          <w:rFonts w:eastAsia="Calibri"/>
          <w:sz w:val="22"/>
          <w:szCs w:val="22"/>
          <w:lang w:eastAsia="en-US"/>
        </w:rPr>
        <w:t xml:space="preserve"> </w:t>
      </w:r>
      <w:r w:rsidRPr="00C564BC">
        <w:rPr>
          <w:rFonts w:eastAsia="Calibri"/>
          <w:i/>
          <w:sz w:val="22"/>
          <w:szCs w:val="22"/>
          <w:lang w:eastAsia="en-US"/>
        </w:rPr>
        <w:t xml:space="preserve">La política social de </w:t>
      </w:r>
      <w:smartTag w:uri="urn:schemas-microsoft-com:office:smarttags" w:element="PersonName">
        <w:smartTagPr>
          <w:attr w:name="ProductID" w:val="la Argentina"/>
        </w:smartTagPr>
        <w:r w:rsidRPr="00C564BC">
          <w:rPr>
            <w:rFonts w:eastAsia="Calibri"/>
            <w:i/>
            <w:sz w:val="22"/>
            <w:szCs w:val="22"/>
            <w:lang w:eastAsia="en-US"/>
          </w:rPr>
          <w:t>la Argentina</w:t>
        </w:r>
      </w:smartTag>
      <w:r w:rsidRPr="00C564BC">
        <w:rPr>
          <w:rFonts w:eastAsia="Calibri"/>
          <w:i/>
          <w:sz w:val="22"/>
          <w:szCs w:val="22"/>
          <w:lang w:eastAsia="en-US"/>
        </w:rPr>
        <w:t xml:space="preserve"> democrática (1983-2008)</w:t>
      </w:r>
      <w:r w:rsidRPr="00C564BC">
        <w:rPr>
          <w:rFonts w:eastAsia="Calibri"/>
          <w:sz w:val="22"/>
          <w:szCs w:val="22"/>
          <w:lang w:eastAsia="en-US"/>
        </w:rPr>
        <w:t>, Buenos Aires: Biblioteca Nacional.</w:t>
      </w:r>
    </w:p>
    <w:p w:rsidR="00A27A60" w:rsidRPr="00C564BC" w:rsidRDefault="00A27A60" w:rsidP="00A27A60">
      <w:pPr>
        <w:spacing w:after="60"/>
        <w:ind w:firstLine="142"/>
        <w:jc w:val="both"/>
        <w:rPr>
          <w:sz w:val="22"/>
          <w:szCs w:val="22"/>
        </w:rPr>
      </w:pPr>
      <w:r w:rsidRPr="00C564BC">
        <w:rPr>
          <w:sz w:val="22"/>
          <w:szCs w:val="22"/>
        </w:rPr>
        <w:t xml:space="preserve">Ferreira, Messina, </w:t>
      </w:r>
      <w:proofErr w:type="spellStart"/>
      <w:r w:rsidRPr="00C564BC">
        <w:rPr>
          <w:sz w:val="22"/>
          <w:szCs w:val="22"/>
        </w:rPr>
        <w:t>Rigolini</w:t>
      </w:r>
      <w:proofErr w:type="spellEnd"/>
      <w:r w:rsidRPr="00C564BC">
        <w:rPr>
          <w:sz w:val="22"/>
          <w:szCs w:val="22"/>
        </w:rPr>
        <w:t xml:space="preserve">, López-Calva, Lugo, y </w:t>
      </w:r>
      <w:proofErr w:type="spellStart"/>
      <w:r w:rsidRPr="00C564BC">
        <w:rPr>
          <w:sz w:val="22"/>
          <w:szCs w:val="22"/>
        </w:rPr>
        <w:t>Vakis</w:t>
      </w:r>
      <w:proofErr w:type="spellEnd"/>
      <w:r w:rsidRPr="00C564BC">
        <w:rPr>
          <w:sz w:val="22"/>
          <w:szCs w:val="22"/>
        </w:rPr>
        <w:t xml:space="preserve"> (2013): </w:t>
      </w:r>
      <w:r w:rsidRPr="00C564BC">
        <w:rPr>
          <w:i/>
          <w:sz w:val="22"/>
          <w:szCs w:val="22"/>
        </w:rPr>
        <w:t>La movilidad económica y el crecimiento de la clase media en América Latina.</w:t>
      </w:r>
      <w:r w:rsidRPr="00C564BC">
        <w:rPr>
          <w:sz w:val="22"/>
          <w:szCs w:val="22"/>
        </w:rPr>
        <w:t xml:space="preserve"> Washington, DC: Banco Mundial. </w:t>
      </w:r>
    </w:p>
    <w:p w:rsidR="00A27A60" w:rsidRPr="00C564BC" w:rsidRDefault="00A27A60" w:rsidP="00A27A60">
      <w:pPr>
        <w:spacing w:after="60"/>
        <w:ind w:firstLine="142"/>
        <w:jc w:val="both"/>
        <w:rPr>
          <w:rFonts w:eastAsia="Calibri"/>
          <w:sz w:val="22"/>
          <w:szCs w:val="22"/>
          <w:lang w:val="es-AR" w:eastAsia="en-US"/>
        </w:rPr>
      </w:pPr>
      <w:proofErr w:type="spellStart"/>
      <w:r w:rsidRPr="00C564BC">
        <w:rPr>
          <w:rFonts w:eastAsia="Calibri"/>
          <w:sz w:val="22"/>
          <w:szCs w:val="22"/>
          <w:lang w:val="es-AR" w:eastAsia="en-US"/>
        </w:rPr>
        <w:t>Gasparini</w:t>
      </w:r>
      <w:proofErr w:type="spellEnd"/>
      <w:r w:rsidRPr="00C564BC">
        <w:rPr>
          <w:rFonts w:eastAsia="Calibri"/>
          <w:sz w:val="22"/>
          <w:szCs w:val="22"/>
          <w:lang w:val="es-AR" w:eastAsia="en-US"/>
        </w:rPr>
        <w:t xml:space="preserve">, L. y G. Cruces (2010). </w:t>
      </w:r>
      <w:r w:rsidRPr="00C564BC">
        <w:rPr>
          <w:rFonts w:eastAsia="Calibri"/>
          <w:i/>
          <w:sz w:val="22"/>
          <w:szCs w:val="22"/>
          <w:lang w:val="es-AR" w:eastAsia="en-US"/>
        </w:rPr>
        <w:t>Las asignaciones universales por hijo. Impacto, discusión y alternativas</w:t>
      </w:r>
      <w:r w:rsidRPr="00C564BC">
        <w:rPr>
          <w:rFonts w:eastAsia="Calibri"/>
          <w:sz w:val="22"/>
          <w:szCs w:val="22"/>
          <w:lang w:val="es-AR" w:eastAsia="en-US"/>
        </w:rPr>
        <w:t xml:space="preserve">. </w:t>
      </w:r>
      <w:smartTag w:uri="urn:schemas-microsoft-com:office:smarttags" w:element="PersonName">
        <w:smartTagPr>
          <w:attr w:name="ProductID" w:val="La Plata"/>
        </w:smartTagPr>
        <w:r w:rsidRPr="00C564BC">
          <w:rPr>
            <w:rFonts w:eastAsia="Calibri"/>
            <w:sz w:val="22"/>
            <w:szCs w:val="22"/>
            <w:lang w:val="es-AR" w:eastAsia="en-US"/>
          </w:rPr>
          <w:t>La Plata</w:t>
        </w:r>
      </w:smartTag>
      <w:r w:rsidRPr="00C564BC">
        <w:rPr>
          <w:rFonts w:eastAsia="Calibri"/>
          <w:sz w:val="22"/>
          <w:szCs w:val="22"/>
          <w:lang w:val="es-AR" w:eastAsia="en-US"/>
        </w:rPr>
        <w:t xml:space="preserve">: CEDLAS, Universidad Nacional de </w:t>
      </w:r>
      <w:smartTag w:uri="urn:schemas-microsoft-com:office:smarttags" w:element="PersonName">
        <w:smartTagPr>
          <w:attr w:name="ProductID" w:val="La Plata."/>
        </w:smartTagPr>
        <w:r w:rsidRPr="00C564BC">
          <w:rPr>
            <w:rFonts w:eastAsia="Calibri"/>
            <w:sz w:val="22"/>
            <w:szCs w:val="22"/>
            <w:lang w:val="es-AR" w:eastAsia="en-US"/>
          </w:rPr>
          <w:t>La Plata.</w:t>
        </w:r>
      </w:smartTag>
      <w:r w:rsidRPr="00C564BC">
        <w:rPr>
          <w:rFonts w:eastAsia="Calibri"/>
          <w:sz w:val="22"/>
          <w:szCs w:val="22"/>
          <w:lang w:val="es-AR" w:eastAsia="en-US"/>
        </w:rPr>
        <w:t xml:space="preserve"> </w:t>
      </w:r>
    </w:p>
    <w:p w:rsidR="00A27A60" w:rsidRPr="00C564BC" w:rsidRDefault="00A27A60" w:rsidP="00A27A60">
      <w:pPr>
        <w:autoSpaceDE w:val="0"/>
        <w:autoSpaceDN w:val="0"/>
        <w:adjustRightInd w:val="0"/>
        <w:spacing w:after="60"/>
        <w:ind w:firstLine="142"/>
        <w:jc w:val="both"/>
        <w:rPr>
          <w:rFonts w:eastAsia="Calibri"/>
          <w:sz w:val="22"/>
          <w:szCs w:val="22"/>
          <w:lang w:eastAsia="en-US"/>
        </w:rPr>
      </w:pPr>
      <w:r w:rsidRPr="00C564BC">
        <w:rPr>
          <w:rFonts w:eastAsia="Calibri"/>
          <w:sz w:val="22"/>
          <w:szCs w:val="22"/>
          <w:lang w:eastAsia="en-US"/>
        </w:rPr>
        <w:t xml:space="preserve">Grassi, E. (2003) </w:t>
      </w:r>
      <w:r w:rsidRPr="00C564BC">
        <w:rPr>
          <w:rFonts w:eastAsia="Calibri"/>
          <w:i/>
          <w:sz w:val="22"/>
          <w:szCs w:val="22"/>
          <w:lang w:eastAsia="en-US"/>
        </w:rPr>
        <w:t>Políticas y problemas sociales en la sociedad neoliberal. La otra década infame (I)</w:t>
      </w:r>
      <w:r w:rsidRPr="00C564BC">
        <w:rPr>
          <w:rFonts w:eastAsia="Calibri"/>
          <w:sz w:val="22"/>
          <w:szCs w:val="22"/>
          <w:lang w:eastAsia="en-US"/>
        </w:rPr>
        <w:t>. Buenos Aires: Editorial Espacio.</w:t>
      </w:r>
    </w:p>
    <w:p w:rsidR="00A27A60" w:rsidRPr="00C564BC" w:rsidRDefault="00A27A60" w:rsidP="00A27A60">
      <w:pPr>
        <w:autoSpaceDE w:val="0"/>
        <w:autoSpaceDN w:val="0"/>
        <w:adjustRightInd w:val="0"/>
        <w:spacing w:after="60"/>
        <w:ind w:firstLine="142"/>
        <w:jc w:val="both"/>
        <w:rPr>
          <w:sz w:val="22"/>
          <w:szCs w:val="22"/>
        </w:rPr>
      </w:pPr>
      <w:r w:rsidRPr="00C564BC">
        <w:rPr>
          <w:sz w:val="22"/>
          <w:szCs w:val="22"/>
        </w:rPr>
        <w:t xml:space="preserve">Grassi, E., </w:t>
      </w:r>
      <w:proofErr w:type="spellStart"/>
      <w:r w:rsidRPr="00C564BC">
        <w:rPr>
          <w:sz w:val="22"/>
          <w:szCs w:val="22"/>
        </w:rPr>
        <w:t>Hintze</w:t>
      </w:r>
      <w:proofErr w:type="spellEnd"/>
      <w:r w:rsidRPr="00C564BC">
        <w:rPr>
          <w:sz w:val="22"/>
          <w:szCs w:val="22"/>
        </w:rPr>
        <w:t xml:space="preserve">, S. y </w:t>
      </w:r>
      <w:proofErr w:type="spellStart"/>
      <w:r w:rsidRPr="00C564BC">
        <w:rPr>
          <w:sz w:val="22"/>
          <w:szCs w:val="22"/>
        </w:rPr>
        <w:t>Neufeld</w:t>
      </w:r>
      <w:proofErr w:type="spellEnd"/>
      <w:r w:rsidRPr="00C564BC">
        <w:rPr>
          <w:sz w:val="22"/>
          <w:szCs w:val="22"/>
        </w:rPr>
        <w:t xml:space="preserve">, R. (1994) </w:t>
      </w:r>
      <w:r w:rsidRPr="00C564BC">
        <w:rPr>
          <w:i/>
          <w:sz w:val="22"/>
          <w:szCs w:val="22"/>
        </w:rPr>
        <w:t>Políticas sociales, crisis y ajuste estructural</w:t>
      </w:r>
      <w:r w:rsidRPr="00C564BC">
        <w:rPr>
          <w:sz w:val="22"/>
          <w:szCs w:val="22"/>
        </w:rPr>
        <w:t xml:space="preserve">. Buenos Aires:  Espacio Editorial. </w:t>
      </w:r>
    </w:p>
    <w:p w:rsidR="00A27A60" w:rsidRPr="00C564BC" w:rsidRDefault="00A27A60" w:rsidP="00A27A60">
      <w:pPr>
        <w:autoSpaceDE w:val="0"/>
        <w:autoSpaceDN w:val="0"/>
        <w:adjustRightInd w:val="0"/>
        <w:spacing w:after="60"/>
        <w:ind w:firstLine="142"/>
        <w:jc w:val="both"/>
        <w:rPr>
          <w:sz w:val="22"/>
          <w:szCs w:val="22"/>
        </w:rPr>
      </w:pPr>
      <w:proofErr w:type="spellStart"/>
      <w:r w:rsidRPr="00C564BC">
        <w:rPr>
          <w:sz w:val="22"/>
          <w:szCs w:val="22"/>
        </w:rPr>
        <w:t>Gaggero</w:t>
      </w:r>
      <w:proofErr w:type="spellEnd"/>
      <w:r w:rsidRPr="00C564BC">
        <w:rPr>
          <w:sz w:val="22"/>
          <w:szCs w:val="22"/>
        </w:rPr>
        <w:t xml:space="preserve">, A., </w:t>
      </w:r>
      <w:proofErr w:type="spellStart"/>
      <w:r w:rsidRPr="00C564BC">
        <w:rPr>
          <w:sz w:val="22"/>
          <w:szCs w:val="22"/>
        </w:rPr>
        <w:t>Schorr</w:t>
      </w:r>
      <w:proofErr w:type="spellEnd"/>
      <w:r w:rsidRPr="00C564BC">
        <w:rPr>
          <w:sz w:val="22"/>
          <w:szCs w:val="22"/>
        </w:rPr>
        <w:t xml:space="preserve">, M. y </w:t>
      </w:r>
      <w:proofErr w:type="spellStart"/>
      <w:r w:rsidRPr="00C564BC">
        <w:rPr>
          <w:sz w:val="22"/>
          <w:szCs w:val="22"/>
        </w:rPr>
        <w:t>Wainer</w:t>
      </w:r>
      <w:proofErr w:type="spellEnd"/>
      <w:r w:rsidRPr="00C564BC">
        <w:rPr>
          <w:sz w:val="22"/>
          <w:szCs w:val="22"/>
        </w:rPr>
        <w:t xml:space="preserve">, A. (2014) Restricción eterna. El poder económico durante el </w:t>
      </w:r>
      <w:proofErr w:type="spellStart"/>
      <w:r w:rsidRPr="00C564BC">
        <w:rPr>
          <w:sz w:val="22"/>
          <w:szCs w:val="22"/>
        </w:rPr>
        <w:t>kirchnerismo</w:t>
      </w:r>
      <w:proofErr w:type="spellEnd"/>
      <w:r w:rsidRPr="00C564BC">
        <w:rPr>
          <w:sz w:val="22"/>
          <w:szCs w:val="22"/>
        </w:rPr>
        <w:t>, Buenos Aires: Crisis y Futuro Anterior.</w:t>
      </w:r>
    </w:p>
    <w:p w:rsidR="004277F2" w:rsidRPr="00C564BC" w:rsidRDefault="004277F2" w:rsidP="004277F2">
      <w:pPr>
        <w:spacing w:after="120"/>
        <w:jc w:val="both"/>
        <w:rPr>
          <w:lang w:val="es-AR"/>
        </w:rPr>
      </w:pPr>
      <w:r w:rsidRPr="00C564BC">
        <w:rPr>
          <w:lang w:val="es-AR"/>
        </w:rPr>
        <w:lastRenderedPageBreak/>
        <w:t xml:space="preserve">González de </w:t>
      </w:r>
      <w:smartTag w:uri="urn:schemas-microsoft-com:office:smarttags" w:element="PersonName">
        <w:smartTagPr>
          <w:attr w:name="ProductID" w:val="la Rocha"/>
        </w:smartTagPr>
        <w:r w:rsidRPr="00C564BC">
          <w:rPr>
            <w:lang w:val="es-AR"/>
          </w:rPr>
          <w:t>la Rocha</w:t>
        </w:r>
      </w:smartTag>
      <w:r w:rsidRPr="00C564BC">
        <w:rPr>
          <w:lang w:val="es-AR"/>
        </w:rPr>
        <w:t xml:space="preserve">, Mercedes 1987 </w:t>
      </w:r>
      <w:r w:rsidRPr="00C564BC">
        <w:rPr>
          <w:i/>
          <w:lang w:val="es-AR"/>
        </w:rPr>
        <w:t>Los recursos de la pobreza. Familias de bajos ingresos en Guadalajara</w:t>
      </w:r>
      <w:r w:rsidRPr="00C564BC">
        <w:rPr>
          <w:lang w:val="es-AR"/>
        </w:rPr>
        <w:t xml:space="preserve"> (México: El Colegio de </w:t>
      </w:r>
      <w:smartTag w:uri="urn:schemas-microsoft-com:office:smarttags" w:element="PersonName">
        <w:smartTagPr>
          <w:attr w:name="ProductID" w:val="la Jalisco"/>
        </w:smartTagPr>
        <w:r w:rsidRPr="00C564BC">
          <w:rPr>
            <w:lang w:val="es-AR"/>
          </w:rPr>
          <w:t>la Jalisco</w:t>
        </w:r>
      </w:smartTag>
      <w:r w:rsidRPr="00C564BC">
        <w:rPr>
          <w:lang w:val="es-AR"/>
        </w:rPr>
        <w:t>).</w:t>
      </w:r>
    </w:p>
    <w:p w:rsidR="004277F2" w:rsidRPr="00C564BC" w:rsidRDefault="004277F2" w:rsidP="004277F2">
      <w:pPr>
        <w:spacing w:after="120"/>
        <w:jc w:val="both"/>
        <w:rPr>
          <w:lang w:val="es-AR" w:eastAsia="es-AR"/>
        </w:rPr>
      </w:pPr>
      <w:r w:rsidRPr="00C564BC">
        <w:rPr>
          <w:lang w:val="es-AR" w:eastAsia="es-AR"/>
        </w:rPr>
        <w:t xml:space="preserve">Graña, J, D. Kennedy y </w:t>
      </w:r>
      <w:proofErr w:type="spellStart"/>
      <w:r w:rsidRPr="00C564BC">
        <w:rPr>
          <w:lang w:val="es-AR" w:eastAsia="es-AR"/>
        </w:rPr>
        <w:t>J.Valdez</w:t>
      </w:r>
      <w:proofErr w:type="spellEnd"/>
      <w:r w:rsidRPr="00C564BC">
        <w:rPr>
          <w:lang w:val="es-AR" w:eastAsia="es-AR"/>
        </w:rPr>
        <w:t xml:space="preserve"> </w:t>
      </w:r>
      <w:r w:rsidR="00AC068B" w:rsidRPr="00C564BC">
        <w:rPr>
          <w:lang w:val="es-AR" w:eastAsia="es-AR"/>
        </w:rPr>
        <w:t>(</w:t>
      </w:r>
      <w:r w:rsidRPr="00C564BC">
        <w:rPr>
          <w:lang w:val="es-AR" w:eastAsia="es-AR"/>
        </w:rPr>
        <w:t>2008</w:t>
      </w:r>
      <w:r w:rsidR="00AC068B" w:rsidRPr="00C564BC">
        <w:rPr>
          <w:lang w:val="es-AR" w:eastAsia="es-AR"/>
        </w:rPr>
        <w:t>)</w:t>
      </w:r>
      <w:r w:rsidRPr="00C564BC">
        <w:rPr>
          <w:lang w:val="es-AR" w:eastAsia="es-AR"/>
        </w:rPr>
        <w:t xml:space="preserve">,  El “modelo” de la post Convertibilidad: contenido, límites y perspectivas. </w:t>
      </w:r>
      <w:r w:rsidRPr="00C564BC">
        <w:rPr>
          <w:i/>
          <w:lang w:val="es-AR" w:eastAsia="es-AR"/>
        </w:rPr>
        <w:t>II Jornadas de Economía Política, Universidad Nacional de General Sarmiento</w:t>
      </w:r>
      <w:r w:rsidRPr="00C564BC">
        <w:rPr>
          <w:lang w:val="es-AR" w:eastAsia="es-AR"/>
        </w:rPr>
        <w:t>, Los Polvorines, 10 y 11 de noviembre.</w:t>
      </w:r>
    </w:p>
    <w:p w:rsidR="00A27A60" w:rsidRPr="00C564BC" w:rsidRDefault="00A27A60" w:rsidP="00A27A60">
      <w:pPr>
        <w:autoSpaceDE w:val="0"/>
        <w:autoSpaceDN w:val="0"/>
        <w:adjustRightInd w:val="0"/>
        <w:spacing w:after="60"/>
        <w:ind w:firstLine="142"/>
        <w:jc w:val="both"/>
        <w:rPr>
          <w:sz w:val="22"/>
          <w:szCs w:val="22"/>
        </w:rPr>
      </w:pPr>
      <w:r w:rsidRPr="00C564BC">
        <w:rPr>
          <w:sz w:val="22"/>
          <w:szCs w:val="22"/>
        </w:rPr>
        <w:t xml:space="preserve">Hernández Laos, E. (2006). </w:t>
      </w:r>
      <w:r w:rsidRPr="00C564BC">
        <w:rPr>
          <w:i/>
          <w:sz w:val="22"/>
          <w:szCs w:val="22"/>
        </w:rPr>
        <w:t xml:space="preserve">Mercado laboral, desigualdad y pobreza en América Latina, </w:t>
      </w:r>
      <w:r w:rsidRPr="00C564BC">
        <w:rPr>
          <w:sz w:val="22"/>
          <w:szCs w:val="22"/>
        </w:rPr>
        <w:t>México: Porrúa.</w:t>
      </w:r>
    </w:p>
    <w:p w:rsidR="00A27A60" w:rsidRPr="00C564BC" w:rsidRDefault="00A27A60" w:rsidP="00A27A60">
      <w:pPr>
        <w:spacing w:after="120"/>
        <w:ind w:firstLine="142"/>
        <w:jc w:val="both"/>
        <w:rPr>
          <w:sz w:val="22"/>
          <w:szCs w:val="22"/>
          <w:lang w:val="es-AR"/>
        </w:rPr>
      </w:pPr>
      <w:r w:rsidRPr="00C564BC">
        <w:rPr>
          <w:sz w:val="22"/>
          <w:szCs w:val="22"/>
          <w:lang w:val="es-AR"/>
        </w:rPr>
        <w:t>Infante, R. (2011) El desarrollo inclusivo de América Latina, Santiago de Chile: CEPAL.</w:t>
      </w:r>
    </w:p>
    <w:p w:rsidR="00A27A60" w:rsidRPr="00C564BC" w:rsidRDefault="00A27A60" w:rsidP="00A27A60">
      <w:pPr>
        <w:spacing w:after="60"/>
        <w:ind w:firstLine="142"/>
        <w:jc w:val="both"/>
        <w:rPr>
          <w:sz w:val="22"/>
          <w:szCs w:val="22"/>
        </w:rPr>
      </w:pPr>
      <w:proofErr w:type="spellStart"/>
      <w:r w:rsidRPr="00C564BC">
        <w:rPr>
          <w:sz w:val="22"/>
          <w:szCs w:val="22"/>
        </w:rPr>
        <w:t>Isuani</w:t>
      </w:r>
      <w:proofErr w:type="spellEnd"/>
      <w:r w:rsidRPr="00C564BC">
        <w:rPr>
          <w:sz w:val="22"/>
          <w:szCs w:val="22"/>
        </w:rPr>
        <w:t xml:space="preserve">, A. (2008) “La política social argentina en perspectiva”, en Cruces, G., D. </w:t>
      </w:r>
      <w:proofErr w:type="spellStart"/>
      <w:r w:rsidRPr="00C564BC">
        <w:rPr>
          <w:sz w:val="22"/>
          <w:szCs w:val="22"/>
        </w:rPr>
        <w:t>Ringold</w:t>
      </w:r>
      <w:proofErr w:type="spellEnd"/>
      <w:r w:rsidRPr="00C564BC">
        <w:rPr>
          <w:sz w:val="22"/>
          <w:szCs w:val="22"/>
        </w:rPr>
        <w:t xml:space="preserve"> y R. </w:t>
      </w:r>
      <w:proofErr w:type="spellStart"/>
      <w:r w:rsidRPr="00C564BC">
        <w:rPr>
          <w:sz w:val="22"/>
          <w:szCs w:val="22"/>
        </w:rPr>
        <w:t>Rofman</w:t>
      </w:r>
      <w:proofErr w:type="spellEnd"/>
      <w:r w:rsidRPr="00C564BC">
        <w:rPr>
          <w:sz w:val="22"/>
          <w:szCs w:val="22"/>
        </w:rPr>
        <w:t xml:space="preserve"> (</w:t>
      </w:r>
      <w:proofErr w:type="spellStart"/>
      <w:r w:rsidRPr="00C564BC">
        <w:rPr>
          <w:sz w:val="22"/>
          <w:szCs w:val="22"/>
        </w:rPr>
        <w:t>eds</w:t>
      </w:r>
      <w:proofErr w:type="spellEnd"/>
      <w:r w:rsidRPr="00C564BC">
        <w:rPr>
          <w:sz w:val="22"/>
          <w:szCs w:val="22"/>
        </w:rPr>
        <w:t xml:space="preserve">), </w:t>
      </w:r>
      <w:r w:rsidRPr="00C564BC">
        <w:rPr>
          <w:i/>
          <w:sz w:val="22"/>
          <w:szCs w:val="22"/>
        </w:rPr>
        <w:t>Los programas sociales en Argentina hacia el Bicentenario. Visiones y perspectivas</w:t>
      </w:r>
      <w:r w:rsidRPr="00C564BC">
        <w:rPr>
          <w:sz w:val="22"/>
          <w:szCs w:val="22"/>
        </w:rPr>
        <w:t xml:space="preserve">, </w:t>
      </w:r>
      <w:r w:rsidRPr="00C564BC">
        <w:rPr>
          <w:sz w:val="22"/>
          <w:szCs w:val="22"/>
          <w:shd w:val="clear" w:color="auto" w:fill="FFFFFF"/>
        </w:rPr>
        <w:t>Banco Mundial, Oficina de Buenos Aires.</w:t>
      </w:r>
    </w:p>
    <w:p w:rsidR="00A27A60" w:rsidRPr="00C564BC" w:rsidRDefault="00A27A60" w:rsidP="00A27A60">
      <w:pPr>
        <w:spacing w:after="60"/>
        <w:ind w:firstLine="142"/>
        <w:jc w:val="both"/>
        <w:rPr>
          <w:sz w:val="22"/>
          <w:szCs w:val="22"/>
        </w:rPr>
      </w:pPr>
      <w:proofErr w:type="spellStart"/>
      <w:r w:rsidRPr="00C564BC">
        <w:rPr>
          <w:sz w:val="22"/>
          <w:szCs w:val="22"/>
        </w:rPr>
        <w:t>Isuani</w:t>
      </w:r>
      <w:proofErr w:type="spellEnd"/>
      <w:r w:rsidRPr="00C564BC">
        <w:rPr>
          <w:sz w:val="22"/>
          <w:szCs w:val="22"/>
        </w:rPr>
        <w:t xml:space="preserve">, E., </w:t>
      </w:r>
      <w:proofErr w:type="spellStart"/>
      <w:r w:rsidRPr="00C564BC">
        <w:rPr>
          <w:sz w:val="22"/>
          <w:szCs w:val="22"/>
        </w:rPr>
        <w:t>Tenti</w:t>
      </w:r>
      <w:proofErr w:type="spellEnd"/>
      <w:r w:rsidRPr="00C564BC">
        <w:rPr>
          <w:sz w:val="22"/>
          <w:szCs w:val="22"/>
        </w:rPr>
        <w:t xml:space="preserve"> </w:t>
      </w:r>
      <w:proofErr w:type="spellStart"/>
      <w:r w:rsidRPr="00C564BC">
        <w:rPr>
          <w:sz w:val="22"/>
          <w:szCs w:val="22"/>
        </w:rPr>
        <w:t>Fanfani</w:t>
      </w:r>
      <w:proofErr w:type="spellEnd"/>
      <w:r w:rsidRPr="00C564BC">
        <w:rPr>
          <w:sz w:val="22"/>
          <w:szCs w:val="22"/>
        </w:rPr>
        <w:t xml:space="preserve">, E. y Lo </w:t>
      </w:r>
      <w:proofErr w:type="spellStart"/>
      <w:r w:rsidRPr="00C564BC">
        <w:rPr>
          <w:sz w:val="22"/>
          <w:szCs w:val="22"/>
        </w:rPr>
        <w:t>Vuolo</w:t>
      </w:r>
      <w:proofErr w:type="spellEnd"/>
      <w:r w:rsidRPr="00C564BC">
        <w:rPr>
          <w:sz w:val="22"/>
          <w:szCs w:val="22"/>
        </w:rPr>
        <w:t xml:space="preserve">, R. (1991) </w:t>
      </w:r>
      <w:r w:rsidRPr="00C564BC">
        <w:rPr>
          <w:i/>
          <w:sz w:val="22"/>
          <w:szCs w:val="22"/>
        </w:rPr>
        <w:t xml:space="preserve">El estado benefactor: un paradigma en crisis, </w:t>
      </w:r>
      <w:r w:rsidRPr="00C564BC">
        <w:rPr>
          <w:sz w:val="22"/>
          <w:szCs w:val="22"/>
        </w:rPr>
        <w:t>Buenos Aires: Miño y Dávila/CIEPP</w:t>
      </w:r>
    </w:p>
    <w:p w:rsidR="00A27A60" w:rsidRPr="00C564BC" w:rsidRDefault="00A27A60" w:rsidP="00A27A60">
      <w:pPr>
        <w:spacing w:after="60"/>
        <w:ind w:firstLine="142"/>
        <w:jc w:val="both"/>
        <w:rPr>
          <w:sz w:val="22"/>
          <w:szCs w:val="22"/>
        </w:rPr>
      </w:pPr>
      <w:proofErr w:type="spellStart"/>
      <w:r w:rsidRPr="00C564BC">
        <w:rPr>
          <w:sz w:val="22"/>
          <w:szCs w:val="22"/>
          <w:lang w:val="en-US"/>
        </w:rPr>
        <w:t>Kaztman</w:t>
      </w:r>
      <w:proofErr w:type="spellEnd"/>
      <w:r w:rsidRPr="00C564BC">
        <w:rPr>
          <w:sz w:val="22"/>
          <w:szCs w:val="22"/>
          <w:lang w:val="en-US"/>
        </w:rPr>
        <w:t xml:space="preserve">, R. y </w:t>
      </w:r>
      <w:proofErr w:type="spellStart"/>
      <w:r w:rsidRPr="00C564BC">
        <w:rPr>
          <w:sz w:val="22"/>
          <w:szCs w:val="22"/>
          <w:lang w:val="en-US"/>
        </w:rPr>
        <w:t>Wormald</w:t>
      </w:r>
      <w:proofErr w:type="spellEnd"/>
      <w:r w:rsidRPr="00C564BC">
        <w:rPr>
          <w:sz w:val="22"/>
          <w:szCs w:val="22"/>
          <w:lang w:val="en-US"/>
        </w:rPr>
        <w:t xml:space="preserve">, C. (2002). </w:t>
      </w:r>
      <w:r w:rsidRPr="00C564BC">
        <w:rPr>
          <w:i/>
          <w:sz w:val="22"/>
          <w:szCs w:val="22"/>
        </w:rPr>
        <w:t>Trabajo y Ciudadanía. Integración y Exclusión Social en cuatro áreas metropolitanas de América Latina</w:t>
      </w:r>
      <w:r w:rsidRPr="00C564BC">
        <w:rPr>
          <w:sz w:val="22"/>
          <w:szCs w:val="22"/>
        </w:rPr>
        <w:t>, Montevideo: Cebra.</w:t>
      </w:r>
    </w:p>
    <w:p w:rsidR="00A27A60" w:rsidRPr="00C564BC" w:rsidRDefault="00A27A60" w:rsidP="00A27A60">
      <w:pPr>
        <w:spacing w:after="60"/>
        <w:ind w:firstLine="142"/>
        <w:jc w:val="both"/>
        <w:rPr>
          <w:sz w:val="22"/>
          <w:szCs w:val="22"/>
          <w:lang w:val="es-AR"/>
        </w:rPr>
      </w:pPr>
      <w:r w:rsidRPr="00C564BC">
        <w:rPr>
          <w:sz w:val="22"/>
          <w:szCs w:val="22"/>
          <w:lang w:val="es-AR"/>
        </w:rPr>
        <w:t xml:space="preserve">Lindenboim, J. (2012). </w:t>
      </w:r>
      <w:r w:rsidRPr="00C564BC">
        <w:rPr>
          <w:sz w:val="22"/>
          <w:szCs w:val="22"/>
        </w:rPr>
        <w:t xml:space="preserve">"La pobreza: una tensión social más allá de la metrópolis", en Luis </w:t>
      </w:r>
      <w:proofErr w:type="spellStart"/>
      <w:r w:rsidRPr="00C564BC">
        <w:rPr>
          <w:sz w:val="22"/>
          <w:szCs w:val="22"/>
        </w:rPr>
        <w:t>Ainstein</w:t>
      </w:r>
      <w:proofErr w:type="spellEnd"/>
      <w:r w:rsidRPr="00C564BC">
        <w:rPr>
          <w:sz w:val="22"/>
          <w:szCs w:val="22"/>
        </w:rPr>
        <w:t xml:space="preserve"> (compilador) </w:t>
      </w:r>
      <w:r w:rsidRPr="00C564BC">
        <w:rPr>
          <w:i/>
          <w:sz w:val="22"/>
          <w:szCs w:val="22"/>
        </w:rPr>
        <w:t xml:space="preserve">Estructuración urbana, institucionalidad y sustentabilidad de ciudades metropolitanas y regiones difusas. Miradas comparadas sobre Buenos Aires, Londres, Los </w:t>
      </w:r>
      <w:proofErr w:type="spellStart"/>
      <w:r w:rsidRPr="00C564BC">
        <w:rPr>
          <w:i/>
          <w:sz w:val="22"/>
          <w:szCs w:val="22"/>
        </w:rPr>
        <w:t>Angeles</w:t>
      </w:r>
      <w:proofErr w:type="spellEnd"/>
      <w:r w:rsidRPr="00C564BC">
        <w:rPr>
          <w:i/>
          <w:sz w:val="22"/>
          <w:szCs w:val="22"/>
        </w:rPr>
        <w:t>, Paris, Tokio y Toronto</w:t>
      </w:r>
      <w:r w:rsidRPr="00C564BC">
        <w:rPr>
          <w:sz w:val="22"/>
          <w:szCs w:val="22"/>
        </w:rPr>
        <w:t xml:space="preserve">. </w:t>
      </w:r>
      <w:r w:rsidRPr="00C564BC">
        <w:rPr>
          <w:sz w:val="22"/>
          <w:szCs w:val="22"/>
          <w:lang w:val="es-AR"/>
        </w:rPr>
        <w:t xml:space="preserve">Buenos Aires: </w:t>
      </w:r>
      <w:proofErr w:type="spellStart"/>
      <w:r w:rsidRPr="00C564BC">
        <w:rPr>
          <w:sz w:val="22"/>
          <w:szCs w:val="22"/>
          <w:lang w:val="es-AR"/>
        </w:rPr>
        <w:t>Eudeba</w:t>
      </w:r>
      <w:proofErr w:type="spellEnd"/>
      <w:r w:rsidRPr="00C564BC">
        <w:rPr>
          <w:sz w:val="22"/>
          <w:szCs w:val="22"/>
          <w:lang w:val="es-AR"/>
        </w:rPr>
        <w:t>.</w:t>
      </w:r>
    </w:p>
    <w:p w:rsidR="00A27A60" w:rsidRPr="00C564BC" w:rsidRDefault="00A27A60" w:rsidP="00A27A60">
      <w:pPr>
        <w:autoSpaceDE w:val="0"/>
        <w:autoSpaceDN w:val="0"/>
        <w:adjustRightInd w:val="0"/>
        <w:spacing w:after="60"/>
        <w:ind w:firstLine="142"/>
        <w:jc w:val="both"/>
        <w:rPr>
          <w:bCs/>
          <w:sz w:val="22"/>
          <w:szCs w:val="22"/>
          <w:lang w:eastAsia="es-AR"/>
        </w:rPr>
      </w:pPr>
      <w:r w:rsidRPr="00C564BC">
        <w:rPr>
          <w:sz w:val="22"/>
          <w:szCs w:val="22"/>
        </w:rPr>
        <w:t xml:space="preserve">Lo </w:t>
      </w:r>
      <w:proofErr w:type="spellStart"/>
      <w:r w:rsidRPr="00C564BC">
        <w:rPr>
          <w:sz w:val="22"/>
          <w:szCs w:val="22"/>
        </w:rPr>
        <w:t>Vuolo</w:t>
      </w:r>
      <w:proofErr w:type="spellEnd"/>
      <w:r w:rsidRPr="00C564BC">
        <w:rPr>
          <w:sz w:val="22"/>
          <w:szCs w:val="22"/>
        </w:rPr>
        <w:t xml:space="preserve">, R. y </w:t>
      </w:r>
      <w:proofErr w:type="spellStart"/>
      <w:r w:rsidRPr="00C564BC">
        <w:rPr>
          <w:sz w:val="22"/>
          <w:szCs w:val="22"/>
        </w:rPr>
        <w:t>Barbeito</w:t>
      </w:r>
      <w:proofErr w:type="spellEnd"/>
      <w:r w:rsidRPr="00C564BC">
        <w:rPr>
          <w:sz w:val="22"/>
          <w:szCs w:val="22"/>
        </w:rPr>
        <w:t xml:space="preserve">, A. (1992) </w:t>
      </w:r>
      <w:r w:rsidRPr="00C564BC">
        <w:rPr>
          <w:bCs/>
          <w:i/>
          <w:sz w:val="22"/>
          <w:szCs w:val="22"/>
          <w:lang w:eastAsia="es-AR"/>
        </w:rPr>
        <w:t>La modernización excluyente. Transformación económica y Estado de Bienestar en Argentina</w:t>
      </w:r>
      <w:r w:rsidRPr="00C564BC">
        <w:rPr>
          <w:bCs/>
          <w:sz w:val="22"/>
          <w:szCs w:val="22"/>
          <w:lang w:eastAsia="es-AR"/>
        </w:rPr>
        <w:t>, Buenos Aires: Miño y Dávila.</w:t>
      </w:r>
    </w:p>
    <w:p w:rsidR="00A27A60" w:rsidRPr="00C564BC" w:rsidRDefault="00A27A60" w:rsidP="00A27A60">
      <w:pPr>
        <w:autoSpaceDE w:val="0"/>
        <w:autoSpaceDN w:val="0"/>
        <w:adjustRightInd w:val="0"/>
        <w:spacing w:after="60"/>
        <w:ind w:firstLine="142"/>
        <w:jc w:val="both"/>
        <w:rPr>
          <w:sz w:val="22"/>
          <w:szCs w:val="22"/>
        </w:rPr>
      </w:pPr>
      <w:r w:rsidRPr="00C564BC">
        <w:rPr>
          <w:sz w:val="22"/>
          <w:szCs w:val="22"/>
        </w:rPr>
        <w:t xml:space="preserve">Lo </w:t>
      </w:r>
      <w:proofErr w:type="spellStart"/>
      <w:r w:rsidRPr="00C564BC">
        <w:rPr>
          <w:sz w:val="22"/>
          <w:szCs w:val="22"/>
        </w:rPr>
        <w:t>Vuolo</w:t>
      </w:r>
      <w:proofErr w:type="spellEnd"/>
      <w:r w:rsidRPr="00C564BC">
        <w:rPr>
          <w:sz w:val="22"/>
          <w:szCs w:val="22"/>
        </w:rPr>
        <w:t xml:space="preserve">, R. y </w:t>
      </w:r>
      <w:proofErr w:type="spellStart"/>
      <w:r w:rsidRPr="00C564BC">
        <w:rPr>
          <w:sz w:val="22"/>
          <w:szCs w:val="22"/>
        </w:rPr>
        <w:t>Barbeito</w:t>
      </w:r>
      <w:proofErr w:type="spellEnd"/>
      <w:r w:rsidRPr="00C564BC">
        <w:rPr>
          <w:sz w:val="22"/>
          <w:szCs w:val="22"/>
        </w:rPr>
        <w:t xml:space="preserve">, A. (1998) </w:t>
      </w:r>
      <w:r w:rsidRPr="00C564BC">
        <w:rPr>
          <w:i/>
          <w:iCs/>
          <w:sz w:val="22"/>
          <w:szCs w:val="22"/>
        </w:rPr>
        <w:t>La nueva oscuridad de la política social</w:t>
      </w:r>
      <w:r w:rsidRPr="00C564BC">
        <w:rPr>
          <w:sz w:val="22"/>
          <w:szCs w:val="22"/>
        </w:rPr>
        <w:t>, Buenos Aires, CIEPP-Miño y Dávila.</w:t>
      </w:r>
    </w:p>
    <w:p w:rsidR="00A27A60" w:rsidRPr="00B46241" w:rsidRDefault="00A27A60" w:rsidP="00A27A60">
      <w:pPr>
        <w:autoSpaceDE w:val="0"/>
        <w:autoSpaceDN w:val="0"/>
        <w:spacing w:after="60"/>
        <w:ind w:firstLine="142"/>
        <w:jc w:val="both"/>
        <w:rPr>
          <w:sz w:val="22"/>
          <w:szCs w:val="22"/>
          <w:lang w:val="es-AR"/>
        </w:rPr>
      </w:pPr>
      <w:r w:rsidRPr="00C564BC">
        <w:rPr>
          <w:sz w:val="22"/>
          <w:szCs w:val="22"/>
          <w:lang w:val="en-US"/>
        </w:rPr>
        <w:t xml:space="preserve">Lockwood, D. (1964). “Social Integration and System Integration,” en: G. </w:t>
      </w:r>
      <w:proofErr w:type="spellStart"/>
      <w:r w:rsidRPr="00C564BC">
        <w:rPr>
          <w:sz w:val="22"/>
          <w:szCs w:val="22"/>
          <w:lang w:val="en-US"/>
        </w:rPr>
        <w:t>Zollschan</w:t>
      </w:r>
      <w:proofErr w:type="spellEnd"/>
      <w:r w:rsidRPr="00C564BC">
        <w:rPr>
          <w:sz w:val="22"/>
          <w:szCs w:val="22"/>
          <w:lang w:val="en-US"/>
        </w:rPr>
        <w:t xml:space="preserve"> and </w:t>
      </w:r>
      <w:smartTag w:uri="urn:schemas-microsoft-com:office:smarttags" w:element="place">
        <w:r w:rsidRPr="00C564BC">
          <w:rPr>
            <w:sz w:val="22"/>
            <w:szCs w:val="22"/>
            <w:lang w:val="en-US"/>
          </w:rPr>
          <w:t>W. Hirsch</w:t>
        </w:r>
      </w:smartTag>
      <w:r w:rsidRPr="00C564BC">
        <w:rPr>
          <w:sz w:val="22"/>
          <w:szCs w:val="22"/>
          <w:lang w:val="en-US"/>
        </w:rPr>
        <w:t xml:space="preserve"> (eds.), </w:t>
      </w:r>
      <w:r w:rsidRPr="00C564BC">
        <w:rPr>
          <w:i/>
          <w:sz w:val="22"/>
          <w:szCs w:val="22"/>
          <w:lang w:val="en-US"/>
        </w:rPr>
        <w:t>Explorations in Social Change</w:t>
      </w:r>
      <w:r w:rsidRPr="00C564BC">
        <w:rPr>
          <w:sz w:val="22"/>
          <w:szCs w:val="22"/>
          <w:lang w:val="en-US"/>
        </w:rPr>
        <w:t xml:space="preserve">. </w:t>
      </w:r>
      <w:r w:rsidRPr="00B46241">
        <w:rPr>
          <w:sz w:val="22"/>
          <w:szCs w:val="22"/>
          <w:lang w:val="es-AR"/>
        </w:rPr>
        <w:t xml:space="preserve">Boston: Houghton </w:t>
      </w:r>
      <w:proofErr w:type="spellStart"/>
      <w:r w:rsidRPr="00B46241">
        <w:rPr>
          <w:sz w:val="22"/>
          <w:szCs w:val="22"/>
          <w:lang w:val="es-AR"/>
        </w:rPr>
        <w:t>Mifflin</w:t>
      </w:r>
      <w:proofErr w:type="spellEnd"/>
      <w:r w:rsidRPr="00B46241">
        <w:rPr>
          <w:sz w:val="22"/>
          <w:szCs w:val="22"/>
          <w:lang w:val="es-AR"/>
        </w:rPr>
        <w:t>.</w:t>
      </w:r>
    </w:p>
    <w:p w:rsidR="004277F2" w:rsidRPr="00C564BC" w:rsidRDefault="0009291A" w:rsidP="004277F2">
      <w:pPr>
        <w:spacing w:after="120"/>
        <w:jc w:val="both"/>
        <w:rPr>
          <w:sz w:val="22"/>
          <w:szCs w:val="22"/>
          <w:lang w:val="es-AR"/>
        </w:rPr>
      </w:pPr>
      <w:r w:rsidRPr="00C564BC">
        <w:rPr>
          <w:sz w:val="22"/>
          <w:szCs w:val="22"/>
          <w:lang w:val="es-AR"/>
        </w:rPr>
        <w:t xml:space="preserve">  </w:t>
      </w:r>
      <w:proofErr w:type="spellStart"/>
      <w:r w:rsidR="004277F2" w:rsidRPr="00C564BC">
        <w:rPr>
          <w:sz w:val="22"/>
          <w:szCs w:val="22"/>
          <w:lang w:val="es-AR"/>
        </w:rPr>
        <w:t>Lom</w:t>
      </w:r>
      <w:r w:rsidR="004277F2" w:rsidRPr="00C564BC">
        <w:rPr>
          <w:sz w:val="22"/>
          <w:szCs w:val="22"/>
          <w:lang w:val="es-AR"/>
        </w:rPr>
        <w:softHyphen/>
        <w:t>nitz</w:t>
      </w:r>
      <w:proofErr w:type="spellEnd"/>
      <w:r w:rsidR="004277F2" w:rsidRPr="00C564BC">
        <w:rPr>
          <w:sz w:val="22"/>
          <w:szCs w:val="22"/>
          <w:lang w:val="es-AR"/>
        </w:rPr>
        <w:t xml:space="preserve">, Larissa </w:t>
      </w:r>
      <w:r w:rsidRPr="00C564BC">
        <w:rPr>
          <w:sz w:val="22"/>
          <w:szCs w:val="22"/>
          <w:lang w:val="es-AR"/>
        </w:rPr>
        <w:t>(</w:t>
      </w:r>
      <w:r w:rsidR="004277F2" w:rsidRPr="00C564BC">
        <w:rPr>
          <w:sz w:val="22"/>
          <w:szCs w:val="22"/>
          <w:lang w:val="es-AR"/>
        </w:rPr>
        <w:t>1975</w:t>
      </w:r>
      <w:r w:rsidRPr="00C564BC">
        <w:rPr>
          <w:sz w:val="22"/>
          <w:szCs w:val="22"/>
          <w:lang w:val="es-AR"/>
        </w:rPr>
        <w:t>),</w:t>
      </w:r>
      <w:r w:rsidR="004277F2" w:rsidRPr="00C564BC">
        <w:rPr>
          <w:sz w:val="22"/>
          <w:szCs w:val="22"/>
          <w:lang w:val="es-AR"/>
        </w:rPr>
        <w:t xml:space="preserve"> </w:t>
      </w:r>
      <w:r w:rsidR="004277F2" w:rsidRPr="00C564BC">
        <w:rPr>
          <w:i/>
          <w:sz w:val="22"/>
          <w:szCs w:val="22"/>
          <w:lang w:val="es-AR"/>
        </w:rPr>
        <w:t xml:space="preserve">Como sobreviven los marginados </w:t>
      </w:r>
      <w:r w:rsidR="004277F2" w:rsidRPr="00C564BC">
        <w:rPr>
          <w:sz w:val="22"/>
          <w:szCs w:val="22"/>
          <w:lang w:val="es-AR"/>
        </w:rPr>
        <w:t>(</w:t>
      </w:r>
      <w:proofErr w:type="spellStart"/>
      <w:r w:rsidR="004277F2" w:rsidRPr="00C564BC">
        <w:rPr>
          <w:sz w:val="22"/>
          <w:szCs w:val="22"/>
          <w:lang w:val="es-AR"/>
        </w:rPr>
        <w:t>Mexico</w:t>
      </w:r>
      <w:proofErr w:type="spellEnd"/>
      <w:r w:rsidR="004277F2" w:rsidRPr="00C564BC">
        <w:rPr>
          <w:sz w:val="22"/>
          <w:szCs w:val="22"/>
          <w:lang w:val="es-AR"/>
        </w:rPr>
        <w:t xml:space="preserve">: Siglo XXI).   </w:t>
      </w:r>
    </w:p>
    <w:p w:rsidR="00A27A60" w:rsidRPr="00C564BC" w:rsidRDefault="00A27A60" w:rsidP="00A27A60">
      <w:pPr>
        <w:spacing w:after="60"/>
        <w:ind w:firstLine="142"/>
        <w:jc w:val="both"/>
        <w:rPr>
          <w:sz w:val="22"/>
          <w:szCs w:val="22"/>
          <w:lang w:val="es-AR"/>
        </w:rPr>
      </w:pPr>
      <w:proofErr w:type="spellStart"/>
      <w:r w:rsidRPr="00C564BC">
        <w:rPr>
          <w:sz w:val="22"/>
          <w:szCs w:val="22"/>
          <w:lang w:val="en-US"/>
        </w:rPr>
        <w:t>López­Calva</w:t>
      </w:r>
      <w:proofErr w:type="spellEnd"/>
      <w:r w:rsidRPr="00C564BC">
        <w:rPr>
          <w:sz w:val="22"/>
          <w:szCs w:val="22"/>
          <w:lang w:val="en-US"/>
        </w:rPr>
        <w:t xml:space="preserve">, L, y </w:t>
      </w:r>
      <w:proofErr w:type="spellStart"/>
      <w:r w:rsidRPr="00C564BC">
        <w:rPr>
          <w:sz w:val="22"/>
          <w:szCs w:val="22"/>
          <w:lang w:val="en-US"/>
        </w:rPr>
        <w:t>Lustig</w:t>
      </w:r>
      <w:proofErr w:type="spellEnd"/>
      <w:r w:rsidRPr="00C564BC">
        <w:rPr>
          <w:sz w:val="22"/>
          <w:szCs w:val="22"/>
          <w:lang w:val="en-US"/>
        </w:rPr>
        <w:t xml:space="preserve">, N (2010) </w:t>
      </w:r>
      <w:r w:rsidRPr="00C564BC">
        <w:rPr>
          <w:i/>
          <w:sz w:val="22"/>
          <w:szCs w:val="22"/>
          <w:lang w:val="en-US"/>
        </w:rPr>
        <w:t>Declining Inequality in Latin America: A Decade of Progress?</w:t>
      </w:r>
      <w:r w:rsidRPr="00C564BC">
        <w:rPr>
          <w:sz w:val="22"/>
          <w:szCs w:val="22"/>
          <w:lang w:val="en-US"/>
        </w:rPr>
        <w:t xml:space="preserve"> </w:t>
      </w:r>
      <w:r w:rsidRPr="00C564BC">
        <w:rPr>
          <w:sz w:val="22"/>
          <w:szCs w:val="22"/>
          <w:lang w:val="es-AR"/>
        </w:rPr>
        <w:t xml:space="preserve">Washington, DC: Brookings </w:t>
      </w:r>
      <w:proofErr w:type="spellStart"/>
      <w:r w:rsidRPr="00C564BC">
        <w:rPr>
          <w:sz w:val="22"/>
          <w:szCs w:val="22"/>
          <w:lang w:val="es-AR"/>
        </w:rPr>
        <w:t>Institution</w:t>
      </w:r>
      <w:proofErr w:type="spellEnd"/>
      <w:r w:rsidRPr="00C564BC">
        <w:rPr>
          <w:sz w:val="22"/>
          <w:szCs w:val="22"/>
          <w:lang w:val="es-AR"/>
        </w:rPr>
        <w:t xml:space="preserve"> </w:t>
      </w:r>
      <w:proofErr w:type="spellStart"/>
      <w:r w:rsidRPr="00C564BC">
        <w:rPr>
          <w:sz w:val="22"/>
          <w:szCs w:val="22"/>
          <w:lang w:val="es-AR"/>
        </w:rPr>
        <w:t>Press</w:t>
      </w:r>
      <w:proofErr w:type="spellEnd"/>
      <w:r w:rsidRPr="00C564BC">
        <w:rPr>
          <w:sz w:val="22"/>
          <w:szCs w:val="22"/>
          <w:lang w:val="es-AR"/>
        </w:rPr>
        <w:t>.</w:t>
      </w:r>
    </w:p>
    <w:p w:rsidR="00A27A60" w:rsidRPr="00C564BC" w:rsidRDefault="00A27A60" w:rsidP="00A27A60">
      <w:pPr>
        <w:autoSpaceDE w:val="0"/>
        <w:autoSpaceDN w:val="0"/>
        <w:spacing w:after="60"/>
        <w:ind w:firstLine="142"/>
        <w:jc w:val="both"/>
        <w:rPr>
          <w:rFonts w:eastAsia="Calibri"/>
          <w:sz w:val="22"/>
          <w:szCs w:val="22"/>
          <w:lang w:val="es-AR" w:eastAsia="en-US"/>
        </w:rPr>
      </w:pPr>
      <w:proofErr w:type="spellStart"/>
      <w:r w:rsidRPr="00C564BC">
        <w:rPr>
          <w:rFonts w:eastAsia="Calibri"/>
          <w:sz w:val="22"/>
          <w:szCs w:val="22"/>
          <w:lang w:val="es-AR" w:eastAsia="en-US"/>
        </w:rPr>
        <w:t>Monza</w:t>
      </w:r>
      <w:proofErr w:type="spellEnd"/>
      <w:r w:rsidRPr="00C564BC">
        <w:rPr>
          <w:rFonts w:eastAsia="Calibri"/>
          <w:sz w:val="22"/>
          <w:szCs w:val="22"/>
          <w:lang w:val="es-AR" w:eastAsia="en-US"/>
        </w:rPr>
        <w:t xml:space="preserve">, A. y </w:t>
      </w:r>
      <w:proofErr w:type="spellStart"/>
      <w:r w:rsidRPr="00C564BC">
        <w:rPr>
          <w:rFonts w:eastAsia="Calibri"/>
          <w:sz w:val="22"/>
          <w:szCs w:val="22"/>
          <w:lang w:val="es-AR" w:eastAsia="en-US"/>
        </w:rPr>
        <w:t>Giacometti</w:t>
      </w:r>
      <w:proofErr w:type="spellEnd"/>
      <w:r w:rsidRPr="00C564BC">
        <w:rPr>
          <w:rFonts w:eastAsia="Calibri"/>
          <w:sz w:val="22"/>
          <w:szCs w:val="22"/>
          <w:lang w:val="es-AR" w:eastAsia="en-US"/>
        </w:rPr>
        <w:t xml:space="preserve">, C (2003), “Los beneficiarios del Plan Jefas y Jefes de Hogar. </w:t>
      </w:r>
      <w:r w:rsidRPr="00C564BC">
        <w:rPr>
          <w:rFonts w:eastAsia="Calibri"/>
          <w:i/>
          <w:sz w:val="22"/>
          <w:szCs w:val="22"/>
          <w:lang w:val="es-AR" w:eastAsia="en-US"/>
        </w:rPr>
        <w:t>Enfrentando los retos al trabajo decente en la crisis argentina”</w:t>
      </w:r>
      <w:r w:rsidRPr="00C564BC">
        <w:rPr>
          <w:rFonts w:eastAsia="Calibri"/>
          <w:sz w:val="22"/>
          <w:szCs w:val="22"/>
          <w:lang w:val="es-AR" w:eastAsia="en-US"/>
        </w:rPr>
        <w:t>. Proyecto de Cooperación Técnica OIT/Gobierno Argentino (</w:t>
      </w:r>
      <w:proofErr w:type="spellStart"/>
      <w:r w:rsidRPr="00C564BC">
        <w:rPr>
          <w:rFonts w:eastAsia="Calibri"/>
          <w:sz w:val="22"/>
          <w:szCs w:val="22"/>
          <w:lang w:val="es-AR" w:eastAsia="en-US"/>
        </w:rPr>
        <w:t>MTEySS</w:t>
      </w:r>
      <w:proofErr w:type="spellEnd"/>
      <w:r w:rsidRPr="00C564BC">
        <w:rPr>
          <w:rFonts w:eastAsia="Calibri"/>
          <w:sz w:val="22"/>
          <w:szCs w:val="22"/>
          <w:lang w:val="es-AR" w:eastAsia="en-US"/>
        </w:rPr>
        <w:t>). Buenos Aires. (</w:t>
      </w:r>
      <w:proofErr w:type="spellStart"/>
      <w:r w:rsidRPr="00C564BC">
        <w:rPr>
          <w:rFonts w:eastAsia="Calibri"/>
          <w:sz w:val="22"/>
          <w:szCs w:val="22"/>
          <w:lang w:val="es-AR" w:eastAsia="en-US"/>
        </w:rPr>
        <w:t>mimeo</w:t>
      </w:r>
      <w:proofErr w:type="spellEnd"/>
      <w:r w:rsidRPr="00C564BC">
        <w:rPr>
          <w:rFonts w:eastAsia="Calibri"/>
          <w:sz w:val="22"/>
          <w:szCs w:val="22"/>
          <w:lang w:val="es-AR" w:eastAsia="en-US"/>
        </w:rPr>
        <w:t>)</w:t>
      </w:r>
    </w:p>
    <w:p w:rsidR="00A27A60" w:rsidRPr="00C564BC" w:rsidRDefault="00A27A60" w:rsidP="00A27A60">
      <w:pPr>
        <w:spacing w:after="60"/>
        <w:ind w:firstLine="142"/>
        <w:jc w:val="both"/>
        <w:rPr>
          <w:rFonts w:eastAsia="Calibri"/>
          <w:sz w:val="22"/>
          <w:szCs w:val="22"/>
          <w:lang w:val="es-AR" w:eastAsia="en-US"/>
        </w:rPr>
      </w:pPr>
      <w:r w:rsidRPr="00C564BC">
        <w:rPr>
          <w:rFonts w:eastAsia="Calibri"/>
          <w:sz w:val="22"/>
          <w:szCs w:val="22"/>
          <w:lang w:val="es-AR" w:eastAsia="en-US"/>
        </w:rPr>
        <w:t xml:space="preserve">Moreno, L. y Serrano Pascual, A. (2007) “Europeización del Bienestar y activación”, en </w:t>
      </w:r>
      <w:r w:rsidRPr="00C564BC">
        <w:rPr>
          <w:rFonts w:eastAsia="Calibri"/>
          <w:i/>
          <w:sz w:val="22"/>
          <w:szCs w:val="22"/>
          <w:lang w:val="es-AR" w:eastAsia="en-US"/>
        </w:rPr>
        <w:t>Política y Sociedad</w:t>
      </w:r>
      <w:r w:rsidRPr="00C564BC">
        <w:rPr>
          <w:rFonts w:eastAsia="Calibri"/>
          <w:sz w:val="22"/>
          <w:szCs w:val="22"/>
          <w:lang w:val="es-AR" w:eastAsia="en-US"/>
        </w:rPr>
        <w:t xml:space="preserve">,  44 (2). </w:t>
      </w:r>
    </w:p>
    <w:p w:rsidR="000F60C5" w:rsidRPr="00C564BC" w:rsidRDefault="000F60C5" w:rsidP="000F60C5">
      <w:pPr>
        <w:spacing w:after="120"/>
        <w:jc w:val="both"/>
        <w:rPr>
          <w:spacing w:val="-3"/>
          <w:lang w:val="es-AR"/>
        </w:rPr>
      </w:pPr>
      <w:r w:rsidRPr="00C564BC">
        <w:rPr>
          <w:spacing w:val="-3"/>
          <w:lang w:val="es-AR"/>
        </w:rPr>
        <w:t xml:space="preserve">  </w:t>
      </w:r>
      <w:proofErr w:type="spellStart"/>
      <w:r w:rsidRPr="00C564BC">
        <w:rPr>
          <w:spacing w:val="-3"/>
          <w:lang w:val="es-AR"/>
        </w:rPr>
        <w:t>Margulis</w:t>
      </w:r>
      <w:proofErr w:type="spellEnd"/>
      <w:r w:rsidRPr="00C564BC">
        <w:rPr>
          <w:spacing w:val="-3"/>
          <w:lang w:val="es-AR"/>
        </w:rPr>
        <w:t xml:space="preserve">, Mario 1980 "Reproducción social de la vida y reproducción del capital", en </w:t>
      </w:r>
      <w:r w:rsidRPr="00C564BC">
        <w:rPr>
          <w:i/>
          <w:spacing w:val="-3"/>
          <w:lang w:val="es-AR"/>
        </w:rPr>
        <w:t>Revista Nueva Antropología</w:t>
      </w:r>
      <w:r w:rsidRPr="00C564BC">
        <w:rPr>
          <w:spacing w:val="-3"/>
          <w:lang w:val="es-AR"/>
        </w:rPr>
        <w:t xml:space="preserve"> (México) Vol. IV, Nº 13-14.</w:t>
      </w:r>
    </w:p>
    <w:p w:rsidR="00A27A60" w:rsidRPr="00C564BC" w:rsidRDefault="00A27A60" w:rsidP="00A27A60">
      <w:pPr>
        <w:pStyle w:val="Sinespaciado"/>
        <w:spacing w:after="60"/>
        <w:ind w:firstLine="142"/>
        <w:jc w:val="both"/>
        <w:rPr>
          <w:rFonts w:ascii="Times New Roman" w:hAnsi="Times New Roman"/>
        </w:rPr>
      </w:pPr>
      <w:proofErr w:type="spellStart"/>
      <w:r w:rsidRPr="00C564BC">
        <w:rPr>
          <w:rFonts w:ascii="Times New Roman" w:hAnsi="Times New Roman"/>
        </w:rPr>
        <w:t>Neffa</w:t>
      </w:r>
      <w:proofErr w:type="spellEnd"/>
      <w:r w:rsidRPr="00C564BC">
        <w:rPr>
          <w:rFonts w:ascii="Times New Roman" w:hAnsi="Times New Roman"/>
        </w:rPr>
        <w:t xml:space="preserve">, J.C. y </w:t>
      </w:r>
      <w:proofErr w:type="spellStart"/>
      <w:r w:rsidRPr="00C564BC">
        <w:rPr>
          <w:rFonts w:ascii="Times New Roman" w:hAnsi="Times New Roman"/>
        </w:rPr>
        <w:t>Panigo</w:t>
      </w:r>
      <w:proofErr w:type="spellEnd"/>
      <w:r w:rsidRPr="00C564BC">
        <w:rPr>
          <w:rFonts w:ascii="Times New Roman" w:hAnsi="Times New Roman"/>
        </w:rPr>
        <w:t xml:space="preserve">, D. (2009). </w:t>
      </w:r>
      <w:r w:rsidRPr="00C564BC">
        <w:rPr>
          <w:rFonts w:ascii="Times New Roman" w:hAnsi="Times New Roman"/>
          <w:i/>
        </w:rPr>
        <w:t>El mercado de trabajo argentino en el nuevo modelo de desarrollo</w:t>
      </w:r>
      <w:r w:rsidRPr="00C564BC">
        <w:rPr>
          <w:rFonts w:ascii="Times New Roman" w:hAnsi="Times New Roman"/>
        </w:rPr>
        <w:t>, Documento de Trabajo, Dirección Nacional de Programación Macroeconómica/ Dirección de Modelos y Proyecciones, Ministerio de Economía y Finanzas Públicas</w:t>
      </w:r>
    </w:p>
    <w:p w:rsidR="00A27A60" w:rsidRPr="00C564BC" w:rsidRDefault="00A27A60" w:rsidP="00A27A60">
      <w:pPr>
        <w:spacing w:after="60"/>
        <w:ind w:firstLine="142"/>
        <w:jc w:val="both"/>
        <w:rPr>
          <w:sz w:val="22"/>
          <w:szCs w:val="22"/>
          <w:lang w:val="es-AR"/>
        </w:rPr>
      </w:pPr>
      <w:r w:rsidRPr="00C564BC">
        <w:rPr>
          <w:sz w:val="22"/>
          <w:szCs w:val="22"/>
          <w:lang w:val="es-AR"/>
        </w:rPr>
        <w:t xml:space="preserve">Novick, M. </w:t>
      </w:r>
      <w:r w:rsidRPr="00C564BC">
        <w:rPr>
          <w:sz w:val="22"/>
          <w:szCs w:val="22"/>
        </w:rPr>
        <w:t>(</w:t>
      </w:r>
      <w:r w:rsidRPr="00C564BC">
        <w:rPr>
          <w:sz w:val="22"/>
          <w:szCs w:val="22"/>
          <w:lang w:val="es-AR"/>
        </w:rPr>
        <w:t>2</w:t>
      </w:r>
      <w:r w:rsidRPr="00C564BC">
        <w:rPr>
          <w:sz w:val="22"/>
          <w:szCs w:val="22"/>
        </w:rPr>
        <w:t>006)</w:t>
      </w:r>
      <w:r w:rsidRPr="00C564BC">
        <w:rPr>
          <w:sz w:val="22"/>
          <w:szCs w:val="22"/>
          <w:lang w:val="es-AR"/>
        </w:rPr>
        <w:t xml:space="preserve"> “¿Emerge un nuevo modelo económico y social? El caso argentino 2003-2006. </w:t>
      </w:r>
      <w:r w:rsidRPr="00C564BC">
        <w:rPr>
          <w:i/>
          <w:sz w:val="22"/>
          <w:szCs w:val="22"/>
          <w:lang w:val="es-AR"/>
        </w:rPr>
        <w:t>Revista Latinoamericana de Estudios del Trabajo</w:t>
      </w:r>
      <w:r w:rsidRPr="00C564BC">
        <w:rPr>
          <w:sz w:val="22"/>
          <w:szCs w:val="22"/>
          <w:lang w:val="es-AR"/>
        </w:rPr>
        <w:t xml:space="preserve">. Año 11, N° 18. </w:t>
      </w:r>
    </w:p>
    <w:p w:rsidR="00A27A60" w:rsidRPr="00C564BC" w:rsidRDefault="00A27A60" w:rsidP="00A27A60">
      <w:pPr>
        <w:spacing w:after="60"/>
        <w:ind w:firstLine="142"/>
        <w:jc w:val="both"/>
        <w:rPr>
          <w:sz w:val="22"/>
          <w:szCs w:val="22"/>
        </w:rPr>
      </w:pPr>
      <w:proofErr w:type="spellStart"/>
      <w:r w:rsidRPr="00C564BC">
        <w:rPr>
          <w:sz w:val="22"/>
          <w:szCs w:val="22"/>
        </w:rPr>
        <w:t>Nun</w:t>
      </w:r>
      <w:proofErr w:type="spellEnd"/>
      <w:r w:rsidRPr="00C564BC">
        <w:rPr>
          <w:sz w:val="22"/>
          <w:szCs w:val="22"/>
        </w:rPr>
        <w:t xml:space="preserve">, J. (1969). Superpoblación relativa, ejército industrial de reserva y masa marginal. </w:t>
      </w:r>
      <w:r w:rsidRPr="00C564BC">
        <w:rPr>
          <w:i/>
          <w:sz w:val="22"/>
          <w:szCs w:val="22"/>
        </w:rPr>
        <w:t>Revista Mexicana de Sociología</w:t>
      </w:r>
      <w:r w:rsidRPr="00C564BC">
        <w:rPr>
          <w:sz w:val="22"/>
          <w:szCs w:val="22"/>
        </w:rPr>
        <w:t>. N° 2.</w:t>
      </w:r>
    </w:p>
    <w:p w:rsidR="00A27A60" w:rsidRPr="00C564BC" w:rsidRDefault="00CB0725" w:rsidP="00CB0725">
      <w:pPr>
        <w:spacing w:after="60"/>
        <w:jc w:val="both"/>
        <w:rPr>
          <w:sz w:val="22"/>
          <w:szCs w:val="22"/>
        </w:rPr>
      </w:pPr>
      <w:r w:rsidRPr="00C564BC">
        <w:rPr>
          <w:iCs/>
          <w:sz w:val="22"/>
          <w:szCs w:val="22"/>
          <w:shd w:val="clear" w:color="auto" w:fill="FFFFFF"/>
        </w:rPr>
        <w:t xml:space="preserve">  </w:t>
      </w:r>
      <w:proofErr w:type="spellStart"/>
      <w:r w:rsidRPr="00C564BC">
        <w:rPr>
          <w:iCs/>
          <w:sz w:val="22"/>
          <w:szCs w:val="22"/>
          <w:shd w:val="clear" w:color="auto" w:fill="FFFFFF"/>
        </w:rPr>
        <w:t>Nun</w:t>
      </w:r>
      <w:proofErr w:type="spellEnd"/>
      <w:r w:rsidRPr="00C564BC">
        <w:rPr>
          <w:iCs/>
          <w:sz w:val="22"/>
          <w:szCs w:val="22"/>
          <w:shd w:val="clear" w:color="auto" w:fill="FFFFFF"/>
        </w:rPr>
        <w:t>, J.</w:t>
      </w:r>
      <w:r w:rsidR="00A27A60" w:rsidRPr="00C564BC">
        <w:rPr>
          <w:sz w:val="22"/>
          <w:szCs w:val="22"/>
          <w:shd w:val="clear" w:color="auto" w:fill="FFFFFF"/>
        </w:rPr>
        <w:t xml:space="preserve"> (2001), “Marginalidad y Exclusión Social. Buenos Aires: Fondo de Cultura Económica.</w:t>
      </w:r>
    </w:p>
    <w:p w:rsidR="00AC068B" w:rsidRPr="00C564BC" w:rsidRDefault="00AC068B" w:rsidP="00A27A60">
      <w:pPr>
        <w:spacing w:after="60"/>
        <w:ind w:firstLine="142"/>
        <w:jc w:val="both"/>
        <w:rPr>
          <w:sz w:val="22"/>
          <w:szCs w:val="22"/>
          <w:lang w:val="es-AR"/>
        </w:rPr>
      </w:pPr>
      <w:proofErr w:type="spellStart"/>
      <w:r w:rsidRPr="00C564BC">
        <w:rPr>
          <w:sz w:val="22"/>
          <w:szCs w:val="22"/>
          <w:lang w:val="es-AR"/>
        </w:rPr>
        <w:t>Nun</w:t>
      </w:r>
      <w:proofErr w:type="spellEnd"/>
      <w:r w:rsidRPr="00C564BC">
        <w:rPr>
          <w:sz w:val="22"/>
          <w:szCs w:val="22"/>
          <w:lang w:val="es-AR"/>
        </w:rPr>
        <w:t xml:space="preserve">, J.; Marín, J.C. y </w:t>
      </w:r>
      <w:proofErr w:type="spellStart"/>
      <w:r w:rsidRPr="00C564BC">
        <w:rPr>
          <w:sz w:val="22"/>
          <w:szCs w:val="22"/>
          <w:lang w:val="es-AR"/>
        </w:rPr>
        <w:t>Murmis</w:t>
      </w:r>
      <w:proofErr w:type="spellEnd"/>
      <w:r w:rsidRPr="00C564BC">
        <w:rPr>
          <w:sz w:val="22"/>
          <w:szCs w:val="22"/>
          <w:lang w:val="es-AR"/>
        </w:rPr>
        <w:t>, M. (1968): “La marginalidad en América Latina: informe preliminar”, en Documento de trabajo N° 35, Buenos Aires, CIS, 1968.</w:t>
      </w:r>
    </w:p>
    <w:p w:rsidR="00A27A60" w:rsidRPr="00C564BC" w:rsidRDefault="00A27A60" w:rsidP="00A27A60">
      <w:pPr>
        <w:spacing w:after="60"/>
        <w:ind w:firstLine="142"/>
        <w:jc w:val="both"/>
        <w:rPr>
          <w:sz w:val="22"/>
          <w:szCs w:val="22"/>
          <w:lang w:val="es-AR"/>
        </w:rPr>
      </w:pPr>
      <w:r w:rsidRPr="00C564BC">
        <w:rPr>
          <w:sz w:val="22"/>
          <w:szCs w:val="22"/>
          <w:lang w:val="es-AR"/>
        </w:rPr>
        <w:lastRenderedPageBreak/>
        <w:t xml:space="preserve">Palomino, H. </w:t>
      </w:r>
      <w:r w:rsidRPr="00C564BC">
        <w:rPr>
          <w:sz w:val="22"/>
          <w:szCs w:val="22"/>
        </w:rPr>
        <w:t>(</w:t>
      </w:r>
      <w:r w:rsidRPr="00C564BC">
        <w:rPr>
          <w:sz w:val="22"/>
          <w:szCs w:val="22"/>
          <w:lang w:val="es-AR"/>
        </w:rPr>
        <w:t>2007</w:t>
      </w:r>
      <w:r w:rsidRPr="00C564BC">
        <w:rPr>
          <w:sz w:val="22"/>
          <w:szCs w:val="22"/>
        </w:rPr>
        <w:t>)</w:t>
      </w:r>
      <w:r w:rsidRPr="00C564BC">
        <w:rPr>
          <w:sz w:val="22"/>
          <w:szCs w:val="22"/>
          <w:lang w:val="es-AR"/>
        </w:rPr>
        <w:t xml:space="preserve">, “La instalación de un nuevo régimen de empleo en Argentina: de la precarización a la regulación”. </w:t>
      </w:r>
      <w:r w:rsidRPr="00C564BC">
        <w:rPr>
          <w:i/>
          <w:sz w:val="22"/>
          <w:szCs w:val="22"/>
          <w:lang w:val="es-AR"/>
        </w:rPr>
        <w:t>Revista Latinoamericana de Estudios del Trabajo</w:t>
      </w:r>
      <w:r w:rsidRPr="00C564BC">
        <w:rPr>
          <w:sz w:val="22"/>
          <w:szCs w:val="22"/>
          <w:lang w:val="es-AR"/>
        </w:rPr>
        <w:t xml:space="preserve">. Año 12, N° 19. </w:t>
      </w:r>
    </w:p>
    <w:p w:rsidR="00A27A60" w:rsidRPr="00C564BC" w:rsidRDefault="00A27A60" w:rsidP="00A27A60">
      <w:pPr>
        <w:pStyle w:val="Sinespaciado"/>
        <w:spacing w:after="60"/>
        <w:ind w:firstLine="142"/>
        <w:jc w:val="both"/>
        <w:rPr>
          <w:rFonts w:ascii="Times New Roman" w:hAnsi="Times New Roman"/>
          <w:lang w:val="en-US"/>
        </w:rPr>
      </w:pPr>
      <w:r w:rsidRPr="00C564BC">
        <w:rPr>
          <w:rFonts w:ascii="Times New Roman" w:hAnsi="Times New Roman"/>
        </w:rPr>
        <w:t xml:space="preserve">Perry, G., </w:t>
      </w:r>
      <w:proofErr w:type="spellStart"/>
      <w:r w:rsidRPr="00C564BC">
        <w:rPr>
          <w:rFonts w:ascii="Times New Roman" w:hAnsi="Times New Roman"/>
        </w:rPr>
        <w:t>Maloney</w:t>
      </w:r>
      <w:proofErr w:type="spellEnd"/>
      <w:r w:rsidRPr="00C564BC">
        <w:rPr>
          <w:rFonts w:ascii="Times New Roman" w:hAnsi="Times New Roman"/>
        </w:rPr>
        <w:t xml:space="preserve">, W., Arias, O., López, H., </w:t>
      </w:r>
      <w:proofErr w:type="spellStart"/>
      <w:r w:rsidRPr="00C564BC">
        <w:rPr>
          <w:rFonts w:ascii="Times New Roman" w:hAnsi="Times New Roman"/>
        </w:rPr>
        <w:t>Servén</w:t>
      </w:r>
      <w:proofErr w:type="spellEnd"/>
      <w:r w:rsidRPr="00C564BC">
        <w:rPr>
          <w:rFonts w:ascii="Times New Roman" w:hAnsi="Times New Roman"/>
        </w:rPr>
        <w:t xml:space="preserve">, L. (2006). </w:t>
      </w:r>
      <w:r w:rsidRPr="00C564BC">
        <w:rPr>
          <w:rFonts w:ascii="Times New Roman" w:hAnsi="Times New Roman"/>
          <w:i/>
        </w:rPr>
        <w:t>Reducción de la pobreza y crecimiento: Círculos virtuosos y círculos viciosos</w:t>
      </w:r>
      <w:r w:rsidRPr="00C564BC">
        <w:rPr>
          <w:rFonts w:ascii="Times New Roman" w:hAnsi="Times New Roman"/>
        </w:rPr>
        <w:t xml:space="preserve">. </w:t>
      </w:r>
      <w:r w:rsidRPr="00C564BC">
        <w:rPr>
          <w:rFonts w:ascii="Times New Roman" w:hAnsi="Times New Roman"/>
          <w:lang w:val="en-US"/>
        </w:rPr>
        <w:t>Bogotá: Banco Mundial.</w:t>
      </w:r>
    </w:p>
    <w:p w:rsidR="00A27A60" w:rsidRPr="00C564BC" w:rsidRDefault="00A27A60" w:rsidP="00A27A60">
      <w:pPr>
        <w:spacing w:after="60"/>
        <w:ind w:left="708" w:hanging="566"/>
        <w:jc w:val="both"/>
        <w:rPr>
          <w:sz w:val="22"/>
          <w:szCs w:val="22"/>
          <w:lang w:val="en-US"/>
        </w:rPr>
      </w:pPr>
      <w:r w:rsidRPr="00C564BC">
        <w:rPr>
          <w:sz w:val="22"/>
          <w:szCs w:val="22"/>
          <w:lang w:val="en-US"/>
        </w:rPr>
        <w:t xml:space="preserve">Piketty Thomas (2014), </w:t>
      </w:r>
      <w:r w:rsidRPr="00C564BC">
        <w:rPr>
          <w:rFonts w:eastAsia="Calibri"/>
          <w:i/>
          <w:sz w:val="22"/>
          <w:szCs w:val="22"/>
          <w:lang w:val="en-US" w:eastAsia="en-US"/>
        </w:rPr>
        <w:t>Capital in the Twenty-First Century</w:t>
      </w:r>
      <w:r w:rsidRPr="00C564BC">
        <w:rPr>
          <w:sz w:val="22"/>
          <w:szCs w:val="22"/>
          <w:lang w:val="en-US"/>
        </w:rPr>
        <w:t xml:space="preserve">, </w:t>
      </w:r>
      <w:smartTag w:uri="urn:schemas-microsoft-com:office:smarttags" w:element="City">
        <w:smartTag w:uri="urn:schemas-microsoft-com:office:smarttags" w:element="place">
          <w:r w:rsidRPr="00C564BC">
            <w:rPr>
              <w:sz w:val="22"/>
              <w:szCs w:val="22"/>
              <w:lang w:val="en-US"/>
            </w:rPr>
            <w:t>Cambridge</w:t>
          </w:r>
        </w:smartTag>
      </w:smartTag>
      <w:r w:rsidRPr="00C564BC">
        <w:rPr>
          <w:sz w:val="22"/>
          <w:szCs w:val="22"/>
          <w:lang w:val="en-US"/>
        </w:rPr>
        <w:t xml:space="preserve">, </w:t>
      </w:r>
      <w:proofErr w:type="spellStart"/>
      <w:r w:rsidRPr="00C564BC">
        <w:rPr>
          <w:sz w:val="22"/>
          <w:szCs w:val="22"/>
          <w:lang w:val="en-US"/>
        </w:rPr>
        <w:t>Massachussets</w:t>
      </w:r>
      <w:proofErr w:type="spellEnd"/>
      <w:r w:rsidRPr="00C564BC">
        <w:rPr>
          <w:sz w:val="22"/>
          <w:szCs w:val="22"/>
          <w:lang w:val="en-US"/>
        </w:rPr>
        <w:t>.</w:t>
      </w:r>
    </w:p>
    <w:p w:rsidR="00A27A60" w:rsidRPr="00C564BC" w:rsidRDefault="00A27A60" w:rsidP="00A27A60">
      <w:pPr>
        <w:spacing w:after="60"/>
        <w:ind w:firstLine="142"/>
        <w:jc w:val="both"/>
        <w:rPr>
          <w:sz w:val="22"/>
          <w:szCs w:val="22"/>
        </w:rPr>
      </w:pPr>
      <w:r w:rsidRPr="00C564BC">
        <w:rPr>
          <w:sz w:val="22"/>
          <w:szCs w:val="22"/>
        </w:rPr>
        <w:t xml:space="preserve">Pinto, A. (1973). “Heterogeneidad estructural y modelo de desarrollo reciente en América Latina”. En: </w:t>
      </w:r>
      <w:r w:rsidRPr="00C564BC">
        <w:rPr>
          <w:i/>
          <w:sz w:val="22"/>
          <w:szCs w:val="22"/>
        </w:rPr>
        <w:t>Inflación: raíces estructurales</w:t>
      </w:r>
      <w:r w:rsidRPr="00C564BC">
        <w:rPr>
          <w:sz w:val="22"/>
          <w:szCs w:val="22"/>
        </w:rPr>
        <w:t>. México: Fondo de Cultura Económica.</w:t>
      </w:r>
    </w:p>
    <w:p w:rsidR="00A27A60" w:rsidRPr="00C564BC" w:rsidRDefault="00A27A60" w:rsidP="00A27A60">
      <w:pPr>
        <w:spacing w:after="60"/>
        <w:ind w:firstLine="142"/>
        <w:jc w:val="both"/>
        <w:rPr>
          <w:sz w:val="22"/>
          <w:szCs w:val="22"/>
        </w:rPr>
      </w:pPr>
      <w:proofErr w:type="spellStart"/>
      <w:r w:rsidRPr="00C564BC">
        <w:rPr>
          <w:sz w:val="22"/>
          <w:szCs w:val="22"/>
        </w:rPr>
        <w:t>Prebisch</w:t>
      </w:r>
      <w:proofErr w:type="spellEnd"/>
      <w:r w:rsidRPr="00C564BC">
        <w:rPr>
          <w:sz w:val="22"/>
          <w:szCs w:val="22"/>
        </w:rPr>
        <w:t xml:space="preserve">, R. (1949). </w:t>
      </w:r>
      <w:r w:rsidRPr="00C564BC">
        <w:rPr>
          <w:i/>
          <w:sz w:val="22"/>
          <w:szCs w:val="22"/>
        </w:rPr>
        <w:t>El desarrollo económico de América Latina y algunos de sus principales problemas</w:t>
      </w:r>
      <w:r w:rsidRPr="00C564BC">
        <w:rPr>
          <w:sz w:val="22"/>
          <w:szCs w:val="22"/>
        </w:rPr>
        <w:t>, Santiago de Chile: Naciones Unidas.</w:t>
      </w:r>
    </w:p>
    <w:p w:rsidR="00A27A60" w:rsidRPr="00C564BC" w:rsidRDefault="00A27A60" w:rsidP="00A27A60">
      <w:pPr>
        <w:spacing w:after="60"/>
        <w:ind w:firstLine="142"/>
        <w:jc w:val="both"/>
        <w:rPr>
          <w:sz w:val="22"/>
          <w:szCs w:val="22"/>
        </w:rPr>
      </w:pPr>
      <w:proofErr w:type="spellStart"/>
      <w:r w:rsidRPr="00C564BC">
        <w:rPr>
          <w:sz w:val="22"/>
          <w:szCs w:val="22"/>
        </w:rPr>
        <w:t>Prebisch</w:t>
      </w:r>
      <w:proofErr w:type="spellEnd"/>
      <w:r w:rsidRPr="00C564BC">
        <w:rPr>
          <w:sz w:val="22"/>
          <w:szCs w:val="22"/>
        </w:rPr>
        <w:t xml:space="preserve">, R. (1963). </w:t>
      </w:r>
      <w:r w:rsidRPr="00C564BC">
        <w:rPr>
          <w:i/>
          <w:sz w:val="22"/>
          <w:szCs w:val="22"/>
        </w:rPr>
        <w:t>Hacia una dinámica del desarrollo latinoamericano</w:t>
      </w:r>
      <w:r w:rsidRPr="00C564BC">
        <w:rPr>
          <w:sz w:val="22"/>
          <w:szCs w:val="22"/>
        </w:rPr>
        <w:t>, México: Fondo de Cultura Económica.</w:t>
      </w:r>
    </w:p>
    <w:p w:rsidR="00A27A60" w:rsidRPr="00C564BC" w:rsidRDefault="00A27A60" w:rsidP="00A27A60">
      <w:pPr>
        <w:spacing w:after="60"/>
        <w:ind w:firstLine="142"/>
        <w:jc w:val="both"/>
        <w:rPr>
          <w:sz w:val="22"/>
          <w:szCs w:val="22"/>
        </w:rPr>
      </w:pPr>
      <w:proofErr w:type="spellStart"/>
      <w:r w:rsidRPr="00C564BC">
        <w:rPr>
          <w:sz w:val="22"/>
          <w:szCs w:val="22"/>
        </w:rPr>
        <w:t>Prebisch</w:t>
      </w:r>
      <w:proofErr w:type="spellEnd"/>
      <w:r w:rsidRPr="00C564BC">
        <w:rPr>
          <w:sz w:val="22"/>
          <w:szCs w:val="22"/>
        </w:rPr>
        <w:t xml:space="preserve">, R. (1970). </w:t>
      </w:r>
      <w:r w:rsidRPr="00C564BC">
        <w:rPr>
          <w:i/>
          <w:sz w:val="22"/>
          <w:szCs w:val="22"/>
        </w:rPr>
        <w:t>Transformación y desarrollo: la gran tarea de América Latina</w:t>
      </w:r>
      <w:r w:rsidRPr="00C564BC">
        <w:rPr>
          <w:sz w:val="22"/>
          <w:szCs w:val="22"/>
        </w:rPr>
        <w:t>, México: Fondo de Cultura Económica.</w:t>
      </w:r>
    </w:p>
    <w:p w:rsidR="00A27A60" w:rsidRPr="00C564BC" w:rsidRDefault="00A27A60" w:rsidP="00A27A60">
      <w:pPr>
        <w:spacing w:after="60"/>
        <w:ind w:firstLine="142"/>
        <w:jc w:val="both"/>
        <w:rPr>
          <w:sz w:val="22"/>
          <w:szCs w:val="22"/>
        </w:rPr>
      </w:pPr>
      <w:proofErr w:type="spellStart"/>
      <w:r w:rsidRPr="00C564BC">
        <w:rPr>
          <w:sz w:val="22"/>
          <w:szCs w:val="22"/>
        </w:rPr>
        <w:t>Prebisch</w:t>
      </w:r>
      <w:proofErr w:type="spellEnd"/>
      <w:r w:rsidRPr="00C564BC">
        <w:rPr>
          <w:sz w:val="22"/>
          <w:szCs w:val="22"/>
        </w:rPr>
        <w:t xml:space="preserve">, R. (1981). </w:t>
      </w:r>
      <w:r w:rsidRPr="00C564BC">
        <w:rPr>
          <w:i/>
          <w:sz w:val="22"/>
          <w:szCs w:val="22"/>
        </w:rPr>
        <w:t>Capitalismo periférico: crisis y transformación</w:t>
      </w:r>
      <w:r w:rsidRPr="00C564BC">
        <w:rPr>
          <w:sz w:val="22"/>
          <w:szCs w:val="22"/>
        </w:rPr>
        <w:t>, México: Fondo de Cultura Económica.</w:t>
      </w:r>
    </w:p>
    <w:p w:rsidR="00A27A60" w:rsidRPr="00C564BC" w:rsidRDefault="00A27A60" w:rsidP="00A27A60">
      <w:pPr>
        <w:spacing w:after="60"/>
        <w:ind w:firstLine="142"/>
        <w:jc w:val="both"/>
        <w:rPr>
          <w:sz w:val="22"/>
          <w:szCs w:val="22"/>
        </w:rPr>
      </w:pPr>
      <w:proofErr w:type="spellStart"/>
      <w:r w:rsidRPr="00C564BC">
        <w:rPr>
          <w:sz w:val="22"/>
          <w:szCs w:val="22"/>
        </w:rPr>
        <w:t>Repetto</w:t>
      </w:r>
      <w:proofErr w:type="spellEnd"/>
      <w:r w:rsidRPr="00C564BC">
        <w:rPr>
          <w:sz w:val="22"/>
          <w:szCs w:val="22"/>
        </w:rPr>
        <w:t xml:space="preserve">, F. (2002) </w:t>
      </w:r>
      <w:r w:rsidRPr="00C564BC">
        <w:rPr>
          <w:i/>
          <w:sz w:val="22"/>
          <w:szCs w:val="22"/>
        </w:rPr>
        <w:t xml:space="preserve">Gestión </w:t>
      </w:r>
      <w:r w:rsidR="00923AD2" w:rsidRPr="00C564BC">
        <w:rPr>
          <w:i/>
          <w:sz w:val="22"/>
          <w:szCs w:val="22"/>
        </w:rPr>
        <w:t>pública</w:t>
      </w:r>
      <w:r w:rsidRPr="00C564BC">
        <w:rPr>
          <w:i/>
          <w:sz w:val="22"/>
          <w:szCs w:val="22"/>
        </w:rPr>
        <w:t xml:space="preserve"> y desarrollo social en los noventa. Las trayectorias de Argentina y Chile</w:t>
      </w:r>
      <w:r w:rsidRPr="00C564BC">
        <w:rPr>
          <w:sz w:val="22"/>
          <w:szCs w:val="22"/>
        </w:rPr>
        <w:t>, Buenos Aires: Prometeo.</w:t>
      </w:r>
    </w:p>
    <w:p w:rsidR="00A27A60" w:rsidRPr="00C564BC" w:rsidRDefault="00A27A60" w:rsidP="00A27A60">
      <w:pPr>
        <w:spacing w:after="60"/>
        <w:ind w:firstLine="142"/>
        <w:jc w:val="both"/>
        <w:rPr>
          <w:sz w:val="22"/>
          <w:szCs w:val="22"/>
          <w:lang w:val="es-AR"/>
        </w:rPr>
      </w:pPr>
      <w:proofErr w:type="spellStart"/>
      <w:r w:rsidRPr="00C564BC">
        <w:rPr>
          <w:sz w:val="22"/>
          <w:szCs w:val="22"/>
        </w:rPr>
        <w:t>Repetto</w:t>
      </w:r>
      <w:proofErr w:type="spellEnd"/>
      <w:r w:rsidRPr="00C564BC">
        <w:rPr>
          <w:sz w:val="22"/>
          <w:szCs w:val="22"/>
        </w:rPr>
        <w:t>, F. y Andrenacci, L. (2005) “Ciudadanía y capacidad estatal: dilemas presentes en la reconstrucción de la política social argentina”. En Andrenacci, L. (</w:t>
      </w:r>
      <w:proofErr w:type="spellStart"/>
      <w:r w:rsidRPr="00C564BC">
        <w:rPr>
          <w:sz w:val="22"/>
          <w:szCs w:val="22"/>
        </w:rPr>
        <w:t>comp.</w:t>
      </w:r>
      <w:proofErr w:type="spellEnd"/>
      <w:r w:rsidRPr="00C564BC">
        <w:rPr>
          <w:sz w:val="22"/>
          <w:szCs w:val="22"/>
        </w:rPr>
        <w:t>)</w:t>
      </w:r>
      <w:r w:rsidRPr="00C564BC">
        <w:rPr>
          <w:rStyle w:val="apple-converted-space"/>
          <w:sz w:val="22"/>
          <w:szCs w:val="22"/>
        </w:rPr>
        <w:t> </w:t>
      </w:r>
      <w:r w:rsidRPr="00C564BC">
        <w:rPr>
          <w:i/>
          <w:iCs/>
          <w:sz w:val="22"/>
          <w:szCs w:val="22"/>
        </w:rPr>
        <w:t xml:space="preserve">Problemas de política social en </w:t>
      </w:r>
      <w:smartTag w:uri="urn:schemas-microsoft-com:office:smarttags" w:element="PersonName">
        <w:smartTagPr>
          <w:attr w:name="ProductID" w:val="la Argentina"/>
        </w:smartTagPr>
        <w:r w:rsidRPr="00C564BC">
          <w:rPr>
            <w:i/>
            <w:iCs/>
            <w:sz w:val="22"/>
            <w:szCs w:val="22"/>
          </w:rPr>
          <w:t>la Argentina</w:t>
        </w:r>
      </w:smartTag>
      <w:r w:rsidRPr="00C564BC">
        <w:rPr>
          <w:i/>
          <w:iCs/>
          <w:sz w:val="22"/>
          <w:szCs w:val="22"/>
        </w:rPr>
        <w:t xml:space="preserve"> contemporánea</w:t>
      </w:r>
      <w:r w:rsidRPr="00C564BC">
        <w:rPr>
          <w:sz w:val="22"/>
          <w:szCs w:val="22"/>
        </w:rPr>
        <w:t xml:space="preserve">. </w:t>
      </w:r>
      <w:r w:rsidRPr="00C564BC">
        <w:rPr>
          <w:sz w:val="22"/>
          <w:szCs w:val="22"/>
          <w:lang w:val="es-AR"/>
        </w:rPr>
        <w:t xml:space="preserve">Buenos Aires: Prometeo. </w:t>
      </w:r>
    </w:p>
    <w:p w:rsidR="00A27A60" w:rsidRPr="00C564BC" w:rsidRDefault="00A27A60" w:rsidP="00A27A60">
      <w:pPr>
        <w:spacing w:after="60"/>
        <w:ind w:firstLine="142"/>
        <w:jc w:val="both"/>
        <w:rPr>
          <w:sz w:val="22"/>
          <w:szCs w:val="22"/>
        </w:rPr>
      </w:pPr>
      <w:r w:rsidRPr="00C564BC">
        <w:rPr>
          <w:sz w:val="22"/>
          <w:szCs w:val="22"/>
        </w:rPr>
        <w:t xml:space="preserve">Rodríguez, O. (2006) </w:t>
      </w:r>
      <w:r w:rsidRPr="00C564BC">
        <w:rPr>
          <w:i/>
          <w:sz w:val="22"/>
          <w:szCs w:val="22"/>
        </w:rPr>
        <w:t xml:space="preserve">El estructuralismo latinoamericano, </w:t>
      </w:r>
      <w:r w:rsidRPr="00C564BC">
        <w:rPr>
          <w:sz w:val="22"/>
          <w:szCs w:val="22"/>
        </w:rPr>
        <w:t xml:space="preserve">México: Siglo Veintiuno Editores. </w:t>
      </w:r>
    </w:p>
    <w:p w:rsidR="00A27A60" w:rsidRPr="00C564BC" w:rsidRDefault="00A27A60" w:rsidP="00CB0725">
      <w:pPr>
        <w:spacing w:after="60"/>
        <w:ind w:firstLine="142"/>
        <w:jc w:val="both"/>
        <w:rPr>
          <w:rFonts w:eastAsia="Calibri"/>
          <w:sz w:val="22"/>
          <w:szCs w:val="22"/>
          <w:lang w:val="es-AR" w:eastAsia="en-US"/>
        </w:rPr>
      </w:pPr>
      <w:proofErr w:type="spellStart"/>
      <w:r w:rsidRPr="00C564BC">
        <w:rPr>
          <w:rFonts w:eastAsia="Calibri"/>
          <w:sz w:val="22"/>
          <w:szCs w:val="22"/>
          <w:lang w:val="es-AR" w:eastAsia="en-US"/>
        </w:rPr>
        <w:t>Rofman</w:t>
      </w:r>
      <w:proofErr w:type="spellEnd"/>
      <w:r w:rsidRPr="00C564BC">
        <w:rPr>
          <w:rFonts w:eastAsia="Calibri"/>
          <w:sz w:val="22"/>
          <w:szCs w:val="22"/>
          <w:lang w:val="es-AR" w:eastAsia="en-US"/>
        </w:rPr>
        <w:t xml:space="preserve">, R. (2013), “Argentina”. En: </w:t>
      </w:r>
      <w:proofErr w:type="spellStart"/>
      <w:r w:rsidRPr="00C564BC">
        <w:rPr>
          <w:rFonts w:eastAsia="Calibri"/>
          <w:sz w:val="22"/>
          <w:szCs w:val="22"/>
          <w:lang w:val="es-AR" w:eastAsia="en-US"/>
        </w:rPr>
        <w:t>Rofman</w:t>
      </w:r>
      <w:proofErr w:type="spellEnd"/>
      <w:r w:rsidRPr="00C564BC">
        <w:rPr>
          <w:rFonts w:eastAsia="Calibri"/>
          <w:sz w:val="22"/>
          <w:szCs w:val="22"/>
          <w:lang w:val="es-AR" w:eastAsia="en-US"/>
        </w:rPr>
        <w:t xml:space="preserve">, R., Apella, I. y </w:t>
      </w:r>
      <w:proofErr w:type="spellStart"/>
      <w:r w:rsidRPr="00C564BC">
        <w:rPr>
          <w:rFonts w:eastAsia="Calibri"/>
          <w:sz w:val="22"/>
          <w:szCs w:val="22"/>
          <w:lang w:val="es-AR" w:eastAsia="en-US"/>
        </w:rPr>
        <w:t>Vezza</w:t>
      </w:r>
      <w:proofErr w:type="spellEnd"/>
      <w:r w:rsidRPr="00C564BC">
        <w:rPr>
          <w:rFonts w:eastAsia="Calibri"/>
          <w:sz w:val="22"/>
          <w:szCs w:val="22"/>
          <w:lang w:val="es-AR" w:eastAsia="en-US"/>
        </w:rPr>
        <w:t xml:space="preserve">, E. (eds.), </w:t>
      </w:r>
      <w:r w:rsidRPr="00C564BC">
        <w:rPr>
          <w:rFonts w:eastAsia="Calibri"/>
          <w:i/>
          <w:sz w:val="22"/>
          <w:szCs w:val="22"/>
          <w:lang w:val="es-AR" w:eastAsia="en-US"/>
        </w:rPr>
        <w:t>Más allá de las pensiones contributivas. Catorce experiencias en América Latina</w:t>
      </w:r>
      <w:r w:rsidRPr="00C564BC">
        <w:rPr>
          <w:rFonts w:eastAsia="Calibri"/>
          <w:sz w:val="22"/>
          <w:szCs w:val="22"/>
          <w:lang w:val="es-AR" w:eastAsia="en-US"/>
        </w:rPr>
        <w:t>, Buenos Aires: Banco Mundial.</w:t>
      </w:r>
    </w:p>
    <w:p w:rsidR="00577341" w:rsidRPr="00C564BC" w:rsidRDefault="00577341" w:rsidP="00577341">
      <w:pPr>
        <w:spacing w:after="60"/>
        <w:ind w:firstLine="142"/>
        <w:jc w:val="both"/>
        <w:rPr>
          <w:sz w:val="22"/>
          <w:szCs w:val="22"/>
        </w:rPr>
      </w:pPr>
      <w:r w:rsidRPr="00C564BC">
        <w:rPr>
          <w:sz w:val="22"/>
          <w:szCs w:val="22"/>
        </w:rPr>
        <w:t>Salvia, A. (2007), “</w:t>
      </w:r>
      <w:r w:rsidRPr="00C564BC">
        <w:rPr>
          <w:spacing w:val="-2"/>
          <w:lang w:val="es-ES_tradnl"/>
        </w:rPr>
        <w:t>Consideraciones sobre la transición a la modernidad, la exclusión social y la marginalidad económica. Un campo abierto a la investigación social y al debate político</w:t>
      </w:r>
      <w:r w:rsidRPr="00C564BC">
        <w:rPr>
          <w:sz w:val="22"/>
          <w:szCs w:val="22"/>
        </w:rPr>
        <w:t>”, en Salvia y Chávez Molina (</w:t>
      </w:r>
      <w:proofErr w:type="spellStart"/>
      <w:r w:rsidRPr="00C564BC">
        <w:rPr>
          <w:sz w:val="22"/>
          <w:szCs w:val="22"/>
        </w:rPr>
        <w:t>comp.</w:t>
      </w:r>
      <w:proofErr w:type="spellEnd"/>
      <w:r w:rsidRPr="00C564BC">
        <w:rPr>
          <w:sz w:val="22"/>
          <w:szCs w:val="22"/>
        </w:rPr>
        <w:t xml:space="preserve">) </w:t>
      </w:r>
      <w:r w:rsidRPr="00C564BC">
        <w:rPr>
          <w:i/>
          <w:sz w:val="22"/>
          <w:szCs w:val="22"/>
        </w:rPr>
        <w:t>Sombras de una marginalidad fragmentada. Aproximaciones a la metamorfosis de los sectores populares de la Argentina</w:t>
      </w:r>
      <w:r w:rsidRPr="00C564BC">
        <w:rPr>
          <w:sz w:val="22"/>
          <w:szCs w:val="22"/>
        </w:rPr>
        <w:t>,. Buenos Aires: Miño y Dávila.</w:t>
      </w:r>
    </w:p>
    <w:p w:rsidR="00A27A60" w:rsidRPr="00C564BC" w:rsidRDefault="00A27A60" w:rsidP="00A27A60">
      <w:pPr>
        <w:spacing w:after="60"/>
        <w:ind w:firstLine="142"/>
        <w:jc w:val="both"/>
        <w:rPr>
          <w:sz w:val="22"/>
          <w:szCs w:val="22"/>
        </w:rPr>
      </w:pPr>
      <w:r w:rsidRPr="00C564BC">
        <w:rPr>
          <w:sz w:val="22"/>
          <w:szCs w:val="22"/>
        </w:rPr>
        <w:t xml:space="preserve">Salvia, A. (2012). </w:t>
      </w:r>
      <w:r w:rsidRPr="00C564BC">
        <w:rPr>
          <w:i/>
          <w:sz w:val="22"/>
          <w:szCs w:val="22"/>
        </w:rPr>
        <w:t xml:space="preserve">La trampa neoliberal. Un estudio sobre los cambios en la heterogeneidad estructural y la distribución del ingreso en </w:t>
      </w:r>
      <w:smartTag w:uri="urn:schemas-microsoft-com:office:smarttags" w:element="PersonName">
        <w:smartTagPr>
          <w:attr w:name="ProductID" w:val="la Argentina"/>
        </w:smartTagPr>
        <w:r w:rsidRPr="00C564BC">
          <w:rPr>
            <w:i/>
            <w:sz w:val="22"/>
            <w:szCs w:val="22"/>
          </w:rPr>
          <w:t>la Argentina</w:t>
        </w:r>
      </w:smartTag>
      <w:r w:rsidRPr="00C564BC">
        <w:rPr>
          <w:i/>
          <w:sz w:val="22"/>
          <w:szCs w:val="22"/>
        </w:rPr>
        <w:t>: 1990-2003</w:t>
      </w:r>
      <w:r w:rsidRPr="00C564BC">
        <w:rPr>
          <w:sz w:val="22"/>
          <w:szCs w:val="22"/>
        </w:rPr>
        <w:t xml:space="preserve">. Buenos Aires: </w:t>
      </w:r>
      <w:proofErr w:type="spellStart"/>
      <w:r w:rsidRPr="00C564BC">
        <w:rPr>
          <w:sz w:val="22"/>
          <w:szCs w:val="22"/>
        </w:rPr>
        <w:t>Eudeba</w:t>
      </w:r>
      <w:proofErr w:type="spellEnd"/>
      <w:r w:rsidRPr="00C564BC">
        <w:rPr>
          <w:sz w:val="22"/>
          <w:szCs w:val="22"/>
        </w:rPr>
        <w:t xml:space="preserve">. </w:t>
      </w:r>
    </w:p>
    <w:p w:rsidR="000F60C5" w:rsidRPr="00C564BC" w:rsidRDefault="000F60C5" w:rsidP="000F60C5">
      <w:pPr>
        <w:spacing w:after="60"/>
        <w:ind w:firstLine="142"/>
        <w:jc w:val="both"/>
        <w:rPr>
          <w:sz w:val="22"/>
          <w:szCs w:val="22"/>
        </w:rPr>
      </w:pPr>
      <w:r w:rsidRPr="00C564BC">
        <w:rPr>
          <w:sz w:val="22"/>
          <w:szCs w:val="22"/>
        </w:rPr>
        <w:t xml:space="preserve">Salvia, A. (2014). “Heterogeneidades estructurales y desigualdades sociales persistentes. De la caída del modelo neoliberal a la falta de horizontes bajo el modelo neodesarrollista”, </w:t>
      </w:r>
      <w:r w:rsidRPr="00C564BC">
        <w:rPr>
          <w:i/>
          <w:sz w:val="22"/>
          <w:szCs w:val="22"/>
        </w:rPr>
        <w:t>Documento de Trabajo</w:t>
      </w:r>
      <w:r w:rsidRPr="00C564BC">
        <w:rPr>
          <w:sz w:val="22"/>
          <w:szCs w:val="22"/>
        </w:rPr>
        <w:t>. ODSA-UCA: Buenos Aires.</w:t>
      </w:r>
    </w:p>
    <w:p w:rsidR="000F60C5" w:rsidRPr="00C564BC" w:rsidRDefault="000F60C5" w:rsidP="00A27A60">
      <w:pPr>
        <w:spacing w:after="60"/>
        <w:ind w:firstLine="142"/>
        <w:jc w:val="both"/>
        <w:rPr>
          <w:sz w:val="22"/>
          <w:szCs w:val="22"/>
        </w:rPr>
      </w:pPr>
      <w:r w:rsidRPr="00C564BC">
        <w:rPr>
          <w:sz w:val="22"/>
          <w:szCs w:val="22"/>
        </w:rPr>
        <w:t>Salvia A., et al, (2008) Cambios en la estructura social del trabajo bajo los regímenes de convertibilidad y post-devaluación. Una mirada desde la perspectiva de la heterogeneidad estructural. En Lindenboim, Javier (</w:t>
      </w:r>
      <w:proofErr w:type="spellStart"/>
      <w:r w:rsidRPr="00C564BC">
        <w:rPr>
          <w:sz w:val="22"/>
          <w:szCs w:val="22"/>
        </w:rPr>
        <w:t>Comp</w:t>
      </w:r>
      <w:proofErr w:type="spellEnd"/>
      <w:r w:rsidRPr="00C564BC">
        <w:rPr>
          <w:sz w:val="22"/>
          <w:szCs w:val="22"/>
        </w:rPr>
        <w:t xml:space="preserve">) </w:t>
      </w:r>
      <w:r w:rsidRPr="00C564BC">
        <w:rPr>
          <w:i/>
          <w:sz w:val="22"/>
          <w:szCs w:val="22"/>
        </w:rPr>
        <w:t>Trabajo, ingresos y políticas en Argentina</w:t>
      </w:r>
      <w:r w:rsidRPr="00C564BC">
        <w:rPr>
          <w:sz w:val="22"/>
          <w:szCs w:val="22"/>
        </w:rPr>
        <w:t>. Buenos Aires: EUDEBA.</w:t>
      </w:r>
    </w:p>
    <w:p w:rsidR="00A27A60" w:rsidRPr="00C564BC" w:rsidRDefault="00A27A60" w:rsidP="00A27A60">
      <w:pPr>
        <w:spacing w:after="60"/>
        <w:ind w:firstLine="142"/>
        <w:jc w:val="both"/>
        <w:rPr>
          <w:sz w:val="22"/>
          <w:szCs w:val="22"/>
        </w:rPr>
      </w:pPr>
      <w:r w:rsidRPr="00C564BC">
        <w:rPr>
          <w:sz w:val="22"/>
          <w:szCs w:val="22"/>
        </w:rPr>
        <w:t xml:space="preserve">Salvia, A. y Vera, J. (2012) “Cambios en la estructura ocupacional y en el mercado de trabajo durante fases de distintas reglas macroeconómicas (1992-2010)”, en </w:t>
      </w:r>
      <w:r w:rsidRPr="00C564BC">
        <w:rPr>
          <w:i/>
          <w:sz w:val="22"/>
          <w:szCs w:val="22"/>
        </w:rPr>
        <w:t>Revista Estudios del Trabajo</w:t>
      </w:r>
      <w:r w:rsidRPr="00C564BC">
        <w:rPr>
          <w:sz w:val="22"/>
          <w:szCs w:val="22"/>
        </w:rPr>
        <w:t xml:space="preserve">, N° 41/42, ASET Buenos Aires. </w:t>
      </w:r>
    </w:p>
    <w:p w:rsidR="005D7D38" w:rsidRDefault="005D7D38" w:rsidP="005D7D38">
      <w:pPr>
        <w:spacing w:after="60"/>
        <w:ind w:firstLine="142"/>
        <w:jc w:val="both"/>
        <w:rPr>
          <w:sz w:val="22"/>
          <w:szCs w:val="22"/>
        </w:rPr>
      </w:pPr>
      <w:r>
        <w:rPr>
          <w:sz w:val="22"/>
          <w:szCs w:val="22"/>
        </w:rPr>
        <w:t xml:space="preserve">Salvia, A. y Vera, J. (2013) “Heterogeneidad estructural y desigualdad económica: Procesos intervinientes en el patrón de la distribución de los ingresos laborales del Gran Buenos Aires durante las distintas fases macroeconómicas (1992-2010)”, en </w:t>
      </w:r>
      <w:r>
        <w:rPr>
          <w:i/>
          <w:sz w:val="22"/>
          <w:szCs w:val="22"/>
        </w:rPr>
        <w:t>Revista Desarrollo Económico</w:t>
      </w:r>
      <w:r>
        <w:rPr>
          <w:sz w:val="22"/>
          <w:szCs w:val="22"/>
        </w:rPr>
        <w:t xml:space="preserve"> </w:t>
      </w:r>
      <w:r>
        <w:rPr>
          <w:i/>
          <w:sz w:val="22"/>
          <w:szCs w:val="22"/>
        </w:rPr>
        <w:t xml:space="preserve">Nº 207-208, Vol. 52. </w:t>
      </w:r>
      <w:r>
        <w:rPr>
          <w:sz w:val="22"/>
          <w:szCs w:val="22"/>
        </w:rPr>
        <w:t xml:space="preserve">Buenos Aires: Instituto de Desarrollo Económico y Social. </w:t>
      </w:r>
    </w:p>
    <w:p w:rsidR="00A27A60" w:rsidRPr="00C564BC" w:rsidRDefault="00A27A60" w:rsidP="00A27A60">
      <w:pPr>
        <w:spacing w:after="60"/>
        <w:ind w:firstLine="142"/>
        <w:jc w:val="both"/>
        <w:rPr>
          <w:sz w:val="22"/>
          <w:szCs w:val="22"/>
        </w:rPr>
      </w:pPr>
      <w:proofErr w:type="spellStart"/>
      <w:r w:rsidRPr="00C564BC">
        <w:rPr>
          <w:sz w:val="22"/>
          <w:szCs w:val="22"/>
        </w:rPr>
        <w:t>Tokman</w:t>
      </w:r>
      <w:proofErr w:type="spellEnd"/>
      <w:r w:rsidRPr="00C564BC">
        <w:rPr>
          <w:sz w:val="22"/>
          <w:szCs w:val="22"/>
        </w:rPr>
        <w:t xml:space="preserve">, V. y </w:t>
      </w:r>
      <w:r w:rsidR="0074154D" w:rsidRPr="00C564BC">
        <w:rPr>
          <w:sz w:val="22"/>
          <w:szCs w:val="22"/>
        </w:rPr>
        <w:t xml:space="preserve"> </w:t>
      </w:r>
      <w:proofErr w:type="spellStart"/>
      <w:r w:rsidRPr="00C564BC">
        <w:rPr>
          <w:sz w:val="22"/>
          <w:szCs w:val="22"/>
        </w:rPr>
        <w:t>O’Donnell</w:t>
      </w:r>
      <w:proofErr w:type="spellEnd"/>
      <w:r w:rsidRPr="00C564BC">
        <w:rPr>
          <w:sz w:val="22"/>
          <w:szCs w:val="22"/>
        </w:rPr>
        <w:t xml:space="preserve">, G. (1999) </w:t>
      </w:r>
      <w:r w:rsidRPr="00C564BC">
        <w:rPr>
          <w:i/>
          <w:sz w:val="22"/>
          <w:szCs w:val="22"/>
        </w:rPr>
        <w:t>Pobreza y desigualdad en América Latina</w:t>
      </w:r>
      <w:r w:rsidRPr="00C564BC">
        <w:rPr>
          <w:sz w:val="22"/>
          <w:szCs w:val="22"/>
        </w:rPr>
        <w:t xml:space="preserve">, Buenos Aires, Paidós. </w:t>
      </w:r>
    </w:p>
    <w:p w:rsidR="00146442" w:rsidRDefault="00146442" w:rsidP="00E2058E">
      <w:pPr>
        <w:spacing w:after="60"/>
        <w:ind w:firstLine="142"/>
        <w:jc w:val="both"/>
        <w:rPr>
          <w:sz w:val="22"/>
        </w:rPr>
      </w:pPr>
      <w:r w:rsidRPr="0016525E">
        <w:rPr>
          <w:sz w:val="22"/>
        </w:rPr>
        <w:t xml:space="preserve">Torrado, S. (1978), “Clases sociales, familia y comportamiento demográfico: orientaciones metodológicas”, en </w:t>
      </w:r>
      <w:r w:rsidRPr="0016525E">
        <w:rPr>
          <w:i/>
          <w:sz w:val="22"/>
        </w:rPr>
        <w:t>revista Demografía y Economía</w:t>
      </w:r>
      <w:r w:rsidRPr="0016525E">
        <w:rPr>
          <w:sz w:val="22"/>
        </w:rPr>
        <w:t xml:space="preserve"> (México: El Colegio de México) N° 36.</w:t>
      </w:r>
    </w:p>
    <w:p w:rsidR="0016525E" w:rsidRPr="0016525E" w:rsidRDefault="0016525E" w:rsidP="0016525E">
      <w:pPr>
        <w:spacing w:after="60"/>
        <w:ind w:firstLine="142"/>
        <w:jc w:val="both"/>
        <w:rPr>
          <w:sz w:val="22"/>
          <w:lang w:val="en-US"/>
        </w:rPr>
      </w:pPr>
      <w:r w:rsidRPr="0016525E">
        <w:rPr>
          <w:sz w:val="22"/>
          <w:lang w:val="en-US"/>
        </w:rPr>
        <w:lastRenderedPageBreak/>
        <w:t>Williamson, J. (1983), “What Washington Means by Policy Reform?”, en Williamson, J. (comp.), Latin America Adjustment. How Much has Happened?, Washington: Institute for International Economics.</w:t>
      </w:r>
    </w:p>
    <w:p w:rsidR="0016525E" w:rsidRPr="0016525E" w:rsidRDefault="00B46241" w:rsidP="0016525E">
      <w:pPr>
        <w:spacing w:after="60"/>
        <w:ind w:firstLine="142"/>
        <w:jc w:val="both"/>
        <w:rPr>
          <w:sz w:val="22"/>
          <w:lang w:val="en-US"/>
        </w:rPr>
      </w:pPr>
      <w:proofErr w:type="gramStart"/>
      <w:r w:rsidRPr="0016525E">
        <w:rPr>
          <w:sz w:val="22"/>
          <w:lang w:val="en-US"/>
        </w:rPr>
        <w:t>Williamson, J.</w:t>
      </w:r>
      <w:r w:rsidRPr="0016525E">
        <w:rPr>
          <w:sz w:val="22"/>
          <w:lang w:val="en-US"/>
        </w:rPr>
        <w:t xml:space="preserve"> </w:t>
      </w:r>
      <w:r w:rsidR="0016525E" w:rsidRPr="0016525E">
        <w:rPr>
          <w:sz w:val="22"/>
          <w:lang w:val="en-US"/>
        </w:rPr>
        <w:t xml:space="preserve">(1993), “Democracy and the Washington Consensus”, World Development, vol. 21, no.8, </w:t>
      </w:r>
      <w:proofErr w:type="spellStart"/>
      <w:r w:rsidR="0016525E" w:rsidRPr="0016525E">
        <w:rPr>
          <w:sz w:val="22"/>
          <w:lang w:val="en-US"/>
        </w:rPr>
        <w:t>pág</w:t>
      </w:r>
      <w:proofErr w:type="spellEnd"/>
      <w:r w:rsidR="0016525E" w:rsidRPr="0016525E">
        <w:rPr>
          <w:sz w:val="22"/>
          <w:lang w:val="en-US"/>
        </w:rPr>
        <w:t xml:space="preserve"> 1329- </w:t>
      </w:r>
      <w:proofErr w:type="spellStart"/>
      <w:r w:rsidR="0016525E" w:rsidRPr="0016525E">
        <w:rPr>
          <w:sz w:val="22"/>
          <w:lang w:val="en-US"/>
        </w:rPr>
        <w:t>pág</w:t>
      </w:r>
      <w:proofErr w:type="spellEnd"/>
      <w:r w:rsidR="0016525E" w:rsidRPr="0016525E">
        <w:rPr>
          <w:sz w:val="22"/>
          <w:lang w:val="en-US"/>
        </w:rPr>
        <w:t xml:space="preserve"> 1336.</w:t>
      </w:r>
      <w:proofErr w:type="gramEnd"/>
    </w:p>
    <w:p w:rsidR="0016525E" w:rsidRPr="00B46241" w:rsidRDefault="00B46241" w:rsidP="0016525E">
      <w:pPr>
        <w:spacing w:after="60"/>
        <w:ind w:firstLine="142"/>
        <w:jc w:val="both"/>
        <w:rPr>
          <w:sz w:val="22"/>
          <w:lang w:val="en-US"/>
        </w:rPr>
      </w:pPr>
      <w:r w:rsidRPr="0016525E">
        <w:rPr>
          <w:sz w:val="22"/>
          <w:lang w:val="en-US"/>
        </w:rPr>
        <w:t>Williamson, J.</w:t>
      </w:r>
      <w:r w:rsidRPr="0016525E">
        <w:rPr>
          <w:sz w:val="22"/>
          <w:lang w:val="en-US"/>
        </w:rPr>
        <w:t xml:space="preserve"> </w:t>
      </w:r>
      <w:bookmarkStart w:id="0" w:name="_GoBack"/>
      <w:bookmarkEnd w:id="0"/>
      <w:r w:rsidR="0016525E" w:rsidRPr="0016525E">
        <w:rPr>
          <w:sz w:val="22"/>
          <w:lang w:val="en-US"/>
        </w:rPr>
        <w:t xml:space="preserve">(2000), “What should the World Bank </w:t>
      </w:r>
      <w:proofErr w:type="gramStart"/>
      <w:r w:rsidR="0016525E" w:rsidRPr="0016525E">
        <w:rPr>
          <w:sz w:val="22"/>
          <w:lang w:val="en-US"/>
        </w:rPr>
        <w:t>Think</w:t>
      </w:r>
      <w:proofErr w:type="gramEnd"/>
      <w:r w:rsidR="0016525E" w:rsidRPr="0016525E">
        <w:rPr>
          <w:sz w:val="22"/>
          <w:lang w:val="en-US"/>
        </w:rPr>
        <w:t xml:space="preserve"> about the Washington Consensus?” </w:t>
      </w:r>
      <w:r w:rsidR="0016525E" w:rsidRPr="00B46241">
        <w:rPr>
          <w:sz w:val="22"/>
          <w:lang w:val="en-US"/>
        </w:rPr>
        <w:t>World Bank Research Observer 15, no.2: 251-264.</w:t>
      </w:r>
    </w:p>
    <w:p w:rsidR="0075637E" w:rsidRPr="00B14726" w:rsidRDefault="00A27A60" w:rsidP="00A27A60">
      <w:pPr>
        <w:autoSpaceDE w:val="0"/>
        <w:autoSpaceDN w:val="0"/>
        <w:adjustRightInd w:val="0"/>
        <w:spacing w:after="120"/>
        <w:jc w:val="center"/>
        <w:rPr>
          <w:b/>
          <w:lang w:eastAsia="es-AR"/>
        </w:rPr>
      </w:pPr>
      <w:r w:rsidRPr="00B46241">
        <w:rPr>
          <w:b/>
          <w:lang w:val="en-US" w:eastAsia="es-AR"/>
        </w:rPr>
        <w:br w:type="page"/>
      </w:r>
      <w:r w:rsidR="0075637E" w:rsidRPr="00B14726">
        <w:rPr>
          <w:b/>
          <w:lang w:eastAsia="es-AR"/>
        </w:rPr>
        <w:lastRenderedPageBreak/>
        <w:t>ANEXO METODOLÓGICO</w:t>
      </w:r>
    </w:p>
    <w:p w:rsidR="00FD09F7" w:rsidRDefault="00FD09F7" w:rsidP="00C03E33">
      <w:pPr>
        <w:autoSpaceDE w:val="0"/>
        <w:autoSpaceDN w:val="0"/>
        <w:adjustRightInd w:val="0"/>
        <w:spacing w:after="120"/>
        <w:jc w:val="both"/>
        <w:rPr>
          <w:sz w:val="22"/>
          <w:szCs w:val="22"/>
          <w:lang w:eastAsia="es-AR"/>
        </w:rPr>
      </w:pPr>
    </w:p>
    <w:p w:rsidR="00FD09F7" w:rsidRPr="00FD09F7" w:rsidRDefault="00FD09F7" w:rsidP="00FD09F7">
      <w:pPr>
        <w:numPr>
          <w:ilvl w:val="0"/>
          <w:numId w:val="22"/>
        </w:numPr>
        <w:autoSpaceDE w:val="0"/>
        <w:autoSpaceDN w:val="0"/>
        <w:adjustRightInd w:val="0"/>
        <w:spacing w:after="120"/>
        <w:jc w:val="both"/>
        <w:rPr>
          <w:i/>
          <w:sz w:val="22"/>
          <w:szCs w:val="22"/>
          <w:lang w:eastAsia="es-AR"/>
        </w:rPr>
      </w:pPr>
      <w:r w:rsidRPr="00FD09F7">
        <w:rPr>
          <w:i/>
          <w:sz w:val="22"/>
          <w:szCs w:val="22"/>
          <w:lang w:eastAsia="es-AR"/>
        </w:rPr>
        <w:t>Serie de Gasto Público Social</w:t>
      </w:r>
    </w:p>
    <w:p w:rsidR="0075637E" w:rsidRPr="00323111" w:rsidRDefault="0075637E" w:rsidP="00C03E33">
      <w:pPr>
        <w:autoSpaceDE w:val="0"/>
        <w:autoSpaceDN w:val="0"/>
        <w:adjustRightInd w:val="0"/>
        <w:spacing w:after="120"/>
        <w:jc w:val="both"/>
        <w:rPr>
          <w:sz w:val="22"/>
          <w:szCs w:val="22"/>
          <w:lang w:eastAsia="es-AR"/>
        </w:rPr>
      </w:pPr>
      <w:r w:rsidRPr="00323111">
        <w:rPr>
          <w:sz w:val="22"/>
          <w:szCs w:val="22"/>
          <w:lang w:eastAsia="es-AR"/>
        </w:rPr>
        <w:t>Para dar cuenta de la evolución</w:t>
      </w:r>
      <w:r w:rsidR="001962DD" w:rsidRPr="00323111">
        <w:rPr>
          <w:sz w:val="22"/>
          <w:szCs w:val="22"/>
          <w:lang w:eastAsia="es-AR"/>
        </w:rPr>
        <w:t xml:space="preserve"> </w:t>
      </w:r>
      <w:r w:rsidRPr="00323111">
        <w:rPr>
          <w:sz w:val="22"/>
          <w:szCs w:val="22"/>
          <w:lang w:eastAsia="es-AR"/>
        </w:rPr>
        <w:t xml:space="preserve">del gasto público social </w:t>
      </w:r>
      <w:r w:rsidR="001962DD" w:rsidRPr="00323111">
        <w:rPr>
          <w:sz w:val="22"/>
          <w:szCs w:val="22"/>
          <w:lang w:eastAsia="es-AR"/>
        </w:rPr>
        <w:t xml:space="preserve">consolidado </w:t>
      </w:r>
      <w:r w:rsidRPr="00323111">
        <w:rPr>
          <w:sz w:val="22"/>
          <w:szCs w:val="22"/>
          <w:lang w:eastAsia="es-AR"/>
        </w:rPr>
        <w:t>se recurrió a dos fuentes principales. Por un lado, una serie de gasto público consolidado</w:t>
      </w:r>
      <w:r w:rsidR="001962DD" w:rsidRPr="00323111">
        <w:rPr>
          <w:sz w:val="22"/>
          <w:szCs w:val="22"/>
          <w:lang w:eastAsia="es-AR"/>
        </w:rPr>
        <w:t xml:space="preserve"> (1980-2009)</w:t>
      </w:r>
      <w:r w:rsidRPr="00323111">
        <w:rPr>
          <w:sz w:val="22"/>
          <w:szCs w:val="22"/>
          <w:lang w:eastAsia="es-AR"/>
        </w:rPr>
        <w:t xml:space="preserve">, elaborada por </w:t>
      </w:r>
      <w:smartTag w:uri="urn:schemas-microsoft-com:office:smarttags" w:element="PersonName">
        <w:smartTagPr>
          <w:attr w:name="ProductID" w:val="la Dirección Nacional"/>
        </w:smartTagPr>
        <w:r w:rsidRPr="00323111">
          <w:rPr>
            <w:sz w:val="22"/>
            <w:szCs w:val="22"/>
            <w:lang w:eastAsia="es-AR"/>
          </w:rPr>
          <w:t>la Dirección Nacional</w:t>
        </w:r>
      </w:smartTag>
      <w:r w:rsidRPr="00323111">
        <w:rPr>
          <w:sz w:val="22"/>
          <w:szCs w:val="22"/>
          <w:lang w:eastAsia="es-AR"/>
        </w:rPr>
        <w:t xml:space="preserve"> de Análisis del Gasto Público y Programas Sociales del Ministerio de Economía. </w:t>
      </w:r>
      <w:r w:rsidR="001962DD" w:rsidRPr="00323111">
        <w:rPr>
          <w:sz w:val="22"/>
          <w:szCs w:val="22"/>
          <w:lang w:eastAsia="es-AR"/>
        </w:rPr>
        <w:t>Pero debido a que e</w:t>
      </w:r>
      <w:r w:rsidRPr="00323111">
        <w:rPr>
          <w:sz w:val="22"/>
          <w:szCs w:val="22"/>
          <w:lang w:eastAsia="es-AR"/>
        </w:rPr>
        <w:t>sta dependencia dejó de existir</w:t>
      </w:r>
      <w:r w:rsidR="00FF4E7F" w:rsidRPr="00323111">
        <w:rPr>
          <w:sz w:val="22"/>
          <w:szCs w:val="22"/>
          <w:lang w:eastAsia="es-AR"/>
        </w:rPr>
        <w:t>, la</w:t>
      </w:r>
      <w:r w:rsidR="001962DD" w:rsidRPr="00323111">
        <w:rPr>
          <w:sz w:val="22"/>
          <w:szCs w:val="22"/>
          <w:lang w:eastAsia="es-AR"/>
        </w:rPr>
        <w:t xml:space="preserve"> serie mencionada </w:t>
      </w:r>
      <w:r w:rsidRPr="00323111">
        <w:rPr>
          <w:sz w:val="22"/>
          <w:szCs w:val="22"/>
          <w:lang w:eastAsia="es-AR"/>
        </w:rPr>
        <w:t>quedó interrumpida. Para subsanar esta dificultad</w:t>
      </w:r>
      <w:r w:rsidR="001962DD" w:rsidRPr="00323111">
        <w:rPr>
          <w:sz w:val="22"/>
          <w:szCs w:val="22"/>
          <w:lang w:eastAsia="es-AR"/>
        </w:rPr>
        <w:t>,</w:t>
      </w:r>
      <w:r w:rsidRPr="00323111">
        <w:rPr>
          <w:sz w:val="22"/>
          <w:szCs w:val="22"/>
          <w:lang w:eastAsia="es-AR"/>
        </w:rPr>
        <w:t xml:space="preserve"> se </w:t>
      </w:r>
      <w:r w:rsidR="001962DD" w:rsidRPr="00323111">
        <w:rPr>
          <w:sz w:val="22"/>
          <w:szCs w:val="22"/>
          <w:lang w:eastAsia="es-AR"/>
        </w:rPr>
        <w:t>completó el período 2010-</w:t>
      </w:r>
      <w:smartTag w:uri="urn:schemas-microsoft-com:office:smarttags" w:element="metricconverter">
        <w:smartTagPr>
          <w:attr w:name="ProductID" w:val="2012 a"/>
        </w:smartTagPr>
        <w:r w:rsidR="001962DD" w:rsidRPr="00323111">
          <w:rPr>
            <w:sz w:val="22"/>
            <w:szCs w:val="22"/>
            <w:lang w:eastAsia="es-AR"/>
          </w:rPr>
          <w:t>2012 a</w:t>
        </w:r>
      </w:smartTag>
      <w:r w:rsidR="001962DD" w:rsidRPr="00323111">
        <w:rPr>
          <w:sz w:val="22"/>
          <w:szCs w:val="22"/>
          <w:lang w:eastAsia="es-AR"/>
        </w:rPr>
        <w:t xml:space="preserve"> partir de un empalme con </w:t>
      </w:r>
      <w:r w:rsidRPr="00323111">
        <w:rPr>
          <w:sz w:val="22"/>
          <w:szCs w:val="22"/>
          <w:lang w:eastAsia="es-AR"/>
        </w:rPr>
        <w:t xml:space="preserve">datos </w:t>
      </w:r>
      <w:r w:rsidR="001962DD" w:rsidRPr="00323111">
        <w:rPr>
          <w:sz w:val="22"/>
          <w:szCs w:val="22"/>
          <w:lang w:eastAsia="es-AR"/>
        </w:rPr>
        <w:t xml:space="preserve">presupuestarios no consolidados </w:t>
      </w:r>
      <w:r w:rsidRPr="00323111">
        <w:rPr>
          <w:sz w:val="22"/>
          <w:szCs w:val="22"/>
          <w:lang w:eastAsia="es-AR"/>
        </w:rPr>
        <w:t xml:space="preserve">de </w:t>
      </w:r>
      <w:smartTag w:uri="urn:schemas-microsoft-com:office:smarttags" w:element="PersonName">
        <w:smartTagPr>
          <w:attr w:name="ProductID" w:val="la Oficina Nacional"/>
        </w:smartTagPr>
        <w:r w:rsidRPr="00323111">
          <w:rPr>
            <w:sz w:val="22"/>
            <w:szCs w:val="22"/>
            <w:lang w:eastAsia="es-AR"/>
          </w:rPr>
          <w:t>la Oficina Nacional</w:t>
        </w:r>
      </w:smartTag>
      <w:r w:rsidRPr="00323111">
        <w:rPr>
          <w:sz w:val="22"/>
          <w:szCs w:val="22"/>
          <w:lang w:eastAsia="es-AR"/>
        </w:rPr>
        <w:t xml:space="preserve"> de Presupuesto del Ministerio de Economía. </w:t>
      </w:r>
      <w:r w:rsidR="001962DD" w:rsidRPr="00323111">
        <w:rPr>
          <w:sz w:val="22"/>
          <w:szCs w:val="22"/>
          <w:lang w:eastAsia="es-AR"/>
        </w:rPr>
        <w:t xml:space="preserve"> </w:t>
      </w:r>
      <w:r w:rsidRPr="00323111">
        <w:rPr>
          <w:sz w:val="22"/>
          <w:szCs w:val="22"/>
          <w:lang w:eastAsia="es-AR"/>
        </w:rPr>
        <w:t xml:space="preserve">Los datos acerca de la evolución del Producto Interno Bruto de </w:t>
      </w:r>
      <w:smartTag w:uri="urn:schemas-microsoft-com:office:smarttags" w:element="PersonName">
        <w:smartTagPr>
          <w:attr w:name="ProductID" w:val="la Argentina"/>
        </w:smartTagPr>
        <w:r w:rsidRPr="00323111">
          <w:rPr>
            <w:sz w:val="22"/>
            <w:szCs w:val="22"/>
            <w:lang w:eastAsia="es-AR"/>
          </w:rPr>
          <w:t>la Argentina</w:t>
        </w:r>
      </w:smartTag>
      <w:r w:rsidRPr="00323111">
        <w:rPr>
          <w:sz w:val="22"/>
          <w:szCs w:val="22"/>
          <w:lang w:eastAsia="es-AR"/>
        </w:rPr>
        <w:t xml:space="preserve"> surgen de </w:t>
      </w:r>
      <w:smartTag w:uri="urn:schemas-microsoft-com:office:smarttags" w:element="PersonName">
        <w:smartTagPr>
          <w:attr w:name="ProductID" w:val="la Dirección Nacional"/>
        </w:smartTagPr>
        <w:r w:rsidRPr="00323111">
          <w:rPr>
            <w:sz w:val="22"/>
            <w:szCs w:val="22"/>
            <w:lang w:eastAsia="es-AR"/>
          </w:rPr>
          <w:t>la Dirección Nacional</w:t>
        </w:r>
      </w:smartTag>
      <w:r w:rsidRPr="00323111">
        <w:rPr>
          <w:sz w:val="22"/>
          <w:szCs w:val="22"/>
          <w:lang w:eastAsia="es-AR"/>
        </w:rPr>
        <w:t xml:space="preserve"> de Cuentas Nacionales y del INDEC.</w:t>
      </w:r>
    </w:p>
    <w:p w:rsidR="00FD09F7" w:rsidRPr="00FD09F7" w:rsidRDefault="00FD09F7" w:rsidP="003A208E">
      <w:pPr>
        <w:numPr>
          <w:ilvl w:val="0"/>
          <w:numId w:val="22"/>
        </w:numPr>
        <w:autoSpaceDE w:val="0"/>
        <w:autoSpaceDN w:val="0"/>
        <w:adjustRightInd w:val="0"/>
        <w:spacing w:after="120"/>
        <w:jc w:val="both"/>
        <w:rPr>
          <w:i/>
          <w:sz w:val="22"/>
          <w:szCs w:val="22"/>
        </w:rPr>
      </w:pPr>
      <w:proofErr w:type="spellStart"/>
      <w:r w:rsidRPr="00FD09F7">
        <w:rPr>
          <w:i/>
          <w:sz w:val="22"/>
          <w:szCs w:val="22"/>
        </w:rPr>
        <w:t>Microdatos</w:t>
      </w:r>
      <w:proofErr w:type="spellEnd"/>
      <w:r w:rsidRPr="00FD09F7">
        <w:rPr>
          <w:i/>
          <w:sz w:val="22"/>
          <w:szCs w:val="22"/>
        </w:rPr>
        <w:t xml:space="preserve"> de la Encuesta Permanente de Hogares, cambios metodológicos y cálculo de las tasas de pobreza e indigencia</w:t>
      </w:r>
    </w:p>
    <w:p w:rsidR="0075637E" w:rsidRPr="00323111" w:rsidRDefault="00FF4E7F" w:rsidP="00C03E33">
      <w:pPr>
        <w:autoSpaceDE w:val="0"/>
        <w:autoSpaceDN w:val="0"/>
        <w:adjustRightInd w:val="0"/>
        <w:spacing w:after="120"/>
        <w:jc w:val="both"/>
        <w:rPr>
          <w:sz w:val="22"/>
          <w:szCs w:val="22"/>
          <w:lang w:eastAsia="es-AR"/>
        </w:rPr>
      </w:pPr>
      <w:r w:rsidRPr="00323111">
        <w:rPr>
          <w:sz w:val="22"/>
          <w:szCs w:val="22"/>
        </w:rPr>
        <w:t>L</w:t>
      </w:r>
      <w:r w:rsidR="0075637E" w:rsidRPr="00323111">
        <w:rPr>
          <w:sz w:val="22"/>
          <w:szCs w:val="22"/>
        </w:rPr>
        <w:t xml:space="preserve">a evaluación de la información se hizo </w:t>
      </w:r>
      <w:r w:rsidR="00F305FE" w:rsidRPr="00323111">
        <w:rPr>
          <w:sz w:val="22"/>
          <w:szCs w:val="22"/>
        </w:rPr>
        <w:t>tomando una serie de años ventana para el período</w:t>
      </w:r>
      <w:r w:rsidR="0075637E" w:rsidRPr="00323111">
        <w:rPr>
          <w:sz w:val="22"/>
          <w:szCs w:val="22"/>
        </w:rPr>
        <w:t xml:space="preserve"> 1992</w:t>
      </w:r>
      <w:r w:rsidR="00F305FE" w:rsidRPr="00323111">
        <w:rPr>
          <w:sz w:val="22"/>
          <w:szCs w:val="22"/>
        </w:rPr>
        <w:t>-</w:t>
      </w:r>
      <w:r w:rsidR="0075637E" w:rsidRPr="00323111">
        <w:rPr>
          <w:sz w:val="22"/>
          <w:szCs w:val="22"/>
        </w:rPr>
        <w:t>2012</w:t>
      </w:r>
      <w:r w:rsidR="00F305FE" w:rsidRPr="00323111">
        <w:rPr>
          <w:sz w:val="22"/>
          <w:szCs w:val="22"/>
        </w:rPr>
        <w:t xml:space="preserve"> (1992, 1994, 1998, 2003, 2007, 2012)</w:t>
      </w:r>
      <w:r w:rsidR="0075637E" w:rsidRPr="00323111">
        <w:rPr>
          <w:sz w:val="22"/>
          <w:szCs w:val="22"/>
        </w:rPr>
        <w:t xml:space="preserve">. </w:t>
      </w:r>
      <w:r w:rsidR="002430B8" w:rsidRPr="00323111">
        <w:rPr>
          <w:sz w:val="22"/>
          <w:szCs w:val="22"/>
        </w:rPr>
        <w:t xml:space="preserve">A </w:t>
      </w:r>
      <w:r w:rsidR="00F305FE" w:rsidRPr="00323111">
        <w:rPr>
          <w:sz w:val="22"/>
          <w:szCs w:val="22"/>
        </w:rPr>
        <w:t xml:space="preserve">lo largo de estos períodos tuvieron lugar </w:t>
      </w:r>
      <w:r w:rsidR="0075637E" w:rsidRPr="00323111">
        <w:rPr>
          <w:sz w:val="22"/>
          <w:szCs w:val="22"/>
        </w:rPr>
        <w:t xml:space="preserve">cambios de diverso orden en la </w:t>
      </w:r>
      <w:r w:rsidR="002430B8" w:rsidRPr="00323111">
        <w:rPr>
          <w:sz w:val="22"/>
          <w:szCs w:val="22"/>
        </w:rPr>
        <w:t>EPH</w:t>
      </w:r>
      <w:r w:rsidR="0075637E" w:rsidRPr="00323111">
        <w:rPr>
          <w:sz w:val="22"/>
          <w:szCs w:val="22"/>
        </w:rPr>
        <w:t xml:space="preserve">. </w:t>
      </w:r>
      <w:r w:rsidR="002430B8" w:rsidRPr="00323111">
        <w:rPr>
          <w:sz w:val="22"/>
          <w:szCs w:val="22"/>
        </w:rPr>
        <w:t>E</w:t>
      </w:r>
      <w:r w:rsidR="0075637E" w:rsidRPr="00323111">
        <w:rPr>
          <w:sz w:val="22"/>
          <w:szCs w:val="22"/>
        </w:rPr>
        <w:t xml:space="preserve">l cambio más significativo </w:t>
      </w:r>
      <w:r w:rsidR="00F305FE" w:rsidRPr="00323111">
        <w:rPr>
          <w:sz w:val="22"/>
          <w:szCs w:val="22"/>
        </w:rPr>
        <w:t xml:space="preserve">tuvo lugar en </w:t>
      </w:r>
      <w:r w:rsidR="0075637E" w:rsidRPr="00323111">
        <w:rPr>
          <w:sz w:val="22"/>
          <w:szCs w:val="22"/>
        </w:rPr>
        <w:t xml:space="preserve">el segundo semestre del año </w:t>
      </w:r>
      <w:smartTag w:uri="urn:schemas-microsoft-com:office:smarttags" w:element="metricconverter">
        <w:smartTagPr>
          <w:attr w:name="ProductID" w:val="2003, a"/>
        </w:smartTagPr>
        <w:r w:rsidR="0075637E" w:rsidRPr="00323111">
          <w:rPr>
            <w:sz w:val="22"/>
            <w:szCs w:val="22"/>
          </w:rPr>
          <w:t xml:space="preserve">2003, </w:t>
        </w:r>
        <w:r w:rsidR="00F305FE" w:rsidRPr="00323111">
          <w:rPr>
            <w:sz w:val="22"/>
            <w:szCs w:val="22"/>
          </w:rPr>
          <w:t>a</w:t>
        </w:r>
      </w:smartTag>
      <w:r w:rsidR="00F305FE" w:rsidRPr="00323111">
        <w:rPr>
          <w:sz w:val="22"/>
          <w:szCs w:val="22"/>
        </w:rPr>
        <w:t xml:space="preserve"> partir del</w:t>
      </w:r>
      <w:r w:rsidR="0075637E" w:rsidRPr="00323111">
        <w:rPr>
          <w:rFonts w:eastAsia="Calibri"/>
          <w:sz w:val="22"/>
          <w:szCs w:val="22"/>
        </w:rPr>
        <w:t xml:space="preserve"> reemplazo de la antigua EPH “puntual” </w:t>
      </w:r>
      <w:r w:rsidR="00F305FE" w:rsidRPr="00323111">
        <w:rPr>
          <w:rFonts w:eastAsia="Calibri"/>
          <w:sz w:val="22"/>
          <w:szCs w:val="22"/>
        </w:rPr>
        <w:t>que tenía d</w:t>
      </w:r>
      <w:r w:rsidR="0075637E" w:rsidRPr="00323111">
        <w:rPr>
          <w:rFonts w:eastAsia="Calibri"/>
          <w:sz w:val="22"/>
          <w:szCs w:val="22"/>
        </w:rPr>
        <w:t xml:space="preserve">os mediciones </w:t>
      </w:r>
      <w:r w:rsidR="00F305FE" w:rsidRPr="00323111">
        <w:rPr>
          <w:rFonts w:eastAsia="Calibri"/>
          <w:sz w:val="22"/>
          <w:szCs w:val="22"/>
        </w:rPr>
        <w:t xml:space="preserve">anuales, </w:t>
      </w:r>
      <w:r w:rsidR="0075637E" w:rsidRPr="00323111">
        <w:rPr>
          <w:rFonts w:eastAsia="Calibri"/>
          <w:sz w:val="22"/>
          <w:szCs w:val="22"/>
        </w:rPr>
        <w:t xml:space="preserve">por la denominada encuesta EPH “continua” </w:t>
      </w:r>
      <w:r w:rsidR="00F305FE" w:rsidRPr="00323111">
        <w:rPr>
          <w:rFonts w:eastAsia="Calibri"/>
          <w:sz w:val="22"/>
          <w:szCs w:val="22"/>
        </w:rPr>
        <w:t xml:space="preserve">con </w:t>
      </w:r>
      <w:r w:rsidR="0075637E" w:rsidRPr="00323111">
        <w:rPr>
          <w:rFonts w:eastAsia="Calibri"/>
          <w:sz w:val="22"/>
          <w:szCs w:val="22"/>
        </w:rPr>
        <w:t xml:space="preserve">cambio </w:t>
      </w:r>
      <w:r w:rsidR="00F305FE" w:rsidRPr="00323111">
        <w:rPr>
          <w:rFonts w:eastAsia="Calibri"/>
          <w:sz w:val="22"/>
          <w:szCs w:val="22"/>
        </w:rPr>
        <w:t>en cuatro tiempos de</w:t>
      </w:r>
      <w:r w:rsidR="0075637E" w:rsidRPr="00323111">
        <w:rPr>
          <w:rFonts w:eastAsia="Calibri"/>
          <w:sz w:val="22"/>
          <w:szCs w:val="22"/>
        </w:rPr>
        <w:t xml:space="preserve"> la estructura de rotación de la muestra. </w:t>
      </w:r>
      <w:r w:rsidR="009307E8" w:rsidRPr="00323111">
        <w:rPr>
          <w:rFonts w:eastAsia="Calibri"/>
          <w:sz w:val="22"/>
          <w:szCs w:val="22"/>
        </w:rPr>
        <w:t xml:space="preserve"> </w:t>
      </w:r>
    </w:p>
    <w:p w:rsidR="0075637E" w:rsidRPr="00323111" w:rsidRDefault="00F305FE" w:rsidP="00C03E33">
      <w:pPr>
        <w:autoSpaceDE w:val="0"/>
        <w:autoSpaceDN w:val="0"/>
        <w:adjustRightInd w:val="0"/>
        <w:spacing w:after="120"/>
        <w:jc w:val="both"/>
        <w:rPr>
          <w:rFonts w:eastAsia="Calibri"/>
          <w:sz w:val="22"/>
          <w:szCs w:val="22"/>
        </w:rPr>
      </w:pPr>
      <w:r w:rsidRPr="00323111">
        <w:rPr>
          <w:sz w:val="22"/>
          <w:szCs w:val="22"/>
          <w:lang w:eastAsia="es-AR"/>
        </w:rPr>
        <w:t>Debido a</w:t>
      </w:r>
      <w:r w:rsidR="0075637E" w:rsidRPr="00323111">
        <w:rPr>
          <w:sz w:val="22"/>
          <w:szCs w:val="22"/>
          <w:lang w:eastAsia="es-AR"/>
        </w:rPr>
        <w:t xml:space="preserve"> los aspectos señalados, el análisis se limitó al área metropolitana del Gran Buenos Aires (GBA). Los años seleccionados corresponden a las ondas del mes de mayo de 1992, 1998 y 2003 (EPH “puntual”) y </w:t>
      </w:r>
      <w:r w:rsidRPr="00323111">
        <w:rPr>
          <w:sz w:val="22"/>
          <w:szCs w:val="22"/>
          <w:lang w:eastAsia="es-AR"/>
        </w:rPr>
        <w:t>a</w:t>
      </w:r>
      <w:r w:rsidR="0075637E" w:rsidRPr="00323111">
        <w:rPr>
          <w:sz w:val="22"/>
          <w:szCs w:val="22"/>
          <w:lang w:eastAsia="es-AR"/>
        </w:rPr>
        <w:t xml:space="preserve">l tercer trimestre de 2003, primer trimestre de 2004 y segundos trimestres de </w:t>
      </w:r>
      <w:smartTag w:uri="urn:schemas-microsoft-com:office:smarttags" w:element="metricconverter">
        <w:smartTagPr>
          <w:attr w:name="ProductID" w:val="2005 a"/>
        </w:smartTagPr>
        <w:r w:rsidR="0075637E" w:rsidRPr="00323111">
          <w:rPr>
            <w:sz w:val="22"/>
            <w:szCs w:val="22"/>
            <w:lang w:eastAsia="es-AR"/>
          </w:rPr>
          <w:t>2005 a</w:t>
        </w:r>
      </w:smartTag>
      <w:r w:rsidR="0075637E" w:rsidRPr="00323111">
        <w:rPr>
          <w:sz w:val="22"/>
          <w:szCs w:val="22"/>
          <w:lang w:eastAsia="es-AR"/>
        </w:rPr>
        <w:t xml:space="preserve"> 2012 (EPH “continua”). </w:t>
      </w:r>
      <w:r w:rsidR="002430B8" w:rsidRPr="00323111">
        <w:rPr>
          <w:sz w:val="22"/>
          <w:szCs w:val="22"/>
          <w:lang w:eastAsia="es-AR"/>
        </w:rPr>
        <w:t>S</w:t>
      </w:r>
      <w:r w:rsidR="0075637E" w:rsidRPr="00323111">
        <w:rPr>
          <w:rFonts w:eastAsia="Calibri"/>
          <w:sz w:val="22"/>
          <w:szCs w:val="22"/>
        </w:rPr>
        <w:t xml:space="preserve">e consideró que el empalme de datos entre </w:t>
      </w:r>
      <w:smartTag w:uri="urn:schemas-microsoft-com:office:smarttags" w:element="PersonName">
        <w:smartTagPr>
          <w:attr w:name="ProductID" w:val="la EPH"/>
        </w:smartTagPr>
        <w:r w:rsidR="0075637E" w:rsidRPr="00323111">
          <w:rPr>
            <w:rFonts w:eastAsia="Calibri"/>
            <w:sz w:val="22"/>
            <w:szCs w:val="22"/>
          </w:rPr>
          <w:t>la EPH</w:t>
        </w:r>
      </w:smartTag>
      <w:r w:rsidR="0075637E" w:rsidRPr="00323111">
        <w:rPr>
          <w:rFonts w:eastAsia="Calibri"/>
          <w:sz w:val="22"/>
          <w:szCs w:val="22"/>
        </w:rPr>
        <w:t xml:space="preserve"> “puntual” y “continua” podría resultar distorsivo y, por ende, menos fiable. </w:t>
      </w:r>
      <w:r w:rsidR="002430B8" w:rsidRPr="00323111">
        <w:rPr>
          <w:rFonts w:eastAsia="Calibri"/>
          <w:sz w:val="22"/>
          <w:szCs w:val="22"/>
        </w:rPr>
        <w:t xml:space="preserve">Asimismo, la falta </w:t>
      </w:r>
      <w:r w:rsidR="0075637E" w:rsidRPr="00323111">
        <w:rPr>
          <w:rFonts w:eastAsia="Calibri"/>
          <w:sz w:val="22"/>
          <w:szCs w:val="22"/>
        </w:rPr>
        <w:t xml:space="preserve">de información en los años 1992 y 1994 respecto a los ingresos por ayudas/subsidios no laborales obligó a trabajar en estos años con datos estimados (en base al peso que adquiere esta fuente en el total de ingresos no laborales en los años sucesivos). Por estos motivos, el análisis se desarrolló a través de una serie “cortada” de resultados: 1992-1994, </w:t>
      </w:r>
      <w:r w:rsidR="00AA7A35" w:rsidRPr="00323111">
        <w:rPr>
          <w:rFonts w:eastAsia="Calibri"/>
          <w:sz w:val="22"/>
          <w:szCs w:val="22"/>
        </w:rPr>
        <w:t xml:space="preserve">1994-1998, </w:t>
      </w:r>
      <w:r w:rsidR="0075637E" w:rsidRPr="00323111">
        <w:rPr>
          <w:rFonts w:eastAsia="Calibri"/>
          <w:sz w:val="22"/>
          <w:szCs w:val="22"/>
        </w:rPr>
        <w:t>1998-2003 y 2003-2012</w:t>
      </w:r>
      <w:r w:rsidR="009307E8" w:rsidRPr="00323111">
        <w:rPr>
          <w:rFonts w:eastAsia="Calibri"/>
          <w:sz w:val="22"/>
          <w:szCs w:val="22"/>
        </w:rPr>
        <w:t xml:space="preserve"> (ver Tabla A.1)</w:t>
      </w:r>
      <w:r w:rsidR="0075637E" w:rsidRPr="00323111">
        <w:rPr>
          <w:rFonts w:eastAsia="Calibri"/>
          <w:sz w:val="22"/>
          <w:szCs w:val="22"/>
        </w:rPr>
        <w:t>.</w:t>
      </w:r>
    </w:p>
    <w:p w:rsidR="002430B8" w:rsidRPr="00323111" w:rsidRDefault="002430B8" w:rsidP="0075637E">
      <w:pPr>
        <w:autoSpaceDE w:val="0"/>
        <w:autoSpaceDN w:val="0"/>
        <w:adjustRightInd w:val="0"/>
        <w:jc w:val="both"/>
        <w:rPr>
          <w:rFonts w:eastAsia="Calibri"/>
          <w:sz w:val="22"/>
          <w:szCs w:val="22"/>
        </w:rPr>
      </w:pPr>
    </w:p>
    <w:tbl>
      <w:tblPr>
        <w:tblW w:w="5000" w:type="pct"/>
        <w:jc w:val="center"/>
        <w:tblCellMar>
          <w:left w:w="70" w:type="dxa"/>
          <w:right w:w="70" w:type="dxa"/>
        </w:tblCellMar>
        <w:tblLook w:val="04A0" w:firstRow="1" w:lastRow="0" w:firstColumn="1" w:lastColumn="0" w:noHBand="0" w:noVBand="1"/>
      </w:tblPr>
      <w:tblGrid>
        <w:gridCol w:w="2882"/>
        <w:gridCol w:w="2881"/>
        <w:gridCol w:w="2881"/>
      </w:tblGrid>
      <w:tr w:rsidR="0075637E" w:rsidRPr="00B14726" w:rsidTr="00AA7A35">
        <w:trPr>
          <w:trHeight w:val="20"/>
          <w:jc w:val="center"/>
        </w:trPr>
        <w:tc>
          <w:tcPr>
            <w:tcW w:w="5000" w:type="pct"/>
            <w:gridSpan w:val="3"/>
            <w:tcBorders>
              <w:top w:val="nil"/>
              <w:left w:val="nil"/>
              <w:bottom w:val="nil"/>
              <w:right w:val="nil"/>
            </w:tcBorders>
            <w:shd w:val="clear" w:color="000000" w:fill="FFFFFF"/>
            <w:noWrap/>
            <w:vAlign w:val="center"/>
          </w:tcPr>
          <w:p w:rsidR="0075637E" w:rsidRPr="00B14726" w:rsidRDefault="0075637E" w:rsidP="00042447">
            <w:pPr>
              <w:jc w:val="both"/>
              <w:rPr>
                <w:b/>
                <w:bCs/>
                <w:sz w:val="20"/>
                <w:szCs w:val="20"/>
                <w:lang w:val="es-AR" w:eastAsia="es-AR"/>
              </w:rPr>
            </w:pPr>
            <w:r w:rsidRPr="00B14726">
              <w:rPr>
                <w:b/>
                <w:bCs/>
                <w:sz w:val="20"/>
                <w:szCs w:val="20"/>
                <w:lang w:val="es-AR" w:eastAsia="es-AR"/>
              </w:rPr>
              <w:t xml:space="preserve">Tabla A.1. </w:t>
            </w:r>
            <w:r w:rsidR="00221D18" w:rsidRPr="00B14726">
              <w:rPr>
                <w:b/>
                <w:bCs/>
                <w:sz w:val="20"/>
                <w:szCs w:val="20"/>
                <w:lang w:val="es-AR" w:eastAsia="es-AR"/>
              </w:rPr>
              <w:t xml:space="preserve">Fuentes de datos y variables utilizadas para la construcción de indicadores de percepción de ingresos por transferencias </w:t>
            </w:r>
            <w:r w:rsidR="00042447" w:rsidRPr="00B14726">
              <w:rPr>
                <w:b/>
                <w:bCs/>
                <w:sz w:val="20"/>
                <w:szCs w:val="20"/>
                <w:lang w:val="es-AR" w:eastAsia="es-AR"/>
              </w:rPr>
              <w:t>de la seguridad social y programas de protección contra la pobreza</w:t>
            </w:r>
          </w:p>
        </w:tc>
      </w:tr>
      <w:tr w:rsidR="00B14726" w:rsidRPr="00B14726" w:rsidTr="00AA7A35">
        <w:trPr>
          <w:trHeight w:val="20"/>
          <w:jc w:val="center"/>
        </w:trPr>
        <w:tc>
          <w:tcPr>
            <w:tcW w:w="1667" w:type="pct"/>
            <w:tcBorders>
              <w:top w:val="single" w:sz="8" w:space="0" w:color="auto"/>
              <w:left w:val="single" w:sz="8" w:space="0" w:color="auto"/>
              <w:bottom w:val="nil"/>
              <w:right w:val="nil"/>
            </w:tcBorders>
            <w:shd w:val="clear" w:color="000000" w:fill="FFFFFF"/>
            <w:noWrap/>
            <w:vAlign w:val="center"/>
          </w:tcPr>
          <w:p w:rsidR="00AA7A35" w:rsidRPr="00FD09F7" w:rsidRDefault="00AA7A35" w:rsidP="00A47B82">
            <w:pPr>
              <w:jc w:val="center"/>
              <w:rPr>
                <w:b/>
                <w:bCs/>
                <w:sz w:val="16"/>
                <w:szCs w:val="20"/>
                <w:lang w:val="es-AR" w:eastAsia="es-AR"/>
              </w:rPr>
            </w:pPr>
            <w:r w:rsidRPr="00FD09F7">
              <w:rPr>
                <w:b/>
                <w:bCs/>
                <w:sz w:val="16"/>
                <w:szCs w:val="20"/>
                <w:lang w:val="es-AR" w:eastAsia="es-AR"/>
              </w:rPr>
              <w:t>EPH Puntual (1992-1994)</w:t>
            </w:r>
          </w:p>
        </w:tc>
        <w:tc>
          <w:tcPr>
            <w:tcW w:w="3333" w:type="pct"/>
            <w:gridSpan w:val="2"/>
            <w:tcBorders>
              <w:top w:val="single" w:sz="8" w:space="0" w:color="auto"/>
              <w:left w:val="single" w:sz="8" w:space="0" w:color="auto"/>
              <w:bottom w:val="nil"/>
              <w:right w:val="single" w:sz="8" w:space="0" w:color="000000"/>
            </w:tcBorders>
            <w:shd w:val="clear" w:color="000000" w:fill="FFFFFF"/>
            <w:noWrap/>
            <w:vAlign w:val="center"/>
          </w:tcPr>
          <w:p w:rsidR="00AA7A35" w:rsidRPr="00FD09F7" w:rsidRDefault="00AA7A35" w:rsidP="00A47B82">
            <w:pPr>
              <w:jc w:val="center"/>
              <w:rPr>
                <w:b/>
                <w:bCs/>
                <w:sz w:val="16"/>
                <w:szCs w:val="20"/>
                <w:lang w:val="es-AR" w:eastAsia="es-AR"/>
              </w:rPr>
            </w:pPr>
          </w:p>
        </w:tc>
      </w:tr>
      <w:tr w:rsidR="00B14726" w:rsidRPr="00B14726" w:rsidTr="00AA7A35">
        <w:trPr>
          <w:trHeight w:val="20"/>
          <w:jc w:val="center"/>
        </w:trPr>
        <w:tc>
          <w:tcPr>
            <w:tcW w:w="1667" w:type="pct"/>
            <w:tcBorders>
              <w:top w:val="single" w:sz="4" w:space="0" w:color="auto"/>
              <w:left w:val="single" w:sz="8" w:space="0" w:color="auto"/>
              <w:bottom w:val="single" w:sz="4" w:space="0" w:color="auto"/>
              <w:right w:val="nil"/>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Ingresos por Jubilaciones</w:t>
            </w:r>
          </w:p>
        </w:tc>
        <w:tc>
          <w:tcPr>
            <w:tcW w:w="1666" w:type="pct"/>
            <w:tcBorders>
              <w:top w:val="single" w:sz="4" w:space="0" w:color="auto"/>
              <w:left w:val="single" w:sz="8" w:space="0" w:color="auto"/>
              <w:bottom w:val="single" w:sz="4" w:space="0" w:color="auto"/>
              <w:right w:val="nil"/>
            </w:tcBorders>
            <w:shd w:val="clear" w:color="000000" w:fill="FFFFFF"/>
            <w:vAlign w:val="center"/>
          </w:tcPr>
          <w:p w:rsidR="00AA7A35" w:rsidRPr="00FD09F7" w:rsidRDefault="00AA7A35" w:rsidP="00A47B82">
            <w:pPr>
              <w:jc w:val="center"/>
              <w:rPr>
                <w:sz w:val="16"/>
                <w:szCs w:val="20"/>
                <w:lang w:val="es-AR" w:eastAsia="es-AR"/>
              </w:rPr>
            </w:pPr>
            <w:r w:rsidRPr="00FD09F7">
              <w:rPr>
                <w:sz w:val="16"/>
                <w:szCs w:val="20"/>
                <w:lang w:val="es-AR" w:eastAsia="es-AR"/>
              </w:rPr>
              <w:t>p48_1</w:t>
            </w:r>
          </w:p>
        </w:tc>
        <w:tc>
          <w:tcPr>
            <w:tcW w:w="1667" w:type="pct"/>
            <w:tcBorders>
              <w:top w:val="single" w:sz="4" w:space="0" w:color="auto"/>
              <w:left w:val="nil"/>
              <w:bottom w:val="single" w:sz="4" w:space="0" w:color="auto"/>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 xml:space="preserve">Ingreso por jubilación o pensión    </w:t>
            </w:r>
          </w:p>
        </w:tc>
      </w:tr>
      <w:tr w:rsidR="00B14726" w:rsidRPr="00B14726" w:rsidTr="00AA7A35">
        <w:trPr>
          <w:trHeight w:val="20"/>
          <w:jc w:val="center"/>
        </w:trPr>
        <w:tc>
          <w:tcPr>
            <w:tcW w:w="1667" w:type="pct"/>
            <w:tcBorders>
              <w:top w:val="nil"/>
              <w:left w:val="single" w:sz="8" w:space="0" w:color="auto"/>
              <w:bottom w:val="nil"/>
              <w:right w:val="nil"/>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Ingresos por Planes</w:t>
            </w:r>
          </w:p>
        </w:tc>
        <w:tc>
          <w:tcPr>
            <w:tcW w:w="1666" w:type="pct"/>
            <w:vMerge w:val="restart"/>
            <w:tcBorders>
              <w:top w:val="nil"/>
              <w:left w:val="single" w:sz="8" w:space="0" w:color="auto"/>
              <w:bottom w:val="single" w:sz="4" w:space="0" w:color="000000"/>
              <w:right w:val="nil"/>
            </w:tcBorders>
            <w:shd w:val="clear" w:color="000000" w:fill="FFFFFF"/>
            <w:vAlign w:val="center"/>
          </w:tcPr>
          <w:p w:rsidR="00AA7A35" w:rsidRPr="00FD09F7" w:rsidRDefault="00AA7A35" w:rsidP="00A47B82">
            <w:pPr>
              <w:jc w:val="center"/>
              <w:rPr>
                <w:sz w:val="16"/>
                <w:szCs w:val="20"/>
                <w:lang w:val="es-AR" w:eastAsia="es-AR"/>
              </w:rPr>
            </w:pPr>
            <w:r w:rsidRPr="00FD09F7">
              <w:rPr>
                <w:sz w:val="16"/>
                <w:szCs w:val="20"/>
                <w:lang w:val="es-AR" w:eastAsia="es-AR"/>
              </w:rPr>
              <w:t>p47_6</w:t>
            </w:r>
          </w:p>
        </w:tc>
        <w:tc>
          <w:tcPr>
            <w:tcW w:w="1667" w:type="pct"/>
            <w:vMerge w:val="restart"/>
            <w:tcBorders>
              <w:top w:val="nil"/>
              <w:left w:val="nil"/>
              <w:bottom w:val="single" w:sz="4" w:space="0" w:color="000000"/>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Otros ingresos</w:t>
            </w:r>
          </w:p>
        </w:tc>
      </w:tr>
      <w:tr w:rsidR="00B14726" w:rsidRPr="00B14726" w:rsidTr="00AA7A35">
        <w:trPr>
          <w:trHeight w:val="20"/>
          <w:jc w:val="center"/>
        </w:trPr>
        <w:tc>
          <w:tcPr>
            <w:tcW w:w="1667" w:type="pct"/>
            <w:tcBorders>
              <w:top w:val="nil"/>
              <w:left w:val="single" w:sz="8" w:space="0" w:color="auto"/>
              <w:bottom w:val="single" w:sz="4" w:space="0" w:color="auto"/>
              <w:right w:val="nil"/>
            </w:tcBorders>
            <w:shd w:val="clear" w:color="000000" w:fill="FFFFFF"/>
            <w:vAlign w:val="center"/>
          </w:tcPr>
          <w:p w:rsidR="00AA7A35" w:rsidRPr="00FD09F7" w:rsidRDefault="00AA7A35" w:rsidP="00AA7A35">
            <w:pPr>
              <w:rPr>
                <w:sz w:val="16"/>
                <w:szCs w:val="20"/>
                <w:lang w:val="es-AR" w:eastAsia="es-AR"/>
              </w:rPr>
            </w:pPr>
            <w:r w:rsidRPr="00FD09F7">
              <w:rPr>
                <w:sz w:val="16"/>
                <w:szCs w:val="20"/>
                <w:lang w:val="es-AR" w:eastAsia="es-AR"/>
              </w:rPr>
              <w:t>Ingresos por Subsidios o ayudas</w:t>
            </w:r>
          </w:p>
        </w:tc>
        <w:tc>
          <w:tcPr>
            <w:tcW w:w="1666" w:type="pct"/>
            <w:vMerge/>
            <w:tcBorders>
              <w:top w:val="nil"/>
              <w:left w:val="single" w:sz="8" w:space="0" w:color="auto"/>
              <w:bottom w:val="single" w:sz="4" w:space="0" w:color="000000"/>
              <w:right w:val="nil"/>
            </w:tcBorders>
            <w:vAlign w:val="center"/>
          </w:tcPr>
          <w:p w:rsidR="00AA7A35" w:rsidRPr="00FD09F7" w:rsidRDefault="00AA7A35" w:rsidP="00A47B82">
            <w:pPr>
              <w:rPr>
                <w:sz w:val="16"/>
                <w:szCs w:val="20"/>
                <w:lang w:val="es-AR" w:eastAsia="es-AR"/>
              </w:rPr>
            </w:pPr>
          </w:p>
        </w:tc>
        <w:tc>
          <w:tcPr>
            <w:tcW w:w="1667" w:type="pct"/>
            <w:vMerge/>
            <w:tcBorders>
              <w:top w:val="nil"/>
              <w:left w:val="nil"/>
              <w:bottom w:val="single" w:sz="4" w:space="0" w:color="000000"/>
              <w:right w:val="single" w:sz="8" w:space="0" w:color="auto"/>
            </w:tcBorders>
            <w:vAlign w:val="center"/>
          </w:tcPr>
          <w:p w:rsidR="00AA7A35" w:rsidRPr="00FD09F7" w:rsidRDefault="00AA7A35" w:rsidP="00A47B82">
            <w:pPr>
              <w:rPr>
                <w:sz w:val="16"/>
                <w:szCs w:val="20"/>
                <w:lang w:val="es-AR" w:eastAsia="es-AR"/>
              </w:rPr>
            </w:pPr>
          </w:p>
        </w:tc>
      </w:tr>
      <w:tr w:rsidR="00B14726" w:rsidRPr="00B14726" w:rsidTr="00AA7A35">
        <w:trPr>
          <w:trHeight w:val="20"/>
          <w:jc w:val="center"/>
        </w:trPr>
        <w:tc>
          <w:tcPr>
            <w:tcW w:w="1667" w:type="pct"/>
            <w:tcBorders>
              <w:top w:val="nil"/>
              <w:left w:val="single" w:sz="8" w:space="0" w:color="auto"/>
              <w:bottom w:val="nil"/>
              <w:right w:val="nil"/>
            </w:tcBorders>
            <w:shd w:val="clear" w:color="000000" w:fill="FFFFFF"/>
            <w:noWrap/>
            <w:vAlign w:val="center"/>
          </w:tcPr>
          <w:p w:rsidR="00AA7A35" w:rsidRPr="00FD09F7" w:rsidRDefault="00AA7A35" w:rsidP="00A47B82">
            <w:pPr>
              <w:jc w:val="center"/>
              <w:rPr>
                <w:b/>
                <w:bCs/>
                <w:sz w:val="16"/>
                <w:szCs w:val="20"/>
                <w:lang w:val="es-AR" w:eastAsia="es-AR"/>
              </w:rPr>
            </w:pPr>
            <w:r w:rsidRPr="00FD09F7">
              <w:rPr>
                <w:b/>
                <w:bCs/>
                <w:sz w:val="16"/>
                <w:szCs w:val="20"/>
                <w:lang w:val="es-AR" w:eastAsia="es-AR"/>
              </w:rPr>
              <w:t>EPH Puntual (1998-2003)</w:t>
            </w:r>
          </w:p>
        </w:tc>
        <w:tc>
          <w:tcPr>
            <w:tcW w:w="3333" w:type="pct"/>
            <w:gridSpan w:val="2"/>
            <w:tcBorders>
              <w:top w:val="nil"/>
              <w:left w:val="single" w:sz="8" w:space="0" w:color="auto"/>
              <w:bottom w:val="nil"/>
              <w:right w:val="single" w:sz="8" w:space="0" w:color="000000"/>
            </w:tcBorders>
            <w:shd w:val="clear" w:color="000000" w:fill="FFFFFF"/>
            <w:noWrap/>
            <w:vAlign w:val="center"/>
          </w:tcPr>
          <w:p w:rsidR="00AA7A35" w:rsidRPr="00FD09F7" w:rsidRDefault="00AA7A35" w:rsidP="00A47B82">
            <w:pPr>
              <w:jc w:val="center"/>
              <w:rPr>
                <w:b/>
                <w:bCs/>
                <w:sz w:val="16"/>
                <w:szCs w:val="20"/>
                <w:lang w:val="es-AR" w:eastAsia="es-AR"/>
              </w:rPr>
            </w:pPr>
          </w:p>
        </w:tc>
      </w:tr>
      <w:tr w:rsidR="00B14726" w:rsidRPr="00B14726" w:rsidTr="00AA7A35">
        <w:trPr>
          <w:trHeight w:val="20"/>
          <w:jc w:val="center"/>
        </w:trPr>
        <w:tc>
          <w:tcPr>
            <w:tcW w:w="1667" w:type="pct"/>
            <w:tcBorders>
              <w:top w:val="single" w:sz="4" w:space="0" w:color="auto"/>
              <w:left w:val="single" w:sz="8" w:space="0" w:color="auto"/>
              <w:bottom w:val="single" w:sz="4" w:space="0" w:color="auto"/>
              <w:right w:val="nil"/>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Ingresos por Jubilaciones</w:t>
            </w:r>
          </w:p>
        </w:tc>
        <w:tc>
          <w:tcPr>
            <w:tcW w:w="1666" w:type="pct"/>
            <w:tcBorders>
              <w:top w:val="single" w:sz="4" w:space="0" w:color="auto"/>
              <w:left w:val="single" w:sz="8" w:space="0" w:color="auto"/>
              <w:bottom w:val="single" w:sz="4" w:space="0" w:color="auto"/>
              <w:right w:val="nil"/>
            </w:tcBorders>
            <w:shd w:val="clear" w:color="000000" w:fill="FFFFFF"/>
            <w:vAlign w:val="center"/>
          </w:tcPr>
          <w:p w:rsidR="00AA7A35" w:rsidRPr="00FD09F7" w:rsidRDefault="00AA7A35" w:rsidP="00A47B82">
            <w:pPr>
              <w:jc w:val="center"/>
              <w:rPr>
                <w:sz w:val="16"/>
                <w:szCs w:val="20"/>
                <w:lang w:val="es-AR" w:eastAsia="es-AR"/>
              </w:rPr>
            </w:pPr>
            <w:r w:rsidRPr="00FD09F7">
              <w:rPr>
                <w:sz w:val="16"/>
                <w:szCs w:val="20"/>
                <w:lang w:val="es-AR" w:eastAsia="es-AR"/>
              </w:rPr>
              <w:t xml:space="preserve">P48_1      </w:t>
            </w:r>
          </w:p>
        </w:tc>
        <w:tc>
          <w:tcPr>
            <w:tcW w:w="1667" w:type="pct"/>
            <w:tcBorders>
              <w:top w:val="single" w:sz="4" w:space="0" w:color="auto"/>
              <w:left w:val="nil"/>
              <w:bottom w:val="single" w:sz="4" w:space="0" w:color="auto"/>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 xml:space="preserve">Ingreso por jubilación o pensión    </w:t>
            </w:r>
          </w:p>
        </w:tc>
      </w:tr>
      <w:tr w:rsidR="00B14726" w:rsidRPr="00B14726" w:rsidTr="00AA7A35">
        <w:trPr>
          <w:trHeight w:val="20"/>
          <w:jc w:val="center"/>
        </w:trPr>
        <w:tc>
          <w:tcPr>
            <w:tcW w:w="1667" w:type="pct"/>
            <w:tcBorders>
              <w:top w:val="nil"/>
              <w:left w:val="single" w:sz="8" w:space="0" w:color="auto"/>
              <w:bottom w:val="single" w:sz="4" w:space="0" w:color="auto"/>
              <w:right w:val="nil"/>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Ingresos por Planes</w:t>
            </w:r>
          </w:p>
        </w:tc>
        <w:tc>
          <w:tcPr>
            <w:tcW w:w="1666" w:type="pct"/>
            <w:tcBorders>
              <w:top w:val="nil"/>
              <w:left w:val="single" w:sz="8" w:space="0" w:color="auto"/>
              <w:bottom w:val="single" w:sz="4" w:space="0" w:color="auto"/>
              <w:right w:val="nil"/>
            </w:tcBorders>
            <w:shd w:val="clear" w:color="000000" w:fill="FFFFFF"/>
            <w:vAlign w:val="center"/>
          </w:tcPr>
          <w:p w:rsidR="00AA7A35" w:rsidRPr="00FD09F7" w:rsidRDefault="00AA7A35" w:rsidP="00A47B82">
            <w:pPr>
              <w:jc w:val="center"/>
              <w:rPr>
                <w:sz w:val="16"/>
                <w:szCs w:val="20"/>
                <w:lang w:val="es-AR" w:eastAsia="es-AR"/>
              </w:rPr>
            </w:pPr>
            <w:r w:rsidRPr="00FD09F7">
              <w:rPr>
                <w:sz w:val="16"/>
                <w:szCs w:val="20"/>
                <w:lang w:val="es-AR" w:eastAsia="es-AR"/>
              </w:rPr>
              <w:t>p18a</w:t>
            </w:r>
          </w:p>
        </w:tc>
        <w:tc>
          <w:tcPr>
            <w:tcW w:w="1667" w:type="pct"/>
            <w:tcBorders>
              <w:top w:val="nil"/>
              <w:left w:val="nil"/>
              <w:bottom w:val="single" w:sz="4" w:space="0" w:color="auto"/>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Identifica Planes de empleo</w:t>
            </w:r>
          </w:p>
        </w:tc>
      </w:tr>
      <w:tr w:rsidR="00B14726" w:rsidRPr="00B14726" w:rsidTr="00AA7A35">
        <w:trPr>
          <w:trHeight w:val="20"/>
          <w:jc w:val="center"/>
        </w:trPr>
        <w:tc>
          <w:tcPr>
            <w:tcW w:w="1667" w:type="pct"/>
            <w:tcBorders>
              <w:top w:val="nil"/>
              <w:left w:val="single" w:sz="8" w:space="0" w:color="auto"/>
              <w:bottom w:val="single" w:sz="4" w:space="0" w:color="auto"/>
              <w:right w:val="nil"/>
            </w:tcBorders>
            <w:shd w:val="clear" w:color="000000" w:fill="FFFFFF"/>
            <w:vAlign w:val="center"/>
          </w:tcPr>
          <w:p w:rsidR="00AA7A35" w:rsidRPr="00FD09F7" w:rsidRDefault="00AA7A35" w:rsidP="00AA7A35">
            <w:pPr>
              <w:rPr>
                <w:sz w:val="16"/>
                <w:szCs w:val="20"/>
                <w:lang w:val="es-AR" w:eastAsia="es-AR"/>
              </w:rPr>
            </w:pPr>
            <w:r w:rsidRPr="00FD09F7">
              <w:rPr>
                <w:sz w:val="16"/>
                <w:szCs w:val="20"/>
                <w:lang w:val="es-AR" w:eastAsia="es-AR"/>
              </w:rPr>
              <w:t>Ingresos por Subsidios o ayudas</w:t>
            </w:r>
          </w:p>
        </w:tc>
        <w:tc>
          <w:tcPr>
            <w:tcW w:w="1666" w:type="pct"/>
            <w:tcBorders>
              <w:top w:val="nil"/>
              <w:left w:val="single" w:sz="8" w:space="0" w:color="auto"/>
              <w:bottom w:val="single" w:sz="4" w:space="0" w:color="auto"/>
              <w:right w:val="nil"/>
            </w:tcBorders>
            <w:shd w:val="clear" w:color="000000" w:fill="FFFFFF"/>
            <w:vAlign w:val="center"/>
          </w:tcPr>
          <w:p w:rsidR="00AA7A35" w:rsidRPr="00FD09F7" w:rsidRDefault="00AA7A35" w:rsidP="00A47B82">
            <w:pPr>
              <w:jc w:val="center"/>
              <w:rPr>
                <w:sz w:val="16"/>
                <w:szCs w:val="20"/>
                <w:lang w:val="es-AR" w:eastAsia="es-AR"/>
              </w:rPr>
            </w:pPr>
            <w:r w:rsidRPr="00FD09F7">
              <w:rPr>
                <w:sz w:val="16"/>
                <w:szCs w:val="20"/>
                <w:lang w:val="es-AR" w:eastAsia="es-AR"/>
              </w:rPr>
              <w:t>p48_9</w:t>
            </w:r>
          </w:p>
        </w:tc>
        <w:tc>
          <w:tcPr>
            <w:tcW w:w="1667" w:type="pct"/>
            <w:tcBorders>
              <w:top w:val="nil"/>
              <w:left w:val="nil"/>
              <w:bottom w:val="single" w:sz="4" w:space="0" w:color="auto"/>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Otros ingresos</w:t>
            </w:r>
          </w:p>
        </w:tc>
      </w:tr>
      <w:tr w:rsidR="00B14726" w:rsidRPr="00B14726" w:rsidTr="00AA7A35">
        <w:trPr>
          <w:trHeight w:val="20"/>
          <w:jc w:val="center"/>
        </w:trPr>
        <w:tc>
          <w:tcPr>
            <w:tcW w:w="1667" w:type="pct"/>
            <w:tcBorders>
              <w:top w:val="nil"/>
              <w:left w:val="single" w:sz="8" w:space="0" w:color="auto"/>
              <w:bottom w:val="nil"/>
              <w:right w:val="nil"/>
            </w:tcBorders>
            <w:shd w:val="clear" w:color="000000" w:fill="FFFFFF"/>
            <w:noWrap/>
            <w:vAlign w:val="center"/>
          </w:tcPr>
          <w:p w:rsidR="00AA7A35" w:rsidRPr="00FD09F7" w:rsidRDefault="00AA7A35" w:rsidP="00A47B82">
            <w:pPr>
              <w:jc w:val="center"/>
              <w:rPr>
                <w:b/>
                <w:bCs/>
                <w:sz w:val="16"/>
                <w:szCs w:val="20"/>
                <w:lang w:val="es-AR" w:eastAsia="es-AR"/>
              </w:rPr>
            </w:pPr>
            <w:r w:rsidRPr="00FD09F7">
              <w:rPr>
                <w:b/>
                <w:bCs/>
                <w:sz w:val="16"/>
                <w:szCs w:val="20"/>
                <w:lang w:val="es-AR" w:eastAsia="es-AR"/>
              </w:rPr>
              <w:t>EPH Continua (2003-2012)</w:t>
            </w:r>
          </w:p>
        </w:tc>
        <w:tc>
          <w:tcPr>
            <w:tcW w:w="3333" w:type="pct"/>
            <w:gridSpan w:val="2"/>
            <w:tcBorders>
              <w:top w:val="nil"/>
              <w:left w:val="single" w:sz="8" w:space="0" w:color="auto"/>
              <w:bottom w:val="nil"/>
              <w:right w:val="single" w:sz="8" w:space="0" w:color="000000"/>
            </w:tcBorders>
            <w:shd w:val="clear" w:color="000000" w:fill="FFFFFF"/>
            <w:noWrap/>
            <w:vAlign w:val="center"/>
          </w:tcPr>
          <w:p w:rsidR="00AA7A35" w:rsidRPr="00FD09F7" w:rsidRDefault="00AA7A35" w:rsidP="00A47B82">
            <w:pPr>
              <w:jc w:val="center"/>
              <w:rPr>
                <w:b/>
                <w:bCs/>
                <w:sz w:val="16"/>
                <w:szCs w:val="20"/>
                <w:lang w:val="es-AR" w:eastAsia="es-AR"/>
              </w:rPr>
            </w:pPr>
          </w:p>
        </w:tc>
      </w:tr>
      <w:tr w:rsidR="00B14726" w:rsidRPr="00B14726" w:rsidTr="00AA7A35">
        <w:trPr>
          <w:trHeight w:val="20"/>
          <w:jc w:val="center"/>
        </w:trPr>
        <w:tc>
          <w:tcPr>
            <w:tcW w:w="1667" w:type="pct"/>
            <w:tcBorders>
              <w:top w:val="single" w:sz="4" w:space="0" w:color="auto"/>
              <w:left w:val="single" w:sz="8" w:space="0" w:color="auto"/>
              <w:bottom w:val="single" w:sz="4" w:space="0" w:color="auto"/>
              <w:right w:val="nil"/>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Ingresos por Jubilaciones</w:t>
            </w:r>
          </w:p>
        </w:tc>
        <w:tc>
          <w:tcPr>
            <w:tcW w:w="1666" w:type="pct"/>
            <w:tcBorders>
              <w:top w:val="single" w:sz="4" w:space="0" w:color="auto"/>
              <w:left w:val="single" w:sz="8" w:space="0" w:color="auto"/>
              <w:bottom w:val="single" w:sz="4" w:space="0" w:color="auto"/>
              <w:right w:val="nil"/>
            </w:tcBorders>
            <w:shd w:val="clear" w:color="000000" w:fill="FFFFFF"/>
            <w:noWrap/>
            <w:vAlign w:val="center"/>
          </w:tcPr>
          <w:p w:rsidR="00AA7A35" w:rsidRPr="00FD09F7" w:rsidRDefault="00AA7A35" w:rsidP="00A47B82">
            <w:pPr>
              <w:jc w:val="center"/>
              <w:rPr>
                <w:sz w:val="16"/>
                <w:szCs w:val="20"/>
                <w:lang w:val="es-AR" w:eastAsia="es-AR"/>
              </w:rPr>
            </w:pPr>
            <w:r w:rsidRPr="00FD09F7">
              <w:rPr>
                <w:sz w:val="16"/>
                <w:szCs w:val="20"/>
                <w:lang w:val="es-AR" w:eastAsia="es-AR"/>
              </w:rPr>
              <w:t>v2_m</w:t>
            </w:r>
          </w:p>
        </w:tc>
        <w:tc>
          <w:tcPr>
            <w:tcW w:w="1667" w:type="pct"/>
            <w:tcBorders>
              <w:top w:val="single" w:sz="4" w:space="0" w:color="auto"/>
              <w:left w:val="nil"/>
              <w:bottom w:val="single" w:sz="4" w:space="0" w:color="auto"/>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Monto percibido por jubilación o pensión</w:t>
            </w:r>
          </w:p>
        </w:tc>
      </w:tr>
      <w:tr w:rsidR="00B14726" w:rsidRPr="00B14726" w:rsidTr="00AA7A35">
        <w:trPr>
          <w:trHeight w:val="20"/>
          <w:jc w:val="center"/>
        </w:trPr>
        <w:tc>
          <w:tcPr>
            <w:tcW w:w="1667" w:type="pct"/>
            <w:tcBorders>
              <w:top w:val="nil"/>
              <w:left w:val="single" w:sz="8" w:space="0" w:color="auto"/>
              <w:bottom w:val="single" w:sz="4" w:space="0" w:color="auto"/>
              <w:right w:val="nil"/>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Ingresos por Planes</w:t>
            </w:r>
          </w:p>
        </w:tc>
        <w:tc>
          <w:tcPr>
            <w:tcW w:w="1666" w:type="pct"/>
            <w:tcBorders>
              <w:top w:val="nil"/>
              <w:left w:val="single" w:sz="8" w:space="0" w:color="auto"/>
              <w:bottom w:val="single" w:sz="4" w:space="0" w:color="auto"/>
              <w:right w:val="nil"/>
            </w:tcBorders>
            <w:shd w:val="clear" w:color="000000" w:fill="FFFFFF"/>
            <w:noWrap/>
            <w:vAlign w:val="center"/>
          </w:tcPr>
          <w:p w:rsidR="00AA7A35" w:rsidRPr="00FD09F7" w:rsidRDefault="00AA7A35" w:rsidP="00A47B82">
            <w:pPr>
              <w:jc w:val="center"/>
              <w:rPr>
                <w:sz w:val="16"/>
                <w:szCs w:val="20"/>
                <w:lang w:val="es-AR" w:eastAsia="es-AR"/>
              </w:rPr>
            </w:pPr>
            <w:r w:rsidRPr="00FD09F7">
              <w:rPr>
                <w:sz w:val="16"/>
                <w:szCs w:val="20"/>
                <w:lang w:val="es-AR" w:eastAsia="es-AR"/>
              </w:rPr>
              <w:t>pp07e</w:t>
            </w:r>
          </w:p>
        </w:tc>
        <w:tc>
          <w:tcPr>
            <w:tcW w:w="1667" w:type="pct"/>
            <w:tcBorders>
              <w:top w:val="nil"/>
              <w:left w:val="nil"/>
              <w:bottom w:val="single" w:sz="4" w:space="0" w:color="auto"/>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El trabajo es un Plan de Empleo</w:t>
            </w:r>
          </w:p>
        </w:tc>
      </w:tr>
      <w:tr w:rsidR="00B14726" w:rsidRPr="00B14726" w:rsidTr="00AA7A35">
        <w:trPr>
          <w:trHeight w:val="20"/>
          <w:jc w:val="center"/>
        </w:trPr>
        <w:tc>
          <w:tcPr>
            <w:tcW w:w="1667" w:type="pct"/>
            <w:tcBorders>
              <w:top w:val="nil"/>
              <w:left w:val="single" w:sz="8" w:space="0" w:color="auto"/>
              <w:bottom w:val="single" w:sz="8" w:space="0" w:color="auto"/>
              <w:right w:val="nil"/>
            </w:tcBorders>
            <w:shd w:val="clear" w:color="000000" w:fill="FFFFFF"/>
            <w:vAlign w:val="center"/>
          </w:tcPr>
          <w:p w:rsidR="00AA7A35" w:rsidRPr="00FD09F7" w:rsidRDefault="00AA7A35" w:rsidP="00AA7A35">
            <w:pPr>
              <w:rPr>
                <w:sz w:val="16"/>
                <w:szCs w:val="20"/>
                <w:lang w:val="es-AR" w:eastAsia="es-AR"/>
              </w:rPr>
            </w:pPr>
            <w:r w:rsidRPr="00FD09F7">
              <w:rPr>
                <w:sz w:val="16"/>
                <w:szCs w:val="20"/>
                <w:lang w:val="es-AR" w:eastAsia="es-AR"/>
              </w:rPr>
              <w:t>Ingresos por Subsidios o ayudas</w:t>
            </w:r>
          </w:p>
        </w:tc>
        <w:tc>
          <w:tcPr>
            <w:tcW w:w="1666" w:type="pct"/>
            <w:tcBorders>
              <w:top w:val="nil"/>
              <w:left w:val="single" w:sz="8" w:space="0" w:color="auto"/>
              <w:bottom w:val="single" w:sz="8" w:space="0" w:color="auto"/>
              <w:right w:val="nil"/>
            </w:tcBorders>
            <w:shd w:val="clear" w:color="000000" w:fill="FFFFFF"/>
            <w:noWrap/>
            <w:vAlign w:val="center"/>
          </w:tcPr>
          <w:p w:rsidR="00AA7A35" w:rsidRPr="00FD09F7" w:rsidRDefault="00AA7A35" w:rsidP="00A47B82">
            <w:pPr>
              <w:jc w:val="center"/>
              <w:rPr>
                <w:sz w:val="16"/>
                <w:szCs w:val="20"/>
                <w:lang w:val="es-AR" w:eastAsia="es-AR"/>
              </w:rPr>
            </w:pPr>
            <w:r w:rsidRPr="00FD09F7">
              <w:rPr>
                <w:sz w:val="16"/>
                <w:szCs w:val="20"/>
                <w:lang w:val="es-AR" w:eastAsia="es-AR"/>
              </w:rPr>
              <w:t>v5_m</w:t>
            </w:r>
          </w:p>
        </w:tc>
        <w:tc>
          <w:tcPr>
            <w:tcW w:w="1667" w:type="pct"/>
            <w:tcBorders>
              <w:top w:val="nil"/>
              <w:left w:val="nil"/>
              <w:bottom w:val="single" w:sz="8" w:space="0" w:color="auto"/>
              <w:right w:val="single" w:sz="8" w:space="0" w:color="auto"/>
            </w:tcBorders>
            <w:shd w:val="clear" w:color="000000" w:fill="FFFFFF"/>
            <w:vAlign w:val="center"/>
          </w:tcPr>
          <w:p w:rsidR="00AA7A35" w:rsidRPr="00FD09F7" w:rsidRDefault="00AA7A35" w:rsidP="00A47B82">
            <w:pPr>
              <w:rPr>
                <w:sz w:val="16"/>
                <w:szCs w:val="20"/>
                <w:lang w:val="es-AR" w:eastAsia="es-AR"/>
              </w:rPr>
            </w:pPr>
            <w:r w:rsidRPr="00FD09F7">
              <w:rPr>
                <w:sz w:val="16"/>
                <w:szCs w:val="20"/>
                <w:lang w:val="es-AR" w:eastAsia="es-AR"/>
              </w:rPr>
              <w:t>Monto percibido por subsidios o ayudas</w:t>
            </w:r>
          </w:p>
        </w:tc>
      </w:tr>
    </w:tbl>
    <w:p w:rsidR="00E801AD" w:rsidRPr="00FD09F7" w:rsidRDefault="00E801AD" w:rsidP="00E801AD">
      <w:pPr>
        <w:autoSpaceDE w:val="0"/>
        <w:autoSpaceDN w:val="0"/>
        <w:adjustRightInd w:val="0"/>
        <w:jc w:val="both"/>
        <w:rPr>
          <w:rFonts w:eastAsia="Calibri"/>
          <w:sz w:val="20"/>
          <w:szCs w:val="18"/>
          <w:lang w:val="es-AR"/>
        </w:rPr>
      </w:pPr>
      <w:r w:rsidRPr="00FD09F7">
        <w:rPr>
          <w:rFonts w:eastAsia="Calibri"/>
          <w:sz w:val="20"/>
          <w:szCs w:val="18"/>
          <w:lang w:val="es-AR"/>
        </w:rPr>
        <w:t>Fuente: elaboración propia con base en cuestionarios de EPH-INDEC</w:t>
      </w:r>
    </w:p>
    <w:p w:rsidR="0075637E" w:rsidRPr="00B14726" w:rsidRDefault="0075637E" w:rsidP="0075637E">
      <w:pPr>
        <w:autoSpaceDE w:val="0"/>
        <w:autoSpaceDN w:val="0"/>
        <w:adjustRightInd w:val="0"/>
        <w:jc w:val="both"/>
        <w:rPr>
          <w:rFonts w:eastAsia="Calibri"/>
          <w:lang w:val="es-AR"/>
        </w:rPr>
      </w:pPr>
    </w:p>
    <w:p w:rsidR="009307E8" w:rsidRPr="00323111" w:rsidRDefault="009307E8" w:rsidP="009307E8">
      <w:pPr>
        <w:spacing w:after="120"/>
        <w:jc w:val="both"/>
        <w:rPr>
          <w:sz w:val="22"/>
          <w:szCs w:val="22"/>
          <w:lang w:eastAsia="es-AR"/>
        </w:rPr>
      </w:pPr>
      <w:r w:rsidRPr="00323111">
        <w:rPr>
          <w:sz w:val="22"/>
          <w:szCs w:val="22"/>
          <w:lang w:eastAsia="es-AR"/>
        </w:rPr>
        <w:t xml:space="preserve">A su vez, </w:t>
      </w:r>
      <w:r w:rsidRPr="00323111">
        <w:rPr>
          <w:sz w:val="22"/>
          <w:szCs w:val="22"/>
        </w:rPr>
        <w:t xml:space="preserve">con el objetivo de disminuir la pérdida de información por no declaración de ingresos, se tomó la decisión de estimar por tipo de fuente los ingresos personales no declarados, para la encuesta en su modalidad “puntual”, a partir de </w:t>
      </w:r>
      <w:r w:rsidRPr="00323111">
        <w:rPr>
          <w:sz w:val="22"/>
          <w:szCs w:val="22"/>
          <w:lang w:eastAsia="es-AR"/>
        </w:rPr>
        <w:t xml:space="preserve">un modelo de regresión multivariado para la determinación de los ingresos por perceptor y </w:t>
      </w:r>
      <w:r w:rsidRPr="00323111">
        <w:rPr>
          <w:sz w:val="22"/>
          <w:szCs w:val="22"/>
        </w:rPr>
        <w:t>tipo de ingreso (véase Salvia, 2012)</w:t>
      </w:r>
      <w:r w:rsidRPr="00323111">
        <w:rPr>
          <w:sz w:val="22"/>
          <w:szCs w:val="22"/>
          <w:lang w:eastAsia="es-AR"/>
        </w:rPr>
        <w:t xml:space="preserve">. En la modalidad EPH “continua” (2003-2012), el propio INDEC hace una imputación por registro y tipo de fuente de los ingresos no declarados y dado que arroja resultados similares a los que surgen del modelo propio, para simplificar las comparaciones con datos provenientes del </w:t>
      </w:r>
      <w:r w:rsidRPr="00323111">
        <w:rPr>
          <w:sz w:val="22"/>
          <w:szCs w:val="22"/>
          <w:lang w:eastAsia="es-AR"/>
        </w:rPr>
        <w:lastRenderedPageBreak/>
        <w:t>organismo, se decidió aceptar el método de imputación de ingresos diseñado por el INDEC para estas bases.</w:t>
      </w:r>
    </w:p>
    <w:p w:rsidR="0075637E" w:rsidRPr="00323111" w:rsidRDefault="0075637E" w:rsidP="00C03E33">
      <w:pPr>
        <w:autoSpaceDE w:val="0"/>
        <w:autoSpaceDN w:val="0"/>
        <w:adjustRightInd w:val="0"/>
        <w:spacing w:after="120"/>
        <w:jc w:val="both"/>
        <w:rPr>
          <w:sz w:val="22"/>
          <w:szCs w:val="22"/>
        </w:rPr>
      </w:pPr>
      <w:r w:rsidRPr="00323111">
        <w:rPr>
          <w:sz w:val="22"/>
          <w:szCs w:val="22"/>
        </w:rPr>
        <w:t xml:space="preserve">Para su adecuada comparación, los ingresos </w:t>
      </w:r>
      <w:r w:rsidR="007554F4" w:rsidRPr="00323111">
        <w:rPr>
          <w:sz w:val="22"/>
          <w:szCs w:val="22"/>
        </w:rPr>
        <w:t xml:space="preserve">corrientes de los hogares </w:t>
      </w:r>
      <w:r w:rsidRPr="00323111">
        <w:rPr>
          <w:sz w:val="22"/>
          <w:szCs w:val="22"/>
        </w:rPr>
        <w:t xml:space="preserve">se </w:t>
      </w:r>
      <w:proofErr w:type="spellStart"/>
      <w:r w:rsidRPr="00323111">
        <w:rPr>
          <w:sz w:val="22"/>
          <w:szCs w:val="22"/>
        </w:rPr>
        <w:t>deflacionaron</w:t>
      </w:r>
      <w:proofErr w:type="spellEnd"/>
      <w:r w:rsidRPr="00323111">
        <w:rPr>
          <w:sz w:val="22"/>
          <w:szCs w:val="22"/>
        </w:rPr>
        <w:t xml:space="preserve"> </w:t>
      </w:r>
      <w:r w:rsidR="0026196D" w:rsidRPr="00323111">
        <w:rPr>
          <w:sz w:val="22"/>
          <w:szCs w:val="22"/>
        </w:rPr>
        <w:t xml:space="preserve">los mismos </w:t>
      </w:r>
      <w:r w:rsidRPr="00323111">
        <w:rPr>
          <w:sz w:val="22"/>
          <w:szCs w:val="22"/>
        </w:rPr>
        <w:t xml:space="preserve">a precios del 2012, aplicando </w:t>
      </w:r>
      <w:r w:rsidR="00A47B82" w:rsidRPr="00323111">
        <w:rPr>
          <w:sz w:val="22"/>
          <w:szCs w:val="22"/>
        </w:rPr>
        <w:t>para ello</w:t>
      </w:r>
      <w:r w:rsidRPr="00323111">
        <w:rPr>
          <w:sz w:val="22"/>
          <w:szCs w:val="22"/>
        </w:rPr>
        <w:t xml:space="preserve"> el índice oficial de precios (IPC-GBA del INDEC) para el período 1992-2006</w:t>
      </w:r>
      <w:r w:rsidR="00A47B82" w:rsidRPr="00323111">
        <w:rPr>
          <w:sz w:val="22"/>
          <w:szCs w:val="22"/>
        </w:rPr>
        <w:t xml:space="preserve">, así como </w:t>
      </w:r>
      <w:r w:rsidRPr="00323111">
        <w:rPr>
          <w:sz w:val="22"/>
          <w:szCs w:val="22"/>
        </w:rPr>
        <w:t>un índice elaborado y publicado por ex técnicos del INDEC</w:t>
      </w:r>
      <w:r w:rsidR="002430B8" w:rsidRPr="00323111">
        <w:rPr>
          <w:sz w:val="22"/>
          <w:szCs w:val="22"/>
        </w:rPr>
        <w:t xml:space="preserve"> </w:t>
      </w:r>
      <w:r w:rsidR="0026196D" w:rsidRPr="00323111">
        <w:rPr>
          <w:sz w:val="22"/>
          <w:szCs w:val="22"/>
        </w:rPr>
        <w:t xml:space="preserve">(IP GB) </w:t>
      </w:r>
      <w:r w:rsidRPr="00323111">
        <w:rPr>
          <w:sz w:val="22"/>
          <w:szCs w:val="22"/>
        </w:rPr>
        <w:t xml:space="preserve">para el período 2007-2012. Se sigue esta estrategia debido al hecho conocido en torno a la manipulación de los índices de precios que experimentó el INDEC a partir del año 2007 por parte de </w:t>
      </w:r>
      <w:smartTag w:uri="urn:schemas-microsoft-com:office:smarttags" w:element="PersonName">
        <w:smartTagPr>
          <w:attr w:name="ProductID" w:val="la Secretaría"/>
        </w:smartTagPr>
        <w:r w:rsidRPr="00323111">
          <w:rPr>
            <w:sz w:val="22"/>
            <w:szCs w:val="22"/>
          </w:rPr>
          <w:t>la Secretaría</w:t>
        </w:r>
      </w:smartTag>
      <w:r w:rsidRPr="00323111">
        <w:rPr>
          <w:sz w:val="22"/>
          <w:szCs w:val="22"/>
        </w:rPr>
        <w:t xml:space="preserve"> de Comercio Interior del Ministerio de Economía de la Nación. </w:t>
      </w:r>
    </w:p>
    <w:p w:rsidR="00C03E33" w:rsidRPr="00323111" w:rsidRDefault="0075637E" w:rsidP="00C03E33">
      <w:pPr>
        <w:spacing w:after="120"/>
        <w:jc w:val="both"/>
        <w:rPr>
          <w:sz w:val="22"/>
          <w:szCs w:val="22"/>
          <w:shd w:val="clear" w:color="auto" w:fill="FFFFFF"/>
        </w:rPr>
      </w:pPr>
      <w:r w:rsidRPr="00323111">
        <w:rPr>
          <w:sz w:val="22"/>
          <w:szCs w:val="22"/>
          <w:shd w:val="clear" w:color="auto" w:fill="FFFFFF"/>
          <w:lang w:val="es-AR"/>
        </w:rPr>
        <w:t>Uno de los aspectos centrales que incide en el cálculo de los niveles</w:t>
      </w:r>
      <w:r w:rsidRPr="00323111">
        <w:rPr>
          <w:sz w:val="22"/>
          <w:szCs w:val="22"/>
          <w:shd w:val="clear" w:color="auto" w:fill="FFFFFF"/>
        </w:rPr>
        <w:t xml:space="preserve"> de indigencia y de pobreza medidos por ingresos –más allá de la cobertura geográfica y/o del error de medición de los ingresos del hogar- es la determinación del valor monetario de </w:t>
      </w:r>
      <w:smartTag w:uri="urn:schemas-microsoft-com:office:smarttags" w:element="PersonName">
        <w:smartTagPr>
          <w:attr w:name="ProductID" w:val="la Canasta Básica"/>
        </w:smartTagPr>
        <w:r w:rsidRPr="00323111">
          <w:rPr>
            <w:sz w:val="22"/>
            <w:szCs w:val="22"/>
            <w:shd w:val="clear" w:color="auto" w:fill="FFFFFF"/>
          </w:rPr>
          <w:t>la Canasta Básica</w:t>
        </w:r>
      </w:smartTag>
      <w:r w:rsidRPr="00323111">
        <w:rPr>
          <w:sz w:val="22"/>
          <w:szCs w:val="22"/>
          <w:shd w:val="clear" w:color="auto" w:fill="FFFFFF"/>
        </w:rPr>
        <w:t xml:space="preserve"> Alimentaria (CBA) y la Canasta Básica Total (CBT). La manipulación por parte del INDEC –a partir del 2007- del índice de precios general (IPC-GBA) generó valores para dichas canastas cada vez más alejados de la realidad. La reciente decisión gubernamental de descontinuar la </w:t>
      </w:r>
      <w:r w:rsidR="00323111">
        <w:rPr>
          <w:sz w:val="22"/>
          <w:szCs w:val="22"/>
          <w:shd w:val="clear" w:color="auto" w:fill="FFFFFF"/>
        </w:rPr>
        <w:t>difusión</w:t>
      </w:r>
      <w:r w:rsidRPr="00323111">
        <w:rPr>
          <w:sz w:val="22"/>
          <w:szCs w:val="22"/>
          <w:shd w:val="clear" w:color="auto" w:fill="FFFFFF"/>
        </w:rPr>
        <w:t xml:space="preserve"> del IPC</w:t>
      </w:r>
      <w:r w:rsidR="00323111">
        <w:rPr>
          <w:sz w:val="22"/>
          <w:szCs w:val="22"/>
          <w:shd w:val="clear" w:color="auto" w:fill="FFFFFF"/>
        </w:rPr>
        <w:t>-GBA</w:t>
      </w:r>
      <w:r w:rsidR="00323111" w:rsidRPr="00323111">
        <w:rPr>
          <w:sz w:val="22"/>
          <w:szCs w:val="22"/>
          <w:shd w:val="clear" w:color="auto" w:fill="FFFFFF"/>
        </w:rPr>
        <w:t xml:space="preserve"> </w:t>
      </w:r>
      <w:r w:rsidR="00323111">
        <w:rPr>
          <w:sz w:val="22"/>
          <w:szCs w:val="22"/>
          <w:shd w:val="clear" w:color="auto" w:fill="FFFFFF"/>
        </w:rPr>
        <w:t>adulterado</w:t>
      </w:r>
      <w:r w:rsidRPr="00323111">
        <w:rPr>
          <w:sz w:val="22"/>
          <w:szCs w:val="22"/>
          <w:shd w:val="clear" w:color="auto" w:fill="FFFFFF"/>
        </w:rPr>
        <w:t xml:space="preserve">, así como la estimación del precio de las canastas de indigencia y pobreza, debido a las “serias falencias metodológicas” del método, constituyen un reconocimiento explícito a un fraude estadístico que duró al menos siete años (2007-2013). </w:t>
      </w:r>
    </w:p>
    <w:p w:rsidR="00762A87" w:rsidRPr="00323111" w:rsidRDefault="00762A87" w:rsidP="00C03E33">
      <w:pPr>
        <w:spacing w:after="120"/>
        <w:jc w:val="both"/>
        <w:rPr>
          <w:sz w:val="22"/>
          <w:szCs w:val="22"/>
          <w:shd w:val="clear" w:color="auto" w:fill="FFFFFF"/>
        </w:rPr>
      </w:pPr>
      <w:r w:rsidRPr="00323111">
        <w:rPr>
          <w:sz w:val="22"/>
          <w:szCs w:val="22"/>
          <w:shd w:val="clear" w:color="auto" w:fill="FFFFFF"/>
        </w:rPr>
        <w:t xml:space="preserve">Esta situación inédita es la que motivó a centros de investigación académicos o consultoras privadas a realizar sus propias mediciones de precios o cálculos complejos usando fuentes secundarias, todo lo cual sin duda conlleva a resultados variables en cuanto a la estimación de los valores de </w:t>
      </w:r>
      <w:smartTag w:uri="urn:schemas-microsoft-com:office:smarttags" w:element="PersonName">
        <w:smartTagPr>
          <w:attr w:name="ProductID" w:val="la CBA"/>
        </w:smartTagPr>
        <w:r w:rsidRPr="00323111">
          <w:rPr>
            <w:sz w:val="22"/>
            <w:szCs w:val="22"/>
            <w:shd w:val="clear" w:color="auto" w:fill="FFFFFF"/>
          </w:rPr>
          <w:t>la CBA</w:t>
        </w:r>
      </w:smartTag>
      <w:r w:rsidRPr="00323111">
        <w:rPr>
          <w:sz w:val="22"/>
          <w:szCs w:val="22"/>
          <w:shd w:val="clear" w:color="auto" w:fill="FFFFFF"/>
        </w:rPr>
        <w:t xml:space="preserve"> y la CBT. En este caso, la actualización de las canastas se realizó a través de información discontinuada publicada por otras fuentes. Para ello se estima la brecha entre el valor de </w:t>
      </w:r>
      <w:smartTag w:uri="urn:schemas-microsoft-com:office:smarttags" w:element="PersonName">
        <w:smartTagPr>
          <w:attr w:name="ProductID" w:val="la CBA"/>
        </w:smartTagPr>
        <w:r w:rsidRPr="00323111">
          <w:rPr>
            <w:sz w:val="22"/>
            <w:szCs w:val="22"/>
            <w:shd w:val="clear" w:color="auto" w:fill="FFFFFF"/>
          </w:rPr>
          <w:t>la CBA</w:t>
        </w:r>
      </w:smartTag>
      <w:r w:rsidRPr="00323111">
        <w:rPr>
          <w:sz w:val="22"/>
          <w:szCs w:val="22"/>
          <w:shd w:val="clear" w:color="auto" w:fill="FFFFFF"/>
        </w:rPr>
        <w:t xml:space="preserve"> del INDEC y la evolución de un índice de precios promedio alternativo (ALT) en el rubro alimentos, to</w:t>
      </w:r>
      <w:r w:rsidR="00323111" w:rsidRPr="00323111">
        <w:rPr>
          <w:sz w:val="22"/>
          <w:szCs w:val="22"/>
          <w:shd w:val="clear" w:color="auto" w:fill="FFFFFF"/>
        </w:rPr>
        <w:t xml:space="preserve">da vez que dicha información estuviera </w:t>
      </w:r>
      <w:r w:rsidRPr="00323111">
        <w:rPr>
          <w:sz w:val="22"/>
          <w:szCs w:val="22"/>
          <w:shd w:val="clear" w:color="auto" w:fill="FFFFFF"/>
        </w:rPr>
        <w:t>disponible (I</w:t>
      </w:r>
      <w:r w:rsidR="00323111" w:rsidRPr="00323111">
        <w:rPr>
          <w:sz w:val="22"/>
          <w:szCs w:val="22"/>
          <w:shd w:val="clear" w:color="auto" w:fill="FFFFFF"/>
        </w:rPr>
        <w:t xml:space="preserve">P </w:t>
      </w:r>
      <w:r w:rsidRPr="00323111">
        <w:rPr>
          <w:sz w:val="22"/>
          <w:szCs w:val="22"/>
          <w:shd w:val="clear" w:color="auto" w:fill="FFFFFF"/>
        </w:rPr>
        <w:t xml:space="preserve">GB, CIFRA-7 Provincias, ISEPCI, entre otros). </w:t>
      </w:r>
      <w:r w:rsidR="00323111">
        <w:rPr>
          <w:sz w:val="22"/>
          <w:szCs w:val="22"/>
          <w:shd w:val="clear" w:color="auto" w:fill="FFFFFF"/>
        </w:rPr>
        <w:t>Los valores de CBA y CBT por adulto equivalente utilizados en este estudio se informan en la Tabla A.2.</w:t>
      </w:r>
    </w:p>
    <w:p w:rsidR="0075637E" w:rsidRPr="00B14726" w:rsidRDefault="0075637E" w:rsidP="0075637E">
      <w:pPr>
        <w:jc w:val="both"/>
        <w:rPr>
          <w:shd w:val="clear" w:color="auto" w:fill="FFFFFF"/>
        </w:rPr>
      </w:pPr>
    </w:p>
    <w:tbl>
      <w:tblPr>
        <w:tblW w:w="4984" w:type="pct"/>
        <w:jc w:val="center"/>
        <w:tblCellMar>
          <w:left w:w="70" w:type="dxa"/>
          <w:right w:w="70" w:type="dxa"/>
        </w:tblCellMar>
        <w:tblLook w:val="04A0" w:firstRow="1" w:lastRow="0" w:firstColumn="1" w:lastColumn="0" w:noHBand="0" w:noVBand="1"/>
      </w:tblPr>
      <w:tblGrid>
        <w:gridCol w:w="144"/>
        <w:gridCol w:w="3348"/>
        <w:gridCol w:w="1616"/>
        <w:gridCol w:w="1616"/>
        <w:gridCol w:w="1785"/>
        <w:gridCol w:w="135"/>
      </w:tblGrid>
      <w:tr w:rsidR="00785326" w:rsidRPr="00B14726" w:rsidTr="00FD09F7">
        <w:trPr>
          <w:trHeight w:val="244"/>
          <w:jc w:val="center"/>
        </w:trPr>
        <w:tc>
          <w:tcPr>
            <w:tcW w:w="83" w:type="pct"/>
            <w:tcBorders>
              <w:top w:val="nil"/>
              <w:left w:val="nil"/>
              <w:bottom w:val="nil"/>
              <w:right w:val="nil"/>
            </w:tcBorders>
            <w:shd w:val="clear" w:color="000000" w:fill="FFFFFF"/>
          </w:tcPr>
          <w:p w:rsidR="00785326" w:rsidRPr="00B14726" w:rsidRDefault="00785326" w:rsidP="00785326">
            <w:pPr>
              <w:jc w:val="both"/>
              <w:rPr>
                <w:b/>
                <w:bCs/>
                <w:sz w:val="20"/>
                <w:szCs w:val="20"/>
                <w:lang w:val="es-AR" w:eastAsia="es-AR"/>
              </w:rPr>
            </w:pPr>
          </w:p>
        </w:tc>
        <w:tc>
          <w:tcPr>
            <w:tcW w:w="4916" w:type="pct"/>
            <w:gridSpan w:val="5"/>
            <w:tcBorders>
              <w:top w:val="nil"/>
              <w:left w:val="nil"/>
              <w:bottom w:val="nil"/>
              <w:right w:val="nil"/>
            </w:tcBorders>
            <w:shd w:val="clear" w:color="000000" w:fill="FFFFFF"/>
            <w:noWrap/>
            <w:vAlign w:val="bottom"/>
          </w:tcPr>
          <w:p w:rsidR="00785326" w:rsidRPr="00B14726" w:rsidRDefault="00785326" w:rsidP="00785326">
            <w:pPr>
              <w:jc w:val="both"/>
              <w:rPr>
                <w:b/>
                <w:bCs/>
                <w:sz w:val="20"/>
                <w:szCs w:val="20"/>
                <w:lang w:val="es-AR" w:eastAsia="es-AR"/>
              </w:rPr>
            </w:pPr>
            <w:r w:rsidRPr="00B14726">
              <w:rPr>
                <w:b/>
                <w:bCs/>
                <w:sz w:val="20"/>
                <w:szCs w:val="20"/>
                <w:lang w:val="es-AR" w:eastAsia="es-AR"/>
              </w:rPr>
              <w:t>Tabla A.2. Canasta Básica Alimentaria y Canasta Básica Total por Adulto Equivalente.  Gran Buenos Aires. Años 1992-2012. En pesos corrientes.</w:t>
            </w:r>
          </w:p>
          <w:p w:rsidR="004E3957" w:rsidRPr="00B14726" w:rsidRDefault="004E3957" w:rsidP="00785326">
            <w:pPr>
              <w:jc w:val="both"/>
              <w:rPr>
                <w:b/>
                <w:bCs/>
                <w:sz w:val="20"/>
                <w:szCs w:val="20"/>
                <w:lang w:val="es-AR" w:eastAsia="es-AR"/>
              </w:rPr>
            </w:pPr>
          </w:p>
        </w:tc>
      </w:tr>
      <w:tr w:rsidR="00785326" w:rsidRPr="00B14726" w:rsidTr="00FD09F7">
        <w:trPr>
          <w:trHeight w:val="244"/>
          <w:jc w:val="center"/>
        </w:trPr>
        <w:tc>
          <w:tcPr>
            <w:tcW w:w="2036" w:type="pct"/>
            <w:gridSpan w:val="2"/>
            <w:tcBorders>
              <w:top w:val="single" w:sz="4" w:space="0" w:color="auto"/>
              <w:left w:val="nil"/>
              <w:bottom w:val="single" w:sz="4" w:space="0" w:color="auto"/>
              <w:right w:val="nil"/>
            </w:tcBorders>
            <w:shd w:val="clear" w:color="000000" w:fill="FFFFFF"/>
            <w:noWrap/>
            <w:vAlign w:val="center"/>
          </w:tcPr>
          <w:p w:rsidR="00785326" w:rsidRPr="00FD09F7" w:rsidRDefault="004E3957" w:rsidP="00C868CE">
            <w:pPr>
              <w:jc w:val="center"/>
              <w:rPr>
                <w:sz w:val="16"/>
                <w:szCs w:val="20"/>
                <w:lang w:val="es-AR" w:eastAsia="es-AR"/>
              </w:rPr>
            </w:pPr>
            <w:r w:rsidRPr="00FD09F7">
              <w:rPr>
                <w:sz w:val="16"/>
                <w:szCs w:val="20"/>
                <w:lang w:val="es-AR" w:eastAsia="es-AR"/>
              </w:rPr>
              <w:t>Año (período)</w:t>
            </w:r>
          </w:p>
        </w:tc>
        <w:tc>
          <w:tcPr>
            <w:tcW w:w="928" w:type="pct"/>
            <w:tcBorders>
              <w:top w:val="single" w:sz="4" w:space="0" w:color="auto"/>
              <w:left w:val="nil"/>
              <w:bottom w:val="single" w:sz="4" w:space="0" w:color="auto"/>
              <w:right w:val="nil"/>
            </w:tcBorders>
            <w:shd w:val="clear" w:color="000000" w:fill="FFFFFF"/>
            <w:vAlign w:val="center"/>
          </w:tcPr>
          <w:p w:rsidR="00785326" w:rsidRPr="00FD09F7" w:rsidRDefault="004E3957" w:rsidP="00C868CE">
            <w:pPr>
              <w:jc w:val="center"/>
              <w:rPr>
                <w:sz w:val="16"/>
                <w:szCs w:val="20"/>
                <w:lang w:val="es-AR" w:eastAsia="es-AR"/>
              </w:rPr>
            </w:pPr>
            <w:r w:rsidRPr="00FD09F7">
              <w:rPr>
                <w:sz w:val="16"/>
                <w:szCs w:val="20"/>
                <w:lang w:val="es-AR" w:eastAsia="es-AR"/>
              </w:rPr>
              <w:t>Fuente</w:t>
            </w:r>
          </w:p>
        </w:tc>
        <w:tc>
          <w:tcPr>
            <w:tcW w:w="928" w:type="pct"/>
            <w:tcBorders>
              <w:top w:val="single" w:sz="4" w:space="0" w:color="auto"/>
              <w:left w:val="nil"/>
              <w:bottom w:val="single" w:sz="4" w:space="0" w:color="auto"/>
              <w:right w:val="nil"/>
            </w:tcBorders>
            <w:shd w:val="clear" w:color="000000" w:fill="FFFFFF"/>
            <w:noWrap/>
            <w:vAlign w:val="center"/>
          </w:tcPr>
          <w:p w:rsidR="00785326" w:rsidRPr="00FD09F7" w:rsidRDefault="004E3957" w:rsidP="00C868CE">
            <w:pPr>
              <w:jc w:val="center"/>
              <w:rPr>
                <w:sz w:val="16"/>
                <w:szCs w:val="20"/>
                <w:lang w:val="es-AR" w:eastAsia="es-AR"/>
              </w:rPr>
            </w:pPr>
            <w:r w:rsidRPr="00FD09F7">
              <w:rPr>
                <w:sz w:val="16"/>
                <w:szCs w:val="20"/>
                <w:lang w:val="es-AR" w:eastAsia="es-AR"/>
              </w:rPr>
              <w:t>CBA ($)</w:t>
            </w:r>
          </w:p>
        </w:tc>
        <w:tc>
          <w:tcPr>
            <w:tcW w:w="1108" w:type="pct"/>
            <w:gridSpan w:val="2"/>
            <w:tcBorders>
              <w:top w:val="single" w:sz="4" w:space="0" w:color="auto"/>
              <w:left w:val="nil"/>
              <w:bottom w:val="single" w:sz="4" w:space="0" w:color="auto"/>
              <w:right w:val="nil"/>
            </w:tcBorders>
            <w:shd w:val="clear" w:color="000000" w:fill="FFFFFF"/>
            <w:noWrap/>
            <w:vAlign w:val="center"/>
          </w:tcPr>
          <w:p w:rsidR="00785326" w:rsidRPr="00FD09F7" w:rsidRDefault="004E3957" w:rsidP="00C868CE">
            <w:pPr>
              <w:jc w:val="center"/>
              <w:rPr>
                <w:sz w:val="16"/>
                <w:szCs w:val="20"/>
                <w:lang w:val="es-AR" w:eastAsia="es-AR"/>
              </w:rPr>
            </w:pPr>
            <w:r w:rsidRPr="00FD09F7">
              <w:rPr>
                <w:sz w:val="16"/>
                <w:szCs w:val="20"/>
                <w:lang w:val="es-AR" w:eastAsia="es-AR"/>
              </w:rPr>
              <w:t>CBT ($)</w:t>
            </w:r>
          </w:p>
        </w:tc>
      </w:tr>
      <w:tr w:rsidR="00785326" w:rsidRPr="00B14726" w:rsidTr="00FD09F7">
        <w:trPr>
          <w:trHeight w:val="244"/>
          <w:jc w:val="center"/>
        </w:trPr>
        <w:tc>
          <w:tcPr>
            <w:tcW w:w="2036" w:type="pct"/>
            <w:gridSpan w:val="2"/>
            <w:tcBorders>
              <w:top w:val="single" w:sz="4" w:space="0" w:color="auto"/>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1992 (mayo)</w:t>
            </w:r>
          </w:p>
        </w:tc>
        <w:tc>
          <w:tcPr>
            <w:tcW w:w="928" w:type="pct"/>
            <w:tcBorders>
              <w:top w:val="single" w:sz="4" w:space="0" w:color="auto"/>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single" w:sz="4" w:space="0" w:color="auto"/>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55,5</w:t>
            </w:r>
          </w:p>
        </w:tc>
        <w:tc>
          <w:tcPr>
            <w:tcW w:w="1108" w:type="pct"/>
            <w:gridSpan w:val="2"/>
            <w:tcBorders>
              <w:top w:val="single" w:sz="4" w:space="0" w:color="auto"/>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123,8</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1994 (mayo)</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61,6</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142,9</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1998 (mayo)</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68,3</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159,8</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2001 (mayo)</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63,2</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154,3</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2003 (mayo)</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106,6</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232,3</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2003 (3er T)</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102,1</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225,7</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2004 (1er T)</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106,0</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232,1</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2005 (2do T)</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114,2</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250,6</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2006 (2do T)</w:t>
            </w:r>
          </w:p>
        </w:tc>
        <w:tc>
          <w:tcPr>
            <w:tcW w:w="928" w:type="pct"/>
            <w:tcBorders>
              <w:top w:val="nil"/>
              <w:left w:val="nil"/>
              <w:bottom w:val="nil"/>
              <w:right w:val="nil"/>
            </w:tcBorders>
            <w:shd w:val="clear" w:color="000000" w:fill="FFFFFF"/>
            <w:vAlign w:val="center"/>
          </w:tcPr>
          <w:p w:rsidR="00785326" w:rsidRPr="00FD09F7" w:rsidRDefault="00785326" w:rsidP="00C868CE">
            <w:pPr>
              <w:jc w:val="center"/>
              <w:rPr>
                <w:sz w:val="16"/>
                <w:szCs w:val="20"/>
                <w:lang w:val="es-AR" w:eastAsia="es-AR"/>
              </w:rPr>
            </w:pPr>
            <w:r w:rsidRPr="00FD09F7">
              <w:rPr>
                <w:sz w:val="16"/>
                <w:szCs w:val="20"/>
                <w:lang w:val="es-AR" w:eastAsia="es-AR"/>
              </w:rPr>
              <w:t>IPC-GBA</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127,2</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276,9</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2007 (2do T)</w:t>
            </w:r>
          </w:p>
        </w:tc>
        <w:tc>
          <w:tcPr>
            <w:tcW w:w="928" w:type="pct"/>
            <w:tcBorders>
              <w:top w:val="nil"/>
              <w:left w:val="nil"/>
              <w:bottom w:val="nil"/>
              <w:right w:val="nil"/>
            </w:tcBorders>
            <w:shd w:val="clear" w:color="000000" w:fill="FFFFFF"/>
            <w:vAlign w:val="center"/>
          </w:tcPr>
          <w:p w:rsidR="00785326" w:rsidRPr="00FD09F7" w:rsidRDefault="00785326" w:rsidP="004E3957">
            <w:pPr>
              <w:jc w:val="center"/>
              <w:rPr>
                <w:sz w:val="16"/>
                <w:szCs w:val="20"/>
                <w:lang w:val="es-AR" w:eastAsia="es-AR"/>
              </w:rPr>
            </w:pPr>
            <w:r w:rsidRPr="00FD09F7">
              <w:rPr>
                <w:sz w:val="16"/>
                <w:szCs w:val="20"/>
                <w:lang w:val="es-AR" w:eastAsia="es-AR"/>
              </w:rPr>
              <w:t>IPC-ALT</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173,5</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372,4</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2008 (2do T)</w:t>
            </w:r>
          </w:p>
        </w:tc>
        <w:tc>
          <w:tcPr>
            <w:tcW w:w="928" w:type="pct"/>
            <w:tcBorders>
              <w:top w:val="nil"/>
              <w:left w:val="nil"/>
              <w:bottom w:val="nil"/>
              <w:right w:val="nil"/>
            </w:tcBorders>
            <w:shd w:val="clear" w:color="000000" w:fill="FFFFFF"/>
            <w:vAlign w:val="center"/>
          </w:tcPr>
          <w:p w:rsidR="00785326" w:rsidRPr="00FD09F7" w:rsidRDefault="00785326" w:rsidP="004E3957">
            <w:pPr>
              <w:jc w:val="center"/>
              <w:rPr>
                <w:sz w:val="16"/>
                <w:szCs w:val="20"/>
                <w:lang w:val="es-AR" w:eastAsia="es-AR"/>
              </w:rPr>
            </w:pPr>
            <w:r w:rsidRPr="00FD09F7">
              <w:rPr>
                <w:sz w:val="16"/>
                <w:szCs w:val="20"/>
                <w:lang w:val="es-AR" w:eastAsia="es-AR"/>
              </w:rPr>
              <w:t>IPC-ALT</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223,5</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484,4</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2009 (2do T)</w:t>
            </w:r>
          </w:p>
        </w:tc>
        <w:tc>
          <w:tcPr>
            <w:tcW w:w="928" w:type="pct"/>
            <w:tcBorders>
              <w:top w:val="nil"/>
              <w:left w:val="nil"/>
              <w:bottom w:val="nil"/>
              <w:right w:val="nil"/>
            </w:tcBorders>
            <w:shd w:val="clear" w:color="000000" w:fill="FFFFFF"/>
            <w:vAlign w:val="center"/>
          </w:tcPr>
          <w:p w:rsidR="00785326" w:rsidRPr="00FD09F7" w:rsidRDefault="00785326" w:rsidP="004E3957">
            <w:pPr>
              <w:jc w:val="center"/>
              <w:rPr>
                <w:sz w:val="16"/>
                <w:szCs w:val="20"/>
                <w:lang w:val="es-AR" w:eastAsia="es-AR"/>
              </w:rPr>
            </w:pPr>
            <w:r w:rsidRPr="00FD09F7">
              <w:rPr>
                <w:sz w:val="16"/>
                <w:szCs w:val="20"/>
                <w:lang w:val="es-AR" w:eastAsia="es-AR"/>
              </w:rPr>
              <w:t>IPC-ALT</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247,3</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558,3</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2010 (2do T)</w:t>
            </w:r>
          </w:p>
        </w:tc>
        <w:tc>
          <w:tcPr>
            <w:tcW w:w="928" w:type="pct"/>
            <w:tcBorders>
              <w:top w:val="nil"/>
              <w:left w:val="nil"/>
              <w:bottom w:val="nil"/>
              <w:right w:val="nil"/>
            </w:tcBorders>
            <w:shd w:val="clear" w:color="000000" w:fill="FFFFFF"/>
            <w:vAlign w:val="center"/>
          </w:tcPr>
          <w:p w:rsidR="00785326" w:rsidRPr="00FD09F7" w:rsidRDefault="00785326" w:rsidP="004E3957">
            <w:pPr>
              <w:jc w:val="center"/>
              <w:rPr>
                <w:sz w:val="16"/>
                <w:szCs w:val="20"/>
                <w:lang w:val="es-AR" w:eastAsia="es-AR"/>
              </w:rPr>
            </w:pPr>
            <w:r w:rsidRPr="00FD09F7">
              <w:rPr>
                <w:sz w:val="16"/>
                <w:szCs w:val="20"/>
                <w:lang w:val="es-AR" w:eastAsia="es-AR"/>
              </w:rPr>
              <w:t>IPC-ALT</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298,1</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646,2</w:t>
            </w:r>
          </w:p>
        </w:tc>
      </w:tr>
      <w:tr w:rsidR="00785326" w:rsidRPr="00B14726" w:rsidTr="00FD09F7">
        <w:trPr>
          <w:trHeight w:val="244"/>
          <w:jc w:val="center"/>
        </w:trPr>
        <w:tc>
          <w:tcPr>
            <w:tcW w:w="2036"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2011 (2do T)</w:t>
            </w:r>
          </w:p>
        </w:tc>
        <w:tc>
          <w:tcPr>
            <w:tcW w:w="928" w:type="pct"/>
            <w:tcBorders>
              <w:top w:val="nil"/>
              <w:left w:val="nil"/>
              <w:bottom w:val="nil"/>
              <w:right w:val="nil"/>
            </w:tcBorders>
            <w:shd w:val="clear" w:color="000000" w:fill="FFFFFF"/>
            <w:vAlign w:val="center"/>
          </w:tcPr>
          <w:p w:rsidR="00785326" w:rsidRPr="00FD09F7" w:rsidRDefault="00785326" w:rsidP="004E3957">
            <w:pPr>
              <w:jc w:val="center"/>
              <w:rPr>
                <w:sz w:val="16"/>
                <w:szCs w:val="20"/>
                <w:lang w:val="es-AR" w:eastAsia="es-AR"/>
              </w:rPr>
            </w:pPr>
            <w:r w:rsidRPr="00FD09F7">
              <w:rPr>
                <w:sz w:val="16"/>
                <w:szCs w:val="20"/>
                <w:lang w:val="es-AR" w:eastAsia="es-AR"/>
              </w:rPr>
              <w:t>IPC-ALT</w:t>
            </w:r>
          </w:p>
        </w:tc>
        <w:tc>
          <w:tcPr>
            <w:tcW w:w="928" w:type="pct"/>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369,3</w:t>
            </w:r>
          </w:p>
        </w:tc>
        <w:tc>
          <w:tcPr>
            <w:tcW w:w="1108" w:type="pct"/>
            <w:gridSpan w:val="2"/>
            <w:tcBorders>
              <w:top w:val="nil"/>
              <w:left w:val="nil"/>
              <w:bottom w:val="nil"/>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812,7</w:t>
            </w:r>
          </w:p>
        </w:tc>
      </w:tr>
      <w:tr w:rsidR="00785326" w:rsidRPr="00B14726" w:rsidTr="00FD09F7">
        <w:trPr>
          <w:trHeight w:val="244"/>
          <w:jc w:val="center"/>
        </w:trPr>
        <w:tc>
          <w:tcPr>
            <w:tcW w:w="2036" w:type="pct"/>
            <w:gridSpan w:val="2"/>
            <w:tcBorders>
              <w:top w:val="nil"/>
              <w:left w:val="nil"/>
              <w:bottom w:val="single" w:sz="4" w:space="0" w:color="auto"/>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2012 (2do T)</w:t>
            </w:r>
          </w:p>
        </w:tc>
        <w:tc>
          <w:tcPr>
            <w:tcW w:w="928" w:type="pct"/>
            <w:tcBorders>
              <w:top w:val="nil"/>
              <w:left w:val="nil"/>
              <w:bottom w:val="single" w:sz="4" w:space="0" w:color="auto"/>
              <w:right w:val="nil"/>
            </w:tcBorders>
            <w:shd w:val="clear" w:color="000000" w:fill="FFFFFF"/>
            <w:vAlign w:val="center"/>
          </w:tcPr>
          <w:p w:rsidR="00785326" w:rsidRPr="00FD09F7" w:rsidRDefault="00785326" w:rsidP="004E3957">
            <w:pPr>
              <w:jc w:val="center"/>
              <w:rPr>
                <w:sz w:val="16"/>
                <w:szCs w:val="20"/>
                <w:lang w:val="es-AR" w:eastAsia="es-AR"/>
              </w:rPr>
            </w:pPr>
            <w:r w:rsidRPr="00FD09F7">
              <w:rPr>
                <w:sz w:val="16"/>
                <w:szCs w:val="20"/>
                <w:lang w:val="es-AR" w:eastAsia="es-AR"/>
              </w:rPr>
              <w:t>IPC-ALT</w:t>
            </w:r>
          </w:p>
        </w:tc>
        <w:tc>
          <w:tcPr>
            <w:tcW w:w="928" w:type="pct"/>
            <w:tcBorders>
              <w:top w:val="nil"/>
              <w:left w:val="nil"/>
              <w:bottom w:val="single" w:sz="4" w:space="0" w:color="auto"/>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467,8</w:t>
            </w:r>
          </w:p>
        </w:tc>
        <w:tc>
          <w:tcPr>
            <w:tcW w:w="1108" w:type="pct"/>
            <w:gridSpan w:val="2"/>
            <w:tcBorders>
              <w:top w:val="nil"/>
              <w:left w:val="nil"/>
              <w:bottom w:val="single" w:sz="4" w:space="0" w:color="auto"/>
              <w:right w:val="nil"/>
            </w:tcBorders>
            <w:shd w:val="clear" w:color="000000" w:fill="FFFFFF"/>
            <w:noWrap/>
            <w:vAlign w:val="center"/>
          </w:tcPr>
          <w:p w:rsidR="00785326" w:rsidRPr="00FD09F7" w:rsidRDefault="00785326" w:rsidP="00C868CE">
            <w:pPr>
              <w:jc w:val="center"/>
              <w:rPr>
                <w:sz w:val="16"/>
                <w:szCs w:val="20"/>
                <w:lang w:val="es-AR" w:eastAsia="es-AR"/>
              </w:rPr>
            </w:pPr>
            <w:r w:rsidRPr="00FD09F7">
              <w:rPr>
                <w:sz w:val="16"/>
                <w:szCs w:val="20"/>
                <w:lang w:val="es-AR" w:eastAsia="es-AR"/>
              </w:rPr>
              <w:t>1033,8</w:t>
            </w:r>
          </w:p>
        </w:tc>
      </w:tr>
      <w:tr w:rsidR="00785326" w:rsidRPr="00B14726" w:rsidTr="00FD09F7">
        <w:trPr>
          <w:gridAfter w:val="1"/>
          <w:wAfter w:w="80" w:type="pct"/>
          <w:trHeight w:val="244"/>
          <w:jc w:val="center"/>
        </w:trPr>
        <w:tc>
          <w:tcPr>
            <w:tcW w:w="4920" w:type="pct"/>
            <w:gridSpan w:val="5"/>
            <w:tcBorders>
              <w:top w:val="nil"/>
              <w:left w:val="nil"/>
              <w:bottom w:val="nil"/>
              <w:right w:val="nil"/>
            </w:tcBorders>
            <w:shd w:val="clear" w:color="000000" w:fill="FFFFFF"/>
            <w:noWrap/>
            <w:vAlign w:val="bottom"/>
          </w:tcPr>
          <w:p w:rsidR="00785326" w:rsidRPr="00FD09F7" w:rsidRDefault="00785326" w:rsidP="00042447">
            <w:pPr>
              <w:jc w:val="both"/>
              <w:rPr>
                <w:sz w:val="16"/>
                <w:szCs w:val="18"/>
                <w:lang w:val="es-AR" w:eastAsia="es-AR"/>
              </w:rPr>
            </w:pPr>
            <w:r w:rsidRPr="00FD09F7">
              <w:rPr>
                <w:sz w:val="20"/>
                <w:szCs w:val="18"/>
                <w:lang w:val="es-AR" w:eastAsia="es-AR"/>
              </w:rPr>
              <w:t>Fuente: Elaboración propia en base a INDEC y organismos públicos y privados</w:t>
            </w:r>
            <w:r w:rsidR="004E3957" w:rsidRPr="00FD09F7">
              <w:rPr>
                <w:sz w:val="20"/>
                <w:szCs w:val="18"/>
                <w:lang w:val="es-AR" w:eastAsia="es-AR"/>
              </w:rPr>
              <w:t xml:space="preserve"> (FIEL, IGB, CIFRA 7 Provincias, ISEPCI).</w:t>
            </w:r>
          </w:p>
        </w:tc>
      </w:tr>
    </w:tbl>
    <w:p w:rsidR="00785326" w:rsidRPr="00B14726" w:rsidRDefault="00785326" w:rsidP="0075637E">
      <w:pPr>
        <w:jc w:val="both"/>
        <w:rPr>
          <w:shd w:val="clear" w:color="auto" w:fill="FFFFFF"/>
          <w:lang w:val="es-AR"/>
        </w:rPr>
      </w:pPr>
    </w:p>
    <w:p w:rsidR="0075637E" w:rsidRPr="00B14726" w:rsidRDefault="0075637E" w:rsidP="0075637E">
      <w:pPr>
        <w:jc w:val="both"/>
        <w:rPr>
          <w:shd w:val="clear" w:color="auto" w:fill="FFFFFF"/>
        </w:rPr>
      </w:pPr>
    </w:p>
    <w:p w:rsidR="00FD09F7" w:rsidRDefault="00FD09F7" w:rsidP="0036654F">
      <w:pPr>
        <w:jc w:val="center"/>
        <w:rPr>
          <w:rFonts w:eastAsia="Calibri"/>
          <w:b/>
          <w:lang w:val="es-AR" w:eastAsia="en-US"/>
        </w:rPr>
      </w:pPr>
    </w:p>
    <w:p w:rsidR="006F5B40" w:rsidRDefault="006F5B40" w:rsidP="00FD09F7">
      <w:pPr>
        <w:numPr>
          <w:ilvl w:val="0"/>
          <w:numId w:val="22"/>
        </w:numPr>
        <w:autoSpaceDE w:val="0"/>
        <w:autoSpaceDN w:val="0"/>
        <w:adjustRightInd w:val="0"/>
        <w:spacing w:after="120"/>
        <w:jc w:val="both"/>
        <w:rPr>
          <w:i/>
          <w:sz w:val="22"/>
          <w:szCs w:val="22"/>
        </w:rPr>
      </w:pPr>
      <w:r>
        <w:rPr>
          <w:i/>
          <w:sz w:val="22"/>
          <w:szCs w:val="22"/>
        </w:rPr>
        <w:lastRenderedPageBreak/>
        <w:t>Definiciones operativas de la estructura económico-ocupacional</w:t>
      </w:r>
      <w:r w:rsidR="003B3100">
        <w:rPr>
          <w:i/>
          <w:sz w:val="22"/>
          <w:szCs w:val="22"/>
        </w:rPr>
        <w:t xml:space="preserve"> y segmentos del mercado laboral</w:t>
      </w:r>
    </w:p>
    <w:p w:rsidR="006F5B40" w:rsidRDefault="006F5B40" w:rsidP="006F5B40">
      <w:pPr>
        <w:autoSpaceDE w:val="0"/>
        <w:autoSpaceDN w:val="0"/>
        <w:adjustRightInd w:val="0"/>
        <w:spacing w:after="120"/>
        <w:ind w:left="720"/>
        <w:jc w:val="both"/>
        <w:rPr>
          <w:i/>
          <w:sz w:val="22"/>
          <w:szCs w:val="22"/>
        </w:rPr>
      </w:pPr>
    </w:p>
    <w:tbl>
      <w:tblPr>
        <w:tblW w:w="7895" w:type="dxa"/>
        <w:jc w:val="center"/>
        <w:tblInd w:w="53" w:type="dxa"/>
        <w:tblCellMar>
          <w:left w:w="70" w:type="dxa"/>
          <w:right w:w="70" w:type="dxa"/>
        </w:tblCellMar>
        <w:tblLook w:val="00A0" w:firstRow="1" w:lastRow="0" w:firstColumn="1" w:lastColumn="0" w:noHBand="0" w:noVBand="0"/>
      </w:tblPr>
      <w:tblGrid>
        <w:gridCol w:w="2714"/>
        <w:gridCol w:w="1858"/>
        <w:gridCol w:w="3323"/>
      </w:tblGrid>
      <w:tr w:rsidR="006F5B40" w:rsidRPr="006F5B40" w:rsidTr="00BE48A0">
        <w:trPr>
          <w:trHeight w:val="246"/>
          <w:jc w:val="center"/>
        </w:trPr>
        <w:tc>
          <w:tcPr>
            <w:tcW w:w="7895" w:type="dxa"/>
            <w:gridSpan w:val="3"/>
            <w:vMerge w:val="restart"/>
            <w:tcBorders>
              <w:top w:val="nil"/>
              <w:left w:val="nil"/>
              <w:bottom w:val="single" w:sz="8" w:space="0" w:color="000000"/>
              <w:right w:val="nil"/>
            </w:tcBorders>
            <w:vAlign w:val="center"/>
          </w:tcPr>
          <w:p w:rsidR="006F5B40" w:rsidRPr="003B3100" w:rsidRDefault="006F5B40" w:rsidP="00C13945">
            <w:pPr>
              <w:jc w:val="both"/>
              <w:rPr>
                <w:b/>
                <w:bCs/>
                <w:sz w:val="20"/>
                <w:lang w:eastAsia="es-AR"/>
              </w:rPr>
            </w:pPr>
            <w:r w:rsidRPr="003B3100">
              <w:rPr>
                <w:b/>
                <w:bCs/>
                <w:sz w:val="20"/>
                <w:lang w:eastAsia="es-AR"/>
              </w:rPr>
              <w:t>Tabla A.3. Desglose de los sectores y categorías económico-ocupacionales de la ocupación principal y de los ingresos provenientes de la misma.</w:t>
            </w:r>
          </w:p>
          <w:p w:rsidR="006F5B40" w:rsidRPr="006F5B40" w:rsidRDefault="006F5B40" w:rsidP="00C13945">
            <w:pPr>
              <w:jc w:val="both"/>
              <w:rPr>
                <w:b/>
                <w:bCs/>
                <w:sz w:val="20"/>
                <w:lang w:eastAsia="es-AR"/>
              </w:rPr>
            </w:pPr>
          </w:p>
        </w:tc>
      </w:tr>
      <w:tr w:rsidR="006F5B40" w:rsidRPr="006F5B40" w:rsidTr="00BE48A0">
        <w:trPr>
          <w:trHeight w:val="246"/>
          <w:jc w:val="center"/>
        </w:trPr>
        <w:tc>
          <w:tcPr>
            <w:tcW w:w="7895" w:type="dxa"/>
            <w:gridSpan w:val="3"/>
            <w:vMerge/>
            <w:tcBorders>
              <w:top w:val="nil"/>
              <w:left w:val="nil"/>
              <w:bottom w:val="single" w:sz="8" w:space="0" w:color="000000"/>
              <w:right w:val="nil"/>
            </w:tcBorders>
            <w:vAlign w:val="center"/>
          </w:tcPr>
          <w:p w:rsidR="006F5B40" w:rsidRPr="006F5B40" w:rsidRDefault="006F5B40" w:rsidP="00C13945">
            <w:pPr>
              <w:jc w:val="both"/>
              <w:rPr>
                <w:b/>
                <w:bCs/>
                <w:sz w:val="20"/>
                <w:lang w:eastAsia="es-AR"/>
              </w:rPr>
            </w:pPr>
          </w:p>
        </w:tc>
      </w:tr>
      <w:tr w:rsidR="006F5B40" w:rsidRPr="006F5B40" w:rsidTr="00BE48A0">
        <w:trPr>
          <w:trHeight w:val="280"/>
          <w:jc w:val="center"/>
        </w:trPr>
        <w:tc>
          <w:tcPr>
            <w:tcW w:w="7895" w:type="dxa"/>
            <w:gridSpan w:val="3"/>
            <w:tcBorders>
              <w:top w:val="single" w:sz="8" w:space="0" w:color="auto"/>
              <w:left w:val="single" w:sz="8" w:space="0" w:color="auto"/>
              <w:bottom w:val="nil"/>
              <w:right w:val="single" w:sz="8" w:space="0" w:color="000000"/>
            </w:tcBorders>
            <w:vAlign w:val="center"/>
          </w:tcPr>
          <w:p w:rsidR="006F5B40" w:rsidRPr="006F5B40" w:rsidRDefault="006F5B40" w:rsidP="00C13945">
            <w:pPr>
              <w:jc w:val="both"/>
              <w:rPr>
                <w:b/>
                <w:bCs/>
                <w:sz w:val="16"/>
                <w:szCs w:val="16"/>
                <w:lang w:eastAsia="es-AR"/>
              </w:rPr>
            </w:pPr>
            <w:r w:rsidRPr="006F5B40">
              <w:rPr>
                <w:b/>
                <w:bCs/>
                <w:sz w:val="16"/>
                <w:szCs w:val="16"/>
                <w:lang w:eastAsia="es-AR"/>
              </w:rPr>
              <w:t>SECTOR, CATEGORÍA E INGRESOS DE LA OCUPACIÓN PRINCIPAL</w:t>
            </w:r>
          </w:p>
        </w:tc>
      </w:tr>
      <w:tr w:rsidR="006F5B40" w:rsidRPr="006F5B40" w:rsidTr="00BE48A0">
        <w:trPr>
          <w:trHeight w:val="241"/>
          <w:jc w:val="center"/>
        </w:trPr>
        <w:tc>
          <w:tcPr>
            <w:tcW w:w="7895" w:type="dxa"/>
            <w:gridSpan w:val="3"/>
            <w:tcBorders>
              <w:top w:val="nil"/>
              <w:left w:val="single" w:sz="8" w:space="0" w:color="auto"/>
              <w:bottom w:val="single" w:sz="8" w:space="0" w:color="auto"/>
              <w:right w:val="single" w:sz="8" w:space="0" w:color="000000"/>
            </w:tcBorders>
            <w:vAlign w:val="center"/>
          </w:tcPr>
          <w:p w:rsidR="006F5B40" w:rsidRPr="006F5B40" w:rsidRDefault="006F5B40" w:rsidP="00C13945">
            <w:pPr>
              <w:jc w:val="both"/>
              <w:rPr>
                <w:b/>
                <w:bCs/>
                <w:sz w:val="16"/>
                <w:szCs w:val="16"/>
                <w:lang w:eastAsia="es-AR"/>
              </w:rPr>
            </w:pPr>
            <w:r w:rsidRPr="006F5B40">
              <w:rPr>
                <w:b/>
                <w:bCs/>
                <w:sz w:val="16"/>
                <w:szCs w:val="16"/>
                <w:lang w:eastAsia="es-AR"/>
              </w:rPr>
              <w:t>La EPH define como ocupación principal aquella a la que el individuo le dedica habitualmente más horas de trabajo. Los ingresos de la ocupación principal comprenden aquellos generados como empleados o directivos del sector público, como perceptores de programas sociales y como asalariados o no asalariados del sector formal e informal.</w:t>
            </w:r>
          </w:p>
        </w:tc>
      </w:tr>
      <w:tr w:rsidR="006F5B40" w:rsidRPr="006F5B40" w:rsidTr="00BE48A0">
        <w:trPr>
          <w:trHeight w:val="468"/>
          <w:jc w:val="center"/>
        </w:trPr>
        <w:tc>
          <w:tcPr>
            <w:tcW w:w="2714" w:type="dxa"/>
            <w:tcBorders>
              <w:top w:val="nil"/>
              <w:left w:val="single" w:sz="8" w:space="0" w:color="auto"/>
              <w:bottom w:val="single" w:sz="8" w:space="0" w:color="auto"/>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SECTORES</w:t>
            </w:r>
          </w:p>
        </w:tc>
        <w:tc>
          <w:tcPr>
            <w:tcW w:w="1858" w:type="dxa"/>
            <w:tcBorders>
              <w:top w:val="nil"/>
              <w:left w:val="nil"/>
              <w:bottom w:val="single" w:sz="8" w:space="0" w:color="auto"/>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CATEGORÍA / SECTOR</w:t>
            </w:r>
          </w:p>
        </w:tc>
        <w:tc>
          <w:tcPr>
            <w:tcW w:w="3322" w:type="dxa"/>
            <w:tcBorders>
              <w:top w:val="nil"/>
              <w:left w:val="nil"/>
              <w:bottom w:val="single" w:sz="8" w:space="0" w:color="auto"/>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OPERACIONALIZACIÓN Y TIPO DE INGRESO DE CADA CATEGORÍA/SECTOR</w:t>
            </w:r>
          </w:p>
        </w:tc>
      </w:tr>
      <w:tr w:rsidR="006F5B40" w:rsidRPr="006F5B40" w:rsidTr="00BE48A0">
        <w:trPr>
          <w:trHeight w:val="655"/>
          <w:jc w:val="center"/>
        </w:trPr>
        <w:tc>
          <w:tcPr>
            <w:tcW w:w="2714" w:type="dxa"/>
            <w:tcBorders>
              <w:top w:val="nil"/>
              <w:left w:val="single" w:sz="8" w:space="0" w:color="auto"/>
              <w:bottom w:val="nil"/>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SECTOR PRIVADO FORMAL</w:t>
            </w:r>
          </w:p>
        </w:tc>
        <w:tc>
          <w:tcPr>
            <w:tcW w:w="1858" w:type="dxa"/>
            <w:tcBorders>
              <w:top w:val="nil"/>
              <w:left w:val="nil"/>
              <w:bottom w:val="single" w:sz="8" w:space="0" w:color="auto"/>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Asalariados</w:t>
            </w:r>
          </w:p>
        </w:tc>
        <w:tc>
          <w:tcPr>
            <w:tcW w:w="3322" w:type="dxa"/>
            <w:tcBorders>
              <w:top w:val="nil"/>
              <w:left w:val="nil"/>
              <w:bottom w:val="single" w:sz="8" w:space="0" w:color="auto"/>
              <w:right w:val="single" w:sz="8"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Salarios como obrero o empleado que trabaja en establecimiento privado con más de cinco ocupados.</w:t>
            </w:r>
          </w:p>
        </w:tc>
      </w:tr>
      <w:tr w:rsidR="006F5B40" w:rsidRPr="006F5B40" w:rsidTr="00BE48A0">
        <w:trPr>
          <w:trHeight w:val="1822"/>
          <w:jc w:val="center"/>
        </w:trPr>
        <w:tc>
          <w:tcPr>
            <w:tcW w:w="2714" w:type="dxa"/>
            <w:tcBorders>
              <w:top w:val="nil"/>
              <w:left w:val="single" w:sz="8" w:space="0" w:color="auto"/>
              <w:bottom w:val="single" w:sz="8" w:space="0" w:color="auto"/>
              <w:right w:val="single" w:sz="8"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Actividades laborales de elevada productividad y altamente integradas económicamente a los procesos de modernización. Se las define habitualmente como aquellas que conforman el mercado más concentrado o estructurado. En términos operativos, son ocupaciones en establecimientos medianos o grandes o actividades profesionales.</w:t>
            </w:r>
          </w:p>
        </w:tc>
        <w:tc>
          <w:tcPr>
            <w:tcW w:w="1858" w:type="dxa"/>
            <w:tcBorders>
              <w:top w:val="nil"/>
              <w:left w:val="nil"/>
              <w:bottom w:val="single" w:sz="8" w:space="0" w:color="auto"/>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No Asalariados</w:t>
            </w:r>
          </w:p>
        </w:tc>
        <w:tc>
          <w:tcPr>
            <w:tcW w:w="3322" w:type="dxa"/>
            <w:tcBorders>
              <w:top w:val="nil"/>
              <w:left w:val="nil"/>
              <w:bottom w:val="single" w:sz="8" w:space="0" w:color="auto"/>
              <w:right w:val="single" w:sz="8"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Utilidades como</w:t>
            </w:r>
            <w:r w:rsidRPr="006F5B40">
              <w:rPr>
                <w:i/>
                <w:iCs/>
                <w:sz w:val="16"/>
                <w:szCs w:val="16"/>
                <w:lang w:eastAsia="es-AR"/>
              </w:rPr>
              <w:t xml:space="preserve"> </w:t>
            </w:r>
            <w:r w:rsidRPr="006F5B40">
              <w:rPr>
                <w:sz w:val="16"/>
                <w:szCs w:val="16"/>
                <w:lang w:eastAsia="es-AR"/>
              </w:rPr>
              <w:t>cuenta propia profesional.</w:t>
            </w:r>
            <w:r w:rsidRPr="006F5B40">
              <w:rPr>
                <w:sz w:val="16"/>
                <w:szCs w:val="16"/>
                <w:lang w:eastAsia="es-AR"/>
              </w:rPr>
              <w:br/>
            </w:r>
            <w:r w:rsidRPr="006F5B40">
              <w:rPr>
                <w:sz w:val="16"/>
                <w:szCs w:val="16"/>
                <w:lang w:eastAsia="es-AR"/>
              </w:rPr>
              <w:br/>
              <w:t>Ganancias como patrones profesionales o de establecimientos con más de cinco ocupados.</w:t>
            </w:r>
          </w:p>
        </w:tc>
      </w:tr>
      <w:tr w:rsidR="006F5B40" w:rsidRPr="006F5B40" w:rsidTr="00BE48A0">
        <w:trPr>
          <w:trHeight w:val="655"/>
          <w:jc w:val="center"/>
        </w:trPr>
        <w:tc>
          <w:tcPr>
            <w:tcW w:w="2714" w:type="dxa"/>
            <w:tcBorders>
              <w:top w:val="nil"/>
              <w:left w:val="single" w:sz="8" w:space="0" w:color="auto"/>
              <w:bottom w:val="nil"/>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SECTOR PRIVADO INFORMAL</w:t>
            </w:r>
          </w:p>
        </w:tc>
        <w:tc>
          <w:tcPr>
            <w:tcW w:w="1858" w:type="dxa"/>
            <w:tcBorders>
              <w:top w:val="nil"/>
              <w:left w:val="nil"/>
              <w:bottom w:val="single" w:sz="8" w:space="0" w:color="auto"/>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Asalariados</w:t>
            </w:r>
          </w:p>
        </w:tc>
        <w:tc>
          <w:tcPr>
            <w:tcW w:w="3322" w:type="dxa"/>
            <w:tcBorders>
              <w:top w:val="nil"/>
              <w:left w:val="nil"/>
              <w:bottom w:val="single" w:sz="8" w:space="0" w:color="auto"/>
              <w:right w:val="single" w:sz="8"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Salarios como obrero o empleado no profesional que trabaja en establecimiento privado con hasta cinco ocupados.</w:t>
            </w:r>
          </w:p>
        </w:tc>
      </w:tr>
      <w:tr w:rsidR="006F5B40" w:rsidRPr="006F5B40" w:rsidTr="00BE48A0">
        <w:trPr>
          <w:trHeight w:val="1564"/>
          <w:jc w:val="center"/>
        </w:trPr>
        <w:tc>
          <w:tcPr>
            <w:tcW w:w="2714" w:type="dxa"/>
            <w:tcBorders>
              <w:top w:val="nil"/>
              <w:left w:val="single" w:sz="8" w:space="0" w:color="auto"/>
              <w:bottom w:val="single" w:sz="4" w:space="0" w:color="auto"/>
              <w:right w:val="single" w:sz="8"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Actividades laborales dominadas por la baja productividad, alta rotación de trabajadores, inestabilidad y su no funcionalidad al mercado formal o más estructurado. En términos operativos, son ocupaciones en establecimientos pequeños, actividades de servicio doméstico o actividades independientes no profesionales.</w:t>
            </w:r>
          </w:p>
        </w:tc>
        <w:tc>
          <w:tcPr>
            <w:tcW w:w="1858" w:type="dxa"/>
            <w:tcBorders>
              <w:top w:val="nil"/>
              <w:left w:val="nil"/>
              <w:bottom w:val="single" w:sz="4" w:space="0" w:color="auto"/>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No Asalariados</w:t>
            </w:r>
          </w:p>
        </w:tc>
        <w:tc>
          <w:tcPr>
            <w:tcW w:w="3322" w:type="dxa"/>
            <w:tcBorders>
              <w:top w:val="nil"/>
              <w:left w:val="nil"/>
              <w:bottom w:val="single" w:sz="4" w:space="0" w:color="auto"/>
              <w:right w:val="single" w:sz="8"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Utilidades como cuenta propia o ayuda familiar sin calificación profesional.</w:t>
            </w:r>
            <w:r w:rsidRPr="006F5B40">
              <w:rPr>
                <w:sz w:val="16"/>
                <w:szCs w:val="16"/>
                <w:lang w:eastAsia="es-AR"/>
              </w:rPr>
              <w:br/>
            </w:r>
            <w:r w:rsidRPr="006F5B40">
              <w:rPr>
                <w:sz w:val="16"/>
                <w:szCs w:val="16"/>
                <w:lang w:eastAsia="es-AR"/>
              </w:rPr>
              <w:br/>
              <w:t>Ganancias como patrón de establecimiento con hasta cinco empleados con calificación no profesional</w:t>
            </w:r>
            <w:r w:rsidRPr="006F5B40">
              <w:rPr>
                <w:sz w:val="16"/>
                <w:szCs w:val="16"/>
                <w:lang w:eastAsia="es-AR"/>
              </w:rPr>
              <w:br/>
            </w:r>
            <w:r w:rsidRPr="006F5B40">
              <w:rPr>
                <w:sz w:val="16"/>
                <w:szCs w:val="16"/>
                <w:lang w:eastAsia="es-AR"/>
              </w:rPr>
              <w:br/>
              <w:t>Ingresos como trabajador que presta servicios domésticos en hogares particulares.</w:t>
            </w:r>
          </w:p>
        </w:tc>
      </w:tr>
      <w:tr w:rsidR="006F5B40" w:rsidRPr="006F5B40" w:rsidTr="00BE48A0">
        <w:trPr>
          <w:trHeight w:val="428"/>
          <w:jc w:val="center"/>
        </w:trPr>
        <w:tc>
          <w:tcPr>
            <w:tcW w:w="2714" w:type="dxa"/>
            <w:tcBorders>
              <w:top w:val="single" w:sz="4" w:space="0" w:color="auto"/>
              <w:left w:val="single" w:sz="4" w:space="0" w:color="auto"/>
              <w:bottom w:val="nil"/>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SECTOR PÚBLICO</w:t>
            </w:r>
          </w:p>
        </w:tc>
        <w:tc>
          <w:tcPr>
            <w:tcW w:w="1858" w:type="dxa"/>
            <w:vMerge w:val="restart"/>
            <w:tcBorders>
              <w:top w:val="single" w:sz="4" w:space="0" w:color="auto"/>
              <w:left w:val="single" w:sz="8" w:space="0" w:color="auto"/>
              <w:bottom w:val="single" w:sz="8" w:space="0" w:color="000000"/>
              <w:right w:val="single" w:sz="8" w:space="0" w:color="auto"/>
            </w:tcBorders>
            <w:vAlign w:val="center"/>
          </w:tcPr>
          <w:p w:rsidR="006F5B40" w:rsidRPr="006F5B40" w:rsidRDefault="006F5B40" w:rsidP="00C13945">
            <w:pPr>
              <w:jc w:val="both"/>
              <w:rPr>
                <w:b/>
                <w:bCs/>
                <w:sz w:val="16"/>
                <w:szCs w:val="16"/>
                <w:lang w:eastAsia="es-AR"/>
              </w:rPr>
            </w:pPr>
            <w:r w:rsidRPr="006F5B40">
              <w:rPr>
                <w:b/>
                <w:bCs/>
                <w:sz w:val="16"/>
                <w:szCs w:val="16"/>
                <w:lang w:eastAsia="es-AR"/>
              </w:rPr>
              <w:t>Asalariados</w:t>
            </w:r>
          </w:p>
        </w:tc>
        <w:tc>
          <w:tcPr>
            <w:tcW w:w="3322" w:type="dxa"/>
            <w:tcBorders>
              <w:top w:val="single" w:sz="4" w:space="0" w:color="auto"/>
              <w:left w:val="nil"/>
              <w:bottom w:val="nil"/>
              <w:right w:val="single" w:sz="4"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Salarios de obrero y empleado ocupado en el sector público.</w:t>
            </w:r>
          </w:p>
        </w:tc>
      </w:tr>
      <w:tr w:rsidR="006F5B40" w:rsidRPr="006F5B40" w:rsidTr="00BE48A0">
        <w:trPr>
          <w:trHeight w:val="946"/>
          <w:jc w:val="center"/>
        </w:trPr>
        <w:tc>
          <w:tcPr>
            <w:tcW w:w="2714" w:type="dxa"/>
            <w:tcBorders>
              <w:top w:val="nil"/>
              <w:left w:val="single" w:sz="4" w:space="0" w:color="auto"/>
              <w:bottom w:val="single" w:sz="4" w:space="0" w:color="auto"/>
              <w:right w:val="single" w:sz="8"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Actividades laborales vinculadas al desarrollo de la función estatal en sus distintos niveles de gestión. Es decir, ocupaciones en el sector público nacional, provincial o municipal.</w:t>
            </w:r>
          </w:p>
        </w:tc>
        <w:tc>
          <w:tcPr>
            <w:tcW w:w="1858" w:type="dxa"/>
            <w:vMerge/>
            <w:tcBorders>
              <w:top w:val="nil"/>
              <w:left w:val="single" w:sz="8" w:space="0" w:color="auto"/>
              <w:bottom w:val="single" w:sz="4" w:space="0" w:color="auto"/>
              <w:right w:val="single" w:sz="8" w:space="0" w:color="auto"/>
            </w:tcBorders>
            <w:vAlign w:val="center"/>
          </w:tcPr>
          <w:p w:rsidR="006F5B40" w:rsidRPr="006F5B40" w:rsidRDefault="006F5B40" w:rsidP="00C13945">
            <w:pPr>
              <w:jc w:val="both"/>
              <w:rPr>
                <w:b/>
                <w:bCs/>
                <w:sz w:val="16"/>
                <w:szCs w:val="16"/>
                <w:lang w:eastAsia="es-AR"/>
              </w:rPr>
            </w:pPr>
          </w:p>
        </w:tc>
        <w:tc>
          <w:tcPr>
            <w:tcW w:w="3322" w:type="dxa"/>
            <w:tcBorders>
              <w:top w:val="nil"/>
              <w:left w:val="nil"/>
              <w:bottom w:val="single" w:sz="4" w:space="0" w:color="auto"/>
              <w:right w:val="single" w:sz="4" w:space="0" w:color="auto"/>
            </w:tcBorders>
            <w:vAlign w:val="center"/>
          </w:tcPr>
          <w:p w:rsidR="006F5B40" w:rsidRPr="006F5B40" w:rsidRDefault="006F5B40" w:rsidP="00C13945">
            <w:pPr>
              <w:jc w:val="both"/>
              <w:rPr>
                <w:sz w:val="16"/>
                <w:szCs w:val="16"/>
                <w:lang w:eastAsia="es-AR"/>
              </w:rPr>
            </w:pPr>
            <w:r w:rsidRPr="006F5B40">
              <w:rPr>
                <w:sz w:val="16"/>
                <w:szCs w:val="16"/>
                <w:lang w:eastAsia="es-AR"/>
              </w:rPr>
              <w:t xml:space="preserve">Salarios de beneficiarios de programas sociales que realizan contraprestación laboral para el sector público. </w:t>
            </w:r>
          </w:p>
        </w:tc>
      </w:tr>
      <w:tr w:rsidR="006F5B40" w:rsidRPr="006F5B40" w:rsidTr="00BE48A0">
        <w:trPr>
          <w:trHeight w:val="246"/>
          <w:jc w:val="center"/>
        </w:trPr>
        <w:tc>
          <w:tcPr>
            <w:tcW w:w="7895" w:type="dxa"/>
            <w:gridSpan w:val="3"/>
            <w:vMerge w:val="restart"/>
            <w:tcBorders>
              <w:top w:val="single" w:sz="4" w:space="0" w:color="auto"/>
            </w:tcBorders>
            <w:vAlign w:val="center"/>
          </w:tcPr>
          <w:p w:rsidR="006F5B40" w:rsidRPr="006F5B40" w:rsidRDefault="006F5B40" w:rsidP="00F309E9">
            <w:pPr>
              <w:jc w:val="both"/>
              <w:rPr>
                <w:sz w:val="20"/>
                <w:lang w:eastAsia="es-AR"/>
              </w:rPr>
            </w:pPr>
            <w:r w:rsidRPr="006F5B40">
              <w:rPr>
                <w:sz w:val="20"/>
                <w:lang w:eastAsia="es-AR"/>
              </w:rPr>
              <w:t>Fuente: Programa Cambio Estructural y Desigualdad Social, Instituto de Investigaciones Gino Germani (IIGG)-FSC-UBA, con base en datos de la EPH-INDEC.</w:t>
            </w:r>
          </w:p>
        </w:tc>
      </w:tr>
      <w:tr w:rsidR="006F5B40" w:rsidRPr="006F5B40" w:rsidTr="00BE48A0">
        <w:trPr>
          <w:trHeight w:val="246"/>
          <w:jc w:val="center"/>
        </w:trPr>
        <w:tc>
          <w:tcPr>
            <w:tcW w:w="7895" w:type="dxa"/>
            <w:gridSpan w:val="3"/>
            <w:vMerge/>
            <w:vAlign w:val="center"/>
          </w:tcPr>
          <w:p w:rsidR="006F5B40" w:rsidRPr="006F5B40" w:rsidRDefault="006F5B40" w:rsidP="006F5B40">
            <w:pPr>
              <w:rPr>
                <w:sz w:val="20"/>
                <w:lang w:eastAsia="es-AR"/>
              </w:rPr>
            </w:pPr>
          </w:p>
        </w:tc>
      </w:tr>
    </w:tbl>
    <w:p w:rsidR="006F5B40" w:rsidRDefault="006F5B40"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p w:rsidR="00546F3D" w:rsidRDefault="00546F3D" w:rsidP="006F5B40">
      <w:pPr>
        <w:autoSpaceDE w:val="0"/>
        <w:autoSpaceDN w:val="0"/>
        <w:adjustRightInd w:val="0"/>
        <w:spacing w:after="120"/>
        <w:ind w:left="720"/>
        <w:rPr>
          <w:i/>
          <w:sz w:val="22"/>
          <w:szCs w:val="22"/>
        </w:rPr>
      </w:pPr>
    </w:p>
    <w:tbl>
      <w:tblPr>
        <w:tblW w:w="8563" w:type="dxa"/>
        <w:tblInd w:w="53" w:type="dxa"/>
        <w:tblCellMar>
          <w:left w:w="70" w:type="dxa"/>
          <w:right w:w="70" w:type="dxa"/>
        </w:tblCellMar>
        <w:tblLook w:val="00A0" w:firstRow="1" w:lastRow="0" w:firstColumn="1" w:lastColumn="0" w:noHBand="0" w:noVBand="0"/>
      </w:tblPr>
      <w:tblGrid>
        <w:gridCol w:w="993"/>
        <w:gridCol w:w="3785"/>
        <w:gridCol w:w="3785"/>
      </w:tblGrid>
      <w:tr w:rsidR="00546F3D" w:rsidRPr="008A2C39" w:rsidTr="00BE48A0">
        <w:trPr>
          <w:trHeight w:val="276"/>
        </w:trPr>
        <w:tc>
          <w:tcPr>
            <w:tcW w:w="8563" w:type="dxa"/>
            <w:gridSpan w:val="3"/>
            <w:vMerge w:val="restart"/>
            <w:tcBorders>
              <w:top w:val="nil"/>
              <w:left w:val="nil"/>
              <w:bottom w:val="single" w:sz="8" w:space="0" w:color="000000"/>
              <w:right w:val="nil"/>
            </w:tcBorders>
            <w:vAlign w:val="center"/>
          </w:tcPr>
          <w:p w:rsidR="00546F3D" w:rsidRPr="008A2C39" w:rsidRDefault="003B3100" w:rsidP="004312D2">
            <w:pPr>
              <w:jc w:val="both"/>
              <w:rPr>
                <w:b/>
                <w:bCs/>
                <w:lang w:eastAsia="es-AR"/>
              </w:rPr>
            </w:pPr>
            <w:r>
              <w:rPr>
                <w:b/>
                <w:bCs/>
                <w:sz w:val="20"/>
                <w:lang w:eastAsia="es-AR"/>
              </w:rPr>
              <w:lastRenderedPageBreak/>
              <w:t>Tabla A.4</w:t>
            </w:r>
            <w:r w:rsidR="00546F3D" w:rsidRPr="003B3100">
              <w:rPr>
                <w:b/>
                <w:bCs/>
                <w:sz w:val="20"/>
                <w:lang w:eastAsia="es-AR"/>
              </w:rPr>
              <w:t>. Desglose de los segmentos del mercado de trabajo. Clasificación operativa de la calidad del empleo.</w:t>
            </w:r>
          </w:p>
        </w:tc>
      </w:tr>
      <w:tr w:rsidR="00546F3D" w:rsidRPr="008A2C39" w:rsidTr="00BE48A0">
        <w:trPr>
          <w:trHeight w:val="276"/>
        </w:trPr>
        <w:tc>
          <w:tcPr>
            <w:tcW w:w="8563" w:type="dxa"/>
            <w:gridSpan w:val="3"/>
            <w:vMerge/>
            <w:tcBorders>
              <w:top w:val="nil"/>
              <w:left w:val="nil"/>
              <w:bottom w:val="single" w:sz="8" w:space="0" w:color="000000"/>
              <w:right w:val="nil"/>
            </w:tcBorders>
            <w:vAlign w:val="center"/>
          </w:tcPr>
          <w:p w:rsidR="00546F3D" w:rsidRPr="008A2C39" w:rsidRDefault="00546F3D" w:rsidP="004312D2">
            <w:pPr>
              <w:jc w:val="both"/>
              <w:rPr>
                <w:b/>
                <w:bCs/>
                <w:lang w:eastAsia="es-AR"/>
              </w:rPr>
            </w:pPr>
          </w:p>
        </w:tc>
      </w:tr>
      <w:tr w:rsidR="00546F3D" w:rsidRPr="008A2C39" w:rsidTr="00BE48A0">
        <w:trPr>
          <w:trHeight w:val="265"/>
        </w:trPr>
        <w:tc>
          <w:tcPr>
            <w:tcW w:w="993" w:type="dxa"/>
            <w:vMerge w:val="restart"/>
            <w:tcBorders>
              <w:top w:val="nil"/>
              <w:left w:val="single" w:sz="8" w:space="0" w:color="auto"/>
              <w:bottom w:val="nil"/>
              <w:right w:val="nil"/>
            </w:tcBorders>
            <w:textDirection w:val="btLr"/>
            <w:vAlign w:val="center"/>
          </w:tcPr>
          <w:p w:rsidR="00546F3D" w:rsidRPr="00546F3D" w:rsidRDefault="00546F3D" w:rsidP="00546F3D">
            <w:pPr>
              <w:jc w:val="center"/>
              <w:rPr>
                <w:b/>
                <w:bCs/>
                <w:sz w:val="16"/>
                <w:szCs w:val="16"/>
                <w:lang w:eastAsia="es-AR"/>
              </w:rPr>
            </w:pPr>
            <w:r w:rsidRPr="00546F3D">
              <w:rPr>
                <w:b/>
                <w:bCs/>
                <w:sz w:val="16"/>
                <w:szCs w:val="16"/>
                <w:lang w:eastAsia="es-AR"/>
              </w:rPr>
              <w:t>EMPLEO ESTABLE/ REGULADO</w:t>
            </w:r>
          </w:p>
        </w:tc>
        <w:tc>
          <w:tcPr>
            <w:tcW w:w="7570" w:type="dxa"/>
            <w:gridSpan w:val="2"/>
            <w:tcBorders>
              <w:top w:val="single" w:sz="8" w:space="0" w:color="auto"/>
              <w:left w:val="single" w:sz="8" w:space="0" w:color="auto"/>
              <w:bottom w:val="single" w:sz="8" w:space="0" w:color="auto"/>
              <w:right w:val="single" w:sz="8" w:space="0" w:color="000000"/>
            </w:tcBorders>
            <w:vAlign w:val="bottom"/>
          </w:tcPr>
          <w:p w:rsidR="00546F3D" w:rsidRPr="00546F3D" w:rsidRDefault="00546F3D" w:rsidP="004312D2">
            <w:pPr>
              <w:jc w:val="both"/>
              <w:rPr>
                <w:b/>
                <w:bCs/>
                <w:sz w:val="16"/>
                <w:szCs w:val="16"/>
                <w:lang w:eastAsia="es-AR"/>
              </w:rPr>
            </w:pPr>
            <w:r w:rsidRPr="00546F3D">
              <w:rPr>
                <w:b/>
                <w:bCs/>
                <w:sz w:val="16"/>
                <w:szCs w:val="16"/>
                <w:lang w:eastAsia="es-AR"/>
              </w:rPr>
              <w:t>SEGMENTO PRIMARIO DEL MERCADO DE TRABAJO</w:t>
            </w:r>
          </w:p>
        </w:tc>
      </w:tr>
      <w:tr w:rsidR="00546F3D" w:rsidRPr="008A2C39" w:rsidTr="00BE48A0">
        <w:trPr>
          <w:trHeight w:val="250"/>
        </w:trPr>
        <w:tc>
          <w:tcPr>
            <w:tcW w:w="993" w:type="dxa"/>
            <w:vMerge/>
            <w:tcBorders>
              <w:top w:val="nil"/>
              <w:left w:val="single" w:sz="8" w:space="0" w:color="auto"/>
              <w:bottom w:val="nil"/>
              <w:right w:val="nil"/>
            </w:tcBorders>
            <w:vAlign w:val="center"/>
          </w:tcPr>
          <w:p w:rsidR="00546F3D" w:rsidRPr="00546F3D" w:rsidRDefault="00546F3D" w:rsidP="00546F3D">
            <w:pPr>
              <w:jc w:val="center"/>
              <w:rPr>
                <w:b/>
                <w:bCs/>
                <w:sz w:val="16"/>
                <w:szCs w:val="16"/>
                <w:lang w:eastAsia="es-AR"/>
              </w:rPr>
            </w:pPr>
          </w:p>
        </w:tc>
        <w:tc>
          <w:tcPr>
            <w:tcW w:w="3785" w:type="dxa"/>
            <w:tcBorders>
              <w:top w:val="nil"/>
              <w:left w:val="single" w:sz="8" w:space="0" w:color="auto"/>
              <w:bottom w:val="nil"/>
              <w:right w:val="single" w:sz="8" w:space="0" w:color="auto"/>
            </w:tcBorders>
          </w:tcPr>
          <w:p w:rsidR="00546F3D" w:rsidRPr="00546F3D" w:rsidRDefault="00546F3D" w:rsidP="004312D2">
            <w:pPr>
              <w:jc w:val="both"/>
              <w:rPr>
                <w:sz w:val="16"/>
                <w:szCs w:val="16"/>
                <w:u w:val="single"/>
                <w:lang w:eastAsia="es-AR"/>
              </w:rPr>
            </w:pPr>
            <w:r w:rsidRPr="00546F3D">
              <w:rPr>
                <w:sz w:val="16"/>
                <w:szCs w:val="16"/>
                <w:u w:val="single"/>
                <w:lang w:eastAsia="es-AR"/>
              </w:rPr>
              <w:t>EPH puntual</w:t>
            </w:r>
          </w:p>
        </w:tc>
        <w:tc>
          <w:tcPr>
            <w:tcW w:w="3785" w:type="dxa"/>
            <w:tcBorders>
              <w:top w:val="nil"/>
              <w:left w:val="nil"/>
              <w:bottom w:val="nil"/>
              <w:right w:val="single" w:sz="8" w:space="0" w:color="auto"/>
            </w:tcBorders>
          </w:tcPr>
          <w:p w:rsidR="00546F3D" w:rsidRPr="00546F3D" w:rsidRDefault="00546F3D" w:rsidP="004312D2">
            <w:pPr>
              <w:jc w:val="both"/>
              <w:rPr>
                <w:sz w:val="16"/>
                <w:szCs w:val="16"/>
                <w:u w:val="single"/>
                <w:lang w:eastAsia="es-AR"/>
              </w:rPr>
            </w:pPr>
            <w:r w:rsidRPr="00546F3D">
              <w:rPr>
                <w:sz w:val="16"/>
                <w:szCs w:val="16"/>
                <w:u w:val="single"/>
                <w:lang w:eastAsia="es-AR"/>
              </w:rPr>
              <w:t>EPH continua</w:t>
            </w:r>
          </w:p>
        </w:tc>
      </w:tr>
      <w:tr w:rsidR="00546F3D" w:rsidRPr="008A2C39" w:rsidTr="00BE48A0">
        <w:trPr>
          <w:trHeight w:val="250"/>
        </w:trPr>
        <w:tc>
          <w:tcPr>
            <w:tcW w:w="993" w:type="dxa"/>
            <w:vMerge/>
            <w:tcBorders>
              <w:top w:val="nil"/>
              <w:left w:val="single" w:sz="8" w:space="0" w:color="auto"/>
              <w:bottom w:val="nil"/>
              <w:right w:val="nil"/>
            </w:tcBorders>
            <w:vAlign w:val="center"/>
          </w:tcPr>
          <w:p w:rsidR="00546F3D" w:rsidRPr="00546F3D" w:rsidRDefault="00546F3D" w:rsidP="00546F3D">
            <w:pPr>
              <w:jc w:val="center"/>
              <w:rPr>
                <w:b/>
                <w:bCs/>
                <w:sz w:val="16"/>
                <w:szCs w:val="16"/>
                <w:lang w:eastAsia="es-AR"/>
              </w:rPr>
            </w:pPr>
          </w:p>
        </w:tc>
        <w:tc>
          <w:tcPr>
            <w:tcW w:w="3785" w:type="dxa"/>
            <w:tcBorders>
              <w:top w:val="nil"/>
              <w:left w:val="single" w:sz="8" w:space="0" w:color="auto"/>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 </w:t>
            </w:r>
          </w:p>
        </w:tc>
        <w:tc>
          <w:tcPr>
            <w:tcW w:w="3785" w:type="dxa"/>
            <w:tcBorders>
              <w:top w:val="nil"/>
              <w:left w:val="nil"/>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 </w:t>
            </w:r>
          </w:p>
        </w:tc>
      </w:tr>
      <w:tr w:rsidR="00546F3D" w:rsidRPr="008A2C39" w:rsidTr="00BE48A0">
        <w:trPr>
          <w:trHeight w:val="1884"/>
        </w:trPr>
        <w:tc>
          <w:tcPr>
            <w:tcW w:w="993" w:type="dxa"/>
            <w:vMerge/>
            <w:tcBorders>
              <w:top w:val="nil"/>
              <w:left w:val="single" w:sz="8" w:space="0" w:color="auto"/>
              <w:bottom w:val="nil"/>
              <w:right w:val="nil"/>
            </w:tcBorders>
            <w:vAlign w:val="center"/>
          </w:tcPr>
          <w:p w:rsidR="00546F3D" w:rsidRPr="00546F3D" w:rsidRDefault="00546F3D" w:rsidP="00546F3D">
            <w:pPr>
              <w:jc w:val="center"/>
              <w:rPr>
                <w:b/>
                <w:bCs/>
                <w:sz w:val="16"/>
                <w:szCs w:val="16"/>
                <w:lang w:eastAsia="es-AR"/>
              </w:rPr>
            </w:pPr>
          </w:p>
        </w:tc>
        <w:tc>
          <w:tcPr>
            <w:tcW w:w="3785" w:type="dxa"/>
            <w:tcBorders>
              <w:top w:val="nil"/>
              <w:left w:val="single" w:sz="8" w:space="0" w:color="auto"/>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Incluye a los asalariados con trabajo permanente e integrados a la Seguridad Social (con descuento jubilatorio), a los patrones o empleadores con ocupación permanente que trabajan más de 34h o trabajan menos y no desean trabajar más horas y a los cuenta propia con ocupación permanente que trabajan más de 34h y no desean trabajar más.</w:t>
            </w:r>
          </w:p>
        </w:tc>
        <w:tc>
          <w:tcPr>
            <w:tcW w:w="3785" w:type="dxa"/>
            <w:tcBorders>
              <w:top w:val="nil"/>
              <w:left w:val="nil"/>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Incluye a los asalariados con trabajo permanente e integrados a la Seguridad Social (con descuento  jubilatorio), a los patrones o empleadores que trabajan en esa ocupación hace más de tres meses, y a los cuenta propia con más de tres meses de antigüedad en la ocupación que trabajaron más de 35h y no buscaron trabajar más horas.</w:t>
            </w:r>
          </w:p>
        </w:tc>
      </w:tr>
      <w:tr w:rsidR="00546F3D" w:rsidRPr="008A2C39" w:rsidTr="00BE48A0">
        <w:trPr>
          <w:trHeight w:val="84"/>
        </w:trPr>
        <w:tc>
          <w:tcPr>
            <w:tcW w:w="993" w:type="dxa"/>
            <w:vMerge/>
            <w:tcBorders>
              <w:top w:val="nil"/>
              <w:left w:val="single" w:sz="8" w:space="0" w:color="auto"/>
              <w:bottom w:val="nil"/>
              <w:right w:val="nil"/>
            </w:tcBorders>
            <w:vAlign w:val="center"/>
          </w:tcPr>
          <w:p w:rsidR="00546F3D" w:rsidRPr="00546F3D" w:rsidRDefault="00546F3D" w:rsidP="00546F3D">
            <w:pPr>
              <w:jc w:val="center"/>
              <w:rPr>
                <w:b/>
                <w:bCs/>
                <w:sz w:val="16"/>
                <w:szCs w:val="16"/>
                <w:lang w:eastAsia="es-AR"/>
              </w:rPr>
            </w:pPr>
          </w:p>
        </w:tc>
        <w:tc>
          <w:tcPr>
            <w:tcW w:w="3785" w:type="dxa"/>
            <w:tcBorders>
              <w:top w:val="nil"/>
              <w:left w:val="single" w:sz="8" w:space="0" w:color="auto"/>
              <w:bottom w:val="single" w:sz="8" w:space="0" w:color="auto"/>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 </w:t>
            </w:r>
          </w:p>
        </w:tc>
        <w:tc>
          <w:tcPr>
            <w:tcW w:w="3785" w:type="dxa"/>
            <w:tcBorders>
              <w:top w:val="nil"/>
              <w:left w:val="nil"/>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 </w:t>
            </w:r>
          </w:p>
        </w:tc>
      </w:tr>
      <w:tr w:rsidR="00546F3D" w:rsidRPr="008A2C39" w:rsidTr="00BE48A0">
        <w:trPr>
          <w:trHeight w:val="515"/>
        </w:trPr>
        <w:tc>
          <w:tcPr>
            <w:tcW w:w="993" w:type="dxa"/>
            <w:vMerge w:val="restart"/>
            <w:tcBorders>
              <w:top w:val="single" w:sz="8" w:space="0" w:color="auto"/>
              <w:left w:val="single" w:sz="8" w:space="0" w:color="auto"/>
              <w:bottom w:val="single" w:sz="8" w:space="0" w:color="000000"/>
              <w:right w:val="nil"/>
            </w:tcBorders>
            <w:textDirection w:val="btLr"/>
            <w:vAlign w:val="center"/>
          </w:tcPr>
          <w:p w:rsidR="00546F3D" w:rsidRPr="00546F3D" w:rsidRDefault="00546F3D" w:rsidP="00546F3D">
            <w:pPr>
              <w:jc w:val="center"/>
              <w:rPr>
                <w:b/>
                <w:bCs/>
                <w:sz w:val="16"/>
                <w:szCs w:val="16"/>
                <w:lang w:eastAsia="es-AR"/>
              </w:rPr>
            </w:pPr>
            <w:r w:rsidRPr="00546F3D">
              <w:rPr>
                <w:b/>
                <w:bCs/>
                <w:sz w:val="16"/>
                <w:szCs w:val="16"/>
                <w:lang w:eastAsia="es-AR"/>
              </w:rPr>
              <w:t>EMPLEO INESTABLE / NO REGULADO</w:t>
            </w:r>
          </w:p>
        </w:tc>
        <w:tc>
          <w:tcPr>
            <w:tcW w:w="7570" w:type="dxa"/>
            <w:gridSpan w:val="2"/>
            <w:tcBorders>
              <w:top w:val="single" w:sz="8" w:space="0" w:color="auto"/>
              <w:left w:val="single" w:sz="8" w:space="0" w:color="auto"/>
              <w:bottom w:val="single" w:sz="8" w:space="0" w:color="auto"/>
              <w:right w:val="single" w:sz="8" w:space="0" w:color="000000"/>
            </w:tcBorders>
          </w:tcPr>
          <w:p w:rsidR="00546F3D" w:rsidRPr="00546F3D" w:rsidRDefault="00546F3D" w:rsidP="004312D2">
            <w:pPr>
              <w:jc w:val="both"/>
              <w:rPr>
                <w:b/>
                <w:bCs/>
                <w:sz w:val="16"/>
                <w:szCs w:val="16"/>
                <w:lang w:eastAsia="es-AR"/>
              </w:rPr>
            </w:pPr>
            <w:r w:rsidRPr="00546F3D">
              <w:rPr>
                <w:b/>
                <w:bCs/>
                <w:sz w:val="16"/>
                <w:szCs w:val="16"/>
                <w:lang w:eastAsia="es-AR"/>
              </w:rPr>
              <w:t>SEGMENTO SECUNDARIO DEL MERCADO DE TRABAJO: Empleos extralegales (incluye empleos de indigencia)</w:t>
            </w:r>
          </w:p>
        </w:tc>
      </w:tr>
      <w:tr w:rsidR="00546F3D" w:rsidRPr="008A2C39" w:rsidTr="00BE48A0">
        <w:trPr>
          <w:trHeight w:val="250"/>
        </w:trPr>
        <w:tc>
          <w:tcPr>
            <w:tcW w:w="993" w:type="dxa"/>
            <w:vMerge/>
            <w:tcBorders>
              <w:top w:val="single" w:sz="8" w:space="0" w:color="auto"/>
              <w:left w:val="single" w:sz="8" w:space="0" w:color="auto"/>
              <w:bottom w:val="single" w:sz="8" w:space="0" w:color="000000"/>
              <w:right w:val="nil"/>
            </w:tcBorders>
            <w:vAlign w:val="center"/>
          </w:tcPr>
          <w:p w:rsidR="00546F3D" w:rsidRPr="00546F3D" w:rsidRDefault="00546F3D" w:rsidP="004312D2">
            <w:pPr>
              <w:jc w:val="both"/>
              <w:rPr>
                <w:b/>
                <w:bCs/>
                <w:sz w:val="16"/>
                <w:szCs w:val="16"/>
                <w:lang w:eastAsia="es-AR"/>
              </w:rPr>
            </w:pPr>
          </w:p>
        </w:tc>
        <w:tc>
          <w:tcPr>
            <w:tcW w:w="3785" w:type="dxa"/>
            <w:tcBorders>
              <w:top w:val="nil"/>
              <w:left w:val="single" w:sz="8" w:space="0" w:color="auto"/>
              <w:bottom w:val="nil"/>
              <w:right w:val="single" w:sz="8" w:space="0" w:color="auto"/>
            </w:tcBorders>
          </w:tcPr>
          <w:p w:rsidR="00546F3D" w:rsidRPr="00546F3D" w:rsidRDefault="00546F3D" w:rsidP="004312D2">
            <w:pPr>
              <w:jc w:val="both"/>
              <w:rPr>
                <w:sz w:val="16"/>
                <w:szCs w:val="16"/>
                <w:u w:val="single"/>
                <w:lang w:eastAsia="es-AR"/>
              </w:rPr>
            </w:pPr>
            <w:r w:rsidRPr="00546F3D">
              <w:rPr>
                <w:sz w:val="16"/>
                <w:szCs w:val="16"/>
                <w:u w:val="single"/>
                <w:lang w:eastAsia="es-AR"/>
              </w:rPr>
              <w:t>EPH puntual</w:t>
            </w:r>
          </w:p>
        </w:tc>
        <w:tc>
          <w:tcPr>
            <w:tcW w:w="3785" w:type="dxa"/>
            <w:tcBorders>
              <w:top w:val="nil"/>
              <w:left w:val="nil"/>
              <w:bottom w:val="nil"/>
              <w:right w:val="single" w:sz="8" w:space="0" w:color="auto"/>
            </w:tcBorders>
          </w:tcPr>
          <w:p w:rsidR="00546F3D" w:rsidRPr="00546F3D" w:rsidRDefault="00546F3D" w:rsidP="004312D2">
            <w:pPr>
              <w:jc w:val="both"/>
              <w:rPr>
                <w:sz w:val="16"/>
                <w:szCs w:val="16"/>
                <w:u w:val="single"/>
                <w:lang w:eastAsia="es-AR"/>
              </w:rPr>
            </w:pPr>
            <w:r w:rsidRPr="00546F3D">
              <w:rPr>
                <w:sz w:val="16"/>
                <w:szCs w:val="16"/>
                <w:u w:val="single"/>
                <w:lang w:eastAsia="es-AR"/>
              </w:rPr>
              <w:t>EPH continua</w:t>
            </w:r>
          </w:p>
        </w:tc>
      </w:tr>
      <w:tr w:rsidR="00546F3D" w:rsidRPr="008A2C39" w:rsidTr="00BE48A0">
        <w:trPr>
          <w:trHeight w:val="250"/>
        </w:trPr>
        <w:tc>
          <w:tcPr>
            <w:tcW w:w="993" w:type="dxa"/>
            <w:vMerge/>
            <w:tcBorders>
              <w:top w:val="single" w:sz="8" w:space="0" w:color="auto"/>
              <w:left w:val="single" w:sz="8" w:space="0" w:color="auto"/>
              <w:bottom w:val="single" w:sz="8" w:space="0" w:color="000000"/>
              <w:right w:val="nil"/>
            </w:tcBorders>
            <w:vAlign w:val="center"/>
          </w:tcPr>
          <w:p w:rsidR="00546F3D" w:rsidRPr="00546F3D" w:rsidRDefault="00546F3D" w:rsidP="004312D2">
            <w:pPr>
              <w:jc w:val="both"/>
              <w:rPr>
                <w:b/>
                <w:bCs/>
                <w:sz w:val="16"/>
                <w:szCs w:val="16"/>
                <w:lang w:eastAsia="es-AR"/>
              </w:rPr>
            </w:pPr>
          </w:p>
        </w:tc>
        <w:tc>
          <w:tcPr>
            <w:tcW w:w="3785" w:type="dxa"/>
            <w:tcBorders>
              <w:top w:val="nil"/>
              <w:left w:val="single" w:sz="8" w:space="0" w:color="auto"/>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 </w:t>
            </w:r>
          </w:p>
        </w:tc>
        <w:tc>
          <w:tcPr>
            <w:tcW w:w="3785" w:type="dxa"/>
            <w:tcBorders>
              <w:top w:val="nil"/>
              <w:left w:val="nil"/>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 </w:t>
            </w:r>
          </w:p>
        </w:tc>
      </w:tr>
      <w:tr w:rsidR="00546F3D" w:rsidRPr="008A2C39" w:rsidTr="00BE48A0">
        <w:trPr>
          <w:trHeight w:val="1453"/>
        </w:trPr>
        <w:tc>
          <w:tcPr>
            <w:tcW w:w="993" w:type="dxa"/>
            <w:vMerge/>
            <w:tcBorders>
              <w:top w:val="single" w:sz="8" w:space="0" w:color="auto"/>
              <w:left w:val="single" w:sz="8" w:space="0" w:color="auto"/>
              <w:bottom w:val="single" w:sz="8" w:space="0" w:color="000000"/>
              <w:right w:val="nil"/>
            </w:tcBorders>
            <w:vAlign w:val="center"/>
          </w:tcPr>
          <w:p w:rsidR="00546F3D" w:rsidRPr="00546F3D" w:rsidRDefault="00546F3D" w:rsidP="004312D2">
            <w:pPr>
              <w:jc w:val="both"/>
              <w:rPr>
                <w:b/>
                <w:bCs/>
                <w:sz w:val="16"/>
                <w:szCs w:val="16"/>
                <w:lang w:eastAsia="es-AR"/>
              </w:rPr>
            </w:pPr>
          </w:p>
        </w:tc>
        <w:tc>
          <w:tcPr>
            <w:tcW w:w="3785" w:type="dxa"/>
            <w:tcBorders>
              <w:top w:val="nil"/>
              <w:left w:val="single" w:sz="8" w:space="0" w:color="auto"/>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Incluye a los asalariados sin jubilación o sin trabajo permanente, a los trabajadores independientes (patrones o cuenta propia) que no tienen un empleo permanente (es decir, son changas, empleos inestables o trabajos temporarios) o a aquellos trabajadores independientes con empleo permanente pero que trabajan menos de 35h y quieren trabajar más. Se incluyen también a los trabajadores familiares sin salario.</w:t>
            </w:r>
          </w:p>
        </w:tc>
        <w:tc>
          <w:tcPr>
            <w:tcW w:w="3785" w:type="dxa"/>
            <w:tcBorders>
              <w:top w:val="nil"/>
              <w:left w:val="nil"/>
              <w:bottom w:val="nil"/>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Incluye a los asalariados sin jubilación o sin trabajo permanente, a los trabajadores independientes (patrones o cuenta propia) que están hace menos de tres meses en ese empleo o a los cuenta propia que estando hace más de tres meses trabajaron menos de 35 h o trabajaron más de 35h y buscaron trabajar más horas. Se incluyen también a los trabajadores familiares sin salario.</w:t>
            </w:r>
          </w:p>
        </w:tc>
      </w:tr>
      <w:tr w:rsidR="00546F3D" w:rsidRPr="008A2C39" w:rsidTr="00BE48A0">
        <w:trPr>
          <w:trHeight w:val="215"/>
        </w:trPr>
        <w:tc>
          <w:tcPr>
            <w:tcW w:w="993" w:type="dxa"/>
            <w:vMerge/>
            <w:tcBorders>
              <w:top w:val="single" w:sz="8" w:space="0" w:color="auto"/>
              <w:left w:val="single" w:sz="8" w:space="0" w:color="auto"/>
              <w:bottom w:val="single" w:sz="8" w:space="0" w:color="000000"/>
              <w:right w:val="nil"/>
            </w:tcBorders>
            <w:vAlign w:val="center"/>
          </w:tcPr>
          <w:p w:rsidR="00546F3D" w:rsidRPr="00546F3D" w:rsidRDefault="00546F3D" w:rsidP="004312D2">
            <w:pPr>
              <w:jc w:val="both"/>
              <w:rPr>
                <w:b/>
                <w:bCs/>
                <w:sz w:val="16"/>
                <w:szCs w:val="16"/>
                <w:lang w:eastAsia="es-AR"/>
              </w:rPr>
            </w:pPr>
          </w:p>
        </w:tc>
        <w:tc>
          <w:tcPr>
            <w:tcW w:w="3785" w:type="dxa"/>
            <w:tcBorders>
              <w:top w:val="nil"/>
              <w:left w:val="single" w:sz="8" w:space="0" w:color="auto"/>
              <w:bottom w:val="single" w:sz="8" w:space="0" w:color="auto"/>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Adicionalmente, incluye a todos aquellos empleos (de cualquier categoría ocupacional, exceptuando a los trabajadores familiares sin salario) cuyo ingreso horario percibido no alcanza el nivel del ingreso horario necesario para cubrir los gastos alimentarios de una familia tipo*.</w:t>
            </w:r>
          </w:p>
        </w:tc>
        <w:tc>
          <w:tcPr>
            <w:tcW w:w="3785" w:type="dxa"/>
            <w:tcBorders>
              <w:top w:val="nil"/>
              <w:left w:val="nil"/>
              <w:bottom w:val="single" w:sz="8" w:space="0" w:color="auto"/>
              <w:right w:val="single" w:sz="8" w:space="0" w:color="auto"/>
            </w:tcBorders>
          </w:tcPr>
          <w:p w:rsidR="00546F3D" w:rsidRPr="00546F3D" w:rsidRDefault="00546F3D" w:rsidP="004312D2">
            <w:pPr>
              <w:jc w:val="both"/>
              <w:rPr>
                <w:sz w:val="16"/>
                <w:szCs w:val="16"/>
                <w:lang w:eastAsia="es-AR"/>
              </w:rPr>
            </w:pPr>
            <w:r w:rsidRPr="00546F3D">
              <w:rPr>
                <w:sz w:val="16"/>
                <w:szCs w:val="16"/>
                <w:lang w:eastAsia="es-AR"/>
              </w:rPr>
              <w:t>Adicionalmente, incluye a todos aquellos empleos (de cualquier categoría ocupacional, exceptuando a los trabajadores familiares sin salario) cuyo ingreso horario percibido no alcanza el nivel del ingreso horario necesario para cubrir los gastos alimentarios de una familia tipo*.</w:t>
            </w:r>
          </w:p>
        </w:tc>
      </w:tr>
      <w:tr w:rsidR="00546F3D" w:rsidRPr="003B3100" w:rsidTr="00BE48A0">
        <w:trPr>
          <w:trHeight w:val="1952"/>
        </w:trPr>
        <w:tc>
          <w:tcPr>
            <w:tcW w:w="8563" w:type="dxa"/>
            <w:gridSpan w:val="3"/>
            <w:tcBorders>
              <w:top w:val="single" w:sz="8" w:space="0" w:color="auto"/>
              <w:left w:val="nil"/>
              <w:bottom w:val="nil"/>
              <w:right w:val="nil"/>
            </w:tcBorders>
          </w:tcPr>
          <w:p w:rsidR="00546F3D" w:rsidRPr="003B3100" w:rsidRDefault="00546F3D" w:rsidP="004312D2">
            <w:pPr>
              <w:jc w:val="both"/>
              <w:rPr>
                <w:sz w:val="16"/>
                <w:szCs w:val="16"/>
                <w:lang w:eastAsia="es-AR"/>
              </w:rPr>
            </w:pPr>
            <w:r w:rsidRPr="003B3100">
              <w:rPr>
                <w:sz w:val="16"/>
                <w:szCs w:val="16"/>
                <w:lang w:eastAsia="es-AR"/>
              </w:rPr>
              <w:t>* La canasta básica se definió como los ingresos necesarios para cubrir las necesidades alimenticias y otras de subsistencia de una familia tipo en cada uno de los años considerados en el estudio. Al respecto, cabe aclarar que hasta el año 2007 se emplearon los datos de la Canasta Básica Alimentaria según la estimación oficial del INDEC. Sin embargo, dada la conocida intervención al INDEC y manipulación de la información posterior a 2007, se utilizó una estimación alternativa de Canasta Básica Alimentaria obtenida a través de información de consultoras privadas. Para la estimación del límite de ingreso horario de indigencia se divide el ingreso mensual de la Canasta Básica Alimentaria para una familia tipo por 160 horas mensuales trabajadas.</w:t>
            </w:r>
          </w:p>
          <w:p w:rsidR="00546F3D" w:rsidRPr="003B3100" w:rsidRDefault="00546F3D" w:rsidP="004312D2">
            <w:pPr>
              <w:jc w:val="both"/>
              <w:rPr>
                <w:sz w:val="16"/>
                <w:szCs w:val="16"/>
                <w:lang w:eastAsia="es-AR"/>
              </w:rPr>
            </w:pPr>
            <w:r w:rsidRPr="003B3100">
              <w:rPr>
                <w:sz w:val="16"/>
                <w:szCs w:val="16"/>
                <w:lang w:eastAsia="es-AR"/>
              </w:rPr>
              <w:t xml:space="preserve">Nota: En las bases de datos de los años 1992 y 1994 no se disponían de las variables empleadas para la evaluación de la calidad o estabilidad del empleo. En estos casos, la evaluación de la estabilidad laboral se aproxima, para los trabajadores no asalariados, a través de indicadores de subocupación, el deseo de trabajar más horas semanales y la búsqueda de otro empleo. A través de ejercicios de comparación en las bases de los años 1998 y 2001 con ambos métodos de evaluación de la calidad del empleo, se obtuvo un coeficiente para el ajuste de los datos correspondientes a 1992 y 1994.  </w:t>
            </w:r>
          </w:p>
        </w:tc>
      </w:tr>
      <w:tr w:rsidR="00546F3D" w:rsidRPr="003B3100" w:rsidTr="00BE48A0">
        <w:trPr>
          <w:trHeight w:val="250"/>
        </w:trPr>
        <w:tc>
          <w:tcPr>
            <w:tcW w:w="8563" w:type="dxa"/>
            <w:gridSpan w:val="3"/>
            <w:tcBorders>
              <w:top w:val="nil"/>
              <w:left w:val="nil"/>
              <w:bottom w:val="nil"/>
              <w:right w:val="nil"/>
            </w:tcBorders>
            <w:noWrap/>
            <w:vAlign w:val="bottom"/>
          </w:tcPr>
          <w:p w:rsidR="003B3100" w:rsidRPr="003B3100" w:rsidRDefault="003B3100" w:rsidP="003B3100">
            <w:pPr>
              <w:rPr>
                <w:sz w:val="20"/>
                <w:szCs w:val="20"/>
                <w:lang w:eastAsia="es-AR"/>
              </w:rPr>
            </w:pPr>
          </w:p>
          <w:p w:rsidR="00546F3D" w:rsidRPr="003B3100" w:rsidRDefault="00546F3D" w:rsidP="003B3100">
            <w:pPr>
              <w:rPr>
                <w:sz w:val="20"/>
                <w:szCs w:val="20"/>
                <w:lang w:eastAsia="es-AR"/>
              </w:rPr>
            </w:pPr>
            <w:r w:rsidRPr="003B3100">
              <w:rPr>
                <w:sz w:val="20"/>
                <w:szCs w:val="20"/>
                <w:lang w:eastAsia="es-AR"/>
              </w:rPr>
              <w:t>Fuente: Programa Cambio Estructural y Desigualdad Social, IIGG-FCS-UBA, con base en datos de la EPH-INDEC.</w:t>
            </w:r>
          </w:p>
        </w:tc>
      </w:tr>
    </w:tbl>
    <w:p w:rsidR="00546F3D" w:rsidRPr="003B3100" w:rsidRDefault="00546F3D" w:rsidP="006F5B40">
      <w:pPr>
        <w:autoSpaceDE w:val="0"/>
        <w:autoSpaceDN w:val="0"/>
        <w:adjustRightInd w:val="0"/>
        <w:spacing w:after="120"/>
        <w:ind w:left="720"/>
        <w:rPr>
          <w:i/>
          <w:sz w:val="16"/>
          <w:szCs w:val="16"/>
        </w:rPr>
      </w:pPr>
    </w:p>
    <w:p w:rsidR="00923AD2" w:rsidRDefault="00FD09F7" w:rsidP="00923AD2">
      <w:pPr>
        <w:numPr>
          <w:ilvl w:val="0"/>
          <w:numId w:val="22"/>
        </w:numPr>
        <w:autoSpaceDE w:val="0"/>
        <w:autoSpaceDN w:val="0"/>
        <w:adjustRightInd w:val="0"/>
        <w:spacing w:after="120"/>
        <w:jc w:val="both"/>
        <w:rPr>
          <w:i/>
          <w:sz w:val="22"/>
          <w:szCs w:val="22"/>
        </w:rPr>
      </w:pPr>
      <w:r>
        <w:rPr>
          <w:i/>
          <w:sz w:val="22"/>
          <w:szCs w:val="22"/>
        </w:rPr>
        <w:t>Descomposición de los cambios en las tasas de pobreza e indigencia</w:t>
      </w:r>
    </w:p>
    <w:p w:rsidR="00923AD2" w:rsidRPr="007E3FE8" w:rsidRDefault="00923AD2" w:rsidP="007E3FE8">
      <w:pPr>
        <w:spacing w:after="120"/>
        <w:jc w:val="both"/>
        <w:rPr>
          <w:rFonts w:eastAsia="Calibri"/>
          <w:lang w:val="es-AR" w:eastAsia="en-US"/>
        </w:rPr>
      </w:pPr>
      <w:r w:rsidRPr="007E3FE8">
        <w:rPr>
          <w:rFonts w:eastAsia="Calibri"/>
          <w:lang w:val="es-AR" w:eastAsia="en-US"/>
        </w:rPr>
        <w:t xml:space="preserve">Como se presentó en el cuerpo del texto, la descomposición de las tasas de pobreza e indigencia se llevó adelante extendiendo la fórmula de </w:t>
      </w:r>
      <w:proofErr w:type="spellStart"/>
      <w:r w:rsidRPr="007E3FE8">
        <w:rPr>
          <w:rFonts w:eastAsia="Calibri"/>
          <w:lang w:val="es-AR" w:eastAsia="en-US"/>
        </w:rPr>
        <w:t>Datt</w:t>
      </w:r>
      <w:proofErr w:type="spellEnd"/>
      <w:r w:rsidRPr="007E3FE8">
        <w:rPr>
          <w:rFonts w:eastAsia="Calibri"/>
          <w:lang w:val="es-AR" w:eastAsia="en-US"/>
        </w:rPr>
        <w:t xml:space="preserve"> y </w:t>
      </w:r>
      <w:proofErr w:type="spellStart"/>
      <w:r w:rsidRPr="007E3FE8">
        <w:rPr>
          <w:rFonts w:eastAsia="Calibri"/>
          <w:lang w:val="es-AR" w:eastAsia="en-US"/>
        </w:rPr>
        <w:t>Ravallion</w:t>
      </w:r>
      <w:proofErr w:type="spellEnd"/>
      <w:r w:rsidRPr="007E3FE8">
        <w:rPr>
          <w:rFonts w:eastAsia="Calibri"/>
          <w:lang w:val="es-AR" w:eastAsia="en-US"/>
        </w:rPr>
        <w:t xml:space="preserve"> (1992) a partir de la propuesta de Cortés y Minor (2014). Para </w:t>
      </w:r>
      <w:proofErr w:type="spellStart"/>
      <w:r w:rsidRPr="007E3FE8">
        <w:rPr>
          <w:rFonts w:eastAsia="Calibri"/>
          <w:lang w:val="es-AR" w:eastAsia="en-US"/>
        </w:rPr>
        <w:t>Datt</w:t>
      </w:r>
      <w:proofErr w:type="spellEnd"/>
      <w:r w:rsidRPr="007E3FE8">
        <w:rPr>
          <w:rFonts w:eastAsia="Calibri"/>
          <w:lang w:val="es-AR" w:eastAsia="en-US"/>
        </w:rPr>
        <w:t xml:space="preserve"> y </w:t>
      </w:r>
      <w:proofErr w:type="spellStart"/>
      <w:r w:rsidRPr="007E3FE8">
        <w:rPr>
          <w:rFonts w:eastAsia="Calibri"/>
          <w:lang w:val="es-AR" w:eastAsia="en-US"/>
        </w:rPr>
        <w:t>Ravallion</w:t>
      </w:r>
      <w:proofErr w:type="spellEnd"/>
      <w:r w:rsidRPr="007E3FE8">
        <w:rPr>
          <w:rFonts w:eastAsia="Calibri"/>
          <w:lang w:val="es-AR" w:eastAsia="en-US"/>
        </w:rPr>
        <w:t xml:space="preserve"> (1992), dada una tasa de pobreza o indigencia:</w:t>
      </w:r>
    </w:p>
    <w:p w:rsidR="00923AD2" w:rsidRPr="007E3FE8" w:rsidRDefault="00923AD2" w:rsidP="007E3FE8">
      <w:pPr>
        <w:spacing w:after="120"/>
        <w:jc w:val="center"/>
        <w:rPr>
          <w:rFonts w:eastAsia="Calibri"/>
          <w:lang w:val="es-AR" w:eastAsia="en-US"/>
        </w:rPr>
      </w:pPr>
      <w:r w:rsidRPr="007E3FE8">
        <w:rPr>
          <w:rFonts w:eastAsia="Calibri"/>
          <w:lang w:val="es-AR" w:eastAsia="en-US"/>
        </w:rPr>
        <w:t>P = P (z | μ, L)</w:t>
      </w:r>
      <w:r w:rsidRPr="007E3FE8">
        <w:rPr>
          <w:rFonts w:eastAsia="Calibri"/>
          <w:lang w:val="es-AR" w:eastAsia="en-US"/>
        </w:rPr>
        <w:tab/>
        <w:t>(1)</w:t>
      </w:r>
    </w:p>
    <w:p w:rsidR="00923AD2" w:rsidRPr="007E3FE8" w:rsidRDefault="00923AD2" w:rsidP="007E3FE8">
      <w:pPr>
        <w:spacing w:after="120"/>
        <w:jc w:val="both"/>
        <w:rPr>
          <w:rFonts w:eastAsia="Calibri"/>
          <w:lang w:val="es-AR" w:eastAsia="en-US"/>
        </w:rPr>
      </w:pPr>
      <w:r w:rsidRPr="007E3FE8">
        <w:rPr>
          <w:rFonts w:eastAsia="Calibri"/>
          <w:lang w:val="es-AR" w:eastAsia="en-US"/>
        </w:rPr>
        <w:t xml:space="preserve">En donde </w:t>
      </w:r>
      <w:r w:rsidRPr="007E3FE8">
        <w:rPr>
          <w:rFonts w:eastAsia="Calibri"/>
          <w:i/>
          <w:lang w:val="es-AR" w:eastAsia="en-US"/>
        </w:rPr>
        <w:t>z</w:t>
      </w:r>
      <w:r w:rsidRPr="007E3FE8">
        <w:rPr>
          <w:rFonts w:eastAsia="Calibri"/>
          <w:lang w:val="es-AR" w:eastAsia="en-US"/>
        </w:rPr>
        <w:t xml:space="preserve"> representa la línea de pobreza, μ es la media de los ingresos y L el vector de la curva de Lorenz, un cambio en la tasa de pobreza (∆P) entre un período t</w:t>
      </w:r>
      <w:r w:rsidRPr="007E3FE8">
        <w:rPr>
          <w:rFonts w:eastAsia="Calibri"/>
          <w:vertAlign w:val="subscript"/>
          <w:lang w:val="es-AR" w:eastAsia="en-US"/>
        </w:rPr>
        <w:t>1</w:t>
      </w:r>
      <w:r w:rsidRPr="007E3FE8">
        <w:rPr>
          <w:rFonts w:eastAsia="Calibri"/>
          <w:lang w:val="es-AR" w:eastAsia="en-US"/>
        </w:rPr>
        <w:t xml:space="preserve"> y un período t</w:t>
      </w:r>
      <w:r w:rsidRPr="007E3FE8">
        <w:rPr>
          <w:rFonts w:eastAsia="Calibri"/>
          <w:vertAlign w:val="subscript"/>
          <w:lang w:val="es-AR" w:eastAsia="en-US"/>
        </w:rPr>
        <w:t>2</w:t>
      </w:r>
      <w:r w:rsidRPr="007E3FE8">
        <w:rPr>
          <w:rFonts w:eastAsia="Calibri"/>
          <w:lang w:val="es-AR" w:eastAsia="en-US"/>
        </w:rPr>
        <w:t xml:space="preserve">, se debe a la acción combinada de: (a) un cambio en los </w:t>
      </w:r>
      <w:r w:rsidRPr="007E3FE8">
        <w:rPr>
          <w:rFonts w:eastAsia="Calibri"/>
          <w:i/>
          <w:lang w:val="es-AR" w:eastAsia="en-US"/>
        </w:rPr>
        <w:t>ingresos medios</w:t>
      </w:r>
      <w:r w:rsidRPr="007E3FE8">
        <w:rPr>
          <w:rFonts w:eastAsia="Calibri"/>
          <w:lang w:val="es-AR" w:eastAsia="en-US"/>
        </w:rPr>
        <w:t xml:space="preserve"> (EI); (b) un cambio en la </w:t>
      </w:r>
      <w:r w:rsidRPr="007E3FE8">
        <w:rPr>
          <w:rFonts w:eastAsia="Calibri"/>
          <w:i/>
          <w:lang w:val="es-AR" w:eastAsia="en-US"/>
        </w:rPr>
        <w:t>distribución</w:t>
      </w:r>
      <w:r w:rsidRPr="007E3FE8">
        <w:rPr>
          <w:rFonts w:eastAsia="Calibri"/>
          <w:lang w:val="es-AR" w:eastAsia="en-US"/>
        </w:rPr>
        <w:t xml:space="preserve"> de los ingresos (ED); (c) y una categoría residual (R). En fórmula:</w:t>
      </w:r>
    </w:p>
    <w:p w:rsidR="00923AD2" w:rsidRPr="007E3FE8" w:rsidRDefault="00923AD2" w:rsidP="007E3FE8">
      <w:pPr>
        <w:spacing w:after="120"/>
        <w:jc w:val="center"/>
        <w:rPr>
          <w:rFonts w:eastAsia="Calibri"/>
          <w:lang w:val="es-AR" w:eastAsia="en-US"/>
        </w:rPr>
      </w:pPr>
      <w:r w:rsidRPr="007E3FE8">
        <w:rPr>
          <w:rFonts w:eastAsia="Calibri"/>
          <w:lang w:val="es-AR" w:eastAsia="en-US"/>
        </w:rPr>
        <w:t>∆P=EI + ED + R</w:t>
      </w:r>
      <w:r w:rsidRPr="007E3FE8">
        <w:rPr>
          <w:rFonts w:eastAsia="Calibri"/>
          <w:lang w:val="es-AR" w:eastAsia="en-US"/>
        </w:rPr>
        <w:tab/>
        <w:t>(2)</w:t>
      </w:r>
    </w:p>
    <w:p w:rsidR="00923AD2" w:rsidRPr="007E3FE8" w:rsidRDefault="00923AD2" w:rsidP="007E3FE8">
      <w:pPr>
        <w:spacing w:after="120"/>
        <w:jc w:val="both"/>
        <w:rPr>
          <w:rFonts w:eastAsia="Calibri"/>
          <w:lang w:val="es-AR" w:eastAsia="en-US"/>
        </w:rPr>
      </w:pPr>
      <w:r w:rsidRPr="007E3FE8">
        <w:rPr>
          <w:rFonts w:eastAsia="Calibri"/>
          <w:lang w:val="es-AR" w:eastAsia="en-US"/>
        </w:rPr>
        <w:lastRenderedPageBreak/>
        <w:t xml:space="preserve">En este trabajo se extiende la ecuación de descomposición propuesta por Cortés y Minor (3), con el objeto de evaluar los cambios en la pobreza/indigencia separando del comportamiento general del ingreso medio de mercado –como expresión del comportamiento del empleo, las remuneraciones y otros posibles ingresos generados por la economía- tanto el efecto de los </w:t>
      </w:r>
      <w:r w:rsidRPr="007E3FE8">
        <w:rPr>
          <w:rFonts w:eastAsia="Calibri"/>
          <w:i/>
          <w:lang w:val="es-AR" w:eastAsia="en-US"/>
        </w:rPr>
        <w:t>programas sociales</w:t>
      </w:r>
      <w:r w:rsidRPr="007E3FE8">
        <w:rPr>
          <w:rFonts w:eastAsia="Calibri"/>
          <w:lang w:val="es-AR" w:eastAsia="en-US"/>
        </w:rPr>
        <w:t xml:space="preserve"> (transferencias provenientes de programas de asistencia directa y de protección al desempleo) como las transferencias generadas por el </w:t>
      </w:r>
      <w:r w:rsidRPr="007E3FE8">
        <w:rPr>
          <w:rFonts w:eastAsia="Calibri"/>
          <w:i/>
          <w:lang w:val="es-AR" w:eastAsia="en-US"/>
        </w:rPr>
        <w:t>sistema de la seguridad social</w:t>
      </w:r>
      <w:r w:rsidRPr="007E3FE8">
        <w:rPr>
          <w:rFonts w:eastAsia="Calibri"/>
          <w:lang w:val="es-AR" w:eastAsia="en-US"/>
        </w:rPr>
        <w:t xml:space="preserve"> (jubilaciones y pensiones). En este sentido: </w:t>
      </w:r>
    </w:p>
    <w:p w:rsidR="00923AD2" w:rsidRPr="007E3FE8" w:rsidRDefault="00923AD2" w:rsidP="007E3FE8">
      <w:pPr>
        <w:spacing w:after="120"/>
        <w:jc w:val="center"/>
        <w:rPr>
          <w:rFonts w:eastAsia="Calibri"/>
          <w:lang w:val="es-AR" w:eastAsia="en-US"/>
        </w:rPr>
      </w:pPr>
      <w:r w:rsidRPr="007E3FE8">
        <w:rPr>
          <w:rFonts w:eastAsia="Calibri"/>
          <w:lang w:val="es-AR" w:eastAsia="en-US"/>
        </w:rPr>
        <w:t xml:space="preserve">∆P=EI + ED + ES+ EP+ R </w:t>
      </w:r>
      <w:r w:rsidRPr="007E3FE8">
        <w:rPr>
          <w:rFonts w:eastAsia="Calibri"/>
          <w:lang w:val="es-AR" w:eastAsia="en-US"/>
        </w:rPr>
        <w:tab/>
        <w:t>(3)</w:t>
      </w:r>
    </w:p>
    <w:p w:rsidR="00923AD2" w:rsidRPr="007E3FE8" w:rsidRDefault="00923AD2" w:rsidP="007E3FE8">
      <w:pPr>
        <w:spacing w:after="120"/>
        <w:jc w:val="both"/>
        <w:rPr>
          <w:rFonts w:eastAsia="Calibri"/>
          <w:lang w:val="es-AR" w:eastAsia="en-US"/>
        </w:rPr>
      </w:pPr>
      <w:r w:rsidRPr="007E3FE8">
        <w:rPr>
          <w:rFonts w:eastAsia="Calibri"/>
          <w:lang w:val="es-AR" w:eastAsia="en-US"/>
        </w:rPr>
        <w:t xml:space="preserve">De acuerdo con esto, la variación de la pobreza o la indigencia es resultado de: (a) el efecto cambio en los </w:t>
      </w:r>
      <w:r w:rsidRPr="007E3FE8">
        <w:rPr>
          <w:rFonts w:eastAsia="Calibri"/>
          <w:i/>
          <w:lang w:val="es-AR" w:eastAsia="en-US"/>
        </w:rPr>
        <w:t xml:space="preserve">ingresos medios (EI) </w:t>
      </w:r>
      <w:r w:rsidRPr="007E3FE8">
        <w:rPr>
          <w:rFonts w:eastAsia="Calibri"/>
          <w:lang w:val="es-AR" w:eastAsia="en-US"/>
        </w:rPr>
        <w:t xml:space="preserve">de los hogares netos de las transferencias sociales; (b) el efecto variación en la </w:t>
      </w:r>
      <w:r w:rsidRPr="007E3FE8">
        <w:rPr>
          <w:rFonts w:eastAsia="Calibri"/>
          <w:i/>
          <w:lang w:val="es-AR" w:eastAsia="en-US"/>
        </w:rPr>
        <w:t>distribución del ingreso</w:t>
      </w:r>
      <w:r w:rsidRPr="007E3FE8">
        <w:rPr>
          <w:rFonts w:eastAsia="Calibri"/>
          <w:lang w:val="es-AR" w:eastAsia="en-US"/>
        </w:rPr>
        <w:t>, neta de transferencias</w:t>
      </w:r>
      <w:r w:rsidRPr="007E3FE8">
        <w:rPr>
          <w:rFonts w:eastAsia="Calibri"/>
          <w:i/>
          <w:lang w:val="es-AR" w:eastAsia="en-US"/>
        </w:rPr>
        <w:t xml:space="preserve"> (ED)</w:t>
      </w:r>
      <w:r w:rsidRPr="007E3FE8">
        <w:rPr>
          <w:rFonts w:eastAsia="Calibri"/>
          <w:lang w:val="es-AR" w:eastAsia="en-US"/>
        </w:rPr>
        <w:t xml:space="preserve">; (c) el efecto cambio en los </w:t>
      </w:r>
      <w:r w:rsidRPr="007E3FE8">
        <w:rPr>
          <w:rFonts w:eastAsia="Calibri"/>
          <w:i/>
          <w:lang w:val="es-AR" w:eastAsia="en-US"/>
        </w:rPr>
        <w:t>ingresos de seguridad social (ES)</w:t>
      </w:r>
      <w:r w:rsidRPr="007E3FE8">
        <w:rPr>
          <w:rFonts w:eastAsia="Calibri"/>
          <w:lang w:val="es-AR" w:eastAsia="en-US"/>
        </w:rPr>
        <w:t xml:space="preserve">; (d) el efecto cambio en los </w:t>
      </w:r>
      <w:r w:rsidRPr="007E3FE8">
        <w:rPr>
          <w:rFonts w:eastAsia="Calibri"/>
          <w:i/>
          <w:lang w:val="es-AR" w:eastAsia="en-US"/>
        </w:rPr>
        <w:t>ingresos por programas de protección contra la pobreza (EP)</w:t>
      </w:r>
      <w:r w:rsidRPr="007E3FE8">
        <w:rPr>
          <w:rFonts w:eastAsia="Calibri"/>
          <w:lang w:val="es-AR" w:eastAsia="en-US"/>
        </w:rPr>
        <w:t xml:space="preserve">; y (e) un efecto </w:t>
      </w:r>
      <w:r w:rsidRPr="007E3FE8">
        <w:rPr>
          <w:rFonts w:eastAsia="Calibri"/>
          <w:i/>
          <w:lang w:val="es-AR" w:eastAsia="en-US"/>
        </w:rPr>
        <w:t>residual (R).</w:t>
      </w:r>
      <w:r w:rsidRPr="007E3FE8">
        <w:rPr>
          <w:rFonts w:eastAsia="Calibri"/>
          <w:lang w:val="es-AR" w:eastAsia="en-US"/>
        </w:rPr>
        <w:t xml:space="preserve"> Se señalan a continuación mayores especificaciones acerca de cada uno de estos componentes. </w:t>
      </w:r>
    </w:p>
    <w:p w:rsidR="00923AD2" w:rsidRPr="007E3FE8" w:rsidRDefault="00923AD2" w:rsidP="007E3FE8">
      <w:pPr>
        <w:numPr>
          <w:ilvl w:val="0"/>
          <w:numId w:val="23"/>
        </w:numPr>
        <w:tabs>
          <w:tab w:val="num" w:pos="360"/>
        </w:tabs>
        <w:spacing w:after="120"/>
        <w:ind w:left="360"/>
        <w:jc w:val="both"/>
        <w:rPr>
          <w:rFonts w:eastAsia="Calibri"/>
          <w:lang w:val="es-AR" w:eastAsia="en-US"/>
        </w:rPr>
      </w:pPr>
      <w:r w:rsidRPr="007E3FE8">
        <w:rPr>
          <w:rFonts w:eastAsia="Calibri"/>
          <w:i/>
          <w:lang w:val="es-AR" w:eastAsia="en-US"/>
        </w:rPr>
        <w:t>Efecto ingresos de mercado (EI) neto de transferencias y programas sociales</w:t>
      </w:r>
    </w:p>
    <w:p w:rsidR="00923AD2" w:rsidRPr="007E3FE8" w:rsidRDefault="00923AD2" w:rsidP="007E3FE8">
      <w:pPr>
        <w:spacing w:after="120"/>
        <w:jc w:val="both"/>
        <w:rPr>
          <w:rFonts w:eastAsia="Calibri"/>
          <w:lang w:val="es-AR" w:eastAsia="en-US"/>
        </w:rPr>
      </w:pPr>
      <w:r w:rsidRPr="007E3FE8">
        <w:rPr>
          <w:rFonts w:eastAsia="Calibri"/>
          <w:lang w:val="es-AR" w:eastAsia="en-US"/>
        </w:rPr>
        <w:t xml:space="preserve">El efecto crecimiento o  ingresos netos de transferencias y programas sociales se aproxima por medio de: </w:t>
      </w:r>
    </w:p>
    <w:p w:rsidR="00923AD2" w:rsidRPr="007E3FE8" w:rsidRDefault="00923AD2" w:rsidP="007E3FE8">
      <w:pPr>
        <w:spacing w:after="120"/>
        <w:jc w:val="center"/>
        <w:rPr>
          <w:rFonts w:eastAsia="Calibri"/>
          <w:lang w:val="es-AR" w:eastAsia="en-US"/>
        </w:rPr>
      </w:pPr>
      <w:r w:rsidRPr="007E3FE8">
        <w:rPr>
          <w:rFonts w:eastAsia="Calibri"/>
          <w:lang w:val="es-AR" w:eastAsia="en-US"/>
        </w:rPr>
        <w:t>EI</w:t>
      </w:r>
      <w:r w:rsidRPr="007E3FE8">
        <w:rPr>
          <w:rFonts w:eastAsia="Calibri"/>
          <w:vertAlign w:val="subscript"/>
          <w:lang w:val="es-AR" w:eastAsia="en-US"/>
        </w:rPr>
        <w:t xml:space="preserve">(t1,t2;r)  </w:t>
      </w:r>
      <w:r w:rsidRPr="007E3FE8">
        <w:rPr>
          <w:rFonts w:eastAsia="Calibri"/>
          <w:lang w:val="es-AR" w:eastAsia="en-US"/>
        </w:rPr>
        <w:t>= P (z | μ</w:t>
      </w:r>
      <w:r w:rsidRPr="007E3FE8">
        <w:rPr>
          <w:rFonts w:eastAsia="Calibri"/>
          <w:vertAlign w:val="subscript"/>
          <w:lang w:val="es-AR" w:eastAsia="en-US"/>
        </w:rPr>
        <w:t>2</w:t>
      </w:r>
      <w:r w:rsidRPr="007E3FE8">
        <w:rPr>
          <w:rFonts w:eastAsia="Calibri"/>
          <w:lang w:val="es-AR" w:eastAsia="en-US"/>
        </w:rPr>
        <w:t>, L</w:t>
      </w:r>
      <w:r w:rsidRPr="007E3FE8">
        <w:rPr>
          <w:rFonts w:eastAsia="Calibri"/>
          <w:vertAlign w:val="subscript"/>
          <w:lang w:val="es-AR" w:eastAsia="en-US"/>
        </w:rPr>
        <w:t>r</w:t>
      </w:r>
      <w:r w:rsidRPr="007E3FE8">
        <w:rPr>
          <w:rFonts w:eastAsia="Calibri"/>
          <w:lang w:val="es-AR" w:eastAsia="en-US"/>
        </w:rPr>
        <w:t>)  - P (z | μ</w:t>
      </w:r>
      <w:r w:rsidRPr="007E3FE8">
        <w:rPr>
          <w:rFonts w:eastAsia="Calibri"/>
          <w:vertAlign w:val="subscript"/>
          <w:lang w:val="es-AR" w:eastAsia="en-US"/>
        </w:rPr>
        <w:t>1</w:t>
      </w:r>
      <w:r w:rsidRPr="007E3FE8">
        <w:rPr>
          <w:rFonts w:eastAsia="Calibri"/>
          <w:lang w:val="es-AR" w:eastAsia="en-US"/>
        </w:rPr>
        <w:t>, L</w:t>
      </w:r>
      <w:r w:rsidRPr="007E3FE8">
        <w:rPr>
          <w:rFonts w:eastAsia="Calibri"/>
          <w:vertAlign w:val="subscript"/>
          <w:lang w:val="es-AR" w:eastAsia="en-US"/>
        </w:rPr>
        <w:t>r</w:t>
      </w:r>
      <w:r w:rsidRPr="007E3FE8">
        <w:rPr>
          <w:rFonts w:eastAsia="Calibri"/>
          <w:lang w:val="es-AR" w:eastAsia="en-US"/>
        </w:rPr>
        <w:t xml:space="preserve">)  </w:t>
      </w:r>
    </w:p>
    <w:p w:rsidR="00923AD2" w:rsidRPr="007E3FE8" w:rsidRDefault="00923AD2" w:rsidP="007E3FE8">
      <w:pPr>
        <w:autoSpaceDE w:val="0"/>
        <w:autoSpaceDN w:val="0"/>
        <w:adjustRightInd w:val="0"/>
        <w:spacing w:after="120"/>
        <w:jc w:val="both"/>
        <w:rPr>
          <w:vertAlign w:val="subscript"/>
        </w:rPr>
      </w:pPr>
      <w:r w:rsidRPr="007E3FE8">
        <w:rPr>
          <w:rFonts w:eastAsia="Calibri"/>
          <w:lang w:val="es-AR" w:eastAsia="en-US"/>
        </w:rPr>
        <w:t>μ y L se utilizan como notaciones genéricas. En este caso los ingresos utilizados son netos de transferencias y programas sociales. La r indica un período de referencia (t). Este</w:t>
      </w:r>
      <w:r w:rsidRPr="007E3FE8">
        <w:t xml:space="preserve"> componente es definido como el cambio en la pobreza debido a un cambio en la media del ingreso medio neto de transferencias manteniendo constante la curva de Lorenz en un nivel de referencia L</w:t>
      </w:r>
      <w:r w:rsidRPr="007E3FE8">
        <w:rPr>
          <w:vertAlign w:val="subscript"/>
        </w:rPr>
        <w:t xml:space="preserve">r. </w:t>
      </w:r>
    </w:p>
    <w:p w:rsidR="00923AD2" w:rsidRPr="007E3FE8" w:rsidRDefault="00923AD2" w:rsidP="007E3FE8">
      <w:pPr>
        <w:numPr>
          <w:ilvl w:val="0"/>
          <w:numId w:val="23"/>
        </w:numPr>
        <w:tabs>
          <w:tab w:val="num" w:pos="360"/>
        </w:tabs>
        <w:spacing w:after="120"/>
        <w:ind w:left="360"/>
        <w:jc w:val="both"/>
        <w:rPr>
          <w:rFonts w:eastAsia="Calibri"/>
          <w:lang w:val="es-AR" w:eastAsia="en-US"/>
        </w:rPr>
      </w:pPr>
      <w:r w:rsidRPr="007E3FE8">
        <w:rPr>
          <w:rFonts w:eastAsia="Calibri"/>
          <w:i/>
          <w:lang w:val="es-AR" w:eastAsia="en-US"/>
        </w:rPr>
        <w:t>Efecto distribución (ED) neto de transferencias y programas sociales</w:t>
      </w:r>
    </w:p>
    <w:p w:rsidR="00923AD2" w:rsidRPr="007E3FE8" w:rsidRDefault="00923AD2" w:rsidP="007E3FE8">
      <w:pPr>
        <w:spacing w:after="120"/>
        <w:jc w:val="center"/>
        <w:rPr>
          <w:rFonts w:eastAsia="Calibri"/>
          <w:lang w:val="es-AR" w:eastAsia="en-US"/>
        </w:rPr>
      </w:pPr>
      <w:r w:rsidRPr="007E3FE8">
        <w:rPr>
          <w:rFonts w:eastAsia="Calibri"/>
          <w:lang w:val="es-AR" w:eastAsia="en-US"/>
        </w:rPr>
        <w:t>ED</w:t>
      </w:r>
      <w:r w:rsidRPr="007E3FE8">
        <w:rPr>
          <w:rFonts w:eastAsia="Calibri"/>
          <w:vertAlign w:val="subscript"/>
          <w:lang w:val="es-AR" w:eastAsia="en-US"/>
        </w:rPr>
        <w:t xml:space="preserve">(t1,t2;r)  </w:t>
      </w:r>
      <w:r w:rsidRPr="007E3FE8">
        <w:rPr>
          <w:rFonts w:eastAsia="Calibri"/>
          <w:lang w:val="es-AR" w:eastAsia="en-US"/>
        </w:rPr>
        <w:t xml:space="preserve">= P (z | </w:t>
      </w:r>
      <w:proofErr w:type="spellStart"/>
      <w:r w:rsidRPr="007E3FE8">
        <w:rPr>
          <w:rFonts w:eastAsia="Calibri"/>
          <w:lang w:val="es-AR" w:eastAsia="en-US"/>
        </w:rPr>
        <w:t>μ</w:t>
      </w:r>
      <w:r w:rsidRPr="007E3FE8">
        <w:rPr>
          <w:rFonts w:eastAsia="Calibri"/>
          <w:vertAlign w:val="subscript"/>
          <w:lang w:val="es-AR" w:eastAsia="en-US"/>
        </w:rPr>
        <w:t>r</w:t>
      </w:r>
      <w:proofErr w:type="spellEnd"/>
      <w:r w:rsidRPr="007E3FE8">
        <w:rPr>
          <w:rFonts w:eastAsia="Calibri"/>
          <w:lang w:val="es-AR" w:eastAsia="en-US"/>
        </w:rPr>
        <w:t>, L</w:t>
      </w:r>
      <w:r w:rsidRPr="007E3FE8">
        <w:rPr>
          <w:rFonts w:eastAsia="Calibri"/>
          <w:vertAlign w:val="subscript"/>
          <w:lang w:val="es-AR" w:eastAsia="en-US"/>
        </w:rPr>
        <w:t>2</w:t>
      </w:r>
      <w:r w:rsidRPr="007E3FE8">
        <w:rPr>
          <w:rFonts w:eastAsia="Calibri"/>
          <w:lang w:val="es-AR" w:eastAsia="en-US"/>
        </w:rPr>
        <w:t xml:space="preserve">)  - P (z | </w:t>
      </w:r>
      <w:proofErr w:type="spellStart"/>
      <w:r w:rsidRPr="007E3FE8">
        <w:rPr>
          <w:rFonts w:eastAsia="Calibri"/>
          <w:lang w:val="es-AR" w:eastAsia="en-US"/>
        </w:rPr>
        <w:t>μ</w:t>
      </w:r>
      <w:r w:rsidRPr="007E3FE8">
        <w:rPr>
          <w:rFonts w:eastAsia="Calibri"/>
          <w:vertAlign w:val="subscript"/>
          <w:lang w:val="es-AR" w:eastAsia="en-US"/>
        </w:rPr>
        <w:t>r</w:t>
      </w:r>
      <w:proofErr w:type="spellEnd"/>
      <w:r w:rsidRPr="007E3FE8">
        <w:rPr>
          <w:rFonts w:eastAsia="Calibri"/>
          <w:lang w:val="es-AR" w:eastAsia="en-US"/>
        </w:rPr>
        <w:t>, L</w:t>
      </w:r>
      <w:r w:rsidRPr="007E3FE8">
        <w:rPr>
          <w:rFonts w:eastAsia="Calibri"/>
          <w:vertAlign w:val="subscript"/>
          <w:lang w:val="es-AR" w:eastAsia="en-US"/>
        </w:rPr>
        <w:t>1</w:t>
      </w:r>
      <w:r w:rsidRPr="007E3FE8">
        <w:rPr>
          <w:rFonts w:eastAsia="Calibri"/>
          <w:lang w:val="es-AR" w:eastAsia="en-US"/>
        </w:rPr>
        <w:t xml:space="preserve">)  </w:t>
      </w:r>
    </w:p>
    <w:p w:rsidR="00923AD2" w:rsidRPr="007E3FE8" w:rsidRDefault="00923AD2" w:rsidP="007E3FE8">
      <w:pPr>
        <w:spacing w:after="120"/>
        <w:jc w:val="both"/>
        <w:rPr>
          <w:rFonts w:eastAsia="Calibri"/>
          <w:lang w:val="es-AR" w:eastAsia="en-US"/>
        </w:rPr>
      </w:pPr>
      <w:r w:rsidRPr="007E3FE8">
        <w:rPr>
          <w:rFonts w:eastAsia="Calibri"/>
          <w:lang w:val="es-AR" w:eastAsia="en-US"/>
        </w:rPr>
        <w:t xml:space="preserve">Este efecto es definido como un cambio en la curva de Lorenz, manteniendo la media del ingreso constante en un período de referencia </w:t>
      </w:r>
      <w:proofErr w:type="spellStart"/>
      <w:r w:rsidRPr="007E3FE8">
        <w:rPr>
          <w:rFonts w:eastAsia="Calibri"/>
          <w:lang w:val="es-AR" w:eastAsia="en-US"/>
        </w:rPr>
        <w:t>μ</w:t>
      </w:r>
      <w:r w:rsidRPr="007E3FE8">
        <w:rPr>
          <w:rFonts w:eastAsia="Calibri"/>
          <w:vertAlign w:val="subscript"/>
          <w:lang w:val="es-AR" w:eastAsia="en-US"/>
        </w:rPr>
        <w:t>r</w:t>
      </w:r>
      <w:proofErr w:type="spellEnd"/>
      <w:r w:rsidRPr="007E3FE8">
        <w:rPr>
          <w:rFonts w:eastAsia="Calibri"/>
          <w:vertAlign w:val="subscript"/>
          <w:lang w:val="es-AR" w:eastAsia="en-US"/>
        </w:rPr>
        <w:t xml:space="preserve">. </w:t>
      </w:r>
    </w:p>
    <w:p w:rsidR="00923AD2" w:rsidRPr="007E3FE8" w:rsidRDefault="00923AD2" w:rsidP="007E3FE8">
      <w:pPr>
        <w:numPr>
          <w:ilvl w:val="0"/>
          <w:numId w:val="23"/>
        </w:numPr>
        <w:tabs>
          <w:tab w:val="num" w:pos="360"/>
        </w:tabs>
        <w:spacing w:after="120"/>
        <w:ind w:left="360"/>
        <w:jc w:val="both"/>
        <w:rPr>
          <w:rFonts w:eastAsia="Calibri"/>
          <w:lang w:val="es-AR" w:eastAsia="en-US"/>
        </w:rPr>
      </w:pPr>
      <w:r w:rsidRPr="007E3FE8">
        <w:rPr>
          <w:rFonts w:eastAsia="Calibri"/>
          <w:i/>
          <w:lang w:val="es-AR" w:eastAsia="en-US"/>
        </w:rPr>
        <w:t>Efecto de los ingresos por programas sociales (EP)</w:t>
      </w:r>
    </w:p>
    <w:p w:rsidR="00923AD2" w:rsidRPr="007E3FE8" w:rsidRDefault="00923AD2" w:rsidP="007E3FE8">
      <w:pPr>
        <w:autoSpaceDE w:val="0"/>
        <w:autoSpaceDN w:val="0"/>
        <w:adjustRightInd w:val="0"/>
        <w:spacing w:after="120"/>
        <w:jc w:val="both"/>
      </w:pPr>
      <w:r w:rsidRPr="007E3FE8">
        <w:t xml:space="preserve">Para estimar el componente de transferencias proveniente de los programas sociales sobre el indicador de pobreza se debe considerar las diferencias que surge de estimar la pobreza con y sin esas transferencias para cada año. El efecto EP se calcula como una diferencia entre dichas diferencias. </w:t>
      </w:r>
      <w:r w:rsidRPr="007E3FE8">
        <w:rPr>
          <w:rFonts w:eastAsia="Calibri"/>
          <w:lang w:eastAsia="en-US"/>
        </w:rPr>
        <w:t>De este modo,</w:t>
      </w:r>
      <w:r w:rsidRPr="007E3FE8">
        <w:rPr>
          <w:rFonts w:eastAsia="Calibri"/>
          <w:i/>
          <w:lang w:eastAsia="en-US"/>
        </w:rPr>
        <w:t xml:space="preserve"> </w:t>
      </w:r>
      <w:r w:rsidRPr="007E3FE8">
        <w:t xml:space="preserve">el efecto de los programas sociales puede entenderse como: </w:t>
      </w:r>
    </w:p>
    <w:p w:rsidR="00923AD2" w:rsidRPr="007E3FE8" w:rsidRDefault="00923AD2" w:rsidP="007E3FE8">
      <w:pPr>
        <w:spacing w:after="120"/>
        <w:jc w:val="center"/>
        <w:rPr>
          <w:lang w:val="en-US"/>
        </w:rPr>
      </w:pPr>
      <w:r w:rsidRPr="007E3FE8">
        <w:rPr>
          <w:lang w:val="en-US"/>
        </w:rPr>
        <w:t>EP = (P</w:t>
      </w:r>
      <w:r w:rsidRPr="007E3FE8">
        <w:rPr>
          <w:vertAlign w:val="subscript"/>
          <w:lang w:val="en-US"/>
        </w:rPr>
        <w:t>t2</w:t>
      </w:r>
      <w:r w:rsidRPr="007E3FE8">
        <w:rPr>
          <w:lang w:val="en-US"/>
        </w:rPr>
        <w:t>-P’</w:t>
      </w:r>
      <w:r w:rsidRPr="007E3FE8">
        <w:rPr>
          <w:vertAlign w:val="subscript"/>
          <w:lang w:val="en-US"/>
        </w:rPr>
        <w:t>t2</w:t>
      </w:r>
      <w:r w:rsidRPr="007E3FE8">
        <w:rPr>
          <w:lang w:val="en-US"/>
        </w:rPr>
        <w:t>) – (P</w:t>
      </w:r>
      <w:r w:rsidRPr="007E3FE8">
        <w:rPr>
          <w:vertAlign w:val="subscript"/>
          <w:lang w:val="en-US"/>
        </w:rPr>
        <w:t>t1</w:t>
      </w:r>
      <w:r w:rsidRPr="007E3FE8">
        <w:rPr>
          <w:lang w:val="en-US"/>
        </w:rPr>
        <w:t>-P’</w:t>
      </w:r>
      <w:r w:rsidRPr="007E3FE8">
        <w:rPr>
          <w:vertAlign w:val="subscript"/>
          <w:lang w:val="en-US"/>
        </w:rPr>
        <w:t>t1</w:t>
      </w:r>
      <w:r w:rsidRPr="007E3FE8">
        <w:rPr>
          <w:lang w:val="en-US"/>
        </w:rPr>
        <w:t xml:space="preserve">) </w:t>
      </w:r>
    </w:p>
    <w:p w:rsidR="00923AD2" w:rsidRPr="007E3FE8" w:rsidRDefault="00923AD2" w:rsidP="007E3FE8">
      <w:pPr>
        <w:pStyle w:val="Textonotapie"/>
        <w:rPr>
          <w:color w:val="auto"/>
          <w:position w:val="0"/>
          <w:sz w:val="24"/>
          <w:szCs w:val="24"/>
        </w:rPr>
      </w:pPr>
      <w:r w:rsidRPr="007E3FE8">
        <w:rPr>
          <w:color w:val="auto"/>
          <w:position w:val="0"/>
          <w:sz w:val="24"/>
          <w:szCs w:val="24"/>
        </w:rPr>
        <w:t xml:space="preserve">Donde P remite a la pobreza tomando como base de cálculo los ingresos totales y P’ corresponde a los ingresos netos de transferencias por programas sociales. </w:t>
      </w:r>
    </w:p>
    <w:p w:rsidR="00923AD2" w:rsidRPr="007E3FE8" w:rsidRDefault="00923AD2" w:rsidP="007E3FE8">
      <w:pPr>
        <w:numPr>
          <w:ilvl w:val="0"/>
          <w:numId w:val="23"/>
        </w:numPr>
        <w:tabs>
          <w:tab w:val="num" w:pos="360"/>
        </w:tabs>
        <w:spacing w:after="120"/>
        <w:ind w:left="360"/>
        <w:jc w:val="both"/>
        <w:rPr>
          <w:rFonts w:eastAsia="Calibri"/>
          <w:lang w:val="es-AR" w:eastAsia="en-US"/>
        </w:rPr>
      </w:pPr>
      <w:r w:rsidRPr="007E3FE8">
        <w:rPr>
          <w:rFonts w:eastAsia="Calibri"/>
          <w:i/>
          <w:lang w:val="es-AR" w:eastAsia="en-US"/>
        </w:rPr>
        <w:t>Efecto de los ingresos por seguridad social (ES)</w:t>
      </w:r>
    </w:p>
    <w:p w:rsidR="00923AD2" w:rsidRPr="007E3FE8" w:rsidRDefault="00923AD2" w:rsidP="007E3FE8">
      <w:pPr>
        <w:autoSpaceDE w:val="0"/>
        <w:autoSpaceDN w:val="0"/>
        <w:adjustRightInd w:val="0"/>
        <w:spacing w:after="120"/>
        <w:jc w:val="both"/>
        <w:rPr>
          <w:rFonts w:eastAsia="Calibri"/>
          <w:lang w:val="es-AR" w:eastAsia="en-US"/>
        </w:rPr>
      </w:pPr>
      <w:r w:rsidRPr="007E3FE8">
        <w:t xml:space="preserve">Para estimar el componente de transferencias proveniente de las prestaciones de la seguridad social sobre el indicador de pobreza se debe considerar las diferencias que surge de estimar la pobreza con y sin esas transferencias para cada año. </w:t>
      </w:r>
      <w:r w:rsidRPr="007E3FE8">
        <w:rPr>
          <w:rFonts w:eastAsia="Calibri"/>
          <w:lang w:val="es-AR" w:eastAsia="en-US"/>
        </w:rPr>
        <w:t xml:space="preserve">Este componente se calcula de forma aditiva con el anterior, considerando la estimación del </w:t>
      </w:r>
      <w:r w:rsidRPr="007E3FE8">
        <w:rPr>
          <w:rFonts w:eastAsia="Calibri"/>
          <w:lang w:val="es-AR" w:eastAsia="en-US"/>
        </w:rPr>
        <w:lastRenderedPageBreak/>
        <w:t xml:space="preserve">efecto de los programas sociales. El efecto de las transferencias de la seguridad social será: </w:t>
      </w:r>
    </w:p>
    <w:p w:rsidR="00923AD2" w:rsidRPr="007E3FE8" w:rsidRDefault="00923AD2" w:rsidP="007E3FE8">
      <w:pPr>
        <w:autoSpaceDE w:val="0"/>
        <w:autoSpaceDN w:val="0"/>
        <w:adjustRightInd w:val="0"/>
        <w:spacing w:after="120"/>
        <w:jc w:val="center"/>
      </w:pPr>
      <w:r w:rsidRPr="007E3FE8">
        <w:t>ES= (P’’</w:t>
      </w:r>
      <w:r w:rsidRPr="007E3FE8">
        <w:rPr>
          <w:vertAlign w:val="subscript"/>
        </w:rPr>
        <w:t xml:space="preserve">t2 </w:t>
      </w:r>
      <w:r w:rsidRPr="007E3FE8">
        <w:t>- P’</w:t>
      </w:r>
      <w:r w:rsidRPr="007E3FE8">
        <w:rPr>
          <w:vertAlign w:val="subscript"/>
        </w:rPr>
        <w:t>t2</w:t>
      </w:r>
      <w:r w:rsidRPr="007E3FE8">
        <w:t>) - (P’’</w:t>
      </w:r>
      <w:r w:rsidRPr="007E3FE8">
        <w:rPr>
          <w:vertAlign w:val="subscript"/>
        </w:rPr>
        <w:t xml:space="preserve">t1 </w:t>
      </w:r>
      <w:r w:rsidRPr="007E3FE8">
        <w:t>- P’</w:t>
      </w:r>
      <w:r w:rsidRPr="007E3FE8">
        <w:rPr>
          <w:vertAlign w:val="subscript"/>
        </w:rPr>
        <w:t>t1</w:t>
      </w:r>
      <w:r w:rsidRPr="007E3FE8">
        <w:t xml:space="preserve">) </w:t>
      </w:r>
    </w:p>
    <w:p w:rsidR="00923AD2" w:rsidRPr="007E3FE8" w:rsidRDefault="00923AD2" w:rsidP="007E3FE8">
      <w:pPr>
        <w:autoSpaceDE w:val="0"/>
        <w:autoSpaceDN w:val="0"/>
        <w:adjustRightInd w:val="0"/>
        <w:spacing w:after="120"/>
        <w:jc w:val="both"/>
      </w:pPr>
      <w:r w:rsidRPr="007E3FE8">
        <w:t>Donde P’’ remite a la pobreza tomando como base de cálculo los ingresos totales netos de transferencias por programas sociales y de la seguridad social, y P’ corresponde a los ingresos netos de transferencias por programas sociales.</w:t>
      </w:r>
    </w:p>
    <w:p w:rsidR="00923AD2" w:rsidRPr="007E3FE8" w:rsidRDefault="00923AD2" w:rsidP="007E3FE8">
      <w:pPr>
        <w:numPr>
          <w:ilvl w:val="0"/>
          <w:numId w:val="23"/>
        </w:numPr>
        <w:tabs>
          <w:tab w:val="num" w:pos="360"/>
        </w:tabs>
        <w:spacing w:after="120"/>
        <w:ind w:left="360"/>
        <w:jc w:val="both"/>
        <w:rPr>
          <w:rFonts w:eastAsia="Calibri"/>
          <w:lang w:val="es-AR" w:eastAsia="en-US"/>
        </w:rPr>
      </w:pPr>
      <w:r w:rsidRPr="007E3FE8">
        <w:rPr>
          <w:rFonts w:eastAsia="Calibri"/>
          <w:i/>
          <w:lang w:val="es-AR" w:eastAsia="en-US"/>
        </w:rPr>
        <w:t>Componente residual (R)</w:t>
      </w:r>
    </w:p>
    <w:p w:rsidR="00923AD2" w:rsidRPr="007E3FE8" w:rsidRDefault="00923AD2" w:rsidP="007E3FE8">
      <w:pPr>
        <w:autoSpaceDE w:val="0"/>
        <w:autoSpaceDN w:val="0"/>
        <w:adjustRightInd w:val="0"/>
        <w:spacing w:after="120"/>
        <w:jc w:val="both"/>
        <w:rPr>
          <w:rFonts w:eastAsia="Calibri"/>
          <w:lang w:val="es-AR" w:eastAsia="en-US"/>
        </w:rPr>
      </w:pPr>
      <w:r w:rsidRPr="007E3FE8">
        <w:t xml:space="preserve">El término residual R de la descomposición incluye el efecto de interacción entre los componentes que explican los cambios en el indicador de pobreza. Tal como se señaló anteriormente, </w:t>
      </w:r>
      <w:proofErr w:type="spellStart"/>
      <w:r w:rsidRPr="007E3FE8">
        <w:t>Datt-Ravallion</w:t>
      </w:r>
      <w:proofErr w:type="spellEnd"/>
      <w:r w:rsidRPr="007E3FE8">
        <w:t xml:space="preserve"> (1992) reconocen que este valor puede ser importante -incluso mayor que el efecto distribución- por lo que en ocasiones adquiere un valor significativo que resulta difícil de explicar (Medina y Galván, 2014). La ampliación del modelo de </w:t>
      </w:r>
      <w:proofErr w:type="spellStart"/>
      <w:r w:rsidRPr="007E3FE8">
        <w:t>Datt-Ravallion</w:t>
      </w:r>
      <w:proofErr w:type="spellEnd"/>
      <w:r w:rsidRPr="007E3FE8">
        <w:t xml:space="preserve"> incorporando componentes específicos como las transferencias por programas sociales y de la seguridad social puede intensificar esta dificultad. Sin embargo, se considera que tanto el modelo original de </w:t>
      </w:r>
      <w:proofErr w:type="spellStart"/>
      <w:r w:rsidRPr="007E3FE8">
        <w:t>Datt-Ravallion</w:t>
      </w:r>
      <w:proofErr w:type="spellEnd"/>
      <w:r w:rsidRPr="007E3FE8">
        <w:t xml:space="preserve"> como su ampliación para el análisis de fuentes específicas de ingresos constituyen una herramienta útil y adecuada para el análisis aquí propuesto.</w:t>
      </w:r>
    </w:p>
    <w:p w:rsidR="00923AD2" w:rsidRPr="007E3FE8" w:rsidRDefault="00923AD2" w:rsidP="00923AD2">
      <w:pPr>
        <w:autoSpaceDE w:val="0"/>
        <w:autoSpaceDN w:val="0"/>
        <w:adjustRightInd w:val="0"/>
        <w:spacing w:after="120"/>
        <w:jc w:val="both"/>
        <w:rPr>
          <w:i/>
          <w:sz w:val="22"/>
          <w:szCs w:val="22"/>
          <w:lang w:val="es-AR"/>
        </w:rPr>
      </w:pPr>
    </w:p>
    <w:sectPr w:rsidR="00923AD2" w:rsidRPr="007E3FE8" w:rsidSect="004F6287">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10" w:rsidRDefault="00CD6210">
      <w:r>
        <w:separator/>
      </w:r>
    </w:p>
  </w:endnote>
  <w:endnote w:type="continuationSeparator" w:id="0">
    <w:p w:rsidR="00CD6210" w:rsidRDefault="00CD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9D" w:rsidRPr="001014D4" w:rsidRDefault="005A0F9D">
    <w:pPr>
      <w:pStyle w:val="Piedepgina"/>
      <w:jc w:val="center"/>
      <w:rPr>
        <w:sz w:val="20"/>
        <w:szCs w:val="20"/>
      </w:rPr>
    </w:pPr>
    <w:r w:rsidRPr="001014D4">
      <w:rPr>
        <w:sz w:val="20"/>
        <w:szCs w:val="20"/>
      </w:rPr>
      <w:fldChar w:fldCharType="begin"/>
    </w:r>
    <w:r w:rsidRPr="001014D4">
      <w:rPr>
        <w:sz w:val="20"/>
        <w:szCs w:val="20"/>
      </w:rPr>
      <w:instrText>PAGE   \* MERGEFORMAT</w:instrText>
    </w:r>
    <w:r w:rsidRPr="001014D4">
      <w:rPr>
        <w:sz w:val="20"/>
        <w:szCs w:val="20"/>
      </w:rPr>
      <w:fldChar w:fldCharType="separate"/>
    </w:r>
    <w:r w:rsidR="00B46241" w:rsidRPr="00B46241">
      <w:rPr>
        <w:noProof/>
        <w:sz w:val="20"/>
        <w:szCs w:val="20"/>
        <w:lang w:val="es-ES"/>
      </w:rPr>
      <w:t>33</w:t>
    </w:r>
    <w:r w:rsidRPr="001014D4">
      <w:rPr>
        <w:sz w:val="20"/>
        <w:szCs w:val="20"/>
      </w:rPr>
      <w:fldChar w:fldCharType="end"/>
    </w:r>
  </w:p>
  <w:p w:rsidR="005A0F9D" w:rsidRDefault="005A0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10" w:rsidRDefault="00CD6210">
      <w:r>
        <w:separator/>
      </w:r>
    </w:p>
  </w:footnote>
  <w:footnote w:type="continuationSeparator" w:id="0">
    <w:p w:rsidR="00CD6210" w:rsidRDefault="00CD6210">
      <w:r>
        <w:continuationSeparator/>
      </w:r>
    </w:p>
  </w:footnote>
  <w:footnote w:id="1">
    <w:p w:rsidR="005A0F9D" w:rsidRPr="00CD225D" w:rsidRDefault="005A0F9D" w:rsidP="007A6DE6">
      <w:pPr>
        <w:pStyle w:val="Textonotapie"/>
        <w:rPr>
          <w:color w:val="auto"/>
        </w:rPr>
      </w:pPr>
      <w:r w:rsidRPr="00CD225D">
        <w:rPr>
          <w:rStyle w:val="Refdenotaalpie"/>
          <w:color w:val="auto"/>
        </w:rPr>
        <w:sym w:font="Symbol" w:char="F02A"/>
      </w:r>
      <w:r w:rsidRPr="00CD225D">
        <w:rPr>
          <w:color w:val="auto"/>
        </w:rPr>
        <w:t xml:space="preserve"> Director del programa Cambio Estructural y Desigualdad Social en el Instituto Gino Germani (UBA-CONICET) e investigador jefe del programa del Observatorio de la Deuda Social Argentina (UCA). E-mail: agsalvia@retina.ar.</w:t>
      </w:r>
    </w:p>
  </w:footnote>
  <w:footnote w:id="2">
    <w:p w:rsidR="005A0F9D" w:rsidRPr="00CD225D" w:rsidRDefault="005A0F9D" w:rsidP="007A6DE6">
      <w:pPr>
        <w:pStyle w:val="Textonotapie"/>
        <w:rPr>
          <w:color w:val="auto"/>
        </w:rPr>
      </w:pPr>
      <w:r w:rsidRPr="00CD225D">
        <w:rPr>
          <w:rStyle w:val="Refdenotaalpie"/>
          <w:color w:val="auto"/>
        </w:rPr>
        <w:sym w:font="Symbol" w:char="F02A"/>
      </w:r>
      <w:r w:rsidRPr="00CD225D">
        <w:rPr>
          <w:rStyle w:val="Refdenotaalpie"/>
          <w:color w:val="auto"/>
        </w:rPr>
        <w:sym w:font="Symbol" w:char="F02A"/>
      </w:r>
      <w:r w:rsidRPr="00CD225D">
        <w:rPr>
          <w:color w:val="auto"/>
        </w:rPr>
        <w:t xml:space="preserve"> Becario de posgrado del CONICET en el programa del Observatorio de la Deuda Social Argentina (UCA). E-mail: santiago_poy@uca.edu.ar.</w:t>
      </w:r>
    </w:p>
  </w:footnote>
  <w:footnote w:id="3">
    <w:p w:rsidR="005A0F9D" w:rsidRPr="00CD225D" w:rsidRDefault="005A0F9D" w:rsidP="007A6DE6">
      <w:pPr>
        <w:pStyle w:val="Textonotapie"/>
        <w:rPr>
          <w:color w:val="auto"/>
        </w:rPr>
      </w:pPr>
      <w:r w:rsidRPr="00CD225D">
        <w:rPr>
          <w:rStyle w:val="Refdenotaalpie"/>
          <w:color w:val="auto"/>
        </w:rPr>
        <w:sym w:font="Symbol" w:char="F02A"/>
      </w:r>
      <w:r w:rsidRPr="00CD225D">
        <w:rPr>
          <w:rStyle w:val="Refdenotaalpie"/>
          <w:color w:val="auto"/>
        </w:rPr>
        <w:sym w:font="Symbol" w:char="F02A"/>
      </w:r>
      <w:r w:rsidRPr="00CD225D">
        <w:rPr>
          <w:rStyle w:val="Refdenotaalpie"/>
          <w:color w:val="auto"/>
        </w:rPr>
        <w:sym w:font="Symbol" w:char="F02A"/>
      </w:r>
      <w:r w:rsidRPr="00CD225D">
        <w:rPr>
          <w:color w:val="auto"/>
        </w:rPr>
        <w:t xml:space="preserve"> Investigadora del programa del Observatorio de la Deuda Social Argentina (UCA) y del programa Cambio Estructural y Desigualdad Social (IIGG-UBA). E-mail: julietavera@gmail.com.</w:t>
      </w:r>
    </w:p>
  </w:footnote>
  <w:footnote w:id="4">
    <w:p w:rsidR="004C2426" w:rsidRPr="00CD225D" w:rsidRDefault="004C2426" w:rsidP="004C2426">
      <w:pPr>
        <w:pStyle w:val="Textonotapie"/>
      </w:pPr>
      <w:r w:rsidRPr="00CD225D">
        <w:rPr>
          <w:rStyle w:val="Refdenotaalpie"/>
          <w:color w:val="auto"/>
        </w:rPr>
        <w:footnoteRef/>
      </w:r>
      <w:r w:rsidRPr="00CD225D">
        <w:rPr>
          <w:color w:val="auto"/>
        </w:rPr>
        <w:t xml:space="preserve"> Ambos enfoques parecen también acordar en las estrategia que deben adoptar las economías de la región en el actual contexto mundial: </w:t>
      </w:r>
      <w:r w:rsidRPr="00CD225D">
        <w:rPr>
          <w:i/>
          <w:color w:val="auto"/>
        </w:rPr>
        <w:t>la reducción de la pobreza y la desigualdad constituye una condición necesaria de un modelo de crecimiento que debe apoyarse en las ventajas que ofrece el mercado mundial</w:t>
      </w:r>
      <w:r w:rsidRPr="00CD225D">
        <w:rPr>
          <w:color w:val="auto"/>
        </w:rPr>
        <w:t xml:space="preserve"> (</w:t>
      </w:r>
      <w:proofErr w:type="spellStart"/>
      <w:r w:rsidRPr="00CD225D">
        <w:rPr>
          <w:color w:val="auto"/>
        </w:rPr>
        <w:t>Birdsall</w:t>
      </w:r>
      <w:proofErr w:type="spellEnd"/>
      <w:r w:rsidRPr="00CD225D">
        <w:rPr>
          <w:color w:val="auto"/>
        </w:rPr>
        <w:t xml:space="preserve"> y de </w:t>
      </w:r>
      <w:smartTag w:uri="urn:schemas-microsoft-com:office:smarttags" w:element="PersonName">
        <w:smartTagPr>
          <w:attr w:name="ProductID" w:val="la Torre"/>
        </w:smartTagPr>
        <w:r w:rsidRPr="00CD225D">
          <w:rPr>
            <w:color w:val="auto"/>
          </w:rPr>
          <w:t>la Torre</w:t>
        </w:r>
      </w:smartTag>
      <w:r w:rsidRPr="00CD225D">
        <w:rPr>
          <w:color w:val="auto"/>
        </w:rPr>
        <w:t xml:space="preserve">, 2001; De </w:t>
      </w:r>
      <w:proofErr w:type="spellStart"/>
      <w:r w:rsidRPr="00CD225D">
        <w:rPr>
          <w:color w:val="auto"/>
        </w:rPr>
        <w:t>Ferranti</w:t>
      </w:r>
      <w:proofErr w:type="spellEnd"/>
      <w:r w:rsidRPr="00CD225D">
        <w:rPr>
          <w:color w:val="auto"/>
        </w:rPr>
        <w:t xml:space="preserve"> et al, 2003; Perry et al, 2006; CEPAL, 2010, 2014b). Para una revisión tanto de los acuerdos como de las diferencias teóricas que subyacen a estas consideraciones y propuestas en materia de política económica y social, ver Cortés (2013, 2014).</w:t>
      </w:r>
      <w:r w:rsidRPr="00CD225D">
        <w:t xml:space="preserve">  </w:t>
      </w:r>
      <w:r w:rsidRPr="00CD225D">
        <w:rPr>
          <w:color w:val="auto"/>
        </w:rPr>
        <w:t xml:space="preserve">. </w:t>
      </w:r>
    </w:p>
  </w:footnote>
  <w:footnote w:id="5">
    <w:p w:rsidR="004C2426" w:rsidRPr="00CD225D" w:rsidRDefault="004C2426" w:rsidP="004C2426">
      <w:pPr>
        <w:pStyle w:val="Textonotapie"/>
        <w:rPr>
          <w:color w:val="auto"/>
        </w:rPr>
      </w:pPr>
      <w:r w:rsidRPr="00CD225D">
        <w:rPr>
          <w:rStyle w:val="Refdenotaalpie"/>
          <w:color w:val="auto"/>
        </w:rPr>
        <w:footnoteRef/>
      </w:r>
      <w:r w:rsidRPr="00CD225D">
        <w:rPr>
          <w:color w:val="auto"/>
        </w:rPr>
        <w:t xml:space="preserve"> Este argumento se apoya en la tesis estructuralista que sostiene que un factor clave que explica la imposibilidad de nuestras sociedades de acceder a un sendero convergente con el desarrollo es la vigencia de un patrón de acumulación fundado en la heterogeneidad estructural, el cual afecta particularmente a aquellas economías capitalistas subordinadas que se abren a los mercados mundiales a través de enclaves productivos especializados (</w:t>
      </w:r>
      <w:proofErr w:type="spellStart"/>
      <w:r w:rsidRPr="00CD225D">
        <w:rPr>
          <w:color w:val="auto"/>
        </w:rPr>
        <w:t>Prebisch</w:t>
      </w:r>
      <w:proofErr w:type="spellEnd"/>
      <w:r w:rsidRPr="00CD225D">
        <w:rPr>
          <w:color w:val="auto"/>
        </w:rPr>
        <w:t>, 1949, 1976; Pinto, 1973; Rodríguez, 2006; CEPAL, 2010, 2011, 2014; Salvia, 2012).</w:t>
      </w:r>
    </w:p>
  </w:footnote>
  <w:footnote w:id="6">
    <w:p w:rsidR="00B1472A" w:rsidRPr="00CD225D" w:rsidRDefault="00B1472A" w:rsidP="00B1472A">
      <w:pPr>
        <w:pStyle w:val="Textonotapie"/>
        <w:rPr>
          <w:color w:val="auto"/>
        </w:rPr>
      </w:pPr>
      <w:r w:rsidRPr="00CD225D">
        <w:rPr>
          <w:rStyle w:val="Refdenotaalpie"/>
          <w:color w:val="auto"/>
        </w:rPr>
        <w:footnoteRef/>
      </w:r>
      <w:r w:rsidRPr="00CD225D">
        <w:rPr>
          <w:color w:val="auto"/>
        </w:rPr>
        <w:t xml:space="preserve"> Se adopta aquí una forma ampliamente difundida de concebir a las “políticas sociales” como el conjunto de dispositivos a partir de los cuales el Estado interviene de manera directa en la redistribución secundaria del ingreso, en oposición a la distribución primaria que estaría dominada por el funcionamiento de los mercados (</w:t>
      </w:r>
      <w:proofErr w:type="spellStart"/>
      <w:r w:rsidRPr="00CD225D">
        <w:rPr>
          <w:color w:val="auto"/>
        </w:rPr>
        <w:t>Isuani</w:t>
      </w:r>
      <w:proofErr w:type="spellEnd"/>
      <w:r w:rsidRPr="00CD225D">
        <w:rPr>
          <w:color w:val="auto"/>
        </w:rPr>
        <w:t xml:space="preserve">, Lo </w:t>
      </w:r>
      <w:proofErr w:type="spellStart"/>
      <w:r w:rsidRPr="00CD225D">
        <w:rPr>
          <w:color w:val="auto"/>
        </w:rPr>
        <w:t>Vuolo</w:t>
      </w:r>
      <w:proofErr w:type="spellEnd"/>
      <w:r w:rsidRPr="00CD225D">
        <w:rPr>
          <w:color w:val="auto"/>
        </w:rPr>
        <w:t xml:space="preserve">, </w:t>
      </w:r>
      <w:proofErr w:type="spellStart"/>
      <w:r w:rsidRPr="00CD225D">
        <w:rPr>
          <w:color w:val="auto"/>
        </w:rPr>
        <w:t>Tenti</w:t>
      </w:r>
      <w:proofErr w:type="spellEnd"/>
      <w:r w:rsidRPr="00CD225D">
        <w:rPr>
          <w:color w:val="auto"/>
        </w:rPr>
        <w:t xml:space="preserve"> </w:t>
      </w:r>
      <w:proofErr w:type="spellStart"/>
      <w:r w:rsidRPr="00CD225D">
        <w:rPr>
          <w:color w:val="auto"/>
        </w:rPr>
        <w:t>Fanfani</w:t>
      </w:r>
      <w:proofErr w:type="spellEnd"/>
      <w:r w:rsidRPr="00CD225D">
        <w:rPr>
          <w:color w:val="auto"/>
        </w:rPr>
        <w:t xml:space="preserve">, 1991; </w:t>
      </w:r>
      <w:proofErr w:type="spellStart"/>
      <w:r w:rsidRPr="00CD225D">
        <w:rPr>
          <w:color w:val="auto"/>
        </w:rPr>
        <w:t>Isuani</w:t>
      </w:r>
      <w:proofErr w:type="spellEnd"/>
      <w:r w:rsidRPr="00CD225D">
        <w:rPr>
          <w:color w:val="auto"/>
        </w:rPr>
        <w:t>, 2008).</w:t>
      </w:r>
    </w:p>
  </w:footnote>
  <w:footnote w:id="7">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Ver en el Anexo metodológico el tratamiento metodológico aplicado sobre </w:t>
      </w:r>
      <w:proofErr w:type="gramStart"/>
      <w:r w:rsidRPr="00CD225D">
        <w:rPr>
          <w:color w:val="auto"/>
        </w:rPr>
        <w:t>los micro</w:t>
      </w:r>
      <w:proofErr w:type="gramEnd"/>
      <w:r w:rsidRPr="00CD225D">
        <w:rPr>
          <w:color w:val="auto"/>
        </w:rPr>
        <w:t xml:space="preserve"> datos de las bases de la EPH “puntual” y “continua” para completar información faltante de ingresos y permitir su comparabilidad histórica; así como los criterios aplicados para la transformación a precios constantes de los ingresos corrientes utilizados en estos análisis.</w:t>
      </w:r>
    </w:p>
  </w:footnote>
  <w:footnote w:id="8">
    <w:p w:rsidR="005A0F9D" w:rsidRPr="00CD225D" w:rsidRDefault="005A0F9D" w:rsidP="007A6DE6">
      <w:pPr>
        <w:autoSpaceDE w:val="0"/>
        <w:autoSpaceDN w:val="0"/>
        <w:adjustRightInd w:val="0"/>
        <w:spacing w:after="120"/>
        <w:jc w:val="both"/>
        <w:rPr>
          <w:sz w:val="18"/>
          <w:szCs w:val="18"/>
          <w:lang w:eastAsia="es-AR"/>
        </w:rPr>
      </w:pPr>
      <w:r w:rsidRPr="00CD225D">
        <w:rPr>
          <w:rStyle w:val="Refdenotaalpie"/>
          <w:sz w:val="18"/>
          <w:szCs w:val="18"/>
        </w:rPr>
        <w:footnoteRef/>
      </w:r>
      <w:r w:rsidRPr="00CD225D">
        <w:rPr>
          <w:sz w:val="18"/>
          <w:szCs w:val="18"/>
        </w:rPr>
        <w:t xml:space="preserve"> </w:t>
      </w:r>
      <w:r w:rsidRPr="00CD225D">
        <w:rPr>
          <w:sz w:val="18"/>
          <w:szCs w:val="18"/>
          <w:lang w:eastAsia="es-AR"/>
        </w:rPr>
        <w:t xml:space="preserve">El área metropolitana del Gran Buenos Aires concentra casi el 30% de la población urbana del país y produce más 45% del PBG nacional. De tal manera que los eventos ocurridos en esta jurisdicción impactan considerablemente en cualquier análisis del país en su conjunto. </w:t>
      </w:r>
    </w:p>
  </w:footnote>
  <w:footnote w:id="9">
    <w:p w:rsidR="0016525E" w:rsidRPr="0016525E" w:rsidRDefault="0016525E">
      <w:pPr>
        <w:pStyle w:val="Textonotapie"/>
        <w:rPr>
          <w:color w:val="auto"/>
        </w:rPr>
      </w:pPr>
      <w:r w:rsidRPr="0016525E">
        <w:rPr>
          <w:rStyle w:val="Refdenotaalpie"/>
          <w:color w:val="auto"/>
        </w:rPr>
        <w:footnoteRef/>
      </w:r>
      <w:r w:rsidRPr="0016525E">
        <w:rPr>
          <w:color w:val="auto"/>
        </w:rPr>
        <w:t xml:space="preserve"> El Consenso de Washington propuso un conjunto integrado de medidas de estabilización monetaria, equilibrio fiscal, apertura comercial, privatización de empresas públicas, liberalización financiera, desregulación de los mercados y flexibilización laboral, las cuales tenían como cometido generar un crecimiento sostenido capaz de fomentar la convergencia de las economías atrasadas con las economías más desarrolladas. Tales lineamientos eran en realidad una serie de “recomendaciones” de peso dirigidas a los países en desarrollo -según la perspectiva dominante en ese momento en los organismos internacionales de crédito, funcionarios del gobierno de EEUU y expertos- con el objetivo explícito de pone</w:t>
      </w:r>
      <w:r w:rsidR="00717849">
        <w:rPr>
          <w:color w:val="auto"/>
        </w:rPr>
        <w:t>r</w:t>
      </w:r>
      <w:r w:rsidRPr="0016525E">
        <w:rPr>
          <w:color w:val="auto"/>
        </w:rPr>
        <w:t xml:space="preserve"> fin a las trabas impuestas al crecimiento, las crisis fiscales y los problemas en el sector externo. Para un más detallado análisis de las propuestas explicitadas por en el Consenso de Washington, así como de los alcances y contenidos de las mismas, véase </w:t>
      </w:r>
      <w:proofErr w:type="spellStart"/>
      <w:r w:rsidRPr="0016525E">
        <w:rPr>
          <w:color w:val="auto"/>
        </w:rPr>
        <w:t>Williamson</w:t>
      </w:r>
      <w:proofErr w:type="spellEnd"/>
      <w:r w:rsidRPr="0016525E">
        <w:rPr>
          <w:color w:val="auto"/>
        </w:rPr>
        <w:t xml:space="preserve"> (1989, 1993, 2000).</w:t>
      </w:r>
    </w:p>
  </w:footnote>
  <w:footnote w:id="10">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La tesis de la heterogeneidad estructural fue profundizada por Aníbal Pinto con el fin de destacar los efectos regresivos de la concentración del progreso técnico sobre la integración productiva, los mercados de trabajo y, por ende, sobre la capacidad de integrar al desarrollo a los excedentes de población (Pinto, 1973: 33). Este enfoque reconoce la existencia de tres sectores al interior de una economía en proceso de industrialización: uno capitalista formado por un sector de enclave altamente productivo vinculado al mercado mundial, un sector capitalista intermedio orientado al mercado interno y un amplio sector informal de subsistencia de muy baja productividad (</w:t>
      </w:r>
      <w:proofErr w:type="spellStart"/>
      <w:r w:rsidRPr="00CD225D">
        <w:rPr>
          <w:color w:val="auto"/>
        </w:rPr>
        <w:t>Prebisch</w:t>
      </w:r>
      <w:proofErr w:type="spellEnd"/>
      <w:r w:rsidRPr="00CD225D">
        <w:rPr>
          <w:color w:val="auto"/>
        </w:rPr>
        <w:t>, 1949; Pinto, 1973). Actualmente, esta perspectiva ha sido parcialmente recuperada por CEPAL (Rodríguez, 2006; CEPAL, 2010, 2014).</w:t>
      </w:r>
    </w:p>
  </w:footnote>
  <w:footnote w:id="11">
    <w:p w:rsidR="005A0F9D" w:rsidRPr="00CD225D" w:rsidRDefault="005A0F9D" w:rsidP="007A6DE6">
      <w:pPr>
        <w:spacing w:after="120"/>
        <w:jc w:val="both"/>
        <w:rPr>
          <w:sz w:val="18"/>
          <w:szCs w:val="18"/>
          <w:lang w:val="es-MX"/>
        </w:rPr>
      </w:pPr>
      <w:r w:rsidRPr="00CD225D">
        <w:rPr>
          <w:rStyle w:val="Refdenotaalpie"/>
          <w:sz w:val="18"/>
          <w:szCs w:val="18"/>
        </w:rPr>
        <w:footnoteRef/>
      </w:r>
      <w:r w:rsidRPr="00CD225D">
        <w:rPr>
          <w:sz w:val="18"/>
          <w:szCs w:val="18"/>
        </w:rPr>
        <w:t xml:space="preserve"> </w:t>
      </w:r>
      <w:r w:rsidRPr="00CD225D">
        <w:rPr>
          <w:sz w:val="18"/>
          <w:szCs w:val="18"/>
          <w:lang w:val="es-MX"/>
        </w:rPr>
        <w:t xml:space="preserve">Al respecto, </w:t>
      </w:r>
      <w:proofErr w:type="spellStart"/>
      <w:r w:rsidRPr="00CD225D">
        <w:rPr>
          <w:sz w:val="18"/>
          <w:szCs w:val="18"/>
          <w:lang w:val="es-MX"/>
        </w:rPr>
        <w:t>Prebisch</w:t>
      </w:r>
      <w:proofErr w:type="spellEnd"/>
      <w:r w:rsidRPr="00CD225D">
        <w:rPr>
          <w:sz w:val="18"/>
          <w:szCs w:val="18"/>
          <w:lang w:val="es-MX"/>
        </w:rPr>
        <w:t xml:space="preserve"> (1963, 1970, 1981) destaca que la penetración desigual de la tecnología sustrae a una considerable proporción de la población económicamente activa del crecimiento; y que el problema del desarrollo consiste esencialmente en crear las condiciones para mejorar su asimilación a un esquema más productivo más integrado.</w:t>
      </w:r>
    </w:p>
  </w:footnote>
  <w:footnote w:id="12">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Debe remarcarse que las condiciones de posibilidad de este sistema no contributivo se encuentran muy ligadas al ciclo de crecimiento económico atravesado por los países de la región en la última década, lo que en contraste con el ciclo más restrictivo de gasto público vigente en las décadas previas permitió una expansión de éste en la última fase (CEPAL, 2010: 191). Por otra parte, si bien a nivel agregado el peso de estos sistemas en el PBI es bajo, su importancia es relevante para los hogares entre cuyos miembros predominan este tipo de inserciones laborales (CEPAL, 2012).</w:t>
      </w:r>
    </w:p>
  </w:footnote>
  <w:footnote w:id="13">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A diferencia de los términos de marginalidad residencial o cultural, o, incluso de exclusión social la “marginalidad económica” parte de que los excedentes de población que genera el capitalismo periférico son marginales respecto a una matriz socioeconómica que reproduce las relaciones sociales que determinan tales funcionamientos (</w:t>
      </w:r>
      <w:proofErr w:type="spellStart"/>
      <w:r w:rsidRPr="00CD225D">
        <w:rPr>
          <w:color w:val="auto"/>
        </w:rPr>
        <w:t>Nun</w:t>
      </w:r>
      <w:proofErr w:type="spellEnd"/>
      <w:r w:rsidRPr="00CD225D">
        <w:rPr>
          <w:color w:val="auto"/>
        </w:rPr>
        <w:t xml:space="preserve">, 2001: 30). Este tipo de comportamiento sistémico encuentra particular vigencia y alcance en aquellos sistemas estructuralmente heterogéneos, en donde se combinan enclaves de alta productividad u oligopolios, la presencia de una extendida economía informal de subsistencia y una débil intervención del Estado en los procesos de desarrollo e integración social (Salvia, 2007, 2012). </w:t>
      </w:r>
    </w:p>
  </w:footnote>
  <w:footnote w:id="14">
    <w:p w:rsidR="007202BF" w:rsidRPr="00CD225D" w:rsidRDefault="007202BF" w:rsidP="007202BF">
      <w:pPr>
        <w:pStyle w:val="NormalWeb"/>
        <w:spacing w:before="0" w:beforeAutospacing="0" w:after="120" w:afterAutospacing="0"/>
        <w:jc w:val="both"/>
        <w:rPr>
          <w:iCs/>
          <w:sz w:val="18"/>
          <w:szCs w:val="18"/>
        </w:rPr>
      </w:pPr>
      <w:r w:rsidRPr="00CD225D">
        <w:rPr>
          <w:rStyle w:val="Refdenotaalpie"/>
          <w:sz w:val="18"/>
          <w:szCs w:val="18"/>
        </w:rPr>
        <w:footnoteRef/>
      </w:r>
      <w:r w:rsidRPr="00CD225D">
        <w:rPr>
          <w:sz w:val="18"/>
          <w:szCs w:val="18"/>
        </w:rPr>
        <w:t xml:space="preserve"> Se</w:t>
      </w:r>
      <w:r w:rsidRPr="00CD225D">
        <w:rPr>
          <w:iCs/>
          <w:sz w:val="18"/>
          <w:szCs w:val="18"/>
        </w:rPr>
        <w:t xml:space="preserve"> sigue aquí la tradición académica de significar bajo el concepto de estrategias domésticas-familiares el campo de las relaciones y estrategias de tipo económico que tienen como agente al hogar o a algunos de sus miembros en función de proveer recursos para la reproducción del grupo (lo cual incluye actividades realizadas con medios de producción propios, empleos asalariados o autoempleos remunerados e, incluso, las tareas domésticas). Si bien esta tradición tiene amplios antecedentes, cabe al menos mencionar los trabajos inspiradores de</w:t>
      </w:r>
      <w:r w:rsidRPr="00CD225D">
        <w:rPr>
          <w:sz w:val="18"/>
          <w:szCs w:val="18"/>
        </w:rPr>
        <w:t xml:space="preserve"> </w:t>
      </w:r>
      <w:proofErr w:type="spellStart"/>
      <w:r w:rsidRPr="00CD225D">
        <w:rPr>
          <w:sz w:val="18"/>
          <w:szCs w:val="18"/>
        </w:rPr>
        <w:t>Lomnitz</w:t>
      </w:r>
      <w:proofErr w:type="spellEnd"/>
      <w:r w:rsidRPr="00CD225D">
        <w:rPr>
          <w:sz w:val="18"/>
          <w:szCs w:val="18"/>
        </w:rPr>
        <w:t xml:space="preserve">, (1975); Torrado (1978); </w:t>
      </w:r>
      <w:proofErr w:type="spellStart"/>
      <w:r w:rsidRPr="00CD225D">
        <w:rPr>
          <w:sz w:val="18"/>
          <w:szCs w:val="18"/>
        </w:rPr>
        <w:t>Margulis</w:t>
      </w:r>
      <w:proofErr w:type="spellEnd"/>
      <w:r w:rsidRPr="00CD225D">
        <w:rPr>
          <w:sz w:val="18"/>
          <w:szCs w:val="18"/>
        </w:rPr>
        <w:t xml:space="preserve"> (1980); González de la Rocha (1987); y Cortés y Cuéllar (1990); entre otros.</w:t>
      </w:r>
    </w:p>
  </w:footnote>
  <w:footnote w:id="15">
    <w:p w:rsidR="005A0F9D" w:rsidRPr="00CD225D" w:rsidRDefault="005A0F9D" w:rsidP="008536C8">
      <w:pPr>
        <w:pStyle w:val="NormalWeb"/>
        <w:spacing w:before="0" w:beforeAutospacing="0" w:after="120" w:afterAutospacing="0"/>
        <w:jc w:val="both"/>
        <w:rPr>
          <w:sz w:val="18"/>
          <w:szCs w:val="18"/>
        </w:rPr>
      </w:pPr>
      <w:r w:rsidRPr="00CD225D">
        <w:rPr>
          <w:rStyle w:val="Refdenotaalpie"/>
          <w:sz w:val="18"/>
          <w:szCs w:val="18"/>
        </w:rPr>
        <w:footnoteRef/>
      </w:r>
      <w:r w:rsidRPr="00CD225D">
        <w:rPr>
          <w:sz w:val="18"/>
          <w:szCs w:val="18"/>
        </w:rPr>
        <w:t xml:space="preserve"> Es en este marco donde resulta de interés examinar algunos de los rasgos que ha asumido la producción de excedentes de población en clave a la tesis de la “masa marginal” (</w:t>
      </w:r>
      <w:proofErr w:type="spellStart"/>
      <w:r w:rsidRPr="00CD225D">
        <w:rPr>
          <w:sz w:val="18"/>
          <w:szCs w:val="18"/>
        </w:rPr>
        <w:t>Nun</w:t>
      </w:r>
      <w:proofErr w:type="spellEnd"/>
      <w:r w:rsidRPr="00CD225D">
        <w:rPr>
          <w:sz w:val="18"/>
          <w:szCs w:val="18"/>
        </w:rPr>
        <w:t xml:space="preserve">, Marín y </w:t>
      </w:r>
      <w:proofErr w:type="spellStart"/>
      <w:r w:rsidRPr="00CD225D">
        <w:rPr>
          <w:sz w:val="18"/>
          <w:szCs w:val="18"/>
        </w:rPr>
        <w:t>Murmis</w:t>
      </w:r>
      <w:proofErr w:type="spellEnd"/>
      <w:r w:rsidRPr="00CD225D">
        <w:rPr>
          <w:sz w:val="18"/>
          <w:szCs w:val="18"/>
        </w:rPr>
        <w:t xml:space="preserve">, 1968; </w:t>
      </w:r>
      <w:proofErr w:type="spellStart"/>
      <w:r w:rsidRPr="00CD225D">
        <w:rPr>
          <w:sz w:val="18"/>
          <w:szCs w:val="18"/>
        </w:rPr>
        <w:t>Nun</w:t>
      </w:r>
      <w:proofErr w:type="spellEnd"/>
      <w:r w:rsidRPr="00CD225D">
        <w:rPr>
          <w:sz w:val="18"/>
          <w:szCs w:val="18"/>
        </w:rPr>
        <w:t>, 1969; 2001); la cual parece recobrar actualidad en el contexto de un sistema capitalista cada vez más globalizado y de economías nacionales cada vez más heterogéneas y subordinadas (</w:t>
      </w:r>
      <w:proofErr w:type="spellStart"/>
      <w:r w:rsidRPr="00CD225D">
        <w:rPr>
          <w:sz w:val="18"/>
          <w:szCs w:val="18"/>
        </w:rPr>
        <w:t>Nun</w:t>
      </w:r>
      <w:proofErr w:type="spellEnd"/>
      <w:r w:rsidRPr="00CD225D">
        <w:rPr>
          <w:sz w:val="18"/>
          <w:szCs w:val="18"/>
        </w:rPr>
        <w:t>, 2001; Salvia, 2012).</w:t>
      </w:r>
    </w:p>
  </w:footnote>
  <w:footnote w:id="16">
    <w:p w:rsidR="005A0F9D" w:rsidRPr="00CD225D" w:rsidRDefault="005A0F9D" w:rsidP="00CE19DD">
      <w:pPr>
        <w:pStyle w:val="Textonotapie"/>
        <w:rPr>
          <w:color w:val="auto"/>
        </w:rPr>
      </w:pPr>
      <w:r w:rsidRPr="00CD225D">
        <w:rPr>
          <w:rStyle w:val="Refdenotaalpie"/>
          <w:color w:val="auto"/>
        </w:rPr>
        <w:footnoteRef/>
      </w:r>
      <w:r w:rsidRPr="00CD225D">
        <w:rPr>
          <w:color w:val="auto"/>
        </w:rPr>
        <w:t xml:space="preserve"> Para mayor información sobre este período, puede consultarse a </w:t>
      </w:r>
      <w:proofErr w:type="spellStart"/>
      <w:r w:rsidRPr="00CD225D">
        <w:rPr>
          <w:rFonts w:eastAsia="Calibri"/>
          <w:color w:val="auto"/>
        </w:rPr>
        <w:t>Altimir</w:t>
      </w:r>
      <w:proofErr w:type="spellEnd"/>
      <w:r w:rsidRPr="00CD225D">
        <w:rPr>
          <w:rFonts w:eastAsia="Calibri"/>
          <w:color w:val="auto"/>
        </w:rPr>
        <w:t xml:space="preserve">, Beccaria y González Rozada (2002), </w:t>
      </w:r>
      <w:proofErr w:type="spellStart"/>
      <w:r w:rsidRPr="00CD225D">
        <w:rPr>
          <w:color w:val="auto"/>
        </w:rPr>
        <w:t>Damill</w:t>
      </w:r>
      <w:proofErr w:type="spellEnd"/>
      <w:r w:rsidRPr="00CD225D">
        <w:rPr>
          <w:color w:val="auto"/>
        </w:rPr>
        <w:t xml:space="preserve">, </w:t>
      </w:r>
      <w:proofErr w:type="spellStart"/>
      <w:r w:rsidRPr="00CD225D">
        <w:rPr>
          <w:color w:val="auto"/>
        </w:rPr>
        <w:t>Frenkel</w:t>
      </w:r>
      <w:proofErr w:type="spellEnd"/>
      <w:r w:rsidRPr="00CD225D">
        <w:rPr>
          <w:color w:val="auto"/>
        </w:rPr>
        <w:t xml:space="preserve"> y Maurizio (2003), </w:t>
      </w:r>
      <w:proofErr w:type="spellStart"/>
      <w:r w:rsidRPr="00CD225D">
        <w:rPr>
          <w:rFonts w:eastAsia="Calibri"/>
          <w:color w:val="auto"/>
        </w:rPr>
        <w:t>Damill</w:t>
      </w:r>
      <w:proofErr w:type="spellEnd"/>
      <w:r w:rsidRPr="00CD225D">
        <w:rPr>
          <w:rFonts w:eastAsia="Calibri"/>
          <w:color w:val="auto"/>
        </w:rPr>
        <w:t xml:space="preserve"> y </w:t>
      </w:r>
      <w:proofErr w:type="spellStart"/>
      <w:r w:rsidRPr="00CD225D">
        <w:rPr>
          <w:rFonts w:eastAsia="Calibri"/>
          <w:color w:val="auto"/>
        </w:rPr>
        <w:t>Frenkel</w:t>
      </w:r>
      <w:proofErr w:type="spellEnd"/>
      <w:r w:rsidRPr="00CD225D">
        <w:rPr>
          <w:rFonts w:eastAsia="Calibri"/>
          <w:color w:val="auto"/>
        </w:rPr>
        <w:t xml:space="preserve"> (2006), Lindenboim (2012), Salvia (2012).</w:t>
      </w:r>
    </w:p>
  </w:footnote>
  <w:footnote w:id="17">
    <w:p w:rsidR="005A0F9D" w:rsidRPr="00CD225D" w:rsidRDefault="005A0F9D" w:rsidP="006A0F05">
      <w:pPr>
        <w:pStyle w:val="Textonotapie"/>
        <w:rPr>
          <w:color w:val="auto"/>
        </w:rPr>
      </w:pPr>
      <w:r w:rsidRPr="00CD225D">
        <w:rPr>
          <w:rStyle w:val="Refdenotaalpie"/>
          <w:color w:val="auto"/>
        </w:rPr>
        <w:footnoteRef/>
      </w:r>
      <w:r w:rsidRPr="00CD225D">
        <w:rPr>
          <w:color w:val="auto"/>
        </w:rPr>
        <w:t xml:space="preserve"> Para una revisión crítica más detallada de los logros y algunas limitaciones de este ciclo virtuoso de políticas heterodoxas post-crisis puede consultare </w:t>
      </w:r>
      <w:r w:rsidRPr="00CD225D">
        <w:rPr>
          <w:rFonts w:eastAsia="Calibri"/>
          <w:color w:val="auto"/>
        </w:rPr>
        <w:t xml:space="preserve">CENDA (2010), </w:t>
      </w:r>
      <w:proofErr w:type="spellStart"/>
      <w:r w:rsidRPr="00CD225D">
        <w:rPr>
          <w:color w:val="auto"/>
        </w:rPr>
        <w:t>Damill</w:t>
      </w:r>
      <w:proofErr w:type="spellEnd"/>
      <w:r w:rsidRPr="00CD225D">
        <w:rPr>
          <w:color w:val="auto"/>
        </w:rPr>
        <w:t xml:space="preserve">, </w:t>
      </w:r>
      <w:proofErr w:type="spellStart"/>
      <w:r w:rsidRPr="00CD225D">
        <w:rPr>
          <w:color w:val="auto"/>
        </w:rPr>
        <w:t>Frenkel</w:t>
      </w:r>
      <w:proofErr w:type="spellEnd"/>
      <w:r w:rsidRPr="00CD225D">
        <w:rPr>
          <w:color w:val="auto"/>
        </w:rPr>
        <w:t xml:space="preserve"> y Maurizio</w:t>
      </w:r>
      <w:r w:rsidRPr="00CD225D">
        <w:rPr>
          <w:rFonts w:eastAsia="Calibri"/>
          <w:color w:val="auto"/>
        </w:rPr>
        <w:t xml:space="preserve"> (</w:t>
      </w:r>
      <w:r w:rsidRPr="00CD225D">
        <w:rPr>
          <w:color w:val="auto"/>
        </w:rPr>
        <w:t>2011</w:t>
      </w:r>
      <w:r w:rsidRPr="00CD225D">
        <w:rPr>
          <w:rFonts w:eastAsia="Calibri"/>
          <w:color w:val="auto"/>
        </w:rPr>
        <w:t xml:space="preserve">), </w:t>
      </w:r>
      <w:r w:rsidRPr="00CD225D">
        <w:rPr>
          <w:color w:val="auto"/>
        </w:rPr>
        <w:t xml:space="preserve">Beccaria y </w:t>
      </w:r>
      <w:proofErr w:type="spellStart"/>
      <w:r w:rsidRPr="00CD225D">
        <w:rPr>
          <w:color w:val="auto"/>
        </w:rPr>
        <w:t>Murizio</w:t>
      </w:r>
      <w:proofErr w:type="spellEnd"/>
      <w:r w:rsidRPr="00CD225D">
        <w:rPr>
          <w:rFonts w:eastAsia="Calibri"/>
          <w:color w:val="auto"/>
        </w:rPr>
        <w:t xml:space="preserve"> (</w:t>
      </w:r>
      <w:r w:rsidRPr="00CD225D">
        <w:rPr>
          <w:color w:val="auto"/>
        </w:rPr>
        <w:t>2012</w:t>
      </w:r>
      <w:r w:rsidRPr="00CD225D">
        <w:rPr>
          <w:rFonts w:eastAsia="Calibri"/>
          <w:color w:val="auto"/>
        </w:rPr>
        <w:t>),</w:t>
      </w:r>
      <w:r w:rsidRPr="00CD225D">
        <w:rPr>
          <w:color w:val="auto"/>
        </w:rPr>
        <w:t xml:space="preserve"> </w:t>
      </w:r>
      <w:r>
        <w:rPr>
          <w:color w:val="auto"/>
        </w:rPr>
        <w:t xml:space="preserve">CIFRA (2011), </w:t>
      </w:r>
      <w:proofErr w:type="spellStart"/>
      <w:r w:rsidRPr="00CD225D">
        <w:rPr>
          <w:color w:val="auto"/>
        </w:rPr>
        <w:t>Gaggero</w:t>
      </w:r>
      <w:proofErr w:type="spellEnd"/>
      <w:r w:rsidRPr="00CD225D">
        <w:rPr>
          <w:color w:val="auto"/>
        </w:rPr>
        <w:t xml:space="preserve">, </w:t>
      </w:r>
      <w:proofErr w:type="spellStart"/>
      <w:r w:rsidRPr="00CD225D">
        <w:rPr>
          <w:color w:val="auto"/>
        </w:rPr>
        <w:t>Schorr</w:t>
      </w:r>
      <w:proofErr w:type="spellEnd"/>
      <w:r w:rsidRPr="00CD225D">
        <w:rPr>
          <w:color w:val="auto"/>
        </w:rPr>
        <w:t xml:space="preserve"> y </w:t>
      </w:r>
      <w:proofErr w:type="spellStart"/>
      <w:r w:rsidRPr="00CD225D">
        <w:rPr>
          <w:color w:val="auto"/>
        </w:rPr>
        <w:t>Wainer</w:t>
      </w:r>
      <w:proofErr w:type="spellEnd"/>
      <w:r w:rsidRPr="00CD225D">
        <w:rPr>
          <w:color w:val="auto"/>
        </w:rPr>
        <w:t xml:space="preserve"> (2014), </w:t>
      </w:r>
      <w:r w:rsidRPr="00CD225D">
        <w:rPr>
          <w:rFonts w:eastAsia="Calibri"/>
          <w:color w:val="auto"/>
        </w:rPr>
        <w:t>Lindenboim (2012</w:t>
      </w:r>
      <w:r w:rsidRPr="00AC068B">
        <w:rPr>
          <w:rFonts w:eastAsia="Calibri"/>
          <w:color w:val="auto"/>
        </w:rPr>
        <w:t xml:space="preserve">), </w:t>
      </w:r>
      <w:r w:rsidRPr="00AC068B">
        <w:rPr>
          <w:color w:val="auto"/>
          <w:lang w:val="es-AR" w:eastAsia="es-AR"/>
        </w:rPr>
        <w:t xml:space="preserve">Graña, J, D. Kennedy y </w:t>
      </w:r>
      <w:proofErr w:type="spellStart"/>
      <w:r w:rsidRPr="00AC068B">
        <w:rPr>
          <w:color w:val="auto"/>
          <w:lang w:val="es-AR" w:eastAsia="es-AR"/>
        </w:rPr>
        <w:t>J.Valdez</w:t>
      </w:r>
      <w:proofErr w:type="spellEnd"/>
      <w:r w:rsidRPr="00AC068B">
        <w:rPr>
          <w:color w:val="auto"/>
          <w:lang w:val="es-AR" w:eastAsia="es-AR"/>
        </w:rPr>
        <w:t xml:space="preserve"> (2008), </w:t>
      </w:r>
      <w:r w:rsidRPr="00AC068B">
        <w:rPr>
          <w:rFonts w:eastAsia="Calibri"/>
          <w:color w:val="auto"/>
        </w:rPr>
        <w:t>Salvia</w:t>
      </w:r>
      <w:r w:rsidRPr="00CD225D">
        <w:rPr>
          <w:rFonts w:eastAsia="Calibri"/>
          <w:color w:val="auto"/>
        </w:rPr>
        <w:t xml:space="preserve"> et al (2008), Salvia (2014), </w:t>
      </w:r>
      <w:r w:rsidRPr="00CD225D">
        <w:rPr>
          <w:color w:val="auto"/>
        </w:rPr>
        <w:t>entre otros</w:t>
      </w:r>
      <w:r w:rsidRPr="00CD225D">
        <w:rPr>
          <w:rFonts w:eastAsia="Calibri"/>
          <w:color w:val="auto"/>
        </w:rPr>
        <w:t>.</w:t>
      </w:r>
    </w:p>
  </w:footnote>
  <w:footnote w:id="18">
    <w:p w:rsidR="00800935" w:rsidRPr="00CD225D" w:rsidRDefault="00800935" w:rsidP="00800935">
      <w:pPr>
        <w:pStyle w:val="Textonotapie"/>
        <w:rPr>
          <w:color w:val="auto"/>
        </w:rPr>
      </w:pPr>
      <w:r w:rsidRPr="00CD225D">
        <w:rPr>
          <w:rStyle w:val="Refdenotaalpie"/>
          <w:color w:val="auto"/>
        </w:rPr>
        <w:footnoteRef/>
      </w:r>
      <w:r w:rsidRPr="00CD225D">
        <w:rPr>
          <w:color w:val="auto"/>
        </w:rPr>
        <w:t xml:space="preserve"> </w:t>
      </w:r>
      <w:r>
        <w:rPr>
          <w:color w:val="auto"/>
        </w:rPr>
        <w:t>Para la elaboración de estos indicadores se emplearon</w:t>
      </w:r>
      <w:r w:rsidRPr="00CD225D">
        <w:rPr>
          <w:color w:val="auto"/>
        </w:rPr>
        <w:t xml:space="preserve"> micro datos de la Encuesta Permanente de Hogares (EPH) para una serie de años seleccionados. Se utilizan datos correspondientes al área metropolitana del Gran Buenos Aires para los años 1992, 1994, 1998, 2001 y 2003 (onda mayo de la EPH “puntual”), y para 2003 (tercer trimestre) y la serie anual 2004-2012 (segundo trimestre de la EPH “continua”). </w:t>
      </w:r>
      <w:r w:rsidRPr="00CD225D">
        <w:rPr>
          <w:rFonts w:eastAsia="Calibri"/>
          <w:bCs/>
          <w:color w:val="auto"/>
          <w:lang w:val="es-AR"/>
        </w:rPr>
        <w:t xml:space="preserve">Al respecto, cabe señalar que, en función de una comparación fiable de la información se procedió a estimar los ingresos no declarados de los hogares, así como utilizar valores de canastas diferentes a las oficiales. </w:t>
      </w:r>
      <w:r w:rsidRPr="00CD225D">
        <w:rPr>
          <w:color w:val="auto"/>
        </w:rPr>
        <w:t>Uno de los aspectos centrales que incide en el cálculo de los niveles de indigencia y de pobreza medidos por ingresos es la determinación del valor monetario de la Canasta Básica Alimentaria (CBA) y la Canasta Básica Total (CBT). Se sigue aquí la estrategia de tomar a partir de 2007 tasas no oficiales para valorizar dichas canastas debido a la manipulación por parte de la Secretaría de Comercio Interior del Ministerio de Economía de la Nación de los índices de precios generados por el INDEC (IPC-GBA). Las prácticas que se introdujeron para alterar las estadísticas de precios, así como para remover a los técnicos que desaprobaban tales prácticas, están documentados en la denuncia realizada por el Centro de Estudios Legales y Sociales (CELS, 2009).</w:t>
      </w:r>
    </w:p>
  </w:footnote>
  <w:footnote w:id="19">
    <w:p w:rsidR="005A0F9D" w:rsidRPr="00CD225D" w:rsidRDefault="005A0F9D" w:rsidP="007A7E67">
      <w:pPr>
        <w:pStyle w:val="Textonotapie"/>
        <w:rPr>
          <w:color w:val="auto"/>
        </w:rPr>
      </w:pPr>
      <w:r w:rsidRPr="00CD225D">
        <w:rPr>
          <w:rStyle w:val="Refdenotaalpie"/>
          <w:color w:val="auto"/>
        </w:rPr>
        <w:footnoteRef/>
      </w:r>
      <w:r w:rsidRPr="00CD225D">
        <w:rPr>
          <w:color w:val="auto"/>
        </w:rPr>
        <w:t xml:space="preserve"> Para dar respuesta a estos interrogantes también se utilizan en este caso micro datos de la Encuesta Permanente de Hogares (EPH) correspondientes al área metropolitana del Gran Buenos Aires. Para este análisis se toman ventanas de observación los años 1992, 1994, 1998, 2001 y 2003 (onda mayo de la EPH “puntual”), y 2004, 2007 y 2012 (segundo trimestre de la EPH “continua”). </w:t>
      </w:r>
    </w:p>
  </w:footnote>
  <w:footnote w:id="20">
    <w:p w:rsidR="005A0F9D" w:rsidRPr="00CD225D" w:rsidRDefault="005A0F9D" w:rsidP="00CD225D">
      <w:pPr>
        <w:pStyle w:val="Textonotapie"/>
        <w:rPr>
          <w:color w:val="auto"/>
        </w:rPr>
      </w:pPr>
      <w:r w:rsidRPr="00CD225D">
        <w:rPr>
          <w:rStyle w:val="Refdenotaalpie"/>
          <w:color w:val="auto"/>
        </w:rPr>
        <w:footnoteRef/>
      </w:r>
      <w:r w:rsidRPr="00CD225D">
        <w:rPr>
          <w:color w:val="auto"/>
        </w:rPr>
        <w:t xml:space="preserve"> En el Anexo metodológico pueden consultarse las definiciones operativas de los sectores que componen la estructura económico-ocupacional. Para dar cuenta de la heterogeneidad de la estructura económico-ocupacional, se apela a una clasificación de la estructura sectorial del empleo que recupera los lineamientos de PREALC-OIT (1978) y que fue aplicada en investigaciones previas (Salvia, 2012, Salvia, Vera y Poy, 2015).</w:t>
      </w:r>
    </w:p>
  </w:footnote>
  <w:footnote w:id="21">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En menos de tres décadas, se pasó de un modelo de modernización en transición que prometía pleno empleo, progreso cultural e inclusión social a través del desarrollo industrial sustitutivo, el mercado interno, la urbanización y la expansión de los servicios públicos, a un modelo de apertura especulativo-financiera, con expansión de nuevos negocios agro-mineros o cadenas industriales de montaje, orientados al mercado mundial en tanto cuenten con ventajas comparativas, y en donde el empleo pleno, la igualdad de oportunidades y la movilidad social ya no son “promesas” de fácil cumplimiento (</w:t>
      </w:r>
      <w:proofErr w:type="spellStart"/>
      <w:r w:rsidRPr="00CD225D">
        <w:rPr>
          <w:color w:val="auto"/>
        </w:rPr>
        <w:t>Tokman</w:t>
      </w:r>
      <w:proofErr w:type="spellEnd"/>
      <w:r w:rsidRPr="00CD225D">
        <w:rPr>
          <w:color w:val="auto"/>
        </w:rPr>
        <w:t xml:space="preserve"> y </w:t>
      </w:r>
      <w:proofErr w:type="spellStart"/>
      <w:r w:rsidRPr="00CD225D">
        <w:rPr>
          <w:color w:val="auto"/>
        </w:rPr>
        <w:t>O’Donnell</w:t>
      </w:r>
      <w:proofErr w:type="spellEnd"/>
      <w:r w:rsidRPr="00CD225D">
        <w:rPr>
          <w:color w:val="auto"/>
        </w:rPr>
        <w:t xml:space="preserve">, 1999; </w:t>
      </w:r>
      <w:proofErr w:type="spellStart"/>
      <w:r w:rsidRPr="00CD225D">
        <w:rPr>
          <w:color w:val="auto"/>
        </w:rPr>
        <w:t>Kaztman</w:t>
      </w:r>
      <w:proofErr w:type="spellEnd"/>
      <w:r w:rsidRPr="00CD225D">
        <w:rPr>
          <w:color w:val="auto"/>
        </w:rPr>
        <w:t xml:space="preserve"> y </w:t>
      </w:r>
      <w:proofErr w:type="spellStart"/>
      <w:r w:rsidRPr="00CD225D">
        <w:rPr>
          <w:color w:val="auto"/>
        </w:rPr>
        <w:t>Wormald</w:t>
      </w:r>
      <w:proofErr w:type="spellEnd"/>
      <w:r w:rsidRPr="00CD225D">
        <w:rPr>
          <w:color w:val="auto"/>
        </w:rPr>
        <w:t xml:space="preserve">, 2002; Hernández Laos, 2006; Barba, 2011).    </w:t>
      </w:r>
    </w:p>
  </w:footnote>
  <w:footnote w:id="22">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Estos programas se han definido como “transitorios”, en la medida que no deben considerarse derechos permanentes sino que las poblaciones beneficiarias reciben del Estado una ayuda económica mientras se cumplan las condiciones de elegibilidad y/o permanencia en el programa y hasta tanto la dinámica económica de los mercados no sea capaz de absorber a estos segmentos. Al mismo tiempo, es una función clave de estos programas dotar de activos –tanto en capital social como capital humano- a las poblaciones objeto de beneficio, debido a que se busca una mayor integración de estos sectores a las relaciones de mercado (Perry et al, 2006).</w:t>
      </w:r>
      <w:r w:rsidRPr="00CD225D">
        <w:rPr>
          <w:color w:val="auto"/>
          <w:lang w:eastAsia="es-AR"/>
        </w:rPr>
        <w:t xml:space="preserve"> Para una evaluación crítica sobre la función social de estos programas de transferencia de ingresos, ver Barrientos y </w:t>
      </w:r>
      <w:proofErr w:type="spellStart"/>
      <w:r w:rsidRPr="00CD225D">
        <w:rPr>
          <w:color w:val="auto"/>
          <w:lang w:eastAsia="es-AR"/>
        </w:rPr>
        <w:t>Hulme</w:t>
      </w:r>
      <w:proofErr w:type="spellEnd"/>
      <w:r w:rsidRPr="00CD225D">
        <w:rPr>
          <w:color w:val="auto"/>
          <w:lang w:eastAsia="es-AR"/>
        </w:rPr>
        <w:t xml:space="preserve"> (2008), o también </w:t>
      </w:r>
      <w:r w:rsidRPr="00CD225D">
        <w:rPr>
          <w:bCs/>
          <w:color w:val="auto"/>
          <w:lang w:val="es-AR"/>
        </w:rPr>
        <w:t>Barba y Cohen (2011).</w:t>
      </w:r>
    </w:p>
  </w:footnote>
  <w:footnote w:id="23">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A partir de los años setenta el modelo que atribuía al Estado un rol central en la redistribución de bienes sociales enfrentó desafíos político-económicos que pusieron en cuestión su supervivencia. La literatura especializada presenta disidencias respecto de las razones que habrían provocado su crisis (</w:t>
      </w:r>
      <w:r w:rsidRPr="00CD225D">
        <w:rPr>
          <w:color w:val="auto"/>
          <w:lang w:val="es-AR" w:eastAsia="es-AR"/>
        </w:rPr>
        <w:t xml:space="preserve">Grassi, </w:t>
      </w:r>
      <w:proofErr w:type="spellStart"/>
      <w:r w:rsidRPr="00CD225D">
        <w:rPr>
          <w:color w:val="auto"/>
          <w:lang w:val="es-AR" w:eastAsia="es-AR"/>
        </w:rPr>
        <w:t>Hintze</w:t>
      </w:r>
      <w:proofErr w:type="spellEnd"/>
      <w:r w:rsidRPr="00CD225D">
        <w:rPr>
          <w:color w:val="auto"/>
          <w:lang w:val="es-AR" w:eastAsia="es-AR"/>
        </w:rPr>
        <w:t xml:space="preserve"> y </w:t>
      </w:r>
      <w:proofErr w:type="spellStart"/>
      <w:r w:rsidRPr="00CD225D">
        <w:rPr>
          <w:color w:val="auto"/>
          <w:lang w:val="es-AR" w:eastAsia="es-AR"/>
        </w:rPr>
        <w:t>Neufeld</w:t>
      </w:r>
      <w:proofErr w:type="spellEnd"/>
      <w:r w:rsidRPr="00CD225D">
        <w:rPr>
          <w:color w:val="auto"/>
          <w:lang w:val="es-AR" w:eastAsia="es-AR"/>
        </w:rPr>
        <w:t xml:space="preserve">, 1994; </w:t>
      </w:r>
      <w:proofErr w:type="spellStart"/>
      <w:r w:rsidRPr="00CD225D">
        <w:rPr>
          <w:color w:val="auto"/>
        </w:rPr>
        <w:t>Bonvecchi</w:t>
      </w:r>
      <w:proofErr w:type="spellEnd"/>
      <w:r w:rsidRPr="00CD225D">
        <w:rPr>
          <w:color w:val="auto"/>
        </w:rPr>
        <w:t xml:space="preserve"> y </w:t>
      </w:r>
      <w:proofErr w:type="spellStart"/>
      <w:r w:rsidRPr="00CD225D">
        <w:rPr>
          <w:color w:val="auto"/>
        </w:rPr>
        <w:t>Smulovitz</w:t>
      </w:r>
      <w:proofErr w:type="spellEnd"/>
      <w:r w:rsidRPr="00CD225D">
        <w:rPr>
          <w:color w:val="auto"/>
        </w:rPr>
        <w:t xml:space="preserve">, 2006, </w:t>
      </w:r>
      <w:proofErr w:type="spellStart"/>
      <w:r w:rsidRPr="00CD225D">
        <w:rPr>
          <w:color w:val="auto"/>
        </w:rPr>
        <w:t>Isuani</w:t>
      </w:r>
      <w:proofErr w:type="spellEnd"/>
      <w:r w:rsidRPr="00CD225D">
        <w:rPr>
          <w:color w:val="auto"/>
        </w:rPr>
        <w:t>, 2008).</w:t>
      </w:r>
    </w:p>
  </w:footnote>
  <w:footnote w:id="24">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El desempleo alcanzó su récord histórico (18,3% en octubre de 2001 y 21,5% en mayo de 2002), y se incrementaron notablemente los niveles de pobreza e indigencia. En mayo de 2003 la pobreza abarcaba al 54% y la indigencia al 27,7% de las personas. Sobre la evolución de los indicadores sociales durante y a partir de la crisis, véase, entre otros, </w:t>
      </w:r>
      <w:r w:rsidRPr="00CD225D">
        <w:rPr>
          <w:rFonts w:eastAsia="Calibri"/>
          <w:color w:val="auto"/>
        </w:rPr>
        <w:t>Lindenboim (2012)</w:t>
      </w:r>
      <w:r w:rsidRPr="00CD225D">
        <w:rPr>
          <w:color w:val="auto"/>
        </w:rPr>
        <w:t xml:space="preserve">. </w:t>
      </w:r>
    </w:p>
  </w:footnote>
  <w:footnote w:id="25">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Esto ocurrió en un contexto en donde se dio fin al sistema privado de capitalización (2008), mediante la creación del Sistema Integrado Previsional Argentino (SIPA), a la vez que el sistema público emprendía un plan de inclusión previsional casi universal. El  “Plan de Inclusión Previsional” se puso en marcha en 2005 y a través de él pudieron acceder a una jubilación las personas que se encontraban en edad jubilatoria y a las que les faltaban años con aportes formales, o a su vez, aquellos individuos que habiendo acumulado 30 años de aportes no tenían ya acceso al mercado de trabajo formal. Estas medidas permitieron aumentar significativamente la tasa de cobertura del sistema previsional hasta llegar al 90% de la población de adultos mayores de 65 años (</w:t>
      </w:r>
      <w:proofErr w:type="spellStart"/>
      <w:r w:rsidRPr="00CD225D">
        <w:rPr>
          <w:color w:val="auto"/>
        </w:rPr>
        <w:t>Bertranou</w:t>
      </w:r>
      <w:proofErr w:type="spellEnd"/>
      <w:r w:rsidRPr="00CD225D">
        <w:rPr>
          <w:color w:val="auto"/>
        </w:rPr>
        <w:t xml:space="preserve"> et al, 2012; </w:t>
      </w:r>
      <w:proofErr w:type="spellStart"/>
      <w:r w:rsidRPr="00CD225D">
        <w:rPr>
          <w:color w:val="auto"/>
        </w:rPr>
        <w:t>Rofman</w:t>
      </w:r>
      <w:proofErr w:type="spellEnd"/>
      <w:r w:rsidRPr="00CD225D">
        <w:rPr>
          <w:color w:val="auto"/>
        </w:rPr>
        <w:t xml:space="preserve">, 2013: 79). A su vez, a partir de la sanción de </w:t>
      </w:r>
      <w:smartTag w:uri="urn:schemas-microsoft-com:office:smarttags" w:element="PersonName">
        <w:smartTagPr>
          <w:attr w:name="ProductID" w:val="la Ley"/>
        </w:smartTagPr>
        <w:r w:rsidRPr="00CD225D">
          <w:rPr>
            <w:color w:val="auto"/>
          </w:rPr>
          <w:t>la Ley</w:t>
        </w:r>
      </w:smartTag>
      <w:r w:rsidRPr="00CD225D">
        <w:rPr>
          <w:color w:val="auto"/>
        </w:rPr>
        <w:t xml:space="preserve"> de Movilidad de las Jubilaciones y Pensiones en 2008, la actualización de las prestaciones pasó a basarse en parámetros predeterminados relacionados con la evolución de los salarios de los trabajadores en actividad y de los recursos contributivos e impositivos afectados a la previsión social. Para mayores detalles acerca del impacto de la recomposición de los haberes y la extensión de la cobertura en la protección de los adultos mayores, véase Danani y Beccaria (2011).</w:t>
      </w:r>
    </w:p>
  </w:footnote>
  <w:footnote w:id="26">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Para mayores especificaciones acerca del seguro por desempleo, sus requisitos de elegibilidad, así como el tiempo y monto de las prestaciones, véase </w:t>
      </w:r>
      <w:proofErr w:type="spellStart"/>
      <w:r w:rsidRPr="00CD225D">
        <w:rPr>
          <w:color w:val="auto"/>
        </w:rPr>
        <w:t>Bertranou</w:t>
      </w:r>
      <w:proofErr w:type="spellEnd"/>
      <w:r w:rsidRPr="00CD225D">
        <w:rPr>
          <w:color w:val="auto"/>
        </w:rPr>
        <w:t xml:space="preserve"> y Paz (2007).</w:t>
      </w:r>
    </w:p>
  </w:footnote>
  <w:footnote w:id="27">
    <w:p w:rsidR="005A0F9D" w:rsidRPr="00CD225D" w:rsidRDefault="005A0F9D" w:rsidP="00F86FD5">
      <w:pPr>
        <w:pStyle w:val="Textonotapie"/>
        <w:rPr>
          <w:color w:val="auto"/>
        </w:rPr>
      </w:pPr>
      <w:r w:rsidRPr="00CD225D">
        <w:rPr>
          <w:rStyle w:val="Refdenotaalpie"/>
          <w:color w:val="auto"/>
        </w:rPr>
        <w:footnoteRef/>
      </w:r>
      <w:r w:rsidRPr="00CD225D">
        <w:rPr>
          <w:color w:val="auto"/>
        </w:rPr>
        <w:t xml:space="preserve"> El Programa Jefes/as de Hogar Desocupados (PJHD) creado en enero de 2002 se propuso garantizar un ingreso mínimo a los hogares con jefas y jefes desocupados con hijos menores de 18 años o discapacitados. El programa –que llegó a tener más de 2 millones de beneficiarios- promovía la capacitación laboral o la participación de los beneficiarios en actividades de contraprestación laboral que generasen impacto productivo local o en servicios comunitarios.  </w:t>
      </w:r>
      <w:r>
        <w:rPr>
          <w:color w:val="auto"/>
        </w:rPr>
        <w:t xml:space="preserve">Para mayor información sobre el alcance e impacto de este programa, ver </w:t>
      </w:r>
      <w:proofErr w:type="spellStart"/>
      <w:r w:rsidRPr="00C564BC">
        <w:rPr>
          <w:color w:val="auto"/>
        </w:rPr>
        <w:t>Monza</w:t>
      </w:r>
      <w:proofErr w:type="spellEnd"/>
      <w:r w:rsidRPr="00C564BC">
        <w:rPr>
          <w:color w:val="auto"/>
        </w:rPr>
        <w:t xml:space="preserve">, A. y </w:t>
      </w:r>
      <w:proofErr w:type="spellStart"/>
      <w:r w:rsidRPr="00C564BC">
        <w:rPr>
          <w:color w:val="auto"/>
        </w:rPr>
        <w:t>Giacometti</w:t>
      </w:r>
      <w:proofErr w:type="spellEnd"/>
      <w:r w:rsidRPr="00C564BC">
        <w:rPr>
          <w:color w:val="auto"/>
        </w:rPr>
        <w:t>, C (2003</w:t>
      </w:r>
      <w:r>
        <w:rPr>
          <w:color w:val="auto"/>
        </w:rPr>
        <w:t>) y</w:t>
      </w:r>
      <w:r w:rsidRPr="00C564BC">
        <w:rPr>
          <w:color w:val="auto"/>
        </w:rPr>
        <w:t xml:space="preserve"> Cortés, R., Groisman, F. y </w:t>
      </w:r>
      <w:proofErr w:type="spellStart"/>
      <w:r w:rsidRPr="00C564BC">
        <w:rPr>
          <w:color w:val="auto"/>
        </w:rPr>
        <w:t>Hoswoszki</w:t>
      </w:r>
      <w:proofErr w:type="spellEnd"/>
      <w:r w:rsidRPr="00C564BC">
        <w:rPr>
          <w:color w:val="auto"/>
        </w:rPr>
        <w:t>, A. (2003),</w:t>
      </w:r>
      <w:r>
        <w:rPr>
          <w:color w:val="auto"/>
        </w:rPr>
        <w:t xml:space="preserve"> entre otros.</w:t>
      </w:r>
    </w:p>
  </w:footnote>
  <w:footnote w:id="28">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En el Plan Familias otorgaba una transferencia monetaria proporcional a la cantidad de hijos en el hogar, la cual tenía como objetivo proteger a los hogares en situación de riesgo social. La asignación no remunerativa se establecía bajo la condicionalidad de asistencia escolar y control sanitario.</w:t>
      </w:r>
    </w:p>
  </w:footnote>
  <w:footnote w:id="29">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En octubre de 2009, el gobierno nacional implementó </w:t>
      </w:r>
      <w:smartTag w:uri="urn:schemas-microsoft-com:office:smarttags" w:element="PersonName">
        <w:smartTagPr>
          <w:attr w:name="ProductID" w:val="la Asignación Universal"/>
        </w:smartTagPr>
        <w:r w:rsidRPr="00CD225D">
          <w:rPr>
            <w:color w:val="auto"/>
          </w:rPr>
          <w:t>la Asignación Universal</w:t>
        </w:r>
      </w:smartTag>
      <w:r w:rsidRPr="00CD225D">
        <w:rPr>
          <w:color w:val="auto"/>
        </w:rPr>
        <w:t xml:space="preserve"> por Hijo mediante un decreto que modificó el régimen de asignaciones familiares, extendiendo este beneficio a los hijos de desocupados y trabajadores informales con salario inferior al salario mínimo, vital y móvil. La extensión del régimen de asignaciones familiares a aquellos que no estaba insertos en un empleo formal, estipulaba que los desocupados y trabajadores informales con menores en el hogar, recibirían un monto fijo por niño -estando parte de este beneficio condicionado a la entrega de certificados de asistencia escolar y control sanitario-. Si bien </w:t>
      </w:r>
      <w:smartTag w:uri="urn:schemas-microsoft-com:office:smarttags" w:element="PersonName">
        <w:smartTagPr>
          <w:attr w:name="ProductID" w:val="la Asignación Universal"/>
        </w:smartTagPr>
        <w:r w:rsidRPr="00CD225D">
          <w:rPr>
            <w:color w:val="auto"/>
          </w:rPr>
          <w:t>la Asignación Universal</w:t>
        </w:r>
      </w:smartTag>
      <w:r w:rsidRPr="00CD225D">
        <w:rPr>
          <w:color w:val="auto"/>
        </w:rPr>
        <w:t xml:space="preserve"> por Hijo (AUH) no es realmente universal, en la práctica -según algunos especialistas- universaliza o amplía la ayuda social de los menores de edad (</w:t>
      </w:r>
      <w:proofErr w:type="spellStart"/>
      <w:r w:rsidRPr="00CD225D">
        <w:rPr>
          <w:color w:val="auto"/>
        </w:rPr>
        <w:t>Gasparini</w:t>
      </w:r>
      <w:proofErr w:type="spellEnd"/>
      <w:r w:rsidRPr="00CD225D">
        <w:rPr>
          <w:color w:val="auto"/>
        </w:rPr>
        <w:t xml:space="preserve"> y Cruces; 2010). El monto de la asignación aumenta periódicamente por decisión del Poder Ejecutivo. A partir de mayo de 2011 se extendió también a las mujeres embarazadas a partir de las 12 semanas de gestación.</w:t>
      </w:r>
    </w:p>
  </w:footnote>
  <w:footnote w:id="30">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Para responder a est</w:t>
      </w:r>
      <w:r>
        <w:rPr>
          <w:color w:val="auto"/>
        </w:rPr>
        <w:t>e</w:t>
      </w:r>
      <w:r w:rsidRPr="00CD225D">
        <w:rPr>
          <w:color w:val="auto"/>
        </w:rPr>
        <w:t xml:space="preserve"> interrogante se vuelven a examinar </w:t>
      </w:r>
      <w:proofErr w:type="gramStart"/>
      <w:r w:rsidRPr="00CD225D">
        <w:rPr>
          <w:color w:val="auto"/>
        </w:rPr>
        <w:t>los micro</w:t>
      </w:r>
      <w:proofErr w:type="gramEnd"/>
      <w:r w:rsidRPr="00CD225D">
        <w:rPr>
          <w:color w:val="auto"/>
        </w:rPr>
        <w:t xml:space="preserve"> datos de la Encuesta Permanente de Hogares (EPH) del INDEC correspondientes al área metropolitana del Gran Buenos Aires para la misma serie de años que en el apartado 4.</w:t>
      </w:r>
    </w:p>
  </w:footnote>
  <w:footnote w:id="31">
    <w:p w:rsidR="005F4517" w:rsidRPr="00CD225D" w:rsidRDefault="005F4517" w:rsidP="005F4517">
      <w:pPr>
        <w:pStyle w:val="Textonotapie"/>
        <w:rPr>
          <w:color w:val="auto"/>
        </w:rPr>
      </w:pPr>
      <w:r w:rsidRPr="00CD225D">
        <w:rPr>
          <w:rStyle w:val="Refdenotaalpie"/>
          <w:color w:val="auto"/>
        </w:rPr>
        <w:footnoteRef/>
      </w:r>
      <w:r w:rsidRPr="00CD225D">
        <w:rPr>
          <w:color w:val="auto"/>
        </w:rPr>
        <w:t xml:space="preserve"> La mayor importancia relativa que adquieren las jubilaciones y pensiones en el presupuesto de los hogares está vinculada al crecimiento de la masa de ingresos en esta fuente asociado al aumento de los ingresos medios superior al promedio de la economía. Para mayores detalles sobre este análisis, véase Salvia (2012). </w:t>
      </w:r>
    </w:p>
  </w:footnote>
  <w:footnote w:id="32">
    <w:p w:rsidR="005F4517" w:rsidRPr="00CD225D" w:rsidRDefault="005F4517" w:rsidP="005F4517">
      <w:pPr>
        <w:pStyle w:val="Textonotapie"/>
        <w:rPr>
          <w:color w:val="auto"/>
        </w:rPr>
      </w:pPr>
      <w:r w:rsidRPr="00CD225D">
        <w:rPr>
          <w:rStyle w:val="Refdenotaalpie"/>
          <w:color w:val="auto"/>
        </w:rPr>
        <w:footnoteRef/>
      </w:r>
      <w:r w:rsidRPr="00CD225D">
        <w:rPr>
          <w:color w:val="auto"/>
        </w:rPr>
        <w:t xml:space="preserve"> Al respecto, cabe recordar la puesta en marcha –en 1996– del Plan Trabajar y otros programas de protección contra el desempleo, en un contexto de reformas estructurales que promueven la flexibilización de los mecanismos regulatorios del mercado de trabajo y, a su vez, en el marco de una política social asistencial focalizada en los individuos con problemas de inserción en el mercado laboral.</w:t>
      </w:r>
    </w:p>
  </w:footnote>
  <w:footnote w:id="33">
    <w:p w:rsidR="0092500B" w:rsidRPr="00CD225D" w:rsidRDefault="0092500B" w:rsidP="0092500B">
      <w:pPr>
        <w:pStyle w:val="Textonotapie"/>
        <w:rPr>
          <w:color w:val="auto"/>
        </w:rPr>
      </w:pPr>
      <w:r w:rsidRPr="00CD225D">
        <w:rPr>
          <w:rStyle w:val="Refdenotaalpie"/>
          <w:color w:val="auto"/>
        </w:rPr>
        <w:footnoteRef/>
      </w:r>
      <w:r w:rsidRPr="00CD225D">
        <w:rPr>
          <w:color w:val="auto"/>
        </w:rPr>
        <w:t xml:space="preserve"> En este apartado se trabaja con micro datos de la Encuesta Permanente de Hogares (EPH) correspondientes al área metropolitana del Gran Buenos Aires para los años 1992, 1998</w:t>
      </w:r>
      <w:r>
        <w:rPr>
          <w:color w:val="auto"/>
        </w:rPr>
        <w:t xml:space="preserve"> </w:t>
      </w:r>
      <w:r w:rsidRPr="00CD225D">
        <w:rPr>
          <w:color w:val="auto"/>
        </w:rPr>
        <w:t xml:space="preserve">y 2003 (onda mayo de la EPH “puntual”), y para 2003 (tercer trimestre) y </w:t>
      </w:r>
      <w:r>
        <w:rPr>
          <w:color w:val="auto"/>
        </w:rPr>
        <w:t>los años 2007 y 2012</w:t>
      </w:r>
      <w:r w:rsidRPr="00CD225D">
        <w:rPr>
          <w:color w:val="auto"/>
        </w:rPr>
        <w:t xml:space="preserve"> (segundo trimestre de la EPH “continua”). </w:t>
      </w:r>
    </w:p>
  </w:footnote>
  <w:footnote w:id="34">
    <w:p w:rsidR="005A0F9D" w:rsidRPr="00CD225D" w:rsidRDefault="005A0F9D" w:rsidP="007A6DE6">
      <w:pPr>
        <w:pStyle w:val="Textonotapie"/>
        <w:rPr>
          <w:color w:val="auto"/>
        </w:rPr>
      </w:pPr>
      <w:r w:rsidRPr="00CD225D">
        <w:rPr>
          <w:rStyle w:val="Refdenotaalpie"/>
          <w:color w:val="auto"/>
        </w:rPr>
        <w:footnoteRef/>
      </w:r>
      <w:r w:rsidRPr="00CD225D">
        <w:rPr>
          <w:color w:val="auto"/>
        </w:rPr>
        <w:t xml:space="preserve"> Dado que la fórmula original propuesta por </w:t>
      </w:r>
      <w:proofErr w:type="spellStart"/>
      <w:r w:rsidRPr="00CD225D">
        <w:rPr>
          <w:color w:val="auto"/>
        </w:rPr>
        <w:t>Datt</w:t>
      </w:r>
      <w:proofErr w:type="spellEnd"/>
      <w:r w:rsidRPr="00CD225D">
        <w:rPr>
          <w:color w:val="auto"/>
        </w:rPr>
        <w:t xml:space="preserve"> y </w:t>
      </w:r>
      <w:proofErr w:type="spellStart"/>
      <w:r w:rsidRPr="00CD225D">
        <w:rPr>
          <w:color w:val="auto"/>
        </w:rPr>
        <w:t>Ravallion</w:t>
      </w:r>
      <w:proofErr w:type="spellEnd"/>
      <w:r w:rsidRPr="00CD225D">
        <w:rPr>
          <w:color w:val="auto"/>
        </w:rPr>
        <w:t xml:space="preserve"> contempla una línea de pobreza fija, Cortés y Minor incorporan en su análisis el efecto que la variación de los precios de la canasta de pobreza o indigencia tiene sobre el cambio observado en dichas tasas. De acuerdo con estos autores, una variación en los precios de las canastas tiene por efecto un cambio consecuente en la pobreza o en la indigencia. En este trabajo, el componente de variación de los precios no ha sido considerado. </w:t>
      </w:r>
    </w:p>
  </w:footnote>
  <w:footnote w:id="35">
    <w:p w:rsidR="00923AD2" w:rsidRPr="00E51876" w:rsidRDefault="00923AD2" w:rsidP="00E51876">
      <w:pPr>
        <w:pStyle w:val="Textonotapie"/>
        <w:rPr>
          <w:color w:val="auto"/>
        </w:rPr>
      </w:pPr>
      <w:r w:rsidRPr="00E51876">
        <w:rPr>
          <w:rStyle w:val="Refdenotaalpie"/>
          <w:color w:val="auto"/>
          <w:szCs w:val="20"/>
        </w:rPr>
        <w:footnoteRef/>
      </w:r>
      <w:r w:rsidRPr="00E51876">
        <w:rPr>
          <w:color w:val="auto"/>
          <w:szCs w:val="20"/>
        </w:rPr>
        <w:t xml:space="preserve"> Para mayor especificación de la forma de cálculo de cada componente, véase Anexo Metodológico. El “efecto desigualdad” (ED) se estima neto de ingresos por transferencias generadas por los programas sociales y la seguridad social, con el fin de “aislar” del componente distributivo la influencia de dichas fuentes. Es sabido que los cambios en los programas sociales y en el sistema de jubilaciones y pensiones no sólo elevan el ingreso medio de los hogares sino que afectan su distribución. En este sentido, cabe aclarar que la metodología aplicada estima el efecto de las transferencias mencionadas sobre los cambios ocurridos en la pobreza y la indigencia sin distinguir cuánto de dicho efecto está vinculado a la influencia que tienen las políticas sociales sobre la distribución del ingreso. Otros trabajos, actualmente en curso, estudian la incidencia de distintos tipos de ingresos (entre ellos, los provenientes de los programas sociales y de jubilaciones y pensiones) sobre los cambios ocurridos en la distribución de los ingresos, a través de un ejercicio de descomposición de la variación en el coeficiente de </w:t>
      </w:r>
      <w:proofErr w:type="spellStart"/>
      <w:r w:rsidRPr="00E51876">
        <w:rPr>
          <w:color w:val="auto"/>
          <w:szCs w:val="20"/>
        </w:rPr>
        <w:t>Gini</w:t>
      </w:r>
      <w:proofErr w:type="spellEnd"/>
      <w:r w:rsidRPr="00E51876">
        <w:rPr>
          <w:color w:val="auto"/>
          <w:szCs w:val="20"/>
        </w:rPr>
        <w:t xml:space="preserve"> según fuentes. Véase un ejemplo de </w:t>
      </w:r>
      <w:r w:rsidRPr="00E51876">
        <w:rPr>
          <w:color w:val="auto"/>
        </w:rPr>
        <w:t xml:space="preserve">esta metodología en Salvia y Vera (2013) y Vera (2013). </w:t>
      </w:r>
    </w:p>
  </w:footnote>
  <w:footnote w:id="36">
    <w:p w:rsidR="00923AD2" w:rsidRPr="00E51876" w:rsidRDefault="00923AD2" w:rsidP="00E51876">
      <w:pPr>
        <w:autoSpaceDE w:val="0"/>
        <w:autoSpaceDN w:val="0"/>
        <w:adjustRightInd w:val="0"/>
        <w:spacing w:after="120"/>
        <w:jc w:val="both"/>
        <w:rPr>
          <w:sz w:val="18"/>
          <w:szCs w:val="18"/>
        </w:rPr>
      </w:pPr>
      <w:r w:rsidRPr="00E51876">
        <w:rPr>
          <w:rStyle w:val="Refdenotaalpie"/>
          <w:sz w:val="18"/>
          <w:szCs w:val="18"/>
        </w:rPr>
        <w:footnoteRef/>
      </w:r>
      <w:r w:rsidRPr="00E51876">
        <w:rPr>
          <w:sz w:val="18"/>
          <w:szCs w:val="18"/>
        </w:rPr>
        <w:t xml:space="preserve"> En la versión original de </w:t>
      </w:r>
      <w:proofErr w:type="spellStart"/>
      <w:r w:rsidRPr="00E51876">
        <w:rPr>
          <w:sz w:val="18"/>
          <w:szCs w:val="18"/>
        </w:rPr>
        <w:t>Datt-Ravallion</w:t>
      </w:r>
      <w:proofErr w:type="spellEnd"/>
      <w:r w:rsidRPr="00E51876">
        <w:rPr>
          <w:sz w:val="18"/>
          <w:szCs w:val="18"/>
        </w:rPr>
        <w:t xml:space="preserve"> (1992) el componente residual daba cuenta de la interacción entre el efecto crecimiento y el efecto desigualdad. Según los autores, el mismo se interpreta como la diferencia entre el efecto crecimiento, evaluado en el periodo t y t+1 de la curva de Lorenz, y la diferencia entre el efecto redistribución evaluado en t y t+1 del ingreso per </w:t>
      </w:r>
      <w:r w:rsidR="007E3FE8" w:rsidRPr="00E51876">
        <w:rPr>
          <w:sz w:val="18"/>
          <w:szCs w:val="18"/>
        </w:rPr>
        <w:t>cápita</w:t>
      </w:r>
      <w:r w:rsidRPr="00E51876">
        <w:rPr>
          <w:sz w:val="18"/>
          <w:szCs w:val="18"/>
        </w:rPr>
        <w:t xml:space="preserve">. </w:t>
      </w:r>
      <w:proofErr w:type="spellStart"/>
      <w:r w:rsidRPr="00E51876">
        <w:rPr>
          <w:sz w:val="18"/>
          <w:szCs w:val="18"/>
        </w:rPr>
        <w:t>Datt</w:t>
      </w:r>
      <w:proofErr w:type="spellEnd"/>
      <w:r w:rsidRPr="00E51876">
        <w:rPr>
          <w:sz w:val="18"/>
          <w:szCs w:val="18"/>
        </w:rPr>
        <w:t xml:space="preserve"> y </w:t>
      </w:r>
      <w:proofErr w:type="spellStart"/>
      <w:r w:rsidRPr="00E51876">
        <w:rPr>
          <w:sz w:val="18"/>
          <w:szCs w:val="18"/>
        </w:rPr>
        <w:t>Ravallion</w:t>
      </w:r>
      <w:proofErr w:type="spellEnd"/>
      <w:r w:rsidRPr="00E51876">
        <w:rPr>
          <w:sz w:val="18"/>
          <w:szCs w:val="18"/>
        </w:rPr>
        <w:t xml:space="preserve"> afirman que los cambios marginales en el índice de pobreza asociados a variaciones en el ingreso dependen de la forma que adopte la curva de Lorenz e indican que la evolución de la pobreza depende de los cambios que se produzcan en la manera en que los recursos se distribuyan entre las familias (Medina y Galván, 2014). Ha sido ya reconocido en su versión original que este valor puede ser importante -incluso mayor que el efecto desigualdad- por lo que en ocasiones adquiere un valor significativo que resulta difícil de explicar (Medina y Galván, 2014). A pesar de esta esta limitación, este método de descomposición ha mostrado más ser útil una vez para dar cuenta de cambios estructurales entre modelos político-económicos </w:t>
      </w:r>
    </w:p>
  </w:footnote>
  <w:footnote w:id="37">
    <w:p w:rsidR="00AE3F56" w:rsidRPr="00CD225D" w:rsidRDefault="00AE3F56" w:rsidP="00AE3F56">
      <w:pPr>
        <w:pStyle w:val="Textonotapie"/>
        <w:rPr>
          <w:color w:val="auto"/>
        </w:rPr>
      </w:pPr>
      <w:r w:rsidRPr="00CD225D">
        <w:rPr>
          <w:rStyle w:val="Refdenotaalpie"/>
          <w:color w:val="auto"/>
        </w:rPr>
        <w:footnoteRef/>
      </w:r>
      <w:r w:rsidRPr="00CD225D">
        <w:rPr>
          <w:color w:val="auto"/>
        </w:rPr>
        <w:t xml:space="preserve"> Esta contradicción fue planteada </w:t>
      </w:r>
      <w:r w:rsidRPr="00CD225D">
        <w:rPr>
          <w:bCs/>
          <w:color w:val="auto"/>
          <w:lang w:val="es-AR"/>
        </w:rPr>
        <w:t xml:space="preserve">varias décadas atrás </w:t>
      </w:r>
      <w:r w:rsidRPr="00CD225D">
        <w:rPr>
          <w:color w:val="auto"/>
        </w:rPr>
        <w:t xml:space="preserve">por </w:t>
      </w:r>
      <w:proofErr w:type="spellStart"/>
      <w:r w:rsidRPr="00CD225D">
        <w:rPr>
          <w:bCs/>
          <w:color w:val="auto"/>
          <w:lang w:val="es-AR"/>
        </w:rPr>
        <w:t>Nun</w:t>
      </w:r>
      <w:proofErr w:type="spellEnd"/>
      <w:r w:rsidRPr="00CD225D">
        <w:rPr>
          <w:bCs/>
          <w:color w:val="auto"/>
          <w:lang w:val="es-AR"/>
        </w:rPr>
        <w:t xml:space="preserve"> y el equipo de investigación a su cargo (1969: 136-137), cuando –retomando la diferenciación realizada por </w:t>
      </w:r>
      <w:proofErr w:type="spellStart"/>
      <w:r w:rsidRPr="00CD225D">
        <w:rPr>
          <w:bCs/>
          <w:color w:val="auto"/>
          <w:lang w:val="es-AR"/>
        </w:rPr>
        <w:t>Lockwood</w:t>
      </w:r>
      <w:proofErr w:type="spellEnd"/>
      <w:r w:rsidRPr="00CD225D">
        <w:rPr>
          <w:bCs/>
          <w:color w:val="auto"/>
          <w:lang w:val="es-AR"/>
        </w:rPr>
        <w:t xml:space="preserve"> (1964)- planteó que la “masa marginal” –en contraste con el ejército industrial de reserva clásico- era una manifestación del bajo grado de “integración sistémica” que generaba el desarrollo capitalista desigual y dependiente en su fase monopólica. En ese sentido, </w:t>
      </w:r>
      <w:proofErr w:type="spellStart"/>
      <w:r w:rsidRPr="00CD225D">
        <w:rPr>
          <w:bCs/>
          <w:color w:val="auto"/>
          <w:lang w:val="es-AR"/>
        </w:rPr>
        <w:t>Nun</w:t>
      </w:r>
      <w:proofErr w:type="spellEnd"/>
      <w:r w:rsidRPr="00CD225D">
        <w:rPr>
          <w:bCs/>
          <w:color w:val="auto"/>
          <w:lang w:val="es-AR"/>
        </w:rPr>
        <w:t xml:space="preserve"> destacaba los resultados poco satisfactorios que presentaba la teoría de la modernización al centrar su diagnóstico en los problemas de “integración social” perdiendo de vista las contradicciones básicas de un régimen de acumulación que genera excedentes de población y se manifiesta en un empobrecimiento persistente de dichos sectores.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ACB"/>
    <w:multiLevelType w:val="multilevel"/>
    <w:tmpl w:val="E3725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DD3A7E"/>
    <w:multiLevelType w:val="hybridMultilevel"/>
    <w:tmpl w:val="9E8A8034"/>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087B004D"/>
    <w:multiLevelType w:val="hybridMultilevel"/>
    <w:tmpl w:val="5E1A6122"/>
    <w:lvl w:ilvl="0" w:tplc="5CBC211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B0B632D"/>
    <w:multiLevelType w:val="hybridMultilevel"/>
    <w:tmpl w:val="1E64477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C926E40"/>
    <w:multiLevelType w:val="hybridMultilevel"/>
    <w:tmpl w:val="44C0085C"/>
    <w:lvl w:ilvl="0" w:tplc="687827E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F80676C"/>
    <w:multiLevelType w:val="hybridMultilevel"/>
    <w:tmpl w:val="1ED064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06C3859"/>
    <w:multiLevelType w:val="hybridMultilevel"/>
    <w:tmpl w:val="F0101C40"/>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182C02C1"/>
    <w:multiLevelType w:val="hybridMultilevel"/>
    <w:tmpl w:val="FE909A3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D254520"/>
    <w:multiLevelType w:val="hybridMultilevel"/>
    <w:tmpl w:val="70A011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DBF5D1E"/>
    <w:multiLevelType w:val="hybridMultilevel"/>
    <w:tmpl w:val="22E8A70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1F50097D"/>
    <w:multiLevelType w:val="hybridMultilevel"/>
    <w:tmpl w:val="54A24826"/>
    <w:lvl w:ilvl="0" w:tplc="4E3A80CC">
      <w:start w:val="2"/>
      <w:numFmt w:val="bullet"/>
      <w:lvlText w:val="-"/>
      <w:lvlJc w:val="left"/>
      <w:pPr>
        <w:ind w:left="1068" w:hanging="360"/>
      </w:pPr>
      <w:rPr>
        <w:rFonts w:ascii="Times New Roman" w:eastAsia="Times New Roman"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1">
    <w:nsid w:val="226A6E35"/>
    <w:multiLevelType w:val="hybridMultilevel"/>
    <w:tmpl w:val="5658D082"/>
    <w:lvl w:ilvl="0" w:tplc="2C0A000F">
      <w:start w:val="1"/>
      <w:numFmt w:val="decimal"/>
      <w:lvlText w:val="%1."/>
      <w:lvlJc w:val="left"/>
      <w:pPr>
        <w:ind w:left="360" w:hanging="360"/>
      </w:pPr>
      <w:rPr>
        <w:rFont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26D85D39"/>
    <w:multiLevelType w:val="hybridMultilevel"/>
    <w:tmpl w:val="4252C3EE"/>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3">
    <w:nsid w:val="2A6A6708"/>
    <w:multiLevelType w:val="hybridMultilevel"/>
    <w:tmpl w:val="D744CDBA"/>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D93655"/>
    <w:multiLevelType w:val="hybridMultilevel"/>
    <w:tmpl w:val="B65A474C"/>
    <w:lvl w:ilvl="0" w:tplc="4E3A80CC">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12F10FC"/>
    <w:multiLevelType w:val="hybridMultilevel"/>
    <w:tmpl w:val="B3E859EA"/>
    <w:lvl w:ilvl="0" w:tplc="4E3A80CC">
      <w:start w:val="2"/>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nsid w:val="331912B1"/>
    <w:multiLevelType w:val="hybridMultilevel"/>
    <w:tmpl w:val="8D6625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3503125"/>
    <w:multiLevelType w:val="hybridMultilevel"/>
    <w:tmpl w:val="CD7CA2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8D8044F"/>
    <w:multiLevelType w:val="hybridMultilevel"/>
    <w:tmpl w:val="DBD06BC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D287340"/>
    <w:multiLevelType w:val="hybridMultilevel"/>
    <w:tmpl w:val="18DCEFCC"/>
    <w:lvl w:ilvl="0" w:tplc="8A289A3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1A0610E"/>
    <w:multiLevelType w:val="hybridMultilevel"/>
    <w:tmpl w:val="70A011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7427695"/>
    <w:multiLevelType w:val="hybridMultilevel"/>
    <w:tmpl w:val="229AE4E6"/>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830223D"/>
    <w:multiLevelType w:val="hybridMultilevel"/>
    <w:tmpl w:val="66FADD5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8702831"/>
    <w:multiLevelType w:val="multilevel"/>
    <w:tmpl w:val="64244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995EE1"/>
    <w:multiLevelType w:val="hybridMultilevel"/>
    <w:tmpl w:val="4DB20A5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CC6122E"/>
    <w:multiLevelType w:val="hybridMultilevel"/>
    <w:tmpl w:val="6B22926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nsid w:val="4FB930ED"/>
    <w:multiLevelType w:val="hybridMultilevel"/>
    <w:tmpl w:val="1E0873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547973C3"/>
    <w:multiLevelType w:val="hybridMultilevel"/>
    <w:tmpl w:val="F9C22C38"/>
    <w:lvl w:ilvl="0" w:tplc="EEA85294">
      <w:start w:val="1"/>
      <w:numFmt w:val="decimal"/>
      <w:lvlText w:val="%1)"/>
      <w:lvlJc w:val="left"/>
      <w:pPr>
        <w:ind w:left="720" w:hanging="360"/>
      </w:pPr>
      <w:rPr>
        <w:rFonts w:cs="Times New Roman" w:hint="default"/>
        <w:b w:val="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8">
    <w:nsid w:val="569714BA"/>
    <w:multiLevelType w:val="hybridMultilevel"/>
    <w:tmpl w:val="1ED064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90849BE"/>
    <w:multiLevelType w:val="hybridMultilevel"/>
    <w:tmpl w:val="762E3E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613C0D7E"/>
    <w:multiLevelType w:val="hybridMultilevel"/>
    <w:tmpl w:val="847E6BD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19C67DE"/>
    <w:multiLevelType w:val="hybridMultilevel"/>
    <w:tmpl w:val="D16E11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2257F36"/>
    <w:multiLevelType w:val="hybridMultilevel"/>
    <w:tmpl w:val="6D98C442"/>
    <w:lvl w:ilvl="0" w:tplc="36802BA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6D2B5F4A"/>
    <w:multiLevelType w:val="hybridMultilevel"/>
    <w:tmpl w:val="70A011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6FF0204C"/>
    <w:multiLevelType w:val="multilevel"/>
    <w:tmpl w:val="9E8A80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1437768"/>
    <w:multiLevelType w:val="hybridMultilevel"/>
    <w:tmpl w:val="2F007228"/>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9D820CC"/>
    <w:multiLevelType w:val="hybridMultilevel"/>
    <w:tmpl w:val="DE5037D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2"/>
  </w:num>
  <w:num w:numId="4">
    <w:abstractNumId w:val="29"/>
  </w:num>
  <w:num w:numId="5">
    <w:abstractNumId w:val="3"/>
  </w:num>
  <w:num w:numId="6">
    <w:abstractNumId w:val="1"/>
  </w:num>
  <w:num w:numId="7">
    <w:abstractNumId w:val="6"/>
  </w:num>
  <w:num w:numId="8">
    <w:abstractNumId w:val="34"/>
  </w:num>
  <w:num w:numId="9">
    <w:abstractNumId w:val="27"/>
  </w:num>
  <w:num w:numId="10">
    <w:abstractNumId w:val="35"/>
  </w:num>
  <w:num w:numId="11">
    <w:abstractNumId w:val="23"/>
  </w:num>
  <w:num w:numId="12">
    <w:abstractNumId w:val="18"/>
  </w:num>
  <w:num w:numId="13">
    <w:abstractNumId w:val="13"/>
  </w:num>
  <w:num w:numId="14">
    <w:abstractNumId w:val="0"/>
  </w:num>
  <w:num w:numId="15">
    <w:abstractNumId w:val="24"/>
  </w:num>
  <w:num w:numId="16">
    <w:abstractNumId w:val="9"/>
  </w:num>
  <w:num w:numId="17">
    <w:abstractNumId w:val="25"/>
  </w:num>
  <w:num w:numId="18">
    <w:abstractNumId w:val="22"/>
  </w:num>
  <w:num w:numId="19">
    <w:abstractNumId w:val="26"/>
  </w:num>
  <w:num w:numId="20">
    <w:abstractNumId w:val="7"/>
  </w:num>
  <w:num w:numId="21">
    <w:abstractNumId w:val="17"/>
  </w:num>
  <w:num w:numId="22">
    <w:abstractNumId w:val="36"/>
  </w:num>
  <w:num w:numId="23">
    <w:abstractNumId w:val="19"/>
  </w:num>
  <w:num w:numId="24">
    <w:abstractNumId w:val="16"/>
  </w:num>
  <w:num w:numId="25">
    <w:abstractNumId w:val="21"/>
  </w:num>
  <w:num w:numId="26">
    <w:abstractNumId w:val="31"/>
  </w:num>
  <w:num w:numId="27">
    <w:abstractNumId w:val="8"/>
  </w:num>
  <w:num w:numId="28">
    <w:abstractNumId w:val="20"/>
  </w:num>
  <w:num w:numId="29">
    <w:abstractNumId w:val="33"/>
  </w:num>
  <w:num w:numId="30">
    <w:abstractNumId w:val="14"/>
  </w:num>
  <w:num w:numId="31">
    <w:abstractNumId w:val="15"/>
  </w:num>
  <w:num w:numId="32">
    <w:abstractNumId w:val="12"/>
  </w:num>
  <w:num w:numId="33">
    <w:abstractNumId w:val="11"/>
  </w:num>
  <w:num w:numId="34">
    <w:abstractNumId w:val="10"/>
  </w:num>
  <w:num w:numId="35">
    <w:abstractNumId w:val="30"/>
  </w:num>
  <w:num w:numId="36">
    <w:abstractNumId w:val="2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87"/>
    <w:rsid w:val="00000938"/>
    <w:rsid w:val="00003C02"/>
    <w:rsid w:val="00005DA1"/>
    <w:rsid w:val="00006854"/>
    <w:rsid w:val="00006A9D"/>
    <w:rsid w:val="00006B24"/>
    <w:rsid w:val="00016618"/>
    <w:rsid w:val="0002181A"/>
    <w:rsid w:val="00023BF6"/>
    <w:rsid w:val="00025BB5"/>
    <w:rsid w:val="00027C4F"/>
    <w:rsid w:val="00030B0B"/>
    <w:rsid w:val="00033420"/>
    <w:rsid w:val="000334EB"/>
    <w:rsid w:val="0003392E"/>
    <w:rsid w:val="00034102"/>
    <w:rsid w:val="00036378"/>
    <w:rsid w:val="0003796F"/>
    <w:rsid w:val="00037C69"/>
    <w:rsid w:val="000406AC"/>
    <w:rsid w:val="0004134F"/>
    <w:rsid w:val="00041350"/>
    <w:rsid w:val="00042169"/>
    <w:rsid w:val="00042447"/>
    <w:rsid w:val="00042CB4"/>
    <w:rsid w:val="000443F1"/>
    <w:rsid w:val="00045AED"/>
    <w:rsid w:val="00047B38"/>
    <w:rsid w:val="00050CE0"/>
    <w:rsid w:val="000546C9"/>
    <w:rsid w:val="00055720"/>
    <w:rsid w:val="00057603"/>
    <w:rsid w:val="0006049D"/>
    <w:rsid w:val="00063352"/>
    <w:rsid w:val="000709D2"/>
    <w:rsid w:val="00072117"/>
    <w:rsid w:val="00072786"/>
    <w:rsid w:val="0007284E"/>
    <w:rsid w:val="000728DA"/>
    <w:rsid w:val="00073010"/>
    <w:rsid w:val="000730F1"/>
    <w:rsid w:val="00073A8C"/>
    <w:rsid w:val="00074187"/>
    <w:rsid w:val="00076AC1"/>
    <w:rsid w:val="00076B3B"/>
    <w:rsid w:val="00077274"/>
    <w:rsid w:val="00081508"/>
    <w:rsid w:val="00082C41"/>
    <w:rsid w:val="00085807"/>
    <w:rsid w:val="00087E7B"/>
    <w:rsid w:val="000923AA"/>
    <w:rsid w:val="000923E3"/>
    <w:rsid w:val="0009291A"/>
    <w:rsid w:val="0009396F"/>
    <w:rsid w:val="00094533"/>
    <w:rsid w:val="000964A3"/>
    <w:rsid w:val="000968B7"/>
    <w:rsid w:val="00096C09"/>
    <w:rsid w:val="0009783E"/>
    <w:rsid w:val="000A0663"/>
    <w:rsid w:val="000A0ED1"/>
    <w:rsid w:val="000A1121"/>
    <w:rsid w:val="000A147F"/>
    <w:rsid w:val="000A6294"/>
    <w:rsid w:val="000A6A24"/>
    <w:rsid w:val="000A6D38"/>
    <w:rsid w:val="000B106E"/>
    <w:rsid w:val="000B156D"/>
    <w:rsid w:val="000B16B8"/>
    <w:rsid w:val="000B17D7"/>
    <w:rsid w:val="000B202D"/>
    <w:rsid w:val="000B319A"/>
    <w:rsid w:val="000B3C1B"/>
    <w:rsid w:val="000B5A8B"/>
    <w:rsid w:val="000B60DB"/>
    <w:rsid w:val="000B78A3"/>
    <w:rsid w:val="000C1072"/>
    <w:rsid w:val="000C143A"/>
    <w:rsid w:val="000C298D"/>
    <w:rsid w:val="000C48FC"/>
    <w:rsid w:val="000C65DB"/>
    <w:rsid w:val="000D0298"/>
    <w:rsid w:val="000D046C"/>
    <w:rsid w:val="000D0F34"/>
    <w:rsid w:val="000D1575"/>
    <w:rsid w:val="000D22DB"/>
    <w:rsid w:val="000D519F"/>
    <w:rsid w:val="000E0BF4"/>
    <w:rsid w:val="000E48D9"/>
    <w:rsid w:val="000E5436"/>
    <w:rsid w:val="000F1530"/>
    <w:rsid w:val="000F22AA"/>
    <w:rsid w:val="000F370D"/>
    <w:rsid w:val="000F467F"/>
    <w:rsid w:val="000F4BE7"/>
    <w:rsid w:val="000F4CD7"/>
    <w:rsid w:val="000F54F7"/>
    <w:rsid w:val="000F60C5"/>
    <w:rsid w:val="000F6B75"/>
    <w:rsid w:val="00100228"/>
    <w:rsid w:val="001003EB"/>
    <w:rsid w:val="00100F31"/>
    <w:rsid w:val="001014D4"/>
    <w:rsid w:val="0010270A"/>
    <w:rsid w:val="00104887"/>
    <w:rsid w:val="001049DB"/>
    <w:rsid w:val="00106077"/>
    <w:rsid w:val="00110A4C"/>
    <w:rsid w:val="00110AC7"/>
    <w:rsid w:val="00113EA1"/>
    <w:rsid w:val="00114F1C"/>
    <w:rsid w:val="00122DFA"/>
    <w:rsid w:val="00123EF3"/>
    <w:rsid w:val="00124527"/>
    <w:rsid w:val="001249E6"/>
    <w:rsid w:val="0012504D"/>
    <w:rsid w:val="00130942"/>
    <w:rsid w:val="00130C49"/>
    <w:rsid w:val="00135729"/>
    <w:rsid w:val="00140367"/>
    <w:rsid w:val="00142319"/>
    <w:rsid w:val="00143ACE"/>
    <w:rsid w:val="00143E66"/>
    <w:rsid w:val="00143E70"/>
    <w:rsid w:val="00146442"/>
    <w:rsid w:val="00152503"/>
    <w:rsid w:val="00152BFB"/>
    <w:rsid w:val="00152D55"/>
    <w:rsid w:val="001536F1"/>
    <w:rsid w:val="00154848"/>
    <w:rsid w:val="00155061"/>
    <w:rsid w:val="00155389"/>
    <w:rsid w:val="001560D7"/>
    <w:rsid w:val="00157A84"/>
    <w:rsid w:val="0016180C"/>
    <w:rsid w:val="0016525E"/>
    <w:rsid w:val="001672F6"/>
    <w:rsid w:val="00170AE4"/>
    <w:rsid w:val="00173B08"/>
    <w:rsid w:val="0017502A"/>
    <w:rsid w:val="00175943"/>
    <w:rsid w:val="00176932"/>
    <w:rsid w:val="001807A2"/>
    <w:rsid w:val="00181584"/>
    <w:rsid w:val="00181CAF"/>
    <w:rsid w:val="001842F5"/>
    <w:rsid w:val="00187752"/>
    <w:rsid w:val="00187A0B"/>
    <w:rsid w:val="00190152"/>
    <w:rsid w:val="0019095F"/>
    <w:rsid w:val="001925C4"/>
    <w:rsid w:val="00192C23"/>
    <w:rsid w:val="00193211"/>
    <w:rsid w:val="0019434F"/>
    <w:rsid w:val="00194718"/>
    <w:rsid w:val="001962DD"/>
    <w:rsid w:val="00196D00"/>
    <w:rsid w:val="001973A8"/>
    <w:rsid w:val="001A072B"/>
    <w:rsid w:val="001A1CF5"/>
    <w:rsid w:val="001A1DEE"/>
    <w:rsid w:val="001A3144"/>
    <w:rsid w:val="001A3189"/>
    <w:rsid w:val="001A6E40"/>
    <w:rsid w:val="001A7333"/>
    <w:rsid w:val="001A7520"/>
    <w:rsid w:val="001A7CC6"/>
    <w:rsid w:val="001B20D3"/>
    <w:rsid w:val="001B2170"/>
    <w:rsid w:val="001B3A0E"/>
    <w:rsid w:val="001B4490"/>
    <w:rsid w:val="001B52DA"/>
    <w:rsid w:val="001B5730"/>
    <w:rsid w:val="001B5CBF"/>
    <w:rsid w:val="001B6C68"/>
    <w:rsid w:val="001C02B2"/>
    <w:rsid w:val="001C1F65"/>
    <w:rsid w:val="001C270B"/>
    <w:rsid w:val="001C40D6"/>
    <w:rsid w:val="001C440E"/>
    <w:rsid w:val="001C5DA9"/>
    <w:rsid w:val="001C657C"/>
    <w:rsid w:val="001D023F"/>
    <w:rsid w:val="001D1114"/>
    <w:rsid w:val="001D1D79"/>
    <w:rsid w:val="001D2758"/>
    <w:rsid w:val="001D3AB9"/>
    <w:rsid w:val="001D447B"/>
    <w:rsid w:val="001D5366"/>
    <w:rsid w:val="001D56EC"/>
    <w:rsid w:val="001D5773"/>
    <w:rsid w:val="001D7408"/>
    <w:rsid w:val="001D7B39"/>
    <w:rsid w:val="001D7FFE"/>
    <w:rsid w:val="001E42EE"/>
    <w:rsid w:val="001E68CB"/>
    <w:rsid w:val="001F0D71"/>
    <w:rsid w:val="001F1759"/>
    <w:rsid w:val="001F1B50"/>
    <w:rsid w:val="001F31B5"/>
    <w:rsid w:val="001F413C"/>
    <w:rsid w:val="001F4E8E"/>
    <w:rsid w:val="001F4FD9"/>
    <w:rsid w:val="001F658F"/>
    <w:rsid w:val="001F7F86"/>
    <w:rsid w:val="001F7F8D"/>
    <w:rsid w:val="002053F2"/>
    <w:rsid w:val="002073FC"/>
    <w:rsid w:val="002101F9"/>
    <w:rsid w:val="0021276D"/>
    <w:rsid w:val="00212AD4"/>
    <w:rsid w:val="00214239"/>
    <w:rsid w:val="00215A41"/>
    <w:rsid w:val="002164BC"/>
    <w:rsid w:val="00221632"/>
    <w:rsid w:val="00221D18"/>
    <w:rsid w:val="00223923"/>
    <w:rsid w:val="00224D4D"/>
    <w:rsid w:val="0022544A"/>
    <w:rsid w:val="00225E82"/>
    <w:rsid w:val="00230010"/>
    <w:rsid w:val="0023093F"/>
    <w:rsid w:val="00233876"/>
    <w:rsid w:val="0023449B"/>
    <w:rsid w:val="00234C04"/>
    <w:rsid w:val="00235557"/>
    <w:rsid w:val="00235CC9"/>
    <w:rsid w:val="00236C7C"/>
    <w:rsid w:val="0024122B"/>
    <w:rsid w:val="002428F3"/>
    <w:rsid w:val="002430B8"/>
    <w:rsid w:val="00243998"/>
    <w:rsid w:val="0024424C"/>
    <w:rsid w:val="00244707"/>
    <w:rsid w:val="0024655C"/>
    <w:rsid w:val="00251AA7"/>
    <w:rsid w:val="00255D7F"/>
    <w:rsid w:val="00255DF6"/>
    <w:rsid w:val="002563A5"/>
    <w:rsid w:val="002609F8"/>
    <w:rsid w:val="0026157B"/>
    <w:rsid w:val="0026196D"/>
    <w:rsid w:val="00261D1D"/>
    <w:rsid w:val="00262CD6"/>
    <w:rsid w:val="0026343D"/>
    <w:rsid w:val="002645A2"/>
    <w:rsid w:val="00265BFA"/>
    <w:rsid w:val="00265F82"/>
    <w:rsid w:val="00266046"/>
    <w:rsid w:val="00267332"/>
    <w:rsid w:val="00267E65"/>
    <w:rsid w:val="00277A65"/>
    <w:rsid w:val="002805E1"/>
    <w:rsid w:val="002813DF"/>
    <w:rsid w:val="002820C2"/>
    <w:rsid w:val="00286274"/>
    <w:rsid w:val="002916FF"/>
    <w:rsid w:val="00291B0A"/>
    <w:rsid w:val="00293099"/>
    <w:rsid w:val="00293DE4"/>
    <w:rsid w:val="00294A6C"/>
    <w:rsid w:val="00297CE7"/>
    <w:rsid w:val="002A293D"/>
    <w:rsid w:val="002A2DC7"/>
    <w:rsid w:val="002A2E01"/>
    <w:rsid w:val="002A3CE6"/>
    <w:rsid w:val="002B0740"/>
    <w:rsid w:val="002B08CA"/>
    <w:rsid w:val="002B13EB"/>
    <w:rsid w:val="002B19C0"/>
    <w:rsid w:val="002B3502"/>
    <w:rsid w:val="002B3737"/>
    <w:rsid w:val="002B4DED"/>
    <w:rsid w:val="002B53F8"/>
    <w:rsid w:val="002B7EBD"/>
    <w:rsid w:val="002C1BA3"/>
    <w:rsid w:val="002C2345"/>
    <w:rsid w:val="002C2744"/>
    <w:rsid w:val="002C3CC6"/>
    <w:rsid w:val="002C63DF"/>
    <w:rsid w:val="002D0100"/>
    <w:rsid w:val="002D196B"/>
    <w:rsid w:val="002D7061"/>
    <w:rsid w:val="002E1DB3"/>
    <w:rsid w:val="002E2A1B"/>
    <w:rsid w:val="002E6F74"/>
    <w:rsid w:val="002F0896"/>
    <w:rsid w:val="002F0939"/>
    <w:rsid w:val="002F18BE"/>
    <w:rsid w:val="002F1BF4"/>
    <w:rsid w:val="002F31B7"/>
    <w:rsid w:val="002F4056"/>
    <w:rsid w:val="002F48CB"/>
    <w:rsid w:val="002F55DF"/>
    <w:rsid w:val="002F5768"/>
    <w:rsid w:val="002F7268"/>
    <w:rsid w:val="002F7373"/>
    <w:rsid w:val="00300128"/>
    <w:rsid w:val="00304E98"/>
    <w:rsid w:val="003051E1"/>
    <w:rsid w:val="0030565F"/>
    <w:rsid w:val="00307733"/>
    <w:rsid w:val="00311321"/>
    <w:rsid w:val="00313ED4"/>
    <w:rsid w:val="00314ED4"/>
    <w:rsid w:val="003155B7"/>
    <w:rsid w:val="00316184"/>
    <w:rsid w:val="00316AD3"/>
    <w:rsid w:val="00317B88"/>
    <w:rsid w:val="00317FCD"/>
    <w:rsid w:val="003214E6"/>
    <w:rsid w:val="00323111"/>
    <w:rsid w:val="003248BF"/>
    <w:rsid w:val="00325940"/>
    <w:rsid w:val="0032614A"/>
    <w:rsid w:val="00331E20"/>
    <w:rsid w:val="0033293C"/>
    <w:rsid w:val="003338D5"/>
    <w:rsid w:val="00334B15"/>
    <w:rsid w:val="003354F6"/>
    <w:rsid w:val="00336B4D"/>
    <w:rsid w:val="003408E4"/>
    <w:rsid w:val="003420BA"/>
    <w:rsid w:val="00343ADB"/>
    <w:rsid w:val="003447E1"/>
    <w:rsid w:val="0034689E"/>
    <w:rsid w:val="00350775"/>
    <w:rsid w:val="00350839"/>
    <w:rsid w:val="0035160E"/>
    <w:rsid w:val="00353186"/>
    <w:rsid w:val="00354069"/>
    <w:rsid w:val="003543E9"/>
    <w:rsid w:val="00355015"/>
    <w:rsid w:val="00355CE1"/>
    <w:rsid w:val="00357109"/>
    <w:rsid w:val="003606AE"/>
    <w:rsid w:val="003645BB"/>
    <w:rsid w:val="0036654F"/>
    <w:rsid w:val="003665C5"/>
    <w:rsid w:val="003669DB"/>
    <w:rsid w:val="00367DFF"/>
    <w:rsid w:val="003726E8"/>
    <w:rsid w:val="003740FE"/>
    <w:rsid w:val="00374EE6"/>
    <w:rsid w:val="003765F3"/>
    <w:rsid w:val="00376670"/>
    <w:rsid w:val="00381BA4"/>
    <w:rsid w:val="00382891"/>
    <w:rsid w:val="003829DF"/>
    <w:rsid w:val="00386578"/>
    <w:rsid w:val="00386787"/>
    <w:rsid w:val="00387C51"/>
    <w:rsid w:val="003904B0"/>
    <w:rsid w:val="0039189B"/>
    <w:rsid w:val="0039300F"/>
    <w:rsid w:val="00393C4C"/>
    <w:rsid w:val="00393F70"/>
    <w:rsid w:val="00394F71"/>
    <w:rsid w:val="003959F5"/>
    <w:rsid w:val="003A1098"/>
    <w:rsid w:val="003A208E"/>
    <w:rsid w:val="003A2137"/>
    <w:rsid w:val="003A4AD4"/>
    <w:rsid w:val="003A4B84"/>
    <w:rsid w:val="003A74FE"/>
    <w:rsid w:val="003B3100"/>
    <w:rsid w:val="003B7AFA"/>
    <w:rsid w:val="003C16E6"/>
    <w:rsid w:val="003C1EE7"/>
    <w:rsid w:val="003C415D"/>
    <w:rsid w:val="003C5823"/>
    <w:rsid w:val="003C75CD"/>
    <w:rsid w:val="003D1232"/>
    <w:rsid w:val="003D1784"/>
    <w:rsid w:val="003D19B2"/>
    <w:rsid w:val="003D1EEF"/>
    <w:rsid w:val="003D2362"/>
    <w:rsid w:val="003D47BA"/>
    <w:rsid w:val="003D52ED"/>
    <w:rsid w:val="003D61C1"/>
    <w:rsid w:val="003D63EC"/>
    <w:rsid w:val="003D6932"/>
    <w:rsid w:val="003E2717"/>
    <w:rsid w:val="003E34CC"/>
    <w:rsid w:val="003E3B9E"/>
    <w:rsid w:val="003E6EA4"/>
    <w:rsid w:val="003E7300"/>
    <w:rsid w:val="003E7333"/>
    <w:rsid w:val="003E78C6"/>
    <w:rsid w:val="003F250E"/>
    <w:rsid w:val="003F3F3A"/>
    <w:rsid w:val="003F4134"/>
    <w:rsid w:val="003F5E1F"/>
    <w:rsid w:val="004030FA"/>
    <w:rsid w:val="004076CD"/>
    <w:rsid w:val="00407AC7"/>
    <w:rsid w:val="00410C8D"/>
    <w:rsid w:val="00411902"/>
    <w:rsid w:val="00414509"/>
    <w:rsid w:val="00416D59"/>
    <w:rsid w:val="00417BDA"/>
    <w:rsid w:val="0042136D"/>
    <w:rsid w:val="004213AD"/>
    <w:rsid w:val="0042181E"/>
    <w:rsid w:val="00421D2F"/>
    <w:rsid w:val="004228AC"/>
    <w:rsid w:val="00422EDF"/>
    <w:rsid w:val="00424448"/>
    <w:rsid w:val="00426626"/>
    <w:rsid w:val="00426F38"/>
    <w:rsid w:val="004277F2"/>
    <w:rsid w:val="004312D2"/>
    <w:rsid w:val="004336E3"/>
    <w:rsid w:val="00433E76"/>
    <w:rsid w:val="00436B4E"/>
    <w:rsid w:val="0043708D"/>
    <w:rsid w:val="004426BE"/>
    <w:rsid w:val="004461A6"/>
    <w:rsid w:val="0045032E"/>
    <w:rsid w:val="004540F5"/>
    <w:rsid w:val="00455533"/>
    <w:rsid w:val="004572B4"/>
    <w:rsid w:val="0046101E"/>
    <w:rsid w:val="00463A76"/>
    <w:rsid w:val="00466838"/>
    <w:rsid w:val="004712DB"/>
    <w:rsid w:val="00471445"/>
    <w:rsid w:val="0047180A"/>
    <w:rsid w:val="004719F1"/>
    <w:rsid w:val="00472703"/>
    <w:rsid w:val="00473B70"/>
    <w:rsid w:val="004742B0"/>
    <w:rsid w:val="00474ED5"/>
    <w:rsid w:val="00475538"/>
    <w:rsid w:val="0047598E"/>
    <w:rsid w:val="00476F6F"/>
    <w:rsid w:val="00477B41"/>
    <w:rsid w:val="00477DE3"/>
    <w:rsid w:val="004807C0"/>
    <w:rsid w:val="00481A01"/>
    <w:rsid w:val="00481AE7"/>
    <w:rsid w:val="00482050"/>
    <w:rsid w:val="00482BA0"/>
    <w:rsid w:val="00483355"/>
    <w:rsid w:val="004836AA"/>
    <w:rsid w:val="00484FA7"/>
    <w:rsid w:val="00486703"/>
    <w:rsid w:val="00487821"/>
    <w:rsid w:val="0048793F"/>
    <w:rsid w:val="004919B9"/>
    <w:rsid w:val="00491E3B"/>
    <w:rsid w:val="00494C25"/>
    <w:rsid w:val="00494D4F"/>
    <w:rsid w:val="00495EFE"/>
    <w:rsid w:val="00497C61"/>
    <w:rsid w:val="004A09D3"/>
    <w:rsid w:val="004A18CD"/>
    <w:rsid w:val="004A197D"/>
    <w:rsid w:val="004A24AB"/>
    <w:rsid w:val="004A4085"/>
    <w:rsid w:val="004A62F7"/>
    <w:rsid w:val="004A729E"/>
    <w:rsid w:val="004B0EB8"/>
    <w:rsid w:val="004B1031"/>
    <w:rsid w:val="004B1E4D"/>
    <w:rsid w:val="004B266C"/>
    <w:rsid w:val="004B2726"/>
    <w:rsid w:val="004B3633"/>
    <w:rsid w:val="004B3851"/>
    <w:rsid w:val="004B442E"/>
    <w:rsid w:val="004B6A67"/>
    <w:rsid w:val="004B6AF2"/>
    <w:rsid w:val="004B7AC5"/>
    <w:rsid w:val="004C0645"/>
    <w:rsid w:val="004C08FC"/>
    <w:rsid w:val="004C117F"/>
    <w:rsid w:val="004C1502"/>
    <w:rsid w:val="004C1D14"/>
    <w:rsid w:val="004C2426"/>
    <w:rsid w:val="004C3C88"/>
    <w:rsid w:val="004C5460"/>
    <w:rsid w:val="004C6052"/>
    <w:rsid w:val="004D29BC"/>
    <w:rsid w:val="004D2A43"/>
    <w:rsid w:val="004D3025"/>
    <w:rsid w:val="004D42C6"/>
    <w:rsid w:val="004D647C"/>
    <w:rsid w:val="004D6D2A"/>
    <w:rsid w:val="004E0875"/>
    <w:rsid w:val="004E3957"/>
    <w:rsid w:val="004E4328"/>
    <w:rsid w:val="004E43A3"/>
    <w:rsid w:val="004E4F07"/>
    <w:rsid w:val="004F01CF"/>
    <w:rsid w:val="004F2719"/>
    <w:rsid w:val="004F3503"/>
    <w:rsid w:val="004F4E9C"/>
    <w:rsid w:val="004F4EF9"/>
    <w:rsid w:val="004F504A"/>
    <w:rsid w:val="004F5D81"/>
    <w:rsid w:val="004F6287"/>
    <w:rsid w:val="004F725C"/>
    <w:rsid w:val="00501A42"/>
    <w:rsid w:val="00502B46"/>
    <w:rsid w:val="00502EB6"/>
    <w:rsid w:val="0050405F"/>
    <w:rsid w:val="00504A3C"/>
    <w:rsid w:val="005067EF"/>
    <w:rsid w:val="00506BEF"/>
    <w:rsid w:val="005074F1"/>
    <w:rsid w:val="0051043B"/>
    <w:rsid w:val="0051178B"/>
    <w:rsid w:val="00512371"/>
    <w:rsid w:val="005133BA"/>
    <w:rsid w:val="0051398B"/>
    <w:rsid w:val="00515054"/>
    <w:rsid w:val="00515108"/>
    <w:rsid w:val="00515394"/>
    <w:rsid w:val="00515FCC"/>
    <w:rsid w:val="00516800"/>
    <w:rsid w:val="00520BBC"/>
    <w:rsid w:val="005231B9"/>
    <w:rsid w:val="0052454E"/>
    <w:rsid w:val="00527693"/>
    <w:rsid w:val="005279E2"/>
    <w:rsid w:val="0053139C"/>
    <w:rsid w:val="0053268E"/>
    <w:rsid w:val="00532A1F"/>
    <w:rsid w:val="00534613"/>
    <w:rsid w:val="0053530B"/>
    <w:rsid w:val="00535346"/>
    <w:rsid w:val="00537E2E"/>
    <w:rsid w:val="00541F9E"/>
    <w:rsid w:val="00542216"/>
    <w:rsid w:val="00546F3D"/>
    <w:rsid w:val="00550119"/>
    <w:rsid w:val="005511DC"/>
    <w:rsid w:val="0055367B"/>
    <w:rsid w:val="00561DEC"/>
    <w:rsid w:val="0056387E"/>
    <w:rsid w:val="00563987"/>
    <w:rsid w:val="00563F07"/>
    <w:rsid w:val="00565C13"/>
    <w:rsid w:val="00566E89"/>
    <w:rsid w:val="00570CC8"/>
    <w:rsid w:val="005717FA"/>
    <w:rsid w:val="00574ACE"/>
    <w:rsid w:val="00574C98"/>
    <w:rsid w:val="00576103"/>
    <w:rsid w:val="00577334"/>
    <w:rsid w:val="00577341"/>
    <w:rsid w:val="00580CCA"/>
    <w:rsid w:val="0058480B"/>
    <w:rsid w:val="0058717A"/>
    <w:rsid w:val="0059193B"/>
    <w:rsid w:val="0059201C"/>
    <w:rsid w:val="00592942"/>
    <w:rsid w:val="00594BBE"/>
    <w:rsid w:val="005963B9"/>
    <w:rsid w:val="00596C90"/>
    <w:rsid w:val="00597735"/>
    <w:rsid w:val="005A0F9D"/>
    <w:rsid w:val="005A470D"/>
    <w:rsid w:val="005A4CC7"/>
    <w:rsid w:val="005A4CF3"/>
    <w:rsid w:val="005A56F3"/>
    <w:rsid w:val="005A6AA3"/>
    <w:rsid w:val="005A768B"/>
    <w:rsid w:val="005B2BCA"/>
    <w:rsid w:val="005B3C0D"/>
    <w:rsid w:val="005B438B"/>
    <w:rsid w:val="005B6C99"/>
    <w:rsid w:val="005B6ED5"/>
    <w:rsid w:val="005B713F"/>
    <w:rsid w:val="005C042D"/>
    <w:rsid w:val="005C0F75"/>
    <w:rsid w:val="005C524B"/>
    <w:rsid w:val="005C7C8B"/>
    <w:rsid w:val="005D01E9"/>
    <w:rsid w:val="005D2024"/>
    <w:rsid w:val="005D27D0"/>
    <w:rsid w:val="005D2997"/>
    <w:rsid w:val="005D3681"/>
    <w:rsid w:val="005D4C7E"/>
    <w:rsid w:val="005D525B"/>
    <w:rsid w:val="005D76C9"/>
    <w:rsid w:val="005D7A9C"/>
    <w:rsid w:val="005D7D38"/>
    <w:rsid w:val="005E245A"/>
    <w:rsid w:val="005E48AC"/>
    <w:rsid w:val="005E6172"/>
    <w:rsid w:val="005F0C62"/>
    <w:rsid w:val="005F2131"/>
    <w:rsid w:val="005F4043"/>
    <w:rsid w:val="005F4517"/>
    <w:rsid w:val="005F48CD"/>
    <w:rsid w:val="005F4D3A"/>
    <w:rsid w:val="005F5A57"/>
    <w:rsid w:val="005F5CA1"/>
    <w:rsid w:val="005F5E00"/>
    <w:rsid w:val="005F5FFA"/>
    <w:rsid w:val="005F6FF1"/>
    <w:rsid w:val="00602354"/>
    <w:rsid w:val="00602B07"/>
    <w:rsid w:val="00602DAC"/>
    <w:rsid w:val="00605031"/>
    <w:rsid w:val="006051D7"/>
    <w:rsid w:val="00605B0C"/>
    <w:rsid w:val="006109B4"/>
    <w:rsid w:val="00612EF5"/>
    <w:rsid w:val="00615505"/>
    <w:rsid w:val="006174BE"/>
    <w:rsid w:val="0062215F"/>
    <w:rsid w:val="0062324B"/>
    <w:rsid w:val="006242B3"/>
    <w:rsid w:val="0062612B"/>
    <w:rsid w:val="0062785E"/>
    <w:rsid w:val="00627F5C"/>
    <w:rsid w:val="00633DF2"/>
    <w:rsid w:val="00634F6F"/>
    <w:rsid w:val="00640FFD"/>
    <w:rsid w:val="00642E07"/>
    <w:rsid w:val="00644584"/>
    <w:rsid w:val="0064497C"/>
    <w:rsid w:val="00651AAE"/>
    <w:rsid w:val="0065289A"/>
    <w:rsid w:val="0065647C"/>
    <w:rsid w:val="00656A95"/>
    <w:rsid w:val="00660FFF"/>
    <w:rsid w:val="006633A2"/>
    <w:rsid w:val="00664886"/>
    <w:rsid w:val="006659F9"/>
    <w:rsid w:val="0066645C"/>
    <w:rsid w:val="00666735"/>
    <w:rsid w:val="00666B3D"/>
    <w:rsid w:val="00666D90"/>
    <w:rsid w:val="00667F89"/>
    <w:rsid w:val="006712EC"/>
    <w:rsid w:val="006763A6"/>
    <w:rsid w:val="00684019"/>
    <w:rsid w:val="0068567A"/>
    <w:rsid w:val="00690C09"/>
    <w:rsid w:val="00691F73"/>
    <w:rsid w:val="00692747"/>
    <w:rsid w:val="00692CEA"/>
    <w:rsid w:val="006937F2"/>
    <w:rsid w:val="00693E9B"/>
    <w:rsid w:val="00696CDC"/>
    <w:rsid w:val="0069707D"/>
    <w:rsid w:val="006A0F05"/>
    <w:rsid w:val="006A2FFF"/>
    <w:rsid w:val="006A33A3"/>
    <w:rsid w:val="006A3859"/>
    <w:rsid w:val="006A4659"/>
    <w:rsid w:val="006A4860"/>
    <w:rsid w:val="006A6BD6"/>
    <w:rsid w:val="006A7758"/>
    <w:rsid w:val="006B2B7D"/>
    <w:rsid w:val="006B329A"/>
    <w:rsid w:val="006B672C"/>
    <w:rsid w:val="006B78FD"/>
    <w:rsid w:val="006B7B06"/>
    <w:rsid w:val="006C1A5B"/>
    <w:rsid w:val="006C2D2F"/>
    <w:rsid w:val="006C48F5"/>
    <w:rsid w:val="006C72AB"/>
    <w:rsid w:val="006D015D"/>
    <w:rsid w:val="006D071B"/>
    <w:rsid w:val="006D184E"/>
    <w:rsid w:val="006D24B2"/>
    <w:rsid w:val="006D3004"/>
    <w:rsid w:val="006D32BB"/>
    <w:rsid w:val="006D44A4"/>
    <w:rsid w:val="006D5254"/>
    <w:rsid w:val="006D5D34"/>
    <w:rsid w:val="006D5EFB"/>
    <w:rsid w:val="006D6D7F"/>
    <w:rsid w:val="006E28C0"/>
    <w:rsid w:val="006E4C6C"/>
    <w:rsid w:val="006E5489"/>
    <w:rsid w:val="006E6884"/>
    <w:rsid w:val="006F154A"/>
    <w:rsid w:val="006F2828"/>
    <w:rsid w:val="006F2A73"/>
    <w:rsid w:val="006F2EA3"/>
    <w:rsid w:val="006F3697"/>
    <w:rsid w:val="006F3798"/>
    <w:rsid w:val="006F484E"/>
    <w:rsid w:val="006F527F"/>
    <w:rsid w:val="006F5964"/>
    <w:rsid w:val="006F5B40"/>
    <w:rsid w:val="007025C3"/>
    <w:rsid w:val="0070345E"/>
    <w:rsid w:val="00703C5A"/>
    <w:rsid w:val="0070404F"/>
    <w:rsid w:val="00707A36"/>
    <w:rsid w:val="007114CB"/>
    <w:rsid w:val="00712766"/>
    <w:rsid w:val="00712D93"/>
    <w:rsid w:val="00716394"/>
    <w:rsid w:val="00717392"/>
    <w:rsid w:val="007173B9"/>
    <w:rsid w:val="00717849"/>
    <w:rsid w:val="007202BF"/>
    <w:rsid w:val="00722B1A"/>
    <w:rsid w:val="0072670E"/>
    <w:rsid w:val="00726E56"/>
    <w:rsid w:val="00727151"/>
    <w:rsid w:val="00727A2B"/>
    <w:rsid w:val="00734802"/>
    <w:rsid w:val="0074154D"/>
    <w:rsid w:val="00741CA0"/>
    <w:rsid w:val="007451D3"/>
    <w:rsid w:val="00745709"/>
    <w:rsid w:val="00747D78"/>
    <w:rsid w:val="007500FD"/>
    <w:rsid w:val="00750433"/>
    <w:rsid w:val="00750585"/>
    <w:rsid w:val="007515B9"/>
    <w:rsid w:val="007518F4"/>
    <w:rsid w:val="00751ACC"/>
    <w:rsid w:val="007543AC"/>
    <w:rsid w:val="007554F4"/>
    <w:rsid w:val="007562BC"/>
    <w:rsid w:val="0075637E"/>
    <w:rsid w:val="007573A6"/>
    <w:rsid w:val="00757A62"/>
    <w:rsid w:val="007607FA"/>
    <w:rsid w:val="00761702"/>
    <w:rsid w:val="00762A87"/>
    <w:rsid w:val="00764D76"/>
    <w:rsid w:val="00764DBB"/>
    <w:rsid w:val="00766F63"/>
    <w:rsid w:val="00770A9B"/>
    <w:rsid w:val="00770B62"/>
    <w:rsid w:val="00770C76"/>
    <w:rsid w:val="00772E88"/>
    <w:rsid w:val="00773CF6"/>
    <w:rsid w:val="00773E3C"/>
    <w:rsid w:val="00775596"/>
    <w:rsid w:val="0077568E"/>
    <w:rsid w:val="007802CD"/>
    <w:rsid w:val="00780C95"/>
    <w:rsid w:val="00782942"/>
    <w:rsid w:val="00784E1D"/>
    <w:rsid w:val="00785326"/>
    <w:rsid w:val="00786E40"/>
    <w:rsid w:val="0079146D"/>
    <w:rsid w:val="007941D3"/>
    <w:rsid w:val="00795857"/>
    <w:rsid w:val="007A024A"/>
    <w:rsid w:val="007A02EB"/>
    <w:rsid w:val="007A18D0"/>
    <w:rsid w:val="007A22CA"/>
    <w:rsid w:val="007A3F8C"/>
    <w:rsid w:val="007A4B96"/>
    <w:rsid w:val="007A5154"/>
    <w:rsid w:val="007A6DE6"/>
    <w:rsid w:val="007A7E67"/>
    <w:rsid w:val="007B067A"/>
    <w:rsid w:val="007B3819"/>
    <w:rsid w:val="007B47AA"/>
    <w:rsid w:val="007C00A9"/>
    <w:rsid w:val="007C0C3C"/>
    <w:rsid w:val="007C14C8"/>
    <w:rsid w:val="007C1CDC"/>
    <w:rsid w:val="007C34C6"/>
    <w:rsid w:val="007D1F93"/>
    <w:rsid w:val="007D27A3"/>
    <w:rsid w:val="007D2BCC"/>
    <w:rsid w:val="007D7EC2"/>
    <w:rsid w:val="007E0204"/>
    <w:rsid w:val="007E3183"/>
    <w:rsid w:val="007E3FE8"/>
    <w:rsid w:val="007E49E9"/>
    <w:rsid w:val="007E4BCE"/>
    <w:rsid w:val="007E52E9"/>
    <w:rsid w:val="007E5C77"/>
    <w:rsid w:val="007E77B7"/>
    <w:rsid w:val="007F0C60"/>
    <w:rsid w:val="007F3195"/>
    <w:rsid w:val="007F3946"/>
    <w:rsid w:val="007F5B75"/>
    <w:rsid w:val="007F66BF"/>
    <w:rsid w:val="007F6822"/>
    <w:rsid w:val="007F6E37"/>
    <w:rsid w:val="007F7218"/>
    <w:rsid w:val="007F7A0F"/>
    <w:rsid w:val="00800935"/>
    <w:rsid w:val="00801311"/>
    <w:rsid w:val="00801D3D"/>
    <w:rsid w:val="008021CD"/>
    <w:rsid w:val="00802AE9"/>
    <w:rsid w:val="00804DE9"/>
    <w:rsid w:val="00806A49"/>
    <w:rsid w:val="00807A7A"/>
    <w:rsid w:val="00810042"/>
    <w:rsid w:val="00814C3C"/>
    <w:rsid w:val="00815850"/>
    <w:rsid w:val="00821169"/>
    <w:rsid w:val="00827719"/>
    <w:rsid w:val="0083038C"/>
    <w:rsid w:val="008325D9"/>
    <w:rsid w:val="00832BA6"/>
    <w:rsid w:val="00833A46"/>
    <w:rsid w:val="008414F3"/>
    <w:rsid w:val="00841D85"/>
    <w:rsid w:val="00845CAC"/>
    <w:rsid w:val="00846C6C"/>
    <w:rsid w:val="008479A0"/>
    <w:rsid w:val="008507A4"/>
    <w:rsid w:val="008518C8"/>
    <w:rsid w:val="00851F96"/>
    <w:rsid w:val="00853126"/>
    <w:rsid w:val="00853301"/>
    <w:rsid w:val="008536C8"/>
    <w:rsid w:val="00854509"/>
    <w:rsid w:val="00855945"/>
    <w:rsid w:val="0085622A"/>
    <w:rsid w:val="00860CD3"/>
    <w:rsid w:val="00861CEA"/>
    <w:rsid w:val="008639F4"/>
    <w:rsid w:val="00863D2B"/>
    <w:rsid w:val="008642E8"/>
    <w:rsid w:val="0086670A"/>
    <w:rsid w:val="00866FC4"/>
    <w:rsid w:val="008745A1"/>
    <w:rsid w:val="008754D6"/>
    <w:rsid w:val="00877146"/>
    <w:rsid w:val="0087761B"/>
    <w:rsid w:val="00882B93"/>
    <w:rsid w:val="0088463D"/>
    <w:rsid w:val="00885464"/>
    <w:rsid w:val="00886E8B"/>
    <w:rsid w:val="0088729A"/>
    <w:rsid w:val="00887545"/>
    <w:rsid w:val="00887D21"/>
    <w:rsid w:val="008904F9"/>
    <w:rsid w:val="0089320E"/>
    <w:rsid w:val="00897D56"/>
    <w:rsid w:val="008A0A55"/>
    <w:rsid w:val="008A1476"/>
    <w:rsid w:val="008A163B"/>
    <w:rsid w:val="008A2789"/>
    <w:rsid w:val="008A303E"/>
    <w:rsid w:val="008A4598"/>
    <w:rsid w:val="008A5522"/>
    <w:rsid w:val="008A576B"/>
    <w:rsid w:val="008A7CE5"/>
    <w:rsid w:val="008B38C7"/>
    <w:rsid w:val="008B507B"/>
    <w:rsid w:val="008B72D1"/>
    <w:rsid w:val="008C0E60"/>
    <w:rsid w:val="008C3E7F"/>
    <w:rsid w:val="008C5C3C"/>
    <w:rsid w:val="008D2F58"/>
    <w:rsid w:val="008D3BF3"/>
    <w:rsid w:val="008D6E89"/>
    <w:rsid w:val="008D6FEE"/>
    <w:rsid w:val="008D74F4"/>
    <w:rsid w:val="008E0CA5"/>
    <w:rsid w:val="008E12D7"/>
    <w:rsid w:val="008E242E"/>
    <w:rsid w:val="008E29A3"/>
    <w:rsid w:val="008E42D9"/>
    <w:rsid w:val="008E454E"/>
    <w:rsid w:val="008E53DB"/>
    <w:rsid w:val="008E5C3B"/>
    <w:rsid w:val="008E5F98"/>
    <w:rsid w:val="008F0C3E"/>
    <w:rsid w:val="008F2242"/>
    <w:rsid w:val="008F32B8"/>
    <w:rsid w:val="008F3383"/>
    <w:rsid w:val="008F7BE1"/>
    <w:rsid w:val="009028EF"/>
    <w:rsid w:val="00904A82"/>
    <w:rsid w:val="00906528"/>
    <w:rsid w:val="009072CD"/>
    <w:rsid w:val="00907436"/>
    <w:rsid w:val="009117A9"/>
    <w:rsid w:val="00911B88"/>
    <w:rsid w:val="00912DDA"/>
    <w:rsid w:val="0091675D"/>
    <w:rsid w:val="00916D02"/>
    <w:rsid w:val="009215F7"/>
    <w:rsid w:val="00921A65"/>
    <w:rsid w:val="00923AD2"/>
    <w:rsid w:val="0092500B"/>
    <w:rsid w:val="00925177"/>
    <w:rsid w:val="009255F2"/>
    <w:rsid w:val="009270A0"/>
    <w:rsid w:val="00927F66"/>
    <w:rsid w:val="009307E8"/>
    <w:rsid w:val="00930E1D"/>
    <w:rsid w:val="0093112B"/>
    <w:rsid w:val="00931855"/>
    <w:rsid w:val="00932657"/>
    <w:rsid w:val="009335FF"/>
    <w:rsid w:val="00933BAE"/>
    <w:rsid w:val="00935A9F"/>
    <w:rsid w:val="00944E2C"/>
    <w:rsid w:val="00946DF1"/>
    <w:rsid w:val="0095007A"/>
    <w:rsid w:val="00951688"/>
    <w:rsid w:val="00951BE0"/>
    <w:rsid w:val="0095267E"/>
    <w:rsid w:val="00953F22"/>
    <w:rsid w:val="00953FF7"/>
    <w:rsid w:val="00954A9B"/>
    <w:rsid w:val="00954C71"/>
    <w:rsid w:val="00957525"/>
    <w:rsid w:val="00957BAE"/>
    <w:rsid w:val="00961A9B"/>
    <w:rsid w:val="009625E4"/>
    <w:rsid w:val="00963A38"/>
    <w:rsid w:val="009644CC"/>
    <w:rsid w:val="0096594E"/>
    <w:rsid w:val="0097126C"/>
    <w:rsid w:val="00971687"/>
    <w:rsid w:val="00972676"/>
    <w:rsid w:val="00975ED2"/>
    <w:rsid w:val="0097640D"/>
    <w:rsid w:val="00977CB7"/>
    <w:rsid w:val="009801A9"/>
    <w:rsid w:val="009804F4"/>
    <w:rsid w:val="00982C1E"/>
    <w:rsid w:val="00983037"/>
    <w:rsid w:val="009834DF"/>
    <w:rsid w:val="00984067"/>
    <w:rsid w:val="00984F4B"/>
    <w:rsid w:val="00985701"/>
    <w:rsid w:val="00987EE1"/>
    <w:rsid w:val="00991F84"/>
    <w:rsid w:val="009935CC"/>
    <w:rsid w:val="009942FF"/>
    <w:rsid w:val="009949E7"/>
    <w:rsid w:val="00994C87"/>
    <w:rsid w:val="00996DE5"/>
    <w:rsid w:val="009A1FF1"/>
    <w:rsid w:val="009A60DC"/>
    <w:rsid w:val="009A64F6"/>
    <w:rsid w:val="009B0441"/>
    <w:rsid w:val="009B19D9"/>
    <w:rsid w:val="009B1AD1"/>
    <w:rsid w:val="009B1BBD"/>
    <w:rsid w:val="009B35F7"/>
    <w:rsid w:val="009B3A2C"/>
    <w:rsid w:val="009B67D5"/>
    <w:rsid w:val="009B6914"/>
    <w:rsid w:val="009C2175"/>
    <w:rsid w:val="009C316F"/>
    <w:rsid w:val="009C3E84"/>
    <w:rsid w:val="009C4E5D"/>
    <w:rsid w:val="009D0B72"/>
    <w:rsid w:val="009D0FD0"/>
    <w:rsid w:val="009D1112"/>
    <w:rsid w:val="009D1AB1"/>
    <w:rsid w:val="009D4072"/>
    <w:rsid w:val="009D46F9"/>
    <w:rsid w:val="009D515E"/>
    <w:rsid w:val="009D547B"/>
    <w:rsid w:val="009D7FBB"/>
    <w:rsid w:val="009E12F0"/>
    <w:rsid w:val="009E2D3D"/>
    <w:rsid w:val="009E5871"/>
    <w:rsid w:val="009E665D"/>
    <w:rsid w:val="009E7ED5"/>
    <w:rsid w:val="009F03E6"/>
    <w:rsid w:val="009F053C"/>
    <w:rsid w:val="009F1885"/>
    <w:rsid w:val="009F3C0A"/>
    <w:rsid w:val="00A0176C"/>
    <w:rsid w:val="00A02345"/>
    <w:rsid w:val="00A066ED"/>
    <w:rsid w:val="00A10A32"/>
    <w:rsid w:val="00A12A32"/>
    <w:rsid w:val="00A15113"/>
    <w:rsid w:val="00A15244"/>
    <w:rsid w:val="00A1629D"/>
    <w:rsid w:val="00A17BC8"/>
    <w:rsid w:val="00A21144"/>
    <w:rsid w:val="00A23E2C"/>
    <w:rsid w:val="00A27A60"/>
    <w:rsid w:val="00A309B0"/>
    <w:rsid w:val="00A30E42"/>
    <w:rsid w:val="00A34C89"/>
    <w:rsid w:val="00A365A9"/>
    <w:rsid w:val="00A37DB2"/>
    <w:rsid w:val="00A40FD5"/>
    <w:rsid w:val="00A41691"/>
    <w:rsid w:val="00A425A1"/>
    <w:rsid w:val="00A44C30"/>
    <w:rsid w:val="00A45F32"/>
    <w:rsid w:val="00A478AE"/>
    <w:rsid w:val="00A47B82"/>
    <w:rsid w:val="00A510E6"/>
    <w:rsid w:val="00A5434D"/>
    <w:rsid w:val="00A5522F"/>
    <w:rsid w:val="00A564AA"/>
    <w:rsid w:val="00A564EB"/>
    <w:rsid w:val="00A567FE"/>
    <w:rsid w:val="00A57276"/>
    <w:rsid w:val="00A60C30"/>
    <w:rsid w:val="00A61DBF"/>
    <w:rsid w:val="00A6256F"/>
    <w:rsid w:val="00A64CDE"/>
    <w:rsid w:val="00A6576B"/>
    <w:rsid w:val="00A6679A"/>
    <w:rsid w:val="00A67D6E"/>
    <w:rsid w:val="00A74374"/>
    <w:rsid w:val="00A75CBD"/>
    <w:rsid w:val="00A80984"/>
    <w:rsid w:val="00A834DA"/>
    <w:rsid w:val="00A86893"/>
    <w:rsid w:val="00A87F37"/>
    <w:rsid w:val="00A9063D"/>
    <w:rsid w:val="00A90AE1"/>
    <w:rsid w:val="00A937E9"/>
    <w:rsid w:val="00A94A59"/>
    <w:rsid w:val="00A94D92"/>
    <w:rsid w:val="00A9633E"/>
    <w:rsid w:val="00AA06F5"/>
    <w:rsid w:val="00AA38A2"/>
    <w:rsid w:val="00AA431D"/>
    <w:rsid w:val="00AA5688"/>
    <w:rsid w:val="00AA71AE"/>
    <w:rsid w:val="00AA7A35"/>
    <w:rsid w:val="00AB37E2"/>
    <w:rsid w:val="00AB631E"/>
    <w:rsid w:val="00AB75AD"/>
    <w:rsid w:val="00AB7A78"/>
    <w:rsid w:val="00AB7BA5"/>
    <w:rsid w:val="00AB7FD3"/>
    <w:rsid w:val="00AC068B"/>
    <w:rsid w:val="00AC0700"/>
    <w:rsid w:val="00AC5ADE"/>
    <w:rsid w:val="00AC757D"/>
    <w:rsid w:val="00AD1A2A"/>
    <w:rsid w:val="00AD1FF7"/>
    <w:rsid w:val="00AD5384"/>
    <w:rsid w:val="00AD5B96"/>
    <w:rsid w:val="00AD7306"/>
    <w:rsid w:val="00AE02CE"/>
    <w:rsid w:val="00AE0D25"/>
    <w:rsid w:val="00AE1176"/>
    <w:rsid w:val="00AE291C"/>
    <w:rsid w:val="00AE3F56"/>
    <w:rsid w:val="00AE421C"/>
    <w:rsid w:val="00AE536E"/>
    <w:rsid w:val="00AF10B0"/>
    <w:rsid w:val="00AF1B71"/>
    <w:rsid w:val="00AF32E0"/>
    <w:rsid w:val="00AF3912"/>
    <w:rsid w:val="00B01299"/>
    <w:rsid w:val="00B01648"/>
    <w:rsid w:val="00B03060"/>
    <w:rsid w:val="00B033EE"/>
    <w:rsid w:val="00B03C9C"/>
    <w:rsid w:val="00B0438B"/>
    <w:rsid w:val="00B04CE1"/>
    <w:rsid w:val="00B05844"/>
    <w:rsid w:val="00B06D79"/>
    <w:rsid w:val="00B1034B"/>
    <w:rsid w:val="00B13D95"/>
    <w:rsid w:val="00B14726"/>
    <w:rsid w:val="00B1472A"/>
    <w:rsid w:val="00B1550E"/>
    <w:rsid w:val="00B17A3A"/>
    <w:rsid w:val="00B20BD5"/>
    <w:rsid w:val="00B21B48"/>
    <w:rsid w:val="00B22379"/>
    <w:rsid w:val="00B22F76"/>
    <w:rsid w:val="00B23342"/>
    <w:rsid w:val="00B2430C"/>
    <w:rsid w:val="00B2494C"/>
    <w:rsid w:val="00B25260"/>
    <w:rsid w:val="00B26E4F"/>
    <w:rsid w:val="00B30700"/>
    <w:rsid w:val="00B32068"/>
    <w:rsid w:val="00B3464A"/>
    <w:rsid w:val="00B35AC0"/>
    <w:rsid w:val="00B363A0"/>
    <w:rsid w:val="00B3652E"/>
    <w:rsid w:val="00B371AC"/>
    <w:rsid w:val="00B41DC6"/>
    <w:rsid w:val="00B42209"/>
    <w:rsid w:val="00B42FF1"/>
    <w:rsid w:val="00B43E62"/>
    <w:rsid w:val="00B44166"/>
    <w:rsid w:val="00B44F80"/>
    <w:rsid w:val="00B45C83"/>
    <w:rsid w:val="00B46241"/>
    <w:rsid w:val="00B500D6"/>
    <w:rsid w:val="00B507D4"/>
    <w:rsid w:val="00B50D30"/>
    <w:rsid w:val="00B51F54"/>
    <w:rsid w:val="00B520EB"/>
    <w:rsid w:val="00B538FC"/>
    <w:rsid w:val="00B56046"/>
    <w:rsid w:val="00B56979"/>
    <w:rsid w:val="00B572E4"/>
    <w:rsid w:val="00B57B46"/>
    <w:rsid w:val="00B602B9"/>
    <w:rsid w:val="00B60BA9"/>
    <w:rsid w:val="00B61B7B"/>
    <w:rsid w:val="00B63945"/>
    <w:rsid w:val="00B6593F"/>
    <w:rsid w:val="00B66A1B"/>
    <w:rsid w:val="00B67E93"/>
    <w:rsid w:val="00B71077"/>
    <w:rsid w:val="00B73B7D"/>
    <w:rsid w:val="00B74129"/>
    <w:rsid w:val="00B8088C"/>
    <w:rsid w:val="00B80AE9"/>
    <w:rsid w:val="00B82BF5"/>
    <w:rsid w:val="00B8489D"/>
    <w:rsid w:val="00B85AC2"/>
    <w:rsid w:val="00B86377"/>
    <w:rsid w:val="00B90031"/>
    <w:rsid w:val="00B911C6"/>
    <w:rsid w:val="00B95808"/>
    <w:rsid w:val="00B95D3C"/>
    <w:rsid w:val="00B96470"/>
    <w:rsid w:val="00BA0345"/>
    <w:rsid w:val="00BA0EC3"/>
    <w:rsid w:val="00BA3E62"/>
    <w:rsid w:val="00BA4507"/>
    <w:rsid w:val="00BA45AA"/>
    <w:rsid w:val="00BA5716"/>
    <w:rsid w:val="00BB2987"/>
    <w:rsid w:val="00BB357A"/>
    <w:rsid w:val="00BB7997"/>
    <w:rsid w:val="00BC18F4"/>
    <w:rsid w:val="00BC1B5F"/>
    <w:rsid w:val="00BC2BF6"/>
    <w:rsid w:val="00BC2ECE"/>
    <w:rsid w:val="00BC4102"/>
    <w:rsid w:val="00BC4217"/>
    <w:rsid w:val="00BC46A4"/>
    <w:rsid w:val="00BC58D2"/>
    <w:rsid w:val="00BC5B21"/>
    <w:rsid w:val="00BC679A"/>
    <w:rsid w:val="00BC729E"/>
    <w:rsid w:val="00BD130E"/>
    <w:rsid w:val="00BD1F22"/>
    <w:rsid w:val="00BD21E8"/>
    <w:rsid w:val="00BD25B7"/>
    <w:rsid w:val="00BD5F3C"/>
    <w:rsid w:val="00BD5FE4"/>
    <w:rsid w:val="00BD607E"/>
    <w:rsid w:val="00BD6CDE"/>
    <w:rsid w:val="00BD74CE"/>
    <w:rsid w:val="00BE119C"/>
    <w:rsid w:val="00BE26F7"/>
    <w:rsid w:val="00BE28C5"/>
    <w:rsid w:val="00BE2F2B"/>
    <w:rsid w:val="00BE3E72"/>
    <w:rsid w:val="00BE48A0"/>
    <w:rsid w:val="00BE4DC9"/>
    <w:rsid w:val="00BE5D58"/>
    <w:rsid w:val="00BF12DF"/>
    <w:rsid w:val="00BF1FC9"/>
    <w:rsid w:val="00BF31B8"/>
    <w:rsid w:val="00BF435B"/>
    <w:rsid w:val="00BF5173"/>
    <w:rsid w:val="00C020D5"/>
    <w:rsid w:val="00C027D8"/>
    <w:rsid w:val="00C0290D"/>
    <w:rsid w:val="00C03E33"/>
    <w:rsid w:val="00C046C3"/>
    <w:rsid w:val="00C06827"/>
    <w:rsid w:val="00C06EF7"/>
    <w:rsid w:val="00C10567"/>
    <w:rsid w:val="00C107AB"/>
    <w:rsid w:val="00C11C3D"/>
    <w:rsid w:val="00C12AFE"/>
    <w:rsid w:val="00C131C4"/>
    <w:rsid w:val="00C13945"/>
    <w:rsid w:val="00C140C3"/>
    <w:rsid w:val="00C14D2F"/>
    <w:rsid w:val="00C1564E"/>
    <w:rsid w:val="00C164BC"/>
    <w:rsid w:val="00C22DAE"/>
    <w:rsid w:val="00C24D77"/>
    <w:rsid w:val="00C25535"/>
    <w:rsid w:val="00C2658C"/>
    <w:rsid w:val="00C26961"/>
    <w:rsid w:val="00C35188"/>
    <w:rsid w:val="00C356EF"/>
    <w:rsid w:val="00C36705"/>
    <w:rsid w:val="00C36FFC"/>
    <w:rsid w:val="00C37E38"/>
    <w:rsid w:val="00C41B39"/>
    <w:rsid w:val="00C4329A"/>
    <w:rsid w:val="00C432F2"/>
    <w:rsid w:val="00C43928"/>
    <w:rsid w:val="00C459AB"/>
    <w:rsid w:val="00C45DDD"/>
    <w:rsid w:val="00C46161"/>
    <w:rsid w:val="00C463BE"/>
    <w:rsid w:val="00C47AC5"/>
    <w:rsid w:val="00C52D5C"/>
    <w:rsid w:val="00C53E27"/>
    <w:rsid w:val="00C555E4"/>
    <w:rsid w:val="00C5617D"/>
    <w:rsid w:val="00C564BC"/>
    <w:rsid w:val="00C57826"/>
    <w:rsid w:val="00C57A1D"/>
    <w:rsid w:val="00C607AA"/>
    <w:rsid w:val="00C60E4B"/>
    <w:rsid w:val="00C6398F"/>
    <w:rsid w:val="00C63CFE"/>
    <w:rsid w:val="00C65139"/>
    <w:rsid w:val="00C6540A"/>
    <w:rsid w:val="00C66550"/>
    <w:rsid w:val="00C70D79"/>
    <w:rsid w:val="00C71267"/>
    <w:rsid w:val="00C7263E"/>
    <w:rsid w:val="00C7296E"/>
    <w:rsid w:val="00C73F98"/>
    <w:rsid w:val="00C76D6D"/>
    <w:rsid w:val="00C77B48"/>
    <w:rsid w:val="00C8304C"/>
    <w:rsid w:val="00C83FDB"/>
    <w:rsid w:val="00C851E1"/>
    <w:rsid w:val="00C868CE"/>
    <w:rsid w:val="00C8768F"/>
    <w:rsid w:val="00C8774D"/>
    <w:rsid w:val="00C87A10"/>
    <w:rsid w:val="00C9008C"/>
    <w:rsid w:val="00C90B1E"/>
    <w:rsid w:val="00C935A7"/>
    <w:rsid w:val="00C93D89"/>
    <w:rsid w:val="00C94A28"/>
    <w:rsid w:val="00C966AA"/>
    <w:rsid w:val="00CA1438"/>
    <w:rsid w:val="00CA167C"/>
    <w:rsid w:val="00CA2671"/>
    <w:rsid w:val="00CA33E0"/>
    <w:rsid w:val="00CA38D9"/>
    <w:rsid w:val="00CA7161"/>
    <w:rsid w:val="00CB0725"/>
    <w:rsid w:val="00CB61F8"/>
    <w:rsid w:val="00CC05B9"/>
    <w:rsid w:val="00CC16FB"/>
    <w:rsid w:val="00CC1F81"/>
    <w:rsid w:val="00CC5B74"/>
    <w:rsid w:val="00CC6E90"/>
    <w:rsid w:val="00CC7AE2"/>
    <w:rsid w:val="00CC7C8A"/>
    <w:rsid w:val="00CD225D"/>
    <w:rsid w:val="00CD2818"/>
    <w:rsid w:val="00CD2B99"/>
    <w:rsid w:val="00CD2EB1"/>
    <w:rsid w:val="00CD59C9"/>
    <w:rsid w:val="00CD5D7D"/>
    <w:rsid w:val="00CD6210"/>
    <w:rsid w:val="00CD623D"/>
    <w:rsid w:val="00CD6ED1"/>
    <w:rsid w:val="00CD70DB"/>
    <w:rsid w:val="00CD7AC2"/>
    <w:rsid w:val="00CE050F"/>
    <w:rsid w:val="00CE19DD"/>
    <w:rsid w:val="00CE2604"/>
    <w:rsid w:val="00CE5F30"/>
    <w:rsid w:val="00CE6DE1"/>
    <w:rsid w:val="00CE79DD"/>
    <w:rsid w:val="00CF1366"/>
    <w:rsid w:val="00CF15BB"/>
    <w:rsid w:val="00CF26B5"/>
    <w:rsid w:val="00CF3EF6"/>
    <w:rsid w:val="00D02B6E"/>
    <w:rsid w:val="00D039ED"/>
    <w:rsid w:val="00D03A49"/>
    <w:rsid w:val="00D05350"/>
    <w:rsid w:val="00D12691"/>
    <w:rsid w:val="00D13746"/>
    <w:rsid w:val="00D13AC2"/>
    <w:rsid w:val="00D15694"/>
    <w:rsid w:val="00D15E8C"/>
    <w:rsid w:val="00D20052"/>
    <w:rsid w:val="00D21320"/>
    <w:rsid w:val="00D23ADA"/>
    <w:rsid w:val="00D23BC3"/>
    <w:rsid w:val="00D25A02"/>
    <w:rsid w:val="00D25FD5"/>
    <w:rsid w:val="00D309D3"/>
    <w:rsid w:val="00D321EE"/>
    <w:rsid w:val="00D3388F"/>
    <w:rsid w:val="00D34206"/>
    <w:rsid w:val="00D361A1"/>
    <w:rsid w:val="00D36493"/>
    <w:rsid w:val="00D40756"/>
    <w:rsid w:val="00D47802"/>
    <w:rsid w:val="00D47840"/>
    <w:rsid w:val="00D502CE"/>
    <w:rsid w:val="00D51022"/>
    <w:rsid w:val="00D51158"/>
    <w:rsid w:val="00D5169E"/>
    <w:rsid w:val="00D540A8"/>
    <w:rsid w:val="00D541E6"/>
    <w:rsid w:val="00D55527"/>
    <w:rsid w:val="00D55DD2"/>
    <w:rsid w:val="00D55E45"/>
    <w:rsid w:val="00D561AD"/>
    <w:rsid w:val="00D5692E"/>
    <w:rsid w:val="00D63367"/>
    <w:rsid w:val="00D64076"/>
    <w:rsid w:val="00D648FA"/>
    <w:rsid w:val="00D727B3"/>
    <w:rsid w:val="00D72B6C"/>
    <w:rsid w:val="00D72F4A"/>
    <w:rsid w:val="00D7329C"/>
    <w:rsid w:val="00D7361B"/>
    <w:rsid w:val="00D73725"/>
    <w:rsid w:val="00D750D3"/>
    <w:rsid w:val="00D755FB"/>
    <w:rsid w:val="00D810E7"/>
    <w:rsid w:val="00D81AEA"/>
    <w:rsid w:val="00D81BF7"/>
    <w:rsid w:val="00D8293B"/>
    <w:rsid w:val="00D83828"/>
    <w:rsid w:val="00D8445A"/>
    <w:rsid w:val="00D85A4D"/>
    <w:rsid w:val="00D879A2"/>
    <w:rsid w:val="00D92C81"/>
    <w:rsid w:val="00D94E98"/>
    <w:rsid w:val="00DA43D5"/>
    <w:rsid w:val="00DA4C85"/>
    <w:rsid w:val="00DA5167"/>
    <w:rsid w:val="00DA6E8A"/>
    <w:rsid w:val="00DA796A"/>
    <w:rsid w:val="00DA7AAC"/>
    <w:rsid w:val="00DC01FE"/>
    <w:rsid w:val="00DC21EE"/>
    <w:rsid w:val="00DC51C3"/>
    <w:rsid w:val="00DC5D2E"/>
    <w:rsid w:val="00DC5DA2"/>
    <w:rsid w:val="00DC6971"/>
    <w:rsid w:val="00DD2826"/>
    <w:rsid w:val="00DD3A3A"/>
    <w:rsid w:val="00DD5562"/>
    <w:rsid w:val="00DD7E94"/>
    <w:rsid w:val="00DE3881"/>
    <w:rsid w:val="00DE3B7E"/>
    <w:rsid w:val="00DE4039"/>
    <w:rsid w:val="00DE4DAC"/>
    <w:rsid w:val="00DE5A32"/>
    <w:rsid w:val="00DE6338"/>
    <w:rsid w:val="00DE63CC"/>
    <w:rsid w:val="00DE6CD3"/>
    <w:rsid w:val="00DE7A6A"/>
    <w:rsid w:val="00DF2875"/>
    <w:rsid w:val="00DF3DF7"/>
    <w:rsid w:val="00DF5B71"/>
    <w:rsid w:val="00DF70B3"/>
    <w:rsid w:val="00DF7D20"/>
    <w:rsid w:val="00E0259F"/>
    <w:rsid w:val="00E029F3"/>
    <w:rsid w:val="00E03CFF"/>
    <w:rsid w:val="00E048F2"/>
    <w:rsid w:val="00E0494B"/>
    <w:rsid w:val="00E05407"/>
    <w:rsid w:val="00E10C7E"/>
    <w:rsid w:val="00E13C56"/>
    <w:rsid w:val="00E14693"/>
    <w:rsid w:val="00E160C0"/>
    <w:rsid w:val="00E169E1"/>
    <w:rsid w:val="00E2058E"/>
    <w:rsid w:val="00E20ADF"/>
    <w:rsid w:val="00E21367"/>
    <w:rsid w:val="00E23FB1"/>
    <w:rsid w:val="00E24DAC"/>
    <w:rsid w:val="00E26209"/>
    <w:rsid w:val="00E27856"/>
    <w:rsid w:val="00E27A79"/>
    <w:rsid w:val="00E31E5C"/>
    <w:rsid w:val="00E327FC"/>
    <w:rsid w:val="00E329A7"/>
    <w:rsid w:val="00E33A75"/>
    <w:rsid w:val="00E33D52"/>
    <w:rsid w:val="00E34504"/>
    <w:rsid w:val="00E35A4A"/>
    <w:rsid w:val="00E37F0E"/>
    <w:rsid w:val="00E4120B"/>
    <w:rsid w:val="00E41339"/>
    <w:rsid w:val="00E456B7"/>
    <w:rsid w:val="00E47776"/>
    <w:rsid w:val="00E47C36"/>
    <w:rsid w:val="00E50AD0"/>
    <w:rsid w:val="00E50ED6"/>
    <w:rsid w:val="00E510F3"/>
    <w:rsid w:val="00E51876"/>
    <w:rsid w:val="00E51D63"/>
    <w:rsid w:val="00E51F59"/>
    <w:rsid w:val="00E5786A"/>
    <w:rsid w:val="00E60012"/>
    <w:rsid w:val="00E60E67"/>
    <w:rsid w:val="00E61077"/>
    <w:rsid w:val="00E621AA"/>
    <w:rsid w:val="00E62368"/>
    <w:rsid w:val="00E6275B"/>
    <w:rsid w:val="00E63A81"/>
    <w:rsid w:val="00E64B52"/>
    <w:rsid w:val="00E669E0"/>
    <w:rsid w:val="00E6711E"/>
    <w:rsid w:val="00E70BB4"/>
    <w:rsid w:val="00E70BB9"/>
    <w:rsid w:val="00E730A4"/>
    <w:rsid w:val="00E734AC"/>
    <w:rsid w:val="00E76E2B"/>
    <w:rsid w:val="00E77ABC"/>
    <w:rsid w:val="00E77D9E"/>
    <w:rsid w:val="00E80144"/>
    <w:rsid w:val="00E801AD"/>
    <w:rsid w:val="00E80FF5"/>
    <w:rsid w:val="00E8125A"/>
    <w:rsid w:val="00E812C4"/>
    <w:rsid w:val="00E81346"/>
    <w:rsid w:val="00E818C5"/>
    <w:rsid w:val="00E827E2"/>
    <w:rsid w:val="00E8552D"/>
    <w:rsid w:val="00E85A06"/>
    <w:rsid w:val="00E85CB3"/>
    <w:rsid w:val="00E86346"/>
    <w:rsid w:val="00E86B35"/>
    <w:rsid w:val="00E90576"/>
    <w:rsid w:val="00E91872"/>
    <w:rsid w:val="00E91CE2"/>
    <w:rsid w:val="00E93156"/>
    <w:rsid w:val="00E95BB0"/>
    <w:rsid w:val="00EA5A3A"/>
    <w:rsid w:val="00EA6465"/>
    <w:rsid w:val="00EA79EC"/>
    <w:rsid w:val="00EA7DC2"/>
    <w:rsid w:val="00EB2133"/>
    <w:rsid w:val="00EB65B5"/>
    <w:rsid w:val="00EC272F"/>
    <w:rsid w:val="00EC476D"/>
    <w:rsid w:val="00EC5EBB"/>
    <w:rsid w:val="00ED0179"/>
    <w:rsid w:val="00ED168D"/>
    <w:rsid w:val="00ED2E60"/>
    <w:rsid w:val="00ED3933"/>
    <w:rsid w:val="00ED3C3E"/>
    <w:rsid w:val="00ED42C3"/>
    <w:rsid w:val="00ED4667"/>
    <w:rsid w:val="00ED7AF6"/>
    <w:rsid w:val="00ED7C11"/>
    <w:rsid w:val="00ED7E61"/>
    <w:rsid w:val="00EE007E"/>
    <w:rsid w:val="00EE11CB"/>
    <w:rsid w:val="00EE1ED5"/>
    <w:rsid w:val="00EE1F23"/>
    <w:rsid w:val="00EE22EC"/>
    <w:rsid w:val="00EE2C88"/>
    <w:rsid w:val="00EE4AD1"/>
    <w:rsid w:val="00EE7AF5"/>
    <w:rsid w:val="00EE7F7B"/>
    <w:rsid w:val="00EF073F"/>
    <w:rsid w:val="00EF0C79"/>
    <w:rsid w:val="00EF1E26"/>
    <w:rsid w:val="00EF3292"/>
    <w:rsid w:val="00EF3EA2"/>
    <w:rsid w:val="00EF50BD"/>
    <w:rsid w:val="00EF79DC"/>
    <w:rsid w:val="00F000EE"/>
    <w:rsid w:val="00F00112"/>
    <w:rsid w:val="00F02DFB"/>
    <w:rsid w:val="00F04E5F"/>
    <w:rsid w:val="00F059B1"/>
    <w:rsid w:val="00F072F4"/>
    <w:rsid w:val="00F1216B"/>
    <w:rsid w:val="00F128AF"/>
    <w:rsid w:val="00F12C7A"/>
    <w:rsid w:val="00F14089"/>
    <w:rsid w:val="00F14108"/>
    <w:rsid w:val="00F14556"/>
    <w:rsid w:val="00F14BD5"/>
    <w:rsid w:val="00F174A7"/>
    <w:rsid w:val="00F20C9B"/>
    <w:rsid w:val="00F21592"/>
    <w:rsid w:val="00F23198"/>
    <w:rsid w:val="00F2331F"/>
    <w:rsid w:val="00F2391D"/>
    <w:rsid w:val="00F23C14"/>
    <w:rsid w:val="00F24EC1"/>
    <w:rsid w:val="00F2502B"/>
    <w:rsid w:val="00F2743A"/>
    <w:rsid w:val="00F279C7"/>
    <w:rsid w:val="00F302BE"/>
    <w:rsid w:val="00F305FE"/>
    <w:rsid w:val="00F309E9"/>
    <w:rsid w:val="00F30BE6"/>
    <w:rsid w:val="00F3277E"/>
    <w:rsid w:val="00F3350E"/>
    <w:rsid w:val="00F36FFE"/>
    <w:rsid w:val="00F418BB"/>
    <w:rsid w:val="00F47631"/>
    <w:rsid w:val="00F505F8"/>
    <w:rsid w:val="00F50E8F"/>
    <w:rsid w:val="00F54B3A"/>
    <w:rsid w:val="00F55541"/>
    <w:rsid w:val="00F56301"/>
    <w:rsid w:val="00F5637D"/>
    <w:rsid w:val="00F57877"/>
    <w:rsid w:val="00F6021E"/>
    <w:rsid w:val="00F61393"/>
    <w:rsid w:val="00F614B0"/>
    <w:rsid w:val="00F62DD4"/>
    <w:rsid w:val="00F63059"/>
    <w:rsid w:val="00F6558B"/>
    <w:rsid w:val="00F66DF8"/>
    <w:rsid w:val="00F67C54"/>
    <w:rsid w:val="00F733CE"/>
    <w:rsid w:val="00F7789E"/>
    <w:rsid w:val="00F81517"/>
    <w:rsid w:val="00F86170"/>
    <w:rsid w:val="00F862AD"/>
    <w:rsid w:val="00F86FD5"/>
    <w:rsid w:val="00F87525"/>
    <w:rsid w:val="00F90C42"/>
    <w:rsid w:val="00F926CD"/>
    <w:rsid w:val="00F939F6"/>
    <w:rsid w:val="00FA0D5A"/>
    <w:rsid w:val="00FA0E4D"/>
    <w:rsid w:val="00FA0EA0"/>
    <w:rsid w:val="00FA0FE4"/>
    <w:rsid w:val="00FA176F"/>
    <w:rsid w:val="00FA40BF"/>
    <w:rsid w:val="00FA4C60"/>
    <w:rsid w:val="00FA5B5C"/>
    <w:rsid w:val="00FA6736"/>
    <w:rsid w:val="00FB085F"/>
    <w:rsid w:val="00FB198C"/>
    <w:rsid w:val="00FB2112"/>
    <w:rsid w:val="00FB3273"/>
    <w:rsid w:val="00FB33BD"/>
    <w:rsid w:val="00FB408E"/>
    <w:rsid w:val="00FB4BCE"/>
    <w:rsid w:val="00FB4E37"/>
    <w:rsid w:val="00FB68A6"/>
    <w:rsid w:val="00FB6AB2"/>
    <w:rsid w:val="00FC0B19"/>
    <w:rsid w:val="00FC2B26"/>
    <w:rsid w:val="00FC2D8F"/>
    <w:rsid w:val="00FC2E0C"/>
    <w:rsid w:val="00FC5461"/>
    <w:rsid w:val="00FC7680"/>
    <w:rsid w:val="00FD09F7"/>
    <w:rsid w:val="00FD1A2D"/>
    <w:rsid w:val="00FD2160"/>
    <w:rsid w:val="00FD2DCB"/>
    <w:rsid w:val="00FD5C43"/>
    <w:rsid w:val="00FD7510"/>
    <w:rsid w:val="00FD7AE9"/>
    <w:rsid w:val="00FE0CD2"/>
    <w:rsid w:val="00FE1840"/>
    <w:rsid w:val="00FE21E9"/>
    <w:rsid w:val="00FE3E9D"/>
    <w:rsid w:val="00FE5D67"/>
    <w:rsid w:val="00FF0BDB"/>
    <w:rsid w:val="00FF0C0F"/>
    <w:rsid w:val="00FF15BF"/>
    <w:rsid w:val="00FF3B1D"/>
    <w:rsid w:val="00FF4D86"/>
    <w:rsid w:val="00FF4E7F"/>
    <w:rsid w:val="00FF5FC7"/>
    <w:rsid w:val="00FF6C22"/>
    <w:rsid w:val="00FF7A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99"/>
    <w:lsdException w:name="Subtitle" w:qFormat="1"/>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B033EE"/>
    <w:pPr>
      <w:keepNext/>
      <w:jc w:val="both"/>
      <w:outlineLvl w:val="1"/>
    </w:pPr>
    <w:rPr>
      <w:b/>
      <w:bCs/>
      <w:i/>
      <w:i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ormal,Normal1,Ref,de nota al pie"/>
    <w:rsid w:val="009C4E5D"/>
    <w:rPr>
      <w:vertAlign w:val="superscript"/>
    </w:rPr>
  </w:style>
  <w:style w:type="paragraph" w:styleId="Textonotapie">
    <w:name w:val="footnote text"/>
    <w:aliases w:val="Car3 Car, Car3 Car, Car2,Car3, Car3,Car2"/>
    <w:basedOn w:val="Normal"/>
    <w:link w:val="TextonotapieCar"/>
    <w:rsid w:val="009C4E5D"/>
    <w:pPr>
      <w:tabs>
        <w:tab w:val="left" w:pos="0"/>
      </w:tabs>
      <w:spacing w:after="120"/>
      <w:jc w:val="both"/>
    </w:pPr>
    <w:rPr>
      <w:color w:val="FF0000"/>
      <w:position w:val="-10"/>
      <w:sz w:val="18"/>
      <w:szCs w:val="18"/>
    </w:rPr>
  </w:style>
  <w:style w:type="character" w:customStyle="1" w:styleId="TextonotapieCar">
    <w:name w:val="Texto nota pie Car"/>
    <w:aliases w:val="Car3 Car Car, Car3 Car Car, Car2 Car,Car3 Car1, Car3 Car1,Car2 Car"/>
    <w:link w:val="Textonotapie"/>
    <w:rsid w:val="009C4E5D"/>
    <w:rPr>
      <w:color w:val="FF0000"/>
      <w:position w:val="-10"/>
      <w:sz w:val="18"/>
      <w:szCs w:val="18"/>
      <w:lang w:val="es-ES" w:eastAsia="es-ES" w:bidi="ar-SA"/>
    </w:rPr>
  </w:style>
  <w:style w:type="paragraph" w:styleId="Textoindependiente">
    <w:name w:val="Body Text"/>
    <w:aliases w:val=" Car1, Car4,Car1,Car4"/>
    <w:basedOn w:val="Normal"/>
    <w:link w:val="TextoindependienteCar"/>
    <w:uiPriority w:val="99"/>
    <w:rsid w:val="009C4E5D"/>
    <w:pPr>
      <w:jc w:val="both"/>
    </w:pPr>
    <w:rPr>
      <w:color w:val="000000"/>
    </w:rPr>
  </w:style>
  <w:style w:type="character" w:customStyle="1" w:styleId="TextoindependienteCar">
    <w:name w:val="Texto independiente Car"/>
    <w:aliases w:val=" Car1 Car, Car4 Car,Car1 Car,Car4 Car"/>
    <w:link w:val="Textoindependiente"/>
    <w:uiPriority w:val="99"/>
    <w:rsid w:val="009C4E5D"/>
    <w:rPr>
      <w:color w:val="000000"/>
      <w:sz w:val="24"/>
      <w:szCs w:val="24"/>
      <w:lang w:val="es-ES" w:eastAsia="es-ES" w:bidi="ar-SA"/>
    </w:rPr>
  </w:style>
  <w:style w:type="paragraph" w:styleId="Textoindependiente2">
    <w:name w:val="Body Text 2"/>
    <w:aliases w:val=" Car,Car"/>
    <w:basedOn w:val="Normal"/>
    <w:link w:val="Textoindependiente2Car"/>
    <w:unhideWhenUsed/>
    <w:rsid w:val="00750433"/>
    <w:pPr>
      <w:spacing w:after="120" w:line="480" w:lineRule="auto"/>
    </w:pPr>
    <w:rPr>
      <w:rFonts w:ascii="Arial" w:hAnsi="Arial"/>
      <w:sz w:val="22"/>
      <w:szCs w:val="22"/>
    </w:rPr>
  </w:style>
  <w:style w:type="character" w:customStyle="1" w:styleId="Textoindependiente2Car">
    <w:name w:val="Texto independiente 2 Car"/>
    <w:aliases w:val=" Car Car,Car Car"/>
    <w:link w:val="Textoindependiente2"/>
    <w:rsid w:val="00750433"/>
    <w:rPr>
      <w:rFonts w:ascii="Arial" w:hAnsi="Arial" w:cs="Arial"/>
      <w:sz w:val="22"/>
      <w:szCs w:val="22"/>
      <w:lang w:val="es-ES" w:eastAsia="es-ES"/>
    </w:rPr>
  </w:style>
  <w:style w:type="character" w:customStyle="1" w:styleId="apple-converted-space">
    <w:name w:val="apple-converted-space"/>
    <w:basedOn w:val="Fuentedeprrafopredeter"/>
    <w:rsid w:val="00750433"/>
  </w:style>
  <w:style w:type="paragraph" w:styleId="Textoindependiente3">
    <w:name w:val="Body Text 3"/>
    <w:basedOn w:val="Normal"/>
    <w:link w:val="Textoindependiente3Car"/>
    <w:rsid w:val="008E454E"/>
    <w:pPr>
      <w:spacing w:after="120"/>
    </w:pPr>
    <w:rPr>
      <w:sz w:val="16"/>
      <w:szCs w:val="16"/>
      <w:lang w:val="es-AR"/>
    </w:rPr>
  </w:style>
  <w:style w:type="character" w:customStyle="1" w:styleId="Textoindependiente3Car">
    <w:name w:val="Texto independiente 3 Car"/>
    <w:link w:val="Textoindependiente3"/>
    <w:rsid w:val="008E454E"/>
    <w:rPr>
      <w:sz w:val="16"/>
      <w:szCs w:val="16"/>
      <w:lang w:val="es-AR" w:eastAsia="es-ES" w:bidi="ar-SA"/>
    </w:rPr>
  </w:style>
  <w:style w:type="character" w:customStyle="1" w:styleId="Ttulo2Car">
    <w:name w:val="Título 2 Car"/>
    <w:link w:val="Ttulo2"/>
    <w:rsid w:val="00B033EE"/>
    <w:rPr>
      <w:b/>
      <w:bCs/>
      <w:i/>
      <w:iCs/>
      <w:sz w:val="24"/>
      <w:szCs w:val="24"/>
      <w:lang w:val="es-AR" w:eastAsia="es-ES" w:bidi="ar-SA"/>
    </w:rPr>
  </w:style>
  <w:style w:type="paragraph" w:customStyle="1" w:styleId="Prrafodelista1">
    <w:name w:val="Párrafo de lista1"/>
    <w:basedOn w:val="Normal"/>
    <w:rsid w:val="00EC5EBB"/>
    <w:pPr>
      <w:spacing w:after="200" w:line="276" w:lineRule="auto"/>
      <w:ind w:left="720"/>
      <w:contextualSpacing/>
    </w:pPr>
    <w:rPr>
      <w:rFonts w:ascii="Calibri" w:hAnsi="Calibri"/>
      <w:sz w:val="22"/>
      <w:szCs w:val="22"/>
      <w:lang w:val="es-AR" w:eastAsia="en-US"/>
    </w:rPr>
  </w:style>
  <w:style w:type="paragraph" w:styleId="NormalWeb">
    <w:name w:val="Normal (Web)"/>
    <w:basedOn w:val="Normal"/>
    <w:rsid w:val="00152BFB"/>
    <w:pPr>
      <w:spacing w:before="100" w:beforeAutospacing="1" w:after="100" w:afterAutospacing="1"/>
    </w:pPr>
  </w:style>
  <w:style w:type="character" w:styleId="Refdecomentario">
    <w:name w:val="annotation reference"/>
    <w:uiPriority w:val="99"/>
    <w:rsid w:val="00E5786A"/>
    <w:rPr>
      <w:sz w:val="16"/>
      <w:szCs w:val="16"/>
    </w:rPr>
  </w:style>
  <w:style w:type="paragraph" w:styleId="Textocomentario">
    <w:name w:val="annotation text"/>
    <w:basedOn w:val="Normal"/>
    <w:link w:val="TextocomentarioCar"/>
    <w:rsid w:val="00E5786A"/>
    <w:rPr>
      <w:sz w:val="20"/>
      <w:szCs w:val="20"/>
    </w:rPr>
  </w:style>
  <w:style w:type="character" w:customStyle="1" w:styleId="TextocomentarioCar">
    <w:name w:val="Texto comentario Car"/>
    <w:link w:val="Textocomentario"/>
    <w:rsid w:val="00E5786A"/>
    <w:rPr>
      <w:lang w:val="es-ES" w:eastAsia="es-ES"/>
    </w:rPr>
  </w:style>
  <w:style w:type="paragraph" w:styleId="Asuntodelcomentario">
    <w:name w:val="annotation subject"/>
    <w:basedOn w:val="Textocomentario"/>
    <w:next w:val="Textocomentario"/>
    <w:link w:val="AsuntodelcomentarioCar"/>
    <w:rsid w:val="00E5786A"/>
    <w:rPr>
      <w:b/>
      <w:bCs/>
    </w:rPr>
  </w:style>
  <w:style w:type="character" w:customStyle="1" w:styleId="AsuntodelcomentarioCar">
    <w:name w:val="Asunto del comentario Car"/>
    <w:link w:val="Asuntodelcomentario"/>
    <w:rsid w:val="00E5786A"/>
    <w:rPr>
      <w:b/>
      <w:bCs/>
      <w:lang w:val="es-ES" w:eastAsia="es-ES"/>
    </w:rPr>
  </w:style>
  <w:style w:type="paragraph" w:styleId="Textodeglobo">
    <w:name w:val="Balloon Text"/>
    <w:basedOn w:val="Normal"/>
    <w:link w:val="TextodegloboCar"/>
    <w:uiPriority w:val="99"/>
    <w:rsid w:val="00E5786A"/>
    <w:rPr>
      <w:rFonts w:ascii="Tahoma" w:hAnsi="Tahoma"/>
      <w:sz w:val="16"/>
      <w:szCs w:val="16"/>
    </w:rPr>
  </w:style>
  <w:style w:type="character" w:customStyle="1" w:styleId="TextodegloboCar">
    <w:name w:val="Texto de globo Car"/>
    <w:link w:val="Textodeglobo"/>
    <w:uiPriority w:val="99"/>
    <w:rsid w:val="00E5786A"/>
    <w:rPr>
      <w:rFonts w:ascii="Tahoma" w:hAnsi="Tahoma" w:cs="Tahoma"/>
      <w:sz w:val="16"/>
      <w:szCs w:val="16"/>
      <w:lang w:val="es-ES" w:eastAsia="es-ES"/>
    </w:rPr>
  </w:style>
  <w:style w:type="paragraph" w:styleId="Prrafodelista">
    <w:name w:val="List Paragraph"/>
    <w:basedOn w:val="Normal"/>
    <w:uiPriority w:val="34"/>
    <w:qFormat/>
    <w:rsid w:val="00861CEA"/>
    <w:pPr>
      <w:widowControl w:val="0"/>
      <w:spacing w:after="200" w:line="276" w:lineRule="auto"/>
      <w:ind w:left="720"/>
      <w:contextualSpacing/>
    </w:pPr>
    <w:rPr>
      <w:rFonts w:ascii="Calibri" w:eastAsia="Calibri" w:hAnsi="Calibri"/>
      <w:sz w:val="22"/>
      <w:szCs w:val="22"/>
      <w:lang w:val="en-US" w:eastAsia="en-US"/>
    </w:rPr>
  </w:style>
  <w:style w:type="numbering" w:customStyle="1" w:styleId="Sinlista1">
    <w:name w:val="Sin lista1"/>
    <w:next w:val="Sinlista"/>
    <w:uiPriority w:val="99"/>
    <w:semiHidden/>
    <w:unhideWhenUsed/>
    <w:rsid w:val="000C1072"/>
  </w:style>
  <w:style w:type="paragraph" w:customStyle="1" w:styleId="Prrafodelista10">
    <w:name w:val="Párrafo de lista1"/>
    <w:basedOn w:val="Normal"/>
    <w:rsid w:val="000C1072"/>
    <w:pPr>
      <w:spacing w:after="200" w:line="276" w:lineRule="auto"/>
      <w:ind w:left="720"/>
      <w:contextualSpacing/>
    </w:pPr>
    <w:rPr>
      <w:rFonts w:ascii="Calibri" w:hAnsi="Calibri"/>
      <w:sz w:val="22"/>
      <w:szCs w:val="22"/>
      <w:lang w:val="es-AR" w:eastAsia="en-US"/>
    </w:rPr>
  </w:style>
  <w:style w:type="paragraph" w:styleId="Encabezado">
    <w:name w:val="header"/>
    <w:basedOn w:val="Normal"/>
    <w:link w:val="EncabezadoCar"/>
    <w:uiPriority w:val="99"/>
    <w:unhideWhenUsed/>
    <w:rsid w:val="000C1072"/>
    <w:pPr>
      <w:tabs>
        <w:tab w:val="center" w:pos="4419"/>
        <w:tab w:val="right" w:pos="8838"/>
      </w:tabs>
    </w:pPr>
    <w:rPr>
      <w:rFonts w:ascii="Calibri" w:eastAsia="Calibri" w:hAnsi="Calibri"/>
      <w:sz w:val="22"/>
      <w:szCs w:val="22"/>
      <w:lang w:val="x-none" w:eastAsia="en-US"/>
    </w:rPr>
  </w:style>
  <w:style w:type="character" w:customStyle="1" w:styleId="EncabezadoCar">
    <w:name w:val="Encabezado Car"/>
    <w:link w:val="Encabezado"/>
    <w:uiPriority w:val="99"/>
    <w:rsid w:val="000C1072"/>
    <w:rPr>
      <w:rFonts w:ascii="Calibri" w:eastAsia="Calibri" w:hAnsi="Calibri"/>
      <w:sz w:val="22"/>
      <w:szCs w:val="22"/>
      <w:lang w:eastAsia="en-US"/>
    </w:rPr>
  </w:style>
  <w:style w:type="paragraph" w:styleId="Piedepgina">
    <w:name w:val="footer"/>
    <w:basedOn w:val="Normal"/>
    <w:link w:val="PiedepginaCar"/>
    <w:uiPriority w:val="99"/>
    <w:unhideWhenUsed/>
    <w:rsid w:val="000C1072"/>
    <w:pPr>
      <w:tabs>
        <w:tab w:val="center" w:pos="4419"/>
        <w:tab w:val="right" w:pos="8838"/>
      </w:tabs>
    </w:pPr>
    <w:rPr>
      <w:rFonts w:ascii="Calibri" w:eastAsia="Calibri" w:hAnsi="Calibri"/>
      <w:sz w:val="22"/>
      <w:szCs w:val="22"/>
      <w:lang w:val="x-none" w:eastAsia="en-US"/>
    </w:rPr>
  </w:style>
  <w:style w:type="character" w:customStyle="1" w:styleId="PiedepginaCar">
    <w:name w:val="Pie de página Car"/>
    <w:link w:val="Piedepgina"/>
    <w:uiPriority w:val="99"/>
    <w:rsid w:val="000C1072"/>
    <w:rPr>
      <w:rFonts w:ascii="Calibri" w:eastAsia="Calibri" w:hAnsi="Calibri"/>
      <w:sz w:val="22"/>
      <w:szCs w:val="22"/>
      <w:lang w:eastAsia="en-US"/>
    </w:rPr>
  </w:style>
  <w:style w:type="numbering" w:customStyle="1" w:styleId="Sinlista2">
    <w:name w:val="Sin lista2"/>
    <w:next w:val="Sinlista"/>
    <w:uiPriority w:val="99"/>
    <w:semiHidden/>
    <w:unhideWhenUsed/>
    <w:rsid w:val="00CC1F81"/>
  </w:style>
  <w:style w:type="numbering" w:customStyle="1" w:styleId="Sinlista3">
    <w:name w:val="Sin lista3"/>
    <w:next w:val="Sinlista"/>
    <w:uiPriority w:val="99"/>
    <w:semiHidden/>
    <w:unhideWhenUsed/>
    <w:rsid w:val="00CC1F81"/>
  </w:style>
  <w:style w:type="character" w:styleId="Hipervnculo">
    <w:name w:val="Hyperlink"/>
    <w:rsid w:val="005C042D"/>
    <w:rPr>
      <w:color w:val="0000FF"/>
      <w:u w:val="single"/>
    </w:rPr>
  </w:style>
  <w:style w:type="paragraph" w:styleId="Sinespaciado">
    <w:name w:val="No Spacing"/>
    <w:uiPriority w:val="99"/>
    <w:qFormat/>
    <w:rsid w:val="00576103"/>
    <w:rPr>
      <w:rFonts w:ascii="Arial" w:eastAsia="Calibri" w:hAnsi="Arial"/>
      <w:sz w:val="22"/>
      <w:szCs w:val="22"/>
      <w:lang w:eastAsia="en-US"/>
    </w:rPr>
  </w:style>
  <w:style w:type="character" w:styleId="Textoennegrita">
    <w:name w:val="Strong"/>
    <w:uiPriority w:val="22"/>
    <w:qFormat/>
    <w:rsid w:val="00576103"/>
    <w:rPr>
      <w:b/>
      <w:bCs/>
    </w:rPr>
  </w:style>
  <w:style w:type="paragraph" w:styleId="Ttulo">
    <w:name w:val="Title"/>
    <w:basedOn w:val="Normal"/>
    <w:next w:val="Normal"/>
    <w:link w:val="TtuloCar"/>
    <w:uiPriority w:val="10"/>
    <w:qFormat/>
    <w:rsid w:val="001F31B5"/>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1F31B5"/>
    <w:rPr>
      <w:rFonts w:ascii="Cambria" w:hAnsi="Cambria"/>
      <w:b/>
      <w:bCs/>
      <w:kern w:val="28"/>
      <w:sz w:val="32"/>
      <w:szCs w:val="32"/>
      <w:lang w:val="es-ES" w:eastAsia="es-ES"/>
    </w:rPr>
  </w:style>
  <w:style w:type="paragraph" w:customStyle="1" w:styleId="TtuloIntroySecciones">
    <w:name w:val="Título Intro y Secciones"/>
    <w:basedOn w:val="Normal"/>
    <w:qFormat/>
    <w:rsid w:val="001F31B5"/>
    <w:pPr>
      <w:autoSpaceDE w:val="0"/>
      <w:autoSpaceDN w:val="0"/>
      <w:adjustRightInd w:val="0"/>
      <w:spacing w:after="120"/>
      <w:jc w:val="center"/>
    </w:pPr>
    <w:rPr>
      <w:rFonts w:ascii="Times" w:hAnsi="Times"/>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99"/>
    <w:lsdException w:name="Subtitle" w:qFormat="1"/>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rsid w:val="00B033EE"/>
    <w:pPr>
      <w:keepNext/>
      <w:jc w:val="both"/>
      <w:outlineLvl w:val="1"/>
    </w:pPr>
    <w:rPr>
      <w:b/>
      <w:bCs/>
      <w:i/>
      <w:i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normal,Normal1,Ref,de nota al pie"/>
    <w:rsid w:val="009C4E5D"/>
    <w:rPr>
      <w:vertAlign w:val="superscript"/>
    </w:rPr>
  </w:style>
  <w:style w:type="paragraph" w:styleId="Textonotapie">
    <w:name w:val="footnote text"/>
    <w:aliases w:val="Car3 Car, Car3 Car, Car2,Car3, Car3,Car2"/>
    <w:basedOn w:val="Normal"/>
    <w:link w:val="TextonotapieCar"/>
    <w:rsid w:val="009C4E5D"/>
    <w:pPr>
      <w:tabs>
        <w:tab w:val="left" w:pos="0"/>
      </w:tabs>
      <w:spacing w:after="120"/>
      <w:jc w:val="both"/>
    </w:pPr>
    <w:rPr>
      <w:color w:val="FF0000"/>
      <w:position w:val="-10"/>
      <w:sz w:val="18"/>
      <w:szCs w:val="18"/>
    </w:rPr>
  </w:style>
  <w:style w:type="character" w:customStyle="1" w:styleId="TextonotapieCar">
    <w:name w:val="Texto nota pie Car"/>
    <w:aliases w:val="Car3 Car Car, Car3 Car Car, Car2 Car,Car3 Car1, Car3 Car1,Car2 Car"/>
    <w:link w:val="Textonotapie"/>
    <w:rsid w:val="009C4E5D"/>
    <w:rPr>
      <w:color w:val="FF0000"/>
      <w:position w:val="-10"/>
      <w:sz w:val="18"/>
      <w:szCs w:val="18"/>
      <w:lang w:val="es-ES" w:eastAsia="es-ES" w:bidi="ar-SA"/>
    </w:rPr>
  </w:style>
  <w:style w:type="paragraph" w:styleId="Textoindependiente">
    <w:name w:val="Body Text"/>
    <w:aliases w:val=" Car1, Car4,Car1,Car4"/>
    <w:basedOn w:val="Normal"/>
    <w:link w:val="TextoindependienteCar"/>
    <w:uiPriority w:val="99"/>
    <w:rsid w:val="009C4E5D"/>
    <w:pPr>
      <w:jc w:val="both"/>
    </w:pPr>
    <w:rPr>
      <w:color w:val="000000"/>
    </w:rPr>
  </w:style>
  <w:style w:type="character" w:customStyle="1" w:styleId="TextoindependienteCar">
    <w:name w:val="Texto independiente Car"/>
    <w:aliases w:val=" Car1 Car, Car4 Car,Car1 Car,Car4 Car"/>
    <w:link w:val="Textoindependiente"/>
    <w:uiPriority w:val="99"/>
    <w:rsid w:val="009C4E5D"/>
    <w:rPr>
      <w:color w:val="000000"/>
      <w:sz w:val="24"/>
      <w:szCs w:val="24"/>
      <w:lang w:val="es-ES" w:eastAsia="es-ES" w:bidi="ar-SA"/>
    </w:rPr>
  </w:style>
  <w:style w:type="paragraph" w:styleId="Textoindependiente2">
    <w:name w:val="Body Text 2"/>
    <w:aliases w:val=" Car,Car"/>
    <w:basedOn w:val="Normal"/>
    <w:link w:val="Textoindependiente2Car"/>
    <w:unhideWhenUsed/>
    <w:rsid w:val="00750433"/>
    <w:pPr>
      <w:spacing w:after="120" w:line="480" w:lineRule="auto"/>
    </w:pPr>
    <w:rPr>
      <w:rFonts w:ascii="Arial" w:hAnsi="Arial"/>
      <w:sz w:val="22"/>
      <w:szCs w:val="22"/>
    </w:rPr>
  </w:style>
  <w:style w:type="character" w:customStyle="1" w:styleId="Textoindependiente2Car">
    <w:name w:val="Texto independiente 2 Car"/>
    <w:aliases w:val=" Car Car,Car Car"/>
    <w:link w:val="Textoindependiente2"/>
    <w:rsid w:val="00750433"/>
    <w:rPr>
      <w:rFonts w:ascii="Arial" w:hAnsi="Arial" w:cs="Arial"/>
      <w:sz w:val="22"/>
      <w:szCs w:val="22"/>
      <w:lang w:val="es-ES" w:eastAsia="es-ES"/>
    </w:rPr>
  </w:style>
  <w:style w:type="character" w:customStyle="1" w:styleId="apple-converted-space">
    <w:name w:val="apple-converted-space"/>
    <w:basedOn w:val="Fuentedeprrafopredeter"/>
    <w:rsid w:val="00750433"/>
  </w:style>
  <w:style w:type="paragraph" w:styleId="Textoindependiente3">
    <w:name w:val="Body Text 3"/>
    <w:basedOn w:val="Normal"/>
    <w:link w:val="Textoindependiente3Car"/>
    <w:rsid w:val="008E454E"/>
    <w:pPr>
      <w:spacing w:after="120"/>
    </w:pPr>
    <w:rPr>
      <w:sz w:val="16"/>
      <w:szCs w:val="16"/>
      <w:lang w:val="es-AR"/>
    </w:rPr>
  </w:style>
  <w:style w:type="character" w:customStyle="1" w:styleId="Textoindependiente3Car">
    <w:name w:val="Texto independiente 3 Car"/>
    <w:link w:val="Textoindependiente3"/>
    <w:rsid w:val="008E454E"/>
    <w:rPr>
      <w:sz w:val="16"/>
      <w:szCs w:val="16"/>
      <w:lang w:val="es-AR" w:eastAsia="es-ES" w:bidi="ar-SA"/>
    </w:rPr>
  </w:style>
  <w:style w:type="character" w:customStyle="1" w:styleId="Ttulo2Car">
    <w:name w:val="Título 2 Car"/>
    <w:link w:val="Ttulo2"/>
    <w:rsid w:val="00B033EE"/>
    <w:rPr>
      <w:b/>
      <w:bCs/>
      <w:i/>
      <w:iCs/>
      <w:sz w:val="24"/>
      <w:szCs w:val="24"/>
      <w:lang w:val="es-AR" w:eastAsia="es-ES" w:bidi="ar-SA"/>
    </w:rPr>
  </w:style>
  <w:style w:type="paragraph" w:customStyle="1" w:styleId="Prrafodelista1">
    <w:name w:val="Párrafo de lista1"/>
    <w:basedOn w:val="Normal"/>
    <w:rsid w:val="00EC5EBB"/>
    <w:pPr>
      <w:spacing w:after="200" w:line="276" w:lineRule="auto"/>
      <w:ind w:left="720"/>
      <w:contextualSpacing/>
    </w:pPr>
    <w:rPr>
      <w:rFonts w:ascii="Calibri" w:hAnsi="Calibri"/>
      <w:sz w:val="22"/>
      <w:szCs w:val="22"/>
      <w:lang w:val="es-AR" w:eastAsia="en-US"/>
    </w:rPr>
  </w:style>
  <w:style w:type="paragraph" w:styleId="NormalWeb">
    <w:name w:val="Normal (Web)"/>
    <w:basedOn w:val="Normal"/>
    <w:rsid w:val="00152BFB"/>
    <w:pPr>
      <w:spacing w:before="100" w:beforeAutospacing="1" w:after="100" w:afterAutospacing="1"/>
    </w:pPr>
  </w:style>
  <w:style w:type="character" w:styleId="Refdecomentario">
    <w:name w:val="annotation reference"/>
    <w:uiPriority w:val="99"/>
    <w:rsid w:val="00E5786A"/>
    <w:rPr>
      <w:sz w:val="16"/>
      <w:szCs w:val="16"/>
    </w:rPr>
  </w:style>
  <w:style w:type="paragraph" w:styleId="Textocomentario">
    <w:name w:val="annotation text"/>
    <w:basedOn w:val="Normal"/>
    <w:link w:val="TextocomentarioCar"/>
    <w:rsid w:val="00E5786A"/>
    <w:rPr>
      <w:sz w:val="20"/>
      <w:szCs w:val="20"/>
    </w:rPr>
  </w:style>
  <w:style w:type="character" w:customStyle="1" w:styleId="TextocomentarioCar">
    <w:name w:val="Texto comentario Car"/>
    <w:link w:val="Textocomentario"/>
    <w:rsid w:val="00E5786A"/>
    <w:rPr>
      <w:lang w:val="es-ES" w:eastAsia="es-ES"/>
    </w:rPr>
  </w:style>
  <w:style w:type="paragraph" w:styleId="Asuntodelcomentario">
    <w:name w:val="annotation subject"/>
    <w:basedOn w:val="Textocomentario"/>
    <w:next w:val="Textocomentario"/>
    <w:link w:val="AsuntodelcomentarioCar"/>
    <w:rsid w:val="00E5786A"/>
    <w:rPr>
      <w:b/>
      <w:bCs/>
    </w:rPr>
  </w:style>
  <w:style w:type="character" w:customStyle="1" w:styleId="AsuntodelcomentarioCar">
    <w:name w:val="Asunto del comentario Car"/>
    <w:link w:val="Asuntodelcomentario"/>
    <w:rsid w:val="00E5786A"/>
    <w:rPr>
      <w:b/>
      <w:bCs/>
      <w:lang w:val="es-ES" w:eastAsia="es-ES"/>
    </w:rPr>
  </w:style>
  <w:style w:type="paragraph" w:styleId="Textodeglobo">
    <w:name w:val="Balloon Text"/>
    <w:basedOn w:val="Normal"/>
    <w:link w:val="TextodegloboCar"/>
    <w:uiPriority w:val="99"/>
    <w:rsid w:val="00E5786A"/>
    <w:rPr>
      <w:rFonts w:ascii="Tahoma" w:hAnsi="Tahoma"/>
      <w:sz w:val="16"/>
      <w:szCs w:val="16"/>
    </w:rPr>
  </w:style>
  <w:style w:type="character" w:customStyle="1" w:styleId="TextodegloboCar">
    <w:name w:val="Texto de globo Car"/>
    <w:link w:val="Textodeglobo"/>
    <w:uiPriority w:val="99"/>
    <w:rsid w:val="00E5786A"/>
    <w:rPr>
      <w:rFonts w:ascii="Tahoma" w:hAnsi="Tahoma" w:cs="Tahoma"/>
      <w:sz w:val="16"/>
      <w:szCs w:val="16"/>
      <w:lang w:val="es-ES" w:eastAsia="es-ES"/>
    </w:rPr>
  </w:style>
  <w:style w:type="paragraph" w:styleId="Prrafodelista">
    <w:name w:val="List Paragraph"/>
    <w:basedOn w:val="Normal"/>
    <w:uiPriority w:val="34"/>
    <w:qFormat/>
    <w:rsid w:val="00861CEA"/>
    <w:pPr>
      <w:widowControl w:val="0"/>
      <w:spacing w:after="200" w:line="276" w:lineRule="auto"/>
      <w:ind w:left="720"/>
      <w:contextualSpacing/>
    </w:pPr>
    <w:rPr>
      <w:rFonts w:ascii="Calibri" w:eastAsia="Calibri" w:hAnsi="Calibri"/>
      <w:sz w:val="22"/>
      <w:szCs w:val="22"/>
      <w:lang w:val="en-US" w:eastAsia="en-US"/>
    </w:rPr>
  </w:style>
  <w:style w:type="numbering" w:customStyle="1" w:styleId="Sinlista1">
    <w:name w:val="Sin lista1"/>
    <w:next w:val="Sinlista"/>
    <w:uiPriority w:val="99"/>
    <w:semiHidden/>
    <w:unhideWhenUsed/>
    <w:rsid w:val="000C1072"/>
  </w:style>
  <w:style w:type="paragraph" w:customStyle="1" w:styleId="Prrafodelista10">
    <w:name w:val="Párrafo de lista1"/>
    <w:basedOn w:val="Normal"/>
    <w:rsid w:val="000C1072"/>
    <w:pPr>
      <w:spacing w:after="200" w:line="276" w:lineRule="auto"/>
      <w:ind w:left="720"/>
      <w:contextualSpacing/>
    </w:pPr>
    <w:rPr>
      <w:rFonts w:ascii="Calibri" w:hAnsi="Calibri"/>
      <w:sz w:val="22"/>
      <w:szCs w:val="22"/>
      <w:lang w:val="es-AR" w:eastAsia="en-US"/>
    </w:rPr>
  </w:style>
  <w:style w:type="paragraph" w:styleId="Encabezado">
    <w:name w:val="header"/>
    <w:basedOn w:val="Normal"/>
    <w:link w:val="EncabezadoCar"/>
    <w:uiPriority w:val="99"/>
    <w:unhideWhenUsed/>
    <w:rsid w:val="000C1072"/>
    <w:pPr>
      <w:tabs>
        <w:tab w:val="center" w:pos="4419"/>
        <w:tab w:val="right" w:pos="8838"/>
      </w:tabs>
    </w:pPr>
    <w:rPr>
      <w:rFonts w:ascii="Calibri" w:eastAsia="Calibri" w:hAnsi="Calibri"/>
      <w:sz w:val="22"/>
      <w:szCs w:val="22"/>
      <w:lang w:val="x-none" w:eastAsia="en-US"/>
    </w:rPr>
  </w:style>
  <w:style w:type="character" w:customStyle="1" w:styleId="EncabezadoCar">
    <w:name w:val="Encabezado Car"/>
    <w:link w:val="Encabezado"/>
    <w:uiPriority w:val="99"/>
    <w:rsid w:val="000C1072"/>
    <w:rPr>
      <w:rFonts w:ascii="Calibri" w:eastAsia="Calibri" w:hAnsi="Calibri"/>
      <w:sz w:val="22"/>
      <w:szCs w:val="22"/>
      <w:lang w:eastAsia="en-US"/>
    </w:rPr>
  </w:style>
  <w:style w:type="paragraph" w:styleId="Piedepgina">
    <w:name w:val="footer"/>
    <w:basedOn w:val="Normal"/>
    <w:link w:val="PiedepginaCar"/>
    <w:uiPriority w:val="99"/>
    <w:unhideWhenUsed/>
    <w:rsid w:val="000C1072"/>
    <w:pPr>
      <w:tabs>
        <w:tab w:val="center" w:pos="4419"/>
        <w:tab w:val="right" w:pos="8838"/>
      </w:tabs>
    </w:pPr>
    <w:rPr>
      <w:rFonts w:ascii="Calibri" w:eastAsia="Calibri" w:hAnsi="Calibri"/>
      <w:sz w:val="22"/>
      <w:szCs w:val="22"/>
      <w:lang w:val="x-none" w:eastAsia="en-US"/>
    </w:rPr>
  </w:style>
  <w:style w:type="character" w:customStyle="1" w:styleId="PiedepginaCar">
    <w:name w:val="Pie de página Car"/>
    <w:link w:val="Piedepgina"/>
    <w:uiPriority w:val="99"/>
    <w:rsid w:val="000C1072"/>
    <w:rPr>
      <w:rFonts w:ascii="Calibri" w:eastAsia="Calibri" w:hAnsi="Calibri"/>
      <w:sz w:val="22"/>
      <w:szCs w:val="22"/>
      <w:lang w:eastAsia="en-US"/>
    </w:rPr>
  </w:style>
  <w:style w:type="numbering" w:customStyle="1" w:styleId="Sinlista2">
    <w:name w:val="Sin lista2"/>
    <w:next w:val="Sinlista"/>
    <w:uiPriority w:val="99"/>
    <w:semiHidden/>
    <w:unhideWhenUsed/>
    <w:rsid w:val="00CC1F81"/>
  </w:style>
  <w:style w:type="numbering" w:customStyle="1" w:styleId="Sinlista3">
    <w:name w:val="Sin lista3"/>
    <w:next w:val="Sinlista"/>
    <w:uiPriority w:val="99"/>
    <w:semiHidden/>
    <w:unhideWhenUsed/>
    <w:rsid w:val="00CC1F81"/>
  </w:style>
  <w:style w:type="character" w:styleId="Hipervnculo">
    <w:name w:val="Hyperlink"/>
    <w:rsid w:val="005C042D"/>
    <w:rPr>
      <w:color w:val="0000FF"/>
      <w:u w:val="single"/>
    </w:rPr>
  </w:style>
  <w:style w:type="paragraph" w:styleId="Sinespaciado">
    <w:name w:val="No Spacing"/>
    <w:uiPriority w:val="99"/>
    <w:qFormat/>
    <w:rsid w:val="00576103"/>
    <w:rPr>
      <w:rFonts w:ascii="Arial" w:eastAsia="Calibri" w:hAnsi="Arial"/>
      <w:sz w:val="22"/>
      <w:szCs w:val="22"/>
      <w:lang w:eastAsia="en-US"/>
    </w:rPr>
  </w:style>
  <w:style w:type="character" w:styleId="Textoennegrita">
    <w:name w:val="Strong"/>
    <w:uiPriority w:val="22"/>
    <w:qFormat/>
    <w:rsid w:val="00576103"/>
    <w:rPr>
      <w:b/>
      <w:bCs/>
    </w:rPr>
  </w:style>
  <w:style w:type="paragraph" w:styleId="Ttulo">
    <w:name w:val="Title"/>
    <w:basedOn w:val="Normal"/>
    <w:next w:val="Normal"/>
    <w:link w:val="TtuloCar"/>
    <w:uiPriority w:val="10"/>
    <w:qFormat/>
    <w:rsid w:val="001F31B5"/>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1F31B5"/>
    <w:rPr>
      <w:rFonts w:ascii="Cambria" w:hAnsi="Cambria"/>
      <w:b/>
      <w:bCs/>
      <w:kern w:val="28"/>
      <w:sz w:val="32"/>
      <w:szCs w:val="32"/>
      <w:lang w:val="es-ES" w:eastAsia="es-ES"/>
    </w:rPr>
  </w:style>
  <w:style w:type="paragraph" w:customStyle="1" w:styleId="TtuloIntroySecciones">
    <w:name w:val="Título Intro y Secciones"/>
    <w:basedOn w:val="Normal"/>
    <w:qFormat/>
    <w:rsid w:val="001F31B5"/>
    <w:pPr>
      <w:autoSpaceDE w:val="0"/>
      <w:autoSpaceDN w:val="0"/>
      <w:adjustRightInd w:val="0"/>
      <w:spacing w:after="120"/>
      <w:jc w:val="center"/>
    </w:pPr>
    <w:rPr>
      <w:rFonts w:ascii="Times" w:hAnsi="Times"/>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6541">
      <w:bodyDiv w:val="1"/>
      <w:marLeft w:val="0"/>
      <w:marRight w:val="0"/>
      <w:marTop w:val="0"/>
      <w:marBottom w:val="0"/>
      <w:divBdr>
        <w:top w:val="none" w:sz="0" w:space="0" w:color="auto"/>
        <w:left w:val="none" w:sz="0" w:space="0" w:color="auto"/>
        <w:bottom w:val="none" w:sz="0" w:space="0" w:color="auto"/>
        <w:right w:val="none" w:sz="0" w:space="0" w:color="auto"/>
      </w:divBdr>
    </w:div>
    <w:div w:id="245001829">
      <w:bodyDiv w:val="1"/>
      <w:marLeft w:val="0"/>
      <w:marRight w:val="0"/>
      <w:marTop w:val="0"/>
      <w:marBottom w:val="0"/>
      <w:divBdr>
        <w:top w:val="none" w:sz="0" w:space="0" w:color="auto"/>
        <w:left w:val="none" w:sz="0" w:space="0" w:color="auto"/>
        <w:bottom w:val="none" w:sz="0" w:space="0" w:color="auto"/>
        <w:right w:val="none" w:sz="0" w:space="0" w:color="auto"/>
      </w:divBdr>
    </w:div>
    <w:div w:id="254946192">
      <w:bodyDiv w:val="1"/>
      <w:marLeft w:val="0"/>
      <w:marRight w:val="0"/>
      <w:marTop w:val="0"/>
      <w:marBottom w:val="0"/>
      <w:divBdr>
        <w:top w:val="none" w:sz="0" w:space="0" w:color="auto"/>
        <w:left w:val="none" w:sz="0" w:space="0" w:color="auto"/>
        <w:bottom w:val="none" w:sz="0" w:space="0" w:color="auto"/>
        <w:right w:val="none" w:sz="0" w:space="0" w:color="auto"/>
      </w:divBdr>
    </w:div>
    <w:div w:id="275723736">
      <w:bodyDiv w:val="1"/>
      <w:marLeft w:val="0"/>
      <w:marRight w:val="0"/>
      <w:marTop w:val="0"/>
      <w:marBottom w:val="0"/>
      <w:divBdr>
        <w:top w:val="none" w:sz="0" w:space="0" w:color="auto"/>
        <w:left w:val="none" w:sz="0" w:space="0" w:color="auto"/>
        <w:bottom w:val="none" w:sz="0" w:space="0" w:color="auto"/>
        <w:right w:val="none" w:sz="0" w:space="0" w:color="auto"/>
      </w:divBdr>
    </w:div>
    <w:div w:id="346060394">
      <w:bodyDiv w:val="1"/>
      <w:marLeft w:val="0"/>
      <w:marRight w:val="0"/>
      <w:marTop w:val="0"/>
      <w:marBottom w:val="0"/>
      <w:divBdr>
        <w:top w:val="none" w:sz="0" w:space="0" w:color="auto"/>
        <w:left w:val="none" w:sz="0" w:space="0" w:color="auto"/>
        <w:bottom w:val="none" w:sz="0" w:space="0" w:color="auto"/>
        <w:right w:val="none" w:sz="0" w:space="0" w:color="auto"/>
      </w:divBdr>
      <w:divsChild>
        <w:div w:id="89661810">
          <w:marLeft w:val="0"/>
          <w:marRight w:val="0"/>
          <w:marTop w:val="0"/>
          <w:marBottom w:val="0"/>
          <w:divBdr>
            <w:top w:val="none" w:sz="0" w:space="0" w:color="auto"/>
            <w:left w:val="none" w:sz="0" w:space="0" w:color="auto"/>
            <w:bottom w:val="none" w:sz="0" w:space="0" w:color="auto"/>
            <w:right w:val="none" w:sz="0" w:space="0" w:color="auto"/>
          </w:divBdr>
        </w:div>
        <w:div w:id="439034639">
          <w:marLeft w:val="0"/>
          <w:marRight w:val="0"/>
          <w:marTop w:val="0"/>
          <w:marBottom w:val="0"/>
          <w:divBdr>
            <w:top w:val="none" w:sz="0" w:space="0" w:color="auto"/>
            <w:left w:val="none" w:sz="0" w:space="0" w:color="auto"/>
            <w:bottom w:val="none" w:sz="0" w:space="0" w:color="auto"/>
            <w:right w:val="none" w:sz="0" w:space="0" w:color="auto"/>
          </w:divBdr>
        </w:div>
        <w:div w:id="483281442">
          <w:marLeft w:val="0"/>
          <w:marRight w:val="0"/>
          <w:marTop w:val="0"/>
          <w:marBottom w:val="0"/>
          <w:divBdr>
            <w:top w:val="none" w:sz="0" w:space="0" w:color="auto"/>
            <w:left w:val="none" w:sz="0" w:space="0" w:color="auto"/>
            <w:bottom w:val="none" w:sz="0" w:space="0" w:color="auto"/>
            <w:right w:val="none" w:sz="0" w:space="0" w:color="auto"/>
          </w:divBdr>
        </w:div>
        <w:div w:id="1996689410">
          <w:marLeft w:val="0"/>
          <w:marRight w:val="0"/>
          <w:marTop w:val="0"/>
          <w:marBottom w:val="0"/>
          <w:divBdr>
            <w:top w:val="none" w:sz="0" w:space="0" w:color="auto"/>
            <w:left w:val="none" w:sz="0" w:space="0" w:color="auto"/>
            <w:bottom w:val="none" w:sz="0" w:space="0" w:color="auto"/>
            <w:right w:val="none" w:sz="0" w:space="0" w:color="auto"/>
          </w:divBdr>
        </w:div>
        <w:div w:id="2050183290">
          <w:marLeft w:val="0"/>
          <w:marRight w:val="0"/>
          <w:marTop w:val="0"/>
          <w:marBottom w:val="0"/>
          <w:divBdr>
            <w:top w:val="none" w:sz="0" w:space="0" w:color="auto"/>
            <w:left w:val="none" w:sz="0" w:space="0" w:color="auto"/>
            <w:bottom w:val="none" w:sz="0" w:space="0" w:color="auto"/>
            <w:right w:val="none" w:sz="0" w:space="0" w:color="auto"/>
          </w:divBdr>
        </w:div>
      </w:divsChild>
    </w:div>
    <w:div w:id="380251450">
      <w:bodyDiv w:val="1"/>
      <w:marLeft w:val="0"/>
      <w:marRight w:val="0"/>
      <w:marTop w:val="0"/>
      <w:marBottom w:val="0"/>
      <w:divBdr>
        <w:top w:val="none" w:sz="0" w:space="0" w:color="auto"/>
        <w:left w:val="none" w:sz="0" w:space="0" w:color="auto"/>
        <w:bottom w:val="none" w:sz="0" w:space="0" w:color="auto"/>
        <w:right w:val="none" w:sz="0" w:space="0" w:color="auto"/>
      </w:divBdr>
    </w:div>
    <w:div w:id="618268224">
      <w:bodyDiv w:val="1"/>
      <w:marLeft w:val="0"/>
      <w:marRight w:val="0"/>
      <w:marTop w:val="0"/>
      <w:marBottom w:val="0"/>
      <w:divBdr>
        <w:top w:val="none" w:sz="0" w:space="0" w:color="auto"/>
        <w:left w:val="none" w:sz="0" w:space="0" w:color="auto"/>
        <w:bottom w:val="none" w:sz="0" w:space="0" w:color="auto"/>
        <w:right w:val="none" w:sz="0" w:space="0" w:color="auto"/>
      </w:divBdr>
    </w:div>
    <w:div w:id="664011123">
      <w:bodyDiv w:val="1"/>
      <w:marLeft w:val="0"/>
      <w:marRight w:val="0"/>
      <w:marTop w:val="0"/>
      <w:marBottom w:val="0"/>
      <w:divBdr>
        <w:top w:val="none" w:sz="0" w:space="0" w:color="auto"/>
        <w:left w:val="none" w:sz="0" w:space="0" w:color="auto"/>
        <w:bottom w:val="none" w:sz="0" w:space="0" w:color="auto"/>
        <w:right w:val="none" w:sz="0" w:space="0" w:color="auto"/>
      </w:divBdr>
    </w:div>
    <w:div w:id="667904807">
      <w:bodyDiv w:val="1"/>
      <w:marLeft w:val="0"/>
      <w:marRight w:val="0"/>
      <w:marTop w:val="0"/>
      <w:marBottom w:val="0"/>
      <w:divBdr>
        <w:top w:val="none" w:sz="0" w:space="0" w:color="auto"/>
        <w:left w:val="none" w:sz="0" w:space="0" w:color="auto"/>
        <w:bottom w:val="none" w:sz="0" w:space="0" w:color="auto"/>
        <w:right w:val="none" w:sz="0" w:space="0" w:color="auto"/>
      </w:divBdr>
    </w:div>
    <w:div w:id="669328665">
      <w:bodyDiv w:val="1"/>
      <w:marLeft w:val="0"/>
      <w:marRight w:val="0"/>
      <w:marTop w:val="0"/>
      <w:marBottom w:val="0"/>
      <w:divBdr>
        <w:top w:val="none" w:sz="0" w:space="0" w:color="auto"/>
        <w:left w:val="none" w:sz="0" w:space="0" w:color="auto"/>
        <w:bottom w:val="none" w:sz="0" w:space="0" w:color="auto"/>
        <w:right w:val="none" w:sz="0" w:space="0" w:color="auto"/>
      </w:divBdr>
    </w:div>
    <w:div w:id="690911275">
      <w:bodyDiv w:val="1"/>
      <w:marLeft w:val="0"/>
      <w:marRight w:val="0"/>
      <w:marTop w:val="0"/>
      <w:marBottom w:val="0"/>
      <w:divBdr>
        <w:top w:val="none" w:sz="0" w:space="0" w:color="auto"/>
        <w:left w:val="none" w:sz="0" w:space="0" w:color="auto"/>
        <w:bottom w:val="none" w:sz="0" w:space="0" w:color="auto"/>
        <w:right w:val="none" w:sz="0" w:space="0" w:color="auto"/>
      </w:divBdr>
    </w:div>
    <w:div w:id="729957360">
      <w:bodyDiv w:val="1"/>
      <w:marLeft w:val="0"/>
      <w:marRight w:val="0"/>
      <w:marTop w:val="0"/>
      <w:marBottom w:val="0"/>
      <w:divBdr>
        <w:top w:val="none" w:sz="0" w:space="0" w:color="auto"/>
        <w:left w:val="none" w:sz="0" w:space="0" w:color="auto"/>
        <w:bottom w:val="none" w:sz="0" w:space="0" w:color="auto"/>
        <w:right w:val="none" w:sz="0" w:space="0" w:color="auto"/>
      </w:divBdr>
    </w:div>
    <w:div w:id="763920074">
      <w:bodyDiv w:val="1"/>
      <w:marLeft w:val="0"/>
      <w:marRight w:val="0"/>
      <w:marTop w:val="0"/>
      <w:marBottom w:val="0"/>
      <w:divBdr>
        <w:top w:val="none" w:sz="0" w:space="0" w:color="auto"/>
        <w:left w:val="none" w:sz="0" w:space="0" w:color="auto"/>
        <w:bottom w:val="none" w:sz="0" w:space="0" w:color="auto"/>
        <w:right w:val="none" w:sz="0" w:space="0" w:color="auto"/>
      </w:divBdr>
    </w:div>
    <w:div w:id="792555789">
      <w:bodyDiv w:val="1"/>
      <w:marLeft w:val="0"/>
      <w:marRight w:val="0"/>
      <w:marTop w:val="0"/>
      <w:marBottom w:val="0"/>
      <w:divBdr>
        <w:top w:val="none" w:sz="0" w:space="0" w:color="auto"/>
        <w:left w:val="none" w:sz="0" w:space="0" w:color="auto"/>
        <w:bottom w:val="none" w:sz="0" w:space="0" w:color="auto"/>
        <w:right w:val="none" w:sz="0" w:space="0" w:color="auto"/>
      </w:divBdr>
    </w:div>
    <w:div w:id="821386475">
      <w:bodyDiv w:val="1"/>
      <w:marLeft w:val="0"/>
      <w:marRight w:val="0"/>
      <w:marTop w:val="0"/>
      <w:marBottom w:val="0"/>
      <w:divBdr>
        <w:top w:val="none" w:sz="0" w:space="0" w:color="auto"/>
        <w:left w:val="none" w:sz="0" w:space="0" w:color="auto"/>
        <w:bottom w:val="none" w:sz="0" w:space="0" w:color="auto"/>
        <w:right w:val="none" w:sz="0" w:space="0" w:color="auto"/>
      </w:divBdr>
    </w:div>
    <w:div w:id="866021205">
      <w:bodyDiv w:val="1"/>
      <w:marLeft w:val="0"/>
      <w:marRight w:val="0"/>
      <w:marTop w:val="0"/>
      <w:marBottom w:val="0"/>
      <w:divBdr>
        <w:top w:val="none" w:sz="0" w:space="0" w:color="auto"/>
        <w:left w:val="none" w:sz="0" w:space="0" w:color="auto"/>
        <w:bottom w:val="none" w:sz="0" w:space="0" w:color="auto"/>
        <w:right w:val="none" w:sz="0" w:space="0" w:color="auto"/>
      </w:divBdr>
    </w:div>
    <w:div w:id="883978298">
      <w:bodyDiv w:val="1"/>
      <w:marLeft w:val="0"/>
      <w:marRight w:val="0"/>
      <w:marTop w:val="0"/>
      <w:marBottom w:val="0"/>
      <w:divBdr>
        <w:top w:val="none" w:sz="0" w:space="0" w:color="auto"/>
        <w:left w:val="none" w:sz="0" w:space="0" w:color="auto"/>
        <w:bottom w:val="none" w:sz="0" w:space="0" w:color="auto"/>
        <w:right w:val="none" w:sz="0" w:space="0" w:color="auto"/>
      </w:divBdr>
    </w:div>
    <w:div w:id="1027633525">
      <w:bodyDiv w:val="1"/>
      <w:marLeft w:val="0"/>
      <w:marRight w:val="0"/>
      <w:marTop w:val="0"/>
      <w:marBottom w:val="0"/>
      <w:divBdr>
        <w:top w:val="none" w:sz="0" w:space="0" w:color="auto"/>
        <w:left w:val="none" w:sz="0" w:space="0" w:color="auto"/>
        <w:bottom w:val="none" w:sz="0" w:space="0" w:color="auto"/>
        <w:right w:val="none" w:sz="0" w:space="0" w:color="auto"/>
      </w:divBdr>
    </w:div>
    <w:div w:id="1029260964">
      <w:bodyDiv w:val="1"/>
      <w:marLeft w:val="0"/>
      <w:marRight w:val="0"/>
      <w:marTop w:val="0"/>
      <w:marBottom w:val="0"/>
      <w:divBdr>
        <w:top w:val="none" w:sz="0" w:space="0" w:color="auto"/>
        <w:left w:val="none" w:sz="0" w:space="0" w:color="auto"/>
        <w:bottom w:val="none" w:sz="0" w:space="0" w:color="auto"/>
        <w:right w:val="none" w:sz="0" w:space="0" w:color="auto"/>
      </w:divBdr>
    </w:div>
    <w:div w:id="1055347883">
      <w:bodyDiv w:val="1"/>
      <w:marLeft w:val="0"/>
      <w:marRight w:val="0"/>
      <w:marTop w:val="0"/>
      <w:marBottom w:val="0"/>
      <w:divBdr>
        <w:top w:val="none" w:sz="0" w:space="0" w:color="auto"/>
        <w:left w:val="none" w:sz="0" w:space="0" w:color="auto"/>
        <w:bottom w:val="none" w:sz="0" w:space="0" w:color="auto"/>
        <w:right w:val="none" w:sz="0" w:space="0" w:color="auto"/>
      </w:divBdr>
    </w:div>
    <w:div w:id="1139490796">
      <w:bodyDiv w:val="1"/>
      <w:marLeft w:val="0"/>
      <w:marRight w:val="0"/>
      <w:marTop w:val="0"/>
      <w:marBottom w:val="0"/>
      <w:divBdr>
        <w:top w:val="none" w:sz="0" w:space="0" w:color="auto"/>
        <w:left w:val="none" w:sz="0" w:space="0" w:color="auto"/>
        <w:bottom w:val="none" w:sz="0" w:space="0" w:color="auto"/>
        <w:right w:val="none" w:sz="0" w:space="0" w:color="auto"/>
      </w:divBdr>
    </w:div>
    <w:div w:id="1197351572">
      <w:bodyDiv w:val="1"/>
      <w:marLeft w:val="0"/>
      <w:marRight w:val="0"/>
      <w:marTop w:val="0"/>
      <w:marBottom w:val="0"/>
      <w:divBdr>
        <w:top w:val="none" w:sz="0" w:space="0" w:color="auto"/>
        <w:left w:val="none" w:sz="0" w:space="0" w:color="auto"/>
        <w:bottom w:val="none" w:sz="0" w:space="0" w:color="auto"/>
        <w:right w:val="none" w:sz="0" w:space="0" w:color="auto"/>
      </w:divBdr>
    </w:div>
    <w:div w:id="1274628864">
      <w:bodyDiv w:val="1"/>
      <w:marLeft w:val="0"/>
      <w:marRight w:val="0"/>
      <w:marTop w:val="0"/>
      <w:marBottom w:val="0"/>
      <w:divBdr>
        <w:top w:val="none" w:sz="0" w:space="0" w:color="auto"/>
        <w:left w:val="none" w:sz="0" w:space="0" w:color="auto"/>
        <w:bottom w:val="none" w:sz="0" w:space="0" w:color="auto"/>
        <w:right w:val="none" w:sz="0" w:space="0" w:color="auto"/>
      </w:divBdr>
    </w:div>
    <w:div w:id="1356496613">
      <w:bodyDiv w:val="1"/>
      <w:marLeft w:val="0"/>
      <w:marRight w:val="0"/>
      <w:marTop w:val="0"/>
      <w:marBottom w:val="0"/>
      <w:divBdr>
        <w:top w:val="none" w:sz="0" w:space="0" w:color="auto"/>
        <w:left w:val="none" w:sz="0" w:space="0" w:color="auto"/>
        <w:bottom w:val="none" w:sz="0" w:space="0" w:color="auto"/>
        <w:right w:val="none" w:sz="0" w:space="0" w:color="auto"/>
      </w:divBdr>
    </w:div>
    <w:div w:id="1365328687">
      <w:bodyDiv w:val="1"/>
      <w:marLeft w:val="0"/>
      <w:marRight w:val="0"/>
      <w:marTop w:val="0"/>
      <w:marBottom w:val="0"/>
      <w:divBdr>
        <w:top w:val="none" w:sz="0" w:space="0" w:color="auto"/>
        <w:left w:val="none" w:sz="0" w:space="0" w:color="auto"/>
        <w:bottom w:val="none" w:sz="0" w:space="0" w:color="auto"/>
        <w:right w:val="none" w:sz="0" w:space="0" w:color="auto"/>
      </w:divBdr>
    </w:div>
    <w:div w:id="1366055429">
      <w:bodyDiv w:val="1"/>
      <w:marLeft w:val="0"/>
      <w:marRight w:val="0"/>
      <w:marTop w:val="0"/>
      <w:marBottom w:val="0"/>
      <w:divBdr>
        <w:top w:val="none" w:sz="0" w:space="0" w:color="auto"/>
        <w:left w:val="none" w:sz="0" w:space="0" w:color="auto"/>
        <w:bottom w:val="none" w:sz="0" w:space="0" w:color="auto"/>
        <w:right w:val="none" w:sz="0" w:space="0" w:color="auto"/>
      </w:divBdr>
    </w:div>
    <w:div w:id="1382754433">
      <w:bodyDiv w:val="1"/>
      <w:marLeft w:val="0"/>
      <w:marRight w:val="0"/>
      <w:marTop w:val="0"/>
      <w:marBottom w:val="0"/>
      <w:divBdr>
        <w:top w:val="none" w:sz="0" w:space="0" w:color="auto"/>
        <w:left w:val="none" w:sz="0" w:space="0" w:color="auto"/>
        <w:bottom w:val="none" w:sz="0" w:space="0" w:color="auto"/>
        <w:right w:val="none" w:sz="0" w:space="0" w:color="auto"/>
      </w:divBdr>
    </w:div>
    <w:div w:id="1421029449">
      <w:bodyDiv w:val="1"/>
      <w:marLeft w:val="0"/>
      <w:marRight w:val="0"/>
      <w:marTop w:val="0"/>
      <w:marBottom w:val="0"/>
      <w:divBdr>
        <w:top w:val="none" w:sz="0" w:space="0" w:color="auto"/>
        <w:left w:val="none" w:sz="0" w:space="0" w:color="auto"/>
        <w:bottom w:val="none" w:sz="0" w:space="0" w:color="auto"/>
        <w:right w:val="none" w:sz="0" w:space="0" w:color="auto"/>
      </w:divBdr>
    </w:div>
    <w:div w:id="1539120739">
      <w:bodyDiv w:val="1"/>
      <w:marLeft w:val="0"/>
      <w:marRight w:val="0"/>
      <w:marTop w:val="0"/>
      <w:marBottom w:val="0"/>
      <w:divBdr>
        <w:top w:val="none" w:sz="0" w:space="0" w:color="auto"/>
        <w:left w:val="none" w:sz="0" w:space="0" w:color="auto"/>
        <w:bottom w:val="none" w:sz="0" w:space="0" w:color="auto"/>
        <w:right w:val="none" w:sz="0" w:space="0" w:color="auto"/>
      </w:divBdr>
    </w:div>
    <w:div w:id="1539322237">
      <w:bodyDiv w:val="1"/>
      <w:marLeft w:val="0"/>
      <w:marRight w:val="0"/>
      <w:marTop w:val="0"/>
      <w:marBottom w:val="0"/>
      <w:divBdr>
        <w:top w:val="none" w:sz="0" w:space="0" w:color="auto"/>
        <w:left w:val="none" w:sz="0" w:space="0" w:color="auto"/>
        <w:bottom w:val="none" w:sz="0" w:space="0" w:color="auto"/>
        <w:right w:val="none" w:sz="0" w:space="0" w:color="auto"/>
      </w:divBdr>
    </w:div>
    <w:div w:id="1576479140">
      <w:bodyDiv w:val="1"/>
      <w:marLeft w:val="0"/>
      <w:marRight w:val="0"/>
      <w:marTop w:val="0"/>
      <w:marBottom w:val="0"/>
      <w:divBdr>
        <w:top w:val="none" w:sz="0" w:space="0" w:color="auto"/>
        <w:left w:val="none" w:sz="0" w:space="0" w:color="auto"/>
        <w:bottom w:val="none" w:sz="0" w:space="0" w:color="auto"/>
        <w:right w:val="none" w:sz="0" w:space="0" w:color="auto"/>
      </w:divBdr>
    </w:div>
    <w:div w:id="1670326179">
      <w:bodyDiv w:val="1"/>
      <w:marLeft w:val="0"/>
      <w:marRight w:val="0"/>
      <w:marTop w:val="0"/>
      <w:marBottom w:val="0"/>
      <w:divBdr>
        <w:top w:val="none" w:sz="0" w:space="0" w:color="auto"/>
        <w:left w:val="none" w:sz="0" w:space="0" w:color="auto"/>
        <w:bottom w:val="none" w:sz="0" w:space="0" w:color="auto"/>
        <w:right w:val="none" w:sz="0" w:space="0" w:color="auto"/>
      </w:divBdr>
    </w:div>
    <w:div w:id="1689211235">
      <w:bodyDiv w:val="1"/>
      <w:marLeft w:val="0"/>
      <w:marRight w:val="0"/>
      <w:marTop w:val="0"/>
      <w:marBottom w:val="0"/>
      <w:divBdr>
        <w:top w:val="none" w:sz="0" w:space="0" w:color="auto"/>
        <w:left w:val="none" w:sz="0" w:space="0" w:color="auto"/>
        <w:bottom w:val="none" w:sz="0" w:space="0" w:color="auto"/>
        <w:right w:val="none" w:sz="0" w:space="0" w:color="auto"/>
      </w:divBdr>
      <w:divsChild>
        <w:div w:id="644553132">
          <w:marLeft w:val="0"/>
          <w:marRight w:val="0"/>
          <w:marTop w:val="0"/>
          <w:marBottom w:val="0"/>
          <w:divBdr>
            <w:top w:val="none" w:sz="0" w:space="0" w:color="auto"/>
            <w:left w:val="none" w:sz="0" w:space="0" w:color="auto"/>
            <w:bottom w:val="none" w:sz="0" w:space="0" w:color="auto"/>
            <w:right w:val="none" w:sz="0" w:space="0" w:color="auto"/>
          </w:divBdr>
        </w:div>
      </w:divsChild>
    </w:div>
    <w:div w:id="1734890403">
      <w:bodyDiv w:val="1"/>
      <w:marLeft w:val="0"/>
      <w:marRight w:val="0"/>
      <w:marTop w:val="0"/>
      <w:marBottom w:val="0"/>
      <w:divBdr>
        <w:top w:val="none" w:sz="0" w:space="0" w:color="auto"/>
        <w:left w:val="none" w:sz="0" w:space="0" w:color="auto"/>
        <w:bottom w:val="none" w:sz="0" w:space="0" w:color="auto"/>
        <w:right w:val="none" w:sz="0" w:space="0" w:color="auto"/>
      </w:divBdr>
    </w:div>
    <w:div w:id="1791589314">
      <w:bodyDiv w:val="1"/>
      <w:marLeft w:val="0"/>
      <w:marRight w:val="0"/>
      <w:marTop w:val="0"/>
      <w:marBottom w:val="0"/>
      <w:divBdr>
        <w:top w:val="none" w:sz="0" w:space="0" w:color="auto"/>
        <w:left w:val="none" w:sz="0" w:space="0" w:color="auto"/>
        <w:bottom w:val="none" w:sz="0" w:space="0" w:color="auto"/>
        <w:right w:val="none" w:sz="0" w:space="0" w:color="auto"/>
      </w:divBdr>
    </w:div>
    <w:div w:id="1845515959">
      <w:bodyDiv w:val="1"/>
      <w:marLeft w:val="0"/>
      <w:marRight w:val="0"/>
      <w:marTop w:val="0"/>
      <w:marBottom w:val="0"/>
      <w:divBdr>
        <w:top w:val="none" w:sz="0" w:space="0" w:color="auto"/>
        <w:left w:val="none" w:sz="0" w:space="0" w:color="auto"/>
        <w:bottom w:val="none" w:sz="0" w:space="0" w:color="auto"/>
        <w:right w:val="none" w:sz="0" w:space="0" w:color="auto"/>
      </w:divBdr>
    </w:div>
    <w:div w:id="1887138654">
      <w:bodyDiv w:val="1"/>
      <w:marLeft w:val="0"/>
      <w:marRight w:val="0"/>
      <w:marTop w:val="0"/>
      <w:marBottom w:val="0"/>
      <w:divBdr>
        <w:top w:val="none" w:sz="0" w:space="0" w:color="auto"/>
        <w:left w:val="none" w:sz="0" w:space="0" w:color="auto"/>
        <w:bottom w:val="none" w:sz="0" w:space="0" w:color="auto"/>
        <w:right w:val="none" w:sz="0" w:space="0" w:color="auto"/>
      </w:divBdr>
    </w:div>
    <w:div w:id="1920284601">
      <w:bodyDiv w:val="1"/>
      <w:marLeft w:val="0"/>
      <w:marRight w:val="0"/>
      <w:marTop w:val="0"/>
      <w:marBottom w:val="0"/>
      <w:divBdr>
        <w:top w:val="none" w:sz="0" w:space="0" w:color="auto"/>
        <w:left w:val="none" w:sz="0" w:space="0" w:color="auto"/>
        <w:bottom w:val="none" w:sz="0" w:space="0" w:color="auto"/>
        <w:right w:val="none" w:sz="0" w:space="0" w:color="auto"/>
      </w:divBdr>
    </w:div>
    <w:div w:id="1936597119">
      <w:bodyDiv w:val="1"/>
      <w:marLeft w:val="0"/>
      <w:marRight w:val="0"/>
      <w:marTop w:val="0"/>
      <w:marBottom w:val="0"/>
      <w:divBdr>
        <w:top w:val="none" w:sz="0" w:space="0" w:color="auto"/>
        <w:left w:val="none" w:sz="0" w:space="0" w:color="auto"/>
        <w:bottom w:val="none" w:sz="0" w:space="0" w:color="auto"/>
        <w:right w:val="none" w:sz="0" w:space="0" w:color="auto"/>
      </w:divBdr>
    </w:div>
    <w:div w:id="1936666886">
      <w:bodyDiv w:val="1"/>
      <w:marLeft w:val="0"/>
      <w:marRight w:val="0"/>
      <w:marTop w:val="0"/>
      <w:marBottom w:val="0"/>
      <w:divBdr>
        <w:top w:val="none" w:sz="0" w:space="0" w:color="auto"/>
        <w:left w:val="none" w:sz="0" w:space="0" w:color="auto"/>
        <w:bottom w:val="none" w:sz="0" w:space="0" w:color="auto"/>
        <w:right w:val="none" w:sz="0" w:space="0" w:color="auto"/>
      </w:divBdr>
    </w:div>
    <w:div w:id="1973174821">
      <w:bodyDiv w:val="1"/>
      <w:marLeft w:val="0"/>
      <w:marRight w:val="0"/>
      <w:marTop w:val="0"/>
      <w:marBottom w:val="0"/>
      <w:divBdr>
        <w:top w:val="none" w:sz="0" w:space="0" w:color="auto"/>
        <w:left w:val="none" w:sz="0" w:space="0" w:color="auto"/>
        <w:bottom w:val="none" w:sz="0" w:space="0" w:color="auto"/>
        <w:right w:val="none" w:sz="0" w:space="0" w:color="auto"/>
      </w:divBdr>
    </w:div>
    <w:div w:id="1990674151">
      <w:bodyDiv w:val="1"/>
      <w:marLeft w:val="0"/>
      <w:marRight w:val="0"/>
      <w:marTop w:val="0"/>
      <w:marBottom w:val="0"/>
      <w:divBdr>
        <w:top w:val="none" w:sz="0" w:space="0" w:color="auto"/>
        <w:left w:val="none" w:sz="0" w:space="0" w:color="auto"/>
        <w:bottom w:val="none" w:sz="0" w:space="0" w:color="auto"/>
        <w:right w:val="none" w:sz="0" w:space="0" w:color="auto"/>
      </w:divBdr>
    </w:div>
    <w:div w:id="2049258054">
      <w:bodyDiv w:val="1"/>
      <w:marLeft w:val="0"/>
      <w:marRight w:val="0"/>
      <w:marTop w:val="0"/>
      <w:marBottom w:val="0"/>
      <w:divBdr>
        <w:top w:val="none" w:sz="0" w:space="0" w:color="auto"/>
        <w:left w:val="none" w:sz="0" w:space="0" w:color="auto"/>
        <w:bottom w:val="none" w:sz="0" w:space="0" w:color="auto"/>
        <w:right w:val="none" w:sz="0" w:space="0" w:color="auto"/>
      </w:divBdr>
    </w:div>
    <w:div w:id="2095517567">
      <w:bodyDiv w:val="1"/>
      <w:marLeft w:val="0"/>
      <w:marRight w:val="0"/>
      <w:marTop w:val="0"/>
      <w:marBottom w:val="0"/>
      <w:divBdr>
        <w:top w:val="none" w:sz="0" w:space="0" w:color="auto"/>
        <w:left w:val="none" w:sz="0" w:space="0" w:color="auto"/>
        <w:bottom w:val="none" w:sz="0" w:space="0" w:color="auto"/>
        <w:right w:val="none" w:sz="0" w:space="0" w:color="auto"/>
      </w:divBdr>
    </w:div>
    <w:div w:id="2108574968">
      <w:bodyDiv w:val="1"/>
      <w:marLeft w:val="0"/>
      <w:marRight w:val="0"/>
      <w:marTop w:val="0"/>
      <w:marBottom w:val="0"/>
      <w:divBdr>
        <w:top w:val="none" w:sz="0" w:space="0" w:color="auto"/>
        <w:left w:val="none" w:sz="0" w:space="0" w:color="auto"/>
        <w:bottom w:val="none" w:sz="0" w:space="0" w:color="auto"/>
        <w:right w:val="none" w:sz="0" w:space="0" w:color="auto"/>
      </w:divBdr>
    </w:div>
    <w:div w:id="21444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F:\Art_Cort&#233;s_Seminario\Art&#237;culo%20Libro\Gr&#225;ficos%20Salvia_Fina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103857680953253E-2"/>
          <c:y val="5.0941283333813474E-2"/>
          <c:w val="0.90842425062580201"/>
          <c:h val="0.71711616180585125"/>
        </c:manualLayout>
      </c:layout>
      <c:lineChart>
        <c:grouping val="standard"/>
        <c:varyColors val="0"/>
        <c:ser>
          <c:idx val="0"/>
          <c:order val="0"/>
          <c:tx>
            <c:strRef>
              <c:f>Datos!$A$51</c:f>
              <c:strCache>
                <c:ptCount val="1"/>
                <c:pt idx="0">
                  <c:v>Tasa de Pobreza</c:v>
                </c:pt>
              </c:strCache>
            </c:strRef>
          </c:tx>
          <c:dLbls>
            <c:dLbl>
              <c:idx val="4"/>
              <c:layout>
                <c:manualLayout>
                  <c:x val="-4.954829428662505E-2"/>
                  <c:y val="-4.6773360151955976E-2"/>
                </c:manualLayout>
              </c:layout>
              <c:spPr/>
              <c:txPr>
                <a:bodyPr/>
                <a:lstStyle/>
                <a:p>
                  <a:pPr>
                    <a:defRPr/>
                  </a:pPr>
                  <a:endParaRPr lang="es-AR"/>
                </a:p>
              </c:txPr>
              <c:dLblPos val="r"/>
              <c:showLegendKey val="0"/>
              <c:showVal val="1"/>
              <c:showCatName val="0"/>
              <c:showSerName val="0"/>
              <c:showPercent val="0"/>
              <c:showBubbleSize val="0"/>
            </c:dLbl>
            <c:dLbl>
              <c:idx val="5"/>
              <c:layout>
                <c:manualLayout>
                  <c:x val="-3.325789939847399E-2"/>
                  <c:y val="-1.8987205606239583E-2"/>
                </c:manualLayout>
              </c:layout>
              <c:spPr/>
              <c:txPr>
                <a:bodyPr/>
                <a:lstStyle/>
                <a:p>
                  <a:pPr>
                    <a:defRPr/>
                  </a:pPr>
                  <a:endParaRPr lang="es-AR"/>
                </a:p>
              </c:txPr>
              <c:dLblPos val="r"/>
              <c:showLegendKey val="0"/>
              <c:showVal val="1"/>
              <c:showCatName val="0"/>
              <c:showSerName val="0"/>
              <c:showPercent val="0"/>
              <c:showBubbleSize val="0"/>
            </c:dLbl>
            <c:dLbl>
              <c:idx val="10"/>
              <c:layout>
                <c:manualLayout>
                  <c:x val="-3.3257899398473886E-2"/>
                  <c:y val="-6.0666437424814305E-2"/>
                </c:manualLayout>
              </c:layout>
              <c:spPr/>
              <c:txPr>
                <a:bodyPr/>
                <a:lstStyle/>
                <a:p>
                  <a:pPr>
                    <a:defRPr/>
                  </a:pPr>
                  <a:endParaRPr lang="es-AR"/>
                </a:p>
              </c:txPr>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Datos!$B$50:$R$50</c:f>
              <c:strCache>
                <c:ptCount val="17"/>
                <c:pt idx="0">
                  <c:v>1992</c:v>
                </c:pt>
                <c:pt idx="1">
                  <c:v>1994</c:v>
                </c:pt>
                <c:pt idx="3">
                  <c:v>1998</c:v>
                </c:pt>
                <c:pt idx="4">
                  <c:v>2001</c:v>
                </c:pt>
                <c:pt idx="5">
                  <c:v>2003 (M)</c:v>
                </c:pt>
                <c:pt idx="7">
                  <c:v>2003 (3T)</c:v>
                </c:pt>
                <c:pt idx="8">
                  <c:v>2004</c:v>
                </c:pt>
                <c:pt idx="9">
                  <c:v>2005</c:v>
                </c:pt>
                <c:pt idx="10">
                  <c:v>2006</c:v>
                </c:pt>
                <c:pt idx="11">
                  <c:v>2007</c:v>
                </c:pt>
                <c:pt idx="12">
                  <c:v>2008</c:v>
                </c:pt>
                <c:pt idx="13">
                  <c:v>2009</c:v>
                </c:pt>
                <c:pt idx="14">
                  <c:v>2010</c:v>
                </c:pt>
                <c:pt idx="15">
                  <c:v>2011</c:v>
                </c:pt>
                <c:pt idx="16">
                  <c:v>2012</c:v>
                </c:pt>
              </c:strCache>
            </c:strRef>
          </c:cat>
          <c:val>
            <c:numRef>
              <c:f>Datos!$B$51:$R$51</c:f>
              <c:numCache>
                <c:formatCode>0.0%</c:formatCode>
                <c:ptCount val="17"/>
                <c:pt idx="0">
                  <c:v>0.11948146293040875</c:v>
                </c:pt>
                <c:pt idx="1">
                  <c:v>0.11077996895529819</c:v>
                </c:pt>
                <c:pt idx="3">
                  <c:v>0.17126810953774446</c:v>
                </c:pt>
                <c:pt idx="4">
                  <c:v>0.22762442069121813</c:v>
                </c:pt>
                <c:pt idx="5">
                  <c:v>0.37868597853590436</c:v>
                </c:pt>
                <c:pt idx="7">
                  <c:v>0.33758833486528006</c:v>
                </c:pt>
                <c:pt idx="8">
                  <c:v>0.31327138327484472</c:v>
                </c:pt>
                <c:pt idx="9">
                  <c:v>0.27092524864198891</c:v>
                </c:pt>
                <c:pt idx="10">
                  <c:v>0.20275119450773127</c:v>
                </c:pt>
                <c:pt idx="11">
                  <c:v>0.20814149145273692</c:v>
                </c:pt>
                <c:pt idx="12">
                  <c:v>0.20393973865110016</c:v>
                </c:pt>
                <c:pt idx="13">
                  <c:v>0.18836919282599979</c:v>
                </c:pt>
                <c:pt idx="14">
                  <c:v>0.16885918024448368</c:v>
                </c:pt>
                <c:pt idx="15">
                  <c:v>0.14718403848939141</c:v>
                </c:pt>
                <c:pt idx="16">
                  <c:v>0.15805667225300993</c:v>
                </c:pt>
              </c:numCache>
            </c:numRef>
          </c:val>
          <c:smooth val="0"/>
        </c:ser>
        <c:ser>
          <c:idx val="1"/>
          <c:order val="1"/>
          <c:tx>
            <c:strRef>
              <c:f>Datos!$A$52</c:f>
              <c:strCache>
                <c:ptCount val="1"/>
                <c:pt idx="0">
                  <c:v>Tasa de Indigencia</c:v>
                </c:pt>
              </c:strCache>
            </c:strRef>
          </c:tx>
          <c:dLbls>
            <c:dLblPos val="t"/>
            <c:showLegendKey val="0"/>
            <c:showVal val="1"/>
            <c:showCatName val="0"/>
            <c:showSerName val="0"/>
            <c:showPercent val="0"/>
            <c:showBubbleSize val="0"/>
            <c:showLeaderLines val="0"/>
          </c:dLbls>
          <c:cat>
            <c:strRef>
              <c:f>Datos!$B$50:$R$50</c:f>
              <c:strCache>
                <c:ptCount val="17"/>
                <c:pt idx="0">
                  <c:v>1992</c:v>
                </c:pt>
                <c:pt idx="1">
                  <c:v>1994</c:v>
                </c:pt>
                <c:pt idx="3">
                  <c:v>1998</c:v>
                </c:pt>
                <c:pt idx="4">
                  <c:v>2001</c:v>
                </c:pt>
                <c:pt idx="5">
                  <c:v>2003 (M)</c:v>
                </c:pt>
                <c:pt idx="7">
                  <c:v>2003 (3T)</c:v>
                </c:pt>
                <c:pt idx="8">
                  <c:v>2004</c:v>
                </c:pt>
                <c:pt idx="9">
                  <c:v>2005</c:v>
                </c:pt>
                <c:pt idx="10">
                  <c:v>2006</c:v>
                </c:pt>
                <c:pt idx="11">
                  <c:v>2007</c:v>
                </c:pt>
                <c:pt idx="12">
                  <c:v>2008</c:v>
                </c:pt>
                <c:pt idx="13">
                  <c:v>2009</c:v>
                </c:pt>
                <c:pt idx="14">
                  <c:v>2010</c:v>
                </c:pt>
                <c:pt idx="15">
                  <c:v>2011</c:v>
                </c:pt>
                <c:pt idx="16">
                  <c:v>2012</c:v>
                </c:pt>
              </c:strCache>
            </c:strRef>
          </c:cat>
          <c:val>
            <c:numRef>
              <c:f>Datos!$B$52:$R$52</c:f>
              <c:numCache>
                <c:formatCode>0.0%</c:formatCode>
                <c:ptCount val="17"/>
                <c:pt idx="0">
                  <c:v>1.766477614166749E-2</c:v>
                </c:pt>
                <c:pt idx="1">
                  <c:v>2.5123345382332532E-2</c:v>
                </c:pt>
                <c:pt idx="3">
                  <c:v>3.7799261543295957E-2</c:v>
                </c:pt>
                <c:pt idx="4">
                  <c:v>6.9598345911254217E-2</c:v>
                </c:pt>
                <c:pt idx="5">
                  <c:v>0.15216526950930581</c:v>
                </c:pt>
                <c:pt idx="7">
                  <c:v>0.14220614939585974</c:v>
                </c:pt>
                <c:pt idx="8">
                  <c:v>0.10625410931289019</c:v>
                </c:pt>
                <c:pt idx="9">
                  <c:v>8.2440478732062367E-2</c:v>
                </c:pt>
                <c:pt idx="10">
                  <c:v>6.706068238428424E-2</c:v>
                </c:pt>
                <c:pt idx="11">
                  <c:v>6.6219449242559611E-2</c:v>
                </c:pt>
                <c:pt idx="12">
                  <c:v>5.855931003164673E-2</c:v>
                </c:pt>
                <c:pt idx="13">
                  <c:v>4.8682251927751684E-2</c:v>
                </c:pt>
                <c:pt idx="14">
                  <c:v>4.8435927250432255E-2</c:v>
                </c:pt>
                <c:pt idx="15">
                  <c:v>4.1401901918666724E-2</c:v>
                </c:pt>
                <c:pt idx="16">
                  <c:v>4.3566934705212119E-2</c:v>
                </c:pt>
              </c:numCache>
            </c:numRef>
          </c:val>
          <c:smooth val="1"/>
        </c:ser>
        <c:dLbls>
          <c:showLegendKey val="0"/>
          <c:showVal val="0"/>
          <c:showCatName val="0"/>
          <c:showSerName val="0"/>
          <c:showPercent val="0"/>
          <c:showBubbleSize val="0"/>
        </c:dLbls>
        <c:marker val="1"/>
        <c:smooth val="0"/>
        <c:axId val="140236288"/>
        <c:axId val="140238208"/>
      </c:lineChart>
      <c:catAx>
        <c:axId val="140236288"/>
        <c:scaling>
          <c:orientation val="minMax"/>
        </c:scaling>
        <c:delete val="0"/>
        <c:axPos val="b"/>
        <c:numFmt formatCode="General" sourceLinked="1"/>
        <c:majorTickMark val="out"/>
        <c:minorTickMark val="none"/>
        <c:tickLblPos val="nextTo"/>
        <c:crossAx val="140238208"/>
        <c:crosses val="autoZero"/>
        <c:auto val="1"/>
        <c:lblAlgn val="ctr"/>
        <c:lblOffset val="100"/>
        <c:noMultiLvlLbl val="0"/>
      </c:catAx>
      <c:valAx>
        <c:axId val="140238208"/>
        <c:scaling>
          <c:orientation val="minMax"/>
        </c:scaling>
        <c:delete val="0"/>
        <c:axPos val="l"/>
        <c:majorGridlines/>
        <c:numFmt formatCode="0.0%" sourceLinked="1"/>
        <c:majorTickMark val="out"/>
        <c:minorTickMark val="none"/>
        <c:tickLblPos val="nextTo"/>
        <c:crossAx val="140236288"/>
        <c:crosses val="autoZero"/>
        <c:crossBetween val="between"/>
      </c:valAx>
    </c:plotArea>
    <c:legend>
      <c:legendPos val="b"/>
      <c:overlay val="0"/>
    </c:legend>
    <c:plotVisOnly val="1"/>
    <c:dispBlanksAs val="gap"/>
    <c:showDLblsOverMax val="0"/>
  </c:chart>
  <c:spPr>
    <a:noFill/>
    <a:ln>
      <a:noFill/>
    </a:ln>
  </c:spPr>
  <c:txPr>
    <a:bodyPr/>
    <a:lstStyle/>
    <a:p>
      <a:pPr>
        <a:defRPr sz="800">
          <a:latin typeface="Arial" panose="020B0604020202020204" pitchFamily="34" charset="0"/>
          <a:cs typeface="Arial" panose="020B0604020202020204" pitchFamily="34" charset="0"/>
        </a:defRPr>
      </a:pPr>
      <a:endParaRPr lang="es-A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543B-890E-46EC-AC81-21EECFD2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17682</Words>
  <Characters>97253</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Durante el período de reformas estructurales el Gini se incrementa sostenidamente</vt:lpstr>
    </vt:vector>
  </TitlesOfParts>
  <Company>Microsoft</Company>
  <LinksUpToDate>false</LinksUpToDate>
  <CharactersWithSpaces>114706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Durante el período de reformas estructurales el Gini se incrementa sostenidamente</dc:title>
  <dc:creator>Santiago Poy</dc:creator>
  <cp:lastModifiedBy>Agustín</cp:lastModifiedBy>
  <cp:revision>3</cp:revision>
  <cp:lastPrinted>2014-12-03T17:26:00Z</cp:lastPrinted>
  <dcterms:created xsi:type="dcterms:W3CDTF">2016-07-10T20:54:00Z</dcterms:created>
  <dcterms:modified xsi:type="dcterms:W3CDTF">2016-07-11T02:34:00Z</dcterms:modified>
</cp:coreProperties>
</file>