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01" w:rsidRPr="00236C01" w:rsidRDefault="00236C01" w:rsidP="00236C01">
      <w:pPr>
        <w:spacing w:after="0" w:line="360" w:lineRule="auto"/>
        <w:jc w:val="center"/>
        <w:rPr>
          <w:rFonts w:ascii="Times New Roman" w:hAnsi="Times New Roman"/>
          <w:b/>
          <w:sz w:val="28"/>
          <w:szCs w:val="28"/>
        </w:rPr>
      </w:pPr>
      <w:r w:rsidRPr="00236C01">
        <w:rPr>
          <w:rFonts w:ascii="Times New Roman" w:hAnsi="Times New Roman"/>
          <w:b/>
          <w:sz w:val="28"/>
          <w:szCs w:val="28"/>
        </w:rPr>
        <w:t>II Congreso Latinoamericano de Comunicación – UNVM – 2020</w:t>
      </w:r>
    </w:p>
    <w:p w:rsidR="00236C01" w:rsidRDefault="00236C01" w:rsidP="003D2713">
      <w:pPr>
        <w:spacing w:after="0" w:line="360" w:lineRule="auto"/>
        <w:jc w:val="both"/>
        <w:rPr>
          <w:rFonts w:ascii="Times New Roman" w:hAnsi="Times New Roman"/>
          <w:b/>
          <w:sz w:val="24"/>
          <w:szCs w:val="24"/>
        </w:rPr>
      </w:pPr>
    </w:p>
    <w:p w:rsidR="003D2713" w:rsidRPr="003D2713" w:rsidRDefault="003D2713" w:rsidP="003D2713">
      <w:pPr>
        <w:spacing w:after="0" w:line="360" w:lineRule="auto"/>
        <w:jc w:val="both"/>
        <w:rPr>
          <w:rFonts w:ascii="Times New Roman" w:hAnsi="Times New Roman"/>
          <w:b/>
          <w:sz w:val="24"/>
          <w:szCs w:val="24"/>
        </w:rPr>
      </w:pPr>
      <w:r w:rsidRPr="003D2713">
        <w:rPr>
          <w:rFonts w:ascii="Times New Roman" w:hAnsi="Times New Roman"/>
          <w:b/>
          <w:sz w:val="24"/>
          <w:szCs w:val="24"/>
        </w:rPr>
        <w:t xml:space="preserve">EJE Nº 3: Producción en conocimiento académico. Análisis del Discurso. </w:t>
      </w:r>
    </w:p>
    <w:p w:rsidR="00236C01" w:rsidRDefault="00236C01" w:rsidP="003D2713">
      <w:pPr>
        <w:spacing w:after="0" w:line="360" w:lineRule="auto"/>
        <w:jc w:val="both"/>
        <w:rPr>
          <w:rFonts w:ascii="Times New Roman" w:hAnsi="Times New Roman"/>
          <w:b/>
          <w:sz w:val="24"/>
          <w:szCs w:val="24"/>
        </w:rPr>
      </w:pPr>
    </w:p>
    <w:p w:rsidR="00CB27B2" w:rsidRDefault="003D2713" w:rsidP="003D2713">
      <w:pPr>
        <w:spacing w:after="0" w:line="360" w:lineRule="auto"/>
        <w:jc w:val="both"/>
        <w:rPr>
          <w:rFonts w:ascii="Times New Roman" w:hAnsi="Times New Roman"/>
          <w:b/>
          <w:sz w:val="24"/>
          <w:szCs w:val="24"/>
        </w:rPr>
      </w:pPr>
      <w:r w:rsidRPr="003D2713">
        <w:rPr>
          <w:rFonts w:ascii="Times New Roman" w:hAnsi="Times New Roman"/>
          <w:b/>
          <w:sz w:val="24"/>
          <w:szCs w:val="24"/>
        </w:rPr>
        <w:t>Autoras</w:t>
      </w:r>
    </w:p>
    <w:p w:rsidR="00CB27B2" w:rsidRDefault="003D2713" w:rsidP="00CB27B2">
      <w:pPr>
        <w:spacing w:after="0" w:line="240" w:lineRule="auto"/>
        <w:jc w:val="both"/>
        <w:rPr>
          <w:rFonts w:ascii="Times New Roman" w:hAnsi="Times New Roman"/>
          <w:b/>
          <w:sz w:val="24"/>
          <w:szCs w:val="24"/>
        </w:rPr>
      </w:pPr>
      <w:r w:rsidRPr="003D2713">
        <w:rPr>
          <w:rFonts w:ascii="Times New Roman" w:hAnsi="Times New Roman"/>
          <w:b/>
          <w:sz w:val="24"/>
          <w:szCs w:val="24"/>
        </w:rPr>
        <w:t xml:space="preserve">SGAMMINI, Marcela </w:t>
      </w:r>
    </w:p>
    <w:p w:rsidR="00CB27B2" w:rsidRDefault="00CB27B2" w:rsidP="00CB27B2">
      <w:pPr>
        <w:spacing w:after="0" w:line="240" w:lineRule="auto"/>
        <w:jc w:val="both"/>
        <w:rPr>
          <w:rFonts w:ascii="Times New Roman" w:hAnsi="Times New Roman"/>
          <w:b/>
          <w:sz w:val="24"/>
          <w:szCs w:val="24"/>
        </w:rPr>
      </w:pPr>
      <w:r>
        <w:rPr>
          <w:rFonts w:ascii="Times New Roman" w:hAnsi="Times New Roman"/>
          <w:b/>
          <w:sz w:val="24"/>
          <w:szCs w:val="24"/>
        </w:rPr>
        <w:t>Universidad Nacional de Villa María – Universidad Nacional de Córdoba</w:t>
      </w:r>
    </w:p>
    <w:p w:rsidR="00CB27B2" w:rsidRDefault="00CB27B2" w:rsidP="00CB27B2">
      <w:pPr>
        <w:spacing w:after="0" w:line="240" w:lineRule="auto"/>
        <w:jc w:val="both"/>
        <w:rPr>
          <w:rFonts w:ascii="Times New Roman" w:hAnsi="Times New Roman"/>
          <w:b/>
          <w:sz w:val="24"/>
          <w:szCs w:val="24"/>
        </w:rPr>
      </w:pPr>
      <w:r>
        <w:rPr>
          <w:rFonts w:ascii="Times New Roman" w:hAnsi="Times New Roman"/>
          <w:b/>
          <w:sz w:val="24"/>
          <w:szCs w:val="24"/>
        </w:rPr>
        <w:t xml:space="preserve">Pedro </w:t>
      </w:r>
      <w:proofErr w:type="spellStart"/>
      <w:r>
        <w:rPr>
          <w:rFonts w:ascii="Times New Roman" w:hAnsi="Times New Roman"/>
          <w:b/>
          <w:sz w:val="24"/>
          <w:szCs w:val="24"/>
        </w:rPr>
        <w:t>Goyena</w:t>
      </w:r>
      <w:proofErr w:type="spellEnd"/>
      <w:r>
        <w:rPr>
          <w:rFonts w:ascii="Times New Roman" w:hAnsi="Times New Roman"/>
          <w:b/>
          <w:sz w:val="24"/>
          <w:szCs w:val="24"/>
        </w:rPr>
        <w:t xml:space="preserve"> 1452 – Córdoba – CP 5000</w:t>
      </w:r>
    </w:p>
    <w:p w:rsidR="00CB27B2" w:rsidRDefault="00CB27B2" w:rsidP="00CB27B2">
      <w:pPr>
        <w:spacing w:after="0" w:line="480" w:lineRule="auto"/>
        <w:jc w:val="both"/>
        <w:rPr>
          <w:rFonts w:ascii="Times New Roman" w:hAnsi="Times New Roman"/>
          <w:b/>
          <w:sz w:val="24"/>
          <w:szCs w:val="24"/>
        </w:rPr>
      </w:pPr>
      <w:r>
        <w:rPr>
          <w:rFonts w:ascii="Times New Roman" w:hAnsi="Times New Roman"/>
          <w:b/>
          <w:sz w:val="24"/>
          <w:szCs w:val="24"/>
        </w:rPr>
        <w:t>marce.sgammini©gmail.com</w:t>
      </w:r>
    </w:p>
    <w:p w:rsidR="003D2713" w:rsidRPr="003D2713" w:rsidRDefault="003D2713" w:rsidP="00CB27B2">
      <w:pPr>
        <w:spacing w:after="0" w:line="240" w:lineRule="auto"/>
        <w:jc w:val="both"/>
        <w:rPr>
          <w:rFonts w:ascii="Times New Roman" w:hAnsi="Times New Roman"/>
          <w:b/>
          <w:sz w:val="24"/>
          <w:szCs w:val="24"/>
        </w:rPr>
      </w:pPr>
      <w:r w:rsidRPr="003D2713">
        <w:rPr>
          <w:rFonts w:ascii="Times New Roman" w:hAnsi="Times New Roman"/>
          <w:b/>
          <w:sz w:val="24"/>
          <w:szCs w:val="24"/>
        </w:rPr>
        <w:t xml:space="preserve">MARTINEZ, Fabiana </w:t>
      </w:r>
    </w:p>
    <w:p w:rsidR="00CB27B2" w:rsidRDefault="00CB27B2" w:rsidP="00CB27B2">
      <w:pPr>
        <w:spacing w:after="0" w:line="240" w:lineRule="auto"/>
        <w:jc w:val="both"/>
        <w:rPr>
          <w:rFonts w:ascii="Times New Roman" w:hAnsi="Times New Roman"/>
          <w:b/>
          <w:sz w:val="24"/>
          <w:szCs w:val="24"/>
        </w:rPr>
      </w:pPr>
      <w:r>
        <w:rPr>
          <w:rFonts w:ascii="Times New Roman" w:hAnsi="Times New Roman"/>
          <w:b/>
          <w:sz w:val="24"/>
          <w:szCs w:val="24"/>
        </w:rPr>
        <w:t>Universidad Nacional de Villa María – Universidad Nacional de Córdoba</w:t>
      </w:r>
    </w:p>
    <w:p w:rsidR="00CB27B2" w:rsidRDefault="00CB27B2" w:rsidP="00CB27B2">
      <w:pPr>
        <w:spacing w:after="0" w:line="240" w:lineRule="auto"/>
        <w:jc w:val="both"/>
        <w:rPr>
          <w:rFonts w:ascii="Times New Roman" w:hAnsi="Times New Roman"/>
          <w:b/>
          <w:sz w:val="24"/>
          <w:szCs w:val="24"/>
        </w:rPr>
      </w:pPr>
      <w:proofErr w:type="spellStart"/>
      <w:r>
        <w:rPr>
          <w:rFonts w:ascii="Times New Roman" w:hAnsi="Times New Roman"/>
          <w:b/>
          <w:sz w:val="24"/>
          <w:szCs w:val="24"/>
        </w:rPr>
        <w:t>Huarte</w:t>
      </w:r>
      <w:proofErr w:type="spellEnd"/>
      <w:r>
        <w:rPr>
          <w:rFonts w:ascii="Times New Roman" w:hAnsi="Times New Roman"/>
          <w:b/>
          <w:sz w:val="24"/>
          <w:szCs w:val="24"/>
        </w:rPr>
        <w:t xml:space="preserve"> 2962 – Córdoba – CP 5008</w:t>
      </w:r>
    </w:p>
    <w:p w:rsidR="00CB27B2" w:rsidRDefault="00CB27B2" w:rsidP="00CB27B2">
      <w:pPr>
        <w:spacing w:after="0" w:line="240" w:lineRule="auto"/>
        <w:jc w:val="both"/>
        <w:rPr>
          <w:rFonts w:ascii="Times New Roman" w:hAnsi="Times New Roman"/>
          <w:b/>
          <w:sz w:val="24"/>
          <w:szCs w:val="24"/>
        </w:rPr>
      </w:pPr>
      <w:r>
        <w:rPr>
          <w:rFonts w:ascii="Times New Roman" w:hAnsi="Times New Roman"/>
          <w:b/>
          <w:sz w:val="24"/>
          <w:szCs w:val="24"/>
        </w:rPr>
        <w:t>fabianam2011©gmail.com</w:t>
      </w:r>
    </w:p>
    <w:p w:rsidR="00410FA6" w:rsidRDefault="00410FA6" w:rsidP="00CB27B2">
      <w:pPr>
        <w:spacing w:after="0" w:line="240" w:lineRule="auto"/>
        <w:jc w:val="both"/>
        <w:rPr>
          <w:rFonts w:ascii="Times New Roman" w:hAnsi="Times New Roman"/>
          <w:b/>
          <w:sz w:val="24"/>
          <w:szCs w:val="24"/>
        </w:rPr>
      </w:pPr>
    </w:p>
    <w:p w:rsidR="00410FA6" w:rsidRDefault="00410FA6" w:rsidP="00CB27B2">
      <w:pPr>
        <w:spacing w:after="0" w:line="240" w:lineRule="auto"/>
        <w:jc w:val="both"/>
        <w:rPr>
          <w:rFonts w:ascii="Times New Roman" w:hAnsi="Times New Roman"/>
          <w:b/>
          <w:sz w:val="24"/>
          <w:szCs w:val="24"/>
        </w:rPr>
      </w:pPr>
      <w:r>
        <w:rPr>
          <w:rFonts w:ascii="Times New Roman" w:hAnsi="Times New Roman"/>
          <w:b/>
          <w:sz w:val="24"/>
          <w:szCs w:val="24"/>
        </w:rPr>
        <w:t>Palabras claves: semiótica – discursos - violencia</w:t>
      </w:r>
    </w:p>
    <w:p w:rsidR="003D2713" w:rsidRDefault="003D2713" w:rsidP="003D2713">
      <w:pPr>
        <w:spacing w:after="0" w:line="360" w:lineRule="auto"/>
        <w:ind w:firstLine="708"/>
        <w:jc w:val="both"/>
        <w:rPr>
          <w:rFonts w:ascii="Times New Roman" w:hAnsi="Times New Roman"/>
          <w:sz w:val="24"/>
          <w:szCs w:val="24"/>
        </w:rPr>
      </w:pPr>
    </w:p>
    <w:p w:rsidR="00CB27B2" w:rsidRPr="003D2713" w:rsidRDefault="00CB27B2" w:rsidP="00CB27B2">
      <w:pPr>
        <w:spacing w:after="0" w:line="360" w:lineRule="auto"/>
        <w:jc w:val="both"/>
        <w:rPr>
          <w:rFonts w:ascii="Times New Roman" w:hAnsi="Times New Roman"/>
          <w:b/>
          <w:sz w:val="24"/>
          <w:szCs w:val="24"/>
        </w:rPr>
      </w:pPr>
      <w:r w:rsidRPr="003D2713">
        <w:rPr>
          <w:rFonts w:ascii="Times New Roman" w:hAnsi="Times New Roman"/>
          <w:b/>
          <w:sz w:val="24"/>
          <w:szCs w:val="24"/>
        </w:rPr>
        <w:t>Título: Discurso y violencia: aproximaciones teóricas</w:t>
      </w:r>
    </w:p>
    <w:p w:rsidR="00CB27B2" w:rsidRPr="003D2713" w:rsidRDefault="00CB27B2" w:rsidP="00CB27B2">
      <w:pPr>
        <w:spacing w:after="0" w:line="360" w:lineRule="auto"/>
        <w:jc w:val="both"/>
        <w:rPr>
          <w:rFonts w:ascii="Times New Roman" w:hAnsi="Times New Roman"/>
          <w:sz w:val="24"/>
          <w:szCs w:val="24"/>
        </w:rPr>
      </w:pPr>
    </w:p>
    <w:p w:rsidR="003527BA" w:rsidRPr="003D2713" w:rsidRDefault="007E12AE"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En est</w:t>
      </w:r>
      <w:r w:rsidR="002F1A7E" w:rsidRPr="003D2713">
        <w:rPr>
          <w:rFonts w:ascii="Times New Roman" w:hAnsi="Times New Roman"/>
          <w:sz w:val="24"/>
          <w:szCs w:val="24"/>
        </w:rPr>
        <w:t>a</w:t>
      </w:r>
      <w:r w:rsidRPr="003D2713">
        <w:rPr>
          <w:rFonts w:ascii="Times New Roman" w:hAnsi="Times New Roman"/>
          <w:sz w:val="24"/>
          <w:szCs w:val="24"/>
        </w:rPr>
        <w:t xml:space="preserve"> ponencia presentaremos los fundamentos teóricos de nuestro proyecto de investigación, centrado en el vínculo entre violencia y discurso, y en el que se analizan formas contemporáneas de la </w:t>
      </w:r>
      <w:r w:rsidR="00B14583" w:rsidRPr="003D2713">
        <w:rPr>
          <w:rFonts w:ascii="Times New Roman" w:hAnsi="Times New Roman"/>
          <w:sz w:val="24"/>
          <w:szCs w:val="24"/>
        </w:rPr>
        <w:t>vulnerabilidad</w:t>
      </w:r>
      <w:r w:rsidRPr="003D2713">
        <w:rPr>
          <w:rFonts w:ascii="Times New Roman" w:hAnsi="Times New Roman"/>
          <w:sz w:val="24"/>
          <w:szCs w:val="24"/>
        </w:rPr>
        <w:t xml:space="preserve"> </w:t>
      </w:r>
      <w:r w:rsidR="004B0EBC">
        <w:rPr>
          <w:rFonts w:ascii="Times New Roman" w:hAnsi="Times New Roman"/>
          <w:sz w:val="24"/>
          <w:szCs w:val="24"/>
        </w:rPr>
        <w:t xml:space="preserve">social </w:t>
      </w:r>
      <w:r w:rsidRPr="003D2713">
        <w:rPr>
          <w:rFonts w:ascii="Times New Roman" w:hAnsi="Times New Roman"/>
          <w:sz w:val="24"/>
          <w:szCs w:val="24"/>
        </w:rPr>
        <w:t xml:space="preserve">desde una teoría </w:t>
      </w:r>
      <w:proofErr w:type="spellStart"/>
      <w:r w:rsidRPr="003D2713">
        <w:rPr>
          <w:rFonts w:ascii="Times New Roman" w:hAnsi="Times New Roman"/>
          <w:sz w:val="24"/>
          <w:szCs w:val="24"/>
        </w:rPr>
        <w:t>sociosemiótica</w:t>
      </w:r>
      <w:proofErr w:type="spellEnd"/>
      <w:r w:rsidRPr="003D2713">
        <w:rPr>
          <w:rFonts w:ascii="Times New Roman" w:hAnsi="Times New Roman"/>
          <w:sz w:val="24"/>
          <w:szCs w:val="24"/>
        </w:rPr>
        <w:t xml:space="preserve">. </w:t>
      </w:r>
      <w:r w:rsidR="003527BA" w:rsidRPr="003D2713">
        <w:rPr>
          <w:rFonts w:ascii="Times New Roman" w:hAnsi="Times New Roman"/>
          <w:sz w:val="24"/>
          <w:szCs w:val="24"/>
        </w:rPr>
        <w:t xml:space="preserve">Por otro lado, formulamos una somera aproximación al contexto actual, marcado por el COVID, y en el que es posible observar un clivaje en el que al menos una de sus partes (el discurso </w:t>
      </w:r>
      <w:r w:rsidR="00773D02" w:rsidRPr="003D2713">
        <w:rPr>
          <w:rFonts w:ascii="Times New Roman" w:hAnsi="Times New Roman"/>
          <w:sz w:val="24"/>
          <w:szCs w:val="24"/>
        </w:rPr>
        <w:t>“</w:t>
      </w:r>
      <w:proofErr w:type="spellStart"/>
      <w:r w:rsidR="003527BA" w:rsidRPr="003D2713">
        <w:rPr>
          <w:rFonts w:ascii="Times New Roman" w:hAnsi="Times New Roman"/>
          <w:sz w:val="24"/>
          <w:szCs w:val="24"/>
        </w:rPr>
        <w:t>anticuarentena</w:t>
      </w:r>
      <w:proofErr w:type="spellEnd"/>
      <w:r w:rsidR="00773D02" w:rsidRPr="003D2713">
        <w:rPr>
          <w:rFonts w:ascii="Times New Roman" w:hAnsi="Times New Roman"/>
          <w:sz w:val="24"/>
          <w:szCs w:val="24"/>
        </w:rPr>
        <w:t>”</w:t>
      </w:r>
      <w:r w:rsidR="003527BA" w:rsidRPr="003D2713">
        <w:rPr>
          <w:rFonts w:ascii="Times New Roman" w:hAnsi="Times New Roman"/>
          <w:sz w:val="24"/>
          <w:szCs w:val="24"/>
        </w:rPr>
        <w:t>) presenta continuidades con la precarización,</w:t>
      </w:r>
      <w:r w:rsidR="00773D02" w:rsidRPr="003D2713">
        <w:rPr>
          <w:rFonts w:ascii="Times New Roman" w:hAnsi="Times New Roman"/>
          <w:sz w:val="24"/>
          <w:szCs w:val="24"/>
        </w:rPr>
        <w:t xml:space="preserve"> un rasgo singular y propio de </w:t>
      </w:r>
      <w:r w:rsidR="003527BA" w:rsidRPr="003D2713">
        <w:rPr>
          <w:rFonts w:ascii="Times New Roman" w:hAnsi="Times New Roman"/>
          <w:sz w:val="24"/>
          <w:szCs w:val="24"/>
        </w:rPr>
        <w:t xml:space="preserve">la gestión de </w:t>
      </w:r>
      <w:r w:rsidR="003527BA" w:rsidRPr="003D2713">
        <w:rPr>
          <w:rFonts w:ascii="Times New Roman" w:hAnsi="Times New Roman"/>
          <w:i/>
          <w:sz w:val="24"/>
          <w:szCs w:val="24"/>
        </w:rPr>
        <w:t xml:space="preserve">Cambiemos </w:t>
      </w:r>
      <w:r w:rsidR="003527BA" w:rsidRPr="003D2713">
        <w:rPr>
          <w:rFonts w:ascii="Times New Roman" w:hAnsi="Times New Roman"/>
          <w:sz w:val="24"/>
          <w:szCs w:val="24"/>
        </w:rPr>
        <w:t>(2015-2019).</w:t>
      </w:r>
    </w:p>
    <w:p w:rsidR="00773D02" w:rsidRPr="003D2713" w:rsidRDefault="007E12AE"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Nuestro problema </w:t>
      </w:r>
      <w:r w:rsidR="003527BA" w:rsidRPr="003D2713">
        <w:rPr>
          <w:rFonts w:ascii="Times New Roman" w:hAnsi="Times New Roman"/>
          <w:sz w:val="24"/>
          <w:szCs w:val="24"/>
        </w:rPr>
        <w:t xml:space="preserve">de investigación más amplio </w:t>
      </w:r>
      <w:r w:rsidRPr="003D2713">
        <w:rPr>
          <w:rFonts w:ascii="Times New Roman" w:hAnsi="Times New Roman"/>
          <w:sz w:val="24"/>
          <w:szCs w:val="24"/>
        </w:rPr>
        <w:t xml:space="preserve">se construye a partir de dos afirmaciones centrales. Por un lado, la violencia no es nunca una irrupción irracional: existen siempre mecanismos significantes que la hacen inteligible. </w:t>
      </w:r>
      <w:r w:rsidR="00773D02" w:rsidRPr="003D2713">
        <w:rPr>
          <w:rFonts w:ascii="Times New Roman" w:hAnsi="Times New Roman"/>
          <w:sz w:val="24"/>
          <w:szCs w:val="24"/>
        </w:rPr>
        <w:t xml:space="preserve">La trama de sentidos atraviesa varias zonas del discurso social, en </w:t>
      </w:r>
      <w:proofErr w:type="spellStart"/>
      <w:r w:rsidR="00773D02" w:rsidRPr="003D2713">
        <w:rPr>
          <w:rFonts w:ascii="Times New Roman" w:hAnsi="Times New Roman"/>
          <w:sz w:val="24"/>
          <w:szCs w:val="24"/>
        </w:rPr>
        <w:t>ideologemas</w:t>
      </w:r>
      <w:proofErr w:type="spellEnd"/>
      <w:r w:rsidR="00773D02" w:rsidRPr="003D2713">
        <w:rPr>
          <w:rFonts w:ascii="Times New Roman" w:hAnsi="Times New Roman"/>
          <w:sz w:val="24"/>
          <w:szCs w:val="24"/>
        </w:rPr>
        <w:t xml:space="preserve"> que se hacen </w:t>
      </w:r>
      <w:proofErr w:type="spellStart"/>
      <w:r w:rsidR="00773D02" w:rsidRPr="003D2713">
        <w:rPr>
          <w:rFonts w:ascii="Times New Roman" w:hAnsi="Times New Roman"/>
          <w:sz w:val="24"/>
          <w:szCs w:val="24"/>
        </w:rPr>
        <w:t>co</w:t>
      </w:r>
      <w:proofErr w:type="spellEnd"/>
      <w:r w:rsidR="00773D02" w:rsidRPr="003D2713">
        <w:rPr>
          <w:rFonts w:ascii="Times New Roman" w:hAnsi="Times New Roman"/>
          <w:sz w:val="24"/>
          <w:szCs w:val="24"/>
        </w:rPr>
        <w:t>-inteligibles</w:t>
      </w:r>
      <w:r w:rsidR="00AC4A5E" w:rsidRPr="003D2713">
        <w:rPr>
          <w:rFonts w:ascii="Times New Roman" w:hAnsi="Times New Roman"/>
          <w:sz w:val="24"/>
          <w:szCs w:val="24"/>
        </w:rPr>
        <w:t xml:space="preserve">, se explican unos a otros, </w:t>
      </w:r>
      <w:r w:rsidR="00773D02" w:rsidRPr="003D2713">
        <w:rPr>
          <w:rFonts w:ascii="Times New Roman" w:hAnsi="Times New Roman"/>
          <w:sz w:val="24"/>
          <w:szCs w:val="24"/>
        </w:rPr>
        <w:t xml:space="preserve"> y van migrando </w:t>
      </w:r>
      <w:r w:rsidR="004B0EBC">
        <w:rPr>
          <w:rFonts w:ascii="Times New Roman" w:hAnsi="Times New Roman"/>
          <w:sz w:val="24"/>
          <w:szCs w:val="24"/>
        </w:rPr>
        <w:t xml:space="preserve">e </w:t>
      </w:r>
      <w:r w:rsidR="00773D02" w:rsidRPr="003D2713">
        <w:rPr>
          <w:rFonts w:ascii="Times New Roman" w:hAnsi="Times New Roman"/>
          <w:sz w:val="24"/>
          <w:szCs w:val="24"/>
        </w:rPr>
        <w:t xml:space="preserve">hilando finamente nuevas hegemonías: discursos periodísticos, políticos, de las redes, etc. </w:t>
      </w:r>
      <w:r w:rsidRPr="003D2713">
        <w:rPr>
          <w:rFonts w:ascii="Times New Roman" w:hAnsi="Times New Roman"/>
          <w:sz w:val="24"/>
          <w:szCs w:val="24"/>
        </w:rPr>
        <w:t xml:space="preserve">Por el otro, en contextos de modernidad tardía y economías </w:t>
      </w:r>
      <w:proofErr w:type="spellStart"/>
      <w:r w:rsidRPr="003D2713">
        <w:rPr>
          <w:rFonts w:ascii="Times New Roman" w:hAnsi="Times New Roman"/>
          <w:sz w:val="24"/>
          <w:szCs w:val="24"/>
        </w:rPr>
        <w:t>posfordistas</w:t>
      </w:r>
      <w:proofErr w:type="spellEnd"/>
      <w:r w:rsidRPr="003D2713">
        <w:rPr>
          <w:rFonts w:ascii="Times New Roman" w:hAnsi="Times New Roman"/>
          <w:sz w:val="24"/>
          <w:szCs w:val="24"/>
        </w:rPr>
        <w:t>, las formas de la violencia social se han multiplicado, afectando a colectivos vulnerables pero también a la sociedad como un todo.</w:t>
      </w:r>
      <w:r w:rsidR="00773D02" w:rsidRPr="003D2713">
        <w:rPr>
          <w:rFonts w:ascii="Times New Roman" w:hAnsi="Times New Roman"/>
          <w:sz w:val="24"/>
          <w:szCs w:val="24"/>
        </w:rPr>
        <w:t xml:space="preserve"> Para algunos autores, incluso, esta violencia no es un desvío </w:t>
      </w:r>
      <w:r w:rsidR="00372BF4" w:rsidRPr="003D2713">
        <w:rPr>
          <w:rFonts w:ascii="Times New Roman" w:hAnsi="Times New Roman"/>
          <w:sz w:val="24"/>
          <w:szCs w:val="24"/>
        </w:rPr>
        <w:t xml:space="preserve">sino un componente constitutivo de nuevas formas de </w:t>
      </w:r>
      <w:proofErr w:type="spellStart"/>
      <w:r w:rsidR="00372BF4" w:rsidRPr="003D2713">
        <w:rPr>
          <w:rFonts w:ascii="Times New Roman" w:hAnsi="Times New Roman"/>
          <w:sz w:val="24"/>
          <w:szCs w:val="24"/>
        </w:rPr>
        <w:t>gubernamentalidad</w:t>
      </w:r>
      <w:proofErr w:type="spellEnd"/>
      <w:r w:rsidR="00372BF4" w:rsidRPr="003D2713">
        <w:rPr>
          <w:rFonts w:ascii="Times New Roman" w:hAnsi="Times New Roman"/>
          <w:sz w:val="24"/>
          <w:szCs w:val="24"/>
        </w:rPr>
        <w:t>.</w:t>
      </w:r>
      <w:r w:rsidR="00773D02" w:rsidRPr="003D2713">
        <w:rPr>
          <w:rFonts w:ascii="Times New Roman" w:hAnsi="Times New Roman"/>
          <w:sz w:val="24"/>
          <w:szCs w:val="24"/>
        </w:rPr>
        <w:t xml:space="preserve"> </w:t>
      </w:r>
    </w:p>
    <w:p w:rsidR="002F1A7E" w:rsidRPr="003D2713" w:rsidRDefault="007E12AE"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lastRenderedPageBreak/>
        <w:t>Este proyecto se propone analizar la forma en que la(s) violencia(s) sociales actuales se inscriben en una red de discursos mediáticos y sociales. Éstos a su vez encuentran un límite de lo decible, es decir, están regulados por condiciones de modernidad tardía  y se inscriben en una hegemonía discursiva en la que se configuran ciertas gnoseologías como maneras de conocer el mundo (</w:t>
      </w:r>
      <w:proofErr w:type="spellStart"/>
      <w:r w:rsidRPr="003D2713">
        <w:rPr>
          <w:rFonts w:ascii="Times New Roman" w:hAnsi="Times New Roman"/>
          <w:sz w:val="24"/>
          <w:szCs w:val="24"/>
        </w:rPr>
        <w:t>Angenot</w:t>
      </w:r>
      <w:proofErr w:type="spellEnd"/>
      <w:r w:rsidRPr="003D2713">
        <w:rPr>
          <w:rFonts w:ascii="Times New Roman" w:hAnsi="Times New Roman"/>
          <w:sz w:val="24"/>
          <w:szCs w:val="24"/>
        </w:rPr>
        <w:t>, 1989).</w:t>
      </w:r>
      <w:r w:rsidR="00372BF4" w:rsidRPr="003D2713">
        <w:rPr>
          <w:rFonts w:ascii="Times New Roman" w:hAnsi="Times New Roman"/>
          <w:sz w:val="24"/>
          <w:szCs w:val="24"/>
        </w:rPr>
        <w:t xml:space="preserve"> </w:t>
      </w:r>
      <w:r w:rsidRPr="003D2713">
        <w:rPr>
          <w:rFonts w:ascii="Times New Roman" w:hAnsi="Times New Roman"/>
          <w:sz w:val="24"/>
          <w:szCs w:val="24"/>
        </w:rPr>
        <w:t xml:space="preserve">Así, el proyecto se propone, en primer lugar, desarrollar teóricamente </w:t>
      </w:r>
      <w:r w:rsidR="003F256F" w:rsidRPr="003D2713">
        <w:rPr>
          <w:rFonts w:ascii="Times New Roman" w:hAnsi="Times New Roman"/>
          <w:sz w:val="24"/>
          <w:szCs w:val="24"/>
        </w:rPr>
        <w:t>los vínculos entre violencia y discurso</w:t>
      </w:r>
      <w:r w:rsidRPr="003D2713">
        <w:rPr>
          <w:rFonts w:ascii="Times New Roman" w:hAnsi="Times New Roman"/>
          <w:sz w:val="24"/>
          <w:szCs w:val="24"/>
        </w:rPr>
        <w:t xml:space="preserve">, a partir de los aportes de </w:t>
      </w:r>
      <w:proofErr w:type="spellStart"/>
      <w:r w:rsidRPr="003D2713">
        <w:rPr>
          <w:rFonts w:ascii="Times New Roman" w:hAnsi="Times New Roman"/>
          <w:sz w:val="24"/>
          <w:szCs w:val="24"/>
        </w:rPr>
        <w:t>Slavov</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Zizek</w:t>
      </w:r>
      <w:proofErr w:type="spellEnd"/>
      <w:r w:rsidRPr="003D2713">
        <w:rPr>
          <w:rFonts w:ascii="Times New Roman" w:hAnsi="Times New Roman"/>
          <w:sz w:val="24"/>
          <w:szCs w:val="24"/>
        </w:rPr>
        <w:t xml:space="preserve">, Walter </w:t>
      </w:r>
      <w:proofErr w:type="spellStart"/>
      <w:r w:rsidRPr="003D2713">
        <w:rPr>
          <w:rFonts w:ascii="Times New Roman" w:hAnsi="Times New Roman"/>
          <w:sz w:val="24"/>
          <w:szCs w:val="24"/>
        </w:rPr>
        <w:t>Benjamin</w:t>
      </w:r>
      <w:proofErr w:type="spellEnd"/>
      <w:r w:rsidRPr="003D2713">
        <w:rPr>
          <w:rFonts w:ascii="Times New Roman" w:hAnsi="Times New Roman"/>
          <w:sz w:val="24"/>
          <w:szCs w:val="24"/>
        </w:rPr>
        <w:t xml:space="preserve">, Giorgio </w:t>
      </w:r>
      <w:proofErr w:type="spellStart"/>
      <w:r w:rsidRPr="003D2713">
        <w:rPr>
          <w:rFonts w:ascii="Times New Roman" w:hAnsi="Times New Roman"/>
          <w:sz w:val="24"/>
          <w:szCs w:val="24"/>
        </w:rPr>
        <w:t>Agamben</w:t>
      </w:r>
      <w:proofErr w:type="spellEnd"/>
      <w:r w:rsidRPr="003D2713">
        <w:rPr>
          <w:rFonts w:ascii="Times New Roman" w:hAnsi="Times New Roman"/>
          <w:sz w:val="24"/>
          <w:szCs w:val="24"/>
        </w:rPr>
        <w:t xml:space="preserve">, Judith Butler, </w:t>
      </w:r>
      <w:proofErr w:type="spellStart"/>
      <w:r w:rsidRPr="003D2713">
        <w:rPr>
          <w:rFonts w:ascii="Times New Roman" w:hAnsi="Times New Roman"/>
          <w:sz w:val="24"/>
          <w:szCs w:val="24"/>
        </w:rPr>
        <w:t>Isabell</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y </w:t>
      </w:r>
      <w:proofErr w:type="spellStart"/>
      <w:r w:rsidRPr="003D2713">
        <w:rPr>
          <w:rFonts w:ascii="Times New Roman" w:hAnsi="Times New Roman"/>
          <w:sz w:val="24"/>
          <w:szCs w:val="24"/>
        </w:rPr>
        <w:t>Achille</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Mbembe</w:t>
      </w:r>
      <w:proofErr w:type="spellEnd"/>
      <w:r w:rsidR="003F256F" w:rsidRPr="003D2713">
        <w:rPr>
          <w:rFonts w:ascii="Times New Roman" w:hAnsi="Times New Roman"/>
          <w:sz w:val="24"/>
          <w:szCs w:val="24"/>
        </w:rPr>
        <w:t xml:space="preserve">. En </w:t>
      </w:r>
      <w:r w:rsidR="00244EEA" w:rsidRPr="003D2713">
        <w:rPr>
          <w:rFonts w:ascii="Times New Roman" w:hAnsi="Times New Roman"/>
          <w:sz w:val="24"/>
          <w:szCs w:val="24"/>
        </w:rPr>
        <w:t xml:space="preserve">particular, nos interesan las </w:t>
      </w:r>
      <w:r w:rsidR="003F256F" w:rsidRPr="003D2713">
        <w:rPr>
          <w:rFonts w:ascii="Times New Roman" w:hAnsi="Times New Roman"/>
          <w:sz w:val="24"/>
          <w:szCs w:val="24"/>
        </w:rPr>
        <w:t xml:space="preserve">nociones de precarización, </w:t>
      </w:r>
      <w:proofErr w:type="spellStart"/>
      <w:r w:rsidR="003F256F" w:rsidRPr="003D2713">
        <w:rPr>
          <w:rFonts w:ascii="Times New Roman" w:hAnsi="Times New Roman"/>
          <w:sz w:val="24"/>
          <w:szCs w:val="24"/>
        </w:rPr>
        <w:t>reconocibilidad</w:t>
      </w:r>
      <w:proofErr w:type="spellEnd"/>
      <w:r w:rsidR="003F256F" w:rsidRPr="003D2713">
        <w:rPr>
          <w:rFonts w:ascii="Times New Roman" w:hAnsi="Times New Roman"/>
          <w:sz w:val="24"/>
          <w:szCs w:val="24"/>
        </w:rPr>
        <w:t>, “devenir precario” (Butler) y sus vínculos con el “</w:t>
      </w:r>
      <w:proofErr w:type="spellStart"/>
      <w:r w:rsidR="003F256F" w:rsidRPr="003D2713">
        <w:rPr>
          <w:rFonts w:ascii="Times New Roman" w:hAnsi="Times New Roman"/>
          <w:sz w:val="24"/>
          <w:szCs w:val="24"/>
        </w:rPr>
        <w:t>horrorismo</w:t>
      </w:r>
      <w:proofErr w:type="spellEnd"/>
      <w:r w:rsidR="003F256F" w:rsidRPr="003D2713">
        <w:rPr>
          <w:rFonts w:ascii="Times New Roman" w:hAnsi="Times New Roman"/>
          <w:sz w:val="24"/>
          <w:szCs w:val="24"/>
        </w:rPr>
        <w:t xml:space="preserve">”, en términos de </w:t>
      </w:r>
      <w:proofErr w:type="spellStart"/>
      <w:r w:rsidR="003F256F" w:rsidRPr="003D2713">
        <w:rPr>
          <w:rFonts w:ascii="Times New Roman" w:hAnsi="Times New Roman"/>
          <w:sz w:val="24"/>
          <w:szCs w:val="24"/>
        </w:rPr>
        <w:t>Cavarero</w:t>
      </w:r>
      <w:proofErr w:type="spellEnd"/>
      <w:r w:rsidR="003F256F" w:rsidRPr="003D2713">
        <w:rPr>
          <w:rFonts w:ascii="Times New Roman" w:hAnsi="Times New Roman"/>
          <w:sz w:val="24"/>
          <w:szCs w:val="24"/>
        </w:rPr>
        <w:t xml:space="preserve">. </w:t>
      </w:r>
    </w:p>
    <w:p w:rsidR="00244EEA" w:rsidRPr="003D2713" w:rsidRDefault="00122018"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Este proyecto de investigación se inscribe en una perspectiva </w:t>
      </w:r>
      <w:proofErr w:type="spellStart"/>
      <w:r w:rsidRPr="003D2713">
        <w:rPr>
          <w:rFonts w:ascii="Times New Roman" w:hAnsi="Times New Roman"/>
          <w:sz w:val="24"/>
          <w:szCs w:val="24"/>
        </w:rPr>
        <w:t>sociosemiótica</w:t>
      </w:r>
      <w:proofErr w:type="spellEnd"/>
      <w:r w:rsidRPr="003D2713">
        <w:rPr>
          <w:rFonts w:ascii="Times New Roman" w:hAnsi="Times New Roman"/>
          <w:sz w:val="24"/>
          <w:szCs w:val="24"/>
        </w:rPr>
        <w:t xml:space="preserve">. </w:t>
      </w:r>
      <w:r w:rsidR="00AC4A5E" w:rsidRPr="003D2713">
        <w:rPr>
          <w:rFonts w:ascii="Times New Roman" w:hAnsi="Times New Roman"/>
          <w:sz w:val="24"/>
          <w:szCs w:val="24"/>
        </w:rPr>
        <w:t>S</w:t>
      </w:r>
      <w:r w:rsidRPr="003D2713">
        <w:rPr>
          <w:rFonts w:ascii="Times New Roman" w:hAnsi="Times New Roman"/>
          <w:sz w:val="24"/>
          <w:szCs w:val="24"/>
        </w:rPr>
        <w:t xml:space="preserve">e propone una lectura de las narrativas, axiologías, </w:t>
      </w:r>
      <w:proofErr w:type="spellStart"/>
      <w:r w:rsidRPr="003D2713">
        <w:rPr>
          <w:rFonts w:ascii="Times New Roman" w:hAnsi="Times New Roman"/>
          <w:sz w:val="24"/>
          <w:szCs w:val="24"/>
        </w:rPr>
        <w:t>semantizaciones</w:t>
      </w:r>
      <w:proofErr w:type="spellEnd"/>
      <w:r w:rsidRPr="003D2713">
        <w:rPr>
          <w:rFonts w:ascii="Times New Roman" w:hAnsi="Times New Roman"/>
          <w:sz w:val="24"/>
          <w:szCs w:val="24"/>
        </w:rPr>
        <w:t xml:space="preserve"> y </w:t>
      </w:r>
      <w:proofErr w:type="spellStart"/>
      <w:r w:rsidRPr="003D2713">
        <w:rPr>
          <w:rFonts w:ascii="Times New Roman" w:hAnsi="Times New Roman"/>
          <w:sz w:val="24"/>
          <w:szCs w:val="24"/>
        </w:rPr>
        <w:t>doxas</w:t>
      </w:r>
      <w:proofErr w:type="spellEnd"/>
      <w:r w:rsidRPr="003D2713">
        <w:rPr>
          <w:rFonts w:ascii="Times New Roman" w:hAnsi="Times New Roman"/>
          <w:sz w:val="24"/>
          <w:szCs w:val="24"/>
        </w:rPr>
        <w:t xml:space="preserve"> que se definen en la actualidad en torno a la mediatización de la violencia. </w:t>
      </w:r>
      <w:r w:rsidR="00244EEA" w:rsidRPr="003D2713">
        <w:rPr>
          <w:rFonts w:ascii="Times New Roman" w:hAnsi="Times New Roman"/>
          <w:sz w:val="24"/>
          <w:szCs w:val="24"/>
        </w:rPr>
        <w:t xml:space="preserve">El universo de la violencia social se </w:t>
      </w:r>
      <w:proofErr w:type="spellStart"/>
      <w:r w:rsidR="00244EEA" w:rsidRPr="003D2713">
        <w:rPr>
          <w:rFonts w:ascii="Times New Roman" w:hAnsi="Times New Roman"/>
          <w:sz w:val="24"/>
          <w:szCs w:val="24"/>
        </w:rPr>
        <w:t>semantiza</w:t>
      </w:r>
      <w:proofErr w:type="spellEnd"/>
      <w:r w:rsidR="00244EEA" w:rsidRPr="003D2713">
        <w:rPr>
          <w:rFonts w:ascii="Times New Roman" w:hAnsi="Times New Roman"/>
          <w:sz w:val="24"/>
          <w:szCs w:val="24"/>
        </w:rPr>
        <w:t xml:space="preserve">, y da lugar a </w:t>
      </w:r>
      <w:proofErr w:type="spellStart"/>
      <w:r w:rsidR="00244EEA" w:rsidRPr="003D2713">
        <w:rPr>
          <w:rFonts w:ascii="Times New Roman" w:hAnsi="Times New Roman"/>
          <w:sz w:val="24"/>
          <w:szCs w:val="24"/>
        </w:rPr>
        <w:t>ideologemas</w:t>
      </w:r>
      <w:proofErr w:type="spellEnd"/>
      <w:r w:rsidR="00244EEA" w:rsidRPr="003D2713">
        <w:rPr>
          <w:rFonts w:ascii="Times New Roman" w:hAnsi="Times New Roman"/>
          <w:sz w:val="24"/>
          <w:szCs w:val="24"/>
        </w:rPr>
        <w:t xml:space="preserve"> que migran, y van configurando </w:t>
      </w:r>
      <w:proofErr w:type="spellStart"/>
      <w:r w:rsidR="00244EEA" w:rsidRPr="003D2713">
        <w:rPr>
          <w:rFonts w:ascii="Times New Roman" w:hAnsi="Times New Roman"/>
          <w:sz w:val="24"/>
          <w:szCs w:val="24"/>
        </w:rPr>
        <w:t>doxas</w:t>
      </w:r>
      <w:proofErr w:type="spellEnd"/>
      <w:r w:rsidR="00244EEA" w:rsidRPr="003D2713">
        <w:rPr>
          <w:rFonts w:ascii="Times New Roman" w:hAnsi="Times New Roman"/>
          <w:sz w:val="24"/>
          <w:szCs w:val="24"/>
        </w:rPr>
        <w:t xml:space="preserve"> en relación a ciertos tópicos: violencias de la desposesión neoliberal; violencia y juventud; agendas de la inseguridad y el delito; violencia(s) de género, de clase, de razas. </w:t>
      </w:r>
      <w:r w:rsidRPr="003D2713">
        <w:rPr>
          <w:rFonts w:ascii="Times New Roman" w:hAnsi="Times New Roman"/>
          <w:sz w:val="24"/>
          <w:szCs w:val="24"/>
        </w:rPr>
        <w:t xml:space="preserve">La noción de “violencia” presenta en nuestro caso un alcance amplio, en la medida en que consideramos que es una dimensión constitutiva del capitalismo, la que se acentúa además a partir de la “inseguridad social” y  las incertidumbres que caracterizan a una economía </w:t>
      </w:r>
      <w:proofErr w:type="spellStart"/>
      <w:r w:rsidRPr="003D2713">
        <w:rPr>
          <w:rFonts w:ascii="Times New Roman" w:hAnsi="Times New Roman"/>
          <w:sz w:val="24"/>
          <w:szCs w:val="24"/>
        </w:rPr>
        <w:t>posfordista</w:t>
      </w:r>
      <w:proofErr w:type="spellEnd"/>
      <w:r w:rsidRPr="003D2713">
        <w:rPr>
          <w:rFonts w:ascii="Times New Roman" w:hAnsi="Times New Roman"/>
          <w:sz w:val="24"/>
          <w:szCs w:val="24"/>
        </w:rPr>
        <w:t xml:space="preserve">. Ya la Escuela de Frankfurt realizó una lectura crítica del capitalismo, al señalar la alienación y destrucción que conlleva el proyecto de la modernidad, articulando terror y confort, intensificados hoy por el poder creciente de las tecnologías en nuestra sociedad contemporánea. Esta misma condición estructural es la que señala </w:t>
      </w:r>
      <w:proofErr w:type="spellStart"/>
      <w:r w:rsidRPr="003D2713">
        <w:rPr>
          <w:rFonts w:ascii="Times New Roman" w:hAnsi="Times New Roman"/>
          <w:sz w:val="24"/>
          <w:szCs w:val="24"/>
        </w:rPr>
        <w:t>Slavov</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Zizek</w:t>
      </w:r>
      <w:proofErr w:type="spellEnd"/>
      <w:r w:rsidRPr="003D2713">
        <w:rPr>
          <w:rFonts w:ascii="Times New Roman" w:hAnsi="Times New Roman"/>
          <w:sz w:val="24"/>
          <w:szCs w:val="24"/>
        </w:rPr>
        <w:t>, advirtiendo que la “violencia subjetiva” es la que se presenta “directamente visible, practicada por un agente que podemos identificar al instante” (2008: 9)</w:t>
      </w:r>
      <w:r w:rsidR="00AC4A5E" w:rsidRPr="003D2713">
        <w:rPr>
          <w:rFonts w:ascii="Times New Roman" w:hAnsi="Times New Roman"/>
          <w:sz w:val="24"/>
          <w:szCs w:val="24"/>
        </w:rPr>
        <w:t>; destrucciones inmediatamente atribuibles a un cierto actor social o político</w:t>
      </w:r>
      <w:r w:rsidRPr="003D2713">
        <w:rPr>
          <w:rFonts w:ascii="Times New Roman" w:hAnsi="Times New Roman"/>
          <w:sz w:val="24"/>
          <w:szCs w:val="24"/>
        </w:rPr>
        <w:t xml:space="preserve">. Actos criminales, terroristas, delitos, pertenecen a esta categoría. Sin embargo, </w:t>
      </w:r>
      <w:r w:rsidR="007B4207">
        <w:rPr>
          <w:rFonts w:ascii="Times New Roman" w:hAnsi="Times New Roman"/>
          <w:sz w:val="24"/>
          <w:szCs w:val="24"/>
        </w:rPr>
        <w:t xml:space="preserve">es relevante referir </w:t>
      </w:r>
      <w:r w:rsidRPr="003D2713">
        <w:rPr>
          <w:rFonts w:ascii="Times New Roman" w:hAnsi="Times New Roman"/>
          <w:sz w:val="24"/>
          <w:szCs w:val="24"/>
        </w:rPr>
        <w:t xml:space="preserve">no sólo a este trasfondo sino a la violencia objetiva y sistémica, la que silenciosamente se asocia a las “consecuencias a menudo catastróficas del funcionamiento homogéneo de nuestros sistemas económico y político” (2008: 10). La violencia subjetiva (la de los agentes sociales, la de los aparatos disciplinados de represión a las multitudes; esa violencia invisible y doméstica a la que también alude Rita </w:t>
      </w:r>
      <w:proofErr w:type="spellStart"/>
      <w:r w:rsidRPr="003D2713">
        <w:rPr>
          <w:rFonts w:ascii="Times New Roman" w:hAnsi="Times New Roman"/>
          <w:sz w:val="24"/>
          <w:szCs w:val="24"/>
        </w:rPr>
        <w:t>Segato</w:t>
      </w:r>
      <w:proofErr w:type="spellEnd"/>
      <w:r w:rsidRPr="003D2713">
        <w:rPr>
          <w:rFonts w:ascii="Times New Roman" w:hAnsi="Times New Roman"/>
          <w:sz w:val="24"/>
          <w:szCs w:val="24"/>
        </w:rPr>
        <w:t xml:space="preserve">, 2003)   aparece como un estado normal, haciendo invisible la violencia objetiva. Frente a esto, es necesario una actitud crítica y una distancia desapasionada que hace posible </w:t>
      </w:r>
      <w:r w:rsidRPr="003D2713">
        <w:rPr>
          <w:rFonts w:ascii="Times New Roman" w:hAnsi="Times New Roman"/>
          <w:sz w:val="24"/>
          <w:szCs w:val="24"/>
        </w:rPr>
        <w:lastRenderedPageBreak/>
        <w:t xml:space="preserve">identificar algunas formas inherentes al sistema: “las más sutiles formas de coerción que nos imponen relaciones de dominación y explotación, incluyendo la amenaza de la violencia” (2008: 20). Esta violencia  sistémica fundamental es “puramente </w:t>
      </w:r>
      <w:r w:rsidRPr="003D2713">
        <w:rPr>
          <w:rFonts w:ascii="Times New Roman" w:hAnsi="Times New Roman"/>
          <w:i/>
          <w:sz w:val="24"/>
          <w:szCs w:val="24"/>
        </w:rPr>
        <w:t>objetiva</w:t>
      </w:r>
      <w:r w:rsidRPr="003D2713">
        <w:rPr>
          <w:rFonts w:ascii="Times New Roman" w:hAnsi="Times New Roman"/>
          <w:sz w:val="24"/>
          <w:szCs w:val="24"/>
        </w:rPr>
        <w:t>, sistémica, anónima”</w:t>
      </w:r>
      <w:r w:rsidR="007B4207">
        <w:rPr>
          <w:rFonts w:ascii="Times New Roman" w:hAnsi="Times New Roman"/>
          <w:sz w:val="24"/>
          <w:szCs w:val="24"/>
        </w:rPr>
        <w:t xml:space="preserve">; constantemente ejercida como una “norma” sobre el cuerpo social independientemente de la voluntad de los individuos. </w:t>
      </w:r>
      <w:r w:rsidRPr="003D2713">
        <w:rPr>
          <w:rFonts w:ascii="Times New Roman" w:hAnsi="Times New Roman"/>
          <w:sz w:val="24"/>
          <w:szCs w:val="24"/>
        </w:rPr>
        <w:t xml:space="preserve"> </w:t>
      </w:r>
      <w:r w:rsidR="00244EEA" w:rsidRPr="003D2713">
        <w:rPr>
          <w:rFonts w:ascii="Times New Roman" w:hAnsi="Times New Roman"/>
          <w:sz w:val="24"/>
          <w:szCs w:val="24"/>
        </w:rPr>
        <w:t xml:space="preserve">En este sentido, se oponen los actos de violencia encarnados en una figura subjetiva particular a </w:t>
      </w:r>
      <w:r w:rsidR="003A2D54">
        <w:rPr>
          <w:rFonts w:ascii="Times New Roman" w:hAnsi="Times New Roman"/>
          <w:sz w:val="24"/>
          <w:szCs w:val="24"/>
        </w:rPr>
        <w:t xml:space="preserve">los de una </w:t>
      </w:r>
      <w:r w:rsidR="00244EEA" w:rsidRPr="003D2713">
        <w:rPr>
          <w:rFonts w:ascii="Times New Roman" w:hAnsi="Times New Roman"/>
          <w:sz w:val="24"/>
          <w:szCs w:val="24"/>
        </w:rPr>
        <w:t>violencia estructural que caracteriza al sistema: una configuración que silenciosamente mina las condiciones materiales de vida de ciertos sectores y la pérdida de sus derechos, mientras que protege a otros. Este obrar “silencioso” y menos espectacular que el anterior, este deterioro de ciertos sectores que no cae en la cuenta del daño a la comunidad y que rara vez es percibido como tal, es el que más frecuentemente se incorpora como parte de un funcionamiento no sólo posible, sino incluso –según algunos discursos- necesario. Ciertos autore</w:t>
      </w:r>
      <w:r w:rsidR="007356BE" w:rsidRPr="003D2713">
        <w:rPr>
          <w:rFonts w:ascii="Times New Roman" w:hAnsi="Times New Roman"/>
          <w:sz w:val="24"/>
          <w:szCs w:val="24"/>
        </w:rPr>
        <w:t>s</w:t>
      </w:r>
      <w:r w:rsidR="00244EEA" w:rsidRPr="003D2713">
        <w:rPr>
          <w:rFonts w:ascii="Times New Roman" w:hAnsi="Times New Roman"/>
          <w:sz w:val="24"/>
          <w:szCs w:val="24"/>
        </w:rPr>
        <w:t xml:space="preserve"> han señalado cómo las sociedades contemporáneas se encuentran atravesadas por formas de violencia que no son episódicas, sino constitutivas de nuevas técnicas de </w:t>
      </w:r>
      <w:proofErr w:type="spellStart"/>
      <w:r w:rsidR="00244EEA" w:rsidRPr="003D2713">
        <w:rPr>
          <w:rFonts w:ascii="Times New Roman" w:hAnsi="Times New Roman"/>
          <w:sz w:val="24"/>
          <w:szCs w:val="24"/>
        </w:rPr>
        <w:t>gubernamentalidad</w:t>
      </w:r>
      <w:proofErr w:type="spellEnd"/>
      <w:r w:rsidR="00244EEA" w:rsidRPr="003D2713">
        <w:rPr>
          <w:rFonts w:ascii="Times New Roman" w:hAnsi="Times New Roman"/>
          <w:sz w:val="24"/>
          <w:szCs w:val="24"/>
        </w:rPr>
        <w:t xml:space="preserve"> y de formación de subjetividades: precarización (Judith Butler, </w:t>
      </w:r>
      <w:proofErr w:type="spellStart"/>
      <w:r w:rsidR="00244EEA" w:rsidRPr="003D2713">
        <w:rPr>
          <w:rFonts w:ascii="Times New Roman" w:hAnsi="Times New Roman"/>
          <w:sz w:val="24"/>
          <w:szCs w:val="24"/>
        </w:rPr>
        <w:t>Isabell</w:t>
      </w:r>
      <w:proofErr w:type="spellEnd"/>
      <w:r w:rsidR="00244EEA" w:rsidRPr="003D2713">
        <w:rPr>
          <w:rFonts w:ascii="Times New Roman" w:hAnsi="Times New Roman"/>
          <w:sz w:val="24"/>
          <w:szCs w:val="24"/>
        </w:rPr>
        <w:t xml:space="preserve"> </w:t>
      </w:r>
      <w:proofErr w:type="spellStart"/>
      <w:r w:rsidR="00244EEA" w:rsidRPr="003D2713">
        <w:rPr>
          <w:rFonts w:ascii="Times New Roman" w:hAnsi="Times New Roman"/>
          <w:sz w:val="24"/>
          <w:szCs w:val="24"/>
        </w:rPr>
        <w:t>Lorey</w:t>
      </w:r>
      <w:proofErr w:type="spellEnd"/>
      <w:r w:rsidR="00244EEA" w:rsidRPr="003D2713">
        <w:rPr>
          <w:rFonts w:ascii="Times New Roman" w:hAnsi="Times New Roman"/>
          <w:sz w:val="24"/>
          <w:szCs w:val="24"/>
        </w:rPr>
        <w:t xml:space="preserve">); desposesión (Judith Butler y </w:t>
      </w:r>
      <w:proofErr w:type="spellStart"/>
      <w:r w:rsidR="00244EEA" w:rsidRPr="003D2713">
        <w:rPr>
          <w:rFonts w:ascii="Times New Roman" w:hAnsi="Times New Roman"/>
          <w:sz w:val="24"/>
          <w:szCs w:val="24"/>
        </w:rPr>
        <w:t>Athenas</w:t>
      </w:r>
      <w:proofErr w:type="spellEnd"/>
      <w:r w:rsidR="00244EEA" w:rsidRPr="003D2713">
        <w:rPr>
          <w:rFonts w:ascii="Times New Roman" w:hAnsi="Times New Roman"/>
          <w:sz w:val="24"/>
          <w:szCs w:val="24"/>
        </w:rPr>
        <w:t xml:space="preserve"> </w:t>
      </w:r>
      <w:proofErr w:type="spellStart"/>
      <w:r w:rsidR="00244EEA" w:rsidRPr="003D2713">
        <w:rPr>
          <w:rFonts w:ascii="Times New Roman" w:hAnsi="Times New Roman"/>
          <w:sz w:val="24"/>
          <w:szCs w:val="24"/>
        </w:rPr>
        <w:t>Athanasiou</w:t>
      </w:r>
      <w:proofErr w:type="spellEnd"/>
      <w:r w:rsidR="00244EEA" w:rsidRPr="003D2713">
        <w:rPr>
          <w:rFonts w:ascii="Times New Roman" w:hAnsi="Times New Roman"/>
          <w:sz w:val="24"/>
          <w:szCs w:val="24"/>
        </w:rPr>
        <w:t xml:space="preserve">), </w:t>
      </w:r>
      <w:proofErr w:type="spellStart"/>
      <w:r w:rsidR="00244EEA" w:rsidRPr="003D2713">
        <w:rPr>
          <w:rFonts w:ascii="Times New Roman" w:hAnsi="Times New Roman"/>
          <w:sz w:val="24"/>
          <w:szCs w:val="24"/>
        </w:rPr>
        <w:t>necropolítica</w:t>
      </w:r>
      <w:proofErr w:type="spellEnd"/>
      <w:r w:rsidR="00244EEA" w:rsidRPr="003D2713">
        <w:rPr>
          <w:rFonts w:ascii="Times New Roman" w:hAnsi="Times New Roman"/>
          <w:sz w:val="24"/>
          <w:szCs w:val="24"/>
        </w:rPr>
        <w:t xml:space="preserve"> (</w:t>
      </w:r>
      <w:proofErr w:type="spellStart"/>
      <w:r w:rsidR="00244EEA" w:rsidRPr="003D2713">
        <w:rPr>
          <w:rFonts w:ascii="Times New Roman" w:hAnsi="Times New Roman"/>
          <w:sz w:val="24"/>
          <w:szCs w:val="24"/>
        </w:rPr>
        <w:t>Achille</w:t>
      </w:r>
      <w:proofErr w:type="spellEnd"/>
      <w:r w:rsidR="00244EEA" w:rsidRPr="003D2713">
        <w:rPr>
          <w:rFonts w:ascii="Times New Roman" w:hAnsi="Times New Roman"/>
          <w:sz w:val="24"/>
          <w:szCs w:val="24"/>
        </w:rPr>
        <w:t xml:space="preserve"> </w:t>
      </w:r>
      <w:proofErr w:type="spellStart"/>
      <w:r w:rsidR="00244EEA" w:rsidRPr="003D2713">
        <w:rPr>
          <w:rFonts w:ascii="Times New Roman" w:hAnsi="Times New Roman"/>
          <w:sz w:val="24"/>
          <w:szCs w:val="24"/>
        </w:rPr>
        <w:t>Mbembe</w:t>
      </w:r>
      <w:proofErr w:type="spellEnd"/>
      <w:r w:rsidR="00244EEA" w:rsidRPr="003D2713">
        <w:rPr>
          <w:rFonts w:ascii="Times New Roman" w:hAnsi="Times New Roman"/>
          <w:sz w:val="24"/>
          <w:szCs w:val="24"/>
        </w:rPr>
        <w:t xml:space="preserve">), entre otros fenómenos. Indirectamente, también la “sanción </w:t>
      </w:r>
      <w:proofErr w:type="spellStart"/>
      <w:r w:rsidR="00244EEA" w:rsidRPr="003D2713">
        <w:rPr>
          <w:rFonts w:ascii="Times New Roman" w:hAnsi="Times New Roman"/>
          <w:sz w:val="24"/>
          <w:szCs w:val="24"/>
        </w:rPr>
        <w:t>normalizante</w:t>
      </w:r>
      <w:proofErr w:type="spellEnd"/>
      <w:r w:rsidR="00244EEA" w:rsidRPr="003D2713">
        <w:rPr>
          <w:rFonts w:ascii="Times New Roman" w:hAnsi="Times New Roman"/>
          <w:sz w:val="24"/>
          <w:szCs w:val="24"/>
        </w:rPr>
        <w:t xml:space="preserve">” que establece distinciones entre colectivos, norma que es también capaz de producir subjetividades, ha sido profundamente estudiada por Foucault en su obra genealógica (particularmente en </w:t>
      </w:r>
      <w:r w:rsidR="00244EEA" w:rsidRPr="003D2713">
        <w:rPr>
          <w:rFonts w:ascii="Times New Roman" w:hAnsi="Times New Roman"/>
          <w:i/>
          <w:sz w:val="24"/>
          <w:szCs w:val="24"/>
        </w:rPr>
        <w:t xml:space="preserve">Vigilar y castigar </w:t>
      </w:r>
      <w:r w:rsidR="00244EEA" w:rsidRPr="003D2713">
        <w:rPr>
          <w:rFonts w:ascii="Times New Roman" w:hAnsi="Times New Roman"/>
          <w:sz w:val="24"/>
          <w:szCs w:val="24"/>
        </w:rPr>
        <w:t xml:space="preserve">y </w:t>
      </w:r>
      <w:r w:rsidR="00244EEA" w:rsidRPr="003D2713">
        <w:rPr>
          <w:rFonts w:ascii="Times New Roman" w:hAnsi="Times New Roman"/>
          <w:i/>
          <w:sz w:val="24"/>
          <w:szCs w:val="24"/>
        </w:rPr>
        <w:t>Las sociedades punitivas</w:t>
      </w:r>
      <w:r w:rsidR="00244EEA" w:rsidRPr="003D2713">
        <w:rPr>
          <w:rFonts w:ascii="Times New Roman" w:hAnsi="Times New Roman"/>
          <w:sz w:val="24"/>
          <w:szCs w:val="24"/>
        </w:rPr>
        <w:t>).</w:t>
      </w:r>
    </w:p>
    <w:p w:rsidR="007356BE" w:rsidRPr="003D2713" w:rsidRDefault="00122018"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Por otro lado, </w:t>
      </w:r>
      <w:r w:rsidR="003A2D54">
        <w:rPr>
          <w:rFonts w:ascii="Times New Roman" w:hAnsi="Times New Roman"/>
          <w:sz w:val="24"/>
          <w:szCs w:val="24"/>
        </w:rPr>
        <w:t xml:space="preserve">como señala </w:t>
      </w:r>
      <w:proofErr w:type="spellStart"/>
      <w:r w:rsidR="003A2D54">
        <w:rPr>
          <w:rFonts w:ascii="Times New Roman" w:hAnsi="Times New Roman"/>
          <w:sz w:val="24"/>
          <w:szCs w:val="24"/>
        </w:rPr>
        <w:t>Zizek</w:t>
      </w:r>
      <w:proofErr w:type="spellEnd"/>
      <w:r w:rsidR="003A2D54">
        <w:rPr>
          <w:rFonts w:ascii="Times New Roman" w:hAnsi="Times New Roman"/>
          <w:sz w:val="24"/>
          <w:szCs w:val="24"/>
        </w:rPr>
        <w:t xml:space="preserve">, </w:t>
      </w:r>
      <w:r w:rsidRPr="003D2713">
        <w:rPr>
          <w:rFonts w:ascii="Times New Roman" w:hAnsi="Times New Roman"/>
          <w:sz w:val="24"/>
          <w:szCs w:val="24"/>
        </w:rPr>
        <w:t>existe una tercera forma de violencia: la simbólica, encarnada en el lenguaje</w:t>
      </w:r>
      <w:r w:rsidR="003A2D54">
        <w:rPr>
          <w:rFonts w:ascii="Times New Roman" w:hAnsi="Times New Roman"/>
          <w:sz w:val="24"/>
          <w:szCs w:val="24"/>
        </w:rPr>
        <w:t>. Esta impone un</w:t>
      </w:r>
      <w:r w:rsidRPr="003D2713">
        <w:rPr>
          <w:rFonts w:ascii="Times New Roman" w:hAnsi="Times New Roman"/>
          <w:sz w:val="24"/>
          <w:szCs w:val="24"/>
        </w:rPr>
        <w:t xml:space="preserve"> cierto universo de sentido.</w:t>
      </w:r>
      <w:r w:rsidR="007356BE" w:rsidRPr="003D2713">
        <w:rPr>
          <w:rFonts w:ascii="Times New Roman" w:hAnsi="Times New Roman"/>
          <w:sz w:val="24"/>
          <w:szCs w:val="24"/>
        </w:rPr>
        <w:t xml:space="preserve"> Los aportes de Butler nos resultan fundamentales en este punto, y fundamentalmente su profunda </w:t>
      </w:r>
      <w:r w:rsidR="003A2D54">
        <w:rPr>
          <w:rFonts w:ascii="Times New Roman" w:hAnsi="Times New Roman"/>
          <w:sz w:val="24"/>
          <w:szCs w:val="24"/>
        </w:rPr>
        <w:t xml:space="preserve">indagación en torno al </w:t>
      </w:r>
      <w:r w:rsidR="007356BE" w:rsidRPr="003D2713">
        <w:rPr>
          <w:rFonts w:ascii="Times New Roman" w:hAnsi="Times New Roman"/>
          <w:sz w:val="24"/>
          <w:szCs w:val="24"/>
        </w:rPr>
        <w:t xml:space="preserve">“lenguaje del odio”, en </w:t>
      </w:r>
      <w:r w:rsidR="007356BE" w:rsidRPr="003D2713">
        <w:rPr>
          <w:rFonts w:ascii="Times New Roman" w:hAnsi="Times New Roman"/>
          <w:i/>
          <w:sz w:val="24"/>
          <w:szCs w:val="24"/>
        </w:rPr>
        <w:t>Lenguaje, poder e identidad</w:t>
      </w:r>
      <w:r w:rsidR="007356BE" w:rsidRPr="003D2713">
        <w:rPr>
          <w:rFonts w:ascii="Times New Roman" w:hAnsi="Times New Roman"/>
          <w:sz w:val="24"/>
          <w:szCs w:val="24"/>
        </w:rPr>
        <w:t xml:space="preserve">. En estos casos, se aborda fundamentalmente la violencia simbólica vinculada a hechos de racismo o diferencias de género. </w:t>
      </w:r>
    </w:p>
    <w:p w:rsidR="007356BE" w:rsidRPr="003D2713" w:rsidRDefault="00122018"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  En nuestro caso, consideraremos las tres modalidades o, mejor dicho, las tramas entre la violencia subjetiva, la objetiva (ideológica: racismo, odio, discriminación sexual…) y la violencia simbólica</w:t>
      </w:r>
      <w:r w:rsidR="00BE70DA">
        <w:rPr>
          <w:rFonts w:ascii="Times New Roman" w:hAnsi="Times New Roman"/>
          <w:sz w:val="24"/>
          <w:szCs w:val="24"/>
        </w:rPr>
        <w:t xml:space="preserve"> en un escenario histórico singular</w:t>
      </w:r>
      <w:r w:rsidRPr="003D2713">
        <w:rPr>
          <w:rFonts w:ascii="Times New Roman" w:hAnsi="Times New Roman"/>
          <w:sz w:val="24"/>
          <w:szCs w:val="24"/>
        </w:rPr>
        <w:t xml:space="preserve">. </w:t>
      </w:r>
      <w:r w:rsidR="00B65DD7" w:rsidRPr="003D2713">
        <w:rPr>
          <w:rFonts w:ascii="Times New Roman" w:hAnsi="Times New Roman"/>
          <w:sz w:val="24"/>
          <w:szCs w:val="24"/>
        </w:rPr>
        <w:t xml:space="preserve">Como ha señalado </w:t>
      </w:r>
      <w:proofErr w:type="spellStart"/>
      <w:r w:rsidRPr="003D2713">
        <w:rPr>
          <w:rFonts w:ascii="Times New Roman" w:hAnsi="Times New Roman"/>
          <w:sz w:val="24"/>
          <w:szCs w:val="24"/>
        </w:rPr>
        <w:t>Loic</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Wacquant</w:t>
      </w:r>
      <w:proofErr w:type="spellEnd"/>
      <w:r w:rsidRPr="003D2713">
        <w:rPr>
          <w:rFonts w:ascii="Times New Roman" w:hAnsi="Times New Roman"/>
          <w:sz w:val="24"/>
          <w:szCs w:val="24"/>
        </w:rPr>
        <w:t xml:space="preserve">, se trata de situarnos en un contexto histórico en el que marginalidad, pobreza e inseguridad dan lugar a “procesos de </w:t>
      </w:r>
      <w:proofErr w:type="spellStart"/>
      <w:r w:rsidRPr="003D2713">
        <w:rPr>
          <w:rFonts w:ascii="Times New Roman" w:hAnsi="Times New Roman"/>
          <w:sz w:val="24"/>
          <w:szCs w:val="24"/>
        </w:rPr>
        <w:t>despacificación</w:t>
      </w:r>
      <w:proofErr w:type="spellEnd"/>
      <w:r w:rsidRPr="003D2713">
        <w:rPr>
          <w:rFonts w:ascii="Times New Roman" w:hAnsi="Times New Roman"/>
          <w:sz w:val="24"/>
          <w:szCs w:val="24"/>
        </w:rPr>
        <w:t xml:space="preserve">” de la vida cotidiana, cuando “se filtra la violencia en el entramado del sistema social local”, en una atmósfera sofocante de desconfianza y terror  (2001: 111). Esto es concomitante a la </w:t>
      </w:r>
      <w:r w:rsidRPr="003D2713">
        <w:rPr>
          <w:rFonts w:ascii="Times New Roman" w:hAnsi="Times New Roman"/>
          <w:sz w:val="24"/>
          <w:szCs w:val="24"/>
        </w:rPr>
        <w:lastRenderedPageBreak/>
        <w:t>“</w:t>
      </w:r>
      <w:proofErr w:type="spellStart"/>
      <w:r w:rsidRPr="003D2713">
        <w:rPr>
          <w:rFonts w:ascii="Times New Roman" w:hAnsi="Times New Roman"/>
          <w:sz w:val="24"/>
          <w:szCs w:val="24"/>
        </w:rPr>
        <w:t>desdiferenciación</w:t>
      </w:r>
      <w:proofErr w:type="spellEnd"/>
      <w:r w:rsidRPr="003D2713">
        <w:rPr>
          <w:rFonts w:ascii="Times New Roman" w:hAnsi="Times New Roman"/>
          <w:sz w:val="24"/>
          <w:szCs w:val="24"/>
        </w:rPr>
        <w:t xml:space="preserve"> social” y la  “informalización económica”, que se dan al mismo tiempo que la retirada del  Estado y la “gestión penal de la pobreza”. </w:t>
      </w:r>
    </w:p>
    <w:p w:rsidR="00122018" w:rsidRPr="003D2713" w:rsidRDefault="00122018"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Estos procesos se tematizan y dejan sus huellas en los diversos géneros de los discursos sociales, y entre ellos, el discurso mediático aparece como particularmente significativo. Las representaciones postuladas por los medios ocupan un lugar preponderante en la construcción de la grilla de inteligibilidad que es capaz en una determinada coyuntura de dar sentido a los procesos sociales, tal como marcan numerosos estudios disponibles en este campo (</w:t>
      </w:r>
      <w:proofErr w:type="spellStart"/>
      <w:r w:rsidRPr="003D2713">
        <w:rPr>
          <w:rFonts w:ascii="Times New Roman" w:hAnsi="Times New Roman"/>
          <w:sz w:val="24"/>
          <w:szCs w:val="24"/>
        </w:rPr>
        <w:t>Arfuch</w:t>
      </w:r>
      <w:proofErr w:type="spellEnd"/>
      <w:r w:rsidRPr="003D2713">
        <w:rPr>
          <w:rFonts w:ascii="Times New Roman" w:hAnsi="Times New Roman"/>
          <w:sz w:val="24"/>
          <w:szCs w:val="24"/>
        </w:rPr>
        <w:t xml:space="preserve">, 1997; Ford, 1999; Verón, 2004; </w:t>
      </w:r>
      <w:proofErr w:type="spellStart"/>
      <w:r w:rsidRPr="003D2713">
        <w:rPr>
          <w:rFonts w:ascii="Times New Roman" w:hAnsi="Times New Roman"/>
          <w:sz w:val="24"/>
          <w:szCs w:val="24"/>
        </w:rPr>
        <w:t>Luchessi</w:t>
      </w:r>
      <w:proofErr w:type="spellEnd"/>
      <w:r w:rsidRPr="003D2713">
        <w:rPr>
          <w:rFonts w:ascii="Times New Roman" w:hAnsi="Times New Roman"/>
          <w:sz w:val="24"/>
          <w:szCs w:val="24"/>
        </w:rPr>
        <w:t xml:space="preserve"> y Rodríguez, 2007; Martini, 2010; Reguillo, 2008). En este punto, referiremos a dos cuestiones teóricas centrales: la capacidad de “decir verdad” de los medios de comunicación, lo que les da un lugar prioritario en la definición de agendas y marcos de interpretación, y su posibilidad de “construir el acontecimiento” (más que de reflejarlo de modo más o menos fiel). En relación al primer punto, es posible afirmar que los medios de comunicación son considerados como uno de los principales dispositivos actuales de producción de </w:t>
      </w:r>
      <w:r w:rsidR="00B65DD7" w:rsidRPr="003D2713">
        <w:rPr>
          <w:rFonts w:ascii="Times New Roman" w:hAnsi="Times New Roman"/>
          <w:sz w:val="24"/>
          <w:szCs w:val="24"/>
        </w:rPr>
        <w:t xml:space="preserve">un “régimen de </w:t>
      </w:r>
      <w:r w:rsidRPr="003D2713">
        <w:rPr>
          <w:rFonts w:ascii="Times New Roman" w:hAnsi="Times New Roman"/>
          <w:sz w:val="24"/>
          <w:szCs w:val="24"/>
        </w:rPr>
        <w:t>verdad</w:t>
      </w:r>
      <w:r w:rsidR="00B65DD7" w:rsidRPr="003D2713">
        <w:rPr>
          <w:rFonts w:ascii="Times New Roman" w:hAnsi="Times New Roman"/>
          <w:sz w:val="24"/>
          <w:szCs w:val="24"/>
        </w:rPr>
        <w:t>”</w:t>
      </w:r>
      <w:r w:rsidRPr="003D2713">
        <w:rPr>
          <w:rFonts w:ascii="Times New Roman" w:hAnsi="Times New Roman"/>
          <w:sz w:val="24"/>
          <w:szCs w:val="24"/>
        </w:rPr>
        <w:t xml:space="preserve">. No se trata de una correspondencia con un mundo empírico e independiente, sino de una capacidad prioritaria de fijar sentidos: “en territorio periodístico la verdad es siempre discursiva: es el resultado de la coincidencia de relatos” (Escudero, 1996: 35). Según Lucrecia Escudero, existe un pacto fiduciario que sostiene su legitimación social como institución con vocación de decir la verdad. La noción de “contrato mediático” es fundamental en esta perspectiva en tanto “forma particular de contrato fiduciario que trata de establecer con sus lectores el medio por el cual éstos aceptan </w:t>
      </w:r>
      <w:r w:rsidRPr="003D2713">
        <w:rPr>
          <w:rFonts w:ascii="Times New Roman" w:hAnsi="Times New Roman"/>
          <w:i/>
          <w:sz w:val="24"/>
          <w:szCs w:val="24"/>
        </w:rPr>
        <w:t>a priori</w:t>
      </w:r>
      <w:r w:rsidRPr="003D2713">
        <w:rPr>
          <w:rFonts w:ascii="Times New Roman" w:hAnsi="Times New Roman"/>
          <w:sz w:val="24"/>
          <w:szCs w:val="24"/>
        </w:rPr>
        <w:t xml:space="preserve"> como verdadera la narración vehiculizada reservándose </w:t>
      </w:r>
      <w:r w:rsidRPr="003D2713">
        <w:rPr>
          <w:rFonts w:ascii="Times New Roman" w:hAnsi="Times New Roman"/>
          <w:i/>
          <w:sz w:val="24"/>
          <w:szCs w:val="24"/>
        </w:rPr>
        <w:t>a posteriori</w:t>
      </w:r>
      <w:r w:rsidRPr="003D2713">
        <w:rPr>
          <w:rFonts w:ascii="Times New Roman" w:hAnsi="Times New Roman"/>
          <w:sz w:val="24"/>
          <w:szCs w:val="24"/>
        </w:rPr>
        <w:t xml:space="preserve"> la posibilidad y verificación otorgándole al medio una legitimidad fundada en la institución que representa” (Escudero, 1996: 41). En segundo lugar, en esta perspectiva, Eliseo Verón ha señalado que “los medios no copian nada…producen realidad social” (1987: III). Contrariamente a lo que sostiene el sentido común, los medios pueden ser entendidos como “fábricas” de ese objeto cultural llamado “actualidad”, generando diferentes modelos construidos para distintas audiencias. Esto no significa que lo actual sea un simulacro o una ilusión, sino que los medios producen “realidad en devenir, presente como experiencia colectiva para los actores sociales” (1987: IV). Esto implica  que cada medio de comunicación según unas particulares gramáticas de producción que incluyen los intereses económicos y empresariales, los vínculos con el Estado y los colectivos sociales, sostendrá imágenes de mundo que ofrecerán interpretaciones y axiologías sobre procesos e identidades, enfatizando algunos aspectos e </w:t>
      </w:r>
      <w:proofErr w:type="spellStart"/>
      <w:r w:rsidRPr="003D2713">
        <w:rPr>
          <w:rFonts w:ascii="Times New Roman" w:hAnsi="Times New Roman"/>
          <w:sz w:val="24"/>
          <w:szCs w:val="24"/>
        </w:rPr>
        <w:t>invisibilizando</w:t>
      </w:r>
      <w:proofErr w:type="spellEnd"/>
      <w:r w:rsidRPr="003D2713">
        <w:rPr>
          <w:rFonts w:ascii="Times New Roman" w:hAnsi="Times New Roman"/>
          <w:sz w:val="24"/>
          <w:szCs w:val="24"/>
        </w:rPr>
        <w:t xml:space="preserve"> otros.</w:t>
      </w:r>
    </w:p>
    <w:p w:rsidR="002F1A7E" w:rsidRPr="003D2713" w:rsidRDefault="00122018" w:rsidP="003D2713">
      <w:pPr>
        <w:spacing w:after="0" w:line="360" w:lineRule="auto"/>
        <w:jc w:val="both"/>
        <w:rPr>
          <w:rFonts w:ascii="Times New Roman" w:hAnsi="Times New Roman"/>
          <w:sz w:val="24"/>
          <w:szCs w:val="24"/>
        </w:rPr>
      </w:pPr>
      <w:r w:rsidRPr="003D2713">
        <w:rPr>
          <w:rFonts w:ascii="Times New Roman" w:hAnsi="Times New Roman"/>
          <w:sz w:val="24"/>
          <w:szCs w:val="24"/>
        </w:rPr>
        <w:lastRenderedPageBreak/>
        <w:tab/>
        <w:t xml:space="preserve">A su vez, este discurso se encuentra regulado por un sistema de lo decible, en un contexto de disputas de sentido en el que pugnan retóricas y fuerzas centrípetas (hegemónicas) y centrífugas (disidentes). ¿Qué es lo decible acerca de violencias sociales actuales? </w:t>
      </w:r>
      <w:r w:rsidR="005E5C1F" w:rsidRPr="003D2713">
        <w:rPr>
          <w:rFonts w:ascii="Times New Roman" w:hAnsi="Times New Roman"/>
          <w:sz w:val="24"/>
          <w:szCs w:val="24"/>
        </w:rPr>
        <w:t xml:space="preserve">¿Qué tópicas se despliegan y cuáles son “las maneras correctas de tratarlas”?   </w:t>
      </w:r>
      <w:r w:rsidRPr="003D2713">
        <w:rPr>
          <w:rFonts w:ascii="Times New Roman" w:hAnsi="Times New Roman"/>
          <w:sz w:val="24"/>
          <w:szCs w:val="24"/>
        </w:rPr>
        <w:t xml:space="preserve">¿Qué </w:t>
      </w:r>
      <w:proofErr w:type="spellStart"/>
      <w:r w:rsidRPr="003D2713">
        <w:rPr>
          <w:rFonts w:ascii="Times New Roman" w:hAnsi="Times New Roman"/>
          <w:sz w:val="24"/>
          <w:szCs w:val="24"/>
        </w:rPr>
        <w:t>sociogramas</w:t>
      </w:r>
      <w:proofErr w:type="spellEnd"/>
      <w:r w:rsidRPr="003D2713">
        <w:rPr>
          <w:rFonts w:ascii="Times New Roman" w:hAnsi="Times New Roman"/>
          <w:sz w:val="24"/>
          <w:szCs w:val="24"/>
        </w:rPr>
        <w:t xml:space="preserve"> y estados de ánimo se despliegan en torno a ciert</w:t>
      </w:r>
      <w:r w:rsidR="005E5C1F" w:rsidRPr="003D2713">
        <w:rPr>
          <w:rFonts w:ascii="Times New Roman" w:hAnsi="Times New Roman"/>
          <w:sz w:val="24"/>
          <w:szCs w:val="24"/>
        </w:rPr>
        <w:t xml:space="preserve">os </w:t>
      </w:r>
      <w:r w:rsidR="00BE70DA">
        <w:rPr>
          <w:rFonts w:ascii="Times New Roman" w:hAnsi="Times New Roman"/>
          <w:sz w:val="24"/>
          <w:szCs w:val="24"/>
        </w:rPr>
        <w:t>acontecimientos</w:t>
      </w:r>
      <w:r w:rsidRPr="003D2713">
        <w:rPr>
          <w:rFonts w:ascii="Times New Roman" w:hAnsi="Times New Roman"/>
          <w:sz w:val="24"/>
          <w:szCs w:val="24"/>
        </w:rPr>
        <w:t>?  El objetivo de este proyecto</w:t>
      </w:r>
      <w:r w:rsidR="00D669D4" w:rsidRPr="003D2713">
        <w:rPr>
          <w:rFonts w:ascii="Times New Roman" w:hAnsi="Times New Roman"/>
          <w:sz w:val="24"/>
          <w:szCs w:val="24"/>
        </w:rPr>
        <w:t xml:space="preserve">, inicialmente, fue </w:t>
      </w:r>
      <w:r w:rsidRPr="003D2713">
        <w:rPr>
          <w:rFonts w:ascii="Times New Roman" w:hAnsi="Times New Roman"/>
          <w:sz w:val="24"/>
          <w:szCs w:val="24"/>
        </w:rPr>
        <w:t xml:space="preserve">identificar los </w:t>
      </w:r>
      <w:proofErr w:type="spellStart"/>
      <w:r w:rsidRPr="003D2713">
        <w:rPr>
          <w:rFonts w:ascii="Times New Roman" w:hAnsi="Times New Roman"/>
          <w:sz w:val="24"/>
          <w:szCs w:val="24"/>
        </w:rPr>
        <w:t>ideologemas</w:t>
      </w:r>
      <w:proofErr w:type="spellEnd"/>
      <w:r w:rsidRPr="003D2713">
        <w:rPr>
          <w:rFonts w:ascii="Times New Roman" w:hAnsi="Times New Roman"/>
          <w:sz w:val="24"/>
          <w:szCs w:val="24"/>
        </w:rPr>
        <w:t xml:space="preserve"> y tópicas en diferentes medios de comunicación a partir del análisis de casos vinculados a cuatro “rubros temáticos”: las  violencias de la desposesión neoliberal; violencia y juventud; agendas de la inseguridad y el delito; otras violencias de género, de clase, de razas. A modo de ejemplo, citamos la emergencia de las “agendas del hambre” y la pobreza locales y nacionales a fines del ciclo </w:t>
      </w:r>
      <w:proofErr w:type="spellStart"/>
      <w:r w:rsidRPr="003D2713">
        <w:rPr>
          <w:rFonts w:ascii="Times New Roman" w:hAnsi="Times New Roman"/>
          <w:sz w:val="24"/>
          <w:szCs w:val="24"/>
        </w:rPr>
        <w:t>macrista</w:t>
      </w:r>
      <w:proofErr w:type="spellEnd"/>
      <w:r w:rsidRPr="003D2713">
        <w:rPr>
          <w:rFonts w:ascii="Times New Roman" w:hAnsi="Times New Roman"/>
          <w:sz w:val="24"/>
          <w:szCs w:val="24"/>
        </w:rPr>
        <w:t xml:space="preserve">; la muerte de Fernando </w:t>
      </w:r>
      <w:proofErr w:type="spellStart"/>
      <w:r w:rsidRPr="003D2713">
        <w:rPr>
          <w:rFonts w:ascii="Times New Roman" w:hAnsi="Times New Roman"/>
          <w:sz w:val="24"/>
          <w:szCs w:val="24"/>
        </w:rPr>
        <w:t>Baéz</w:t>
      </w:r>
      <w:proofErr w:type="spellEnd"/>
      <w:r w:rsidRPr="003D2713">
        <w:rPr>
          <w:rFonts w:ascii="Times New Roman" w:hAnsi="Times New Roman"/>
          <w:sz w:val="24"/>
          <w:szCs w:val="24"/>
        </w:rPr>
        <w:t xml:space="preserve"> (18-02-20) y el caso de los “</w:t>
      </w:r>
      <w:proofErr w:type="spellStart"/>
      <w:r w:rsidRPr="003D2713">
        <w:rPr>
          <w:rFonts w:ascii="Times New Roman" w:hAnsi="Times New Roman"/>
          <w:sz w:val="24"/>
          <w:szCs w:val="24"/>
        </w:rPr>
        <w:t>rugbiers</w:t>
      </w:r>
      <w:proofErr w:type="spellEnd"/>
      <w:r w:rsidRPr="003D2713">
        <w:rPr>
          <w:rFonts w:ascii="Times New Roman" w:hAnsi="Times New Roman"/>
          <w:sz w:val="24"/>
          <w:szCs w:val="24"/>
        </w:rPr>
        <w:t xml:space="preserve">” que fue profusamente tematizado como un síntoma de la “juventud violenta”; los nuevos pánicos morales como el </w:t>
      </w:r>
      <w:proofErr w:type="spellStart"/>
      <w:r w:rsidRPr="003D2713">
        <w:rPr>
          <w:rFonts w:ascii="Times New Roman" w:hAnsi="Times New Roman"/>
          <w:sz w:val="24"/>
          <w:szCs w:val="24"/>
        </w:rPr>
        <w:t>bullying</w:t>
      </w:r>
      <w:proofErr w:type="spellEnd"/>
      <w:r w:rsidRPr="003D2713">
        <w:rPr>
          <w:rFonts w:ascii="Times New Roman" w:hAnsi="Times New Roman"/>
          <w:sz w:val="24"/>
          <w:szCs w:val="24"/>
        </w:rPr>
        <w:t xml:space="preserve">, el </w:t>
      </w:r>
      <w:proofErr w:type="spellStart"/>
      <w:r w:rsidRPr="003D2713">
        <w:rPr>
          <w:rFonts w:ascii="Times New Roman" w:hAnsi="Times New Roman"/>
          <w:sz w:val="24"/>
          <w:szCs w:val="24"/>
        </w:rPr>
        <w:t>grooming</w:t>
      </w:r>
      <w:proofErr w:type="spellEnd"/>
      <w:r w:rsidRPr="003D2713">
        <w:rPr>
          <w:rFonts w:ascii="Times New Roman" w:hAnsi="Times New Roman"/>
          <w:sz w:val="24"/>
          <w:szCs w:val="24"/>
        </w:rPr>
        <w:t xml:space="preserve">, y otras formas de violencia en el espacio escolar; las secciones policiales de los distintos soportes comunicacionales y formas emergentes de discriminación de sujetos y colectivos por su raza, clase, género, religión; constituyen eventuales corpus de este proyecto.  </w:t>
      </w:r>
      <w:r w:rsidR="00D669D4" w:rsidRPr="003D2713">
        <w:rPr>
          <w:rFonts w:ascii="Times New Roman" w:hAnsi="Times New Roman"/>
          <w:sz w:val="24"/>
          <w:szCs w:val="24"/>
        </w:rPr>
        <w:t xml:space="preserve">Sin embargo, la pandemia del año 2020 ha modificado nuestras agendas, mostrando dimensiones que se vinculan con esta perspectiva y que hemos ya empezado a considerar. </w:t>
      </w:r>
    </w:p>
    <w:p w:rsidR="007356BE" w:rsidRPr="003D2713" w:rsidRDefault="007356BE" w:rsidP="003D2713">
      <w:pPr>
        <w:spacing w:after="0" w:line="360" w:lineRule="auto"/>
        <w:jc w:val="both"/>
        <w:rPr>
          <w:rFonts w:ascii="Times New Roman" w:hAnsi="Times New Roman"/>
          <w:b/>
          <w:sz w:val="24"/>
          <w:szCs w:val="24"/>
        </w:rPr>
      </w:pPr>
    </w:p>
    <w:p w:rsidR="007356BE" w:rsidRPr="003D2713" w:rsidRDefault="007356BE" w:rsidP="003D2713">
      <w:pPr>
        <w:spacing w:after="0" w:line="360" w:lineRule="auto"/>
        <w:jc w:val="both"/>
        <w:rPr>
          <w:rFonts w:ascii="Times New Roman" w:hAnsi="Times New Roman"/>
          <w:b/>
          <w:sz w:val="24"/>
          <w:szCs w:val="24"/>
        </w:rPr>
      </w:pPr>
      <w:r w:rsidRPr="003D2713">
        <w:rPr>
          <w:rFonts w:ascii="Times New Roman" w:hAnsi="Times New Roman"/>
          <w:b/>
          <w:sz w:val="24"/>
          <w:szCs w:val="24"/>
        </w:rPr>
        <w:t>Violencia</w:t>
      </w:r>
      <w:r w:rsidR="009478CA" w:rsidRPr="003D2713">
        <w:rPr>
          <w:rFonts w:ascii="Times New Roman" w:hAnsi="Times New Roman"/>
          <w:b/>
          <w:sz w:val="24"/>
          <w:szCs w:val="24"/>
        </w:rPr>
        <w:t>, discurso</w:t>
      </w:r>
      <w:r w:rsidR="0008783F" w:rsidRPr="003D2713">
        <w:rPr>
          <w:rFonts w:ascii="Times New Roman" w:hAnsi="Times New Roman"/>
          <w:b/>
          <w:sz w:val="24"/>
          <w:szCs w:val="24"/>
        </w:rPr>
        <w:t xml:space="preserve"> y</w:t>
      </w:r>
      <w:r w:rsidR="00D669D4" w:rsidRPr="003D2713">
        <w:rPr>
          <w:rFonts w:ascii="Times New Roman" w:hAnsi="Times New Roman"/>
          <w:b/>
          <w:sz w:val="24"/>
          <w:szCs w:val="24"/>
        </w:rPr>
        <w:t xml:space="preserve"> precarización: primeras lecturas en el</w:t>
      </w:r>
      <w:r w:rsidR="0008783F" w:rsidRPr="003D2713">
        <w:rPr>
          <w:rFonts w:ascii="Times New Roman" w:hAnsi="Times New Roman"/>
          <w:b/>
          <w:sz w:val="24"/>
          <w:szCs w:val="24"/>
        </w:rPr>
        <w:t xml:space="preserve"> contexto COVID</w:t>
      </w:r>
      <w:r w:rsidRPr="003D2713">
        <w:rPr>
          <w:rFonts w:ascii="Times New Roman" w:hAnsi="Times New Roman"/>
          <w:b/>
          <w:sz w:val="24"/>
          <w:szCs w:val="24"/>
        </w:rPr>
        <w:t xml:space="preserve"> </w:t>
      </w:r>
    </w:p>
    <w:p w:rsidR="00500A4B" w:rsidRPr="003D2713" w:rsidRDefault="00500A4B" w:rsidP="003D2713">
      <w:pPr>
        <w:spacing w:after="0" w:line="360" w:lineRule="auto"/>
        <w:jc w:val="both"/>
        <w:rPr>
          <w:rFonts w:ascii="Times New Roman" w:hAnsi="Times New Roman"/>
          <w:sz w:val="24"/>
          <w:szCs w:val="24"/>
        </w:rPr>
      </w:pPr>
      <w:r w:rsidRPr="003D2713">
        <w:rPr>
          <w:rFonts w:ascii="Times New Roman" w:hAnsi="Times New Roman"/>
          <w:sz w:val="24"/>
          <w:szCs w:val="24"/>
        </w:rPr>
        <w:tab/>
        <w:t xml:space="preserve">Como hemos argumentado en trabajos anteriores, es posible explicar al neoliberalismo como un modo singular de </w:t>
      </w:r>
      <w:proofErr w:type="spellStart"/>
      <w:r w:rsidRPr="003D2713">
        <w:rPr>
          <w:rFonts w:ascii="Times New Roman" w:hAnsi="Times New Roman"/>
          <w:sz w:val="24"/>
          <w:szCs w:val="24"/>
        </w:rPr>
        <w:t>gubernamentalidad</w:t>
      </w:r>
      <w:proofErr w:type="spellEnd"/>
      <w:r w:rsidRPr="003D2713">
        <w:rPr>
          <w:rFonts w:ascii="Times New Roman" w:hAnsi="Times New Roman"/>
          <w:sz w:val="24"/>
          <w:szCs w:val="24"/>
        </w:rPr>
        <w:t xml:space="preserve"> asentada en la precarización intensificada. </w:t>
      </w:r>
      <w:r w:rsidR="00D669D4" w:rsidRPr="003D2713">
        <w:rPr>
          <w:rFonts w:ascii="Times New Roman" w:hAnsi="Times New Roman"/>
          <w:sz w:val="24"/>
          <w:szCs w:val="24"/>
        </w:rPr>
        <w:t>E</w:t>
      </w:r>
      <w:r w:rsidRPr="003D2713">
        <w:rPr>
          <w:rFonts w:ascii="Times New Roman" w:hAnsi="Times New Roman"/>
          <w:sz w:val="24"/>
          <w:szCs w:val="24"/>
        </w:rPr>
        <w:t>sta categoría</w:t>
      </w:r>
      <w:r w:rsidR="00D669D4" w:rsidRPr="003D2713">
        <w:rPr>
          <w:rFonts w:ascii="Times New Roman" w:hAnsi="Times New Roman"/>
          <w:sz w:val="24"/>
          <w:szCs w:val="24"/>
        </w:rPr>
        <w:t>,</w:t>
      </w:r>
      <w:r w:rsidRPr="003D2713">
        <w:rPr>
          <w:rFonts w:ascii="Times New Roman" w:hAnsi="Times New Roman"/>
          <w:sz w:val="24"/>
          <w:szCs w:val="24"/>
        </w:rPr>
        <w:t xml:space="preserve"> definida por Judith Butler y muy vinculada con los marcos culturales y discursivos de un determinado momento histórico, es pertinente para explicar el capitalismo contemporáneo</w:t>
      </w:r>
      <w:r w:rsidR="00990F22" w:rsidRPr="003D2713">
        <w:rPr>
          <w:rFonts w:ascii="Times New Roman" w:hAnsi="Times New Roman"/>
          <w:sz w:val="24"/>
          <w:szCs w:val="24"/>
        </w:rPr>
        <w:t xml:space="preserve"> y sus vínculos con la violencia, en este caso entendida como </w:t>
      </w:r>
      <w:proofErr w:type="spellStart"/>
      <w:r w:rsidR="00990F22" w:rsidRPr="003D2713">
        <w:rPr>
          <w:rFonts w:ascii="Times New Roman" w:hAnsi="Times New Roman"/>
          <w:sz w:val="24"/>
          <w:szCs w:val="24"/>
        </w:rPr>
        <w:t>diferencialidad</w:t>
      </w:r>
      <w:proofErr w:type="spellEnd"/>
      <w:r w:rsidR="00990F22" w:rsidRPr="003D2713">
        <w:rPr>
          <w:rFonts w:ascii="Times New Roman" w:hAnsi="Times New Roman"/>
          <w:sz w:val="24"/>
          <w:szCs w:val="24"/>
        </w:rPr>
        <w:t xml:space="preserve"> en el cuidado de las vidas</w:t>
      </w:r>
      <w:r w:rsidRPr="003D2713">
        <w:rPr>
          <w:rFonts w:ascii="Times New Roman" w:hAnsi="Times New Roman"/>
          <w:sz w:val="24"/>
          <w:szCs w:val="24"/>
        </w:rPr>
        <w:t xml:space="preserve">.  </w:t>
      </w:r>
    </w:p>
    <w:p w:rsidR="00CE0B8B" w:rsidRPr="003D2713" w:rsidRDefault="00500A4B" w:rsidP="003D2713">
      <w:pPr>
        <w:spacing w:after="0" w:line="360" w:lineRule="auto"/>
        <w:jc w:val="both"/>
        <w:rPr>
          <w:rFonts w:ascii="Times New Roman" w:hAnsi="Times New Roman"/>
          <w:sz w:val="24"/>
          <w:szCs w:val="24"/>
        </w:rPr>
      </w:pPr>
      <w:r w:rsidRPr="003D2713">
        <w:rPr>
          <w:rFonts w:ascii="Times New Roman" w:hAnsi="Times New Roman"/>
          <w:sz w:val="24"/>
          <w:szCs w:val="24"/>
        </w:rPr>
        <w:tab/>
        <w:t xml:space="preserve">En nuestro país, el gobierno de </w:t>
      </w:r>
      <w:r w:rsidRPr="003D2713">
        <w:rPr>
          <w:rFonts w:ascii="Times New Roman" w:hAnsi="Times New Roman"/>
          <w:i/>
          <w:sz w:val="24"/>
          <w:szCs w:val="24"/>
        </w:rPr>
        <w:t xml:space="preserve">Cambiemos </w:t>
      </w:r>
      <w:r w:rsidRPr="003D2713">
        <w:rPr>
          <w:rFonts w:ascii="Times New Roman" w:hAnsi="Times New Roman"/>
          <w:sz w:val="24"/>
          <w:szCs w:val="24"/>
        </w:rPr>
        <w:t>dejó profundas huellas de un proceso de precarización que constituyó una condición de posibilidad para ciertos discursos “</w:t>
      </w:r>
      <w:proofErr w:type="spellStart"/>
      <w:r w:rsidRPr="003D2713">
        <w:rPr>
          <w:rFonts w:ascii="Times New Roman" w:hAnsi="Times New Roman"/>
          <w:sz w:val="24"/>
          <w:szCs w:val="24"/>
        </w:rPr>
        <w:t>anticuarentena</w:t>
      </w:r>
      <w:proofErr w:type="spellEnd"/>
      <w:r w:rsidRPr="003D2713">
        <w:rPr>
          <w:rFonts w:ascii="Times New Roman" w:hAnsi="Times New Roman"/>
          <w:sz w:val="24"/>
          <w:szCs w:val="24"/>
        </w:rPr>
        <w:t xml:space="preserve">” que circulan en la actualidad. </w:t>
      </w:r>
      <w:r w:rsidR="00990F22" w:rsidRPr="003D2713">
        <w:rPr>
          <w:rFonts w:ascii="Times New Roman" w:hAnsi="Times New Roman"/>
          <w:sz w:val="24"/>
          <w:szCs w:val="24"/>
        </w:rPr>
        <w:t>Estos discursos alcanzan verosimilitud en el cont</w:t>
      </w:r>
      <w:r w:rsidR="00CE0B8B" w:rsidRPr="003D2713">
        <w:rPr>
          <w:rFonts w:ascii="Times New Roman" w:hAnsi="Times New Roman"/>
          <w:sz w:val="24"/>
          <w:szCs w:val="24"/>
        </w:rPr>
        <w:t>e</w:t>
      </w:r>
      <w:r w:rsidR="00990F22" w:rsidRPr="003D2713">
        <w:rPr>
          <w:rFonts w:ascii="Times New Roman" w:hAnsi="Times New Roman"/>
          <w:sz w:val="24"/>
          <w:szCs w:val="24"/>
        </w:rPr>
        <w:t xml:space="preserve">xto de pandemia a partir de lo que </w:t>
      </w:r>
      <w:proofErr w:type="spellStart"/>
      <w:r w:rsidR="00990F22" w:rsidRPr="003D2713">
        <w:rPr>
          <w:rFonts w:ascii="Times New Roman" w:hAnsi="Times New Roman"/>
          <w:sz w:val="24"/>
          <w:szCs w:val="24"/>
        </w:rPr>
        <w:t>Angenot</w:t>
      </w:r>
      <w:proofErr w:type="spellEnd"/>
      <w:r w:rsidR="00990F22" w:rsidRPr="003D2713">
        <w:rPr>
          <w:rFonts w:ascii="Times New Roman" w:hAnsi="Times New Roman"/>
          <w:sz w:val="24"/>
          <w:szCs w:val="24"/>
        </w:rPr>
        <w:t xml:space="preserve"> llamó “</w:t>
      </w:r>
      <w:proofErr w:type="spellStart"/>
      <w:r w:rsidR="00990F22" w:rsidRPr="003D2713">
        <w:rPr>
          <w:rFonts w:ascii="Times New Roman" w:hAnsi="Times New Roman"/>
          <w:sz w:val="24"/>
          <w:szCs w:val="24"/>
        </w:rPr>
        <w:t>co</w:t>
      </w:r>
      <w:proofErr w:type="spellEnd"/>
      <w:r w:rsidR="00990F22" w:rsidRPr="003D2713">
        <w:rPr>
          <w:rFonts w:ascii="Times New Roman" w:hAnsi="Times New Roman"/>
          <w:sz w:val="24"/>
          <w:szCs w:val="24"/>
        </w:rPr>
        <w:t xml:space="preserve">-inteligibilidad”: una convergencia entre </w:t>
      </w:r>
      <w:proofErr w:type="spellStart"/>
      <w:r w:rsidR="00990F22" w:rsidRPr="003D2713">
        <w:rPr>
          <w:rFonts w:ascii="Times New Roman" w:hAnsi="Times New Roman"/>
          <w:sz w:val="24"/>
          <w:szCs w:val="24"/>
        </w:rPr>
        <w:t>ideologemas</w:t>
      </w:r>
      <w:proofErr w:type="spellEnd"/>
      <w:r w:rsidR="00990F22" w:rsidRPr="003D2713">
        <w:rPr>
          <w:rFonts w:ascii="Times New Roman" w:hAnsi="Times New Roman"/>
          <w:sz w:val="24"/>
          <w:szCs w:val="24"/>
        </w:rPr>
        <w:t xml:space="preserve">, tópicas y </w:t>
      </w:r>
      <w:proofErr w:type="spellStart"/>
      <w:r w:rsidR="00990F22" w:rsidRPr="003D2713">
        <w:rPr>
          <w:rFonts w:ascii="Times New Roman" w:hAnsi="Times New Roman"/>
          <w:sz w:val="24"/>
          <w:szCs w:val="24"/>
        </w:rPr>
        <w:t>doxas</w:t>
      </w:r>
      <w:proofErr w:type="spellEnd"/>
      <w:r w:rsidR="00990F22" w:rsidRPr="003D2713">
        <w:rPr>
          <w:rFonts w:ascii="Times New Roman" w:hAnsi="Times New Roman"/>
          <w:sz w:val="24"/>
          <w:szCs w:val="24"/>
        </w:rPr>
        <w:t xml:space="preserve"> sostenidas por una importante mayoría de los medios de comunicación a lo largo del país con el discurso de los sectores políticos opositores al peronismo. </w:t>
      </w:r>
      <w:r w:rsidR="00CE0B8B" w:rsidRPr="003D2713">
        <w:rPr>
          <w:rFonts w:ascii="Times New Roman" w:hAnsi="Times New Roman"/>
          <w:sz w:val="24"/>
          <w:szCs w:val="24"/>
        </w:rPr>
        <w:t>Los  enunciados mantienen relaciones entre sí, y unos enunciados explican y hacen legibles a otros</w:t>
      </w:r>
      <w:r w:rsidR="00D669D4" w:rsidRPr="003D2713">
        <w:rPr>
          <w:rFonts w:ascii="Times New Roman" w:hAnsi="Times New Roman"/>
          <w:sz w:val="24"/>
          <w:szCs w:val="24"/>
        </w:rPr>
        <w:t xml:space="preserve">, circulando con intensa rapidez de un campo </w:t>
      </w:r>
      <w:r w:rsidR="00D669D4" w:rsidRPr="003D2713">
        <w:rPr>
          <w:rFonts w:ascii="Times New Roman" w:hAnsi="Times New Roman"/>
          <w:sz w:val="24"/>
          <w:szCs w:val="24"/>
        </w:rPr>
        <w:lastRenderedPageBreak/>
        <w:t xml:space="preserve">discursivo al otro y generando así “modelos de actualidad” y “grillas de inteligibilidad” que rápidamente provocan efectos heterogéneos en los colectivos sociales. </w:t>
      </w:r>
      <w:r w:rsidR="00CE0B8B" w:rsidRPr="003D2713">
        <w:rPr>
          <w:rFonts w:ascii="Times New Roman" w:hAnsi="Times New Roman"/>
          <w:sz w:val="24"/>
          <w:szCs w:val="24"/>
        </w:rPr>
        <w:t xml:space="preserve"> </w:t>
      </w:r>
      <w:r w:rsidR="00990F22" w:rsidRPr="003D2713">
        <w:rPr>
          <w:rFonts w:ascii="Times New Roman" w:hAnsi="Times New Roman"/>
          <w:sz w:val="24"/>
          <w:szCs w:val="24"/>
        </w:rPr>
        <w:t xml:space="preserve">Así, lo que podríamos designar como la “tópica </w:t>
      </w:r>
      <w:proofErr w:type="spellStart"/>
      <w:r w:rsidR="00990F22" w:rsidRPr="003D2713">
        <w:rPr>
          <w:rFonts w:ascii="Times New Roman" w:hAnsi="Times New Roman"/>
          <w:sz w:val="24"/>
          <w:szCs w:val="24"/>
        </w:rPr>
        <w:t>anticuarentena</w:t>
      </w:r>
      <w:proofErr w:type="spellEnd"/>
      <w:r w:rsidR="00990F22" w:rsidRPr="003D2713">
        <w:rPr>
          <w:rFonts w:ascii="Times New Roman" w:hAnsi="Times New Roman"/>
          <w:sz w:val="24"/>
          <w:szCs w:val="24"/>
        </w:rPr>
        <w:t>” no tiene una configuración en el vacío, sino que se inicia como una circulación de ciertas unidades un tanto difusas que comienza</w:t>
      </w:r>
      <w:r w:rsidR="00435C2C" w:rsidRPr="003D2713">
        <w:rPr>
          <w:rFonts w:ascii="Times New Roman" w:hAnsi="Times New Roman"/>
          <w:sz w:val="24"/>
          <w:szCs w:val="24"/>
        </w:rPr>
        <w:t>n</w:t>
      </w:r>
      <w:r w:rsidR="00990F22" w:rsidRPr="003D2713">
        <w:rPr>
          <w:rFonts w:ascii="Times New Roman" w:hAnsi="Times New Roman"/>
          <w:sz w:val="24"/>
          <w:szCs w:val="24"/>
        </w:rPr>
        <w:t xml:space="preserve"> a recorrer diferentes instancias de enunciación: declaraciones de referentes de la oposición jerarquizadas en las agendas de los medios (</w:t>
      </w:r>
      <w:proofErr w:type="spellStart"/>
      <w:r w:rsidR="00990F22" w:rsidRPr="003D2713">
        <w:rPr>
          <w:rFonts w:ascii="Times New Roman" w:hAnsi="Times New Roman"/>
          <w:sz w:val="24"/>
          <w:szCs w:val="24"/>
        </w:rPr>
        <w:t>Picheto</w:t>
      </w:r>
      <w:proofErr w:type="spellEnd"/>
      <w:r w:rsidR="00990F22" w:rsidRPr="003D2713">
        <w:rPr>
          <w:rFonts w:ascii="Times New Roman" w:hAnsi="Times New Roman"/>
          <w:sz w:val="24"/>
          <w:szCs w:val="24"/>
        </w:rPr>
        <w:t xml:space="preserve">, </w:t>
      </w:r>
      <w:proofErr w:type="spellStart"/>
      <w:r w:rsidR="00990F22" w:rsidRPr="003D2713">
        <w:rPr>
          <w:rFonts w:ascii="Times New Roman" w:hAnsi="Times New Roman"/>
          <w:sz w:val="24"/>
          <w:szCs w:val="24"/>
        </w:rPr>
        <w:t>Macri</w:t>
      </w:r>
      <w:proofErr w:type="spellEnd"/>
      <w:r w:rsidR="00990F22" w:rsidRPr="003D2713">
        <w:rPr>
          <w:rFonts w:ascii="Times New Roman" w:hAnsi="Times New Roman"/>
          <w:sz w:val="24"/>
          <w:szCs w:val="24"/>
        </w:rPr>
        <w:t xml:space="preserve">, Iglesias, </w:t>
      </w:r>
      <w:proofErr w:type="spellStart"/>
      <w:r w:rsidR="00990F22" w:rsidRPr="003D2713">
        <w:rPr>
          <w:rFonts w:ascii="Times New Roman" w:hAnsi="Times New Roman"/>
          <w:sz w:val="24"/>
          <w:szCs w:val="24"/>
        </w:rPr>
        <w:t>Bullrich</w:t>
      </w:r>
      <w:proofErr w:type="spellEnd"/>
      <w:r w:rsidR="00990F22" w:rsidRPr="003D2713">
        <w:rPr>
          <w:rFonts w:ascii="Times New Roman" w:hAnsi="Times New Roman"/>
          <w:sz w:val="24"/>
          <w:szCs w:val="24"/>
        </w:rPr>
        <w:t xml:space="preserve">, </w:t>
      </w:r>
      <w:proofErr w:type="spellStart"/>
      <w:r w:rsidR="00990F22" w:rsidRPr="003D2713">
        <w:rPr>
          <w:rFonts w:ascii="Times New Roman" w:hAnsi="Times New Roman"/>
          <w:sz w:val="24"/>
          <w:szCs w:val="24"/>
        </w:rPr>
        <w:t>Carrió</w:t>
      </w:r>
      <w:proofErr w:type="spellEnd"/>
      <w:r w:rsidR="00990F22" w:rsidRPr="003D2713">
        <w:rPr>
          <w:rFonts w:ascii="Times New Roman" w:hAnsi="Times New Roman"/>
          <w:sz w:val="24"/>
          <w:szCs w:val="24"/>
        </w:rPr>
        <w:t xml:space="preserve">, por citar los más </w:t>
      </w:r>
      <w:r w:rsidR="00FB7249" w:rsidRPr="003D2713">
        <w:rPr>
          <w:rFonts w:ascii="Times New Roman" w:hAnsi="Times New Roman"/>
          <w:sz w:val="24"/>
          <w:szCs w:val="24"/>
        </w:rPr>
        <w:t>visibles)</w:t>
      </w:r>
      <w:r w:rsidR="005E5C1F" w:rsidRPr="003D2713">
        <w:rPr>
          <w:rFonts w:ascii="Times New Roman" w:hAnsi="Times New Roman"/>
          <w:sz w:val="24"/>
          <w:szCs w:val="24"/>
        </w:rPr>
        <w:t>,</w:t>
      </w:r>
      <w:r w:rsidR="00FB7249" w:rsidRPr="003D2713">
        <w:rPr>
          <w:rFonts w:ascii="Times New Roman" w:hAnsi="Times New Roman"/>
          <w:sz w:val="24"/>
          <w:szCs w:val="24"/>
        </w:rPr>
        <w:t xml:space="preserve"> </w:t>
      </w:r>
      <w:r w:rsidR="00990F22" w:rsidRPr="003D2713">
        <w:rPr>
          <w:rFonts w:ascii="Times New Roman" w:hAnsi="Times New Roman"/>
          <w:sz w:val="24"/>
          <w:szCs w:val="24"/>
        </w:rPr>
        <w:t>campañas en redes, noticias y editoriales en el conglomerado mediático</w:t>
      </w:r>
      <w:r w:rsidR="00CE0B8B" w:rsidRPr="003D2713">
        <w:rPr>
          <w:rFonts w:ascii="Times New Roman" w:hAnsi="Times New Roman"/>
          <w:sz w:val="24"/>
          <w:szCs w:val="24"/>
        </w:rPr>
        <w:t>, el “rumor social”</w:t>
      </w:r>
      <w:r w:rsidR="00435C2C" w:rsidRPr="003D2713">
        <w:rPr>
          <w:rFonts w:ascii="Times New Roman" w:hAnsi="Times New Roman"/>
          <w:sz w:val="24"/>
          <w:szCs w:val="24"/>
        </w:rPr>
        <w:t>. Estos tópicos recorren también las redes, y finalmente encarnan en las protestas callejeras que se iniciaron el 30 de abril. Así, después de un momento inicial de “consenso”</w:t>
      </w:r>
      <w:r w:rsidR="00CE0B8B" w:rsidRPr="003D2713">
        <w:rPr>
          <w:rFonts w:ascii="Times New Roman" w:hAnsi="Times New Roman"/>
          <w:sz w:val="24"/>
          <w:szCs w:val="24"/>
        </w:rPr>
        <w:t xml:space="preserve"> en torno a las políticas del gobierno respecto al COVID</w:t>
      </w:r>
      <w:r w:rsidR="00435C2C" w:rsidRPr="003D2713">
        <w:rPr>
          <w:rFonts w:ascii="Times New Roman" w:hAnsi="Times New Roman"/>
          <w:sz w:val="24"/>
          <w:szCs w:val="24"/>
        </w:rPr>
        <w:t xml:space="preserve">, rápidamente comienzan a configurarse las disidencias, los discursos centrífugos, </w:t>
      </w:r>
      <w:r w:rsidR="00CE0B8B" w:rsidRPr="003D2713">
        <w:rPr>
          <w:rFonts w:ascii="Times New Roman" w:hAnsi="Times New Roman"/>
          <w:sz w:val="24"/>
          <w:szCs w:val="24"/>
        </w:rPr>
        <w:t>estableciendo desde entonces un campo de disputa y una polémica constantes</w:t>
      </w:r>
      <w:r w:rsidR="00966487" w:rsidRPr="003D2713">
        <w:rPr>
          <w:rFonts w:ascii="Times New Roman" w:hAnsi="Times New Roman"/>
          <w:sz w:val="24"/>
          <w:szCs w:val="24"/>
        </w:rPr>
        <w:t xml:space="preserve"> que no ha</w:t>
      </w:r>
      <w:r w:rsidR="00FB10E3">
        <w:rPr>
          <w:rFonts w:ascii="Times New Roman" w:hAnsi="Times New Roman"/>
          <w:sz w:val="24"/>
          <w:szCs w:val="24"/>
        </w:rPr>
        <w:t>n</w:t>
      </w:r>
      <w:r w:rsidR="00966487" w:rsidRPr="003D2713">
        <w:rPr>
          <w:rFonts w:ascii="Times New Roman" w:hAnsi="Times New Roman"/>
          <w:sz w:val="24"/>
          <w:szCs w:val="24"/>
        </w:rPr>
        <w:t xml:space="preserve"> hecho más que profundizarse hasta la actualidad</w:t>
      </w:r>
      <w:r w:rsidR="00CE0B8B" w:rsidRPr="003D2713">
        <w:rPr>
          <w:rFonts w:ascii="Times New Roman" w:hAnsi="Times New Roman"/>
          <w:sz w:val="24"/>
          <w:szCs w:val="24"/>
        </w:rPr>
        <w:t xml:space="preserve">. </w:t>
      </w:r>
    </w:p>
    <w:p w:rsidR="00786182" w:rsidRPr="003D2713" w:rsidRDefault="00651A8E" w:rsidP="003D2713">
      <w:pPr>
        <w:tabs>
          <w:tab w:val="left" w:pos="4395"/>
        </w:tabs>
        <w:spacing w:after="0" w:line="360" w:lineRule="auto"/>
        <w:jc w:val="both"/>
        <w:rPr>
          <w:rFonts w:ascii="Times New Roman" w:hAnsi="Times New Roman"/>
          <w:sz w:val="24"/>
          <w:szCs w:val="24"/>
        </w:rPr>
      </w:pPr>
      <w:r w:rsidRPr="003D2713">
        <w:rPr>
          <w:rFonts w:ascii="Times New Roman" w:hAnsi="Times New Roman"/>
          <w:sz w:val="24"/>
          <w:szCs w:val="24"/>
        </w:rPr>
        <w:t xml:space="preserve">En una  </w:t>
      </w:r>
      <w:r w:rsidR="009478CA" w:rsidRPr="003D2713">
        <w:rPr>
          <w:rFonts w:ascii="Times New Roman" w:hAnsi="Times New Roman"/>
          <w:sz w:val="24"/>
          <w:szCs w:val="24"/>
        </w:rPr>
        <w:t xml:space="preserve">primera </w:t>
      </w:r>
      <w:r w:rsidRPr="003D2713">
        <w:rPr>
          <w:rFonts w:ascii="Times New Roman" w:hAnsi="Times New Roman"/>
          <w:sz w:val="24"/>
          <w:szCs w:val="24"/>
        </w:rPr>
        <w:t xml:space="preserve">aproximación </w:t>
      </w:r>
      <w:r w:rsidR="009478CA" w:rsidRPr="003D2713">
        <w:rPr>
          <w:rFonts w:ascii="Times New Roman" w:hAnsi="Times New Roman"/>
          <w:sz w:val="24"/>
          <w:szCs w:val="24"/>
        </w:rPr>
        <w:t>general</w:t>
      </w:r>
      <w:r w:rsidRPr="003D2713">
        <w:rPr>
          <w:rFonts w:ascii="Times New Roman" w:hAnsi="Times New Roman"/>
          <w:sz w:val="24"/>
          <w:szCs w:val="24"/>
        </w:rPr>
        <w:t>, diremos que estos lenguajes del disenso frente a las políticas oficiales basadas en el Aislamiento Social Preventivo y Obligatorio</w:t>
      </w:r>
      <w:r w:rsidR="009478CA" w:rsidRPr="003D2713">
        <w:rPr>
          <w:rFonts w:ascii="Times New Roman" w:hAnsi="Times New Roman"/>
          <w:sz w:val="24"/>
          <w:szCs w:val="24"/>
        </w:rPr>
        <w:t xml:space="preserve"> presentan</w:t>
      </w:r>
      <w:r w:rsidRPr="003D2713">
        <w:rPr>
          <w:rFonts w:ascii="Times New Roman" w:hAnsi="Times New Roman"/>
          <w:sz w:val="24"/>
          <w:szCs w:val="24"/>
        </w:rPr>
        <w:t xml:space="preserve"> </w:t>
      </w:r>
      <w:r w:rsidR="00FB7249" w:rsidRPr="003D2713">
        <w:rPr>
          <w:rFonts w:ascii="Times New Roman" w:hAnsi="Times New Roman"/>
          <w:sz w:val="24"/>
          <w:szCs w:val="24"/>
        </w:rPr>
        <w:t xml:space="preserve">algunos </w:t>
      </w:r>
      <w:r w:rsidRPr="003D2713">
        <w:rPr>
          <w:rFonts w:ascii="Times New Roman" w:hAnsi="Times New Roman"/>
          <w:sz w:val="24"/>
          <w:szCs w:val="24"/>
        </w:rPr>
        <w:t xml:space="preserve">rasgos singulares. En primer lugar, </w:t>
      </w:r>
      <w:r w:rsidR="002D0E6B" w:rsidRPr="003D2713">
        <w:rPr>
          <w:rFonts w:ascii="Times New Roman" w:hAnsi="Times New Roman"/>
          <w:sz w:val="24"/>
          <w:szCs w:val="24"/>
        </w:rPr>
        <w:t xml:space="preserve">sus afinidades con los lenguajes neoliberales y de derecha, tanto a nivel nacional –recuperando varios tópicos que fueron hegemónicos en la gestión de </w:t>
      </w:r>
      <w:r w:rsidR="002D0E6B" w:rsidRPr="003D2713">
        <w:rPr>
          <w:rFonts w:ascii="Times New Roman" w:hAnsi="Times New Roman"/>
          <w:i/>
          <w:sz w:val="24"/>
          <w:szCs w:val="24"/>
        </w:rPr>
        <w:t>Cambiemos</w:t>
      </w:r>
      <w:r w:rsidR="002D0E6B" w:rsidRPr="003D2713">
        <w:rPr>
          <w:rFonts w:ascii="Times New Roman" w:hAnsi="Times New Roman"/>
          <w:sz w:val="24"/>
          <w:szCs w:val="24"/>
        </w:rPr>
        <w:t xml:space="preserve">- como en la escena internacional, en la que varios dirigentes (como </w:t>
      </w:r>
      <w:proofErr w:type="spellStart"/>
      <w:r w:rsidR="002D0E6B" w:rsidRPr="003D2713">
        <w:rPr>
          <w:rFonts w:ascii="Times New Roman" w:hAnsi="Times New Roman"/>
          <w:sz w:val="24"/>
          <w:szCs w:val="24"/>
        </w:rPr>
        <w:t>Trump</w:t>
      </w:r>
      <w:proofErr w:type="spellEnd"/>
      <w:r w:rsidR="002D0E6B" w:rsidRPr="003D2713">
        <w:rPr>
          <w:rFonts w:ascii="Times New Roman" w:hAnsi="Times New Roman"/>
          <w:sz w:val="24"/>
          <w:szCs w:val="24"/>
        </w:rPr>
        <w:t xml:space="preserve">, Johnson, </w:t>
      </w:r>
      <w:proofErr w:type="spellStart"/>
      <w:r w:rsidR="002D0E6B" w:rsidRPr="003D2713">
        <w:rPr>
          <w:rFonts w:ascii="Times New Roman" w:hAnsi="Times New Roman"/>
          <w:sz w:val="24"/>
          <w:szCs w:val="24"/>
        </w:rPr>
        <w:t>Bolsonaro</w:t>
      </w:r>
      <w:proofErr w:type="spellEnd"/>
      <w:r w:rsidR="002D0E6B" w:rsidRPr="003D2713">
        <w:rPr>
          <w:rFonts w:ascii="Times New Roman" w:hAnsi="Times New Roman"/>
          <w:sz w:val="24"/>
          <w:szCs w:val="24"/>
        </w:rPr>
        <w:t xml:space="preserve">) </w:t>
      </w:r>
      <w:r w:rsidR="00FB10E3">
        <w:rPr>
          <w:rFonts w:ascii="Times New Roman" w:hAnsi="Times New Roman"/>
          <w:sz w:val="24"/>
          <w:szCs w:val="24"/>
        </w:rPr>
        <w:t xml:space="preserve">propusieron </w:t>
      </w:r>
      <w:r w:rsidR="002D0E6B" w:rsidRPr="003D2713">
        <w:rPr>
          <w:rFonts w:ascii="Times New Roman" w:hAnsi="Times New Roman"/>
          <w:sz w:val="24"/>
          <w:szCs w:val="24"/>
        </w:rPr>
        <w:t xml:space="preserve">otras políticas sanitarias frente al COVID. </w:t>
      </w:r>
      <w:r w:rsidR="00966487" w:rsidRPr="003D2713">
        <w:rPr>
          <w:rFonts w:ascii="Times New Roman" w:hAnsi="Times New Roman"/>
          <w:sz w:val="24"/>
          <w:szCs w:val="24"/>
        </w:rPr>
        <w:t xml:space="preserve">Entre  </w:t>
      </w:r>
      <w:r w:rsidR="008113AA">
        <w:rPr>
          <w:rFonts w:ascii="Times New Roman" w:hAnsi="Times New Roman"/>
          <w:sz w:val="24"/>
          <w:szCs w:val="24"/>
        </w:rPr>
        <w:t xml:space="preserve">estas tópicas que representan “continuidades”, </w:t>
      </w:r>
      <w:r w:rsidR="00966487" w:rsidRPr="003D2713">
        <w:rPr>
          <w:rFonts w:ascii="Times New Roman" w:hAnsi="Times New Roman"/>
          <w:sz w:val="24"/>
          <w:szCs w:val="24"/>
        </w:rPr>
        <w:t xml:space="preserve"> podemos referir a l</w:t>
      </w:r>
      <w:r w:rsidR="005279B6" w:rsidRPr="003D2713">
        <w:rPr>
          <w:rFonts w:ascii="Times New Roman" w:hAnsi="Times New Roman"/>
          <w:sz w:val="24"/>
          <w:szCs w:val="24"/>
        </w:rPr>
        <w:t xml:space="preserve">as oposiciones </w:t>
      </w:r>
      <w:r w:rsidR="005E5C1F" w:rsidRPr="003D2713">
        <w:rPr>
          <w:rFonts w:ascii="Times New Roman" w:hAnsi="Times New Roman"/>
          <w:sz w:val="24"/>
          <w:szCs w:val="24"/>
        </w:rPr>
        <w:t>“</w:t>
      </w:r>
      <w:r w:rsidR="005279B6" w:rsidRPr="003D2713">
        <w:rPr>
          <w:rFonts w:ascii="Times New Roman" w:hAnsi="Times New Roman"/>
          <w:sz w:val="24"/>
          <w:szCs w:val="24"/>
        </w:rPr>
        <w:t>economía/vida</w:t>
      </w:r>
      <w:r w:rsidR="005E5C1F" w:rsidRPr="003D2713">
        <w:rPr>
          <w:rFonts w:ascii="Times New Roman" w:hAnsi="Times New Roman"/>
          <w:sz w:val="24"/>
          <w:szCs w:val="24"/>
        </w:rPr>
        <w:t>”</w:t>
      </w:r>
      <w:r w:rsidR="005279B6" w:rsidRPr="003D2713">
        <w:rPr>
          <w:rFonts w:ascii="Times New Roman" w:hAnsi="Times New Roman"/>
          <w:sz w:val="24"/>
          <w:szCs w:val="24"/>
        </w:rPr>
        <w:t xml:space="preserve"> a favor del sostenimiento de la actividad </w:t>
      </w:r>
      <w:r w:rsidR="008113AA">
        <w:rPr>
          <w:rFonts w:ascii="Times New Roman" w:hAnsi="Times New Roman"/>
          <w:sz w:val="24"/>
          <w:szCs w:val="24"/>
        </w:rPr>
        <w:t xml:space="preserve">productiva </w:t>
      </w:r>
      <w:r w:rsidR="005279B6" w:rsidRPr="003D2713">
        <w:rPr>
          <w:rFonts w:ascii="Times New Roman" w:hAnsi="Times New Roman"/>
          <w:sz w:val="24"/>
          <w:szCs w:val="24"/>
        </w:rPr>
        <w:t>aceptando como una posibilidad la proliferación del virus</w:t>
      </w:r>
      <w:r w:rsidR="00966487" w:rsidRPr="003D2713">
        <w:rPr>
          <w:rFonts w:ascii="Times New Roman" w:hAnsi="Times New Roman"/>
          <w:sz w:val="24"/>
          <w:szCs w:val="24"/>
        </w:rPr>
        <w:t xml:space="preserve"> (entendiendo que es propio del neoliberalismo la concepción del mundo en tanto empresa</w:t>
      </w:r>
      <w:r w:rsidR="008113AA">
        <w:rPr>
          <w:rFonts w:ascii="Times New Roman" w:hAnsi="Times New Roman"/>
          <w:sz w:val="24"/>
          <w:szCs w:val="24"/>
        </w:rPr>
        <w:t xml:space="preserve"> y que es impensable la suspensión del comercio</w:t>
      </w:r>
      <w:r w:rsidR="00966487" w:rsidRPr="003D2713">
        <w:rPr>
          <w:rFonts w:ascii="Times New Roman" w:hAnsi="Times New Roman"/>
          <w:sz w:val="24"/>
          <w:szCs w:val="24"/>
        </w:rPr>
        <w:t>)</w:t>
      </w:r>
      <w:r w:rsidR="005279B6" w:rsidRPr="003D2713">
        <w:rPr>
          <w:rFonts w:ascii="Times New Roman" w:hAnsi="Times New Roman"/>
          <w:sz w:val="24"/>
          <w:szCs w:val="24"/>
        </w:rPr>
        <w:t xml:space="preserve">; el diagnóstico de una intervención excesiva del Estado que es leída como una pérdida de derechos y de libertades; las retóricas </w:t>
      </w:r>
      <w:proofErr w:type="spellStart"/>
      <w:r w:rsidR="005279B6" w:rsidRPr="003D2713">
        <w:rPr>
          <w:rFonts w:ascii="Times New Roman" w:hAnsi="Times New Roman"/>
          <w:sz w:val="24"/>
          <w:szCs w:val="24"/>
        </w:rPr>
        <w:t>antipolíticas</w:t>
      </w:r>
      <w:proofErr w:type="spellEnd"/>
      <w:r w:rsidR="005279B6" w:rsidRPr="003D2713">
        <w:rPr>
          <w:rFonts w:ascii="Times New Roman" w:hAnsi="Times New Roman"/>
          <w:sz w:val="24"/>
          <w:szCs w:val="24"/>
        </w:rPr>
        <w:t xml:space="preserve"> que oponen los “políticos corruptos” a los “argentinos” que defienden la </w:t>
      </w:r>
      <w:r w:rsidR="005279B6" w:rsidRPr="003D2713">
        <w:rPr>
          <w:rFonts w:ascii="Times New Roman" w:hAnsi="Times New Roman"/>
          <w:i/>
          <w:sz w:val="24"/>
          <w:szCs w:val="24"/>
        </w:rPr>
        <w:t>Patria, la República, la Constitución</w:t>
      </w:r>
      <w:r w:rsidR="00966487" w:rsidRPr="003D2713">
        <w:rPr>
          <w:rFonts w:ascii="Times New Roman" w:hAnsi="Times New Roman"/>
          <w:sz w:val="24"/>
          <w:szCs w:val="24"/>
        </w:rPr>
        <w:t xml:space="preserve"> (disputando estas entidades </w:t>
      </w:r>
      <w:proofErr w:type="spellStart"/>
      <w:r w:rsidR="00966487" w:rsidRPr="003D2713">
        <w:rPr>
          <w:rFonts w:ascii="Times New Roman" w:hAnsi="Times New Roman"/>
          <w:sz w:val="24"/>
          <w:szCs w:val="24"/>
        </w:rPr>
        <w:t>metacolectivas</w:t>
      </w:r>
      <w:proofErr w:type="spellEnd"/>
      <w:r w:rsidR="00966487" w:rsidRPr="003D2713">
        <w:rPr>
          <w:rFonts w:ascii="Times New Roman" w:hAnsi="Times New Roman"/>
          <w:sz w:val="24"/>
          <w:szCs w:val="24"/>
        </w:rPr>
        <w:t xml:space="preserve"> con una cierta </w:t>
      </w:r>
      <w:proofErr w:type="spellStart"/>
      <w:r w:rsidR="00966487" w:rsidRPr="003D2713">
        <w:rPr>
          <w:rFonts w:ascii="Times New Roman" w:hAnsi="Times New Roman"/>
          <w:sz w:val="24"/>
          <w:szCs w:val="24"/>
        </w:rPr>
        <w:t>semantización</w:t>
      </w:r>
      <w:proofErr w:type="spellEnd"/>
      <w:r w:rsidR="00966487" w:rsidRPr="003D2713">
        <w:rPr>
          <w:rFonts w:ascii="Times New Roman" w:hAnsi="Times New Roman"/>
          <w:sz w:val="24"/>
          <w:szCs w:val="24"/>
        </w:rPr>
        <w:t xml:space="preserve"> conservadora)</w:t>
      </w:r>
      <w:r w:rsidR="005E5C1F" w:rsidRPr="003D2713">
        <w:rPr>
          <w:rFonts w:ascii="Times New Roman" w:hAnsi="Times New Roman"/>
          <w:sz w:val="24"/>
          <w:szCs w:val="24"/>
        </w:rPr>
        <w:t xml:space="preserve"> y que van enlazando con la crítica a otros proyectos del gobierno nacional (reapropiación de </w:t>
      </w:r>
      <w:proofErr w:type="spellStart"/>
      <w:r w:rsidR="005E5C1F" w:rsidRPr="003D2713">
        <w:rPr>
          <w:rFonts w:ascii="Times New Roman" w:hAnsi="Times New Roman"/>
          <w:sz w:val="24"/>
          <w:szCs w:val="24"/>
        </w:rPr>
        <w:t>Vicentín</w:t>
      </w:r>
      <w:proofErr w:type="spellEnd"/>
      <w:r w:rsidR="005E5C1F" w:rsidRPr="003D2713">
        <w:rPr>
          <w:rFonts w:ascii="Times New Roman" w:hAnsi="Times New Roman"/>
          <w:sz w:val="24"/>
          <w:szCs w:val="24"/>
        </w:rPr>
        <w:t xml:space="preserve">, la llamada “reforma judicial”) </w:t>
      </w:r>
      <w:r w:rsidR="005279B6" w:rsidRPr="003D2713">
        <w:rPr>
          <w:rFonts w:ascii="Times New Roman" w:hAnsi="Times New Roman"/>
          <w:sz w:val="24"/>
          <w:szCs w:val="24"/>
        </w:rPr>
        <w:t xml:space="preserve">; la construcción de amenazas inesperadas a partir de actos de habla de delación y amenaza (como la persecución a los enfermos de COVID o al personal sanitario); nuevas formas de gestión del “individualismo” político a través del el mandato ético del emprendimiento, la auto-salvación y la (auto) </w:t>
      </w:r>
      <w:proofErr w:type="spellStart"/>
      <w:r w:rsidR="005279B6" w:rsidRPr="003D2713">
        <w:rPr>
          <w:rFonts w:ascii="Times New Roman" w:hAnsi="Times New Roman"/>
          <w:sz w:val="24"/>
          <w:szCs w:val="24"/>
        </w:rPr>
        <w:t>culpabilización</w:t>
      </w:r>
      <w:proofErr w:type="spellEnd"/>
      <w:r w:rsidR="005279B6" w:rsidRPr="003D2713">
        <w:rPr>
          <w:rFonts w:ascii="Times New Roman" w:hAnsi="Times New Roman"/>
          <w:sz w:val="24"/>
          <w:szCs w:val="24"/>
        </w:rPr>
        <w:t xml:space="preserve"> (Butler, 2002)</w:t>
      </w:r>
      <w:r w:rsidR="008113AA">
        <w:rPr>
          <w:rFonts w:ascii="Times New Roman" w:hAnsi="Times New Roman"/>
          <w:sz w:val="24"/>
          <w:szCs w:val="24"/>
        </w:rPr>
        <w:t xml:space="preserve">. En conjunto, discursos que sostienen </w:t>
      </w:r>
      <w:r w:rsidR="005279B6" w:rsidRPr="003D2713">
        <w:rPr>
          <w:rFonts w:ascii="Times New Roman" w:hAnsi="Times New Roman"/>
          <w:sz w:val="24"/>
          <w:szCs w:val="24"/>
        </w:rPr>
        <w:t xml:space="preserve">la intensificación de la precarización (Butler y </w:t>
      </w:r>
      <w:proofErr w:type="spellStart"/>
      <w:r w:rsidR="005279B6" w:rsidRPr="003D2713">
        <w:rPr>
          <w:rFonts w:ascii="Times New Roman" w:hAnsi="Times New Roman"/>
          <w:sz w:val="24"/>
          <w:szCs w:val="24"/>
        </w:rPr>
        <w:t>Athanasiou</w:t>
      </w:r>
      <w:proofErr w:type="spellEnd"/>
      <w:r w:rsidR="005279B6" w:rsidRPr="003D2713">
        <w:rPr>
          <w:rFonts w:ascii="Times New Roman" w:hAnsi="Times New Roman"/>
          <w:sz w:val="24"/>
          <w:szCs w:val="24"/>
        </w:rPr>
        <w:t>, 2017)</w:t>
      </w:r>
      <w:r w:rsidR="008113AA">
        <w:rPr>
          <w:rFonts w:ascii="Times New Roman" w:hAnsi="Times New Roman"/>
          <w:sz w:val="24"/>
          <w:szCs w:val="24"/>
        </w:rPr>
        <w:t xml:space="preserve"> y</w:t>
      </w:r>
      <w:r w:rsidR="005279B6" w:rsidRPr="003D2713">
        <w:rPr>
          <w:rFonts w:ascii="Times New Roman" w:hAnsi="Times New Roman"/>
          <w:sz w:val="24"/>
          <w:szCs w:val="24"/>
        </w:rPr>
        <w:t xml:space="preserve"> el manejo de un </w:t>
      </w:r>
      <w:r w:rsidR="005279B6" w:rsidRPr="003D2713">
        <w:rPr>
          <w:rFonts w:ascii="Times New Roman" w:hAnsi="Times New Roman"/>
          <w:sz w:val="24"/>
          <w:szCs w:val="24"/>
        </w:rPr>
        <w:lastRenderedPageBreak/>
        <w:t>umbral de riesgo intenso (</w:t>
      </w:r>
      <w:proofErr w:type="spellStart"/>
      <w:r w:rsidR="005279B6" w:rsidRPr="003D2713">
        <w:rPr>
          <w:rFonts w:ascii="Times New Roman" w:hAnsi="Times New Roman"/>
          <w:sz w:val="24"/>
          <w:szCs w:val="24"/>
        </w:rPr>
        <w:t>Lorey</w:t>
      </w:r>
      <w:proofErr w:type="spellEnd"/>
      <w:r w:rsidR="005279B6" w:rsidRPr="003D2713">
        <w:rPr>
          <w:rFonts w:ascii="Times New Roman" w:hAnsi="Times New Roman"/>
          <w:sz w:val="24"/>
          <w:szCs w:val="24"/>
        </w:rPr>
        <w:t>, 2016).</w:t>
      </w:r>
      <w:r w:rsidR="000143DF" w:rsidRPr="003D2713">
        <w:rPr>
          <w:rFonts w:ascii="Times New Roman" w:hAnsi="Times New Roman"/>
          <w:sz w:val="24"/>
          <w:szCs w:val="24"/>
        </w:rPr>
        <w:t xml:space="preserve"> </w:t>
      </w:r>
      <w:r w:rsidR="008113AA">
        <w:rPr>
          <w:rFonts w:ascii="Times New Roman" w:hAnsi="Times New Roman"/>
          <w:sz w:val="24"/>
          <w:szCs w:val="24"/>
        </w:rPr>
        <w:t xml:space="preserve">Después de un discurso de los cuidados, se configuró una refutación a esta </w:t>
      </w:r>
      <w:proofErr w:type="spellStart"/>
      <w:r w:rsidR="008113AA">
        <w:rPr>
          <w:rFonts w:ascii="Times New Roman" w:hAnsi="Times New Roman"/>
          <w:sz w:val="24"/>
          <w:szCs w:val="24"/>
        </w:rPr>
        <w:t>doxa</w:t>
      </w:r>
      <w:proofErr w:type="spellEnd"/>
      <w:r w:rsidR="008113AA">
        <w:rPr>
          <w:rFonts w:ascii="Times New Roman" w:hAnsi="Times New Roman"/>
          <w:sz w:val="24"/>
          <w:szCs w:val="24"/>
        </w:rPr>
        <w:t xml:space="preserve">. </w:t>
      </w:r>
      <w:r w:rsidR="000143DF" w:rsidRPr="003D2713">
        <w:rPr>
          <w:rFonts w:ascii="Times New Roman" w:hAnsi="Times New Roman"/>
          <w:sz w:val="24"/>
          <w:szCs w:val="24"/>
        </w:rPr>
        <w:t xml:space="preserve">El 5 de marzo, en Guatemala, </w:t>
      </w:r>
      <w:proofErr w:type="spellStart"/>
      <w:r w:rsidR="000143DF" w:rsidRPr="003D2713">
        <w:rPr>
          <w:rFonts w:ascii="Times New Roman" w:hAnsi="Times New Roman"/>
          <w:sz w:val="24"/>
          <w:szCs w:val="24"/>
        </w:rPr>
        <w:t>Macri</w:t>
      </w:r>
      <w:proofErr w:type="spellEnd"/>
      <w:r w:rsidR="000143DF" w:rsidRPr="003D2713">
        <w:rPr>
          <w:rFonts w:ascii="Times New Roman" w:hAnsi="Times New Roman"/>
          <w:sz w:val="24"/>
          <w:szCs w:val="24"/>
        </w:rPr>
        <w:t xml:space="preserve"> había hecho una analogía significativa entre el “populismo” y el virus: “Para mí, algo mucho más peligroso que el coronavirus es el populismo” (Página 12, 5 de marzo). </w:t>
      </w:r>
      <w:r w:rsidR="00561BEB">
        <w:rPr>
          <w:rFonts w:ascii="Times New Roman" w:hAnsi="Times New Roman"/>
          <w:sz w:val="24"/>
          <w:szCs w:val="24"/>
        </w:rPr>
        <w:t xml:space="preserve">Esta frase postula unos </w:t>
      </w:r>
      <w:proofErr w:type="spellStart"/>
      <w:r w:rsidR="000143DF" w:rsidRPr="003D2713">
        <w:rPr>
          <w:rFonts w:ascii="Times New Roman" w:hAnsi="Times New Roman"/>
          <w:sz w:val="24"/>
          <w:szCs w:val="24"/>
        </w:rPr>
        <w:t>ideologemas</w:t>
      </w:r>
      <w:proofErr w:type="spellEnd"/>
      <w:r w:rsidR="000143DF" w:rsidRPr="003D2713">
        <w:rPr>
          <w:rFonts w:ascii="Times New Roman" w:hAnsi="Times New Roman"/>
          <w:sz w:val="24"/>
          <w:szCs w:val="24"/>
        </w:rPr>
        <w:t xml:space="preserve"> que luego adquirirán peso y circulación en la configuración del </w:t>
      </w:r>
      <w:r w:rsidR="000143DF" w:rsidRPr="003D2713">
        <w:rPr>
          <w:rFonts w:ascii="Times New Roman" w:hAnsi="Times New Roman"/>
          <w:i/>
          <w:sz w:val="24"/>
          <w:szCs w:val="24"/>
        </w:rPr>
        <w:t>nosotros</w:t>
      </w:r>
      <w:r w:rsidR="000143DF" w:rsidRPr="003D2713">
        <w:rPr>
          <w:rFonts w:ascii="Times New Roman" w:hAnsi="Times New Roman"/>
          <w:sz w:val="24"/>
          <w:szCs w:val="24"/>
        </w:rPr>
        <w:t xml:space="preserve"> vs. </w:t>
      </w:r>
      <w:proofErr w:type="gramStart"/>
      <w:r w:rsidR="000143DF" w:rsidRPr="003D2713">
        <w:rPr>
          <w:rFonts w:ascii="Times New Roman" w:hAnsi="Times New Roman"/>
          <w:i/>
          <w:sz w:val="24"/>
          <w:szCs w:val="24"/>
        </w:rPr>
        <w:t>ellos</w:t>
      </w:r>
      <w:proofErr w:type="gramEnd"/>
      <w:r w:rsidR="000143DF" w:rsidRPr="003D2713">
        <w:rPr>
          <w:rFonts w:ascii="Times New Roman" w:hAnsi="Times New Roman"/>
          <w:sz w:val="24"/>
          <w:szCs w:val="24"/>
        </w:rPr>
        <w:t xml:space="preserve">: “Ellos necesitan gobernar sin contrapesos para poder imponer todas las arbitrariedades que niegan los avances del mundo y de la tecnología”. Otra declaración </w:t>
      </w:r>
      <w:r w:rsidR="005E5C1F" w:rsidRPr="003D2713">
        <w:rPr>
          <w:rFonts w:ascii="Times New Roman" w:hAnsi="Times New Roman"/>
          <w:sz w:val="24"/>
          <w:szCs w:val="24"/>
        </w:rPr>
        <w:t>contra el ai</w:t>
      </w:r>
      <w:r w:rsidR="00561BEB">
        <w:rPr>
          <w:rFonts w:ascii="Times New Roman" w:hAnsi="Times New Roman"/>
          <w:sz w:val="24"/>
          <w:szCs w:val="24"/>
        </w:rPr>
        <w:t>s</w:t>
      </w:r>
      <w:r w:rsidR="005E5C1F" w:rsidRPr="003D2713">
        <w:rPr>
          <w:rFonts w:ascii="Times New Roman" w:hAnsi="Times New Roman"/>
          <w:sz w:val="24"/>
          <w:szCs w:val="24"/>
        </w:rPr>
        <w:t>lamiento que circuló por medios y redes</w:t>
      </w:r>
      <w:r w:rsidR="000143DF" w:rsidRPr="003D2713">
        <w:rPr>
          <w:rFonts w:ascii="Times New Roman" w:hAnsi="Times New Roman"/>
          <w:sz w:val="24"/>
          <w:szCs w:val="24"/>
        </w:rPr>
        <w:t xml:space="preserve"> </w:t>
      </w:r>
      <w:r w:rsidR="005E5C1F" w:rsidRPr="003D2713">
        <w:rPr>
          <w:rFonts w:ascii="Times New Roman" w:hAnsi="Times New Roman"/>
          <w:sz w:val="24"/>
          <w:szCs w:val="24"/>
        </w:rPr>
        <w:t xml:space="preserve">fue la de </w:t>
      </w:r>
      <w:proofErr w:type="spellStart"/>
      <w:r w:rsidR="000143DF" w:rsidRPr="003D2713">
        <w:rPr>
          <w:rFonts w:ascii="Times New Roman" w:hAnsi="Times New Roman"/>
          <w:sz w:val="24"/>
          <w:szCs w:val="24"/>
        </w:rPr>
        <w:t>Pichetto</w:t>
      </w:r>
      <w:proofErr w:type="spellEnd"/>
      <w:r w:rsidR="000143DF" w:rsidRPr="003D2713">
        <w:rPr>
          <w:rFonts w:ascii="Times New Roman" w:hAnsi="Times New Roman"/>
          <w:sz w:val="24"/>
          <w:szCs w:val="24"/>
        </w:rPr>
        <w:t>, quien en un programa televisivo af</w:t>
      </w:r>
      <w:r w:rsidR="00966487" w:rsidRPr="003D2713">
        <w:rPr>
          <w:rFonts w:ascii="Times New Roman" w:hAnsi="Times New Roman"/>
          <w:sz w:val="24"/>
          <w:szCs w:val="24"/>
        </w:rPr>
        <w:t>í</w:t>
      </w:r>
      <w:r w:rsidR="000143DF" w:rsidRPr="003D2713">
        <w:rPr>
          <w:rFonts w:ascii="Times New Roman" w:hAnsi="Times New Roman"/>
          <w:sz w:val="24"/>
          <w:szCs w:val="24"/>
        </w:rPr>
        <w:t xml:space="preserve">n a </w:t>
      </w:r>
      <w:r w:rsidR="000143DF" w:rsidRPr="003D2713">
        <w:rPr>
          <w:rFonts w:ascii="Times New Roman" w:hAnsi="Times New Roman"/>
          <w:i/>
          <w:sz w:val="24"/>
          <w:szCs w:val="24"/>
        </w:rPr>
        <w:t xml:space="preserve">Cambiemos </w:t>
      </w:r>
      <w:r w:rsidR="000143DF" w:rsidRPr="003D2713">
        <w:rPr>
          <w:rFonts w:ascii="Times New Roman" w:hAnsi="Times New Roman"/>
          <w:sz w:val="24"/>
          <w:szCs w:val="24"/>
        </w:rPr>
        <w:t>(La Cornisa) criticó al gobierno y alentó un discurso del “riesgo”, iniciando además la lectura de que la cuarentena se extiende innecesariamente, en función de objetivos que el gobierno no confiesa: “</w:t>
      </w:r>
      <w:r w:rsidR="000143DF" w:rsidRPr="003D2713">
        <w:rPr>
          <w:rFonts w:ascii="Times New Roman" w:hAnsi="Times New Roman"/>
          <w:color w:val="282828"/>
          <w:sz w:val="24"/>
          <w:szCs w:val="24"/>
          <w:shd w:val="clear" w:color="auto" w:fill="FFFFFF"/>
        </w:rPr>
        <w:t>Siempre te corren el arco, ahora el pico va a ser en junio, julio, otros dicen que va a ser todo el invierno, también dicen que los mayores de 70 años se tienen que quedar para siempre en la casa, yo paso, vivir implica también un riesgo, salir todos los días a la calle, la vida en sociedad”. Luego, retomó la dicotomía economía-vida, argumentando a favor de la continuidad de la actividad comercial</w:t>
      </w:r>
      <w:r w:rsidR="000143DF" w:rsidRPr="003D2713">
        <w:rPr>
          <w:rFonts w:ascii="Times New Roman" w:hAnsi="Times New Roman"/>
          <w:color w:val="282828"/>
          <w:sz w:val="24"/>
          <w:szCs w:val="24"/>
        </w:rPr>
        <w:t>: “Los efectos de la cuarentena en la economía son letales. Los políticos van a ser juzgados y evaluados por lo que hagan en este momento de crisis, lo que se destruye ahora es muy difícil recuperarlo después, cuando provocas el cierre de una empresa y hay pérdida de empleo es muy difícil después la recuperación”.</w:t>
      </w:r>
      <w:r w:rsidR="009478CA" w:rsidRPr="003D2713">
        <w:rPr>
          <w:rFonts w:ascii="Times New Roman" w:hAnsi="Times New Roman"/>
          <w:color w:val="282828"/>
          <w:sz w:val="24"/>
          <w:szCs w:val="24"/>
        </w:rPr>
        <w:t xml:space="preserve"> </w:t>
      </w:r>
      <w:r w:rsidR="00966487" w:rsidRPr="003D2713">
        <w:rPr>
          <w:rFonts w:ascii="Times New Roman" w:hAnsi="Times New Roman"/>
          <w:color w:val="282828"/>
          <w:sz w:val="24"/>
          <w:szCs w:val="24"/>
        </w:rPr>
        <w:t xml:space="preserve">Esta temprana declaración comenzó a tensar los límites de lo decible, cuando parecía que los únicos enunciados legítimos eran los vinculados al apoyo a la “cuarentena”, y –en línea con la de </w:t>
      </w:r>
      <w:proofErr w:type="spellStart"/>
      <w:r w:rsidR="00966487" w:rsidRPr="003D2713">
        <w:rPr>
          <w:rFonts w:ascii="Times New Roman" w:hAnsi="Times New Roman"/>
          <w:color w:val="282828"/>
          <w:sz w:val="24"/>
          <w:szCs w:val="24"/>
        </w:rPr>
        <w:t>Macri</w:t>
      </w:r>
      <w:proofErr w:type="spellEnd"/>
      <w:r w:rsidR="00966487" w:rsidRPr="003D2713">
        <w:rPr>
          <w:rFonts w:ascii="Times New Roman" w:hAnsi="Times New Roman"/>
          <w:color w:val="282828"/>
          <w:sz w:val="24"/>
          <w:szCs w:val="24"/>
        </w:rPr>
        <w:t xml:space="preserve">- </w:t>
      </w:r>
      <w:r w:rsidR="00561BEB">
        <w:rPr>
          <w:rFonts w:ascii="Times New Roman" w:hAnsi="Times New Roman"/>
          <w:color w:val="282828"/>
          <w:sz w:val="24"/>
          <w:szCs w:val="24"/>
        </w:rPr>
        <w:t xml:space="preserve">comenzó a consolidar </w:t>
      </w:r>
      <w:r w:rsidR="00966487" w:rsidRPr="003D2713">
        <w:rPr>
          <w:rFonts w:ascii="Times New Roman" w:hAnsi="Times New Roman"/>
          <w:color w:val="282828"/>
          <w:sz w:val="24"/>
          <w:szCs w:val="24"/>
        </w:rPr>
        <w:t xml:space="preserve">los principales componentes de la </w:t>
      </w:r>
      <w:proofErr w:type="spellStart"/>
      <w:r w:rsidR="00966487" w:rsidRPr="003D2713">
        <w:rPr>
          <w:rFonts w:ascii="Times New Roman" w:hAnsi="Times New Roman"/>
          <w:color w:val="282828"/>
          <w:sz w:val="24"/>
          <w:szCs w:val="24"/>
        </w:rPr>
        <w:t>doxa</w:t>
      </w:r>
      <w:proofErr w:type="spellEnd"/>
      <w:r w:rsidR="00966487" w:rsidRPr="003D2713">
        <w:rPr>
          <w:rFonts w:ascii="Times New Roman" w:hAnsi="Times New Roman"/>
          <w:color w:val="282828"/>
          <w:sz w:val="24"/>
          <w:szCs w:val="24"/>
        </w:rPr>
        <w:t xml:space="preserve"> de la oposición</w:t>
      </w:r>
      <w:r w:rsidR="00786182" w:rsidRPr="003D2713">
        <w:rPr>
          <w:rFonts w:ascii="Times New Roman" w:hAnsi="Times New Roman"/>
          <w:color w:val="282828"/>
          <w:sz w:val="24"/>
          <w:szCs w:val="24"/>
        </w:rPr>
        <w:t>, lo que a principios de abril era una operación semiótica inconce</w:t>
      </w:r>
      <w:r w:rsidR="00933D4A" w:rsidRPr="003D2713">
        <w:rPr>
          <w:rFonts w:ascii="Times New Roman" w:hAnsi="Times New Roman"/>
          <w:color w:val="282828"/>
          <w:sz w:val="24"/>
          <w:szCs w:val="24"/>
        </w:rPr>
        <w:t>b</w:t>
      </w:r>
      <w:r w:rsidR="00786182" w:rsidRPr="003D2713">
        <w:rPr>
          <w:rFonts w:ascii="Times New Roman" w:hAnsi="Times New Roman"/>
          <w:color w:val="282828"/>
          <w:sz w:val="24"/>
          <w:szCs w:val="24"/>
        </w:rPr>
        <w:t>ible</w:t>
      </w:r>
      <w:r w:rsidR="00966487" w:rsidRPr="003D2713">
        <w:rPr>
          <w:rFonts w:ascii="Times New Roman" w:hAnsi="Times New Roman"/>
          <w:color w:val="282828"/>
          <w:sz w:val="24"/>
          <w:szCs w:val="24"/>
        </w:rPr>
        <w:t>.</w:t>
      </w:r>
      <w:r w:rsidR="00786182" w:rsidRPr="003D2713">
        <w:rPr>
          <w:rFonts w:ascii="Times New Roman" w:hAnsi="Times New Roman"/>
          <w:color w:val="282828"/>
          <w:sz w:val="24"/>
          <w:szCs w:val="24"/>
        </w:rPr>
        <w:t xml:space="preserve"> </w:t>
      </w:r>
      <w:r w:rsidR="009478CA" w:rsidRPr="003D2713">
        <w:rPr>
          <w:rFonts w:ascii="Times New Roman" w:hAnsi="Times New Roman"/>
          <w:sz w:val="24"/>
          <w:szCs w:val="24"/>
        </w:rPr>
        <w:t>E</w:t>
      </w:r>
      <w:r w:rsidR="00396244" w:rsidRPr="003D2713">
        <w:rPr>
          <w:rFonts w:ascii="Times New Roman" w:hAnsi="Times New Roman"/>
          <w:sz w:val="24"/>
          <w:szCs w:val="24"/>
        </w:rPr>
        <w:t xml:space="preserve">n conjunto, si se relevan los enunciados de las marchas realizadas a partir del 30A (abril) nos encontramos con </w:t>
      </w:r>
      <w:r w:rsidR="00786182" w:rsidRPr="003D2713">
        <w:rPr>
          <w:rFonts w:ascii="Times New Roman" w:hAnsi="Times New Roman"/>
          <w:sz w:val="24"/>
          <w:szCs w:val="24"/>
        </w:rPr>
        <w:t xml:space="preserve">discursos que retoman estas tópicas y que presentan </w:t>
      </w:r>
      <w:r w:rsidR="00396244" w:rsidRPr="003D2713">
        <w:rPr>
          <w:rFonts w:ascii="Times New Roman" w:hAnsi="Times New Roman"/>
          <w:sz w:val="24"/>
          <w:szCs w:val="24"/>
        </w:rPr>
        <w:t xml:space="preserve">una estructura ideológica </w:t>
      </w:r>
      <w:proofErr w:type="spellStart"/>
      <w:r w:rsidR="00396244" w:rsidRPr="003D2713">
        <w:rPr>
          <w:rFonts w:ascii="Times New Roman" w:hAnsi="Times New Roman"/>
          <w:sz w:val="24"/>
          <w:szCs w:val="24"/>
        </w:rPr>
        <w:t>aporética</w:t>
      </w:r>
      <w:proofErr w:type="spellEnd"/>
      <w:r w:rsidR="00396244" w:rsidRPr="003D2713">
        <w:rPr>
          <w:rFonts w:ascii="Times New Roman" w:hAnsi="Times New Roman"/>
          <w:sz w:val="24"/>
          <w:szCs w:val="24"/>
        </w:rPr>
        <w:t>, horadada por heterogeneidades significativas y formulaciones que provienen de diferentes trayectorias y lugares de enunciación.</w:t>
      </w:r>
      <w:r w:rsidR="00786182" w:rsidRPr="003D2713">
        <w:rPr>
          <w:rFonts w:ascii="Times New Roman" w:hAnsi="Times New Roman"/>
          <w:sz w:val="24"/>
          <w:szCs w:val="24"/>
        </w:rPr>
        <w:t xml:space="preserve"> Así, una cierta lectura de lo real va configurándose desde </w:t>
      </w:r>
      <w:r w:rsidR="00561BEB">
        <w:rPr>
          <w:rFonts w:ascii="Times New Roman" w:hAnsi="Times New Roman"/>
          <w:sz w:val="24"/>
          <w:szCs w:val="24"/>
        </w:rPr>
        <w:t>estas posiciones políticas “conservadoras” (y que explícitamente reivindican a Videla, el patriarcado y la abolición de las medidas),</w:t>
      </w:r>
      <w:r w:rsidR="00786182" w:rsidRPr="003D2713">
        <w:rPr>
          <w:rFonts w:ascii="Times New Roman" w:hAnsi="Times New Roman"/>
          <w:sz w:val="24"/>
          <w:szCs w:val="24"/>
        </w:rPr>
        <w:t xml:space="preserve"> interpelando a sectores sociales que a menudo se definen a sí mismos como “a-políticos”. Esta gramática ideológica va generando matrices para numerosas </w:t>
      </w:r>
      <w:r w:rsidR="00561BEB">
        <w:rPr>
          <w:rFonts w:ascii="Times New Roman" w:hAnsi="Times New Roman"/>
          <w:sz w:val="24"/>
          <w:szCs w:val="24"/>
        </w:rPr>
        <w:t xml:space="preserve">vinculaciones </w:t>
      </w:r>
      <w:r w:rsidR="00933D4A" w:rsidRPr="003D2713">
        <w:rPr>
          <w:rFonts w:ascii="Times New Roman" w:hAnsi="Times New Roman"/>
          <w:sz w:val="24"/>
          <w:szCs w:val="24"/>
        </w:rPr>
        <w:t>que se construyen como equivalentes y encuentran su inscripción en estos discursos</w:t>
      </w:r>
      <w:r w:rsidR="00786182" w:rsidRPr="003D2713">
        <w:rPr>
          <w:rFonts w:ascii="Times New Roman" w:hAnsi="Times New Roman"/>
          <w:sz w:val="24"/>
          <w:szCs w:val="24"/>
        </w:rPr>
        <w:t xml:space="preserve">: la expropiación a </w:t>
      </w:r>
      <w:proofErr w:type="spellStart"/>
      <w:r w:rsidR="00786182" w:rsidRPr="003D2713">
        <w:rPr>
          <w:rFonts w:ascii="Times New Roman" w:hAnsi="Times New Roman"/>
          <w:sz w:val="24"/>
          <w:szCs w:val="24"/>
        </w:rPr>
        <w:t>Vicentin</w:t>
      </w:r>
      <w:proofErr w:type="spellEnd"/>
      <w:r w:rsidR="00786182" w:rsidRPr="003D2713">
        <w:rPr>
          <w:rFonts w:ascii="Times New Roman" w:hAnsi="Times New Roman"/>
          <w:sz w:val="24"/>
          <w:szCs w:val="24"/>
        </w:rPr>
        <w:t>, la llamada “reforma judicial”, el impuesto a la “riqueza”,</w:t>
      </w:r>
      <w:r w:rsidR="00933D4A" w:rsidRPr="003D2713">
        <w:rPr>
          <w:rFonts w:ascii="Times New Roman" w:hAnsi="Times New Roman"/>
          <w:sz w:val="24"/>
          <w:szCs w:val="24"/>
        </w:rPr>
        <w:t xml:space="preserve"> el “escrache a </w:t>
      </w:r>
      <w:proofErr w:type="spellStart"/>
      <w:r w:rsidR="00933D4A" w:rsidRPr="003D2713">
        <w:rPr>
          <w:rFonts w:ascii="Times New Roman" w:hAnsi="Times New Roman"/>
          <w:sz w:val="24"/>
          <w:szCs w:val="24"/>
        </w:rPr>
        <w:t>Lorenzetti</w:t>
      </w:r>
      <w:proofErr w:type="spellEnd"/>
      <w:r w:rsidR="00933D4A" w:rsidRPr="003D2713">
        <w:rPr>
          <w:rFonts w:ascii="Times New Roman" w:hAnsi="Times New Roman"/>
          <w:sz w:val="24"/>
          <w:szCs w:val="24"/>
        </w:rPr>
        <w:t xml:space="preserve">”, </w:t>
      </w:r>
      <w:r w:rsidR="00786182" w:rsidRPr="003D2713">
        <w:rPr>
          <w:rFonts w:ascii="Times New Roman" w:hAnsi="Times New Roman"/>
          <w:sz w:val="24"/>
          <w:szCs w:val="24"/>
        </w:rPr>
        <w:t xml:space="preserve">etc. En poco tiempo, frente a un acontecimiento que desbarató </w:t>
      </w:r>
      <w:r w:rsidR="00786182" w:rsidRPr="003D2713">
        <w:rPr>
          <w:rFonts w:ascii="Times New Roman" w:hAnsi="Times New Roman"/>
          <w:sz w:val="24"/>
          <w:szCs w:val="24"/>
        </w:rPr>
        <w:lastRenderedPageBreak/>
        <w:t xml:space="preserve">las </w:t>
      </w:r>
      <w:proofErr w:type="spellStart"/>
      <w:r w:rsidR="00786182" w:rsidRPr="003D2713">
        <w:rPr>
          <w:rFonts w:ascii="Times New Roman" w:hAnsi="Times New Roman"/>
          <w:sz w:val="24"/>
          <w:szCs w:val="24"/>
        </w:rPr>
        <w:t>discursividades</w:t>
      </w:r>
      <w:proofErr w:type="spellEnd"/>
      <w:r w:rsidR="00786182" w:rsidRPr="003D2713">
        <w:rPr>
          <w:rFonts w:ascii="Times New Roman" w:hAnsi="Times New Roman"/>
          <w:sz w:val="24"/>
          <w:szCs w:val="24"/>
        </w:rPr>
        <w:t xml:space="preserve"> previas, se reconfigura un clivaje que retoma la oposición peronismo-</w:t>
      </w:r>
      <w:proofErr w:type="spellStart"/>
      <w:r w:rsidR="00786182" w:rsidRPr="003D2713">
        <w:rPr>
          <w:rFonts w:ascii="Times New Roman" w:hAnsi="Times New Roman"/>
          <w:sz w:val="24"/>
          <w:szCs w:val="24"/>
        </w:rPr>
        <w:t>antiperonismo</w:t>
      </w:r>
      <w:proofErr w:type="spellEnd"/>
      <w:r w:rsidR="00786182" w:rsidRPr="003D2713">
        <w:rPr>
          <w:rFonts w:ascii="Times New Roman" w:hAnsi="Times New Roman"/>
          <w:sz w:val="24"/>
          <w:szCs w:val="24"/>
        </w:rPr>
        <w:t>.</w:t>
      </w:r>
    </w:p>
    <w:p w:rsidR="005279B6" w:rsidRPr="003D2713" w:rsidRDefault="00651A8E" w:rsidP="003D2713">
      <w:pPr>
        <w:tabs>
          <w:tab w:val="left" w:pos="4395"/>
        </w:tabs>
        <w:spacing w:after="0" w:line="360" w:lineRule="auto"/>
        <w:jc w:val="both"/>
        <w:rPr>
          <w:rFonts w:ascii="Times New Roman" w:hAnsi="Times New Roman"/>
          <w:sz w:val="24"/>
          <w:szCs w:val="24"/>
        </w:rPr>
      </w:pPr>
      <w:r w:rsidRPr="003D2713">
        <w:rPr>
          <w:rFonts w:ascii="Times New Roman" w:hAnsi="Times New Roman"/>
          <w:sz w:val="24"/>
          <w:szCs w:val="24"/>
        </w:rPr>
        <w:t xml:space="preserve">En segundo lugar, </w:t>
      </w:r>
      <w:r w:rsidR="00786182" w:rsidRPr="003D2713">
        <w:rPr>
          <w:rFonts w:ascii="Times New Roman" w:hAnsi="Times New Roman"/>
          <w:sz w:val="24"/>
          <w:szCs w:val="24"/>
        </w:rPr>
        <w:t xml:space="preserve">estos enunciados presentan algunos límites a la hora de </w:t>
      </w:r>
      <w:r w:rsidR="00E14E42" w:rsidRPr="003D2713">
        <w:rPr>
          <w:rFonts w:ascii="Times New Roman" w:hAnsi="Times New Roman"/>
          <w:sz w:val="24"/>
          <w:szCs w:val="24"/>
        </w:rPr>
        <w:t xml:space="preserve">disputar su </w:t>
      </w:r>
      <w:r w:rsidRPr="003D2713">
        <w:rPr>
          <w:rFonts w:ascii="Times New Roman" w:hAnsi="Times New Roman"/>
          <w:sz w:val="24"/>
          <w:szCs w:val="24"/>
        </w:rPr>
        <w:t>“veros</w:t>
      </w:r>
      <w:r w:rsidR="00E14E42" w:rsidRPr="003D2713">
        <w:rPr>
          <w:rFonts w:ascii="Times New Roman" w:hAnsi="Times New Roman"/>
          <w:sz w:val="24"/>
          <w:szCs w:val="24"/>
        </w:rPr>
        <w:t>imilitud</w:t>
      </w:r>
      <w:r w:rsidRPr="003D2713">
        <w:rPr>
          <w:rFonts w:ascii="Times New Roman" w:hAnsi="Times New Roman"/>
          <w:sz w:val="24"/>
          <w:szCs w:val="24"/>
        </w:rPr>
        <w:t xml:space="preserve">”, </w:t>
      </w:r>
      <w:r w:rsidR="00E14E42" w:rsidRPr="003D2713">
        <w:rPr>
          <w:rFonts w:ascii="Times New Roman" w:hAnsi="Times New Roman"/>
          <w:sz w:val="24"/>
          <w:szCs w:val="24"/>
        </w:rPr>
        <w:t xml:space="preserve">de </w:t>
      </w:r>
      <w:r w:rsidRPr="003D2713">
        <w:rPr>
          <w:rFonts w:ascii="Times New Roman" w:hAnsi="Times New Roman"/>
          <w:sz w:val="24"/>
          <w:szCs w:val="24"/>
        </w:rPr>
        <w:t xml:space="preserve">lograr aceptabilidad y eficacia social. Si bien su presencia es incesante (en el rumor social, en los medios, en las redes), </w:t>
      </w:r>
      <w:r w:rsidR="007B2F87" w:rsidRPr="003D2713">
        <w:rPr>
          <w:rFonts w:ascii="Times New Roman" w:hAnsi="Times New Roman"/>
          <w:sz w:val="24"/>
          <w:szCs w:val="24"/>
        </w:rPr>
        <w:t xml:space="preserve">quizás no han </w:t>
      </w:r>
      <w:r w:rsidRPr="003D2713">
        <w:rPr>
          <w:rFonts w:ascii="Times New Roman" w:hAnsi="Times New Roman"/>
          <w:sz w:val="24"/>
          <w:szCs w:val="24"/>
        </w:rPr>
        <w:t xml:space="preserve">logrado interpelaciones </w:t>
      </w:r>
      <w:r w:rsidR="007B2F87" w:rsidRPr="003D2713">
        <w:rPr>
          <w:rFonts w:ascii="Times New Roman" w:hAnsi="Times New Roman"/>
          <w:sz w:val="24"/>
          <w:szCs w:val="24"/>
        </w:rPr>
        <w:t xml:space="preserve">masivas, </w:t>
      </w:r>
      <w:r w:rsidRPr="003D2713">
        <w:rPr>
          <w:rFonts w:ascii="Times New Roman" w:hAnsi="Times New Roman"/>
          <w:sz w:val="24"/>
          <w:szCs w:val="24"/>
        </w:rPr>
        <w:t>y permanecen como lecturas restringidas a sectores que podríamos considerar minoritarios</w:t>
      </w:r>
      <w:r w:rsidR="00933D4A" w:rsidRPr="003D2713">
        <w:rPr>
          <w:rFonts w:ascii="Times New Roman" w:hAnsi="Times New Roman"/>
          <w:sz w:val="24"/>
          <w:szCs w:val="24"/>
        </w:rPr>
        <w:t>, centrífugos,  asimilados además en una “amalgama” cruzada por diferencias</w:t>
      </w:r>
      <w:r w:rsidRPr="003D2713">
        <w:rPr>
          <w:rFonts w:ascii="Times New Roman" w:hAnsi="Times New Roman"/>
          <w:sz w:val="24"/>
          <w:szCs w:val="24"/>
        </w:rPr>
        <w:t xml:space="preserve">. </w:t>
      </w:r>
      <w:r w:rsidR="00D51778" w:rsidRPr="003D2713">
        <w:rPr>
          <w:rFonts w:ascii="Times New Roman" w:hAnsi="Times New Roman"/>
          <w:sz w:val="24"/>
          <w:szCs w:val="24"/>
        </w:rPr>
        <w:t>Sin embargo, generaron descripciones e interpretaciones</w:t>
      </w:r>
      <w:r w:rsidR="00407521">
        <w:rPr>
          <w:rFonts w:ascii="Times New Roman" w:hAnsi="Times New Roman"/>
          <w:sz w:val="24"/>
          <w:szCs w:val="24"/>
        </w:rPr>
        <w:t xml:space="preserve"> que quedaron disponibles</w:t>
      </w:r>
      <w:r w:rsidR="00D51778" w:rsidRPr="003D2713">
        <w:rPr>
          <w:rFonts w:ascii="Times New Roman" w:hAnsi="Times New Roman"/>
          <w:sz w:val="24"/>
          <w:szCs w:val="24"/>
        </w:rPr>
        <w:t>, como la</w:t>
      </w:r>
      <w:r w:rsidR="00933D4A" w:rsidRPr="003D2713">
        <w:rPr>
          <w:rFonts w:ascii="Times New Roman" w:hAnsi="Times New Roman"/>
          <w:sz w:val="24"/>
          <w:szCs w:val="24"/>
        </w:rPr>
        <w:t xml:space="preserve"> demanda de una</w:t>
      </w:r>
      <w:r w:rsidR="00D51778" w:rsidRPr="003D2713">
        <w:rPr>
          <w:rFonts w:ascii="Times New Roman" w:hAnsi="Times New Roman"/>
          <w:sz w:val="24"/>
          <w:szCs w:val="24"/>
        </w:rPr>
        <w:t xml:space="preserve"> preeminencia de la economía sobre el aislamiento, numerosas metáforas que disparan sentidos peyorativos (desde “</w:t>
      </w:r>
      <w:proofErr w:type="spellStart"/>
      <w:r w:rsidR="00D51778" w:rsidRPr="003D2713">
        <w:rPr>
          <w:rFonts w:ascii="Times New Roman" w:hAnsi="Times New Roman"/>
          <w:sz w:val="24"/>
          <w:szCs w:val="24"/>
        </w:rPr>
        <w:t>infectadura</w:t>
      </w:r>
      <w:proofErr w:type="spellEnd"/>
      <w:r w:rsidR="00D51778" w:rsidRPr="003D2713">
        <w:rPr>
          <w:rFonts w:ascii="Times New Roman" w:hAnsi="Times New Roman"/>
          <w:sz w:val="24"/>
          <w:szCs w:val="24"/>
        </w:rPr>
        <w:t>” a “</w:t>
      </w:r>
      <w:proofErr w:type="spellStart"/>
      <w:r w:rsidR="00D51778" w:rsidRPr="003D2713">
        <w:rPr>
          <w:rFonts w:ascii="Times New Roman" w:hAnsi="Times New Roman"/>
          <w:sz w:val="24"/>
          <w:szCs w:val="24"/>
        </w:rPr>
        <w:t>cuarenterna</w:t>
      </w:r>
      <w:proofErr w:type="spellEnd"/>
      <w:r w:rsidR="00D51778" w:rsidRPr="003D2713">
        <w:rPr>
          <w:rFonts w:ascii="Times New Roman" w:hAnsi="Times New Roman"/>
          <w:sz w:val="24"/>
          <w:szCs w:val="24"/>
        </w:rPr>
        <w:t>”), la proliferación en el discurso mediático de la llamada “teoría de</w:t>
      </w:r>
      <w:r w:rsidR="009478CA" w:rsidRPr="003D2713">
        <w:rPr>
          <w:rFonts w:ascii="Times New Roman" w:hAnsi="Times New Roman"/>
          <w:sz w:val="24"/>
          <w:szCs w:val="24"/>
        </w:rPr>
        <w:t xml:space="preserve"> </w:t>
      </w:r>
      <w:r w:rsidR="00D51778" w:rsidRPr="003D2713">
        <w:rPr>
          <w:rFonts w:ascii="Times New Roman" w:hAnsi="Times New Roman"/>
          <w:sz w:val="24"/>
          <w:szCs w:val="24"/>
        </w:rPr>
        <w:t>l</w:t>
      </w:r>
      <w:r w:rsidR="009478CA" w:rsidRPr="003D2713">
        <w:rPr>
          <w:rFonts w:ascii="Times New Roman" w:hAnsi="Times New Roman"/>
          <w:sz w:val="24"/>
          <w:szCs w:val="24"/>
        </w:rPr>
        <w:t>a inmunidad de</w:t>
      </w:r>
      <w:r w:rsidR="00D51778" w:rsidRPr="003D2713">
        <w:rPr>
          <w:rFonts w:ascii="Times New Roman" w:hAnsi="Times New Roman"/>
          <w:sz w:val="24"/>
          <w:szCs w:val="24"/>
        </w:rPr>
        <w:t xml:space="preserve"> rebaño” (ejemplarmente encarnada por </w:t>
      </w:r>
      <w:proofErr w:type="spellStart"/>
      <w:r w:rsidR="00D51778" w:rsidRPr="003D2713">
        <w:rPr>
          <w:rFonts w:ascii="Times New Roman" w:hAnsi="Times New Roman"/>
          <w:sz w:val="24"/>
          <w:szCs w:val="24"/>
        </w:rPr>
        <w:t>Pagni</w:t>
      </w:r>
      <w:proofErr w:type="spellEnd"/>
      <w:r w:rsidR="00D51778" w:rsidRPr="003D2713">
        <w:rPr>
          <w:rFonts w:ascii="Times New Roman" w:hAnsi="Times New Roman"/>
          <w:sz w:val="24"/>
          <w:szCs w:val="24"/>
        </w:rPr>
        <w:t xml:space="preserve"> en su editorial del 30 de junio)</w:t>
      </w:r>
      <w:r w:rsidR="005A5014" w:rsidRPr="003D2713">
        <w:rPr>
          <w:rFonts w:ascii="Times New Roman" w:hAnsi="Times New Roman"/>
          <w:sz w:val="24"/>
          <w:szCs w:val="24"/>
        </w:rPr>
        <w:t xml:space="preserve">, la noción de que el Estado impide el ejercicio de los derechos </w:t>
      </w:r>
      <w:r w:rsidR="00527F8E" w:rsidRPr="003D2713">
        <w:rPr>
          <w:rFonts w:ascii="Times New Roman" w:hAnsi="Times New Roman"/>
          <w:sz w:val="24"/>
          <w:szCs w:val="24"/>
        </w:rPr>
        <w:t xml:space="preserve">instaurando una “dictadura”.  </w:t>
      </w:r>
      <w:r w:rsidR="00C6509D">
        <w:rPr>
          <w:rFonts w:ascii="Times New Roman" w:hAnsi="Times New Roman"/>
          <w:sz w:val="24"/>
          <w:szCs w:val="24"/>
        </w:rPr>
        <w:t xml:space="preserve">Y aunque apelan con recurrencia a </w:t>
      </w:r>
      <w:r w:rsidR="00BE3CE6" w:rsidRPr="003D2713">
        <w:rPr>
          <w:rFonts w:ascii="Times New Roman" w:hAnsi="Times New Roman"/>
          <w:sz w:val="24"/>
          <w:szCs w:val="24"/>
        </w:rPr>
        <w:t xml:space="preserve">símbolos colectivos, como los colores </w:t>
      </w:r>
      <w:r w:rsidR="00FB06FD" w:rsidRPr="003D2713">
        <w:rPr>
          <w:rFonts w:ascii="Times New Roman" w:hAnsi="Times New Roman"/>
          <w:i/>
          <w:sz w:val="24"/>
          <w:szCs w:val="24"/>
        </w:rPr>
        <w:t>patrios</w:t>
      </w:r>
      <w:r w:rsidR="00BE3CE6" w:rsidRPr="003D2713">
        <w:rPr>
          <w:rFonts w:ascii="Times New Roman" w:hAnsi="Times New Roman"/>
          <w:sz w:val="24"/>
          <w:szCs w:val="24"/>
        </w:rPr>
        <w:t>, la bandera y el uso de las efemérides de la historia nacional (9 de julio, 17 de agosto)</w:t>
      </w:r>
      <w:r w:rsidR="00FB06FD" w:rsidRPr="003D2713">
        <w:rPr>
          <w:rFonts w:ascii="Times New Roman" w:hAnsi="Times New Roman"/>
          <w:sz w:val="24"/>
          <w:szCs w:val="24"/>
        </w:rPr>
        <w:t xml:space="preserve">, </w:t>
      </w:r>
      <w:r w:rsidR="00C6509D">
        <w:rPr>
          <w:rFonts w:ascii="Times New Roman" w:hAnsi="Times New Roman"/>
          <w:sz w:val="24"/>
          <w:szCs w:val="24"/>
        </w:rPr>
        <w:t xml:space="preserve">proponiendo una </w:t>
      </w:r>
      <w:r w:rsidR="00FB06FD" w:rsidRPr="003D2713">
        <w:rPr>
          <w:rFonts w:ascii="Times New Roman" w:hAnsi="Times New Roman"/>
          <w:sz w:val="24"/>
          <w:szCs w:val="24"/>
        </w:rPr>
        <w:t>destinación amplia (</w:t>
      </w:r>
      <w:r w:rsidR="00FB06FD" w:rsidRPr="003D2713">
        <w:rPr>
          <w:rFonts w:ascii="Times New Roman" w:hAnsi="Times New Roman"/>
          <w:i/>
          <w:sz w:val="24"/>
          <w:szCs w:val="24"/>
        </w:rPr>
        <w:t>a todos los argentinos</w:t>
      </w:r>
      <w:r w:rsidR="00FB06FD" w:rsidRPr="003D2713">
        <w:rPr>
          <w:rFonts w:ascii="Times New Roman" w:hAnsi="Times New Roman"/>
          <w:sz w:val="24"/>
          <w:szCs w:val="24"/>
        </w:rPr>
        <w:t xml:space="preserve">), sus efectos de reconocimiento parecen limitados.  </w:t>
      </w:r>
    </w:p>
    <w:p w:rsidR="00FB7249" w:rsidRPr="003D2713" w:rsidRDefault="00FB7249" w:rsidP="003D2713">
      <w:pPr>
        <w:spacing w:after="0" w:line="360" w:lineRule="auto"/>
        <w:jc w:val="both"/>
        <w:rPr>
          <w:rFonts w:ascii="Times New Roman" w:hAnsi="Times New Roman"/>
          <w:sz w:val="24"/>
          <w:szCs w:val="24"/>
        </w:rPr>
      </w:pPr>
      <w:r w:rsidRPr="003D2713">
        <w:rPr>
          <w:rFonts w:ascii="Times New Roman" w:hAnsi="Times New Roman"/>
          <w:sz w:val="24"/>
          <w:szCs w:val="24"/>
        </w:rPr>
        <w:t>Finalmente, más que una dimensión adversativa que podríamos considerar constitutiva de toda política, estos lenguajes están cargados de una intensa violencia, que constantemente reitera la estructura del “lenguaje del odio” (Butler, 1997). En las marchas callejeras, sin argumentaciones ni componentes descriptivos o programáticos, lo que se presenta de modo dominante son enunciados que configuran a la política, al peronismo y al gobierno como “lo abyecto”</w:t>
      </w:r>
      <w:r w:rsidR="003A5AB4" w:rsidRPr="003D2713">
        <w:rPr>
          <w:rFonts w:ascii="Times New Roman" w:hAnsi="Times New Roman"/>
          <w:sz w:val="24"/>
          <w:szCs w:val="24"/>
        </w:rPr>
        <w:t xml:space="preserve"> (en el sentido de </w:t>
      </w:r>
      <w:proofErr w:type="spellStart"/>
      <w:r w:rsidR="003A5AB4" w:rsidRPr="003D2713">
        <w:rPr>
          <w:rFonts w:ascii="Times New Roman" w:hAnsi="Times New Roman"/>
          <w:sz w:val="24"/>
          <w:szCs w:val="24"/>
        </w:rPr>
        <w:t>Kristeva</w:t>
      </w:r>
      <w:proofErr w:type="spellEnd"/>
      <w:r w:rsidR="003A5AB4" w:rsidRPr="003D2713">
        <w:rPr>
          <w:rFonts w:ascii="Times New Roman" w:hAnsi="Times New Roman"/>
          <w:sz w:val="24"/>
          <w:szCs w:val="24"/>
        </w:rPr>
        <w:t>)</w:t>
      </w:r>
      <w:r w:rsidRPr="003D2713">
        <w:rPr>
          <w:rFonts w:ascii="Times New Roman" w:hAnsi="Times New Roman"/>
          <w:sz w:val="24"/>
          <w:szCs w:val="24"/>
        </w:rPr>
        <w:t xml:space="preserve">, como una  alteridad a aniquilar. Actos de habla vinculados a la amenaza, </w:t>
      </w:r>
      <w:r w:rsidR="00BA3557" w:rsidRPr="003D2713">
        <w:rPr>
          <w:rFonts w:ascii="Times New Roman" w:hAnsi="Times New Roman"/>
          <w:sz w:val="24"/>
          <w:szCs w:val="24"/>
        </w:rPr>
        <w:t xml:space="preserve">la cita a </w:t>
      </w:r>
      <w:r w:rsidRPr="003D2713">
        <w:rPr>
          <w:rFonts w:ascii="Times New Roman" w:hAnsi="Times New Roman"/>
          <w:sz w:val="24"/>
          <w:szCs w:val="24"/>
        </w:rPr>
        <w:t>la muerte</w:t>
      </w:r>
      <w:r w:rsidR="00BA3557" w:rsidRPr="003D2713">
        <w:rPr>
          <w:rFonts w:ascii="Times New Roman" w:hAnsi="Times New Roman"/>
          <w:sz w:val="24"/>
          <w:szCs w:val="24"/>
        </w:rPr>
        <w:t xml:space="preserve"> (muerte al otro, muerte de sí mismo: </w:t>
      </w:r>
      <w:r w:rsidR="00BA3557" w:rsidRPr="003D2713">
        <w:rPr>
          <w:rFonts w:ascii="Times New Roman" w:hAnsi="Times New Roman"/>
          <w:i/>
          <w:sz w:val="24"/>
          <w:szCs w:val="24"/>
        </w:rPr>
        <w:t>Prefiero morirme antes que hacerle caso a Alberto</w:t>
      </w:r>
      <w:r w:rsidR="00BA3557" w:rsidRPr="003D2713">
        <w:rPr>
          <w:rFonts w:ascii="Times New Roman" w:hAnsi="Times New Roman"/>
          <w:sz w:val="24"/>
          <w:szCs w:val="24"/>
        </w:rPr>
        <w:t>)</w:t>
      </w:r>
      <w:r w:rsidRPr="003D2713">
        <w:rPr>
          <w:rFonts w:ascii="Times New Roman" w:hAnsi="Times New Roman"/>
          <w:sz w:val="24"/>
          <w:szCs w:val="24"/>
        </w:rPr>
        <w:t xml:space="preserve">, el desprecio por los cuidados, el escepticismo, etc., evidencian </w:t>
      </w:r>
      <w:r w:rsidR="00BA3557" w:rsidRPr="003D2713">
        <w:rPr>
          <w:rFonts w:ascii="Times New Roman" w:hAnsi="Times New Roman"/>
          <w:sz w:val="24"/>
          <w:szCs w:val="24"/>
        </w:rPr>
        <w:t>configuraciones denegatorias</w:t>
      </w:r>
      <w:r w:rsidRPr="003D2713">
        <w:rPr>
          <w:rFonts w:ascii="Times New Roman" w:hAnsi="Times New Roman"/>
          <w:sz w:val="24"/>
          <w:szCs w:val="24"/>
        </w:rPr>
        <w:t xml:space="preserve">. Este conjunto de </w:t>
      </w:r>
      <w:proofErr w:type="spellStart"/>
      <w:r w:rsidRPr="003D2713">
        <w:rPr>
          <w:rFonts w:ascii="Times New Roman" w:hAnsi="Times New Roman"/>
          <w:sz w:val="24"/>
          <w:szCs w:val="24"/>
        </w:rPr>
        <w:t>ideologemas</w:t>
      </w:r>
      <w:proofErr w:type="spellEnd"/>
      <w:r w:rsidRPr="003D2713">
        <w:rPr>
          <w:rFonts w:ascii="Times New Roman" w:hAnsi="Times New Roman"/>
          <w:sz w:val="24"/>
          <w:szCs w:val="24"/>
        </w:rPr>
        <w:t xml:space="preserve"> genera el espacio para la </w:t>
      </w:r>
      <w:r w:rsidR="003A5AB4" w:rsidRPr="003D2713">
        <w:rPr>
          <w:rFonts w:ascii="Times New Roman" w:hAnsi="Times New Roman"/>
          <w:sz w:val="24"/>
          <w:szCs w:val="24"/>
        </w:rPr>
        <w:t xml:space="preserve">proliferación </w:t>
      </w:r>
      <w:r w:rsidRPr="003D2713">
        <w:rPr>
          <w:rFonts w:ascii="Times New Roman" w:hAnsi="Times New Roman"/>
          <w:sz w:val="24"/>
          <w:szCs w:val="24"/>
        </w:rPr>
        <w:t>de otros discursos de derecha, no necesariamente integrados a la oposición política, como los discursos reivindicativos del patriarcado</w:t>
      </w:r>
      <w:r w:rsidR="0076266F">
        <w:rPr>
          <w:rFonts w:ascii="Times New Roman" w:hAnsi="Times New Roman"/>
          <w:sz w:val="24"/>
          <w:szCs w:val="24"/>
        </w:rPr>
        <w:t xml:space="preserve"> </w:t>
      </w:r>
      <w:r w:rsidR="0076266F" w:rsidRPr="003D2713">
        <w:rPr>
          <w:rFonts w:ascii="Times New Roman" w:hAnsi="Times New Roman"/>
          <w:sz w:val="24"/>
          <w:szCs w:val="24"/>
        </w:rPr>
        <w:t>(Unión del patriarcado, Córdoba, 17 agosto)</w:t>
      </w:r>
      <w:proofErr w:type="gramStart"/>
      <w:r w:rsidR="0076266F" w:rsidRPr="003D2713">
        <w:rPr>
          <w:rFonts w:ascii="Times New Roman" w:hAnsi="Times New Roman"/>
          <w:sz w:val="24"/>
          <w:szCs w:val="24"/>
        </w:rPr>
        <w:t>.</w:t>
      </w:r>
      <w:r w:rsidRPr="003D2713">
        <w:rPr>
          <w:rFonts w:ascii="Times New Roman" w:hAnsi="Times New Roman"/>
          <w:sz w:val="24"/>
          <w:szCs w:val="24"/>
        </w:rPr>
        <w:t>,</w:t>
      </w:r>
      <w:proofErr w:type="gramEnd"/>
      <w:r w:rsidRPr="003D2713">
        <w:rPr>
          <w:rFonts w:ascii="Times New Roman" w:hAnsi="Times New Roman"/>
          <w:sz w:val="24"/>
          <w:szCs w:val="24"/>
        </w:rPr>
        <w:t xml:space="preserve"> el elogio a Videla y a la dictadura del 76, </w:t>
      </w:r>
      <w:r w:rsidR="005B39F6" w:rsidRPr="003D2713">
        <w:rPr>
          <w:rFonts w:ascii="Times New Roman" w:hAnsi="Times New Roman"/>
          <w:sz w:val="24"/>
          <w:szCs w:val="24"/>
        </w:rPr>
        <w:t>el pedido de retorno de la religión (“Religión o muerte”, 9 de julio)</w:t>
      </w:r>
      <w:r w:rsidR="0076266F">
        <w:rPr>
          <w:rFonts w:ascii="Times New Roman" w:hAnsi="Times New Roman"/>
          <w:sz w:val="24"/>
          <w:szCs w:val="24"/>
        </w:rPr>
        <w:t xml:space="preserve">. </w:t>
      </w:r>
      <w:r w:rsidR="003A5AB4" w:rsidRPr="003D2713">
        <w:rPr>
          <w:rFonts w:ascii="Times New Roman" w:hAnsi="Times New Roman"/>
          <w:sz w:val="24"/>
          <w:szCs w:val="24"/>
        </w:rPr>
        <w:t xml:space="preserve">Las </w:t>
      </w:r>
      <w:proofErr w:type="spellStart"/>
      <w:r w:rsidR="003A5AB4" w:rsidRPr="003D2713">
        <w:rPr>
          <w:rFonts w:ascii="Times New Roman" w:hAnsi="Times New Roman"/>
          <w:sz w:val="24"/>
          <w:szCs w:val="24"/>
        </w:rPr>
        <w:t>proxémicas</w:t>
      </w:r>
      <w:proofErr w:type="spellEnd"/>
      <w:r w:rsidR="003A5AB4" w:rsidRPr="003D2713">
        <w:rPr>
          <w:rFonts w:ascii="Times New Roman" w:hAnsi="Times New Roman"/>
          <w:sz w:val="24"/>
          <w:szCs w:val="24"/>
        </w:rPr>
        <w:t xml:space="preserve"> y kinésicas en el espacio callejero muestran dificultades en la articulación</w:t>
      </w:r>
      <w:r w:rsidR="002477D7" w:rsidRPr="003D2713">
        <w:rPr>
          <w:rFonts w:ascii="Times New Roman" w:hAnsi="Times New Roman"/>
          <w:sz w:val="24"/>
          <w:szCs w:val="24"/>
        </w:rPr>
        <w:t xml:space="preserve"> argumentativa</w:t>
      </w:r>
      <w:r w:rsidR="003A5AB4" w:rsidRPr="003D2713">
        <w:rPr>
          <w:rFonts w:ascii="Times New Roman" w:hAnsi="Times New Roman"/>
          <w:sz w:val="24"/>
          <w:szCs w:val="24"/>
        </w:rPr>
        <w:t xml:space="preserve">, constantemente interrumpida por gestualidades extremas y </w:t>
      </w:r>
      <w:r w:rsidR="00286774" w:rsidRPr="003D2713">
        <w:rPr>
          <w:rFonts w:ascii="Times New Roman" w:hAnsi="Times New Roman"/>
          <w:sz w:val="24"/>
          <w:szCs w:val="24"/>
        </w:rPr>
        <w:t xml:space="preserve">gestos </w:t>
      </w:r>
      <w:r w:rsidR="002477D7" w:rsidRPr="003D2713">
        <w:rPr>
          <w:rFonts w:ascii="Times New Roman" w:hAnsi="Times New Roman"/>
          <w:sz w:val="24"/>
          <w:szCs w:val="24"/>
        </w:rPr>
        <w:t>de intensa pasión. El</w:t>
      </w:r>
      <w:r w:rsidR="003A5AB4" w:rsidRPr="003D2713">
        <w:rPr>
          <w:rFonts w:ascii="Times New Roman" w:hAnsi="Times New Roman"/>
          <w:sz w:val="24"/>
          <w:szCs w:val="24"/>
        </w:rPr>
        <w:t xml:space="preserve"> cuerpo </w:t>
      </w:r>
      <w:r w:rsidR="0076266F">
        <w:rPr>
          <w:rFonts w:ascii="Times New Roman" w:hAnsi="Times New Roman"/>
          <w:sz w:val="24"/>
          <w:szCs w:val="24"/>
        </w:rPr>
        <w:t xml:space="preserve">y los discursos </w:t>
      </w:r>
      <w:r w:rsidR="003A5AB4" w:rsidRPr="003D2713">
        <w:rPr>
          <w:rFonts w:ascii="Times New Roman" w:hAnsi="Times New Roman"/>
          <w:sz w:val="24"/>
          <w:szCs w:val="24"/>
        </w:rPr>
        <w:t>parece</w:t>
      </w:r>
      <w:r w:rsidR="0076266F">
        <w:rPr>
          <w:rFonts w:ascii="Times New Roman" w:hAnsi="Times New Roman"/>
          <w:sz w:val="24"/>
          <w:szCs w:val="24"/>
        </w:rPr>
        <w:t>n</w:t>
      </w:r>
      <w:r w:rsidR="003A5AB4" w:rsidRPr="003D2713">
        <w:rPr>
          <w:rFonts w:ascii="Times New Roman" w:hAnsi="Times New Roman"/>
          <w:sz w:val="24"/>
          <w:szCs w:val="24"/>
        </w:rPr>
        <w:t xml:space="preserve"> estallar en su reacción frente a lo </w:t>
      </w:r>
      <w:r w:rsidR="003A5AB4" w:rsidRPr="003D2713">
        <w:rPr>
          <w:rFonts w:ascii="Times New Roman" w:hAnsi="Times New Roman"/>
          <w:i/>
          <w:sz w:val="24"/>
          <w:szCs w:val="24"/>
        </w:rPr>
        <w:t>abyecto</w:t>
      </w:r>
      <w:r w:rsidR="003A5AB4" w:rsidRPr="003D2713">
        <w:rPr>
          <w:rFonts w:ascii="Times New Roman" w:hAnsi="Times New Roman"/>
          <w:sz w:val="24"/>
          <w:szCs w:val="24"/>
        </w:rPr>
        <w:t xml:space="preserve">.  </w:t>
      </w:r>
      <w:r w:rsidR="005A7877" w:rsidRPr="003D2713">
        <w:rPr>
          <w:rFonts w:ascii="Times New Roman" w:hAnsi="Times New Roman"/>
          <w:sz w:val="24"/>
          <w:szCs w:val="24"/>
        </w:rPr>
        <w:t xml:space="preserve">En conjunto, entonces, una articulación imprevista de contenidos de la derecha </w:t>
      </w:r>
      <w:r w:rsidR="005A7877" w:rsidRPr="003D2713">
        <w:rPr>
          <w:rFonts w:ascii="Times New Roman" w:hAnsi="Times New Roman"/>
          <w:sz w:val="24"/>
          <w:szCs w:val="24"/>
        </w:rPr>
        <w:lastRenderedPageBreak/>
        <w:t xml:space="preserve">y neoliberales, </w:t>
      </w:r>
      <w:r w:rsidR="003A5AB4" w:rsidRPr="003D2713">
        <w:rPr>
          <w:rFonts w:ascii="Times New Roman" w:hAnsi="Times New Roman"/>
          <w:sz w:val="24"/>
          <w:szCs w:val="24"/>
        </w:rPr>
        <w:t xml:space="preserve">configurando una entidad </w:t>
      </w:r>
      <w:proofErr w:type="spellStart"/>
      <w:r w:rsidR="003A5AB4" w:rsidRPr="003D2713">
        <w:rPr>
          <w:rFonts w:ascii="Times New Roman" w:hAnsi="Times New Roman"/>
          <w:sz w:val="24"/>
          <w:szCs w:val="24"/>
        </w:rPr>
        <w:t>aporética</w:t>
      </w:r>
      <w:proofErr w:type="spellEnd"/>
      <w:r w:rsidR="003A5AB4" w:rsidRPr="003D2713">
        <w:rPr>
          <w:rFonts w:ascii="Times New Roman" w:hAnsi="Times New Roman"/>
          <w:sz w:val="24"/>
          <w:szCs w:val="24"/>
        </w:rPr>
        <w:t xml:space="preserve">, </w:t>
      </w:r>
      <w:r w:rsidR="005A7877" w:rsidRPr="003D2713">
        <w:rPr>
          <w:rFonts w:ascii="Times New Roman" w:hAnsi="Times New Roman"/>
          <w:sz w:val="24"/>
          <w:szCs w:val="24"/>
        </w:rPr>
        <w:t>visibilizada en los medios aliados al gobierno, pero de circulación acotada hasta la actualidad, persiste en los márgenes de un estado del discurso social en el que todavía aparecen como hegemónica toda una gnose</w:t>
      </w:r>
      <w:r w:rsidR="003A5AB4" w:rsidRPr="003D2713">
        <w:rPr>
          <w:rFonts w:ascii="Times New Roman" w:hAnsi="Times New Roman"/>
          <w:sz w:val="24"/>
          <w:szCs w:val="24"/>
        </w:rPr>
        <w:t>o</w:t>
      </w:r>
      <w:r w:rsidR="005A7877" w:rsidRPr="003D2713">
        <w:rPr>
          <w:rFonts w:ascii="Times New Roman" w:hAnsi="Times New Roman"/>
          <w:sz w:val="24"/>
          <w:szCs w:val="24"/>
        </w:rPr>
        <w:t xml:space="preserve">logía de “prevención y combate del virus”. </w:t>
      </w:r>
    </w:p>
    <w:p w:rsidR="00B9350C" w:rsidRPr="003D2713" w:rsidRDefault="00BA3557" w:rsidP="003D2713">
      <w:pPr>
        <w:spacing w:after="0" w:line="360" w:lineRule="auto"/>
        <w:jc w:val="both"/>
        <w:rPr>
          <w:rFonts w:ascii="Times New Roman" w:hAnsi="Times New Roman"/>
          <w:sz w:val="24"/>
          <w:szCs w:val="24"/>
        </w:rPr>
      </w:pPr>
      <w:r w:rsidRPr="003D2713">
        <w:rPr>
          <w:rFonts w:ascii="Times New Roman" w:hAnsi="Times New Roman"/>
          <w:sz w:val="24"/>
          <w:szCs w:val="24"/>
        </w:rPr>
        <w:t>Podemos calificar a este conjunto discursivo como promotor de una intensa precarización, en el sentido que Butler da a este término, como una vulnerabilidad que asume ciertos contornos</w:t>
      </w:r>
      <w:r w:rsidR="003A5AB4" w:rsidRPr="003D2713">
        <w:rPr>
          <w:rFonts w:ascii="Times New Roman" w:hAnsi="Times New Roman"/>
          <w:sz w:val="24"/>
          <w:szCs w:val="24"/>
        </w:rPr>
        <w:t xml:space="preserve"> históricos y vinculados al escenario inédito del COVID</w:t>
      </w:r>
      <w:r w:rsidRPr="003D2713">
        <w:rPr>
          <w:rFonts w:ascii="Times New Roman" w:hAnsi="Times New Roman"/>
          <w:sz w:val="24"/>
          <w:szCs w:val="24"/>
        </w:rPr>
        <w:t>. Si por un lado el discurso oficial promueve los cuidados, las políticas sociales de protección, el refuerzo de las instalaciones sanitarias, acciones orientadas a la obtención de la vacuna, la acción del aislamiento sugerida por los “científicos” como la mejor estrategia contra la expansión de la pandemia, por el otro, estos discursos ponen en cuestión estas políticas exponiendo diferencialmente a la enfermedad</w:t>
      </w:r>
      <w:r w:rsidR="002F2936" w:rsidRPr="003D2713">
        <w:rPr>
          <w:rFonts w:ascii="Times New Roman" w:hAnsi="Times New Roman"/>
          <w:sz w:val="24"/>
          <w:szCs w:val="24"/>
        </w:rPr>
        <w:t xml:space="preserve"> y la muerte</w:t>
      </w:r>
      <w:r w:rsidRPr="003D2713">
        <w:rPr>
          <w:rFonts w:ascii="Times New Roman" w:hAnsi="Times New Roman"/>
          <w:sz w:val="24"/>
          <w:szCs w:val="24"/>
        </w:rPr>
        <w:t xml:space="preserve"> a diversos sectores sociales. Este elemento “</w:t>
      </w:r>
      <w:proofErr w:type="spellStart"/>
      <w:r w:rsidRPr="003D2713">
        <w:rPr>
          <w:rFonts w:ascii="Times New Roman" w:hAnsi="Times New Roman"/>
          <w:sz w:val="24"/>
          <w:szCs w:val="24"/>
        </w:rPr>
        <w:t>precarizante</w:t>
      </w:r>
      <w:proofErr w:type="spellEnd"/>
      <w:r w:rsidRPr="003D2713">
        <w:rPr>
          <w:rFonts w:ascii="Times New Roman" w:hAnsi="Times New Roman"/>
          <w:sz w:val="24"/>
          <w:szCs w:val="24"/>
        </w:rPr>
        <w:t xml:space="preserve">” fue constitutivo de la gestión de </w:t>
      </w:r>
      <w:r w:rsidRPr="003D2713">
        <w:rPr>
          <w:rFonts w:ascii="Times New Roman" w:hAnsi="Times New Roman"/>
          <w:i/>
          <w:sz w:val="24"/>
          <w:szCs w:val="24"/>
        </w:rPr>
        <w:t>Cambiemos</w:t>
      </w:r>
      <w:r w:rsidRPr="003D2713">
        <w:rPr>
          <w:rFonts w:ascii="Times New Roman" w:hAnsi="Times New Roman"/>
          <w:sz w:val="24"/>
          <w:szCs w:val="24"/>
        </w:rPr>
        <w:t>, como hemos visto en otros trabajos. Un ejemplo de esto fue la</w:t>
      </w:r>
      <w:r w:rsidR="00B9350C" w:rsidRPr="003D2713">
        <w:rPr>
          <w:rFonts w:ascii="Times New Roman" w:hAnsi="Times New Roman"/>
          <w:sz w:val="24"/>
          <w:szCs w:val="24"/>
        </w:rPr>
        <w:t xml:space="preserve"> decisión de </w:t>
      </w:r>
      <w:proofErr w:type="spellStart"/>
      <w:r w:rsidR="00B9350C" w:rsidRPr="003D2713">
        <w:rPr>
          <w:rFonts w:ascii="Times New Roman" w:hAnsi="Times New Roman"/>
          <w:sz w:val="24"/>
          <w:szCs w:val="24"/>
        </w:rPr>
        <w:t>Macri</w:t>
      </w:r>
      <w:proofErr w:type="spellEnd"/>
      <w:r w:rsidR="00B9350C" w:rsidRPr="003D2713">
        <w:rPr>
          <w:rFonts w:ascii="Times New Roman" w:hAnsi="Times New Roman"/>
          <w:sz w:val="24"/>
          <w:szCs w:val="24"/>
        </w:rPr>
        <w:t xml:space="preserve"> de transformar el </w:t>
      </w:r>
      <w:r w:rsidR="00500A4B" w:rsidRPr="003D2713">
        <w:rPr>
          <w:rFonts w:ascii="Times New Roman" w:hAnsi="Times New Roman"/>
          <w:sz w:val="24"/>
          <w:szCs w:val="24"/>
        </w:rPr>
        <w:t>Ministerio de Salud en una Secretaría</w:t>
      </w:r>
      <w:r w:rsidR="00B9350C" w:rsidRPr="003D2713">
        <w:rPr>
          <w:rFonts w:ascii="Times New Roman" w:hAnsi="Times New Roman"/>
          <w:sz w:val="24"/>
          <w:szCs w:val="24"/>
        </w:rPr>
        <w:t xml:space="preserve">, lo que da una idea cabal de la importancia que la salud pública, así como otros asuntos no directamente ligados a la “economía financiera”, tenían en su gestión. Este acto puede ser considerado como un ejemplo de </w:t>
      </w:r>
      <w:r w:rsidR="00500A4B" w:rsidRPr="003D2713">
        <w:rPr>
          <w:rFonts w:ascii="Times New Roman" w:hAnsi="Times New Roman"/>
          <w:sz w:val="24"/>
          <w:szCs w:val="24"/>
        </w:rPr>
        <w:t>violencia “estructural”</w:t>
      </w:r>
      <w:r w:rsidR="00B9350C" w:rsidRPr="003D2713">
        <w:rPr>
          <w:rFonts w:ascii="Times New Roman" w:hAnsi="Times New Roman"/>
          <w:sz w:val="24"/>
          <w:szCs w:val="24"/>
        </w:rPr>
        <w:t>:</w:t>
      </w:r>
      <w:r w:rsidR="00500A4B" w:rsidRPr="003D2713">
        <w:rPr>
          <w:rFonts w:ascii="Times New Roman" w:hAnsi="Times New Roman"/>
          <w:sz w:val="24"/>
          <w:szCs w:val="24"/>
        </w:rPr>
        <w:t xml:space="preserve"> un acto más que evidenciaba la indiferencia frente a la precarización de la vida y los cuerpos, si consideramos el rol que en un contexto de empobrecimiento generalizado puede ocupar la salud pública</w:t>
      </w:r>
      <w:r w:rsidR="003527BA" w:rsidRPr="003D2713">
        <w:rPr>
          <w:rStyle w:val="Refdenotaalpie"/>
          <w:sz w:val="24"/>
          <w:szCs w:val="24"/>
        </w:rPr>
        <w:footnoteReference w:id="1"/>
      </w:r>
      <w:r w:rsidR="00500A4B" w:rsidRPr="003D2713">
        <w:rPr>
          <w:rFonts w:ascii="Times New Roman" w:hAnsi="Times New Roman"/>
          <w:sz w:val="24"/>
          <w:szCs w:val="24"/>
        </w:rPr>
        <w:t xml:space="preserve">. </w:t>
      </w:r>
      <w:r w:rsidR="00B9350C" w:rsidRPr="003D2713">
        <w:rPr>
          <w:rFonts w:ascii="Times New Roman" w:hAnsi="Times New Roman"/>
          <w:sz w:val="24"/>
          <w:szCs w:val="24"/>
        </w:rPr>
        <w:t xml:space="preserve">Silencioso y sutil, presentado por algunos medios como una decisión adecuada, según los intereses del déficit público y la necesidad de ahorro en la política, </w:t>
      </w:r>
      <w:r w:rsidR="000D6BD1" w:rsidRPr="003D2713">
        <w:rPr>
          <w:rFonts w:ascii="Times New Roman" w:hAnsi="Times New Roman"/>
          <w:sz w:val="24"/>
          <w:szCs w:val="24"/>
        </w:rPr>
        <w:t xml:space="preserve">implica </w:t>
      </w:r>
      <w:r w:rsidR="00B9350C" w:rsidRPr="003D2713">
        <w:rPr>
          <w:rFonts w:ascii="Times New Roman" w:hAnsi="Times New Roman"/>
          <w:sz w:val="24"/>
          <w:szCs w:val="24"/>
        </w:rPr>
        <w:t xml:space="preserve">la ecuación que luego este sector político hará explícita durante la pandemia: la economía es más importante que la vida. </w:t>
      </w:r>
    </w:p>
    <w:p w:rsidR="009521A1" w:rsidRPr="003D2713" w:rsidRDefault="00500A4B" w:rsidP="003D2713">
      <w:pPr>
        <w:spacing w:after="0" w:line="360" w:lineRule="auto"/>
        <w:jc w:val="both"/>
        <w:rPr>
          <w:rFonts w:ascii="Times New Roman" w:hAnsi="Times New Roman"/>
          <w:sz w:val="24"/>
          <w:szCs w:val="24"/>
        </w:rPr>
      </w:pPr>
      <w:r w:rsidRPr="003D2713">
        <w:rPr>
          <w:rFonts w:ascii="Times New Roman" w:hAnsi="Times New Roman"/>
          <w:sz w:val="24"/>
          <w:szCs w:val="24"/>
        </w:rPr>
        <w:tab/>
      </w:r>
      <w:r w:rsidR="00614376" w:rsidRPr="003D2713">
        <w:rPr>
          <w:rFonts w:ascii="Times New Roman" w:hAnsi="Times New Roman"/>
          <w:sz w:val="24"/>
          <w:szCs w:val="24"/>
        </w:rPr>
        <w:t>L</w:t>
      </w:r>
      <w:r w:rsidR="003527BA" w:rsidRPr="003D2713">
        <w:rPr>
          <w:rFonts w:ascii="Times New Roman" w:hAnsi="Times New Roman"/>
          <w:sz w:val="24"/>
          <w:szCs w:val="24"/>
        </w:rPr>
        <w:t>a distinción analítica precariedad/</w:t>
      </w:r>
      <w:proofErr w:type="spellStart"/>
      <w:r w:rsidR="003527BA" w:rsidRPr="003D2713">
        <w:rPr>
          <w:rFonts w:ascii="Times New Roman" w:hAnsi="Times New Roman"/>
          <w:sz w:val="24"/>
          <w:szCs w:val="24"/>
        </w:rPr>
        <w:t>precaridad</w:t>
      </w:r>
      <w:proofErr w:type="spellEnd"/>
      <w:r w:rsidR="003527BA" w:rsidRPr="003D2713">
        <w:rPr>
          <w:rFonts w:ascii="Times New Roman" w:hAnsi="Times New Roman"/>
          <w:sz w:val="24"/>
          <w:szCs w:val="24"/>
        </w:rPr>
        <w:t xml:space="preserve"> fue propuesta por Judith Butler en relación a contextos de guerra, y más tarde vinculada al neoliberalismo en distintos países. Esta autora distingue teóricamente dos dimensiones de la precarización: una ontológica y constitutiva de lo humano, y otra dimensión de carácter más histórico, que alude a una distribución diferencial de esta vulnerabilidad en una cierta geografía política. La primera dimensión es inevitable, ya que lo humano no aparece como dado sino como construido, implica</w:t>
      </w:r>
      <w:r w:rsidR="00312E13" w:rsidRPr="003D2713">
        <w:rPr>
          <w:rFonts w:ascii="Times New Roman" w:hAnsi="Times New Roman"/>
          <w:sz w:val="24"/>
          <w:szCs w:val="24"/>
        </w:rPr>
        <w:t>ndo</w:t>
      </w:r>
      <w:r w:rsidR="003527BA" w:rsidRPr="003D2713">
        <w:rPr>
          <w:rFonts w:ascii="Times New Roman" w:hAnsi="Times New Roman"/>
          <w:sz w:val="24"/>
          <w:szCs w:val="24"/>
        </w:rPr>
        <w:t xml:space="preserve"> siempre una dependencia respecto a otros. Una dimensión social y pública </w:t>
      </w:r>
      <w:r w:rsidR="003527BA" w:rsidRPr="003D2713">
        <w:rPr>
          <w:rFonts w:ascii="Times New Roman" w:hAnsi="Times New Roman"/>
          <w:sz w:val="24"/>
          <w:szCs w:val="24"/>
        </w:rPr>
        <w:lastRenderedPageBreak/>
        <w:t xml:space="preserve">del cuerpo es constitutiva de toda vida, y es por estos mismos lazos de dependencia con otros que cada uno de nosotros puede encontrar </w:t>
      </w:r>
      <w:proofErr w:type="spellStart"/>
      <w:r w:rsidR="003527BA" w:rsidRPr="003D2713">
        <w:rPr>
          <w:rFonts w:ascii="Times New Roman" w:hAnsi="Times New Roman"/>
          <w:i/>
          <w:sz w:val="24"/>
          <w:szCs w:val="24"/>
        </w:rPr>
        <w:t>dañabilidad</w:t>
      </w:r>
      <w:proofErr w:type="spellEnd"/>
      <w:r w:rsidR="003527BA" w:rsidRPr="003D2713">
        <w:rPr>
          <w:rFonts w:ascii="Times New Roman" w:hAnsi="Times New Roman"/>
          <w:sz w:val="24"/>
          <w:szCs w:val="24"/>
        </w:rPr>
        <w:t xml:space="preserve">: “la pérdida y la vulnerabilidad parecen ser la consecuencia de nuestros cuerpos socialmente constituidos, sujetos a otros, amenazados por la pérdida, expuestos a otros y susceptibles de violencia a causa de esta exposición” (Butler, 2006: 46). </w:t>
      </w:r>
    </w:p>
    <w:p w:rsidR="003527BA" w:rsidRPr="003D2713" w:rsidRDefault="003527BA"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 A partir de esta categoría, existe una segunda definición, la </w:t>
      </w:r>
      <w:proofErr w:type="spellStart"/>
      <w:r w:rsidRPr="003D2713">
        <w:rPr>
          <w:rFonts w:ascii="Times New Roman" w:hAnsi="Times New Roman"/>
          <w:sz w:val="24"/>
          <w:szCs w:val="24"/>
        </w:rPr>
        <w:t>precaridad</w:t>
      </w:r>
      <w:proofErr w:type="spellEnd"/>
      <w:r w:rsidRPr="003D2713">
        <w:rPr>
          <w:rFonts w:ascii="Times New Roman" w:hAnsi="Times New Roman"/>
          <w:sz w:val="24"/>
          <w:szCs w:val="24"/>
        </w:rPr>
        <w:t xml:space="preserve">: en ciertas condiciones sociales y política esta </w:t>
      </w:r>
      <w:proofErr w:type="spellStart"/>
      <w:r w:rsidRPr="003D2713">
        <w:rPr>
          <w:rFonts w:ascii="Times New Roman" w:hAnsi="Times New Roman"/>
          <w:sz w:val="24"/>
          <w:szCs w:val="24"/>
        </w:rPr>
        <w:t>dañabilidad</w:t>
      </w:r>
      <w:proofErr w:type="spellEnd"/>
      <w:r w:rsidRPr="003D2713">
        <w:rPr>
          <w:rFonts w:ascii="Times New Roman" w:hAnsi="Times New Roman"/>
          <w:sz w:val="24"/>
          <w:szCs w:val="24"/>
        </w:rPr>
        <w:t xml:space="preserve"> se exacerba, se presenta como una distribución geopolítica de la violencia. Hay formas radicalmente desiguales de la distribución de la enfermedad, la agresión y la muerte (Butler, 2004: 56). La vulnerabilidad no aparece sólo entonces como resultado de una mera acción externa o del azar, sino porque un poder soberano traza límites en relación a la </w:t>
      </w:r>
      <w:proofErr w:type="spellStart"/>
      <w:r w:rsidRPr="003D2713">
        <w:rPr>
          <w:rFonts w:ascii="Times New Roman" w:hAnsi="Times New Roman"/>
          <w:sz w:val="24"/>
          <w:szCs w:val="24"/>
        </w:rPr>
        <w:t>reconocibilidad</w:t>
      </w:r>
      <w:proofErr w:type="spellEnd"/>
      <w:r w:rsidRPr="003D2713">
        <w:rPr>
          <w:rFonts w:ascii="Times New Roman" w:hAnsi="Times New Roman"/>
          <w:sz w:val="24"/>
          <w:szCs w:val="24"/>
        </w:rPr>
        <w:t xml:space="preserve"> de lo humano y entonces “ciertas vidas no califican como vidas” (Butler, 2010: 13). Es decir, ciertos daños son realizables, justamente, porque las vidas a las que afecta han sido antes categorizadas como de menor valor, o como </w:t>
      </w:r>
      <w:r w:rsidRPr="003D2713">
        <w:rPr>
          <w:rFonts w:ascii="Times New Roman" w:hAnsi="Times New Roman"/>
          <w:i/>
          <w:sz w:val="24"/>
          <w:szCs w:val="24"/>
        </w:rPr>
        <w:t xml:space="preserve">vidas precarias. </w:t>
      </w:r>
      <w:r w:rsidRPr="003D2713">
        <w:rPr>
          <w:rFonts w:ascii="Times New Roman" w:hAnsi="Times New Roman"/>
          <w:sz w:val="24"/>
          <w:szCs w:val="24"/>
        </w:rPr>
        <w:t xml:space="preserve">El discurso opera en este caso </w:t>
      </w:r>
      <w:proofErr w:type="spellStart"/>
      <w:r w:rsidRPr="003D2713">
        <w:rPr>
          <w:rFonts w:ascii="Times New Roman" w:hAnsi="Times New Roman"/>
          <w:sz w:val="24"/>
          <w:szCs w:val="24"/>
        </w:rPr>
        <w:t>performativamente</w:t>
      </w:r>
      <w:proofErr w:type="spellEnd"/>
      <w:r w:rsidRPr="003D2713">
        <w:rPr>
          <w:rFonts w:ascii="Times New Roman" w:hAnsi="Times New Roman"/>
          <w:sz w:val="24"/>
          <w:szCs w:val="24"/>
        </w:rPr>
        <w:t xml:space="preserve">, estableciendo cómo unos cuerpos se protegen más que otros, y marcando fronteras entre unas vidas altamente protegidas y otras que ven afectadas sus condiciones materiales (en términos de pérdida o desposesión de hábitat, trabajo, salud, educación, </w:t>
      </w:r>
      <w:proofErr w:type="spellStart"/>
      <w:r w:rsidRPr="003D2713">
        <w:rPr>
          <w:rFonts w:ascii="Times New Roman" w:hAnsi="Times New Roman"/>
          <w:sz w:val="24"/>
          <w:szCs w:val="24"/>
        </w:rPr>
        <w:t>etc</w:t>
      </w:r>
      <w:proofErr w:type="spellEnd"/>
      <w:r w:rsidRPr="003D2713">
        <w:rPr>
          <w:rFonts w:ascii="Times New Roman" w:hAnsi="Times New Roman"/>
          <w:sz w:val="24"/>
          <w:szCs w:val="24"/>
        </w:rPr>
        <w:t xml:space="preserve">). </w:t>
      </w:r>
    </w:p>
    <w:p w:rsidR="003527BA" w:rsidRPr="003D2713" w:rsidRDefault="003527BA"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Así, ya en </w:t>
      </w:r>
      <w:r w:rsidRPr="003D2713">
        <w:rPr>
          <w:rFonts w:ascii="Times New Roman" w:hAnsi="Times New Roman"/>
          <w:i/>
          <w:sz w:val="24"/>
          <w:szCs w:val="24"/>
        </w:rPr>
        <w:t xml:space="preserve">Vidas precarias </w:t>
      </w:r>
      <w:r w:rsidRPr="003D2713">
        <w:rPr>
          <w:rFonts w:ascii="Times New Roman" w:hAnsi="Times New Roman"/>
          <w:sz w:val="24"/>
          <w:szCs w:val="24"/>
        </w:rPr>
        <w:t xml:space="preserve">encontramos precisiones analíticas significativas en torno a un par conceptual: precariedad como condición existencial y </w:t>
      </w:r>
      <w:proofErr w:type="spellStart"/>
      <w:r w:rsidRPr="003D2713">
        <w:rPr>
          <w:rFonts w:ascii="Times New Roman" w:hAnsi="Times New Roman"/>
          <w:sz w:val="24"/>
          <w:szCs w:val="24"/>
        </w:rPr>
        <w:t>precaridad</w:t>
      </w:r>
      <w:proofErr w:type="spellEnd"/>
      <w:r w:rsidRPr="003D2713">
        <w:rPr>
          <w:rFonts w:ascii="Times New Roman" w:hAnsi="Times New Roman"/>
          <w:sz w:val="24"/>
          <w:szCs w:val="24"/>
        </w:rPr>
        <w:t xml:space="preserve"> como asignación diferencial del daño. “Precariedad” es la condición de nuestra exposición a los otros. Se reconoce como tal una ontología del cuerpo, siempre entregado a otros, interdependiente, dañable, una condición inevitable que hace posible la vida misma. En cambio,”</w:t>
      </w:r>
      <w:proofErr w:type="spellStart"/>
      <w:r w:rsidRPr="003D2713">
        <w:rPr>
          <w:rFonts w:ascii="Times New Roman" w:hAnsi="Times New Roman"/>
          <w:sz w:val="24"/>
          <w:szCs w:val="24"/>
        </w:rPr>
        <w:t>precaridad</w:t>
      </w:r>
      <w:proofErr w:type="spellEnd"/>
      <w:r w:rsidRPr="003D2713">
        <w:rPr>
          <w:rFonts w:ascii="Times New Roman" w:hAnsi="Times New Roman"/>
          <w:sz w:val="24"/>
          <w:szCs w:val="24"/>
        </w:rPr>
        <w:t xml:space="preserve">” es una noción histórica, y remite a la asignación desigual de condiciones que hacen posible una vida digna de vivir. Hace referencia a la precarización inducida en ciertos contextos como resultado de un ejercicio del poder: “la </w:t>
      </w:r>
      <w:proofErr w:type="spellStart"/>
      <w:r w:rsidRPr="003D2713">
        <w:rPr>
          <w:rFonts w:ascii="Times New Roman" w:hAnsi="Times New Roman"/>
          <w:sz w:val="24"/>
          <w:szCs w:val="24"/>
        </w:rPr>
        <w:t>precaridad</w:t>
      </w:r>
      <w:proofErr w:type="spellEnd"/>
      <w:r w:rsidRPr="003D2713">
        <w:rPr>
          <w:rFonts w:ascii="Times New Roman" w:hAnsi="Times New Roman"/>
          <w:sz w:val="24"/>
          <w:szCs w:val="24"/>
        </w:rPr>
        <w:t xml:space="preserve"> es distribuida diferencialmente y, por lo tanto, es una dimensión importante de la asignación desigual de las condiciones que se requieren para una vida digna de vivir” (Butler, 2011a: 24). En este sentido, su singularidad aparece como una operación de poder, es decir, se vincula a técnicas y modalidades de </w:t>
      </w:r>
      <w:proofErr w:type="spellStart"/>
      <w:r w:rsidRPr="003D2713">
        <w:rPr>
          <w:rFonts w:ascii="Times New Roman" w:hAnsi="Times New Roman"/>
          <w:sz w:val="24"/>
          <w:szCs w:val="24"/>
        </w:rPr>
        <w:t>gubernamentalidad</w:t>
      </w:r>
      <w:proofErr w:type="spellEnd"/>
      <w:r w:rsidRPr="003D2713">
        <w:rPr>
          <w:rFonts w:ascii="Times New Roman" w:hAnsi="Times New Roman"/>
          <w:sz w:val="24"/>
          <w:szCs w:val="24"/>
        </w:rPr>
        <w:t xml:space="preserve">. </w:t>
      </w:r>
    </w:p>
    <w:p w:rsidR="000C6227" w:rsidRPr="003D2713" w:rsidRDefault="000C6227"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La noción de precarización es en numerosas ocasiones vinculada con la desigualdad económica y política  en contextos neoliberales actuales, la vulnerabilidad y la existencia creciente de grupos sociales que pierden condiciones infraestructurales mínimas. Se trata de un concepto crítico respecto a la escena contemporánea y global, </w:t>
      </w:r>
      <w:r w:rsidRPr="003D2713">
        <w:rPr>
          <w:rFonts w:ascii="Times New Roman" w:hAnsi="Times New Roman"/>
          <w:sz w:val="24"/>
          <w:szCs w:val="24"/>
        </w:rPr>
        <w:lastRenderedPageBreak/>
        <w:t xml:space="preserve">constituida por comunidades democráticas cada vez más excluyentes. A su vez, entendemos al neoliberalismo como algo más complejo que un ordenamiento económico. En términos de Laval y </w:t>
      </w:r>
      <w:proofErr w:type="spellStart"/>
      <w:r w:rsidRPr="003D2713">
        <w:rPr>
          <w:rFonts w:ascii="Times New Roman" w:hAnsi="Times New Roman"/>
          <w:sz w:val="24"/>
          <w:szCs w:val="24"/>
        </w:rPr>
        <w:t>Dardot</w:t>
      </w:r>
      <w:proofErr w:type="spellEnd"/>
      <w:r w:rsidRPr="003D2713">
        <w:rPr>
          <w:rFonts w:ascii="Times New Roman" w:hAnsi="Times New Roman"/>
          <w:sz w:val="24"/>
          <w:szCs w:val="24"/>
        </w:rPr>
        <w:t xml:space="preserve">, se trata de una “nueva racionalidad” que ha implicado numerosos cambios culturales o, según Foucault, es una nueva forma de </w:t>
      </w:r>
      <w:proofErr w:type="spellStart"/>
      <w:r w:rsidRPr="003D2713">
        <w:rPr>
          <w:rFonts w:ascii="Times New Roman" w:hAnsi="Times New Roman"/>
          <w:sz w:val="24"/>
          <w:szCs w:val="24"/>
        </w:rPr>
        <w:t>gubernamentalidad</w:t>
      </w:r>
      <w:proofErr w:type="spellEnd"/>
      <w:r w:rsidRPr="003D2713">
        <w:rPr>
          <w:rFonts w:ascii="Times New Roman" w:hAnsi="Times New Roman"/>
          <w:sz w:val="24"/>
          <w:szCs w:val="24"/>
        </w:rPr>
        <w:t xml:space="preserve"> y </w:t>
      </w:r>
      <w:proofErr w:type="spellStart"/>
      <w:r w:rsidRPr="003D2713">
        <w:rPr>
          <w:rFonts w:ascii="Times New Roman" w:hAnsi="Times New Roman"/>
          <w:sz w:val="24"/>
          <w:szCs w:val="24"/>
        </w:rPr>
        <w:t>biopoder</w:t>
      </w:r>
      <w:proofErr w:type="spellEnd"/>
      <w:r w:rsidRPr="003D2713">
        <w:rPr>
          <w:rFonts w:ascii="Times New Roman" w:hAnsi="Times New Roman"/>
          <w:sz w:val="24"/>
          <w:szCs w:val="24"/>
        </w:rPr>
        <w:t xml:space="preserve"> aplicado a las poblaciones. Pese a </w:t>
      </w:r>
      <w:r w:rsidR="009C7127" w:rsidRPr="003D2713">
        <w:rPr>
          <w:rFonts w:ascii="Times New Roman" w:hAnsi="Times New Roman"/>
          <w:sz w:val="24"/>
          <w:szCs w:val="24"/>
        </w:rPr>
        <w:t>su</w:t>
      </w:r>
      <w:r w:rsidRPr="003D2713">
        <w:rPr>
          <w:rFonts w:ascii="Times New Roman" w:hAnsi="Times New Roman"/>
          <w:sz w:val="24"/>
          <w:szCs w:val="24"/>
        </w:rPr>
        <w:t xml:space="preserve"> heterogeneidad, algo se reitera en esta nueva “razón gubernamental”: la precarización de amplios sectores de la sociedad, a partir de una conjunción de la destrucción de las políticas sociales, la promoción de la economía financiera, la enorme trasferencia de recursos realizada en corto plazo a grandes corporaciones, el endeudamiento a escalas inauditas y la represión a movilizaciones sociales. En todos los casos, el neoliberalismo construye como su enemigo al Estado de bienestar, y como amenazantes a ciertos grupos a partir de nuevas definiciones de “seguridad” y “soberanía”. Su enemigo es el populismo, y todas las formas del </w:t>
      </w:r>
      <w:r w:rsidRPr="003D2713">
        <w:rPr>
          <w:rFonts w:ascii="Times New Roman" w:hAnsi="Times New Roman"/>
          <w:i/>
          <w:sz w:val="24"/>
          <w:szCs w:val="24"/>
        </w:rPr>
        <w:t xml:space="preserve">pueblo </w:t>
      </w:r>
      <w:r w:rsidRPr="003D2713">
        <w:rPr>
          <w:rFonts w:ascii="Times New Roman" w:hAnsi="Times New Roman"/>
          <w:sz w:val="24"/>
          <w:szCs w:val="24"/>
        </w:rPr>
        <w:t xml:space="preserve">o del común, frente al que desarrolla retóricas del odio. </w:t>
      </w:r>
    </w:p>
    <w:p w:rsidR="000C6227" w:rsidRPr="003D2713" w:rsidRDefault="000C6227"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Es </w:t>
      </w: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quien retoma estas distinciones para pensar la “precarización” como una forma de </w:t>
      </w:r>
      <w:proofErr w:type="spellStart"/>
      <w:r w:rsidRPr="003D2713">
        <w:rPr>
          <w:rFonts w:ascii="Times New Roman" w:hAnsi="Times New Roman"/>
          <w:sz w:val="24"/>
          <w:szCs w:val="24"/>
        </w:rPr>
        <w:t>gubernamentalidad</w:t>
      </w:r>
      <w:proofErr w:type="spellEnd"/>
      <w:r w:rsidRPr="003D2713">
        <w:rPr>
          <w:rFonts w:ascii="Times New Roman" w:hAnsi="Times New Roman"/>
          <w:sz w:val="24"/>
          <w:szCs w:val="24"/>
        </w:rPr>
        <w:t xml:space="preserve"> típicamente neoliberal: no es una condición pasajera o episódica sino “una nueva forma de regulación que caracteriza nuestra época histórica” (2016: 13).  No constituye una excepción sino que es la regla, la función de lo precario se desplaza al centro y es normalizada: toda la comunidad queda expuesta a procesos de pérdida y vulnerabilidad. Aparece como un régimen de regulación de subjetividades: “es un modo hegemónico de ser gobernados y de gobernarnos a nosotros mismos” (</w:t>
      </w: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2016: 13).  El gobierno neoliberal procede sobre todo mediante la regulación del mínimo de protección social, que corresponde al mismo tiempo a una incertidumbre creciente. Este máximo de inseguridad es correlativo a la demolición de los derechos del Estado de Bienestar y a un posible mínimo umbral de gobernabilidad. Así, “el dominio en las sociedades </w:t>
      </w:r>
      <w:proofErr w:type="spellStart"/>
      <w:r w:rsidRPr="003D2713">
        <w:rPr>
          <w:rFonts w:ascii="Times New Roman" w:hAnsi="Times New Roman"/>
          <w:sz w:val="24"/>
          <w:szCs w:val="24"/>
        </w:rPr>
        <w:t>posfordistas</w:t>
      </w:r>
      <w:proofErr w:type="spellEnd"/>
      <w:r w:rsidRPr="003D2713">
        <w:rPr>
          <w:rFonts w:ascii="Times New Roman" w:hAnsi="Times New Roman"/>
          <w:sz w:val="24"/>
          <w:szCs w:val="24"/>
        </w:rPr>
        <w:t xml:space="preserve"> ya no se legitima a partir de la seguridad social, sino que es un gobierno basado en la inseguridad, lo precario y lo inmune” (</w:t>
      </w: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2016: 26). </w:t>
      </w:r>
    </w:p>
    <w:p w:rsidR="00614376" w:rsidRPr="003D2713" w:rsidRDefault="000C6227"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Para </w:t>
      </w: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en la gestión neoliberal hay una tentativa de protección de algunos, en el contexto de “un reparto diferencial de la </w:t>
      </w:r>
      <w:proofErr w:type="spellStart"/>
      <w:r w:rsidRPr="003D2713">
        <w:rPr>
          <w:rFonts w:ascii="Times New Roman" w:hAnsi="Times New Roman"/>
          <w:sz w:val="24"/>
          <w:szCs w:val="24"/>
        </w:rPr>
        <w:t>precaridad</w:t>
      </w:r>
      <w:proofErr w:type="spellEnd"/>
      <w:r w:rsidRPr="003D2713">
        <w:rPr>
          <w:rFonts w:ascii="Times New Roman" w:hAnsi="Times New Roman"/>
          <w:sz w:val="24"/>
          <w:szCs w:val="24"/>
        </w:rPr>
        <w:t xml:space="preserve"> entre todos aquellos que son considerados diferentes y menos merecedores de protección” (2016: 35). Así, se pone en juego la independencia de los muchos y la sociedad como un todo. </w:t>
      </w:r>
    </w:p>
    <w:p w:rsidR="00614376" w:rsidRPr="003D2713" w:rsidRDefault="000C6227" w:rsidP="003D2713">
      <w:pPr>
        <w:spacing w:after="0" w:line="360" w:lineRule="auto"/>
        <w:ind w:firstLine="708"/>
        <w:jc w:val="both"/>
        <w:rPr>
          <w:rFonts w:ascii="Times New Roman" w:hAnsi="Times New Roman"/>
          <w:sz w:val="24"/>
          <w:szCs w:val="24"/>
        </w:rPr>
      </w:pPr>
      <w:r w:rsidRPr="003D2713">
        <w:rPr>
          <w:rFonts w:ascii="Times New Roman" w:hAnsi="Times New Roman"/>
          <w:sz w:val="24"/>
          <w:szCs w:val="24"/>
        </w:rPr>
        <w:t xml:space="preserve">Ambas autoras nos permiten nombrar al neoliberalismo como uno de los principales procesos de precarización en el mundo contemporáneo. Y </w:t>
      </w:r>
      <w:r w:rsidR="00614376" w:rsidRPr="003D2713">
        <w:rPr>
          <w:rFonts w:ascii="Times New Roman" w:hAnsi="Times New Roman"/>
          <w:sz w:val="24"/>
          <w:szCs w:val="24"/>
        </w:rPr>
        <w:t xml:space="preserve">el escenario de la pandemia ofrece condiciones en el que este </w:t>
      </w:r>
      <w:r w:rsidR="00614376" w:rsidRPr="003D2713">
        <w:rPr>
          <w:rFonts w:ascii="Times New Roman" w:hAnsi="Times New Roman"/>
          <w:i/>
          <w:sz w:val="24"/>
          <w:szCs w:val="24"/>
        </w:rPr>
        <w:t xml:space="preserve">devenir </w:t>
      </w:r>
      <w:r w:rsidR="00614376" w:rsidRPr="003D2713">
        <w:rPr>
          <w:rFonts w:ascii="Times New Roman" w:hAnsi="Times New Roman"/>
          <w:sz w:val="24"/>
          <w:szCs w:val="24"/>
        </w:rPr>
        <w:t xml:space="preserve">precario se da en una escala intensa y global.  </w:t>
      </w:r>
    </w:p>
    <w:p w:rsidR="00973ED9" w:rsidRPr="003D2713" w:rsidRDefault="00614376" w:rsidP="003D2713">
      <w:pPr>
        <w:spacing w:after="0" w:line="360" w:lineRule="auto"/>
        <w:jc w:val="both"/>
        <w:rPr>
          <w:rFonts w:ascii="Times New Roman" w:hAnsi="Times New Roman"/>
          <w:sz w:val="24"/>
          <w:szCs w:val="24"/>
        </w:rPr>
      </w:pPr>
      <w:r w:rsidRPr="003D2713">
        <w:rPr>
          <w:rFonts w:ascii="Times New Roman" w:hAnsi="Times New Roman"/>
          <w:sz w:val="24"/>
          <w:szCs w:val="24"/>
        </w:rPr>
        <w:lastRenderedPageBreak/>
        <w:tab/>
        <w:t xml:space="preserve">En el caso del singular escenario de nuestro país, se configuró rápidamente un clivaje a partir del cual confrontan los discursos pro-cuarentena (promovidos por los gobiernos nacionales y provinciales) frente a los anti-cuarentena. </w:t>
      </w:r>
      <w:r w:rsidR="004B6CA1" w:rsidRPr="003D2713">
        <w:rPr>
          <w:rFonts w:ascii="Times New Roman" w:hAnsi="Times New Roman"/>
          <w:sz w:val="24"/>
          <w:szCs w:val="24"/>
        </w:rPr>
        <w:t>Si bien es esperable la configuración de un campo de disputas, consideramos que los discursos que resisten al aislamiento o niegan la existencia del virus contribuyen a configurar condiciones de precarización</w:t>
      </w:r>
      <w:r w:rsidR="009C7127" w:rsidRPr="003D2713">
        <w:rPr>
          <w:rFonts w:ascii="Times New Roman" w:hAnsi="Times New Roman"/>
          <w:sz w:val="24"/>
          <w:szCs w:val="24"/>
        </w:rPr>
        <w:t xml:space="preserve">, en los términos que acabamos de considerar. Desrealizan los efectos de la enfermedad, protegen a ciertas vidas y no a otras, intensifican las condiciones de </w:t>
      </w:r>
      <w:proofErr w:type="spellStart"/>
      <w:r w:rsidR="009C7127" w:rsidRPr="003D2713">
        <w:rPr>
          <w:rFonts w:ascii="Times New Roman" w:hAnsi="Times New Roman"/>
          <w:sz w:val="24"/>
          <w:szCs w:val="24"/>
        </w:rPr>
        <w:t>dañabilidad</w:t>
      </w:r>
      <w:proofErr w:type="spellEnd"/>
      <w:r w:rsidR="009C7127" w:rsidRPr="003D2713">
        <w:rPr>
          <w:rFonts w:ascii="Times New Roman" w:hAnsi="Times New Roman"/>
          <w:sz w:val="24"/>
          <w:szCs w:val="24"/>
        </w:rPr>
        <w:t xml:space="preserve"> </w:t>
      </w:r>
      <w:r w:rsidR="001C3374" w:rsidRPr="003D2713">
        <w:rPr>
          <w:rFonts w:ascii="Times New Roman" w:hAnsi="Times New Roman"/>
          <w:sz w:val="24"/>
          <w:szCs w:val="24"/>
        </w:rPr>
        <w:t xml:space="preserve">de “unas vidas” </w:t>
      </w:r>
      <w:r w:rsidR="009C7127" w:rsidRPr="003D2713">
        <w:rPr>
          <w:rFonts w:ascii="Times New Roman" w:hAnsi="Times New Roman"/>
          <w:sz w:val="24"/>
          <w:szCs w:val="24"/>
        </w:rPr>
        <w:t xml:space="preserve">sin ninguna distinción entre condiciones materiales </w:t>
      </w:r>
      <w:r w:rsidR="001C3374" w:rsidRPr="003D2713">
        <w:rPr>
          <w:rFonts w:ascii="Times New Roman" w:hAnsi="Times New Roman"/>
          <w:sz w:val="24"/>
          <w:szCs w:val="24"/>
        </w:rPr>
        <w:t xml:space="preserve">específicas </w:t>
      </w:r>
      <w:r w:rsidR="009C7127" w:rsidRPr="003D2713">
        <w:rPr>
          <w:rFonts w:ascii="Times New Roman" w:hAnsi="Times New Roman"/>
          <w:sz w:val="24"/>
          <w:szCs w:val="24"/>
        </w:rPr>
        <w:t xml:space="preserve">(¿quiénes acceden a los sistemas de salud?, ¿qué riesgos particulares corren los de mayor edad?, ¿a qué condiciones se exponen los trabajadores de la salud en contextos de saturación?, ¿qué pueden aportar las políticas públicas para la prevención frente al virus?, ¿puede el Estado dar cuenta del cuidado de la comunidad?). </w:t>
      </w:r>
      <w:r w:rsidR="000143DF" w:rsidRPr="003D2713">
        <w:rPr>
          <w:rFonts w:ascii="Times New Roman" w:hAnsi="Times New Roman"/>
          <w:sz w:val="24"/>
          <w:szCs w:val="24"/>
        </w:rPr>
        <w:t xml:space="preserve">Por otro lado, promoviendo el riesgo y la “inmunidad de rebaño” encontramos lo que señala </w:t>
      </w:r>
      <w:proofErr w:type="spellStart"/>
      <w:r w:rsidR="000143DF" w:rsidRPr="003D2713">
        <w:rPr>
          <w:rFonts w:ascii="Times New Roman" w:hAnsi="Times New Roman"/>
          <w:sz w:val="24"/>
          <w:szCs w:val="24"/>
        </w:rPr>
        <w:t>Lorey</w:t>
      </w:r>
      <w:proofErr w:type="spellEnd"/>
      <w:r w:rsidR="000143DF" w:rsidRPr="003D2713">
        <w:rPr>
          <w:rFonts w:ascii="Times New Roman" w:hAnsi="Times New Roman"/>
          <w:sz w:val="24"/>
          <w:szCs w:val="24"/>
        </w:rPr>
        <w:t>: una gestión que extiende la precarización hacia todas las zonas de lo social</w:t>
      </w:r>
      <w:bookmarkStart w:id="0" w:name="_GoBack"/>
      <w:bookmarkEnd w:id="0"/>
      <w:r w:rsidR="000143DF" w:rsidRPr="003D2713">
        <w:rPr>
          <w:rFonts w:ascii="Times New Roman" w:hAnsi="Times New Roman"/>
          <w:sz w:val="24"/>
          <w:szCs w:val="24"/>
        </w:rPr>
        <w:t>, generando una incertidumbre hacia el futuro</w:t>
      </w:r>
      <w:r w:rsidR="001C3374" w:rsidRPr="003D2713">
        <w:rPr>
          <w:rFonts w:ascii="Times New Roman" w:hAnsi="Times New Roman"/>
          <w:sz w:val="24"/>
          <w:szCs w:val="24"/>
        </w:rPr>
        <w:t xml:space="preserve"> que las poblaciones deben soportar</w:t>
      </w:r>
      <w:r w:rsidR="000143DF" w:rsidRPr="003D2713">
        <w:rPr>
          <w:rFonts w:ascii="Times New Roman" w:hAnsi="Times New Roman"/>
          <w:sz w:val="24"/>
          <w:szCs w:val="24"/>
        </w:rPr>
        <w:t>.</w:t>
      </w:r>
      <w:r w:rsidR="008C00D8" w:rsidRPr="003D2713">
        <w:rPr>
          <w:rFonts w:ascii="Times New Roman" w:hAnsi="Times New Roman"/>
          <w:sz w:val="24"/>
          <w:szCs w:val="24"/>
        </w:rPr>
        <w:t xml:space="preserve"> </w:t>
      </w:r>
      <w:r w:rsidR="001C3374" w:rsidRPr="003D2713">
        <w:rPr>
          <w:rFonts w:ascii="Times New Roman" w:hAnsi="Times New Roman"/>
          <w:sz w:val="24"/>
          <w:szCs w:val="24"/>
        </w:rPr>
        <w:t>-</w:t>
      </w:r>
      <w:r w:rsidR="000143DF" w:rsidRPr="003D2713">
        <w:rPr>
          <w:rFonts w:ascii="Times New Roman" w:hAnsi="Times New Roman"/>
          <w:sz w:val="24"/>
          <w:szCs w:val="24"/>
        </w:rPr>
        <w:t xml:space="preserve">   </w:t>
      </w:r>
    </w:p>
    <w:p w:rsidR="00614376" w:rsidRPr="003D2713" w:rsidRDefault="00614376" w:rsidP="003D2713">
      <w:pPr>
        <w:spacing w:after="0" w:line="360" w:lineRule="auto"/>
        <w:jc w:val="both"/>
        <w:rPr>
          <w:rFonts w:ascii="Times New Roman" w:hAnsi="Times New Roman"/>
          <w:b/>
          <w:sz w:val="24"/>
          <w:szCs w:val="24"/>
          <w:u w:val="single"/>
        </w:rPr>
      </w:pPr>
    </w:p>
    <w:p w:rsidR="000C6227" w:rsidRPr="003D2713" w:rsidRDefault="000C6227" w:rsidP="003D2713">
      <w:pPr>
        <w:spacing w:after="0" w:line="360" w:lineRule="auto"/>
        <w:jc w:val="both"/>
        <w:rPr>
          <w:rFonts w:ascii="Times New Roman" w:hAnsi="Times New Roman"/>
          <w:b/>
          <w:sz w:val="24"/>
          <w:szCs w:val="24"/>
          <w:u w:val="single"/>
        </w:rPr>
      </w:pPr>
      <w:r w:rsidRPr="003D2713">
        <w:rPr>
          <w:rFonts w:ascii="Times New Roman" w:hAnsi="Times New Roman"/>
          <w:b/>
          <w:sz w:val="24"/>
          <w:szCs w:val="24"/>
          <w:u w:val="single"/>
        </w:rPr>
        <w:t>Bibliografía</w:t>
      </w:r>
    </w:p>
    <w:p w:rsidR="000C6227" w:rsidRPr="003D2713" w:rsidRDefault="000C6227" w:rsidP="00236C01">
      <w:pPr>
        <w:spacing w:after="0" w:line="240" w:lineRule="auto"/>
        <w:jc w:val="both"/>
        <w:rPr>
          <w:rFonts w:ascii="Times New Roman" w:hAnsi="Times New Roman"/>
          <w:i/>
          <w:sz w:val="24"/>
          <w:szCs w:val="24"/>
        </w:rPr>
      </w:pPr>
      <w:proofErr w:type="spellStart"/>
      <w:r w:rsidRPr="003D2713">
        <w:rPr>
          <w:rFonts w:ascii="Times New Roman" w:hAnsi="Times New Roman"/>
          <w:sz w:val="24"/>
          <w:szCs w:val="24"/>
        </w:rPr>
        <w:t>Angenot</w:t>
      </w:r>
      <w:proofErr w:type="spellEnd"/>
      <w:r w:rsidRPr="003D2713">
        <w:rPr>
          <w:rFonts w:ascii="Times New Roman" w:hAnsi="Times New Roman"/>
          <w:sz w:val="24"/>
          <w:szCs w:val="24"/>
        </w:rPr>
        <w:t xml:space="preserve">, M. (1989). </w:t>
      </w:r>
      <w:r w:rsidRPr="003D2713">
        <w:rPr>
          <w:rFonts w:ascii="Times New Roman" w:hAnsi="Times New Roman"/>
          <w:i/>
          <w:sz w:val="24"/>
          <w:szCs w:val="24"/>
        </w:rPr>
        <w:t xml:space="preserve">1889. Un </w:t>
      </w:r>
      <w:proofErr w:type="spellStart"/>
      <w:r w:rsidRPr="003D2713">
        <w:rPr>
          <w:rFonts w:ascii="Times New Roman" w:hAnsi="Times New Roman"/>
          <w:i/>
          <w:sz w:val="24"/>
          <w:szCs w:val="24"/>
        </w:rPr>
        <w:t>état</w:t>
      </w:r>
      <w:proofErr w:type="spellEnd"/>
      <w:r w:rsidRPr="003D2713">
        <w:rPr>
          <w:rFonts w:ascii="Times New Roman" w:hAnsi="Times New Roman"/>
          <w:i/>
          <w:sz w:val="24"/>
          <w:szCs w:val="24"/>
        </w:rPr>
        <w:t xml:space="preserve"> du </w:t>
      </w:r>
      <w:proofErr w:type="spellStart"/>
      <w:r w:rsidRPr="003D2713">
        <w:rPr>
          <w:rFonts w:ascii="Times New Roman" w:hAnsi="Times New Roman"/>
          <w:i/>
          <w:sz w:val="24"/>
          <w:szCs w:val="24"/>
        </w:rPr>
        <w:t>discours</w:t>
      </w:r>
      <w:proofErr w:type="spellEnd"/>
      <w:r w:rsidRPr="003D2713">
        <w:rPr>
          <w:rFonts w:ascii="Times New Roman" w:hAnsi="Times New Roman"/>
          <w:i/>
          <w:sz w:val="24"/>
          <w:szCs w:val="24"/>
        </w:rPr>
        <w:t xml:space="preserve"> social</w:t>
      </w:r>
      <w:r w:rsidRPr="003D2713">
        <w:rPr>
          <w:rFonts w:ascii="Times New Roman" w:hAnsi="Times New Roman"/>
          <w:sz w:val="24"/>
          <w:szCs w:val="24"/>
        </w:rPr>
        <w:t xml:space="preserve">. </w:t>
      </w:r>
      <w:proofErr w:type="spellStart"/>
      <w:r w:rsidRPr="003D2713">
        <w:rPr>
          <w:rFonts w:ascii="Times New Roman" w:hAnsi="Times New Roman"/>
          <w:sz w:val="24"/>
          <w:szCs w:val="24"/>
        </w:rPr>
        <w:t>Québec</w:t>
      </w:r>
      <w:proofErr w:type="spellEnd"/>
      <w:r w:rsidRPr="003D2713">
        <w:rPr>
          <w:rFonts w:ascii="Times New Roman" w:hAnsi="Times New Roman"/>
          <w:sz w:val="24"/>
          <w:szCs w:val="24"/>
        </w:rPr>
        <w:t xml:space="preserve">: </w:t>
      </w:r>
      <w:proofErr w:type="spellStart"/>
      <w:r w:rsidRPr="003D2713">
        <w:rPr>
          <w:rFonts w:ascii="Times New Roman" w:hAnsi="Times New Roman"/>
          <w:sz w:val="24"/>
          <w:szCs w:val="24"/>
        </w:rPr>
        <w:t>Éditions</w:t>
      </w:r>
      <w:proofErr w:type="spellEnd"/>
      <w:r w:rsidRPr="003D2713">
        <w:rPr>
          <w:rFonts w:ascii="Times New Roman" w:hAnsi="Times New Roman"/>
          <w:sz w:val="24"/>
          <w:szCs w:val="24"/>
        </w:rPr>
        <w:t xml:space="preserve"> Balzac.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Angenot</w:t>
      </w:r>
      <w:proofErr w:type="spellEnd"/>
      <w:r w:rsidRPr="003D2713">
        <w:rPr>
          <w:rFonts w:ascii="Times New Roman" w:hAnsi="Times New Roman"/>
          <w:sz w:val="24"/>
          <w:szCs w:val="24"/>
        </w:rPr>
        <w:t>, M. (2006). “</w:t>
      </w:r>
      <w:proofErr w:type="spellStart"/>
      <w:r w:rsidRPr="003D2713">
        <w:rPr>
          <w:rFonts w:ascii="Times New Roman" w:hAnsi="Times New Roman"/>
          <w:sz w:val="24"/>
          <w:szCs w:val="24"/>
        </w:rPr>
        <w:t>Théorie</w:t>
      </w:r>
      <w:proofErr w:type="spellEnd"/>
      <w:r w:rsidRPr="003D2713">
        <w:rPr>
          <w:rFonts w:ascii="Times New Roman" w:hAnsi="Times New Roman"/>
          <w:sz w:val="24"/>
          <w:szCs w:val="24"/>
        </w:rPr>
        <w:t xml:space="preserve"> du </w:t>
      </w:r>
      <w:proofErr w:type="spellStart"/>
      <w:r w:rsidRPr="003D2713">
        <w:rPr>
          <w:rFonts w:ascii="Times New Roman" w:hAnsi="Times New Roman"/>
          <w:sz w:val="24"/>
          <w:szCs w:val="24"/>
        </w:rPr>
        <w:t>discours</w:t>
      </w:r>
      <w:proofErr w:type="spellEnd"/>
      <w:r w:rsidRPr="003D2713">
        <w:rPr>
          <w:rFonts w:ascii="Times New Roman" w:hAnsi="Times New Roman"/>
          <w:sz w:val="24"/>
          <w:szCs w:val="24"/>
        </w:rPr>
        <w:t xml:space="preserve"> social”. En: </w:t>
      </w:r>
      <w:r w:rsidRPr="003D2713">
        <w:rPr>
          <w:rFonts w:ascii="Times New Roman" w:hAnsi="Times New Roman"/>
          <w:i/>
          <w:sz w:val="24"/>
          <w:szCs w:val="24"/>
        </w:rPr>
        <w:t xml:space="preserve">CONTEXTES. </w:t>
      </w:r>
      <w:proofErr w:type="spellStart"/>
      <w:r w:rsidRPr="003D2713">
        <w:rPr>
          <w:rFonts w:ascii="Times New Roman" w:hAnsi="Times New Roman"/>
          <w:i/>
          <w:sz w:val="24"/>
          <w:szCs w:val="24"/>
        </w:rPr>
        <w:t>Revue</w:t>
      </w:r>
      <w:proofErr w:type="spellEnd"/>
      <w:r w:rsidRPr="003D2713">
        <w:rPr>
          <w:rFonts w:ascii="Times New Roman" w:hAnsi="Times New Roman"/>
          <w:i/>
          <w:sz w:val="24"/>
          <w:szCs w:val="24"/>
        </w:rPr>
        <w:t xml:space="preserve"> de </w:t>
      </w:r>
      <w:proofErr w:type="spellStart"/>
      <w:r w:rsidRPr="003D2713">
        <w:rPr>
          <w:rFonts w:ascii="Times New Roman" w:hAnsi="Times New Roman"/>
          <w:i/>
          <w:sz w:val="24"/>
          <w:szCs w:val="24"/>
        </w:rPr>
        <w:t>sociologie</w:t>
      </w:r>
      <w:proofErr w:type="spellEnd"/>
      <w:r w:rsidRPr="003D2713">
        <w:rPr>
          <w:rFonts w:ascii="Times New Roman" w:hAnsi="Times New Roman"/>
          <w:i/>
          <w:sz w:val="24"/>
          <w:szCs w:val="24"/>
        </w:rPr>
        <w:t xml:space="preserve"> de la </w:t>
      </w:r>
      <w:proofErr w:type="spellStart"/>
      <w:r w:rsidRPr="003D2713">
        <w:rPr>
          <w:rFonts w:ascii="Times New Roman" w:hAnsi="Times New Roman"/>
          <w:i/>
          <w:sz w:val="24"/>
          <w:szCs w:val="24"/>
        </w:rPr>
        <w:t>littérature</w:t>
      </w:r>
      <w:proofErr w:type="spellEnd"/>
      <w:r w:rsidRPr="003D2713">
        <w:rPr>
          <w:rFonts w:ascii="Times New Roman" w:hAnsi="Times New Roman"/>
          <w:sz w:val="24"/>
          <w:szCs w:val="24"/>
        </w:rPr>
        <w:t xml:space="preserve">, Nº 1.  </w:t>
      </w:r>
    </w:p>
    <w:p w:rsidR="00410FA6" w:rsidRPr="003D2713" w:rsidRDefault="00410FA6" w:rsidP="00236C01">
      <w:pPr>
        <w:spacing w:after="0" w:line="240" w:lineRule="auto"/>
        <w:jc w:val="both"/>
        <w:rPr>
          <w:rFonts w:ascii="Times New Roman" w:hAnsi="Times New Roman"/>
          <w:i/>
          <w:sz w:val="24"/>
          <w:szCs w:val="24"/>
        </w:rPr>
      </w:pPr>
      <w:proofErr w:type="spellStart"/>
      <w:r w:rsidRPr="003D2713">
        <w:rPr>
          <w:rFonts w:ascii="Times New Roman" w:hAnsi="Times New Roman"/>
          <w:sz w:val="24"/>
          <w:szCs w:val="24"/>
        </w:rPr>
        <w:t>Arfuch</w:t>
      </w:r>
      <w:proofErr w:type="spellEnd"/>
      <w:r w:rsidRPr="003D2713">
        <w:rPr>
          <w:rFonts w:ascii="Times New Roman" w:hAnsi="Times New Roman"/>
          <w:sz w:val="24"/>
          <w:szCs w:val="24"/>
        </w:rPr>
        <w:t xml:space="preserve">, L. (1997). </w:t>
      </w:r>
      <w:r w:rsidRPr="003D2713">
        <w:rPr>
          <w:rFonts w:ascii="Times New Roman" w:hAnsi="Times New Roman"/>
          <w:i/>
          <w:sz w:val="24"/>
          <w:szCs w:val="24"/>
        </w:rPr>
        <w:t>Crímenes y pecados. De los jóvenes en la crónica policial</w:t>
      </w:r>
      <w:r w:rsidRPr="003D2713">
        <w:rPr>
          <w:rFonts w:ascii="Times New Roman" w:hAnsi="Times New Roman"/>
          <w:sz w:val="24"/>
          <w:szCs w:val="24"/>
        </w:rPr>
        <w:t>. Buenos Aires: UNICEF.</w:t>
      </w:r>
      <w:r w:rsidRPr="003D2713">
        <w:rPr>
          <w:rFonts w:ascii="Times New Roman" w:hAnsi="Times New Roman"/>
          <w:i/>
          <w:sz w:val="24"/>
          <w:szCs w:val="24"/>
        </w:rPr>
        <w:t xml:space="preserve">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Arnoux</w:t>
      </w:r>
      <w:proofErr w:type="spellEnd"/>
      <w:r w:rsidRPr="003D2713">
        <w:rPr>
          <w:rFonts w:ascii="Times New Roman" w:hAnsi="Times New Roman"/>
          <w:sz w:val="24"/>
          <w:szCs w:val="24"/>
        </w:rPr>
        <w:t xml:space="preserve">, E. y Di Stefano, M. Eds. (2017). </w:t>
      </w:r>
      <w:proofErr w:type="spellStart"/>
      <w:r w:rsidRPr="003D2713">
        <w:rPr>
          <w:rFonts w:ascii="Times New Roman" w:hAnsi="Times New Roman"/>
          <w:i/>
          <w:sz w:val="24"/>
          <w:szCs w:val="24"/>
        </w:rPr>
        <w:t>Discursividades</w:t>
      </w:r>
      <w:proofErr w:type="spellEnd"/>
      <w:r w:rsidRPr="003D2713">
        <w:rPr>
          <w:rFonts w:ascii="Times New Roman" w:hAnsi="Times New Roman"/>
          <w:i/>
          <w:sz w:val="24"/>
          <w:szCs w:val="24"/>
        </w:rPr>
        <w:t xml:space="preserve"> políticas. En torno de los peronismos</w:t>
      </w:r>
      <w:r w:rsidRPr="003D2713">
        <w:rPr>
          <w:rFonts w:ascii="Times New Roman" w:hAnsi="Times New Roman"/>
          <w:sz w:val="24"/>
          <w:szCs w:val="24"/>
        </w:rPr>
        <w:t xml:space="preserve">. Buenos Aires: </w:t>
      </w:r>
      <w:proofErr w:type="spellStart"/>
      <w:r w:rsidRPr="003D2713">
        <w:rPr>
          <w:rFonts w:ascii="Times New Roman" w:hAnsi="Times New Roman"/>
          <w:sz w:val="24"/>
          <w:szCs w:val="24"/>
        </w:rPr>
        <w:t>Cabiria</w:t>
      </w:r>
      <w:proofErr w:type="spellEnd"/>
      <w:r w:rsidRPr="003D2713">
        <w:rPr>
          <w:rFonts w:ascii="Times New Roman" w:hAnsi="Times New Roman"/>
          <w:sz w:val="24"/>
          <w:szCs w:val="24"/>
        </w:rPr>
        <w:t xml:space="preserve">. </w:t>
      </w:r>
      <w:r w:rsidRPr="003D2713">
        <w:rPr>
          <w:rFonts w:ascii="Times New Roman" w:hAnsi="Times New Roman"/>
          <w:i/>
          <w:sz w:val="24"/>
          <w:szCs w:val="24"/>
        </w:rPr>
        <w:t xml:space="preserve">   </w:t>
      </w:r>
      <w:r w:rsidRPr="003D2713">
        <w:rPr>
          <w:rFonts w:ascii="Times New Roman" w:hAnsi="Times New Roman"/>
          <w:sz w:val="24"/>
          <w:szCs w:val="24"/>
        </w:rPr>
        <w:t xml:space="preserve">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Barros, M. y Quintana, M. M. (2019). “Elogio/s de la violencia: notas sobre el discurso del </w:t>
      </w:r>
      <w:r w:rsidRPr="003D2713">
        <w:rPr>
          <w:rFonts w:ascii="Times New Roman" w:hAnsi="Times New Roman"/>
          <w:i/>
          <w:sz w:val="24"/>
          <w:szCs w:val="24"/>
        </w:rPr>
        <w:t xml:space="preserve">amor </w:t>
      </w:r>
      <w:r w:rsidRPr="003D2713">
        <w:rPr>
          <w:rFonts w:ascii="Times New Roman" w:hAnsi="Times New Roman"/>
          <w:sz w:val="24"/>
          <w:szCs w:val="24"/>
        </w:rPr>
        <w:t xml:space="preserve">(y el odio) en Cambiemos”. Revista </w:t>
      </w:r>
      <w:r w:rsidRPr="003D2713">
        <w:rPr>
          <w:rFonts w:ascii="Times New Roman" w:hAnsi="Times New Roman"/>
          <w:i/>
          <w:sz w:val="24"/>
          <w:szCs w:val="24"/>
        </w:rPr>
        <w:t xml:space="preserve">Bordes. </w:t>
      </w:r>
      <w:r w:rsidRPr="003D2713">
        <w:rPr>
          <w:rFonts w:ascii="Times New Roman" w:hAnsi="Times New Roman"/>
          <w:sz w:val="24"/>
          <w:szCs w:val="24"/>
        </w:rPr>
        <w:t xml:space="preserve">Nº 13. 13 de junio. </w:t>
      </w:r>
      <w:proofErr w:type="spellStart"/>
      <w:r w:rsidRPr="003D2713">
        <w:rPr>
          <w:rFonts w:ascii="Times New Roman" w:hAnsi="Times New Roman"/>
          <w:sz w:val="24"/>
          <w:szCs w:val="24"/>
        </w:rPr>
        <w:t>UNPaz</w:t>
      </w:r>
      <w:proofErr w:type="spellEnd"/>
      <w:r w:rsidRPr="003D2713">
        <w:rPr>
          <w:rFonts w:ascii="Times New Roman" w:hAnsi="Times New Roman"/>
          <w:sz w:val="24"/>
          <w:szCs w:val="24"/>
        </w:rPr>
        <w:t xml:space="preserve">.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Berlant</w:t>
      </w:r>
      <w:proofErr w:type="spellEnd"/>
      <w:r w:rsidRPr="003D2713">
        <w:rPr>
          <w:rFonts w:ascii="Times New Roman" w:hAnsi="Times New Roman"/>
          <w:sz w:val="24"/>
          <w:szCs w:val="24"/>
        </w:rPr>
        <w:t xml:space="preserve">, L. (2911). </w:t>
      </w:r>
      <w:r w:rsidRPr="003D2713">
        <w:rPr>
          <w:rFonts w:ascii="Times New Roman" w:hAnsi="Times New Roman"/>
          <w:i/>
          <w:sz w:val="24"/>
          <w:szCs w:val="24"/>
        </w:rPr>
        <w:t>El corazón de una nación</w:t>
      </w:r>
      <w:r w:rsidRPr="003D2713">
        <w:rPr>
          <w:rFonts w:ascii="Times New Roman" w:hAnsi="Times New Roman"/>
          <w:sz w:val="24"/>
          <w:szCs w:val="24"/>
        </w:rPr>
        <w:t>. México: FCE.</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Butler, J. (1997). </w:t>
      </w:r>
      <w:r w:rsidRPr="003D2713">
        <w:rPr>
          <w:rFonts w:ascii="Times New Roman" w:hAnsi="Times New Roman"/>
          <w:i/>
          <w:sz w:val="24"/>
          <w:szCs w:val="24"/>
        </w:rPr>
        <w:t>Lenguaje, poder, identidad</w:t>
      </w:r>
      <w:r w:rsidRPr="003D2713">
        <w:rPr>
          <w:rFonts w:ascii="Times New Roman" w:hAnsi="Times New Roman"/>
          <w:sz w:val="24"/>
          <w:szCs w:val="24"/>
        </w:rPr>
        <w:t>. Madrid: Síntesis.</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Butler, J. (2002). </w:t>
      </w:r>
      <w:r w:rsidRPr="003D2713">
        <w:rPr>
          <w:rFonts w:ascii="Times New Roman" w:hAnsi="Times New Roman"/>
          <w:i/>
          <w:sz w:val="24"/>
          <w:szCs w:val="24"/>
        </w:rPr>
        <w:t>Cuerpos que importan. Sobre los límites materiales y discursivos del “sexo”.</w:t>
      </w:r>
      <w:r w:rsidRPr="003D2713">
        <w:rPr>
          <w:rFonts w:ascii="Times New Roman" w:hAnsi="Times New Roman"/>
          <w:sz w:val="24"/>
          <w:szCs w:val="24"/>
        </w:rPr>
        <w:t xml:space="preserve"> Buenos Aires: Paidós.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Butler, J. (2006). </w:t>
      </w:r>
      <w:r w:rsidRPr="003D2713">
        <w:rPr>
          <w:rFonts w:ascii="Times New Roman" w:hAnsi="Times New Roman"/>
          <w:i/>
          <w:sz w:val="24"/>
          <w:szCs w:val="24"/>
        </w:rPr>
        <w:t>Vida precaria. El poder del duelo y la violencia</w:t>
      </w:r>
      <w:r w:rsidRPr="003D2713">
        <w:rPr>
          <w:rFonts w:ascii="Times New Roman" w:hAnsi="Times New Roman"/>
          <w:sz w:val="24"/>
          <w:szCs w:val="24"/>
        </w:rPr>
        <w:t>. Buenos Aires: Paidós.</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Butler, J. (2010).</w:t>
      </w:r>
      <w:r w:rsidRPr="003D2713">
        <w:rPr>
          <w:rFonts w:ascii="Times New Roman" w:hAnsi="Times New Roman"/>
          <w:i/>
          <w:sz w:val="24"/>
          <w:szCs w:val="24"/>
        </w:rPr>
        <w:t xml:space="preserve"> Marcos de guerra. Las vidas lloradas</w:t>
      </w:r>
      <w:r w:rsidRPr="003D2713">
        <w:rPr>
          <w:rFonts w:ascii="Times New Roman" w:hAnsi="Times New Roman"/>
          <w:sz w:val="24"/>
          <w:szCs w:val="24"/>
        </w:rPr>
        <w:t>. Buenos Aires: Paidós.</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Butler, J. (2017). </w:t>
      </w:r>
      <w:r w:rsidRPr="003D2713">
        <w:rPr>
          <w:rFonts w:ascii="Times New Roman" w:hAnsi="Times New Roman"/>
          <w:i/>
          <w:sz w:val="24"/>
          <w:szCs w:val="24"/>
        </w:rPr>
        <w:t xml:space="preserve">Cuerpos aliados y lucha política. Hacia una teoría </w:t>
      </w:r>
      <w:proofErr w:type="spellStart"/>
      <w:r w:rsidRPr="003D2713">
        <w:rPr>
          <w:rFonts w:ascii="Times New Roman" w:hAnsi="Times New Roman"/>
          <w:i/>
          <w:sz w:val="24"/>
          <w:szCs w:val="24"/>
        </w:rPr>
        <w:t>performativa</w:t>
      </w:r>
      <w:proofErr w:type="spellEnd"/>
      <w:r w:rsidRPr="003D2713">
        <w:rPr>
          <w:rFonts w:ascii="Times New Roman" w:hAnsi="Times New Roman"/>
          <w:i/>
          <w:sz w:val="24"/>
          <w:szCs w:val="24"/>
        </w:rPr>
        <w:t xml:space="preserve"> de la asamblea</w:t>
      </w:r>
      <w:r w:rsidRPr="003D2713">
        <w:rPr>
          <w:rFonts w:ascii="Times New Roman" w:hAnsi="Times New Roman"/>
          <w:sz w:val="24"/>
          <w:szCs w:val="24"/>
        </w:rPr>
        <w:t>. Buenos Aires: Paidós.</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Butler, J. y </w:t>
      </w:r>
      <w:proofErr w:type="spellStart"/>
      <w:r w:rsidRPr="003D2713">
        <w:rPr>
          <w:rFonts w:ascii="Times New Roman" w:hAnsi="Times New Roman"/>
          <w:sz w:val="24"/>
          <w:szCs w:val="24"/>
        </w:rPr>
        <w:t>Athanasiou</w:t>
      </w:r>
      <w:proofErr w:type="spellEnd"/>
      <w:r w:rsidRPr="003D2713">
        <w:rPr>
          <w:rFonts w:ascii="Times New Roman" w:hAnsi="Times New Roman"/>
          <w:sz w:val="24"/>
          <w:szCs w:val="24"/>
        </w:rPr>
        <w:t xml:space="preserve">, A.  (2017). </w:t>
      </w:r>
      <w:r w:rsidRPr="003D2713">
        <w:rPr>
          <w:rFonts w:ascii="Times New Roman" w:hAnsi="Times New Roman"/>
          <w:i/>
          <w:sz w:val="24"/>
          <w:szCs w:val="24"/>
        </w:rPr>
        <w:t xml:space="preserve">Desposesión: lo </w:t>
      </w:r>
      <w:proofErr w:type="spellStart"/>
      <w:r w:rsidRPr="003D2713">
        <w:rPr>
          <w:rFonts w:ascii="Times New Roman" w:hAnsi="Times New Roman"/>
          <w:i/>
          <w:sz w:val="24"/>
          <w:szCs w:val="24"/>
        </w:rPr>
        <w:t>performativo</w:t>
      </w:r>
      <w:proofErr w:type="spellEnd"/>
      <w:r w:rsidRPr="003D2713">
        <w:rPr>
          <w:rFonts w:ascii="Times New Roman" w:hAnsi="Times New Roman"/>
          <w:i/>
          <w:sz w:val="24"/>
          <w:szCs w:val="24"/>
        </w:rPr>
        <w:t xml:space="preserve"> en lo político</w:t>
      </w:r>
      <w:r w:rsidRPr="003D2713">
        <w:rPr>
          <w:rFonts w:ascii="Times New Roman" w:hAnsi="Times New Roman"/>
          <w:sz w:val="24"/>
          <w:szCs w:val="24"/>
        </w:rPr>
        <w:t xml:space="preserve">. Buenos Aires: Eterna Cadencia.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Brown, W. (2016). </w:t>
      </w:r>
      <w:r w:rsidRPr="003D2713">
        <w:rPr>
          <w:rFonts w:ascii="Times New Roman" w:hAnsi="Times New Roman"/>
          <w:i/>
          <w:sz w:val="24"/>
          <w:szCs w:val="24"/>
        </w:rPr>
        <w:t>El pueblo sin atributos</w:t>
      </w:r>
      <w:r w:rsidRPr="003D2713">
        <w:rPr>
          <w:rFonts w:ascii="Times New Roman" w:hAnsi="Times New Roman"/>
          <w:sz w:val="24"/>
          <w:szCs w:val="24"/>
        </w:rPr>
        <w:t xml:space="preserve">. Barcelona: Malpaso.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Dahbar</w:t>
      </w:r>
      <w:proofErr w:type="spellEnd"/>
      <w:r w:rsidRPr="003D2713">
        <w:rPr>
          <w:rFonts w:ascii="Times New Roman" w:hAnsi="Times New Roman"/>
          <w:sz w:val="24"/>
          <w:szCs w:val="24"/>
        </w:rPr>
        <w:t xml:space="preserve">, V. (2017). “Ontología socio-corporal en la filosofía de Judith Butler. Para volver a pensar la acción política”. En: Revista </w:t>
      </w:r>
      <w:proofErr w:type="spellStart"/>
      <w:r w:rsidRPr="003D2713">
        <w:rPr>
          <w:rFonts w:ascii="Times New Roman" w:hAnsi="Times New Roman"/>
          <w:i/>
          <w:sz w:val="24"/>
          <w:szCs w:val="24"/>
        </w:rPr>
        <w:t>Isegoría</w:t>
      </w:r>
      <w:proofErr w:type="spellEnd"/>
      <w:r w:rsidRPr="003D2713">
        <w:rPr>
          <w:rFonts w:ascii="Times New Roman" w:hAnsi="Times New Roman"/>
          <w:sz w:val="24"/>
          <w:szCs w:val="24"/>
        </w:rPr>
        <w:t xml:space="preserve">. Nº 56. Enero-junio.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Dana, M. (2016). “Ontología de la vulnerabilidad y políticas del duelo en Judith Butler”. En: Revista </w:t>
      </w:r>
      <w:r w:rsidRPr="003D2713">
        <w:rPr>
          <w:rFonts w:ascii="Times New Roman" w:hAnsi="Times New Roman"/>
          <w:i/>
          <w:sz w:val="24"/>
          <w:szCs w:val="24"/>
        </w:rPr>
        <w:t xml:space="preserve">Open </w:t>
      </w:r>
      <w:proofErr w:type="spellStart"/>
      <w:r w:rsidRPr="003D2713">
        <w:rPr>
          <w:rFonts w:ascii="Times New Roman" w:hAnsi="Times New Roman"/>
          <w:i/>
          <w:sz w:val="24"/>
          <w:szCs w:val="24"/>
        </w:rPr>
        <w:t>Insight</w:t>
      </w:r>
      <w:proofErr w:type="spellEnd"/>
      <w:r w:rsidRPr="003D2713">
        <w:rPr>
          <w:rFonts w:ascii="Times New Roman" w:hAnsi="Times New Roman"/>
          <w:sz w:val="24"/>
          <w:szCs w:val="24"/>
        </w:rPr>
        <w:t xml:space="preserve">, Vol. VII, Nº 11.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lastRenderedPageBreak/>
        <w:t>Fairclough</w:t>
      </w:r>
      <w:proofErr w:type="spellEnd"/>
      <w:r w:rsidRPr="003D2713">
        <w:rPr>
          <w:rFonts w:ascii="Times New Roman" w:hAnsi="Times New Roman"/>
          <w:sz w:val="24"/>
          <w:szCs w:val="24"/>
        </w:rPr>
        <w:t xml:space="preserve">, N. (1993). “Análisis del discurso como método para la investigación en ciencias sociales”. En: </w:t>
      </w:r>
      <w:proofErr w:type="spellStart"/>
      <w:r w:rsidRPr="003D2713">
        <w:rPr>
          <w:rFonts w:ascii="Times New Roman" w:hAnsi="Times New Roman"/>
          <w:sz w:val="24"/>
          <w:szCs w:val="24"/>
        </w:rPr>
        <w:t>Wodak</w:t>
      </w:r>
      <w:proofErr w:type="spellEnd"/>
      <w:r w:rsidRPr="003D2713">
        <w:rPr>
          <w:rFonts w:ascii="Times New Roman" w:hAnsi="Times New Roman"/>
          <w:sz w:val="24"/>
          <w:szCs w:val="24"/>
        </w:rPr>
        <w:t>, R. y Meyer, M.</w:t>
      </w:r>
      <w:r w:rsidRPr="003D2713">
        <w:rPr>
          <w:rFonts w:ascii="Times New Roman" w:hAnsi="Times New Roman"/>
          <w:i/>
          <w:sz w:val="24"/>
          <w:szCs w:val="24"/>
        </w:rPr>
        <w:t xml:space="preserve"> Métodos de análisis crítico del discurso</w:t>
      </w:r>
      <w:r w:rsidRPr="003D2713">
        <w:rPr>
          <w:rFonts w:ascii="Times New Roman" w:hAnsi="Times New Roman"/>
          <w:sz w:val="24"/>
          <w:szCs w:val="24"/>
        </w:rPr>
        <w:t xml:space="preserve">. Barcelona: </w:t>
      </w:r>
      <w:proofErr w:type="spellStart"/>
      <w:r w:rsidRPr="003D2713">
        <w:rPr>
          <w:rFonts w:ascii="Times New Roman" w:hAnsi="Times New Roman"/>
          <w:sz w:val="24"/>
          <w:szCs w:val="24"/>
        </w:rPr>
        <w:t>Gedisa</w:t>
      </w:r>
      <w:proofErr w:type="spellEnd"/>
      <w:r w:rsidRPr="003D2713">
        <w:rPr>
          <w:rFonts w:ascii="Times New Roman" w:hAnsi="Times New Roman"/>
          <w:sz w:val="24"/>
          <w:szCs w:val="24"/>
        </w:rPr>
        <w:t xml:space="preserve">. </w:t>
      </w:r>
      <w:r w:rsidRPr="003D2713">
        <w:rPr>
          <w:rFonts w:ascii="Times New Roman" w:hAnsi="Times New Roman"/>
          <w:i/>
          <w:sz w:val="24"/>
          <w:szCs w:val="24"/>
        </w:rPr>
        <w:t xml:space="preserve"> </w:t>
      </w:r>
      <w:r w:rsidRPr="003D2713">
        <w:rPr>
          <w:rFonts w:ascii="Times New Roman" w:hAnsi="Times New Roman"/>
          <w:sz w:val="24"/>
          <w:szCs w:val="24"/>
        </w:rPr>
        <w:t xml:space="preserve">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Foucault, M. (2002). </w:t>
      </w:r>
      <w:r w:rsidRPr="003D2713">
        <w:rPr>
          <w:rFonts w:ascii="Times New Roman" w:hAnsi="Times New Roman"/>
          <w:i/>
          <w:sz w:val="24"/>
          <w:szCs w:val="24"/>
        </w:rPr>
        <w:t>La arqueología del saber</w:t>
      </w:r>
      <w:r w:rsidRPr="003D2713">
        <w:rPr>
          <w:rFonts w:ascii="Times New Roman" w:hAnsi="Times New Roman"/>
          <w:sz w:val="24"/>
          <w:szCs w:val="24"/>
        </w:rPr>
        <w:t>. Buenos Aires: Siglo XXI.</w:t>
      </w:r>
    </w:p>
    <w:p w:rsidR="000C6227" w:rsidRPr="003D2713" w:rsidRDefault="000C6227" w:rsidP="00236C01">
      <w:pPr>
        <w:spacing w:after="0" w:line="240" w:lineRule="auto"/>
        <w:jc w:val="both"/>
        <w:rPr>
          <w:rFonts w:ascii="Times New Roman" w:hAnsi="Times New Roman"/>
          <w:sz w:val="24"/>
          <w:szCs w:val="24"/>
          <w:lang w:val="en-US"/>
        </w:rPr>
      </w:pPr>
      <w:proofErr w:type="spellStart"/>
      <w:r w:rsidRPr="003D2713">
        <w:rPr>
          <w:rFonts w:ascii="Times New Roman" w:hAnsi="Times New Roman"/>
          <w:sz w:val="24"/>
          <w:szCs w:val="24"/>
        </w:rPr>
        <w:t>Greimas</w:t>
      </w:r>
      <w:proofErr w:type="spellEnd"/>
      <w:r w:rsidRPr="003D2713">
        <w:rPr>
          <w:rFonts w:ascii="Times New Roman" w:hAnsi="Times New Roman"/>
          <w:sz w:val="24"/>
          <w:szCs w:val="24"/>
        </w:rPr>
        <w:t xml:space="preserve">, A. y </w:t>
      </w:r>
      <w:proofErr w:type="spellStart"/>
      <w:r w:rsidRPr="003D2713">
        <w:rPr>
          <w:rFonts w:ascii="Times New Roman" w:hAnsi="Times New Roman"/>
          <w:sz w:val="24"/>
          <w:szCs w:val="24"/>
        </w:rPr>
        <w:t>Courtés</w:t>
      </w:r>
      <w:proofErr w:type="spellEnd"/>
      <w:r w:rsidRPr="003D2713">
        <w:rPr>
          <w:rFonts w:ascii="Times New Roman" w:hAnsi="Times New Roman"/>
          <w:sz w:val="24"/>
          <w:szCs w:val="24"/>
        </w:rPr>
        <w:t xml:space="preserve">, J. (1990). </w:t>
      </w:r>
      <w:r w:rsidRPr="003D2713">
        <w:rPr>
          <w:rFonts w:ascii="Times New Roman" w:hAnsi="Times New Roman"/>
          <w:i/>
          <w:sz w:val="24"/>
          <w:szCs w:val="24"/>
        </w:rPr>
        <w:t>Semiótica. Diccionario razonado de la teoría del lenguaje</w:t>
      </w:r>
      <w:r w:rsidRPr="003D2713">
        <w:rPr>
          <w:rFonts w:ascii="Times New Roman" w:hAnsi="Times New Roman"/>
          <w:sz w:val="24"/>
          <w:szCs w:val="24"/>
        </w:rPr>
        <w:t xml:space="preserve">. </w:t>
      </w:r>
      <w:r w:rsidRPr="003D2713">
        <w:rPr>
          <w:rFonts w:ascii="Times New Roman" w:hAnsi="Times New Roman"/>
          <w:sz w:val="24"/>
          <w:szCs w:val="24"/>
          <w:lang w:val="en-US"/>
        </w:rPr>
        <w:t xml:space="preserve">Madrid: </w:t>
      </w:r>
      <w:proofErr w:type="spellStart"/>
      <w:r w:rsidRPr="003D2713">
        <w:rPr>
          <w:rFonts w:ascii="Times New Roman" w:hAnsi="Times New Roman"/>
          <w:sz w:val="24"/>
          <w:szCs w:val="24"/>
          <w:lang w:val="en-US"/>
        </w:rPr>
        <w:t>Gredos</w:t>
      </w:r>
      <w:proofErr w:type="spellEnd"/>
      <w:r w:rsidRPr="003D2713">
        <w:rPr>
          <w:rFonts w:ascii="Times New Roman" w:hAnsi="Times New Roman"/>
          <w:sz w:val="24"/>
          <w:szCs w:val="24"/>
          <w:lang w:val="en-US"/>
        </w:rPr>
        <w:t xml:space="preserve">.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lang w:val="en-US"/>
        </w:rPr>
        <w:t xml:space="preserve">Hall, Stuart (2016). “The neo-liberal revolution”. </w:t>
      </w:r>
      <w:r w:rsidRPr="003D2713">
        <w:rPr>
          <w:rFonts w:ascii="Times New Roman" w:hAnsi="Times New Roman"/>
          <w:i/>
          <w:sz w:val="24"/>
          <w:szCs w:val="24"/>
          <w:lang w:val="en-US"/>
        </w:rPr>
        <w:t>Cultural Studies</w:t>
      </w:r>
      <w:r w:rsidRPr="003D2713">
        <w:rPr>
          <w:rFonts w:ascii="Times New Roman" w:hAnsi="Times New Roman"/>
          <w:sz w:val="24"/>
          <w:szCs w:val="24"/>
          <w:lang w:val="en-US"/>
        </w:rPr>
        <w:t xml:space="preserve">, Nº 25:6. </w:t>
      </w:r>
      <w:r w:rsidRPr="003D2713">
        <w:rPr>
          <w:rFonts w:ascii="Times New Roman" w:hAnsi="Times New Roman"/>
          <w:sz w:val="24"/>
          <w:szCs w:val="24"/>
        </w:rPr>
        <w:t xml:space="preserve">Sept.  </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Laval, C. y </w:t>
      </w:r>
      <w:proofErr w:type="spellStart"/>
      <w:r w:rsidRPr="003D2713">
        <w:rPr>
          <w:rFonts w:ascii="Times New Roman" w:hAnsi="Times New Roman"/>
          <w:sz w:val="24"/>
          <w:szCs w:val="24"/>
        </w:rPr>
        <w:t>Dardot</w:t>
      </w:r>
      <w:proofErr w:type="spellEnd"/>
      <w:r w:rsidRPr="003D2713">
        <w:rPr>
          <w:rFonts w:ascii="Times New Roman" w:hAnsi="Times New Roman"/>
          <w:sz w:val="24"/>
          <w:szCs w:val="24"/>
        </w:rPr>
        <w:t xml:space="preserve">, P. (2013). </w:t>
      </w:r>
      <w:r w:rsidRPr="003D2713">
        <w:rPr>
          <w:rFonts w:ascii="Times New Roman" w:hAnsi="Times New Roman"/>
          <w:i/>
          <w:sz w:val="24"/>
          <w:szCs w:val="24"/>
        </w:rPr>
        <w:t>La nueva razón del mundo</w:t>
      </w:r>
      <w:r w:rsidRPr="003D2713">
        <w:rPr>
          <w:rFonts w:ascii="Times New Roman" w:hAnsi="Times New Roman"/>
          <w:sz w:val="24"/>
          <w:szCs w:val="24"/>
        </w:rPr>
        <w:t xml:space="preserve">. </w:t>
      </w:r>
      <w:proofErr w:type="spellStart"/>
      <w:r w:rsidRPr="003D2713">
        <w:rPr>
          <w:rFonts w:ascii="Times New Roman" w:hAnsi="Times New Roman"/>
          <w:sz w:val="24"/>
          <w:szCs w:val="24"/>
        </w:rPr>
        <w:t>Gedisa</w:t>
      </w:r>
      <w:proofErr w:type="spellEnd"/>
      <w:r w:rsidRPr="003D2713">
        <w:rPr>
          <w:rFonts w:ascii="Times New Roman" w:hAnsi="Times New Roman"/>
          <w:sz w:val="24"/>
          <w:szCs w:val="24"/>
        </w:rPr>
        <w:t>: Barcelona.</w:t>
      </w:r>
    </w:p>
    <w:p w:rsidR="000C6227" w:rsidRPr="003D2713"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Martínez, F. (2016). “Nuevos sujetos neoliberales. Configuraciones sobre el mérito en el discurso del PRO”. Revista </w:t>
      </w:r>
      <w:r w:rsidRPr="003D2713">
        <w:rPr>
          <w:rFonts w:ascii="Times New Roman" w:hAnsi="Times New Roman"/>
          <w:i/>
          <w:sz w:val="24"/>
          <w:szCs w:val="24"/>
        </w:rPr>
        <w:t>Oficios Terrestres</w:t>
      </w:r>
      <w:r w:rsidRPr="003D2713">
        <w:rPr>
          <w:rFonts w:ascii="Times New Roman" w:hAnsi="Times New Roman"/>
          <w:sz w:val="24"/>
          <w:szCs w:val="24"/>
        </w:rPr>
        <w:t xml:space="preserve">, Nº 35, UNLP. </w:t>
      </w:r>
    </w:p>
    <w:p w:rsidR="00236C01" w:rsidRPr="003D2713" w:rsidRDefault="00236C01"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Martini, S. (2000). </w:t>
      </w:r>
      <w:r w:rsidRPr="003D2713">
        <w:rPr>
          <w:rFonts w:ascii="Times New Roman" w:hAnsi="Times New Roman"/>
          <w:i/>
          <w:sz w:val="24"/>
          <w:szCs w:val="24"/>
        </w:rPr>
        <w:t xml:space="preserve">Periodismo, noticia y </w:t>
      </w:r>
      <w:proofErr w:type="spellStart"/>
      <w:r w:rsidRPr="003D2713">
        <w:rPr>
          <w:rFonts w:ascii="Times New Roman" w:hAnsi="Times New Roman"/>
          <w:i/>
          <w:sz w:val="24"/>
          <w:szCs w:val="24"/>
        </w:rPr>
        <w:t>noticiabilidad</w:t>
      </w:r>
      <w:proofErr w:type="spellEnd"/>
      <w:r w:rsidRPr="003D2713">
        <w:rPr>
          <w:rFonts w:ascii="Times New Roman" w:hAnsi="Times New Roman"/>
          <w:sz w:val="24"/>
          <w:szCs w:val="24"/>
        </w:rPr>
        <w:t xml:space="preserve">. Buenos Aires: Norma. </w:t>
      </w:r>
    </w:p>
    <w:p w:rsidR="000C6227"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Lorey</w:t>
      </w:r>
      <w:proofErr w:type="spellEnd"/>
      <w:r w:rsidRPr="003D2713">
        <w:rPr>
          <w:rFonts w:ascii="Times New Roman" w:hAnsi="Times New Roman"/>
          <w:sz w:val="24"/>
          <w:szCs w:val="24"/>
        </w:rPr>
        <w:t xml:space="preserve">, I. (2016). </w:t>
      </w:r>
      <w:r w:rsidRPr="003D2713">
        <w:rPr>
          <w:rFonts w:ascii="Times New Roman" w:hAnsi="Times New Roman"/>
          <w:i/>
          <w:sz w:val="24"/>
          <w:szCs w:val="24"/>
        </w:rPr>
        <w:t xml:space="preserve">Estado de inseguridad. Gobernar la precariedad. </w:t>
      </w:r>
      <w:r w:rsidRPr="003D2713">
        <w:rPr>
          <w:rFonts w:ascii="Times New Roman" w:hAnsi="Times New Roman"/>
          <w:sz w:val="24"/>
          <w:szCs w:val="24"/>
        </w:rPr>
        <w:t xml:space="preserve">Madrid: Traficante de Sueños. </w:t>
      </w:r>
    </w:p>
    <w:p w:rsidR="00410FA6" w:rsidRDefault="00410FA6"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Luchessi</w:t>
      </w:r>
      <w:proofErr w:type="spellEnd"/>
      <w:r w:rsidRPr="003D2713">
        <w:rPr>
          <w:rFonts w:ascii="Times New Roman" w:hAnsi="Times New Roman"/>
          <w:sz w:val="24"/>
          <w:szCs w:val="24"/>
        </w:rPr>
        <w:t xml:space="preserve">, L. y Rodríguez, M. G. (2007). </w:t>
      </w:r>
      <w:r w:rsidRPr="003D2713">
        <w:rPr>
          <w:rFonts w:ascii="Times New Roman" w:hAnsi="Times New Roman"/>
          <w:i/>
          <w:sz w:val="24"/>
          <w:szCs w:val="24"/>
        </w:rPr>
        <w:t xml:space="preserve">Fronteras globales. Cultura </w:t>
      </w:r>
      <w:proofErr w:type="spellStart"/>
      <w:r w:rsidRPr="003D2713">
        <w:rPr>
          <w:rFonts w:ascii="Times New Roman" w:hAnsi="Times New Roman"/>
          <w:i/>
          <w:sz w:val="24"/>
          <w:szCs w:val="24"/>
        </w:rPr>
        <w:t>politica</w:t>
      </w:r>
      <w:proofErr w:type="spellEnd"/>
      <w:r w:rsidRPr="003D2713">
        <w:rPr>
          <w:rFonts w:ascii="Times New Roman" w:hAnsi="Times New Roman"/>
          <w:i/>
          <w:sz w:val="24"/>
          <w:szCs w:val="24"/>
        </w:rPr>
        <w:t xml:space="preserve"> y medios de comunicación</w:t>
      </w:r>
      <w:r w:rsidRPr="003D2713">
        <w:rPr>
          <w:rFonts w:ascii="Times New Roman" w:hAnsi="Times New Roman"/>
          <w:sz w:val="24"/>
          <w:szCs w:val="24"/>
        </w:rPr>
        <w:t xml:space="preserve">. Buenos Aires: La Crujía. </w:t>
      </w:r>
    </w:p>
    <w:p w:rsidR="00236C01" w:rsidRPr="003D2713" w:rsidRDefault="00236C01"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Reguillo, R. (2008). “Las múltiples fronteras de la violencia: jóvenes latinoamericanos entre la precarización y el desencanto”. Revista </w:t>
      </w:r>
      <w:proofErr w:type="spellStart"/>
      <w:r w:rsidRPr="003D2713">
        <w:rPr>
          <w:rFonts w:ascii="Times New Roman" w:hAnsi="Times New Roman"/>
          <w:i/>
          <w:sz w:val="24"/>
          <w:szCs w:val="24"/>
        </w:rPr>
        <w:t>Pensaiento</w:t>
      </w:r>
      <w:proofErr w:type="spellEnd"/>
      <w:r w:rsidRPr="003D2713">
        <w:rPr>
          <w:rFonts w:ascii="Times New Roman" w:hAnsi="Times New Roman"/>
          <w:i/>
          <w:sz w:val="24"/>
          <w:szCs w:val="24"/>
        </w:rPr>
        <w:t xml:space="preserve"> Iberoamericano</w:t>
      </w:r>
      <w:r w:rsidRPr="003D2713">
        <w:rPr>
          <w:rFonts w:ascii="Times New Roman" w:hAnsi="Times New Roman"/>
          <w:sz w:val="24"/>
          <w:szCs w:val="24"/>
        </w:rPr>
        <w:t xml:space="preserve">, Nº 3. </w:t>
      </w:r>
    </w:p>
    <w:p w:rsidR="00236C01" w:rsidRPr="003D2713" w:rsidRDefault="00236C01"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Reguillo, R. (2012). “De las violencias: caligrafía y gramática del horror”. Revista </w:t>
      </w:r>
      <w:r w:rsidRPr="003D2713">
        <w:rPr>
          <w:rFonts w:ascii="Times New Roman" w:hAnsi="Times New Roman"/>
          <w:i/>
          <w:sz w:val="24"/>
          <w:szCs w:val="24"/>
        </w:rPr>
        <w:t>Desacatos</w:t>
      </w:r>
      <w:r w:rsidRPr="003D2713">
        <w:rPr>
          <w:rFonts w:ascii="Times New Roman" w:hAnsi="Times New Roman"/>
          <w:sz w:val="24"/>
          <w:szCs w:val="24"/>
        </w:rPr>
        <w:t xml:space="preserve">, Nº 40, sept-dic. México.  </w:t>
      </w:r>
    </w:p>
    <w:p w:rsidR="000C6227" w:rsidRDefault="000C6227" w:rsidP="00236C01">
      <w:pPr>
        <w:spacing w:after="0" w:line="240" w:lineRule="auto"/>
        <w:jc w:val="both"/>
        <w:rPr>
          <w:rFonts w:ascii="Times New Roman" w:hAnsi="Times New Roman"/>
          <w:sz w:val="24"/>
          <w:szCs w:val="24"/>
        </w:rPr>
      </w:pPr>
      <w:r w:rsidRPr="003D2713">
        <w:rPr>
          <w:rFonts w:ascii="Times New Roman" w:hAnsi="Times New Roman"/>
          <w:sz w:val="24"/>
          <w:szCs w:val="24"/>
        </w:rPr>
        <w:t xml:space="preserve">Verón, E. (1988). </w:t>
      </w:r>
      <w:r w:rsidRPr="003D2713">
        <w:rPr>
          <w:rFonts w:ascii="Times New Roman" w:hAnsi="Times New Roman"/>
          <w:i/>
          <w:sz w:val="24"/>
          <w:szCs w:val="24"/>
        </w:rPr>
        <w:t xml:space="preserve">La </w:t>
      </w:r>
      <w:proofErr w:type="spellStart"/>
      <w:r w:rsidRPr="003D2713">
        <w:rPr>
          <w:rFonts w:ascii="Times New Roman" w:hAnsi="Times New Roman"/>
          <w:i/>
          <w:sz w:val="24"/>
          <w:szCs w:val="24"/>
        </w:rPr>
        <w:t>semiosis</w:t>
      </w:r>
      <w:proofErr w:type="spellEnd"/>
      <w:r w:rsidRPr="003D2713">
        <w:rPr>
          <w:rFonts w:ascii="Times New Roman" w:hAnsi="Times New Roman"/>
          <w:i/>
          <w:sz w:val="24"/>
          <w:szCs w:val="24"/>
        </w:rPr>
        <w:t xml:space="preserve"> social</w:t>
      </w:r>
      <w:r w:rsidRPr="003D2713">
        <w:rPr>
          <w:rFonts w:ascii="Times New Roman" w:hAnsi="Times New Roman"/>
          <w:sz w:val="24"/>
          <w:szCs w:val="24"/>
        </w:rPr>
        <w:t xml:space="preserve">. Buenos Aires: </w:t>
      </w:r>
      <w:proofErr w:type="spellStart"/>
      <w:r w:rsidRPr="003D2713">
        <w:rPr>
          <w:rFonts w:ascii="Times New Roman" w:hAnsi="Times New Roman"/>
          <w:sz w:val="24"/>
          <w:szCs w:val="24"/>
        </w:rPr>
        <w:t>Gedisa</w:t>
      </w:r>
      <w:proofErr w:type="spellEnd"/>
      <w:r w:rsidRPr="003D2713">
        <w:rPr>
          <w:rFonts w:ascii="Times New Roman" w:hAnsi="Times New Roman"/>
          <w:sz w:val="24"/>
          <w:szCs w:val="24"/>
        </w:rPr>
        <w:t>.</w:t>
      </w:r>
    </w:p>
    <w:p w:rsidR="00410FA6" w:rsidRPr="00410FA6" w:rsidRDefault="00410FA6" w:rsidP="00236C01">
      <w:pPr>
        <w:spacing w:after="0" w:line="240" w:lineRule="auto"/>
        <w:jc w:val="both"/>
        <w:rPr>
          <w:rFonts w:ascii="Times New Roman" w:hAnsi="Times New Roman"/>
          <w:sz w:val="24"/>
          <w:szCs w:val="24"/>
        </w:rPr>
      </w:pPr>
      <w:r>
        <w:rPr>
          <w:rFonts w:ascii="Times New Roman" w:hAnsi="Times New Roman"/>
          <w:sz w:val="24"/>
          <w:szCs w:val="24"/>
        </w:rPr>
        <w:t xml:space="preserve">Verón, E. (1987). </w:t>
      </w:r>
      <w:r>
        <w:rPr>
          <w:rFonts w:ascii="Times New Roman" w:hAnsi="Times New Roman"/>
          <w:i/>
          <w:sz w:val="24"/>
          <w:szCs w:val="24"/>
        </w:rPr>
        <w:t>Construir el acontecimiento</w:t>
      </w:r>
      <w:r>
        <w:rPr>
          <w:rFonts w:ascii="Times New Roman" w:hAnsi="Times New Roman"/>
          <w:sz w:val="24"/>
          <w:szCs w:val="24"/>
        </w:rPr>
        <w:t xml:space="preserve">. Barcelona: </w:t>
      </w:r>
      <w:proofErr w:type="spellStart"/>
      <w:r>
        <w:rPr>
          <w:rFonts w:ascii="Times New Roman" w:hAnsi="Times New Roman"/>
          <w:sz w:val="24"/>
          <w:szCs w:val="24"/>
        </w:rPr>
        <w:t>Gedisa</w:t>
      </w:r>
      <w:proofErr w:type="spellEnd"/>
      <w:r>
        <w:rPr>
          <w:rFonts w:ascii="Times New Roman" w:hAnsi="Times New Roman"/>
          <w:sz w:val="24"/>
          <w:szCs w:val="24"/>
        </w:rPr>
        <w:t xml:space="preserve">. </w:t>
      </w:r>
    </w:p>
    <w:p w:rsidR="000C6227" w:rsidRPr="003D2713" w:rsidRDefault="000C6227" w:rsidP="00236C01">
      <w:pPr>
        <w:spacing w:after="0" w:line="240" w:lineRule="auto"/>
        <w:jc w:val="both"/>
        <w:rPr>
          <w:rFonts w:ascii="Times New Roman" w:hAnsi="Times New Roman"/>
          <w:sz w:val="24"/>
          <w:szCs w:val="24"/>
        </w:rPr>
      </w:pPr>
      <w:proofErr w:type="spellStart"/>
      <w:r w:rsidRPr="003D2713">
        <w:rPr>
          <w:rFonts w:ascii="Times New Roman" w:hAnsi="Times New Roman"/>
          <w:sz w:val="24"/>
          <w:szCs w:val="24"/>
        </w:rPr>
        <w:t>Voloshinov</w:t>
      </w:r>
      <w:proofErr w:type="spellEnd"/>
      <w:r w:rsidRPr="003D2713">
        <w:rPr>
          <w:rFonts w:ascii="Times New Roman" w:hAnsi="Times New Roman"/>
          <w:sz w:val="24"/>
          <w:szCs w:val="24"/>
        </w:rPr>
        <w:t xml:space="preserve">, V. (1992). </w:t>
      </w:r>
      <w:r w:rsidRPr="003D2713">
        <w:rPr>
          <w:rFonts w:ascii="Times New Roman" w:hAnsi="Times New Roman"/>
          <w:i/>
          <w:sz w:val="24"/>
          <w:szCs w:val="24"/>
        </w:rPr>
        <w:t xml:space="preserve">El signo ideológico y la filosofía del lenguaje. </w:t>
      </w:r>
      <w:r w:rsidRPr="003D2713">
        <w:rPr>
          <w:rFonts w:ascii="Times New Roman" w:hAnsi="Times New Roman"/>
          <w:sz w:val="24"/>
          <w:szCs w:val="24"/>
        </w:rPr>
        <w:t xml:space="preserve">México: FCE. </w:t>
      </w:r>
    </w:p>
    <w:p w:rsidR="000C6227" w:rsidRPr="003D2713" w:rsidRDefault="000C6227" w:rsidP="00236C01">
      <w:pPr>
        <w:spacing w:after="0" w:line="240" w:lineRule="auto"/>
        <w:jc w:val="both"/>
        <w:rPr>
          <w:rFonts w:ascii="Times New Roman" w:hAnsi="Times New Roman"/>
          <w:sz w:val="24"/>
          <w:szCs w:val="24"/>
        </w:rPr>
      </w:pPr>
    </w:p>
    <w:p w:rsidR="000C6227" w:rsidRPr="003D2713" w:rsidRDefault="000C6227" w:rsidP="003D2713">
      <w:pPr>
        <w:spacing w:after="0" w:line="360" w:lineRule="auto"/>
        <w:jc w:val="both"/>
        <w:rPr>
          <w:rFonts w:ascii="Times New Roman" w:hAnsi="Times New Roman"/>
          <w:sz w:val="24"/>
          <w:szCs w:val="24"/>
        </w:rPr>
      </w:pPr>
    </w:p>
    <w:p w:rsidR="000C6227" w:rsidRPr="003D2713" w:rsidRDefault="000C6227" w:rsidP="003D2713">
      <w:pPr>
        <w:spacing w:after="0" w:line="360" w:lineRule="auto"/>
        <w:jc w:val="both"/>
        <w:rPr>
          <w:rFonts w:ascii="Times New Roman" w:hAnsi="Times New Roman"/>
          <w:sz w:val="24"/>
          <w:szCs w:val="24"/>
        </w:rPr>
      </w:pPr>
    </w:p>
    <w:p w:rsidR="000C6227" w:rsidRPr="003D2713" w:rsidRDefault="000C6227" w:rsidP="003D2713">
      <w:pPr>
        <w:spacing w:after="0" w:line="360" w:lineRule="auto"/>
        <w:jc w:val="both"/>
        <w:rPr>
          <w:rFonts w:ascii="Times New Roman" w:hAnsi="Times New Roman"/>
          <w:sz w:val="24"/>
          <w:szCs w:val="24"/>
        </w:rPr>
      </w:pPr>
    </w:p>
    <w:sectPr w:rsidR="000C6227" w:rsidRPr="003D271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88" w:rsidRDefault="00A87D88" w:rsidP="000C6227">
      <w:pPr>
        <w:spacing w:after="0" w:line="240" w:lineRule="auto"/>
      </w:pPr>
      <w:r>
        <w:separator/>
      </w:r>
    </w:p>
  </w:endnote>
  <w:endnote w:type="continuationSeparator" w:id="0">
    <w:p w:rsidR="00A87D88" w:rsidRDefault="00A87D88" w:rsidP="000C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371053"/>
      <w:docPartObj>
        <w:docPartGallery w:val="Page Numbers (Bottom of Page)"/>
        <w:docPartUnique/>
      </w:docPartObj>
    </w:sdtPr>
    <w:sdtEndPr/>
    <w:sdtContent>
      <w:p w:rsidR="000C6227" w:rsidRDefault="000C6227">
        <w:pPr>
          <w:pStyle w:val="Piedepgina"/>
          <w:jc w:val="right"/>
        </w:pPr>
        <w:r>
          <w:fldChar w:fldCharType="begin"/>
        </w:r>
        <w:r>
          <w:instrText>PAGE   \* MERGEFORMAT</w:instrText>
        </w:r>
        <w:r>
          <w:fldChar w:fldCharType="separate"/>
        </w:r>
        <w:r w:rsidR="0076266F">
          <w:rPr>
            <w:noProof/>
          </w:rPr>
          <w:t>13</w:t>
        </w:r>
        <w:r>
          <w:fldChar w:fldCharType="end"/>
        </w:r>
      </w:p>
    </w:sdtContent>
  </w:sdt>
  <w:p w:rsidR="000C6227" w:rsidRDefault="000C62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88" w:rsidRDefault="00A87D88" w:rsidP="000C6227">
      <w:pPr>
        <w:spacing w:after="0" w:line="240" w:lineRule="auto"/>
      </w:pPr>
      <w:r>
        <w:separator/>
      </w:r>
    </w:p>
  </w:footnote>
  <w:footnote w:type="continuationSeparator" w:id="0">
    <w:p w:rsidR="00A87D88" w:rsidRDefault="00A87D88" w:rsidP="000C6227">
      <w:pPr>
        <w:spacing w:after="0" w:line="240" w:lineRule="auto"/>
      </w:pPr>
      <w:r>
        <w:continuationSeparator/>
      </w:r>
    </w:p>
  </w:footnote>
  <w:footnote w:id="1">
    <w:p w:rsidR="003527BA" w:rsidRPr="00614376" w:rsidRDefault="003527BA">
      <w:pPr>
        <w:pStyle w:val="Textonotapie"/>
        <w:rPr>
          <w:rFonts w:ascii="Times New Roman" w:hAnsi="Times New Roman" w:cs="Times New Roman"/>
        </w:rPr>
      </w:pPr>
      <w:r w:rsidRPr="00614376">
        <w:rPr>
          <w:rStyle w:val="Refdenotaalpie"/>
        </w:rPr>
        <w:footnoteRef/>
      </w:r>
      <w:r w:rsidRPr="00614376">
        <w:rPr>
          <w:rFonts w:ascii="Times New Roman" w:hAnsi="Times New Roman" w:cs="Times New Roman"/>
        </w:rPr>
        <w:t xml:space="preserve"> El 3 de septiembre de 2018 Mauricio </w:t>
      </w:r>
      <w:proofErr w:type="spellStart"/>
      <w:r w:rsidRPr="00614376">
        <w:rPr>
          <w:rFonts w:ascii="Times New Roman" w:hAnsi="Times New Roman" w:cs="Times New Roman"/>
        </w:rPr>
        <w:t>Macri</w:t>
      </w:r>
      <w:proofErr w:type="spellEnd"/>
      <w:r w:rsidRPr="00614376">
        <w:rPr>
          <w:rFonts w:ascii="Times New Roman" w:hAnsi="Times New Roman" w:cs="Times New Roman"/>
        </w:rPr>
        <w:t xml:space="preserve"> realizó una reforma estructural que afectó a los ministerios de Ambiente y Desarrollo Sustentable, Energía, Turismo, Trabajo, Agroindustria, Salud, Cultura, Ciencia y Tecnología. En particular, Salud </w:t>
      </w:r>
      <w:r w:rsidR="009521A1" w:rsidRPr="00614376">
        <w:rPr>
          <w:rFonts w:ascii="Times New Roman" w:hAnsi="Times New Roman" w:cs="Times New Roman"/>
        </w:rPr>
        <w:t xml:space="preserve">se transformó en una Secretaría y </w:t>
      </w:r>
      <w:r w:rsidRPr="00614376">
        <w:rPr>
          <w:rFonts w:ascii="Times New Roman" w:hAnsi="Times New Roman" w:cs="Times New Roman"/>
        </w:rPr>
        <w:t xml:space="preserve">quedó subsumido al Ministerio de Desarrollo Social, a cargo de Carolina Stanley.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FA28A3"/>
    <w:multiLevelType w:val="hybridMultilevel"/>
    <w:tmpl w:val="407A0B76"/>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nsid w:val="488428F1"/>
    <w:multiLevelType w:val="hybridMultilevel"/>
    <w:tmpl w:val="DFB4A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430A75"/>
    <w:multiLevelType w:val="hybridMultilevel"/>
    <w:tmpl w:val="61CE93E2"/>
    <w:lvl w:ilvl="0" w:tplc="16A06E84">
      <w:numFmt w:val="bullet"/>
      <w:lvlText w:val="-"/>
      <w:lvlJc w:val="left"/>
      <w:pPr>
        <w:ind w:left="1068" w:hanging="360"/>
      </w:pPr>
      <w:rPr>
        <w:rFonts w:ascii="Bookman Old Style" w:eastAsia="Calibri" w:hAnsi="Bookman Old Style"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59293774"/>
    <w:multiLevelType w:val="hybridMultilevel"/>
    <w:tmpl w:val="371453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nsid w:val="66C967D4"/>
    <w:multiLevelType w:val="hybridMultilevel"/>
    <w:tmpl w:val="E2E05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B2"/>
    <w:rsid w:val="000143DF"/>
    <w:rsid w:val="00044AD3"/>
    <w:rsid w:val="0008783F"/>
    <w:rsid w:val="0009323D"/>
    <w:rsid w:val="000C2A86"/>
    <w:rsid w:val="000C6227"/>
    <w:rsid w:val="000D6BD1"/>
    <w:rsid w:val="00105D07"/>
    <w:rsid w:val="00122018"/>
    <w:rsid w:val="00124273"/>
    <w:rsid w:val="001A0404"/>
    <w:rsid w:val="001A094E"/>
    <w:rsid w:val="001B7F3B"/>
    <w:rsid w:val="001C3374"/>
    <w:rsid w:val="001C3E6F"/>
    <w:rsid w:val="001E49BD"/>
    <w:rsid w:val="00236C01"/>
    <w:rsid w:val="00244EEA"/>
    <w:rsid w:val="002477D7"/>
    <w:rsid w:val="0025725D"/>
    <w:rsid w:val="00285B57"/>
    <w:rsid w:val="00286774"/>
    <w:rsid w:val="002D0E6B"/>
    <w:rsid w:val="002E17A5"/>
    <w:rsid w:val="002F1A7E"/>
    <w:rsid w:val="002F2936"/>
    <w:rsid w:val="00312E13"/>
    <w:rsid w:val="003527BA"/>
    <w:rsid w:val="00372BF4"/>
    <w:rsid w:val="00396244"/>
    <w:rsid w:val="003A2D54"/>
    <w:rsid w:val="003A5AB4"/>
    <w:rsid w:val="003D2713"/>
    <w:rsid w:val="003F256F"/>
    <w:rsid w:val="00403C2C"/>
    <w:rsid w:val="00407521"/>
    <w:rsid w:val="00410FA6"/>
    <w:rsid w:val="00435C2C"/>
    <w:rsid w:val="004B0EBC"/>
    <w:rsid w:val="004B6CA1"/>
    <w:rsid w:val="004E4831"/>
    <w:rsid w:val="00500A4B"/>
    <w:rsid w:val="005161AE"/>
    <w:rsid w:val="005279B6"/>
    <w:rsid w:val="00527F8E"/>
    <w:rsid w:val="00561BEB"/>
    <w:rsid w:val="00576F9E"/>
    <w:rsid w:val="00587FCE"/>
    <w:rsid w:val="005A5014"/>
    <w:rsid w:val="005A7877"/>
    <w:rsid w:val="005B39F6"/>
    <w:rsid w:val="005C1CB1"/>
    <w:rsid w:val="005E5C1F"/>
    <w:rsid w:val="00601397"/>
    <w:rsid w:val="00614376"/>
    <w:rsid w:val="00651A8E"/>
    <w:rsid w:val="007356BE"/>
    <w:rsid w:val="0076266F"/>
    <w:rsid w:val="00764BBF"/>
    <w:rsid w:val="00773D02"/>
    <w:rsid w:val="00786182"/>
    <w:rsid w:val="007B22BE"/>
    <w:rsid w:val="007B2F87"/>
    <w:rsid w:val="007B4207"/>
    <w:rsid w:val="007D13E1"/>
    <w:rsid w:val="007E12AE"/>
    <w:rsid w:val="008113AA"/>
    <w:rsid w:val="00852494"/>
    <w:rsid w:val="008B751B"/>
    <w:rsid w:val="008C0067"/>
    <w:rsid w:val="008C00D8"/>
    <w:rsid w:val="00933D4A"/>
    <w:rsid w:val="009478CA"/>
    <w:rsid w:val="009521A1"/>
    <w:rsid w:val="00966487"/>
    <w:rsid w:val="00973ED9"/>
    <w:rsid w:val="00990F22"/>
    <w:rsid w:val="009C4022"/>
    <w:rsid w:val="009C7127"/>
    <w:rsid w:val="00A729F5"/>
    <w:rsid w:val="00A777B2"/>
    <w:rsid w:val="00A87D88"/>
    <w:rsid w:val="00AC4A5E"/>
    <w:rsid w:val="00B14583"/>
    <w:rsid w:val="00B65DD7"/>
    <w:rsid w:val="00B877E0"/>
    <w:rsid w:val="00B932F9"/>
    <w:rsid w:val="00B9350C"/>
    <w:rsid w:val="00BA3557"/>
    <w:rsid w:val="00BA6A44"/>
    <w:rsid w:val="00BE36BD"/>
    <w:rsid w:val="00BE3CE6"/>
    <w:rsid w:val="00BE70DA"/>
    <w:rsid w:val="00C47D78"/>
    <w:rsid w:val="00C6509D"/>
    <w:rsid w:val="00C673EE"/>
    <w:rsid w:val="00CB27B2"/>
    <w:rsid w:val="00CE0B8B"/>
    <w:rsid w:val="00D51778"/>
    <w:rsid w:val="00D669D4"/>
    <w:rsid w:val="00E01996"/>
    <w:rsid w:val="00E14E42"/>
    <w:rsid w:val="00E9344A"/>
    <w:rsid w:val="00EE4A40"/>
    <w:rsid w:val="00F45D49"/>
    <w:rsid w:val="00FA0371"/>
    <w:rsid w:val="00FB06FD"/>
    <w:rsid w:val="00FB10E3"/>
    <w:rsid w:val="00FB7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9F2FA-CFCA-43F1-AA52-F4BA1AF6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A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3E1"/>
    <w:pPr>
      <w:spacing w:after="160" w:line="259" w:lineRule="auto"/>
      <w:ind w:left="720"/>
      <w:contextualSpacing/>
    </w:pPr>
    <w:rPr>
      <w:rFonts w:asciiTheme="minorHAnsi" w:eastAsiaTheme="minorHAnsi" w:hAnsiTheme="minorHAnsi" w:cstheme="minorBidi"/>
    </w:rPr>
  </w:style>
  <w:style w:type="character" w:styleId="Hipervnculo">
    <w:name w:val="Hyperlink"/>
    <w:uiPriority w:val="99"/>
    <w:semiHidden/>
    <w:unhideWhenUsed/>
    <w:rsid w:val="000C6227"/>
    <w:rPr>
      <w:color w:val="0000FF"/>
      <w:u w:val="single"/>
    </w:rPr>
  </w:style>
  <w:style w:type="paragraph" w:styleId="Textonotapie">
    <w:name w:val="footnote text"/>
    <w:basedOn w:val="Normal"/>
    <w:link w:val="TextonotapieCar"/>
    <w:uiPriority w:val="99"/>
    <w:semiHidden/>
    <w:unhideWhenUsed/>
    <w:rsid w:val="000C6227"/>
    <w:pPr>
      <w:spacing w:after="0" w:line="240" w:lineRule="auto"/>
    </w:pPr>
    <w:rPr>
      <w:rFonts w:eastAsia="Times New Roman" w:cs="Calibri"/>
      <w:sz w:val="20"/>
      <w:szCs w:val="20"/>
    </w:rPr>
  </w:style>
  <w:style w:type="character" w:customStyle="1" w:styleId="TextonotapieCar">
    <w:name w:val="Texto nota pie Car"/>
    <w:basedOn w:val="Fuentedeprrafopredeter"/>
    <w:link w:val="Textonotapie"/>
    <w:uiPriority w:val="99"/>
    <w:semiHidden/>
    <w:rsid w:val="000C6227"/>
    <w:rPr>
      <w:rFonts w:ascii="Calibri" w:eastAsia="Times New Roman" w:hAnsi="Calibri" w:cs="Calibri"/>
      <w:sz w:val="20"/>
      <w:szCs w:val="20"/>
    </w:rPr>
  </w:style>
  <w:style w:type="paragraph" w:styleId="Textocomentario">
    <w:name w:val="annotation text"/>
    <w:basedOn w:val="Normal"/>
    <w:link w:val="TextocomentarioCar"/>
    <w:uiPriority w:val="99"/>
    <w:semiHidden/>
    <w:unhideWhenUsed/>
    <w:rsid w:val="000C6227"/>
    <w:pPr>
      <w:spacing w:after="0" w:line="240" w:lineRule="auto"/>
    </w:pPr>
    <w:rPr>
      <w:sz w:val="20"/>
      <w:szCs w:val="20"/>
      <w:lang w:eastAsia="es-ES"/>
    </w:rPr>
  </w:style>
  <w:style w:type="character" w:customStyle="1" w:styleId="TextocomentarioCar">
    <w:name w:val="Texto comentario Car"/>
    <w:basedOn w:val="Fuentedeprrafopredeter"/>
    <w:link w:val="Textocomentario"/>
    <w:uiPriority w:val="99"/>
    <w:semiHidden/>
    <w:rsid w:val="000C6227"/>
    <w:rPr>
      <w:rFonts w:ascii="Calibri" w:eastAsia="Calibri" w:hAnsi="Calibri" w:cs="Times New Roman"/>
      <w:sz w:val="20"/>
      <w:szCs w:val="20"/>
      <w:lang w:eastAsia="es-ES"/>
    </w:rPr>
  </w:style>
  <w:style w:type="character" w:styleId="Refdenotaalpie">
    <w:name w:val="footnote reference"/>
    <w:uiPriority w:val="99"/>
    <w:semiHidden/>
    <w:unhideWhenUsed/>
    <w:rsid w:val="000C6227"/>
    <w:rPr>
      <w:rFonts w:ascii="Times New Roman" w:hAnsi="Times New Roman" w:cs="Times New Roman" w:hint="default"/>
      <w:vertAlign w:val="superscript"/>
    </w:rPr>
  </w:style>
  <w:style w:type="character" w:styleId="Refdecomentario">
    <w:name w:val="annotation reference"/>
    <w:semiHidden/>
    <w:unhideWhenUsed/>
    <w:rsid w:val="000C6227"/>
    <w:rPr>
      <w:rFonts w:ascii="Times New Roman" w:hAnsi="Times New Roman" w:cs="Times New Roman" w:hint="default"/>
      <w:sz w:val="16"/>
      <w:szCs w:val="16"/>
    </w:rPr>
  </w:style>
  <w:style w:type="character" w:styleId="nfasis">
    <w:name w:val="Emphasis"/>
    <w:basedOn w:val="Fuentedeprrafopredeter"/>
    <w:uiPriority w:val="20"/>
    <w:qFormat/>
    <w:rsid w:val="000C6227"/>
    <w:rPr>
      <w:i/>
      <w:iCs/>
    </w:rPr>
  </w:style>
  <w:style w:type="paragraph" w:styleId="Textodeglobo">
    <w:name w:val="Balloon Text"/>
    <w:basedOn w:val="Normal"/>
    <w:link w:val="TextodegloboCar"/>
    <w:uiPriority w:val="99"/>
    <w:semiHidden/>
    <w:unhideWhenUsed/>
    <w:rsid w:val="000C6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227"/>
    <w:rPr>
      <w:rFonts w:ascii="Segoe UI" w:eastAsia="Calibri" w:hAnsi="Segoe UI" w:cs="Segoe UI"/>
      <w:sz w:val="18"/>
      <w:szCs w:val="18"/>
    </w:rPr>
  </w:style>
  <w:style w:type="paragraph" w:styleId="Encabezado">
    <w:name w:val="header"/>
    <w:basedOn w:val="Normal"/>
    <w:link w:val="EncabezadoCar"/>
    <w:uiPriority w:val="99"/>
    <w:unhideWhenUsed/>
    <w:rsid w:val="000C62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6227"/>
    <w:rPr>
      <w:rFonts w:ascii="Calibri" w:eastAsia="Calibri" w:hAnsi="Calibri" w:cs="Times New Roman"/>
    </w:rPr>
  </w:style>
  <w:style w:type="paragraph" w:styleId="Piedepgina">
    <w:name w:val="footer"/>
    <w:basedOn w:val="Normal"/>
    <w:link w:val="PiedepginaCar"/>
    <w:uiPriority w:val="99"/>
    <w:unhideWhenUsed/>
    <w:rsid w:val="000C62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6227"/>
    <w:rPr>
      <w:rFonts w:ascii="Calibri" w:eastAsia="Calibri" w:hAnsi="Calibri" w:cs="Times New Roman"/>
    </w:rPr>
  </w:style>
  <w:style w:type="paragraph" w:styleId="NormalWeb">
    <w:name w:val="Normal (Web)"/>
    <w:basedOn w:val="Normal"/>
    <w:uiPriority w:val="99"/>
    <w:semiHidden/>
    <w:unhideWhenUsed/>
    <w:rsid w:val="000143DF"/>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433">
      <w:bodyDiv w:val="1"/>
      <w:marLeft w:val="0"/>
      <w:marRight w:val="0"/>
      <w:marTop w:val="0"/>
      <w:marBottom w:val="0"/>
      <w:divBdr>
        <w:top w:val="none" w:sz="0" w:space="0" w:color="auto"/>
        <w:left w:val="none" w:sz="0" w:space="0" w:color="auto"/>
        <w:bottom w:val="none" w:sz="0" w:space="0" w:color="auto"/>
        <w:right w:val="none" w:sz="0" w:space="0" w:color="auto"/>
      </w:divBdr>
    </w:div>
    <w:div w:id="615142321">
      <w:bodyDiv w:val="1"/>
      <w:marLeft w:val="0"/>
      <w:marRight w:val="0"/>
      <w:marTop w:val="0"/>
      <w:marBottom w:val="0"/>
      <w:divBdr>
        <w:top w:val="none" w:sz="0" w:space="0" w:color="auto"/>
        <w:left w:val="none" w:sz="0" w:space="0" w:color="auto"/>
        <w:bottom w:val="none" w:sz="0" w:space="0" w:color="auto"/>
        <w:right w:val="none" w:sz="0" w:space="0" w:color="auto"/>
      </w:divBdr>
    </w:div>
    <w:div w:id="634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7B234-478C-4945-BA74-F8F2C68B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5293</Words>
  <Characters>29112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87</cp:revision>
  <dcterms:created xsi:type="dcterms:W3CDTF">2020-08-03T16:47:00Z</dcterms:created>
  <dcterms:modified xsi:type="dcterms:W3CDTF">2020-10-08T00:18:00Z</dcterms:modified>
</cp:coreProperties>
</file>